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92239DB" w:rsidR="000A7622" w:rsidRPr="00C04F25" w:rsidRDefault="00516569"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EEACE3F" w:rsidR="00440BC4" w:rsidRDefault="000D15CE" w:rsidP="00D14423">
      <w:pPr>
        <w:rPr>
          <w:rFonts w:cstheme="minorHAnsi"/>
          <w:b/>
          <w:bCs/>
          <w:sz w:val="24"/>
          <w:szCs w:val="24"/>
        </w:rPr>
      </w:pPr>
      <w:r>
        <w:rPr>
          <w:rFonts w:cstheme="minorHAnsi"/>
          <w:i/>
          <w:sz w:val="24"/>
          <w:szCs w:val="24"/>
          <w:lang w:val="fr-FR"/>
        </w:rPr>
        <w:t xml:space="preserve">International Journal of </w:t>
      </w:r>
      <w:proofErr w:type="spellStart"/>
      <w:r>
        <w:rPr>
          <w:rFonts w:cstheme="minorHAnsi"/>
          <w:i/>
          <w:sz w:val="24"/>
          <w:szCs w:val="24"/>
          <w:lang w:val="fr-FR"/>
        </w:rPr>
        <w:t>Pharmaceutics</w:t>
      </w:r>
      <w:proofErr w:type="spellEnd"/>
      <w:r w:rsidR="000A7622" w:rsidRPr="00C04F25">
        <w:rPr>
          <w:rFonts w:cstheme="minorHAnsi"/>
          <w:sz w:val="24"/>
          <w:szCs w:val="24"/>
          <w:lang w:val="fr-FR"/>
        </w:rPr>
        <w:t xml:space="preserve">, Vol. </w:t>
      </w:r>
      <w:r>
        <w:rPr>
          <w:rFonts w:cstheme="minorHAnsi"/>
          <w:sz w:val="24"/>
          <w:szCs w:val="24"/>
          <w:lang w:val="fr-FR"/>
        </w:rPr>
        <w:t>589</w:t>
      </w:r>
      <w:r w:rsidR="000A7622" w:rsidRPr="00C04F25">
        <w:rPr>
          <w:rFonts w:cstheme="minorHAnsi"/>
          <w:sz w:val="24"/>
          <w:szCs w:val="24"/>
          <w:lang w:val="fr-FR"/>
        </w:rPr>
        <w:t xml:space="preserve"> (</w:t>
      </w:r>
      <w:proofErr w:type="spellStart"/>
      <w:r>
        <w:rPr>
          <w:rFonts w:cstheme="minorHAnsi"/>
          <w:sz w:val="24"/>
          <w:szCs w:val="24"/>
          <w:lang w:val="fr-FR"/>
        </w:rPr>
        <w:t>November</w:t>
      </w:r>
      <w:proofErr w:type="spellEnd"/>
      <w:r>
        <w:rPr>
          <w:rFonts w:cstheme="minorHAnsi"/>
          <w:sz w:val="24"/>
          <w:szCs w:val="24"/>
          <w:lang w:val="fr-FR"/>
        </w:rPr>
        <w:t xml:space="preserve"> 15, 2020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119855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204C9">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204C9">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8204C9">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10A97D78" w14:textId="2AA0A242" w:rsidR="005304C8" w:rsidRDefault="005304C8" w:rsidP="00516569">
      <w:pPr>
        <w:pStyle w:val="Title"/>
      </w:pPr>
      <w:r w:rsidRPr="005304C8">
        <w:t xml:space="preserve">Drug-delivery Ca-Mg </w:t>
      </w:r>
      <w:r w:rsidR="00516569" w:rsidRPr="005304C8">
        <w:t xml:space="preserve">Silicate Scaffolds Encapsulated </w:t>
      </w:r>
      <w:r w:rsidRPr="005304C8">
        <w:t>in PLGA</w:t>
      </w:r>
    </w:p>
    <w:p w14:paraId="3BB27296" w14:textId="77777777" w:rsidR="00516569" w:rsidRPr="00516569" w:rsidRDefault="00516569" w:rsidP="00516569"/>
    <w:p w14:paraId="231F0986" w14:textId="4DA5BC5A" w:rsidR="00FF6097" w:rsidRPr="00766D0A" w:rsidRDefault="005304C8" w:rsidP="00766D0A">
      <w:pPr>
        <w:pStyle w:val="NoSpacing"/>
        <w:rPr>
          <w:sz w:val="32"/>
          <w:szCs w:val="32"/>
        </w:rPr>
      </w:pPr>
      <w:bookmarkStart w:id="2" w:name="bau005"/>
      <w:r w:rsidRPr="00766D0A">
        <w:rPr>
          <w:sz w:val="32"/>
          <w:szCs w:val="32"/>
        </w:rPr>
        <w:t>A.</w:t>
      </w:r>
      <w:r w:rsidR="00FF6097" w:rsidRPr="00766D0A">
        <w:rPr>
          <w:sz w:val="32"/>
          <w:szCs w:val="32"/>
        </w:rPr>
        <w:t xml:space="preserve"> </w:t>
      </w:r>
      <w:proofErr w:type="spellStart"/>
      <w:r w:rsidRPr="00766D0A">
        <w:rPr>
          <w:sz w:val="32"/>
          <w:szCs w:val="32"/>
        </w:rPr>
        <w:t>Jadidi</w:t>
      </w:r>
      <w:bookmarkStart w:id="3" w:name="bau010"/>
      <w:bookmarkEnd w:id="2"/>
      <w:proofErr w:type="spellEnd"/>
    </w:p>
    <w:p w14:paraId="0B8E3C97" w14:textId="2E51114B" w:rsidR="00FF6097" w:rsidRPr="00766D0A" w:rsidRDefault="00766D0A" w:rsidP="00766D0A">
      <w:pPr>
        <w:pStyle w:val="NoSpacing"/>
        <w:rPr>
          <w:sz w:val="24"/>
          <w:szCs w:val="24"/>
        </w:rPr>
      </w:pPr>
      <w:r w:rsidRPr="00766D0A">
        <w:rPr>
          <w:sz w:val="24"/>
          <w:szCs w:val="24"/>
        </w:rPr>
        <w:t xml:space="preserve">Faculty of Materials Science and Engineering, K. N. </w:t>
      </w:r>
      <w:proofErr w:type="spellStart"/>
      <w:r w:rsidRPr="00766D0A">
        <w:rPr>
          <w:sz w:val="24"/>
          <w:szCs w:val="24"/>
        </w:rPr>
        <w:t>Toosi</w:t>
      </w:r>
      <w:proofErr w:type="spellEnd"/>
      <w:r w:rsidRPr="00766D0A">
        <w:rPr>
          <w:sz w:val="24"/>
          <w:szCs w:val="24"/>
        </w:rPr>
        <w:t xml:space="preserve"> University of Technology, Tehran, Iran</w:t>
      </w:r>
    </w:p>
    <w:p w14:paraId="513F0D5B" w14:textId="2742EDB3" w:rsidR="005304C8" w:rsidRPr="00766D0A" w:rsidRDefault="005304C8" w:rsidP="00766D0A">
      <w:pPr>
        <w:pStyle w:val="NoSpacing"/>
        <w:rPr>
          <w:sz w:val="32"/>
          <w:szCs w:val="32"/>
        </w:rPr>
      </w:pPr>
      <w:r w:rsidRPr="00766D0A">
        <w:rPr>
          <w:sz w:val="32"/>
          <w:szCs w:val="32"/>
        </w:rPr>
        <w:t>E.</w:t>
      </w:r>
      <w:r w:rsidR="00FF6097" w:rsidRPr="00766D0A">
        <w:rPr>
          <w:sz w:val="32"/>
          <w:szCs w:val="32"/>
        </w:rPr>
        <w:t xml:space="preserve"> </w:t>
      </w:r>
      <w:proofErr w:type="spellStart"/>
      <w:r w:rsidRPr="00766D0A">
        <w:rPr>
          <w:sz w:val="32"/>
          <w:szCs w:val="32"/>
        </w:rPr>
        <w:t>Salahinejad</w:t>
      </w:r>
      <w:proofErr w:type="spellEnd"/>
    </w:p>
    <w:p w14:paraId="18FFCC8D" w14:textId="57629828" w:rsidR="00FF6097" w:rsidRPr="00766D0A" w:rsidRDefault="00766D0A" w:rsidP="00766D0A">
      <w:pPr>
        <w:pStyle w:val="NoSpacing"/>
        <w:rPr>
          <w:sz w:val="24"/>
          <w:szCs w:val="24"/>
        </w:rPr>
      </w:pPr>
      <w:bookmarkStart w:id="4" w:name="bau015"/>
      <w:bookmarkEnd w:id="3"/>
      <w:r w:rsidRPr="00766D0A">
        <w:rPr>
          <w:sz w:val="24"/>
          <w:szCs w:val="24"/>
        </w:rPr>
        <w:t xml:space="preserve">Faculty of Materials Science and Engineering, K. N. </w:t>
      </w:r>
      <w:proofErr w:type="spellStart"/>
      <w:r w:rsidRPr="00766D0A">
        <w:rPr>
          <w:sz w:val="24"/>
          <w:szCs w:val="24"/>
        </w:rPr>
        <w:t>Toosi</w:t>
      </w:r>
      <w:proofErr w:type="spellEnd"/>
      <w:r w:rsidRPr="00766D0A">
        <w:rPr>
          <w:sz w:val="24"/>
          <w:szCs w:val="24"/>
        </w:rPr>
        <w:t xml:space="preserve"> University of Technology, Tehran, Iran</w:t>
      </w:r>
    </w:p>
    <w:p w14:paraId="2C599DCF" w14:textId="2E4EFCBF" w:rsidR="00FF6097" w:rsidRPr="00766D0A" w:rsidRDefault="005304C8" w:rsidP="00766D0A">
      <w:pPr>
        <w:pStyle w:val="NoSpacing"/>
        <w:rPr>
          <w:sz w:val="32"/>
          <w:szCs w:val="32"/>
        </w:rPr>
      </w:pPr>
      <w:r w:rsidRPr="00766D0A">
        <w:rPr>
          <w:sz w:val="32"/>
          <w:szCs w:val="32"/>
        </w:rPr>
        <w:t>E.</w:t>
      </w:r>
      <w:r w:rsidR="00FF6097" w:rsidRPr="00766D0A">
        <w:rPr>
          <w:sz w:val="32"/>
          <w:szCs w:val="32"/>
        </w:rPr>
        <w:t xml:space="preserve"> </w:t>
      </w:r>
      <w:r w:rsidRPr="00766D0A">
        <w:rPr>
          <w:sz w:val="32"/>
          <w:szCs w:val="32"/>
        </w:rPr>
        <w:t>Sharifi</w:t>
      </w:r>
      <w:bookmarkStart w:id="5" w:name="bau020"/>
      <w:bookmarkEnd w:id="4"/>
    </w:p>
    <w:p w14:paraId="1B383AFD" w14:textId="4CD31F11" w:rsidR="00FF6097" w:rsidRPr="00766D0A" w:rsidRDefault="00766D0A" w:rsidP="00766D0A">
      <w:pPr>
        <w:pStyle w:val="NoSpacing"/>
        <w:rPr>
          <w:sz w:val="24"/>
          <w:szCs w:val="24"/>
        </w:rPr>
      </w:pPr>
      <w:r w:rsidRPr="00766D0A">
        <w:rPr>
          <w:sz w:val="24"/>
          <w:szCs w:val="24"/>
        </w:rPr>
        <w:t>Department of Tissue Engineering and Biomaterials, School of Advanced Medical Sciences and Technologies, Hamadan University of Medical Sciences, Hamadan, Iran</w:t>
      </w:r>
    </w:p>
    <w:p w14:paraId="7AF02EB4" w14:textId="43BFC0A9" w:rsidR="005304C8" w:rsidRPr="00766D0A" w:rsidRDefault="005304C8" w:rsidP="00766D0A">
      <w:pPr>
        <w:pStyle w:val="NoSpacing"/>
        <w:rPr>
          <w:sz w:val="32"/>
          <w:szCs w:val="32"/>
        </w:rPr>
      </w:pPr>
      <w:r w:rsidRPr="00766D0A">
        <w:rPr>
          <w:sz w:val="32"/>
          <w:szCs w:val="32"/>
        </w:rPr>
        <w:t>L.</w:t>
      </w:r>
      <w:r w:rsidR="00FF6097" w:rsidRPr="00766D0A">
        <w:rPr>
          <w:sz w:val="32"/>
          <w:szCs w:val="32"/>
        </w:rPr>
        <w:t xml:space="preserve"> </w:t>
      </w:r>
      <w:r w:rsidRPr="00766D0A">
        <w:rPr>
          <w:sz w:val="32"/>
          <w:szCs w:val="32"/>
        </w:rPr>
        <w:t>Tayebi</w:t>
      </w:r>
      <w:bookmarkEnd w:id="5"/>
    </w:p>
    <w:p w14:paraId="67AFB87A" w14:textId="40D197F7" w:rsidR="00FF6097" w:rsidRPr="00766D0A" w:rsidRDefault="00766D0A" w:rsidP="00766D0A">
      <w:pPr>
        <w:pStyle w:val="NoSpacing"/>
        <w:rPr>
          <w:sz w:val="24"/>
          <w:szCs w:val="24"/>
        </w:rPr>
      </w:pPr>
      <w:r w:rsidRPr="00766D0A">
        <w:rPr>
          <w:sz w:val="24"/>
          <w:szCs w:val="24"/>
        </w:rPr>
        <w:t>Department of Developmental Sciences, Marquette University School of Dentistry, Milwaukee, WI</w:t>
      </w:r>
    </w:p>
    <w:p w14:paraId="0365843B" w14:textId="77777777" w:rsidR="00FF6097" w:rsidRPr="00FF6097" w:rsidRDefault="00FF6097" w:rsidP="00D21F46">
      <w:pPr>
        <w:rPr>
          <w:rFonts w:cstheme="minorHAnsi"/>
          <w:sz w:val="24"/>
          <w:szCs w:val="24"/>
          <w:lang w:val="en"/>
        </w:rPr>
      </w:pPr>
    </w:p>
    <w:p w14:paraId="1F3A6DFE" w14:textId="5B450F36" w:rsidR="00D21F46" w:rsidRPr="00FF6097" w:rsidRDefault="00D21F46" w:rsidP="001107AE">
      <w:pPr>
        <w:pStyle w:val="Heading1"/>
        <w:rPr>
          <w:lang w:val="en"/>
        </w:rPr>
      </w:pPr>
      <w:r w:rsidRPr="00FF6097">
        <w:rPr>
          <w:lang w:val="en"/>
        </w:rPr>
        <w:t>Abstract</w:t>
      </w:r>
    </w:p>
    <w:p w14:paraId="1F9A679E" w14:textId="77777777" w:rsidR="00D21F46" w:rsidRPr="00D21F46" w:rsidRDefault="00D21F46" w:rsidP="00D21F46">
      <w:pPr>
        <w:rPr>
          <w:rFonts w:cstheme="minorHAnsi"/>
          <w:sz w:val="24"/>
          <w:szCs w:val="24"/>
          <w:lang w:val="en"/>
        </w:rPr>
      </w:pPr>
      <w:r w:rsidRPr="00D21F46">
        <w:rPr>
          <w:rFonts w:cstheme="minorHAnsi"/>
          <w:sz w:val="24"/>
          <w:szCs w:val="24"/>
          <w:lang w:val="en"/>
        </w:rPr>
        <w:t>The aim of this work is to develop dual-functional scaffolds for bone tissue regeneration and local antibiotic delivery applications. In this respect, bioresorbable bredigite (Ca</w:t>
      </w:r>
      <w:r w:rsidRPr="00D21F46">
        <w:rPr>
          <w:rFonts w:cstheme="minorHAnsi"/>
          <w:sz w:val="24"/>
          <w:szCs w:val="24"/>
          <w:vertAlign w:val="subscript"/>
          <w:lang w:val="en"/>
        </w:rPr>
        <w:t>7</w:t>
      </w:r>
      <w:r w:rsidRPr="00D21F46">
        <w:rPr>
          <w:rFonts w:cstheme="minorHAnsi"/>
          <w:sz w:val="24"/>
          <w:szCs w:val="24"/>
          <w:lang w:val="en"/>
        </w:rPr>
        <w:t>MgSi</w:t>
      </w:r>
      <w:r w:rsidRPr="00D21F46">
        <w:rPr>
          <w:rFonts w:cstheme="minorHAnsi"/>
          <w:sz w:val="24"/>
          <w:szCs w:val="24"/>
          <w:vertAlign w:val="subscript"/>
          <w:lang w:val="en"/>
        </w:rPr>
        <w:t>4</w:t>
      </w:r>
      <w:r w:rsidRPr="00D21F46">
        <w:rPr>
          <w:rFonts w:cstheme="minorHAnsi"/>
          <w:sz w:val="24"/>
          <w:szCs w:val="24"/>
          <w:lang w:val="en"/>
        </w:rPr>
        <w:t>O</w:t>
      </w:r>
      <w:r w:rsidRPr="00D21F46">
        <w:rPr>
          <w:rFonts w:cstheme="minorHAnsi"/>
          <w:sz w:val="24"/>
          <w:szCs w:val="24"/>
          <w:vertAlign w:val="subscript"/>
          <w:lang w:val="en"/>
        </w:rPr>
        <w:t>16</w:t>
      </w:r>
      <w:r w:rsidRPr="00D21F46">
        <w:rPr>
          <w:rFonts w:cstheme="minorHAnsi"/>
          <w:sz w:val="24"/>
          <w:szCs w:val="24"/>
          <w:lang w:val="en"/>
        </w:rPr>
        <w:t xml:space="preserve">) porous scaffolds were fabricated by a foam replica method, loaded with vancomycin </w:t>
      </w:r>
      <w:proofErr w:type="gramStart"/>
      <w:r w:rsidRPr="00D21F46">
        <w:rPr>
          <w:rFonts w:cstheme="minorHAnsi"/>
          <w:sz w:val="24"/>
          <w:szCs w:val="24"/>
          <w:lang w:val="en"/>
        </w:rPr>
        <w:t>hydrochloride</w:t>
      </w:r>
      <w:proofErr w:type="gramEnd"/>
      <w:r w:rsidRPr="00D21F46">
        <w:rPr>
          <w:rFonts w:cstheme="minorHAnsi"/>
          <w:sz w:val="24"/>
          <w:szCs w:val="24"/>
          <w:lang w:val="en"/>
        </w:rPr>
        <w:t xml:space="preserve"> and encapsulated in poly lactic-co-glycolic acid (PLGA) coatings. Field emission scanning electron microscopy, Archimedes </w:t>
      </w:r>
      <w:proofErr w:type="spellStart"/>
      <w:r w:rsidRPr="00D21F46">
        <w:rPr>
          <w:rFonts w:cstheme="minorHAnsi"/>
          <w:sz w:val="24"/>
          <w:szCs w:val="24"/>
          <w:lang w:val="en"/>
        </w:rPr>
        <w:t>porosimetry</w:t>
      </w:r>
      <w:proofErr w:type="spellEnd"/>
      <w:r w:rsidRPr="00D21F46">
        <w:rPr>
          <w:rFonts w:cstheme="minorHAnsi"/>
          <w:sz w:val="24"/>
          <w:szCs w:val="24"/>
          <w:lang w:val="en"/>
        </w:rPr>
        <w:t xml:space="preserve"> and Fourier-transform infrared spectroscopy were used to characterize the structure of the scaffolds. The drug delivery kinetics and cytocompatibility of the prepared scaffolds were also studied </w:t>
      </w:r>
      <w:r w:rsidRPr="00D21F46">
        <w:rPr>
          <w:rFonts w:cstheme="minorHAnsi"/>
          <w:i/>
          <w:iCs/>
          <w:sz w:val="24"/>
          <w:szCs w:val="24"/>
          <w:lang w:val="en"/>
        </w:rPr>
        <w:t>in vitro</w:t>
      </w:r>
      <w:r w:rsidRPr="00D21F46">
        <w:rPr>
          <w:rFonts w:cstheme="minorHAnsi"/>
          <w:sz w:val="24"/>
          <w:szCs w:val="24"/>
          <w:lang w:val="en"/>
        </w:rPr>
        <w:t xml:space="preserve">. The bare sample exhibited a burst release of vancomycin and low biocompatibility with respect to dental pulp stem cells based on the MTT assay due to the fast </w:t>
      </w:r>
      <w:proofErr w:type="spellStart"/>
      <w:r w:rsidRPr="00D21F46">
        <w:rPr>
          <w:rFonts w:cstheme="minorHAnsi"/>
          <w:sz w:val="24"/>
          <w:szCs w:val="24"/>
          <w:lang w:val="en"/>
        </w:rPr>
        <w:t>bioresorption</w:t>
      </w:r>
      <w:proofErr w:type="spellEnd"/>
      <w:r w:rsidRPr="00D21F46">
        <w:rPr>
          <w:rFonts w:cstheme="minorHAnsi"/>
          <w:sz w:val="24"/>
          <w:szCs w:val="24"/>
          <w:lang w:val="en"/>
        </w:rPr>
        <w:t xml:space="preserve"> of bredigite. While keeping the desirable characteristics of pores for tissue engineering, the biodegradable PLGA coatings modified the drug release kinetics, buffered physiological </w:t>
      </w:r>
      <w:proofErr w:type="gramStart"/>
      <w:r w:rsidRPr="00D21F46">
        <w:rPr>
          <w:rFonts w:cstheme="minorHAnsi"/>
          <w:sz w:val="24"/>
          <w:szCs w:val="24"/>
          <w:lang w:val="en"/>
        </w:rPr>
        <w:t>pH</w:t>
      </w:r>
      <w:proofErr w:type="gramEnd"/>
      <w:r w:rsidRPr="00D21F46">
        <w:rPr>
          <w:rFonts w:cstheme="minorHAnsi"/>
          <w:sz w:val="24"/>
          <w:szCs w:val="24"/>
          <w:lang w:val="en"/>
        </w:rPr>
        <w:t xml:space="preserve"> and hence improved the cell viability of the vancomycin-loaded scaffolds considerably.</w:t>
      </w:r>
    </w:p>
    <w:p w14:paraId="0185D0AC" w14:textId="77777777" w:rsidR="00D21F46" w:rsidRPr="00D21F46" w:rsidRDefault="00D21F46" w:rsidP="001107AE">
      <w:pPr>
        <w:pStyle w:val="Heading1"/>
        <w:rPr>
          <w:lang w:val="en"/>
        </w:rPr>
      </w:pPr>
      <w:r w:rsidRPr="00D21F46">
        <w:rPr>
          <w:lang w:val="en"/>
        </w:rPr>
        <w:t>Graphical abstract</w:t>
      </w:r>
    </w:p>
    <w:p w14:paraId="05A319C6" w14:textId="292D6129" w:rsidR="00D21F46" w:rsidRPr="00D21F46" w:rsidRDefault="00D21F46" w:rsidP="00D21F46">
      <w:pPr>
        <w:rPr>
          <w:rFonts w:cstheme="minorHAnsi"/>
          <w:sz w:val="24"/>
          <w:szCs w:val="24"/>
        </w:rPr>
      </w:pPr>
      <w:r w:rsidRPr="00D21F46">
        <w:rPr>
          <w:rFonts w:cstheme="minorHAnsi"/>
          <w:noProof/>
          <w:sz w:val="24"/>
          <w:szCs w:val="24"/>
          <w:lang w:val="en"/>
        </w:rPr>
        <w:lastRenderedPageBreak/>
        <w:drawing>
          <wp:inline distT="0" distB="0" distL="0" distR="0" wp14:anchorId="3C088E9D" wp14:editId="55F4B91C">
            <wp:extent cx="4320540" cy="1905000"/>
            <wp:effectExtent l="0" t="0" r="3810" b="0"/>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20540" cy="1905000"/>
                    </a:xfrm>
                    <a:prstGeom prst="rect">
                      <a:avLst/>
                    </a:prstGeom>
                    <a:noFill/>
                    <a:ln>
                      <a:noFill/>
                    </a:ln>
                  </pic:spPr>
                </pic:pic>
              </a:graphicData>
            </a:graphic>
          </wp:inline>
        </w:drawing>
      </w:r>
    </w:p>
    <w:p w14:paraId="29CE309B" w14:textId="77777777" w:rsidR="00D21F46" w:rsidRPr="00D21F46" w:rsidRDefault="00D21F46" w:rsidP="001107AE">
      <w:pPr>
        <w:pStyle w:val="Heading1"/>
      </w:pPr>
      <w:r w:rsidRPr="00D21F46">
        <w:t>Keywords</w:t>
      </w:r>
    </w:p>
    <w:p w14:paraId="131723A4" w14:textId="634ECF66" w:rsidR="00D21F46" w:rsidRPr="00D21F46" w:rsidRDefault="00D21F46" w:rsidP="00D21F46">
      <w:pPr>
        <w:rPr>
          <w:rFonts w:cstheme="minorHAnsi"/>
          <w:sz w:val="24"/>
          <w:szCs w:val="24"/>
        </w:rPr>
      </w:pPr>
      <w:r w:rsidRPr="00D21F46">
        <w:rPr>
          <w:rFonts w:cstheme="minorHAnsi"/>
          <w:sz w:val="24"/>
          <w:szCs w:val="24"/>
        </w:rPr>
        <w:t>Hard tissue reconstruction</w:t>
      </w:r>
      <w:r w:rsidR="001107AE">
        <w:rPr>
          <w:rFonts w:cstheme="minorHAnsi"/>
          <w:sz w:val="24"/>
          <w:szCs w:val="24"/>
        </w:rPr>
        <w:t xml:space="preserve">, </w:t>
      </w:r>
      <w:r w:rsidRPr="00D21F46">
        <w:rPr>
          <w:rFonts w:cstheme="minorHAnsi"/>
          <w:sz w:val="24"/>
          <w:szCs w:val="24"/>
        </w:rPr>
        <w:t>Controlled drug delivery</w:t>
      </w:r>
      <w:r w:rsidR="001107AE">
        <w:rPr>
          <w:rFonts w:cstheme="minorHAnsi"/>
          <w:sz w:val="24"/>
          <w:szCs w:val="24"/>
        </w:rPr>
        <w:t xml:space="preserve">, </w:t>
      </w:r>
      <w:r w:rsidRPr="00D21F46">
        <w:rPr>
          <w:rFonts w:cstheme="minorHAnsi"/>
          <w:sz w:val="24"/>
          <w:szCs w:val="24"/>
        </w:rPr>
        <w:t>Glycopeptide antibiotic</w:t>
      </w:r>
      <w:r w:rsidR="001107AE">
        <w:rPr>
          <w:rFonts w:cstheme="minorHAnsi"/>
          <w:sz w:val="24"/>
          <w:szCs w:val="24"/>
        </w:rPr>
        <w:t xml:space="preserve">, </w:t>
      </w:r>
      <w:proofErr w:type="spellStart"/>
      <w:r w:rsidRPr="00D21F46">
        <w:rPr>
          <w:rFonts w:cstheme="minorHAnsi"/>
          <w:sz w:val="24"/>
          <w:szCs w:val="24"/>
        </w:rPr>
        <w:t>Biosilicate</w:t>
      </w:r>
      <w:proofErr w:type="spellEnd"/>
      <w:r w:rsidR="001107AE">
        <w:rPr>
          <w:rFonts w:cstheme="minorHAnsi"/>
          <w:sz w:val="24"/>
          <w:szCs w:val="24"/>
        </w:rPr>
        <w:t xml:space="preserve">, </w:t>
      </w:r>
      <w:r w:rsidRPr="00D21F46">
        <w:rPr>
          <w:rFonts w:cstheme="minorHAnsi"/>
          <w:sz w:val="24"/>
          <w:szCs w:val="24"/>
        </w:rPr>
        <w:t>Aliphatic polyester</w:t>
      </w:r>
      <w:r w:rsidR="001107AE">
        <w:rPr>
          <w:rFonts w:cstheme="minorHAnsi"/>
          <w:sz w:val="24"/>
          <w:szCs w:val="24"/>
        </w:rPr>
        <w:t xml:space="preserve">, </w:t>
      </w:r>
      <w:r w:rsidRPr="00D21F46">
        <w:rPr>
          <w:rFonts w:cstheme="minorHAnsi"/>
          <w:sz w:val="24"/>
          <w:szCs w:val="24"/>
        </w:rPr>
        <w:t>Metabolic alkalosis</w:t>
      </w:r>
    </w:p>
    <w:p w14:paraId="79BEFF53" w14:textId="77777777" w:rsidR="00D21F46" w:rsidRPr="00D21F46" w:rsidRDefault="00D21F46" w:rsidP="001107AE">
      <w:pPr>
        <w:pStyle w:val="Heading1"/>
      </w:pPr>
      <w:r w:rsidRPr="00D21F46">
        <w:t>1. Introduction</w:t>
      </w:r>
    </w:p>
    <w:p w14:paraId="2F560E90" w14:textId="118DFA93" w:rsidR="00D21F46" w:rsidRPr="00D21F46" w:rsidRDefault="00D21F46" w:rsidP="00D21F46">
      <w:pPr>
        <w:rPr>
          <w:rFonts w:cstheme="minorHAnsi"/>
          <w:sz w:val="24"/>
          <w:szCs w:val="24"/>
        </w:rPr>
      </w:pPr>
      <w:r w:rsidRPr="00D21F46">
        <w:rPr>
          <w:rFonts w:cstheme="minorHAnsi"/>
          <w:sz w:val="24"/>
          <w:szCs w:val="24"/>
        </w:rPr>
        <w:t>One of the major complications of bone tissue engineering after implantation is bacterial bone infection or osteomyelitis, which can cause severe pain in patients and demand a high cost of treatment (</w:t>
      </w:r>
      <w:bookmarkStart w:id="6" w:name="bb0070"/>
      <w:r w:rsidRPr="0045528F">
        <w:rPr>
          <w:rFonts w:cstheme="minorHAnsi"/>
          <w:sz w:val="24"/>
          <w:szCs w:val="24"/>
        </w:rPr>
        <w:t xml:space="preserve">Hetrick and </w:t>
      </w:r>
      <w:proofErr w:type="spellStart"/>
      <w:r w:rsidRPr="0045528F">
        <w:rPr>
          <w:rFonts w:cstheme="minorHAnsi"/>
          <w:sz w:val="24"/>
          <w:szCs w:val="24"/>
        </w:rPr>
        <w:t>Schoenfisch</w:t>
      </w:r>
      <w:proofErr w:type="spellEnd"/>
      <w:r w:rsidRPr="0045528F">
        <w:rPr>
          <w:rFonts w:cstheme="minorHAnsi"/>
          <w:sz w:val="24"/>
          <w:szCs w:val="24"/>
        </w:rPr>
        <w:t>, 2006</w:t>
      </w:r>
      <w:bookmarkEnd w:id="6"/>
      <w:r w:rsidRPr="00D21F46">
        <w:rPr>
          <w:rFonts w:cstheme="minorHAnsi"/>
          <w:sz w:val="24"/>
          <w:szCs w:val="24"/>
        </w:rPr>
        <w:t xml:space="preserve">, </w:t>
      </w:r>
      <w:bookmarkStart w:id="7" w:name="bb0130"/>
      <w:proofErr w:type="spellStart"/>
      <w:r w:rsidRPr="0045528F">
        <w:rPr>
          <w:rFonts w:cstheme="minorHAnsi"/>
          <w:sz w:val="24"/>
          <w:szCs w:val="24"/>
        </w:rPr>
        <w:t>Lucke</w:t>
      </w:r>
      <w:proofErr w:type="spellEnd"/>
      <w:r w:rsidRPr="0045528F">
        <w:rPr>
          <w:rFonts w:cstheme="minorHAnsi"/>
          <w:sz w:val="24"/>
          <w:szCs w:val="24"/>
        </w:rPr>
        <w:t xml:space="preserve"> et al., 2003</w:t>
      </w:r>
      <w:bookmarkEnd w:id="7"/>
      <w:r w:rsidRPr="00D21F46">
        <w:rPr>
          <w:rFonts w:cstheme="minorHAnsi"/>
          <w:sz w:val="24"/>
          <w:szCs w:val="24"/>
        </w:rPr>
        <w:t xml:space="preserve">, </w:t>
      </w:r>
      <w:bookmarkStart w:id="8" w:name="bb0220"/>
      <w:proofErr w:type="spellStart"/>
      <w:r w:rsidRPr="0045528F">
        <w:rPr>
          <w:rFonts w:cstheme="minorHAnsi"/>
          <w:sz w:val="24"/>
          <w:szCs w:val="24"/>
        </w:rPr>
        <w:t>Shirtliff</w:t>
      </w:r>
      <w:proofErr w:type="spellEnd"/>
      <w:r w:rsidRPr="0045528F">
        <w:rPr>
          <w:rFonts w:cstheme="minorHAnsi"/>
          <w:sz w:val="24"/>
          <w:szCs w:val="24"/>
        </w:rPr>
        <w:t xml:space="preserve"> and </w:t>
      </w:r>
      <w:proofErr w:type="spellStart"/>
      <w:r w:rsidRPr="0045528F">
        <w:rPr>
          <w:rFonts w:cstheme="minorHAnsi"/>
          <w:sz w:val="24"/>
          <w:szCs w:val="24"/>
        </w:rPr>
        <w:t>Mader</w:t>
      </w:r>
      <w:proofErr w:type="spellEnd"/>
      <w:r w:rsidRPr="0045528F">
        <w:rPr>
          <w:rFonts w:cstheme="minorHAnsi"/>
          <w:sz w:val="24"/>
          <w:szCs w:val="24"/>
        </w:rPr>
        <w:t>, 2000</w:t>
      </w:r>
      <w:bookmarkEnd w:id="8"/>
      <w:r w:rsidRPr="00D21F46">
        <w:rPr>
          <w:rFonts w:cstheme="minorHAnsi"/>
          <w:sz w:val="24"/>
          <w:szCs w:val="24"/>
        </w:rPr>
        <w:t xml:space="preserve">). To overcome this problem, systematic drug delivery is a prevalent method with several disadvantages like the possibility of high systemic toxicity and longer hospitalization. In contrast, local drug delivery is a suitable alternative that lacks the </w:t>
      </w:r>
      <w:proofErr w:type="gramStart"/>
      <w:r w:rsidRPr="00D21F46">
        <w:rPr>
          <w:rFonts w:cstheme="minorHAnsi"/>
          <w:sz w:val="24"/>
          <w:szCs w:val="24"/>
        </w:rPr>
        <w:t>aforementioned drawbacks</w:t>
      </w:r>
      <w:proofErr w:type="gramEnd"/>
      <w:r w:rsidRPr="00D21F46">
        <w:rPr>
          <w:rFonts w:cstheme="minorHAnsi"/>
          <w:sz w:val="24"/>
          <w:szCs w:val="24"/>
        </w:rPr>
        <w:t>. These devices provide a sustained concentration of drugs needed for the inhibition of pathogens at the intended site in a prolonged and controlled fashion with no or minimal drug concentration in the systemic circulation (</w:t>
      </w:r>
      <w:bookmarkStart w:id="9" w:name="bb0085"/>
      <w:r w:rsidRPr="0045528F">
        <w:rPr>
          <w:rFonts w:cstheme="minorHAnsi"/>
          <w:sz w:val="24"/>
          <w:szCs w:val="24"/>
        </w:rPr>
        <w:t>Jain, 2008</w:t>
      </w:r>
      <w:bookmarkEnd w:id="9"/>
      <w:r w:rsidRPr="00D21F46">
        <w:rPr>
          <w:rFonts w:cstheme="minorHAnsi"/>
          <w:sz w:val="24"/>
          <w:szCs w:val="24"/>
        </w:rPr>
        <w:t xml:space="preserve">, </w:t>
      </w:r>
      <w:bookmarkStart w:id="10" w:name="bb0140"/>
      <w:proofErr w:type="spellStart"/>
      <w:r w:rsidRPr="0045528F">
        <w:rPr>
          <w:rFonts w:cstheme="minorHAnsi"/>
          <w:sz w:val="24"/>
          <w:szCs w:val="24"/>
        </w:rPr>
        <w:t>Marwah</w:t>
      </w:r>
      <w:proofErr w:type="spellEnd"/>
      <w:r w:rsidRPr="0045528F">
        <w:rPr>
          <w:rFonts w:cstheme="minorHAnsi"/>
          <w:sz w:val="24"/>
          <w:szCs w:val="24"/>
        </w:rPr>
        <w:t xml:space="preserve"> et al., 2016</w:t>
      </w:r>
      <w:bookmarkEnd w:id="10"/>
      <w:r w:rsidRPr="00D21F46">
        <w:rPr>
          <w:rFonts w:cstheme="minorHAnsi"/>
          <w:sz w:val="24"/>
          <w:szCs w:val="24"/>
        </w:rPr>
        <w:t xml:space="preserve">, </w:t>
      </w:r>
      <w:bookmarkStart w:id="11" w:name="bb0200"/>
      <w:r w:rsidRPr="0045528F">
        <w:rPr>
          <w:rFonts w:cstheme="minorHAnsi"/>
          <w:sz w:val="24"/>
          <w:szCs w:val="24"/>
        </w:rPr>
        <w:t>Sankar et al., 2011</w:t>
      </w:r>
      <w:bookmarkEnd w:id="11"/>
      <w:r w:rsidRPr="00D21F46">
        <w:rPr>
          <w:rFonts w:cstheme="minorHAnsi"/>
          <w:sz w:val="24"/>
          <w:szCs w:val="24"/>
        </w:rPr>
        <w:t xml:space="preserve">). Fortunately, tissue-engineering scaffolds </w:t>
      </w:r>
      <w:proofErr w:type="gramStart"/>
      <w:r w:rsidRPr="00D21F46">
        <w:rPr>
          <w:rFonts w:cstheme="minorHAnsi"/>
          <w:sz w:val="24"/>
          <w:szCs w:val="24"/>
        </w:rPr>
        <w:t>have the ability to</w:t>
      </w:r>
      <w:proofErr w:type="gramEnd"/>
      <w:r w:rsidRPr="00D21F46">
        <w:rPr>
          <w:rFonts w:cstheme="minorHAnsi"/>
          <w:sz w:val="24"/>
          <w:szCs w:val="24"/>
        </w:rPr>
        <w:t xml:space="preserve"> act as the matrix of local drug delivery systems for bone infection treatment at the implantation site. In this regard, chitosan-coated bioactive glass scaffolds loaded with </w:t>
      </w:r>
      <w:proofErr w:type="spellStart"/>
      <w:r w:rsidRPr="00D21F46">
        <w:rPr>
          <w:rFonts w:cstheme="minorHAnsi"/>
          <w:sz w:val="24"/>
          <w:szCs w:val="24"/>
        </w:rPr>
        <w:t>gatifloxacin</w:t>
      </w:r>
      <w:proofErr w:type="spellEnd"/>
      <w:r w:rsidRPr="00D21F46">
        <w:rPr>
          <w:rFonts w:cstheme="minorHAnsi"/>
          <w:sz w:val="24"/>
          <w:szCs w:val="24"/>
        </w:rPr>
        <w:t xml:space="preserve"> and fluconazole (</w:t>
      </w:r>
      <w:bookmarkStart w:id="12" w:name="bb0230"/>
      <w:proofErr w:type="spellStart"/>
      <w:r w:rsidRPr="0045528F">
        <w:rPr>
          <w:rFonts w:cstheme="minorHAnsi"/>
          <w:sz w:val="24"/>
          <w:szCs w:val="24"/>
        </w:rPr>
        <w:t>Soundrapandian</w:t>
      </w:r>
      <w:proofErr w:type="spellEnd"/>
      <w:r w:rsidRPr="0045528F">
        <w:rPr>
          <w:rFonts w:cstheme="minorHAnsi"/>
          <w:sz w:val="24"/>
          <w:szCs w:val="24"/>
        </w:rPr>
        <w:t xml:space="preserve"> et al., 2010</w:t>
      </w:r>
      <w:bookmarkEnd w:id="12"/>
      <w:r w:rsidRPr="00D21F46">
        <w:rPr>
          <w:rFonts w:cstheme="minorHAnsi"/>
          <w:sz w:val="24"/>
          <w:szCs w:val="24"/>
        </w:rPr>
        <w:t>), gelatin-hydroxyapatite scaffolds impregnated with ciprofloxacin (</w:t>
      </w:r>
      <w:bookmarkStart w:id="13" w:name="bb0110"/>
      <w:r w:rsidRPr="0045528F">
        <w:rPr>
          <w:rFonts w:cstheme="minorHAnsi"/>
          <w:sz w:val="24"/>
          <w:szCs w:val="24"/>
        </w:rPr>
        <w:t>Krishnan et al., 2015</w:t>
      </w:r>
      <w:bookmarkEnd w:id="13"/>
      <w:r w:rsidRPr="00D21F46">
        <w:rPr>
          <w:rFonts w:cstheme="minorHAnsi"/>
          <w:sz w:val="24"/>
          <w:szCs w:val="24"/>
        </w:rPr>
        <w:t>) and calcium sulfate scaffolds loaded with tobramycin (</w:t>
      </w:r>
      <w:bookmarkStart w:id="14" w:name="bb0050"/>
      <w:r w:rsidRPr="0045528F">
        <w:rPr>
          <w:rFonts w:cstheme="minorHAnsi"/>
          <w:sz w:val="24"/>
          <w:szCs w:val="24"/>
        </w:rPr>
        <w:t>Ferguson et al., 2014</w:t>
      </w:r>
      <w:bookmarkEnd w:id="14"/>
      <w:r w:rsidRPr="00D21F46">
        <w:rPr>
          <w:rFonts w:cstheme="minorHAnsi"/>
          <w:sz w:val="24"/>
          <w:szCs w:val="24"/>
        </w:rPr>
        <w:t>) are noticeable.</w:t>
      </w:r>
    </w:p>
    <w:p w14:paraId="13796416" w14:textId="2482A4E6" w:rsidR="00D21F46" w:rsidRPr="00D21F46" w:rsidRDefault="00D21F46" w:rsidP="00D21F46">
      <w:pPr>
        <w:rPr>
          <w:rFonts w:cstheme="minorHAnsi"/>
          <w:sz w:val="24"/>
          <w:szCs w:val="24"/>
        </w:rPr>
      </w:pPr>
      <w:r w:rsidRPr="00D21F46">
        <w:rPr>
          <w:rFonts w:cstheme="minorHAnsi"/>
          <w:sz w:val="24"/>
          <w:szCs w:val="24"/>
        </w:rPr>
        <w:t>In this study, bredigite (Ca</w:t>
      </w:r>
      <w:r w:rsidRPr="00D21F46">
        <w:rPr>
          <w:rFonts w:cstheme="minorHAnsi"/>
          <w:sz w:val="24"/>
          <w:szCs w:val="24"/>
          <w:vertAlign w:val="subscript"/>
        </w:rPr>
        <w:t>7</w:t>
      </w:r>
      <w:r w:rsidRPr="00D21F46">
        <w:rPr>
          <w:rFonts w:cstheme="minorHAnsi"/>
          <w:sz w:val="24"/>
          <w:szCs w:val="24"/>
        </w:rPr>
        <w:t>MgSi</w:t>
      </w:r>
      <w:r w:rsidRPr="00D21F46">
        <w:rPr>
          <w:rFonts w:cstheme="minorHAnsi"/>
          <w:sz w:val="24"/>
          <w:szCs w:val="24"/>
          <w:vertAlign w:val="subscript"/>
        </w:rPr>
        <w:t>4</w:t>
      </w:r>
      <w:r w:rsidRPr="00D21F46">
        <w:rPr>
          <w:rFonts w:cstheme="minorHAnsi"/>
          <w:sz w:val="24"/>
          <w:szCs w:val="24"/>
        </w:rPr>
        <w:t>O</w:t>
      </w:r>
      <w:r w:rsidRPr="00D21F46">
        <w:rPr>
          <w:rFonts w:cstheme="minorHAnsi"/>
          <w:sz w:val="24"/>
          <w:szCs w:val="24"/>
          <w:vertAlign w:val="subscript"/>
        </w:rPr>
        <w:t>16</w:t>
      </w:r>
      <w:r w:rsidRPr="00D21F46">
        <w:rPr>
          <w:rFonts w:cstheme="minorHAnsi"/>
          <w:sz w:val="24"/>
          <w:szCs w:val="24"/>
        </w:rPr>
        <w:t xml:space="preserve">) was chosen to fabricate the foundation of a dual-functional system with the aim of bone tissue regeneration and local drug delivery. From the viewpoint of mechanical properties, it is well-established that Mg-Ca silicates including bredigite are superior to </w:t>
      </w:r>
      <w:proofErr w:type="spellStart"/>
      <w:r w:rsidRPr="00D21F46">
        <w:rPr>
          <w:rFonts w:cstheme="minorHAnsi"/>
          <w:sz w:val="24"/>
          <w:szCs w:val="24"/>
        </w:rPr>
        <w:t>apatites</w:t>
      </w:r>
      <w:proofErr w:type="spellEnd"/>
      <w:r w:rsidRPr="00D21F46">
        <w:rPr>
          <w:rFonts w:cstheme="minorHAnsi"/>
          <w:sz w:val="24"/>
          <w:szCs w:val="24"/>
        </w:rPr>
        <w:t xml:space="preserve"> and </w:t>
      </w:r>
      <w:proofErr w:type="spellStart"/>
      <w:r w:rsidRPr="00D21F46">
        <w:rPr>
          <w:rFonts w:cstheme="minorHAnsi"/>
          <w:sz w:val="24"/>
          <w:szCs w:val="24"/>
        </w:rPr>
        <w:t>bioglasses</w:t>
      </w:r>
      <w:proofErr w:type="spellEnd"/>
      <w:r w:rsidRPr="00D21F46">
        <w:rPr>
          <w:rFonts w:cstheme="minorHAnsi"/>
          <w:sz w:val="24"/>
          <w:szCs w:val="24"/>
        </w:rPr>
        <w:t xml:space="preserve"> which are commonly used for implantation (</w:t>
      </w:r>
      <w:bookmarkStart w:id="15" w:name="bb0205"/>
      <w:r w:rsidRPr="0045528F">
        <w:rPr>
          <w:rFonts w:cstheme="minorHAnsi"/>
          <w:sz w:val="24"/>
          <w:szCs w:val="24"/>
        </w:rPr>
        <w:t>Schumacher et al., 2014</w:t>
      </w:r>
      <w:bookmarkEnd w:id="15"/>
      <w:r w:rsidRPr="00D21F46">
        <w:rPr>
          <w:rFonts w:cstheme="minorHAnsi"/>
          <w:sz w:val="24"/>
          <w:szCs w:val="24"/>
        </w:rPr>
        <w:t xml:space="preserve">, </w:t>
      </w:r>
      <w:bookmarkStart w:id="16" w:name="bb0265"/>
      <w:r w:rsidRPr="0045528F">
        <w:rPr>
          <w:rFonts w:cstheme="minorHAnsi"/>
          <w:sz w:val="24"/>
          <w:szCs w:val="24"/>
        </w:rPr>
        <w:t>Wu et al., 2007</w:t>
      </w:r>
      <w:r w:rsidRPr="00D21F46">
        <w:rPr>
          <w:rFonts w:cstheme="minorHAnsi"/>
          <w:sz w:val="24"/>
          <w:szCs w:val="24"/>
        </w:rPr>
        <w:t xml:space="preserve">). As well as the direct role of Ca in bone-related processes, the presence of Mg and Si in this group of </w:t>
      </w:r>
      <w:proofErr w:type="spellStart"/>
      <w:r w:rsidRPr="00D21F46">
        <w:rPr>
          <w:rFonts w:cstheme="minorHAnsi"/>
          <w:sz w:val="24"/>
          <w:szCs w:val="24"/>
        </w:rPr>
        <w:t>bioceramics</w:t>
      </w:r>
      <w:proofErr w:type="spellEnd"/>
      <w:r w:rsidRPr="00D21F46">
        <w:rPr>
          <w:rFonts w:cstheme="minorHAnsi"/>
          <w:sz w:val="24"/>
          <w:szCs w:val="24"/>
        </w:rPr>
        <w:t xml:space="preserve"> is beneficial for some cellular processes and human metabolism, including bone healing processes (</w:t>
      </w:r>
      <w:bookmarkStart w:id="17" w:name="bb0035"/>
      <w:proofErr w:type="spellStart"/>
      <w:r w:rsidRPr="0045528F">
        <w:rPr>
          <w:rFonts w:cstheme="minorHAnsi"/>
          <w:sz w:val="24"/>
          <w:szCs w:val="24"/>
        </w:rPr>
        <w:t>Diba</w:t>
      </w:r>
      <w:proofErr w:type="spellEnd"/>
      <w:r w:rsidRPr="0045528F">
        <w:rPr>
          <w:rFonts w:cstheme="minorHAnsi"/>
          <w:sz w:val="24"/>
          <w:szCs w:val="24"/>
        </w:rPr>
        <w:t xml:space="preserve"> et al., 2014</w:t>
      </w:r>
      <w:bookmarkEnd w:id="17"/>
      <w:r w:rsidRPr="00D21F46">
        <w:rPr>
          <w:rFonts w:cstheme="minorHAnsi"/>
          <w:sz w:val="24"/>
          <w:szCs w:val="24"/>
        </w:rPr>
        <w:t xml:space="preserve">, </w:t>
      </w:r>
      <w:bookmarkStart w:id="18" w:name="bb0040"/>
      <w:proofErr w:type="spellStart"/>
      <w:r w:rsidRPr="0045528F">
        <w:rPr>
          <w:rFonts w:cstheme="minorHAnsi"/>
          <w:sz w:val="24"/>
          <w:szCs w:val="24"/>
        </w:rPr>
        <w:t>Diba</w:t>
      </w:r>
      <w:proofErr w:type="spellEnd"/>
      <w:r w:rsidRPr="0045528F">
        <w:rPr>
          <w:rFonts w:cstheme="minorHAnsi"/>
          <w:sz w:val="24"/>
          <w:szCs w:val="24"/>
        </w:rPr>
        <w:t xml:space="preserve"> et al., 2012</w:t>
      </w:r>
      <w:bookmarkEnd w:id="18"/>
      <w:r w:rsidRPr="00D21F46">
        <w:rPr>
          <w:rFonts w:cstheme="minorHAnsi"/>
          <w:sz w:val="24"/>
          <w:szCs w:val="24"/>
        </w:rPr>
        <w:t>). In the orthorhombic structure of bredigite, the most abundant cation is Ca</w:t>
      </w:r>
      <w:r w:rsidRPr="00D21F46">
        <w:rPr>
          <w:rFonts w:cstheme="minorHAnsi"/>
          <w:sz w:val="24"/>
          <w:szCs w:val="24"/>
          <w:vertAlign w:val="superscript"/>
        </w:rPr>
        <w:t>2+</w:t>
      </w:r>
      <w:r w:rsidRPr="00D21F46">
        <w:rPr>
          <w:rFonts w:cstheme="minorHAnsi"/>
          <w:sz w:val="24"/>
          <w:szCs w:val="24"/>
        </w:rPr>
        <w:t xml:space="preserve">, which provides high </w:t>
      </w:r>
      <w:proofErr w:type="spellStart"/>
      <w:r w:rsidRPr="00D21F46">
        <w:rPr>
          <w:rFonts w:cstheme="minorHAnsi"/>
          <w:sz w:val="24"/>
          <w:szCs w:val="24"/>
        </w:rPr>
        <w:t>resorbability</w:t>
      </w:r>
      <w:proofErr w:type="spellEnd"/>
      <w:r w:rsidRPr="00D21F46">
        <w:rPr>
          <w:rFonts w:cstheme="minorHAnsi"/>
          <w:sz w:val="24"/>
          <w:szCs w:val="24"/>
        </w:rPr>
        <w:t xml:space="preserve"> due to the lower activation energy of Ca-O bond for hydrolysis than Mg-O bond (</w:t>
      </w:r>
      <w:bookmarkStart w:id="19" w:name="bb0255"/>
      <w:r w:rsidRPr="0045528F">
        <w:rPr>
          <w:rFonts w:cstheme="minorHAnsi"/>
          <w:sz w:val="24"/>
          <w:szCs w:val="24"/>
        </w:rPr>
        <w:t>Wu and Chang, 2007a</w:t>
      </w:r>
      <w:r w:rsidRPr="00D21F46">
        <w:rPr>
          <w:rFonts w:cstheme="minorHAnsi"/>
          <w:sz w:val="24"/>
          <w:szCs w:val="24"/>
        </w:rPr>
        <w:t xml:space="preserve">). Among the variety of antibiotics, vancomycin was also selected to treat osteomyelitis because this is a very active glycopeptide antibiotic against </w:t>
      </w:r>
      <w:r w:rsidRPr="00D21F46">
        <w:rPr>
          <w:rFonts w:cstheme="minorHAnsi"/>
          <w:i/>
          <w:iCs/>
          <w:sz w:val="24"/>
          <w:szCs w:val="24"/>
        </w:rPr>
        <w:t>staphylococcus aureus</w:t>
      </w:r>
      <w:r w:rsidRPr="00D21F46">
        <w:rPr>
          <w:rFonts w:cstheme="minorHAnsi"/>
          <w:sz w:val="24"/>
          <w:szCs w:val="24"/>
        </w:rPr>
        <w:t>. In addition, this has the least deleterious effect on the function of osteoblasts and skeletal cells compared to other antibiotics used in the treatment of osteomyelitis like ciprofloxacin and tobramycin (</w:t>
      </w:r>
      <w:bookmarkStart w:id="20" w:name="bb0010"/>
      <w:proofErr w:type="spellStart"/>
      <w:r w:rsidRPr="0045528F">
        <w:rPr>
          <w:rFonts w:cstheme="minorHAnsi"/>
          <w:sz w:val="24"/>
          <w:szCs w:val="24"/>
        </w:rPr>
        <w:t>Antoci</w:t>
      </w:r>
      <w:proofErr w:type="spellEnd"/>
      <w:r w:rsidRPr="0045528F">
        <w:rPr>
          <w:rFonts w:cstheme="minorHAnsi"/>
          <w:sz w:val="24"/>
          <w:szCs w:val="24"/>
        </w:rPr>
        <w:t xml:space="preserve"> et al., 2007</w:t>
      </w:r>
      <w:bookmarkEnd w:id="20"/>
      <w:r w:rsidRPr="00D21F46">
        <w:rPr>
          <w:rFonts w:cstheme="minorHAnsi"/>
          <w:sz w:val="24"/>
          <w:szCs w:val="24"/>
        </w:rPr>
        <w:t xml:space="preserve">, </w:t>
      </w:r>
      <w:bookmarkStart w:id="21" w:name="bb0045"/>
      <w:r w:rsidRPr="0045528F">
        <w:rPr>
          <w:rFonts w:cstheme="minorHAnsi"/>
          <w:sz w:val="24"/>
          <w:szCs w:val="24"/>
        </w:rPr>
        <w:t>Edin et al., 1996</w:t>
      </w:r>
      <w:bookmarkEnd w:id="21"/>
      <w:r w:rsidRPr="00D21F46">
        <w:rPr>
          <w:rFonts w:cstheme="minorHAnsi"/>
          <w:sz w:val="24"/>
          <w:szCs w:val="24"/>
        </w:rPr>
        <w:t>).</w:t>
      </w:r>
    </w:p>
    <w:p w14:paraId="33015531" w14:textId="11E0033A" w:rsidR="00D21F46" w:rsidRPr="00D21F46" w:rsidRDefault="00D21F46" w:rsidP="00D21F46">
      <w:pPr>
        <w:rPr>
          <w:rFonts w:cstheme="minorHAnsi"/>
          <w:sz w:val="24"/>
          <w:szCs w:val="24"/>
        </w:rPr>
      </w:pPr>
      <w:r w:rsidRPr="00D21F46">
        <w:rPr>
          <w:rFonts w:cstheme="minorHAnsi"/>
          <w:sz w:val="24"/>
          <w:szCs w:val="24"/>
        </w:rPr>
        <w:t>The adsorption of drugs on drug delivery devices with weak physical bonds like the van der Waals type, rather than a chemical interaction, gives rise to a burst release of the drug during implantation. This is disadvantageously accompanied by the release of the entire drug before controlling the infection and a detrimental effect on biocompatibility due to the high concentration of the drug around the surrounding tissue (</w:t>
      </w:r>
      <w:bookmarkStart w:id="22" w:name="bb0075"/>
      <w:r w:rsidRPr="0045528F">
        <w:rPr>
          <w:rFonts w:cstheme="minorHAnsi"/>
          <w:sz w:val="24"/>
          <w:szCs w:val="24"/>
        </w:rPr>
        <w:t xml:space="preserve">Huang and </w:t>
      </w:r>
      <w:proofErr w:type="spellStart"/>
      <w:r w:rsidRPr="0045528F">
        <w:rPr>
          <w:rFonts w:cstheme="minorHAnsi"/>
          <w:sz w:val="24"/>
          <w:szCs w:val="24"/>
        </w:rPr>
        <w:t>Brazel</w:t>
      </w:r>
      <w:proofErr w:type="spellEnd"/>
      <w:r w:rsidRPr="0045528F">
        <w:rPr>
          <w:rFonts w:cstheme="minorHAnsi"/>
          <w:sz w:val="24"/>
          <w:szCs w:val="24"/>
        </w:rPr>
        <w:t>, 2001</w:t>
      </w:r>
      <w:bookmarkEnd w:id="22"/>
      <w:r w:rsidRPr="00D21F46">
        <w:rPr>
          <w:rFonts w:cstheme="minorHAnsi"/>
          <w:sz w:val="24"/>
          <w:szCs w:val="24"/>
        </w:rPr>
        <w:t xml:space="preserve">). It is noticeable that in the treatment of osteomyelitis caused by </w:t>
      </w:r>
      <w:r w:rsidRPr="00D21F46">
        <w:rPr>
          <w:rFonts w:cstheme="minorHAnsi"/>
          <w:i/>
          <w:iCs/>
          <w:sz w:val="24"/>
          <w:szCs w:val="24"/>
        </w:rPr>
        <w:t>staphylococcus aureus</w:t>
      </w:r>
      <w:r w:rsidRPr="00D21F46">
        <w:rPr>
          <w:rFonts w:cstheme="minorHAnsi"/>
          <w:sz w:val="24"/>
          <w:szCs w:val="24"/>
        </w:rPr>
        <w:t>, vancomycin should be released continually through 4–6 weeks at concentrations exceeding the minimum inhibitory concentration (MIC, 0.75–2 </w:t>
      </w:r>
      <w:proofErr w:type="spellStart"/>
      <w:r w:rsidRPr="00D21F46">
        <w:rPr>
          <w:rFonts w:cstheme="minorHAnsi"/>
          <w:sz w:val="24"/>
          <w:szCs w:val="24"/>
        </w:rPr>
        <w:t>μg</w:t>
      </w:r>
      <w:proofErr w:type="spellEnd"/>
      <w:r w:rsidRPr="00D21F46">
        <w:rPr>
          <w:rFonts w:cstheme="minorHAnsi"/>
          <w:sz w:val="24"/>
          <w:szCs w:val="24"/>
        </w:rPr>
        <w:t>/ml) and minimum bactericidal concentration (MBC, 8 </w:t>
      </w:r>
      <w:proofErr w:type="spellStart"/>
      <w:r w:rsidRPr="00D21F46">
        <w:rPr>
          <w:rFonts w:cstheme="minorHAnsi"/>
          <w:sz w:val="24"/>
          <w:szCs w:val="24"/>
        </w:rPr>
        <w:t>μg</w:t>
      </w:r>
      <w:proofErr w:type="spellEnd"/>
      <w:r w:rsidRPr="00D21F46">
        <w:rPr>
          <w:rFonts w:cstheme="minorHAnsi"/>
          <w:sz w:val="24"/>
          <w:szCs w:val="24"/>
        </w:rPr>
        <w:t>/ml) (</w:t>
      </w:r>
      <w:bookmarkStart w:id="23" w:name="bb0030"/>
      <w:proofErr w:type="spellStart"/>
      <w:r w:rsidRPr="0045528F">
        <w:rPr>
          <w:rFonts w:cstheme="minorHAnsi"/>
          <w:sz w:val="24"/>
          <w:szCs w:val="24"/>
        </w:rPr>
        <w:t>Coudron</w:t>
      </w:r>
      <w:proofErr w:type="spellEnd"/>
      <w:r w:rsidRPr="0045528F">
        <w:rPr>
          <w:rFonts w:cstheme="minorHAnsi"/>
          <w:sz w:val="24"/>
          <w:szCs w:val="24"/>
        </w:rPr>
        <w:t xml:space="preserve"> et al., 1987</w:t>
      </w:r>
      <w:r w:rsidRPr="00D21F46">
        <w:rPr>
          <w:rFonts w:cstheme="minorHAnsi"/>
          <w:sz w:val="24"/>
          <w:szCs w:val="24"/>
        </w:rPr>
        <w:t xml:space="preserve">, </w:t>
      </w:r>
      <w:bookmarkStart w:id="24" w:name="bb0065"/>
      <w:r w:rsidRPr="0045528F">
        <w:rPr>
          <w:rFonts w:cstheme="minorHAnsi"/>
          <w:sz w:val="24"/>
          <w:szCs w:val="24"/>
        </w:rPr>
        <w:t xml:space="preserve">Gold and </w:t>
      </w:r>
      <w:proofErr w:type="spellStart"/>
      <w:r w:rsidRPr="0045528F">
        <w:rPr>
          <w:rFonts w:cstheme="minorHAnsi"/>
          <w:sz w:val="24"/>
          <w:szCs w:val="24"/>
        </w:rPr>
        <w:t>Moellering</w:t>
      </w:r>
      <w:proofErr w:type="spellEnd"/>
      <w:r w:rsidRPr="0045528F">
        <w:rPr>
          <w:rFonts w:cstheme="minorHAnsi"/>
          <w:sz w:val="24"/>
          <w:szCs w:val="24"/>
        </w:rPr>
        <w:t>, 1996</w:t>
      </w:r>
      <w:bookmarkEnd w:id="24"/>
      <w:r w:rsidRPr="00D21F46">
        <w:rPr>
          <w:rFonts w:cstheme="minorHAnsi"/>
          <w:sz w:val="24"/>
          <w:szCs w:val="24"/>
        </w:rPr>
        <w:t xml:space="preserve">, </w:t>
      </w:r>
      <w:bookmarkStart w:id="25" w:name="bb0145"/>
      <w:r w:rsidRPr="0045528F">
        <w:rPr>
          <w:rFonts w:cstheme="minorHAnsi"/>
          <w:sz w:val="24"/>
          <w:szCs w:val="24"/>
        </w:rPr>
        <w:t>Mason et al., 2009</w:t>
      </w:r>
      <w:r w:rsidRPr="00D21F46">
        <w:rPr>
          <w:rFonts w:cstheme="minorHAnsi"/>
          <w:sz w:val="24"/>
          <w:szCs w:val="24"/>
        </w:rPr>
        <w:t xml:space="preserve">). MIC is the minimal concentration of a drug which prevents the visible growth of a bacterium and MBC is the lowest antibacterial density necessary to kill the bacterium. On the other hand, the high </w:t>
      </w:r>
      <w:proofErr w:type="spellStart"/>
      <w:r w:rsidRPr="00D21F46">
        <w:rPr>
          <w:rFonts w:cstheme="minorHAnsi"/>
          <w:sz w:val="24"/>
          <w:szCs w:val="24"/>
        </w:rPr>
        <w:t>bioresorption</w:t>
      </w:r>
      <w:proofErr w:type="spellEnd"/>
      <w:r w:rsidRPr="00D21F46">
        <w:rPr>
          <w:rFonts w:cstheme="minorHAnsi"/>
          <w:sz w:val="24"/>
          <w:szCs w:val="24"/>
        </w:rPr>
        <w:t xml:space="preserve"> rate of bredigite leads to metabolic alkalosis due to the high concentration of alkaline ionic (Ca</w:t>
      </w:r>
      <w:r w:rsidRPr="00D21F46">
        <w:rPr>
          <w:rFonts w:cstheme="minorHAnsi"/>
          <w:sz w:val="24"/>
          <w:szCs w:val="24"/>
          <w:vertAlign w:val="superscript"/>
        </w:rPr>
        <w:t>2+</w:t>
      </w:r>
      <w:r w:rsidRPr="00D21F46">
        <w:rPr>
          <w:rFonts w:cstheme="minorHAnsi"/>
          <w:sz w:val="24"/>
          <w:szCs w:val="24"/>
        </w:rPr>
        <w:t xml:space="preserve"> and Mg</w:t>
      </w:r>
      <w:r w:rsidRPr="00D21F46">
        <w:rPr>
          <w:rFonts w:cstheme="minorHAnsi"/>
          <w:sz w:val="24"/>
          <w:szCs w:val="24"/>
          <w:vertAlign w:val="superscript"/>
        </w:rPr>
        <w:t>2+</w:t>
      </w:r>
      <w:r w:rsidRPr="00D21F46">
        <w:rPr>
          <w:rFonts w:cstheme="minorHAnsi"/>
          <w:sz w:val="24"/>
          <w:szCs w:val="24"/>
        </w:rPr>
        <w:t>) around the surrounding tissue followed by the reduction of hydrogen ions (H</w:t>
      </w:r>
      <w:r w:rsidRPr="00D21F46">
        <w:rPr>
          <w:rFonts w:cstheme="minorHAnsi"/>
          <w:sz w:val="24"/>
          <w:szCs w:val="24"/>
          <w:vertAlign w:val="superscript"/>
        </w:rPr>
        <w:t>+</w:t>
      </w:r>
      <w:r w:rsidRPr="00D21F46">
        <w:rPr>
          <w:rFonts w:cstheme="minorHAnsi"/>
          <w:sz w:val="24"/>
          <w:szCs w:val="24"/>
        </w:rPr>
        <w:t>) outside the normal range (</w:t>
      </w:r>
      <w:bookmarkStart w:id="26" w:name="bb0060"/>
      <w:proofErr w:type="spellStart"/>
      <w:r w:rsidRPr="0045528F">
        <w:rPr>
          <w:rFonts w:cstheme="minorHAnsi"/>
          <w:sz w:val="24"/>
          <w:szCs w:val="24"/>
        </w:rPr>
        <w:t>Galla</w:t>
      </w:r>
      <w:proofErr w:type="spellEnd"/>
      <w:r w:rsidRPr="0045528F">
        <w:rPr>
          <w:rFonts w:cstheme="minorHAnsi"/>
          <w:sz w:val="24"/>
          <w:szCs w:val="24"/>
        </w:rPr>
        <w:t>, 2000</w:t>
      </w:r>
      <w:bookmarkEnd w:id="26"/>
      <w:r w:rsidRPr="00D21F46">
        <w:rPr>
          <w:rFonts w:cstheme="minorHAnsi"/>
          <w:sz w:val="24"/>
          <w:szCs w:val="24"/>
        </w:rPr>
        <w:t>). The use of polymer coatings is a promising approach to control both the resorption rate of scaffolds and the drug release rate of these devices.</w:t>
      </w:r>
    </w:p>
    <w:p w14:paraId="552E114A" w14:textId="4369C5B5" w:rsidR="00D21F46" w:rsidRPr="00D21F46" w:rsidRDefault="00D21F46" w:rsidP="00D21F46">
      <w:pPr>
        <w:rPr>
          <w:rFonts w:cstheme="minorHAnsi"/>
          <w:sz w:val="24"/>
          <w:szCs w:val="24"/>
        </w:rPr>
      </w:pPr>
      <w:r w:rsidRPr="00D21F46">
        <w:rPr>
          <w:rFonts w:cstheme="minorHAnsi"/>
          <w:sz w:val="24"/>
          <w:szCs w:val="24"/>
        </w:rPr>
        <w:t xml:space="preserve">To the best of our knowledge, there are no reports in the literature on the use of bredigite scaffolds as the matrix of drugs, which is the subject of this work. In this regard, to control the burst release of vancomycin and high physiological pH caused by the fast </w:t>
      </w:r>
      <w:proofErr w:type="spellStart"/>
      <w:r w:rsidRPr="00D21F46">
        <w:rPr>
          <w:rFonts w:cstheme="minorHAnsi"/>
          <w:sz w:val="24"/>
          <w:szCs w:val="24"/>
        </w:rPr>
        <w:t>bioresorption</w:t>
      </w:r>
      <w:proofErr w:type="spellEnd"/>
      <w:r w:rsidRPr="00D21F46">
        <w:rPr>
          <w:rFonts w:cstheme="minorHAnsi"/>
          <w:sz w:val="24"/>
          <w:szCs w:val="24"/>
        </w:rPr>
        <w:t xml:space="preserve"> of bredigite, bredigite scaffolds were coated with poly lactic-co-glycolic acid (PLGA). PLGA is a biodegradable synthetic aliphatic polyester made from the monomers of polylactide (PLA) and polyglycolide (PGA) with successful consequences as coating for drug delivery and tissue-engineering applications (</w:t>
      </w:r>
      <w:bookmarkStart w:id="27" w:name="bb0020"/>
      <w:r w:rsidRPr="0045528F">
        <w:rPr>
          <w:rFonts w:cstheme="minorHAnsi"/>
          <w:sz w:val="24"/>
          <w:szCs w:val="24"/>
        </w:rPr>
        <w:t>Bose et al., 2018</w:t>
      </w:r>
      <w:bookmarkEnd w:id="27"/>
      <w:r w:rsidRPr="00D21F46">
        <w:rPr>
          <w:rFonts w:cstheme="minorHAnsi"/>
          <w:sz w:val="24"/>
          <w:szCs w:val="24"/>
        </w:rPr>
        <w:t xml:space="preserve">, </w:t>
      </w:r>
      <w:bookmarkStart w:id="28" w:name="bb0080"/>
      <w:proofErr w:type="spellStart"/>
      <w:r w:rsidRPr="0045528F">
        <w:rPr>
          <w:rFonts w:cstheme="minorHAnsi"/>
          <w:sz w:val="24"/>
          <w:szCs w:val="24"/>
        </w:rPr>
        <w:t>Jadidi</w:t>
      </w:r>
      <w:proofErr w:type="spellEnd"/>
      <w:r w:rsidRPr="0045528F">
        <w:rPr>
          <w:rFonts w:cstheme="minorHAnsi"/>
          <w:sz w:val="24"/>
          <w:szCs w:val="24"/>
        </w:rPr>
        <w:t xml:space="preserve"> and </w:t>
      </w:r>
      <w:proofErr w:type="spellStart"/>
      <w:r w:rsidRPr="0045528F">
        <w:rPr>
          <w:rFonts w:cstheme="minorHAnsi"/>
          <w:sz w:val="24"/>
          <w:szCs w:val="24"/>
        </w:rPr>
        <w:t>Salahinejad</w:t>
      </w:r>
      <w:proofErr w:type="spellEnd"/>
      <w:r w:rsidRPr="0045528F">
        <w:rPr>
          <w:rFonts w:cstheme="minorHAnsi"/>
          <w:sz w:val="24"/>
          <w:szCs w:val="24"/>
        </w:rPr>
        <w:t>, 2020</w:t>
      </w:r>
      <w:r w:rsidRPr="00D21F46">
        <w:rPr>
          <w:rFonts w:cstheme="minorHAnsi"/>
          <w:sz w:val="24"/>
          <w:szCs w:val="24"/>
        </w:rPr>
        <w:t xml:space="preserve">, </w:t>
      </w:r>
      <w:bookmarkStart w:id="29" w:name="bb0105"/>
      <w:proofErr w:type="spellStart"/>
      <w:r w:rsidRPr="0045528F">
        <w:rPr>
          <w:rFonts w:cstheme="minorHAnsi"/>
          <w:sz w:val="24"/>
          <w:szCs w:val="24"/>
        </w:rPr>
        <w:t>Khojasteh</w:t>
      </w:r>
      <w:proofErr w:type="spellEnd"/>
      <w:r w:rsidRPr="0045528F">
        <w:rPr>
          <w:rFonts w:cstheme="minorHAnsi"/>
          <w:sz w:val="24"/>
          <w:szCs w:val="24"/>
        </w:rPr>
        <w:t xml:space="preserve"> et al., 2016</w:t>
      </w:r>
      <w:bookmarkEnd w:id="29"/>
      <w:r w:rsidRPr="00D21F46">
        <w:rPr>
          <w:rFonts w:cstheme="minorHAnsi"/>
          <w:sz w:val="24"/>
          <w:szCs w:val="24"/>
        </w:rPr>
        <w:t xml:space="preserve">, </w:t>
      </w:r>
      <w:bookmarkStart w:id="30" w:name="bb0150"/>
      <w:proofErr w:type="spellStart"/>
      <w:r w:rsidRPr="0045528F">
        <w:rPr>
          <w:rFonts w:cstheme="minorHAnsi"/>
          <w:sz w:val="24"/>
          <w:szCs w:val="24"/>
        </w:rPr>
        <w:t>Maurmann</w:t>
      </w:r>
      <w:proofErr w:type="spellEnd"/>
      <w:r w:rsidRPr="0045528F">
        <w:rPr>
          <w:rFonts w:cstheme="minorHAnsi"/>
          <w:sz w:val="24"/>
          <w:szCs w:val="24"/>
        </w:rPr>
        <w:t xml:space="preserve"> et al., 2017</w:t>
      </w:r>
      <w:bookmarkEnd w:id="30"/>
      <w:r w:rsidRPr="00D21F46">
        <w:rPr>
          <w:rFonts w:cstheme="minorHAnsi"/>
          <w:sz w:val="24"/>
          <w:szCs w:val="24"/>
        </w:rPr>
        <w:t xml:space="preserve">, </w:t>
      </w:r>
      <w:bookmarkStart w:id="31" w:name="bb0165"/>
      <w:proofErr w:type="spellStart"/>
      <w:r w:rsidRPr="0045528F">
        <w:rPr>
          <w:rFonts w:cstheme="minorHAnsi"/>
          <w:sz w:val="24"/>
          <w:szCs w:val="24"/>
        </w:rPr>
        <w:t>Olalde</w:t>
      </w:r>
      <w:proofErr w:type="spellEnd"/>
      <w:r w:rsidRPr="0045528F">
        <w:rPr>
          <w:rFonts w:cstheme="minorHAnsi"/>
          <w:sz w:val="24"/>
          <w:szCs w:val="24"/>
        </w:rPr>
        <w:t xml:space="preserve"> et al., 2013</w:t>
      </w:r>
      <w:bookmarkEnd w:id="31"/>
      <w:r w:rsidRPr="00D21F46">
        <w:rPr>
          <w:rFonts w:cstheme="minorHAnsi"/>
          <w:sz w:val="24"/>
          <w:szCs w:val="24"/>
        </w:rPr>
        <w:t xml:space="preserve">, </w:t>
      </w:r>
      <w:bookmarkStart w:id="32" w:name="bb0235"/>
      <w:r w:rsidRPr="0045528F">
        <w:rPr>
          <w:rFonts w:cstheme="minorHAnsi"/>
          <w:sz w:val="24"/>
          <w:szCs w:val="24"/>
        </w:rPr>
        <w:t>Su et al., 2019</w:t>
      </w:r>
      <w:bookmarkEnd w:id="32"/>
      <w:r w:rsidRPr="00D21F46">
        <w:rPr>
          <w:rFonts w:cstheme="minorHAnsi"/>
          <w:sz w:val="24"/>
          <w:szCs w:val="24"/>
        </w:rPr>
        <w:t xml:space="preserve">, </w:t>
      </w:r>
      <w:bookmarkStart w:id="33" w:name="bb0290"/>
      <w:r w:rsidRPr="0045528F">
        <w:rPr>
          <w:rFonts w:cstheme="minorHAnsi"/>
          <w:sz w:val="24"/>
          <w:szCs w:val="24"/>
        </w:rPr>
        <w:t>Zamboni et al., 2017</w:t>
      </w:r>
      <w:bookmarkEnd w:id="33"/>
      <w:r w:rsidRPr="00D21F46">
        <w:rPr>
          <w:rFonts w:cstheme="minorHAnsi"/>
          <w:sz w:val="24"/>
          <w:szCs w:val="24"/>
        </w:rPr>
        <w:t>). Alternatively, polycaprolactone (PCL) is another polymer which has been extensively used for biomedical applications due to suitable biodegradability and nontoxicity (</w:t>
      </w:r>
      <w:bookmarkStart w:id="34" w:name="bb0180"/>
      <w:r w:rsidRPr="0045528F">
        <w:rPr>
          <w:rFonts w:cstheme="minorHAnsi"/>
          <w:sz w:val="24"/>
          <w:szCs w:val="24"/>
        </w:rPr>
        <w:t>Park et al., 2012</w:t>
      </w:r>
      <w:bookmarkEnd w:id="34"/>
      <w:r w:rsidRPr="00D21F46">
        <w:rPr>
          <w:rFonts w:cstheme="minorHAnsi"/>
          <w:sz w:val="24"/>
          <w:szCs w:val="24"/>
        </w:rPr>
        <w:t xml:space="preserve">). However, PCL with a considerable biostability is postulated to disadvantageously suppress the appropriate </w:t>
      </w:r>
      <w:proofErr w:type="spellStart"/>
      <w:r w:rsidRPr="00D21F46">
        <w:rPr>
          <w:rFonts w:cstheme="minorHAnsi"/>
          <w:sz w:val="24"/>
          <w:szCs w:val="24"/>
        </w:rPr>
        <w:t>bioresorbability</w:t>
      </w:r>
      <w:proofErr w:type="spellEnd"/>
      <w:r w:rsidRPr="00D21F46">
        <w:rPr>
          <w:rFonts w:cstheme="minorHAnsi"/>
          <w:sz w:val="24"/>
          <w:szCs w:val="24"/>
        </w:rPr>
        <w:t xml:space="preserve"> of bredigite. The use of PLGA is also hypothesized to buffer the metabolic alkalosis phenomenon caused by the fast </w:t>
      </w:r>
      <w:proofErr w:type="spellStart"/>
      <w:r w:rsidRPr="00D21F46">
        <w:rPr>
          <w:rFonts w:cstheme="minorHAnsi"/>
          <w:sz w:val="24"/>
          <w:szCs w:val="24"/>
        </w:rPr>
        <w:t>bioresorption</w:t>
      </w:r>
      <w:proofErr w:type="spellEnd"/>
      <w:r w:rsidRPr="00D21F46">
        <w:rPr>
          <w:rFonts w:cstheme="minorHAnsi"/>
          <w:sz w:val="24"/>
          <w:szCs w:val="24"/>
        </w:rPr>
        <w:t xml:space="preserve"> of bredigite (</w:t>
      </w:r>
      <w:proofErr w:type="spellStart"/>
      <w:r w:rsidRPr="0045528F">
        <w:rPr>
          <w:rFonts w:cstheme="minorHAnsi"/>
          <w:sz w:val="24"/>
          <w:szCs w:val="24"/>
        </w:rPr>
        <w:t>Jadidi</w:t>
      </w:r>
      <w:proofErr w:type="spellEnd"/>
      <w:r w:rsidRPr="0045528F">
        <w:rPr>
          <w:rFonts w:cstheme="minorHAnsi"/>
          <w:sz w:val="24"/>
          <w:szCs w:val="24"/>
        </w:rPr>
        <w:t xml:space="preserve"> and </w:t>
      </w:r>
      <w:proofErr w:type="spellStart"/>
      <w:r w:rsidRPr="0045528F">
        <w:rPr>
          <w:rFonts w:cstheme="minorHAnsi"/>
          <w:sz w:val="24"/>
          <w:szCs w:val="24"/>
        </w:rPr>
        <w:t>Salahinejad</w:t>
      </w:r>
      <w:proofErr w:type="spellEnd"/>
      <w:r w:rsidRPr="0045528F">
        <w:rPr>
          <w:rFonts w:cstheme="minorHAnsi"/>
          <w:sz w:val="24"/>
          <w:szCs w:val="24"/>
        </w:rPr>
        <w:t>, 2020</w:t>
      </w:r>
      <w:r w:rsidRPr="00D21F46">
        <w:rPr>
          <w:rFonts w:cstheme="minorHAnsi"/>
          <w:sz w:val="24"/>
          <w:szCs w:val="24"/>
        </w:rPr>
        <w:t xml:space="preserve">, </w:t>
      </w:r>
      <w:bookmarkStart w:id="35" w:name="bb0090"/>
      <w:proofErr w:type="spellStart"/>
      <w:r w:rsidRPr="0045528F">
        <w:rPr>
          <w:rFonts w:cstheme="minorHAnsi"/>
          <w:sz w:val="24"/>
          <w:szCs w:val="24"/>
        </w:rPr>
        <w:t>Keihan</w:t>
      </w:r>
      <w:proofErr w:type="spellEnd"/>
      <w:r w:rsidRPr="0045528F">
        <w:rPr>
          <w:rFonts w:cstheme="minorHAnsi"/>
          <w:sz w:val="24"/>
          <w:szCs w:val="24"/>
        </w:rPr>
        <w:t xml:space="preserve"> et al., 2020</w:t>
      </w:r>
      <w:bookmarkEnd w:id="35"/>
      <w:r w:rsidRPr="00D21F46">
        <w:rPr>
          <w:rFonts w:cstheme="minorHAnsi"/>
          <w:sz w:val="24"/>
          <w:szCs w:val="24"/>
        </w:rPr>
        <w:t>) since the degradation of this biopolymer acidifies the physiological medium (</w:t>
      </w:r>
      <w:bookmarkStart w:id="36" w:name="bb0295"/>
      <w:r w:rsidRPr="0045528F">
        <w:rPr>
          <w:rFonts w:cstheme="minorHAnsi"/>
          <w:sz w:val="24"/>
          <w:szCs w:val="24"/>
        </w:rPr>
        <w:t>Zhao et al., 2011</w:t>
      </w:r>
      <w:bookmarkEnd w:id="36"/>
      <w:r w:rsidRPr="00D21F46">
        <w:rPr>
          <w:rFonts w:cstheme="minorHAnsi"/>
          <w:sz w:val="24"/>
          <w:szCs w:val="24"/>
        </w:rPr>
        <w:t xml:space="preserve">, </w:t>
      </w:r>
      <w:bookmarkStart w:id="37" w:name="bb0300"/>
      <w:r w:rsidRPr="0045528F">
        <w:rPr>
          <w:rFonts w:cstheme="minorHAnsi"/>
          <w:sz w:val="24"/>
          <w:szCs w:val="24"/>
        </w:rPr>
        <w:t>Zhao et al., 2012</w:t>
      </w:r>
      <w:bookmarkEnd w:id="37"/>
      <w:r w:rsidRPr="00D21F46">
        <w:rPr>
          <w:rFonts w:cstheme="minorHAnsi"/>
          <w:sz w:val="24"/>
          <w:szCs w:val="24"/>
        </w:rPr>
        <w:t>).</w:t>
      </w:r>
    </w:p>
    <w:p w14:paraId="635A3193" w14:textId="77777777" w:rsidR="00D21F46" w:rsidRPr="00D21F46" w:rsidRDefault="00D21F46" w:rsidP="001107AE">
      <w:pPr>
        <w:pStyle w:val="Heading1"/>
      </w:pPr>
      <w:r w:rsidRPr="00D21F46">
        <w:t>2. Experimental procedures</w:t>
      </w:r>
    </w:p>
    <w:p w14:paraId="162CD19C" w14:textId="77777777" w:rsidR="00D21F46" w:rsidRPr="00D21F46" w:rsidRDefault="00D21F46" w:rsidP="001107AE">
      <w:pPr>
        <w:pStyle w:val="Heading2"/>
      </w:pPr>
      <w:r w:rsidRPr="00D21F46">
        <w:t>2.1. Materials</w:t>
      </w:r>
    </w:p>
    <w:p w14:paraId="50721527" w14:textId="77777777" w:rsidR="00D21F46" w:rsidRPr="00D21F46" w:rsidRDefault="00D21F46" w:rsidP="00D21F46">
      <w:pPr>
        <w:rPr>
          <w:rFonts w:cstheme="minorHAnsi"/>
          <w:sz w:val="24"/>
          <w:szCs w:val="24"/>
        </w:rPr>
      </w:pPr>
      <w:r w:rsidRPr="00D21F46">
        <w:rPr>
          <w:rFonts w:cstheme="minorHAnsi"/>
          <w:sz w:val="24"/>
          <w:szCs w:val="24"/>
        </w:rPr>
        <w:t>Tetraethyl orthosilicate ((C</w:t>
      </w:r>
      <w:r w:rsidRPr="00D21F46">
        <w:rPr>
          <w:rFonts w:cstheme="minorHAnsi"/>
          <w:sz w:val="24"/>
          <w:szCs w:val="24"/>
          <w:vertAlign w:val="subscript"/>
        </w:rPr>
        <w:t>2</w:t>
      </w:r>
      <w:r w:rsidRPr="00D21F46">
        <w:rPr>
          <w:rFonts w:cstheme="minorHAnsi"/>
          <w:sz w:val="24"/>
          <w:szCs w:val="24"/>
        </w:rPr>
        <w:t>H</w:t>
      </w:r>
      <w:r w:rsidRPr="00D21F46">
        <w:rPr>
          <w:rFonts w:cstheme="minorHAnsi"/>
          <w:sz w:val="24"/>
          <w:szCs w:val="24"/>
          <w:vertAlign w:val="subscript"/>
        </w:rPr>
        <w:t>5</w:t>
      </w:r>
      <w:r w:rsidRPr="00D21F46">
        <w:rPr>
          <w:rFonts w:cstheme="minorHAnsi"/>
          <w:sz w:val="24"/>
          <w:szCs w:val="24"/>
        </w:rPr>
        <w:t>O)</w:t>
      </w:r>
      <w:r w:rsidRPr="00D21F46">
        <w:rPr>
          <w:rFonts w:cstheme="minorHAnsi"/>
          <w:sz w:val="24"/>
          <w:szCs w:val="24"/>
          <w:vertAlign w:val="subscript"/>
        </w:rPr>
        <w:t>4</w:t>
      </w:r>
      <w:r w:rsidRPr="00D21F46">
        <w:rPr>
          <w:rFonts w:cstheme="minorHAnsi"/>
          <w:sz w:val="24"/>
          <w:szCs w:val="24"/>
        </w:rPr>
        <w:t>Si, TEOS, Merck, Germany, Purity &gt; 98%), magnesium nitrate hexahydrate (</w:t>
      </w:r>
      <w:proofErr w:type="gramStart"/>
      <w:r w:rsidRPr="00D21F46">
        <w:rPr>
          <w:rFonts w:cstheme="minorHAnsi"/>
          <w:sz w:val="24"/>
          <w:szCs w:val="24"/>
        </w:rPr>
        <w:t>Mg(</w:t>
      </w:r>
      <w:proofErr w:type="gramEnd"/>
      <w:r w:rsidRPr="00D21F46">
        <w:rPr>
          <w:rFonts w:cstheme="minorHAnsi"/>
          <w:sz w:val="24"/>
          <w:szCs w:val="24"/>
        </w:rPr>
        <w:t>NO</w:t>
      </w:r>
      <w:r w:rsidRPr="00D21F46">
        <w:rPr>
          <w:rFonts w:cstheme="minorHAnsi"/>
          <w:sz w:val="24"/>
          <w:szCs w:val="24"/>
          <w:vertAlign w:val="subscript"/>
        </w:rPr>
        <w:t>3</w:t>
      </w:r>
      <w:r w:rsidRPr="00D21F46">
        <w:rPr>
          <w:rFonts w:cstheme="minorHAnsi"/>
          <w:sz w:val="24"/>
          <w:szCs w:val="24"/>
        </w:rPr>
        <w:t>)</w:t>
      </w:r>
      <w:r w:rsidRPr="00D21F46">
        <w:rPr>
          <w:rFonts w:cstheme="minorHAnsi"/>
          <w:sz w:val="24"/>
          <w:szCs w:val="24"/>
          <w:vertAlign w:val="subscript"/>
        </w:rPr>
        <w:t>2</w:t>
      </w:r>
      <w:r w:rsidRPr="00D21F46">
        <w:rPr>
          <w:rFonts w:cstheme="minorHAnsi"/>
          <w:sz w:val="24"/>
          <w:szCs w:val="24"/>
        </w:rPr>
        <w:t>·6H</w:t>
      </w:r>
      <w:r w:rsidRPr="00D21F46">
        <w:rPr>
          <w:rFonts w:cstheme="minorHAnsi"/>
          <w:sz w:val="24"/>
          <w:szCs w:val="24"/>
          <w:vertAlign w:val="subscript"/>
        </w:rPr>
        <w:t>2</w:t>
      </w:r>
      <w:r w:rsidRPr="00D21F46">
        <w:rPr>
          <w:rFonts w:cstheme="minorHAnsi"/>
          <w:sz w:val="24"/>
          <w:szCs w:val="24"/>
        </w:rPr>
        <w:t>O, Merck, Germany, Purity &gt; 98%), calcium nitrate tetrahydrate (Ca(NO</w:t>
      </w:r>
      <w:r w:rsidRPr="00D21F46">
        <w:rPr>
          <w:rFonts w:cstheme="minorHAnsi"/>
          <w:sz w:val="24"/>
          <w:szCs w:val="24"/>
          <w:vertAlign w:val="subscript"/>
        </w:rPr>
        <w:t>3</w:t>
      </w:r>
      <w:r w:rsidRPr="00D21F46">
        <w:rPr>
          <w:rFonts w:cstheme="minorHAnsi"/>
          <w:sz w:val="24"/>
          <w:szCs w:val="24"/>
        </w:rPr>
        <w:t>)</w:t>
      </w:r>
      <w:r w:rsidRPr="00D21F46">
        <w:rPr>
          <w:rFonts w:cstheme="minorHAnsi"/>
          <w:sz w:val="24"/>
          <w:szCs w:val="24"/>
          <w:vertAlign w:val="subscript"/>
        </w:rPr>
        <w:t>2</w:t>
      </w:r>
      <w:r w:rsidRPr="00D21F46">
        <w:rPr>
          <w:rFonts w:cstheme="minorHAnsi"/>
          <w:sz w:val="24"/>
          <w:szCs w:val="24"/>
        </w:rPr>
        <w:t>·4H</w:t>
      </w:r>
      <w:r w:rsidRPr="00D21F46">
        <w:rPr>
          <w:rFonts w:cstheme="minorHAnsi"/>
          <w:sz w:val="24"/>
          <w:szCs w:val="24"/>
          <w:vertAlign w:val="subscript"/>
        </w:rPr>
        <w:t>2</w:t>
      </w:r>
      <w:r w:rsidRPr="00D21F46">
        <w:rPr>
          <w:rFonts w:cstheme="minorHAnsi"/>
          <w:sz w:val="24"/>
          <w:szCs w:val="24"/>
        </w:rPr>
        <w:t>O, Merck, Germany, Purity &gt; 98%), and nitric acid (HNO</w:t>
      </w:r>
      <w:r w:rsidRPr="00D21F46">
        <w:rPr>
          <w:rFonts w:cstheme="minorHAnsi"/>
          <w:sz w:val="24"/>
          <w:szCs w:val="24"/>
          <w:vertAlign w:val="subscript"/>
        </w:rPr>
        <w:t>3</w:t>
      </w:r>
      <w:r w:rsidRPr="00D21F46">
        <w:rPr>
          <w:rFonts w:cstheme="minorHAnsi"/>
          <w:sz w:val="24"/>
          <w:szCs w:val="24"/>
        </w:rPr>
        <w:t>, 2 M, Merck, Germany) were used for the sol–gel synthesis of bredigite. The drug and coating materials were vancomycin hydrochloride (C</w:t>
      </w:r>
      <w:r w:rsidRPr="00D21F46">
        <w:rPr>
          <w:rFonts w:cstheme="minorHAnsi"/>
          <w:sz w:val="24"/>
          <w:szCs w:val="24"/>
          <w:vertAlign w:val="subscript"/>
        </w:rPr>
        <w:t>66</w:t>
      </w:r>
      <w:r w:rsidRPr="00D21F46">
        <w:rPr>
          <w:rFonts w:cstheme="minorHAnsi"/>
          <w:sz w:val="24"/>
          <w:szCs w:val="24"/>
        </w:rPr>
        <w:t>H</w:t>
      </w:r>
      <w:r w:rsidRPr="00D21F46">
        <w:rPr>
          <w:rFonts w:cstheme="minorHAnsi"/>
          <w:sz w:val="24"/>
          <w:szCs w:val="24"/>
          <w:vertAlign w:val="subscript"/>
        </w:rPr>
        <w:t>75</w:t>
      </w:r>
      <w:r w:rsidRPr="00D21F46">
        <w:rPr>
          <w:rFonts w:cstheme="minorHAnsi"/>
          <w:sz w:val="24"/>
          <w:szCs w:val="24"/>
        </w:rPr>
        <w:t>Cl</w:t>
      </w:r>
      <w:r w:rsidRPr="00D21F46">
        <w:rPr>
          <w:rFonts w:cstheme="minorHAnsi"/>
          <w:sz w:val="24"/>
          <w:szCs w:val="24"/>
          <w:vertAlign w:val="subscript"/>
        </w:rPr>
        <w:t>2</w:t>
      </w:r>
      <w:r w:rsidRPr="00D21F46">
        <w:rPr>
          <w:rFonts w:cstheme="minorHAnsi"/>
          <w:sz w:val="24"/>
          <w:szCs w:val="24"/>
        </w:rPr>
        <w:t>N</w:t>
      </w:r>
      <w:r w:rsidRPr="00D21F46">
        <w:rPr>
          <w:rFonts w:cstheme="minorHAnsi"/>
          <w:sz w:val="24"/>
          <w:szCs w:val="24"/>
          <w:vertAlign w:val="subscript"/>
        </w:rPr>
        <w:t>9</w:t>
      </w:r>
      <w:r w:rsidRPr="00D21F46">
        <w:rPr>
          <w:rFonts w:cstheme="minorHAnsi"/>
          <w:sz w:val="24"/>
          <w:szCs w:val="24"/>
        </w:rPr>
        <w:t>O</w:t>
      </w:r>
      <w:r w:rsidRPr="00D21F46">
        <w:rPr>
          <w:rFonts w:cstheme="minorHAnsi"/>
          <w:sz w:val="24"/>
          <w:szCs w:val="24"/>
          <w:vertAlign w:val="subscript"/>
        </w:rPr>
        <w:t>24</w:t>
      </w:r>
      <w:r w:rsidRPr="00D21F46">
        <w:rPr>
          <w:rFonts w:cstheme="minorHAnsi"/>
          <w:sz w:val="24"/>
          <w:szCs w:val="24"/>
        </w:rPr>
        <w:t>, Sigma Aldrich) and PLGA (5004A, lactide/</w:t>
      </w:r>
      <w:proofErr w:type="spellStart"/>
      <w:r w:rsidRPr="00D21F46">
        <w:rPr>
          <w:rFonts w:cstheme="minorHAnsi"/>
          <w:sz w:val="24"/>
          <w:szCs w:val="24"/>
        </w:rPr>
        <w:t>glycolide</w:t>
      </w:r>
      <w:proofErr w:type="spellEnd"/>
      <w:r w:rsidRPr="00D21F46">
        <w:rPr>
          <w:rFonts w:cstheme="minorHAnsi"/>
          <w:sz w:val="24"/>
          <w:szCs w:val="24"/>
        </w:rPr>
        <w:t xml:space="preserve"> ratio of 50:50, molecular weight = 44 </w:t>
      </w:r>
      <w:proofErr w:type="spellStart"/>
      <w:r w:rsidRPr="00D21F46">
        <w:rPr>
          <w:rFonts w:cstheme="minorHAnsi"/>
          <w:sz w:val="24"/>
          <w:szCs w:val="24"/>
        </w:rPr>
        <w:t>kDa</w:t>
      </w:r>
      <w:proofErr w:type="spellEnd"/>
      <w:r w:rsidRPr="00D21F46">
        <w:rPr>
          <w:rFonts w:cstheme="minorHAnsi"/>
          <w:sz w:val="24"/>
          <w:szCs w:val="24"/>
        </w:rPr>
        <w:t>, acid-terminated, acid number: min 3 mg KOH/g, Corbion, Netherlands), respectively.</w:t>
      </w:r>
    </w:p>
    <w:p w14:paraId="43A25DF2" w14:textId="77777777" w:rsidR="00D21F46" w:rsidRPr="00D21F46" w:rsidRDefault="00D21F46" w:rsidP="001107AE">
      <w:pPr>
        <w:pStyle w:val="Heading2"/>
      </w:pPr>
      <w:r w:rsidRPr="00D21F46">
        <w:t>2.2. Synthesis of powder used for scaffolding</w:t>
      </w:r>
    </w:p>
    <w:p w14:paraId="46FAF284" w14:textId="386C1439" w:rsidR="00D21F46" w:rsidRPr="00D21F46" w:rsidRDefault="00D21F46" w:rsidP="00D21F46">
      <w:pPr>
        <w:rPr>
          <w:rFonts w:cstheme="minorHAnsi"/>
          <w:sz w:val="24"/>
          <w:szCs w:val="24"/>
        </w:rPr>
      </w:pPr>
      <w:r w:rsidRPr="00D21F46">
        <w:rPr>
          <w:rFonts w:cstheme="minorHAnsi"/>
          <w:sz w:val="24"/>
          <w:szCs w:val="24"/>
        </w:rPr>
        <w:t xml:space="preserve">A sol–gel technique </w:t>
      </w:r>
      <w:proofErr w:type="gramStart"/>
      <w:r w:rsidRPr="00D21F46">
        <w:rPr>
          <w:rFonts w:cstheme="minorHAnsi"/>
          <w:sz w:val="24"/>
          <w:szCs w:val="24"/>
        </w:rPr>
        <w:t>similar to</w:t>
      </w:r>
      <w:proofErr w:type="gramEnd"/>
      <w:r w:rsidRPr="00D21F46">
        <w:rPr>
          <w:rFonts w:cstheme="minorHAnsi"/>
          <w:sz w:val="24"/>
          <w:szCs w:val="24"/>
        </w:rPr>
        <w:t xml:space="preserve"> Refs. (</w:t>
      </w:r>
      <w:proofErr w:type="spellStart"/>
      <w:r w:rsidRPr="0045528F">
        <w:rPr>
          <w:rFonts w:cstheme="minorHAnsi"/>
          <w:sz w:val="24"/>
          <w:szCs w:val="24"/>
        </w:rPr>
        <w:t>Jadidi</w:t>
      </w:r>
      <w:proofErr w:type="spellEnd"/>
      <w:r w:rsidRPr="0045528F">
        <w:rPr>
          <w:rFonts w:cstheme="minorHAnsi"/>
          <w:sz w:val="24"/>
          <w:szCs w:val="24"/>
        </w:rPr>
        <w:t xml:space="preserve"> and </w:t>
      </w:r>
      <w:proofErr w:type="spellStart"/>
      <w:r w:rsidRPr="0045528F">
        <w:rPr>
          <w:rFonts w:cstheme="minorHAnsi"/>
          <w:sz w:val="24"/>
          <w:szCs w:val="24"/>
        </w:rPr>
        <w:t>Salahinejad</w:t>
      </w:r>
      <w:proofErr w:type="spellEnd"/>
      <w:r w:rsidRPr="0045528F">
        <w:rPr>
          <w:rFonts w:cstheme="minorHAnsi"/>
          <w:sz w:val="24"/>
          <w:szCs w:val="24"/>
        </w:rPr>
        <w:t>, 2020</w:t>
      </w:r>
      <w:r w:rsidRPr="00D21F46">
        <w:rPr>
          <w:rFonts w:cstheme="minorHAnsi"/>
          <w:sz w:val="24"/>
          <w:szCs w:val="24"/>
        </w:rPr>
        <w:t xml:space="preserve">, </w:t>
      </w:r>
      <w:bookmarkStart w:id="38" w:name="bb0260"/>
      <w:r w:rsidRPr="0045528F">
        <w:rPr>
          <w:rFonts w:cstheme="minorHAnsi"/>
          <w:sz w:val="24"/>
          <w:szCs w:val="24"/>
        </w:rPr>
        <w:t>Wu and Chang, 2007b</w:t>
      </w:r>
      <w:r w:rsidRPr="00D21F46">
        <w:rPr>
          <w:rFonts w:cstheme="minorHAnsi"/>
          <w:sz w:val="24"/>
          <w:szCs w:val="24"/>
        </w:rPr>
        <w:t xml:space="preserve">, </w:t>
      </w:r>
      <w:r w:rsidRPr="0045528F">
        <w:rPr>
          <w:rFonts w:cstheme="minorHAnsi"/>
          <w:sz w:val="24"/>
          <w:szCs w:val="24"/>
        </w:rPr>
        <w:t>Wu et al., 2007</w:t>
      </w:r>
      <w:r w:rsidRPr="00D21F46">
        <w:rPr>
          <w:rFonts w:cstheme="minorHAnsi"/>
          <w:sz w:val="24"/>
          <w:szCs w:val="24"/>
        </w:rPr>
        <w:t>) was used for the synthesis of bredigite. For the preparation of 1.000 g bredigite powder, 1.000 ml TEOS, 0.651 ml distilled water and 0.361 ml nitric acid were stirred at room temperature for 30 min. Thereafter, 0.289 g magnesium nitrate hexahydrate and 1.864 g calcium nitrate tetrahydrate were added to the solution and again stirred for 5 h. The solution was then maintained at 60 °C for 1 day, dried at 120 °C for 2 days and calcined at 700 °C for 3 h.</w:t>
      </w:r>
    </w:p>
    <w:p w14:paraId="2436977C" w14:textId="77777777" w:rsidR="00D21F46" w:rsidRPr="00D21F46" w:rsidRDefault="00D21F46" w:rsidP="001107AE">
      <w:pPr>
        <w:pStyle w:val="Heading2"/>
      </w:pPr>
      <w:r w:rsidRPr="00D21F46">
        <w:t>2.3. Fabrication of bredigite scaffolds</w:t>
      </w:r>
    </w:p>
    <w:p w14:paraId="5D5E283E" w14:textId="74D65FEE" w:rsidR="00D21F46" w:rsidRPr="00D21F46" w:rsidRDefault="00D21F46" w:rsidP="00D21F46">
      <w:pPr>
        <w:rPr>
          <w:rFonts w:cstheme="minorHAnsi"/>
          <w:sz w:val="24"/>
          <w:szCs w:val="24"/>
        </w:rPr>
      </w:pPr>
      <w:proofErr w:type="gramStart"/>
      <w:r w:rsidRPr="00D21F46">
        <w:rPr>
          <w:rFonts w:cstheme="minorHAnsi"/>
          <w:sz w:val="24"/>
          <w:szCs w:val="24"/>
        </w:rPr>
        <w:t>In order to</w:t>
      </w:r>
      <w:proofErr w:type="gramEnd"/>
      <w:r w:rsidRPr="00D21F46">
        <w:rPr>
          <w:rFonts w:cstheme="minorHAnsi"/>
          <w:sz w:val="24"/>
          <w:szCs w:val="24"/>
        </w:rPr>
        <w:t xml:space="preserve"> fabricate bredigite scaffolds, the sacrificial foam replication method was employed. For this purpose, the calcined powder was suspended in a sodium alginate aqueous solution (3% w/w) with the bredigite/sodium alginate solution mass ratio of 1:3 under sonication for 3 min. Polyurethane foam templates (density: 25 </w:t>
      </w:r>
      <w:proofErr w:type="spellStart"/>
      <w:r w:rsidRPr="00D21F46">
        <w:rPr>
          <w:rFonts w:cstheme="minorHAnsi"/>
          <w:sz w:val="24"/>
          <w:szCs w:val="24"/>
        </w:rPr>
        <w:t>ppi</w:t>
      </w:r>
      <w:proofErr w:type="spellEnd"/>
      <w:r w:rsidRPr="00D21F46">
        <w:rPr>
          <w:rFonts w:cstheme="minorHAnsi"/>
          <w:sz w:val="24"/>
          <w:szCs w:val="24"/>
        </w:rPr>
        <w:t>, porosity &gt; 97%) were cut in a dimension ~10 × 10 × 10 mm</w:t>
      </w:r>
      <w:r w:rsidRPr="00D21F46">
        <w:rPr>
          <w:rFonts w:cstheme="minorHAnsi"/>
          <w:sz w:val="24"/>
          <w:szCs w:val="24"/>
          <w:vertAlign w:val="superscript"/>
        </w:rPr>
        <w:t>3</w:t>
      </w:r>
      <w:r w:rsidRPr="00D21F46">
        <w:rPr>
          <w:rFonts w:cstheme="minorHAnsi"/>
          <w:sz w:val="24"/>
          <w:szCs w:val="24"/>
        </w:rPr>
        <w:t>, immersed in a glass beaker containing the bredigite slurry and then forced by a compressed air flow to eliminate the extra slurry. After drying at 60 °C for 12 h, the impregnated foams were heated at 300 °C for 1 h for the removal of the urethane struts and then at 1350 °C for 3 h for sintering at the heating rate of 3 °C/min. X-ray diffraction analyses have previously confirmed the successful synthesis of bredigite via this processing route (</w:t>
      </w:r>
      <w:proofErr w:type="spellStart"/>
      <w:r w:rsidRPr="0045528F">
        <w:rPr>
          <w:rFonts w:cstheme="minorHAnsi"/>
          <w:sz w:val="24"/>
          <w:szCs w:val="24"/>
        </w:rPr>
        <w:t>Jadidi</w:t>
      </w:r>
      <w:proofErr w:type="spellEnd"/>
      <w:r w:rsidRPr="0045528F">
        <w:rPr>
          <w:rFonts w:cstheme="minorHAnsi"/>
          <w:sz w:val="24"/>
          <w:szCs w:val="24"/>
        </w:rPr>
        <w:t xml:space="preserve"> and </w:t>
      </w:r>
      <w:proofErr w:type="spellStart"/>
      <w:r w:rsidRPr="0045528F">
        <w:rPr>
          <w:rFonts w:cstheme="minorHAnsi"/>
          <w:sz w:val="24"/>
          <w:szCs w:val="24"/>
        </w:rPr>
        <w:t>Salahinejad</w:t>
      </w:r>
      <w:proofErr w:type="spellEnd"/>
      <w:r w:rsidRPr="0045528F">
        <w:rPr>
          <w:rFonts w:cstheme="minorHAnsi"/>
          <w:sz w:val="24"/>
          <w:szCs w:val="24"/>
        </w:rPr>
        <w:t>, 2020</w:t>
      </w:r>
      <w:r w:rsidRPr="00D21F46">
        <w:rPr>
          <w:rFonts w:cstheme="minorHAnsi"/>
          <w:sz w:val="24"/>
          <w:szCs w:val="24"/>
        </w:rPr>
        <w:t xml:space="preserve">, </w:t>
      </w:r>
      <w:r w:rsidRPr="0045528F">
        <w:rPr>
          <w:rFonts w:cstheme="minorHAnsi"/>
          <w:sz w:val="24"/>
          <w:szCs w:val="24"/>
        </w:rPr>
        <w:t>Wu and Chang, 2007b</w:t>
      </w:r>
      <w:bookmarkEnd w:id="38"/>
      <w:r w:rsidRPr="00D21F46">
        <w:rPr>
          <w:rFonts w:cstheme="minorHAnsi"/>
          <w:sz w:val="24"/>
          <w:szCs w:val="24"/>
        </w:rPr>
        <w:t xml:space="preserve">, </w:t>
      </w:r>
      <w:r w:rsidRPr="0045528F">
        <w:rPr>
          <w:rFonts w:cstheme="minorHAnsi"/>
          <w:sz w:val="24"/>
          <w:szCs w:val="24"/>
        </w:rPr>
        <w:t>Wu et al., 2007</w:t>
      </w:r>
      <w:bookmarkEnd w:id="16"/>
      <w:r w:rsidRPr="00D21F46">
        <w:rPr>
          <w:rFonts w:cstheme="minorHAnsi"/>
          <w:sz w:val="24"/>
          <w:szCs w:val="24"/>
        </w:rPr>
        <w:t>).</w:t>
      </w:r>
    </w:p>
    <w:p w14:paraId="003AB535" w14:textId="77777777" w:rsidR="00D21F46" w:rsidRPr="00D21F46" w:rsidRDefault="00D21F46" w:rsidP="001107AE">
      <w:pPr>
        <w:pStyle w:val="Heading2"/>
      </w:pPr>
      <w:r w:rsidRPr="00D21F46">
        <w:t>2.4. Drug loading in scaffolds</w:t>
      </w:r>
    </w:p>
    <w:p w14:paraId="67466E32" w14:textId="77777777" w:rsidR="00D21F46" w:rsidRPr="00D21F46" w:rsidRDefault="00D21F46" w:rsidP="00D21F46">
      <w:pPr>
        <w:rPr>
          <w:rFonts w:cstheme="minorHAnsi"/>
          <w:sz w:val="24"/>
          <w:szCs w:val="24"/>
        </w:rPr>
      </w:pPr>
      <w:r w:rsidRPr="00D21F46">
        <w:rPr>
          <w:rFonts w:cstheme="minorHAnsi"/>
          <w:sz w:val="24"/>
          <w:szCs w:val="24"/>
        </w:rPr>
        <w:t>For the drug loading into the scaffolds, vancomycin hydrochloride was dissolved in distilled water with the concentration of 0.31 mg/ml. The scaffolds were maintained in the vancomycin solution with the ratio of 5 mg/ml for 24 h and then dried in air for 24 h.</w:t>
      </w:r>
    </w:p>
    <w:p w14:paraId="13FE59FF" w14:textId="77777777" w:rsidR="00D21F46" w:rsidRPr="00D21F46" w:rsidRDefault="00D21F46" w:rsidP="001107AE">
      <w:pPr>
        <w:pStyle w:val="Heading2"/>
      </w:pPr>
      <w:r w:rsidRPr="00D21F46">
        <w:t>2.5. PLGA coating of scaffolds</w:t>
      </w:r>
    </w:p>
    <w:p w14:paraId="1FCF47BB" w14:textId="77777777" w:rsidR="00D21F46" w:rsidRPr="00D21F46" w:rsidRDefault="00D21F46" w:rsidP="00D21F46">
      <w:pPr>
        <w:rPr>
          <w:rFonts w:cstheme="minorHAnsi"/>
          <w:sz w:val="24"/>
          <w:szCs w:val="24"/>
        </w:rPr>
      </w:pPr>
      <w:r w:rsidRPr="00D21F46">
        <w:rPr>
          <w:rFonts w:cstheme="minorHAnsi"/>
          <w:sz w:val="24"/>
          <w:szCs w:val="24"/>
        </w:rPr>
        <w:t>For the PLGA coating of the vancomycin-loaded scaffolds, 5 and 10% w/v solutions of PLGA and acetone were prepared at room temperature. Thereafter, the scaffolds were dipped into 10 ml of the PLGA solution for 3 sec and dried at 60 °C for 2 h for the solvent removal.</w:t>
      </w:r>
    </w:p>
    <w:p w14:paraId="6DFF9E55" w14:textId="77777777" w:rsidR="00D21F46" w:rsidRPr="00D21F46" w:rsidRDefault="00D21F46" w:rsidP="001107AE">
      <w:pPr>
        <w:pStyle w:val="Heading2"/>
      </w:pPr>
      <w:r w:rsidRPr="00D21F46">
        <w:t>2.6. Structural characterization</w:t>
      </w:r>
    </w:p>
    <w:p w14:paraId="026A1513" w14:textId="7DAC0251" w:rsidR="00D21F46" w:rsidRPr="00D21F46" w:rsidRDefault="00D21F46" w:rsidP="00D21F46">
      <w:pPr>
        <w:rPr>
          <w:rFonts w:cstheme="minorHAnsi"/>
          <w:sz w:val="24"/>
          <w:szCs w:val="24"/>
        </w:rPr>
      </w:pPr>
      <w:r w:rsidRPr="00D21F46">
        <w:rPr>
          <w:rFonts w:cstheme="minorHAnsi"/>
          <w:sz w:val="24"/>
          <w:szCs w:val="24"/>
        </w:rPr>
        <w:t xml:space="preserve">The morphology of the samples was analyzed by field emission scanning electron microscopy (FESEM, MIRA3 TESCAN, Czech Republic, accelerating voltage = 15 kV) after gold sputtering. </w:t>
      </w:r>
      <w:proofErr w:type="spellStart"/>
      <w:r w:rsidRPr="00D21F46">
        <w:rPr>
          <w:rFonts w:cstheme="minorHAnsi"/>
          <w:sz w:val="24"/>
          <w:szCs w:val="24"/>
        </w:rPr>
        <w:t>Porosimetry</w:t>
      </w:r>
      <w:proofErr w:type="spellEnd"/>
      <w:r w:rsidRPr="00D21F46">
        <w:rPr>
          <w:rFonts w:cstheme="minorHAnsi"/>
          <w:sz w:val="24"/>
          <w:szCs w:val="24"/>
        </w:rPr>
        <w:t xml:space="preserve"> was also performed using the water Archimedes method, according to the following formula (</w:t>
      </w:r>
      <w:bookmarkStart w:id="39" w:name="bb0160"/>
      <w:proofErr w:type="spellStart"/>
      <w:r w:rsidRPr="0045528F">
        <w:rPr>
          <w:rFonts w:cstheme="minorHAnsi"/>
          <w:sz w:val="24"/>
          <w:szCs w:val="24"/>
        </w:rPr>
        <w:t>Mirhadi</w:t>
      </w:r>
      <w:proofErr w:type="spellEnd"/>
      <w:r w:rsidRPr="0045528F">
        <w:rPr>
          <w:rFonts w:cstheme="minorHAnsi"/>
          <w:sz w:val="24"/>
          <w:szCs w:val="24"/>
        </w:rPr>
        <w:t xml:space="preserve"> et al., </w:t>
      </w:r>
      <w:proofErr w:type="gramStart"/>
      <w:r w:rsidRPr="0045528F">
        <w:rPr>
          <w:rFonts w:cstheme="minorHAnsi"/>
          <w:sz w:val="24"/>
          <w:szCs w:val="24"/>
        </w:rPr>
        <w:t>2012</w:t>
      </w:r>
      <w:r w:rsidRPr="00D21F46">
        <w:rPr>
          <w:rFonts w:cstheme="minorHAnsi"/>
          <w:sz w:val="24"/>
          <w:szCs w:val="24"/>
        </w:rPr>
        <w:t>):(</w:t>
      </w:r>
      <w:proofErr w:type="gramEnd"/>
      <w:r w:rsidRPr="00D21F46">
        <w:rPr>
          <w:rFonts w:cstheme="minorHAnsi"/>
          <w:sz w:val="24"/>
          <w:szCs w:val="24"/>
        </w:rPr>
        <w:t>1)</w:t>
      </w:r>
    </w:p>
    <w:p w14:paraId="3AB7267C" w14:textId="77777777" w:rsidR="00D21F46" w:rsidRPr="00D21F46" w:rsidRDefault="00D21F46" w:rsidP="00D21F46">
      <w:pPr>
        <w:rPr>
          <w:rFonts w:cstheme="minorHAnsi"/>
          <w:sz w:val="24"/>
          <w:szCs w:val="24"/>
        </w:rPr>
      </w:pPr>
      <w:r w:rsidRPr="00D21F46">
        <w:rPr>
          <w:rFonts w:cstheme="minorHAnsi"/>
          <w:sz w:val="24"/>
          <w:szCs w:val="24"/>
        </w:rPr>
        <w:t xml:space="preserve">where </w:t>
      </w:r>
      <w:r w:rsidRPr="00D21F46">
        <w:rPr>
          <w:rFonts w:cstheme="minorHAnsi"/>
          <w:i/>
          <w:iCs/>
          <w:sz w:val="24"/>
          <w:szCs w:val="24"/>
        </w:rPr>
        <w:t>P</w:t>
      </w:r>
      <w:r w:rsidRPr="00D21F46">
        <w:rPr>
          <w:rFonts w:cstheme="minorHAnsi"/>
          <w:sz w:val="24"/>
          <w:szCs w:val="24"/>
        </w:rPr>
        <w:t xml:space="preserve"> is the pore percentage, </w:t>
      </w:r>
      <w:r w:rsidRPr="00D21F46">
        <w:rPr>
          <w:rFonts w:cstheme="minorHAnsi"/>
          <w:i/>
          <w:iCs/>
          <w:sz w:val="24"/>
          <w:szCs w:val="24"/>
        </w:rPr>
        <w:t>W</w:t>
      </w:r>
      <w:r w:rsidRPr="00D21F46">
        <w:rPr>
          <w:rFonts w:cstheme="minorHAnsi"/>
          <w:i/>
          <w:iCs/>
          <w:sz w:val="24"/>
          <w:szCs w:val="24"/>
          <w:vertAlign w:val="subscript"/>
        </w:rPr>
        <w:t>1</w:t>
      </w:r>
      <w:r w:rsidRPr="00D21F46">
        <w:rPr>
          <w:rFonts w:cstheme="minorHAnsi"/>
          <w:sz w:val="24"/>
          <w:szCs w:val="24"/>
        </w:rPr>
        <w:t xml:space="preserve"> and </w:t>
      </w:r>
      <w:r w:rsidRPr="00D21F46">
        <w:rPr>
          <w:rFonts w:cstheme="minorHAnsi"/>
          <w:i/>
          <w:iCs/>
          <w:sz w:val="24"/>
          <w:szCs w:val="24"/>
        </w:rPr>
        <w:t>W</w:t>
      </w:r>
      <w:r w:rsidRPr="00D21F46">
        <w:rPr>
          <w:rFonts w:cstheme="minorHAnsi"/>
          <w:i/>
          <w:iCs/>
          <w:sz w:val="24"/>
          <w:szCs w:val="24"/>
          <w:vertAlign w:val="subscript"/>
        </w:rPr>
        <w:t>2</w:t>
      </w:r>
      <w:r w:rsidRPr="00D21F46">
        <w:rPr>
          <w:rFonts w:cstheme="minorHAnsi"/>
          <w:sz w:val="24"/>
          <w:szCs w:val="24"/>
        </w:rPr>
        <w:t xml:space="preserve"> are the weight of the scaffolds before and after immersion in water, respectively, and </w:t>
      </w:r>
      <w:r w:rsidRPr="00D21F46">
        <w:rPr>
          <w:rFonts w:cstheme="minorHAnsi"/>
          <w:i/>
          <w:iCs/>
          <w:sz w:val="24"/>
          <w:szCs w:val="24"/>
        </w:rPr>
        <w:t>W</w:t>
      </w:r>
      <w:r w:rsidRPr="00D21F46">
        <w:rPr>
          <w:rFonts w:cstheme="minorHAnsi"/>
          <w:i/>
          <w:iCs/>
          <w:sz w:val="24"/>
          <w:szCs w:val="24"/>
          <w:vertAlign w:val="subscript"/>
        </w:rPr>
        <w:t>3</w:t>
      </w:r>
      <w:r w:rsidRPr="00D21F46">
        <w:rPr>
          <w:rFonts w:cstheme="minorHAnsi"/>
          <w:sz w:val="24"/>
          <w:szCs w:val="24"/>
        </w:rPr>
        <w:t xml:space="preserve"> is the weight of the suspended scaffolds.</w:t>
      </w:r>
    </w:p>
    <w:p w14:paraId="1F4C3FD0" w14:textId="77777777" w:rsidR="00D21F46" w:rsidRPr="00D21F46" w:rsidRDefault="00D21F46" w:rsidP="00D21F46">
      <w:pPr>
        <w:rPr>
          <w:rFonts w:cstheme="minorHAnsi"/>
          <w:sz w:val="24"/>
          <w:szCs w:val="24"/>
        </w:rPr>
      </w:pPr>
      <w:r w:rsidRPr="00D21F46">
        <w:rPr>
          <w:rFonts w:cstheme="minorHAnsi"/>
          <w:sz w:val="24"/>
          <w:szCs w:val="24"/>
        </w:rPr>
        <w:t>Fourier-transform infrared spectroscopy (FTIR, Thermo Nicolet, Avatar, USA) was also conducted on the milled scaffolds in the spectral range of 3600–400 cm</w:t>
      </w:r>
      <w:r w:rsidRPr="00D21F46">
        <w:rPr>
          <w:rFonts w:cstheme="minorHAnsi"/>
          <w:sz w:val="24"/>
          <w:szCs w:val="24"/>
          <w:vertAlign w:val="superscript"/>
        </w:rPr>
        <w:t>−1</w:t>
      </w:r>
      <w:r w:rsidRPr="00D21F46">
        <w:rPr>
          <w:rFonts w:cstheme="minorHAnsi"/>
          <w:sz w:val="24"/>
          <w:szCs w:val="24"/>
        </w:rPr>
        <w:t xml:space="preserve"> with the resolution of 4 cm</w:t>
      </w:r>
      <w:r w:rsidRPr="00D21F46">
        <w:rPr>
          <w:rFonts w:cstheme="minorHAnsi"/>
          <w:sz w:val="24"/>
          <w:szCs w:val="24"/>
          <w:vertAlign w:val="superscript"/>
        </w:rPr>
        <w:t>−1</w:t>
      </w:r>
      <w:r w:rsidRPr="00D21F46">
        <w:rPr>
          <w:rFonts w:cstheme="minorHAnsi"/>
          <w:sz w:val="24"/>
          <w:szCs w:val="24"/>
        </w:rPr>
        <w:t xml:space="preserve"> in a moisture-free environment at 25 °C.</w:t>
      </w:r>
    </w:p>
    <w:p w14:paraId="4B38D418" w14:textId="77777777" w:rsidR="00D21F46" w:rsidRPr="00D21F46" w:rsidRDefault="00D21F46" w:rsidP="001107AE">
      <w:pPr>
        <w:pStyle w:val="Heading2"/>
      </w:pPr>
      <w:r w:rsidRPr="00D21F46">
        <w:t>2.7. Drug release analysis</w:t>
      </w:r>
    </w:p>
    <w:p w14:paraId="5E2D8C23" w14:textId="033F26E5" w:rsidR="00D21F46" w:rsidRPr="00D21F46" w:rsidRDefault="00D21F46" w:rsidP="00D21F46">
      <w:pPr>
        <w:rPr>
          <w:rFonts w:cstheme="minorHAnsi"/>
          <w:sz w:val="24"/>
          <w:szCs w:val="24"/>
        </w:rPr>
      </w:pPr>
      <w:proofErr w:type="gramStart"/>
      <w:r w:rsidRPr="00D21F46">
        <w:rPr>
          <w:rFonts w:cstheme="minorHAnsi"/>
          <w:sz w:val="24"/>
          <w:szCs w:val="24"/>
        </w:rPr>
        <w:t>In order to</w:t>
      </w:r>
      <w:proofErr w:type="gramEnd"/>
      <w:r w:rsidRPr="00D21F46">
        <w:rPr>
          <w:rFonts w:cstheme="minorHAnsi"/>
          <w:sz w:val="24"/>
          <w:szCs w:val="24"/>
        </w:rPr>
        <w:t xml:space="preserve"> determine the </w:t>
      </w:r>
      <w:r w:rsidRPr="00D21F46">
        <w:rPr>
          <w:rFonts w:cstheme="minorHAnsi"/>
          <w:i/>
          <w:iCs/>
          <w:sz w:val="24"/>
          <w:szCs w:val="24"/>
        </w:rPr>
        <w:t>in vitro</w:t>
      </w:r>
      <w:r w:rsidRPr="00D21F46">
        <w:rPr>
          <w:rFonts w:cstheme="minorHAnsi"/>
          <w:sz w:val="24"/>
          <w:szCs w:val="24"/>
        </w:rPr>
        <w:t xml:space="preserve"> release profile of vancomycin, the bare and PLGA-coated bredigite scaffolds impregnated with vancomycin were immersed into a glass bottle containing 20 ml phosphate buffered saline (PBS) with the ratio of 4 mg/ml at pH of 7.4 and 37 °C. At each predetermined time point, 3 ml of the solution was taken out and replaced with 3 ml of the fresh PBS solution. The amount of vancomycin in the solution was investigated by a UV spectrophotometer (UV–1100, MAPADA INSTRUMENT, Shanghai, China) at the wavelength of 280 nm with three repetitions. To calculate the accumulative release percentage of the drug, the total amount of vancomycin loaded into the scaffolds was also measured after the scaffolds were completely degraded in the medium. </w:t>
      </w:r>
      <w:proofErr w:type="gramStart"/>
      <w:r w:rsidRPr="00D21F46">
        <w:rPr>
          <w:rFonts w:cstheme="minorHAnsi"/>
          <w:sz w:val="24"/>
          <w:szCs w:val="24"/>
        </w:rPr>
        <w:t>In order to</w:t>
      </w:r>
      <w:proofErr w:type="gramEnd"/>
      <w:r w:rsidRPr="00D21F46">
        <w:rPr>
          <w:rFonts w:cstheme="minorHAnsi"/>
          <w:sz w:val="24"/>
          <w:szCs w:val="24"/>
        </w:rPr>
        <w:t xml:space="preserve"> establish the calibration curve of measurements, five concentrations of vancomycin in the range of 1–20 </w:t>
      </w:r>
      <w:proofErr w:type="spellStart"/>
      <w:r w:rsidRPr="00D21F46">
        <w:rPr>
          <w:rFonts w:cstheme="minorHAnsi"/>
          <w:sz w:val="24"/>
          <w:szCs w:val="24"/>
        </w:rPr>
        <w:t>μg</w:t>
      </w:r>
      <w:proofErr w:type="spellEnd"/>
      <w:r w:rsidRPr="00D21F46">
        <w:rPr>
          <w:rFonts w:cstheme="minorHAnsi"/>
          <w:sz w:val="24"/>
          <w:szCs w:val="24"/>
        </w:rPr>
        <w:t>/ml were chosen. According to the Beer-Lambert law (</w:t>
      </w:r>
      <w:bookmarkStart w:id="40" w:name="bb0240"/>
      <w:r w:rsidRPr="0045528F">
        <w:rPr>
          <w:rFonts w:cstheme="minorHAnsi"/>
          <w:sz w:val="24"/>
          <w:szCs w:val="24"/>
        </w:rPr>
        <w:t>Thomas, 1996</w:t>
      </w:r>
      <w:bookmarkEnd w:id="40"/>
      <w:r w:rsidRPr="00D21F46">
        <w:rPr>
          <w:rFonts w:cstheme="minorHAnsi"/>
          <w:sz w:val="24"/>
          <w:szCs w:val="24"/>
        </w:rPr>
        <w:t>), the following calibration equation was found with the correlation coefficient of R</w:t>
      </w:r>
      <w:r w:rsidRPr="00D21F46">
        <w:rPr>
          <w:rFonts w:cstheme="minorHAnsi"/>
          <w:sz w:val="24"/>
          <w:szCs w:val="24"/>
          <w:vertAlign w:val="superscript"/>
        </w:rPr>
        <w:t>2</w:t>
      </w:r>
      <w:r w:rsidRPr="00D21F46">
        <w:rPr>
          <w:rFonts w:cstheme="minorHAnsi"/>
          <w:sz w:val="24"/>
          <w:szCs w:val="24"/>
        </w:rPr>
        <w:t> = 0.998 and used:(2)</w:t>
      </w:r>
    </w:p>
    <w:p w14:paraId="1465F861" w14:textId="77777777" w:rsidR="00D21F46" w:rsidRPr="00D21F46" w:rsidRDefault="00D21F46" w:rsidP="001107AE">
      <w:pPr>
        <w:pStyle w:val="Heading2"/>
      </w:pPr>
      <w:r w:rsidRPr="00D21F46">
        <w:t>2.8. Physiological pH evaluation</w:t>
      </w:r>
    </w:p>
    <w:p w14:paraId="26F656AA" w14:textId="06A8FE78" w:rsidR="00D21F46" w:rsidRPr="00D21F46" w:rsidRDefault="00D21F46" w:rsidP="00D21F46">
      <w:pPr>
        <w:rPr>
          <w:rFonts w:cstheme="minorHAnsi"/>
          <w:sz w:val="24"/>
          <w:szCs w:val="24"/>
        </w:rPr>
      </w:pPr>
      <w:r w:rsidRPr="00D21F46">
        <w:rPr>
          <w:rFonts w:cstheme="minorHAnsi"/>
          <w:sz w:val="24"/>
          <w:szCs w:val="24"/>
        </w:rPr>
        <w:t xml:space="preserve">The variations of physiological pH due to exposure to the scaffolds were investigated by immersing them in the simulated body fluid (SBF) at 37 °C for 7 days using an electrolyte type pH meter (PHS-2C, </w:t>
      </w:r>
      <w:proofErr w:type="spellStart"/>
      <w:r w:rsidRPr="00D21F46">
        <w:rPr>
          <w:rFonts w:cstheme="minorHAnsi"/>
          <w:sz w:val="24"/>
          <w:szCs w:val="24"/>
        </w:rPr>
        <w:t>Jingke</w:t>
      </w:r>
      <w:proofErr w:type="spellEnd"/>
      <w:r w:rsidRPr="00D21F46">
        <w:rPr>
          <w:rFonts w:cstheme="minorHAnsi"/>
          <w:sz w:val="24"/>
          <w:szCs w:val="24"/>
        </w:rPr>
        <w:t xml:space="preserve"> </w:t>
      </w:r>
      <w:proofErr w:type="spellStart"/>
      <w:r w:rsidRPr="00D21F46">
        <w:rPr>
          <w:rFonts w:cstheme="minorHAnsi"/>
          <w:sz w:val="24"/>
          <w:szCs w:val="24"/>
        </w:rPr>
        <w:t>Leici</w:t>
      </w:r>
      <w:proofErr w:type="spellEnd"/>
      <w:r w:rsidRPr="00D21F46">
        <w:rPr>
          <w:rFonts w:cstheme="minorHAnsi"/>
          <w:sz w:val="24"/>
          <w:szCs w:val="24"/>
        </w:rPr>
        <w:t xml:space="preserve"> Co., Shanghai, China) with three repetitions. To do so, the scaffold/SBF ratio of 1:200 g/ml (</w:t>
      </w:r>
      <w:bookmarkStart w:id="41" w:name="bb0270"/>
      <w:r w:rsidRPr="0045528F">
        <w:rPr>
          <w:rFonts w:cstheme="minorHAnsi"/>
          <w:sz w:val="24"/>
          <w:szCs w:val="24"/>
        </w:rPr>
        <w:t>Wu et al., 2006</w:t>
      </w:r>
      <w:bookmarkEnd w:id="41"/>
      <w:r w:rsidRPr="00D21F46">
        <w:rPr>
          <w:rFonts w:cstheme="minorHAnsi"/>
          <w:sz w:val="24"/>
          <w:szCs w:val="24"/>
        </w:rPr>
        <w:t xml:space="preserve">, </w:t>
      </w:r>
      <w:bookmarkStart w:id="42" w:name="bb0275"/>
      <w:r w:rsidRPr="0045528F">
        <w:rPr>
          <w:rFonts w:cstheme="minorHAnsi"/>
          <w:sz w:val="24"/>
          <w:szCs w:val="24"/>
        </w:rPr>
        <w:t>Wu et al., 2011</w:t>
      </w:r>
      <w:bookmarkEnd w:id="42"/>
      <w:r w:rsidRPr="00D21F46">
        <w:rPr>
          <w:rFonts w:cstheme="minorHAnsi"/>
          <w:sz w:val="24"/>
          <w:szCs w:val="24"/>
        </w:rPr>
        <w:t xml:space="preserve">, </w:t>
      </w:r>
      <w:bookmarkStart w:id="43" w:name="bb0280"/>
      <w:r w:rsidRPr="0045528F">
        <w:rPr>
          <w:rFonts w:cstheme="minorHAnsi"/>
          <w:sz w:val="24"/>
          <w:szCs w:val="24"/>
        </w:rPr>
        <w:t>Wu et al., 2010</w:t>
      </w:r>
      <w:bookmarkEnd w:id="43"/>
      <w:r w:rsidRPr="00D21F46">
        <w:rPr>
          <w:rFonts w:cstheme="minorHAnsi"/>
          <w:sz w:val="24"/>
          <w:szCs w:val="24"/>
        </w:rPr>
        <w:t>) was used.</w:t>
      </w:r>
    </w:p>
    <w:p w14:paraId="53677ECA" w14:textId="77777777" w:rsidR="00D21F46" w:rsidRPr="00D21F46" w:rsidRDefault="00D21F46" w:rsidP="001107AE">
      <w:pPr>
        <w:pStyle w:val="Heading2"/>
      </w:pPr>
      <w:r w:rsidRPr="00D21F46">
        <w:t>2.9. Biocompatibility assessments</w:t>
      </w:r>
    </w:p>
    <w:p w14:paraId="4477ECB7" w14:textId="71EF81E9" w:rsidR="00D21F46" w:rsidRPr="00D21F46" w:rsidRDefault="00D21F46" w:rsidP="00D21F46">
      <w:pPr>
        <w:rPr>
          <w:rFonts w:cstheme="minorHAnsi"/>
          <w:sz w:val="24"/>
          <w:szCs w:val="24"/>
        </w:rPr>
      </w:pPr>
      <w:r w:rsidRPr="00D21F46">
        <w:rPr>
          <w:rFonts w:cstheme="minorHAnsi"/>
          <w:sz w:val="24"/>
          <w:szCs w:val="24"/>
        </w:rPr>
        <w:t>The MTT assay was conducted to assess the cytocompatibility of the prepared scaffolds of 3 × 3 × 3 mm</w:t>
      </w:r>
      <w:r w:rsidRPr="00D21F46">
        <w:rPr>
          <w:rFonts w:cstheme="minorHAnsi"/>
          <w:sz w:val="24"/>
          <w:szCs w:val="24"/>
          <w:vertAlign w:val="superscript"/>
        </w:rPr>
        <w:t>3</w:t>
      </w:r>
      <w:r w:rsidRPr="00D21F46">
        <w:rPr>
          <w:rFonts w:cstheme="minorHAnsi"/>
          <w:sz w:val="24"/>
          <w:szCs w:val="24"/>
        </w:rPr>
        <w:t xml:space="preserve"> in size. The scaffolds were sterilized via exposure to UV radiation for 2 h. 3500 human dental pulp stem cells obtained from National Cell Bank of Iran were seeded on each set of the scaffolds with three </w:t>
      </w:r>
      <w:proofErr w:type="spellStart"/>
      <w:r w:rsidRPr="00D21F46">
        <w:rPr>
          <w:rFonts w:cstheme="minorHAnsi"/>
          <w:sz w:val="24"/>
          <w:szCs w:val="24"/>
        </w:rPr>
        <w:t>repeatations</w:t>
      </w:r>
      <w:proofErr w:type="spellEnd"/>
      <w:r w:rsidRPr="00D21F46">
        <w:rPr>
          <w:rFonts w:cstheme="minorHAnsi"/>
          <w:sz w:val="24"/>
          <w:szCs w:val="24"/>
        </w:rPr>
        <w:t xml:space="preserve"> in a 96-well culture plate with the scaffold-free cells-containing medium as the control and were then incubated at 37 °C under 5% CO</w:t>
      </w:r>
      <w:r w:rsidRPr="00D21F46">
        <w:rPr>
          <w:rFonts w:cstheme="minorHAnsi"/>
          <w:sz w:val="24"/>
          <w:szCs w:val="24"/>
          <w:vertAlign w:val="subscript"/>
        </w:rPr>
        <w:t>2</w:t>
      </w:r>
      <w:r w:rsidRPr="00D21F46">
        <w:rPr>
          <w:rFonts w:cstheme="minorHAnsi"/>
          <w:sz w:val="24"/>
          <w:szCs w:val="24"/>
        </w:rPr>
        <w:t xml:space="preserve"> with Dulbecco‘s modified Eagle media (DMEM) supplemented with 10% fetal bovine serum (FBS, Gibco, USA) for 1, 3 and 7 days. The cytotoxicity assessment was done by using 3</w:t>
      </w:r>
      <w:proofErr w:type="gramStart"/>
      <w:r w:rsidRPr="00D21F46">
        <w:rPr>
          <w:rFonts w:cstheme="minorHAnsi"/>
          <w:sz w:val="24"/>
          <w:szCs w:val="24"/>
        </w:rPr>
        <w:t>-[</w:t>
      </w:r>
      <w:proofErr w:type="gramEnd"/>
      <w:r w:rsidRPr="00D21F46">
        <w:rPr>
          <w:rFonts w:cstheme="minorHAnsi"/>
          <w:sz w:val="24"/>
          <w:szCs w:val="24"/>
        </w:rPr>
        <w:t>4, 5-dimethylthiazol-2-y1]-2, 5 diphenyltetrazolium bromide (MTT, Sigma, USA) colorimetric assay based on the instructions of Ref. (</w:t>
      </w:r>
      <w:bookmarkStart w:id="44" w:name="bb0215"/>
      <w:proofErr w:type="spellStart"/>
      <w:r w:rsidRPr="0045528F">
        <w:rPr>
          <w:rFonts w:cstheme="minorHAnsi"/>
          <w:sz w:val="24"/>
          <w:szCs w:val="24"/>
        </w:rPr>
        <w:t>Shahrouzifar</w:t>
      </w:r>
      <w:proofErr w:type="spellEnd"/>
      <w:r w:rsidRPr="0045528F">
        <w:rPr>
          <w:rFonts w:cstheme="minorHAnsi"/>
          <w:sz w:val="24"/>
          <w:szCs w:val="24"/>
        </w:rPr>
        <w:t xml:space="preserve"> et al., 2019</w:t>
      </w:r>
      <w:bookmarkEnd w:id="44"/>
      <w:r w:rsidRPr="00D21F46">
        <w:rPr>
          <w:rFonts w:cstheme="minorHAnsi"/>
          <w:sz w:val="24"/>
          <w:szCs w:val="24"/>
        </w:rPr>
        <w:t>). For this purpose, the culture medium was first removed, and then 100 </w:t>
      </w:r>
      <w:proofErr w:type="spellStart"/>
      <w:r w:rsidRPr="00D21F46">
        <w:rPr>
          <w:rFonts w:cstheme="minorHAnsi"/>
          <w:sz w:val="24"/>
          <w:szCs w:val="24"/>
        </w:rPr>
        <w:t>μL</w:t>
      </w:r>
      <w:proofErr w:type="spellEnd"/>
      <w:r w:rsidRPr="00D21F46">
        <w:rPr>
          <w:rFonts w:cstheme="minorHAnsi"/>
          <w:sz w:val="24"/>
          <w:szCs w:val="24"/>
        </w:rPr>
        <w:t xml:space="preserve"> of the MTT solution (5 mg/ml) was added to each well and incubated for 2 h at 37 °C under 5% CO</w:t>
      </w:r>
      <w:r w:rsidRPr="00D21F46">
        <w:rPr>
          <w:rFonts w:cstheme="minorHAnsi"/>
          <w:sz w:val="24"/>
          <w:szCs w:val="24"/>
          <w:vertAlign w:val="subscript"/>
        </w:rPr>
        <w:t>2</w:t>
      </w:r>
      <w:r w:rsidRPr="00D21F46">
        <w:rPr>
          <w:rFonts w:cstheme="minorHAnsi"/>
          <w:sz w:val="24"/>
          <w:szCs w:val="24"/>
        </w:rPr>
        <w:t>. Then, the medium was removed, and formazan precipitates were dissolved in dimethyl sulfoxide (Sigma, USA). The optical density of viable cells was measured by a microplate reader (ChroMate-4300, FL, USA) at the wavelength of 545 nm. One-way analysis of variance with a statistical significance level less than 5% (p-value &lt; 0.05) was used to compare the cytocompatibility data.</w:t>
      </w:r>
    </w:p>
    <w:p w14:paraId="47C10072" w14:textId="630AF6FE" w:rsidR="00D21F46" w:rsidRPr="00D21F46" w:rsidRDefault="00D21F46" w:rsidP="00D21F46">
      <w:pPr>
        <w:rPr>
          <w:rFonts w:cstheme="minorHAnsi"/>
          <w:sz w:val="24"/>
          <w:szCs w:val="24"/>
        </w:rPr>
      </w:pPr>
      <w:r w:rsidRPr="00D21F46">
        <w:rPr>
          <w:rFonts w:cstheme="minorHAnsi"/>
          <w:sz w:val="24"/>
          <w:szCs w:val="24"/>
        </w:rPr>
        <w:t>The cell morphology on the optimal scaffold was also evaluated according to the protocol of Ref. (</w:t>
      </w:r>
      <w:bookmarkStart w:id="45" w:name="bb0210"/>
      <w:proofErr w:type="spellStart"/>
      <w:r w:rsidRPr="0045528F">
        <w:rPr>
          <w:rFonts w:cstheme="minorHAnsi"/>
          <w:sz w:val="24"/>
          <w:szCs w:val="24"/>
        </w:rPr>
        <w:t>Shahrouzifar</w:t>
      </w:r>
      <w:proofErr w:type="spellEnd"/>
      <w:r w:rsidRPr="0045528F">
        <w:rPr>
          <w:rFonts w:cstheme="minorHAnsi"/>
          <w:sz w:val="24"/>
          <w:szCs w:val="24"/>
        </w:rPr>
        <w:t xml:space="preserve"> and </w:t>
      </w:r>
      <w:proofErr w:type="spellStart"/>
      <w:r w:rsidRPr="0045528F">
        <w:rPr>
          <w:rFonts w:cstheme="minorHAnsi"/>
          <w:sz w:val="24"/>
          <w:szCs w:val="24"/>
        </w:rPr>
        <w:t>Salahinejad</w:t>
      </w:r>
      <w:proofErr w:type="spellEnd"/>
      <w:r w:rsidRPr="0045528F">
        <w:rPr>
          <w:rFonts w:cstheme="minorHAnsi"/>
          <w:sz w:val="24"/>
          <w:szCs w:val="24"/>
        </w:rPr>
        <w:t>, 2019</w:t>
      </w:r>
      <w:bookmarkEnd w:id="45"/>
      <w:r w:rsidRPr="00D21F46">
        <w:rPr>
          <w:rFonts w:cstheme="minorHAnsi"/>
          <w:sz w:val="24"/>
          <w:szCs w:val="24"/>
        </w:rPr>
        <w:t>). Briefly, 20,000 cells were seeded onto the sterilized scaffold and incubated in DMEM, 10% FBS, 100 IU/mL penicillin, and 100 IU/mL streptomycin. After 24 h of cell seeding, cells were fixed on the scaffold by 300 µL glutaraldehyde (2.5% in PBS) for 3 h at room temperature, then washed with PBS for 5 min and dehydrated in ascending ethanol series (30, 50, 70, 80, 90, and 100%). Finally, the sample was coated with a thin layer of gold and studied by electron microscopy.</w:t>
      </w:r>
    </w:p>
    <w:p w14:paraId="523AF8B1" w14:textId="77777777" w:rsidR="00D21F46" w:rsidRPr="00D21F46" w:rsidRDefault="00D21F46" w:rsidP="001107AE">
      <w:pPr>
        <w:pStyle w:val="Heading1"/>
      </w:pPr>
      <w:r w:rsidRPr="00D21F46">
        <w:t>3. Results and discussion</w:t>
      </w:r>
    </w:p>
    <w:p w14:paraId="3B6391FE" w14:textId="77777777" w:rsidR="00D21F46" w:rsidRPr="00D21F46" w:rsidRDefault="00D21F46" w:rsidP="001107AE">
      <w:pPr>
        <w:pStyle w:val="Heading2"/>
      </w:pPr>
      <w:r w:rsidRPr="00D21F46">
        <w:t>3.1. Structural analyses</w:t>
      </w:r>
    </w:p>
    <w:p w14:paraId="75E48221" w14:textId="46DE16F6" w:rsidR="00D21F46" w:rsidRPr="00D21F46" w:rsidRDefault="00D21F46" w:rsidP="00D21F46">
      <w:pPr>
        <w:rPr>
          <w:rFonts w:cstheme="minorHAnsi"/>
          <w:sz w:val="24"/>
          <w:szCs w:val="24"/>
        </w:rPr>
      </w:pPr>
      <w:r w:rsidRPr="00D21F46">
        <w:rPr>
          <w:rFonts w:cstheme="minorHAnsi"/>
          <w:sz w:val="24"/>
          <w:szCs w:val="24"/>
        </w:rPr>
        <w:t xml:space="preserve">The FESEM micrograph of the powder calcined at 700 °C used as the feedstock of scaffolding is shown in </w:t>
      </w:r>
      <w:bookmarkStart w:id="46" w:name="bf0005"/>
      <w:r w:rsidRPr="0045528F">
        <w:rPr>
          <w:rFonts w:cstheme="minorHAnsi"/>
          <w:sz w:val="24"/>
          <w:szCs w:val="24"/>
        </w:rPr>
        <w:t>Fig. 1</w:t>
      </w:r>
      <w:r w:rsidRPr="00D21F46">
        <w:rPr>
          <w:rFonts w:cstheme="minorHAnsi"/>
          <w:sz w:val="24"/>
          <w:szCs w:val="24"/>
        </w:rPr>
        <w:t xml:space="preserve">a, revealing highly agglomerated nanoparticles of almost 25 nm in size. </w:t>
      </w:r>
      <w:r w:rsidRPr="0045528F">
        <w:rPr>
          <w:rFonts w:cstheme="minorHAnsi"/>
          <w:sz w:val="24"/>
          <w:szCs w:val="24"/>
        </w:rPr>
        <w:t>Fig. 1</w:t>
      </w:r>
      <w:bookmarkEnd w:id="46"/>
      <w:r w:rsidRPr="00D21F46">
        <w:rPr>
          <w:rFonts w:cstheme="minorHAnsi"/>
          <w:sz w:val="24"/>
          <w:szCs w:val="24"/>
        </w:rPr>
        <w:t>b, c and d present the macrograph and micrograph of the scaffolds sintered at 1350 °C, consisting of irregular shaped particles of about 1–10 </w:t>
      </w:r>
      <w:proofErr w:type="spellStart"/>
      <w:r w:rsidRPr="00D21F46">
        <w:rPr>
          <w:rFonts w:cstheme="minorHAnsi"/>
          <w:sz w:val="24"/>
          <w:szCs w:val="24"/>
        </w:rPr>
        <w:t>μm</w:t>
      </w:r>
      <w:proofErr w:type="spellEnd"/>
      <w:r w:rsidRPr="00D21F46">
        <w:rPr>
          <w:rFonts w:cstheme="minorHAnsi"/>
          <w:sz w:val="24"/>
          <w:szCs w:val="24"/>
        </w:rPr>
        <w:t xml:space="preserve"> in size. The mean size of pores inside the struts is 3 </w:t>
      </w:r>
      <w:proofErr w:type="spellStart"/>
      <w:r w:rsidRPr="00D21F46">
        <w:rPr>
          <w:rFonts w:cstheme="minorHAnsi"/>
          <w:sz w:val="24"/>
          <w:szCs w:val="24"/>
        </w:rPr>
        <w:t>μm</w:t>
      </w:r>
      <w:proofErr w:type="spellEnd"/>
      <w:r w:rsidRPr="00D21F46">
        <w:rPr>
          <w:rFonts w:cstheme="minorHAnsi"/>
          <w:sz w:val="24"/>
          <w:szCs w:val="24"/>
        </w:rPr>
        <w:t>, while the struts form pores of almost 200–1000 </w:t>
      </w:r>
      <w:proofErr w:type="spellStart"/>
      <w:r w:rsidRPr="00D21F46">
        <w:rPr>
          <w:rFonts w:cstheme="minorHAnsi"/>
          <w:sz w:val="24"/>
          <w:szCs w:val="24"/>
        </w:rPr>
        <w:t>μm</w:t>
      </w:r>
      <w:proofErr w:type="spellEnd"/>
      <w:r w:rsidRPr="00D21F46">
        <w:rPr>
          <w:rFonts w:cstheme="minorHAnsi"/>
          <w:sz w:val="24"/>
          <w:szCs w:val="24"/>
        </w:rPr>
        <w:t xml:space="preserve"> in size which are essential for bone tissue engineering. It would be worth mentioning that natural cancellous and cortical bones have 75–85% and 5–10% porosity levels with 300–600 and 10–50 µm sizes, respectively (</w:t>
      </w:r>
      <w:bookmarkStart w:id="47" w:name="bb0115"/>
      <w:r w:rsidRPr="0045528F">
        <w:rPr>
          <w:rFonts w:cstheme="minorHAnsi"/>
          <w:sz w:val="24"/>
          <w:szCs w:val="24"/>
        </w:rPr>
        <w:t>Lee et al., 2012</w:t>
      </w:r>
      <w:bookmarkEnd w:id="47"/>
      <w:r w:rsidRPr="00D21F46">
        <w:rPr>
          <w:rFonts w:cstheme="minorHAnsi"/>
          <w:sz w:val="24"/>
          <w:szCs w:val="24"/>
        </w:rPr>
        <w:t xml:space="preserve">, </w:t>
      </w:r>
      <w:bookmarkStart w:id="48" w:name="bb0250"/>
      <w:r w:rsidRPr="0045528F">
        <w:rPr>
          <w:rFonts w:cstheme="minorHAnsi"/>
          <w:sz w:val="24"/>
          <w:szCs w:val="24"/>
        </w:rPr>
        <w:t>Weiner and Wagner, 1998</w:t>
      </w:r>
      <w:bookmarkEnd w:id="48"/>
      <w:r w:rsidRPr="00D21F46">
        <w:rPr>
          <w:rFonts w:cstheme="minorHAnsi"/>
          <w:sz w:val="24"/>
          <w:szCs w:val="24"/>
        </w:rPr>
        <w:t>).</w:t>
      </w:r>
    </w:p>
    <w:p w14:paraId="5A61296B" w14:textId="20F8CBB4" w:rsidR="00D21F46" w:rsidRPr="00D21F46" w:rsidRDefault="00D21F46" w:rsidP="001107AE">
      <w:pPr>
        <w:pStyle w:val="NoSpacing"/>
      </w:pPr>
      <w:r w:rsidRPr="00D21F46">
        <w:rPr>
          <w:noProof/>
        </w:rPr>
        <w:drawing>
          <wp:inline distT="0" distB="0" distL="0" distR="0" wp14:anchorId="2F53E9D7" wp14:editId="286E437C">
            <wp:extent cx="3657600" cy="3922776"/>
            <wp:effectExtent l="0" t="0" r="0" b="1905"/>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3922776"/>
                    </a:xfrm>
                    <a:prstGeom prst="rect">
                      <a:avLst/>
                    </a:prstGeom>
                    <a:noFill/>
                    <a:ln>
                      <a:noFill/>
                    </a:ln>
                  </pic:spPr>
                </pic:pic>
              </a:graphicData>
            </a:graphic>
          </wp:inline>
        </w:drawing>
      </w:r>
    </w:p>
    <w:p w14:paraId="1F819CD7" w14:textId="77777777" w:rsidR="00D21F46" w:rsidRDefault="00D21F46" w:rsidP="001107AE">
      <w:pPr>
        <w:pStyle w:val="NoSpacing"/>
      </w:pPr>
      <w:r w:rsidRPr="00D21F46">
        <w:t>Fig. 1. FESEM micrograph of the sol–gel derived powder calcined at 700 °C (a), macrograph of the scaffold sintered at 1350 °C (b) and FESEM micrographs of the sintered scaffold in two magnifications (c, d).</w:t>
      </w:r>
    </w:p>
    <w:p w14:paraId="3B015DA2" w14:textId="77777777" w:rsidR="001107AE" w:rsidRPr="00D21F46" w:rsidRDefault="001107AE" w:rsidP="00D21F46">
      <w:pPr>
        <w:rPr>
          <w:rFonts w:cstheme="minorHAnsi"/>
          <w:sz w:val="24"/>
          <w:szCs w:val="24"/>
        </w:rPr>
      </w:pPr>
    </w:p>
    <w:p w14:paraId="4A6A9974" w14:textId="5A929A82" w:rsidR="00D21F46" w:rsidRPr="00D21F46" w:rsidRDefault="00D21F46" w:rsidP="00D21F46">
      <w:pPr>
        <w:rPr>
          <w:rFonts w:cstheme="minorHAnsi"/>
          <w:sz w:val="24"/>
          <w:szCs w:val="24"/>
        </w:rPr>
      </w:pPr>
      <w:bookmarkStart w:id="49" w:name="bf0010"/>
      <w:r w:rsidRPr="0045528F">
        <w:rPr>
          <w:rFonts w:cstheme="minorHAnsi"/>
          <w:sz w:val="24"/>
          <w:szCs w:val="24"/>
        </w:rPr>
        <w:t>Fig. 2</w:t>
      </w:r>
      <w:r w:rsidRPr="00D21F46">
        <w:rPr>
          <w:rFonts w:cstheme="minorHAnsi"/>
          <w:sz w:val="24"/>
          <w:szCs w:val="24"/>
        </w:rPr>
        <w:t xml:space="preserve"> reveals the FESEM micrograph of the bare and PLGA-coated bredigite scaffolds. As well as the preservation of pores interconnectivity (</w:t>
      </w:r>
      <w:r w:rsidRPr="0045528F">
        <w:rPr>
          <w:rFonts w:cstheme="minorHAnsi"/>
          <w:sz w:val="24"/>
          <w:szCs w:val="24"/>
        </w:rPr>
        <w:t>Fig. 2</w:t>
      </w:r>
      <w:r w:rsidRPr="00D21F46">
        <w:rPr>
          <w:rFonts w:cstheme="minorHAnsi"/>
          <w:sz w:val="24"/>
          <w:szCs w:val="24"/>
        </w:rPr>
        <w:t>a, c and e), the filling of fine pores of the struts as the drug loading matrix is evident after PLGA coating (</w:t>
      </w:r>
      <w:r w:rsidRPr="0045528F">
        <w:rPr>
          <w:rFonts w:cstheme="minorHAnsi"/>
          <w:sz w:val="24"/>
          <w:szCs w:val="24"/>
        </w:rPr>
        <w:t>Fig. 2</w:t>
      </w:r>
      <w:r w:rsidRPr="00D21F46">
        <w:rPr>
          <w:rFonts w:cstheme="minorHAnsi"/>
          <w:sz w:val="24"/>
          <w:szCs w:val="24"/>
        </w:rPr>
        <w:t xml:space="preserve">d and f). Based on the Archimedes </w:t>
      </w:r>
      <w:proofErr w:type="spellStart"/>
      <w:r w:rsidRPr="00D21F46">
        <w:rPr>
          <w:rFonts w:cstheme="minorHAnsi"/>
          <w:sz w:val="24"/>
          <w:szCs w:val="24"/>
        </w:rPr>
        <w:t>porosimetry</w:t>
      </w:r>
      <w:proofErr w:type="spellEnd"/>
      <w:r w:rsidRPr="00D21F46">
        <w:rPr>
          <w:rFonts w:cstheme="minorHAnsi"/>
          <w:sz w:val="24"/>
          <w:szCs w:val="24"/>
        </w:rPr>
        <w:t xml:space="preserve"> method, the mean porosity levels of about 90, 82 and 77% were also measured for the bare, bredigite-5% PLGA and bredigite-10% PLGA scaffolds, respectively, where all are in the desired range of tissue-engineering scaffolds. On the contrary, 15% PLGA coating has been reported to disadvantageously block the pores of the scaffold (</w:t>
      </w:r>
      <w:proofErr w:type="spellStart"/>
      <w:r w:rsidRPr="0045528F">
        <w:rPr>
          <w:rFonts w:cstheme="minorHAnsi"/>
          <w:sz w:val="24"/>
          <w:szCs w:val="24"/>
        </w:rPr>
        <w:t>Jadidi</w:t>
      </w:r>
      <w:proofErr w:type="spellEnd"/>
      <w:r w:rsidRPr="0045528F">
        <w:rPr>
          <w:rFonts w:cstheme="minorHAnsi"/>
          <w:sz w:val="24"/>
          <w:szCs w:val="24"/>
        </w:rPr>
        <w:t xml:space="preserve"> and </w:t>
      </w:r>
      <w:proofErr w:type="spellStart"/>
      <w:r w:rsidRPr="0045528F">
        <w:rPr>
          <w:rFonts w:cstheme="minorHAnsi"/>
          <w:sz w:val="24"/>
          <w:szCs w:val="24"/>
        </w:rPr>
        <w:t>Salahinejad</w:t>
      </w:r>
      <w:proofErr w:type="spellEnd"/>
      <w:r w:rsidRPr="0045528F">
        <w:rPr>
          <w:rFonts w:cstheme="minorHAnsi"/>
          <w:sz w:val="24"/>
          <w:szCs w:val="24"/>
        </w:rPr>
        <w:t>, 2020</w:t>
      </w:r>
      <w:r w:rsidRPr="00D21F46">
        <w:rPr>
          <w:rFonts w:cstheme="minorHAnsi"/>
          <w:sz w:val="24"/>
          <w:szCs w:val="24"/>
        </w:rPr>
        <w:t>); thus, this sample is not considered in this study. In addition, the thickness of the PLGA coatings deposited by the polymer concentrations of 5 and 10% is measured to be almost 7 and 16 </w:t>
      </w:r>
      <w:proofErr w:type="spellStart"/>
      <w:r w:rsidRPr="00D21F46">
        <w:rPr>
          <w:rFonts w:cstheme="minorHAnsi"/>
          <w:sz w:val="24"/>
          <w:szCs w:val="24"/>
        </w:rPr>
        <w:t>μm</w:t>
      </w:r>
      <w:proofErr w:type="spellEnd"/>
      <w:r w:rsidRPr="00D21F46">
        <w:rPr>
          <w:rFonts w:cstheme="minorHAnsi"/>
          <w:sz w:val="24"/>
          <w:szCs w:val="24"/>
        </w:rPr>
        <w:t>, respectively (</w:t>
      </w:r>
      <w:bookmarkStart w:id="50" w:name="bf0015"/>
      <w:r w:rsidRPr="0045528F">
        <w:rPr>
          <w:rFonts w:cstheme="minorHAnsi"/>
          <w:sz w:val="24"/>
          <w:szCs w:val="24"/>
        </w:rPr>
        <w:t>Fig. 3</w:t>
      </w:r>
      <w:r w:rsidRPr="00D21F46">
        <w:rPr>
          <w:rFonts w:cstheme="minorHAnsi"/>
          <w:sz w:val="24"/>
          <w:szCs w:val="24"/>
        </w:rPr>
        <w:t>). It is also noticeable that the mean compressive mechanical strength of the bare, 5% PLGA-coated and 10% PLGA-coated bredigite scaffolds, albeit without any drug impregnation, is almost 0.3, 1.2 and 1.7 MPa, respectively (</w:t>
      </w:r>
      <w:proofErr w:type="spellStart"/>
      <w:r w:rsidRPr="0045528F">
        <w:rPr>
          <w:rFonts w:cstheme="minorHAnsi"/>
          <w:sz w:val="24"/>
          <w:szCs w:val="24"/>
        </w:rPr>
        <w:t>Jadidi</w:t>
      </w:r>
      <w:proofErr w:type="spellEnd"/>
      <w:r w:rsidRPr="0045528F">
        <w:rPr>
          <w:rFonts w:cstheme="minorHAnsi"/>
          <w:sz w:val="24"/>
          <w:szCs w:val="24"/>
        </w:rPr>
        <w:t xml:space="preserve"> and </w:t>
      </w:r>
      <w:proofErr w:type="spellStart"/>
      <w:r w:rsidRPr="0045528F">
        <w:rPr>
          <w:rFonts w:cstheme="minorHAnsi"/>
          <w:sz w:val="24"/>
          <w:szCs w:val="24"/>
        </w:rPr>
        <w:t>Salahinejad</w:t>
      </w:r>
      <w:proofErr w:type="spellEnd"/>
      <w:r w:rsidRPr="0045528F">
        <w:rPr>
          <w:rFonts w:cstheme="minorHAnsi"/>
          <w:sz w:val="24"/>
          <w:szCs w:val="24"/>
        </w:rPr>
        <w:t>, 2020</w:t>
      </w:r>
      <w:bookmarkEnd w:id="28"/>
      <w:r w:rsidRPr="00D21F46">
        <w:rPr>
          <w:rFonts w:cstheme="minorHAnsi"/>
          <w:sz w:val="24"/>
          <w:szCs w:val="24"/>
        </w:rPr>
        <w:t>), where the strength of the PLGA-coated scaffolds is acceptable for bone tissue-engineering applications.</w:t>
      </w:r>
    </w:p>
    <w:p w14:paraId="768DDD91" w14:textId="739797CA" w:rsidR="00D21F46" w:rsidRPr="00D21F46" w:rsidRDefault="00D21F46" w:rsidP="001107AE">
      <w:pPr>
        <w:pStyle w:val="NoSpacing"/>
      </w:pPr>
      <w:r w:rsidRPr="00D21F46">
        <w:rPr>
          <w:noProof/>
        </w:rPr>
        <w:drawing>
          <wp:inline distT="0" distB="0" distL="0" distR="0" wp14:anchorId="413EAE8E" wp14:editId="291FBD7F">
            <wp:extent cx="3529584" cy="5486400"/>
            <wp:effectExtent l="0" t="0" r="0" b="0"/>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29584" cy="5486400"/>
                    </a:xfrm>
                    <a:prstGeom prst="rect">
                      <a:avLst/>
                    </a:prstGeom>
                    <a:noFill/>
                    <a:ln>
                      <a:noFill/>
                    </a:ln>
                  </pic:spPr>
                </pic:pic>
              </a:graphicData>
            </a:graphic>
          </wp:inline>
        </w:drawing>
      </w:r>
    </w:p>
    <w:p w14:paraId="1F31CA50" w14:textId="77777777" w:rsidR="00D21F46" w:rsidRPr="00D21F46" w:rsidRDefault="00D21F46" w:rsidP="001107AE">
      <w:pPr>
        <w:pStyle w:val="NoSpacing"/>
      </w:pPr>
      <w:r w:rsidRPr="00D21F46">
        <w:t>Fig. 2. FESEM micrographs of the bare (a, b), 5% PLGA-coated (c, d) and 10% PLGA-coated (e, f) bredigite scaffolds in two magnifications.</w:t>
      </w:r>
    </w:p>
    <w:p w14:paraId="542B1263" w14:textId="4A1FC549" w:rsidR="00D21F46" w:rsidRPr="00D21F46" w:rsidRDefault="00D21F46" w:rsidP="001107AE">
      <w:pPr>
        <w:pStyle w:val="NoSpacing"/>
      </w:pPr>
      <w:r w:rsidRPr="00D21F46">
        <w:rPr>
          <w:noProof/>
        </w:rPr>
        <w:drawing>
          <wp:inline distT="0" distB="0" distL="0" distR="0" wp14:anchorId="1CBB4213" wp14:editId="41B5759F">
            <wp:extent cx="3657600" cy="3657600"/>
            <wp:effectExtent l="0" t="0" r="0" b="0"/>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3657600"/>
                    </a:xfrm>
                    <a:prstGeom prst="rect">
                      <a:avLst/>
                    </a:prstGeom>
                    <a:noFill/>
                    <a:ln>
                      <a:noFill/>
                    </a:ln>
                  </pic:spPr>
                </pic:pic>
              </a:graphicData>
            </a:graphic>
          </wp:inline>
        </w:drawing>
      </w:r>
    </w:p>
    <w:p w14:paraId="5AA5C7E3" w14:textId="77777777" w:rsidR="00D21F46" w:rsidRDefault="00D21F46" w:rsidP="001107AE">
      <w:pPr>
        <w:pStyle w:val="NoSpacing"/>
      </w:pPr>
      <w:r w:rsidRPr="00D21F46">
        <w:t>Fig. 3. Cross-sectional FESEM micrographs of the 5% (a, b) and 10% (c, d) PLGA-coated bredigite struts, where A, B and C represent the PLGA coating surface, bredigite strut cross section and PLGA coating cross section, respectively.</w:t>
      </w:r>
    </w:p>
    <w:p w14:paraId="38B656F4" w14:textId="77777777" w:rsidR="001107AE" w:rsidRPr="00D21F46" w:rsidRDefault="001107AE" w:rsidP="00D21F46">
      <w:pPr>
        <w:rPr>
          <w:rFonts w:cstheme="minorHAnsi"/>
          <w:sz w:val="24"/>
          <w:szCs w:val="24"/>
        </w:rPr>
      </w:pPr>
    </w:p>
    <w:p w14:paraId="24F248A0" w14:textId="0EF4EB0B" w:rsidR="00D21F46" w:rsidRPr="00D21F46" w:rsidRDefault="00D21F46" w:rsidP="00D21F46">
      <w:pPr>
        <w:rPr>
          <w:rFonts w:cstheme="minorHAnsi"/>
          <w:sz w:val="24"/>
          <w:szCs w:val="24"/>
        </w:rPr>
      </w:pPr>
      <w:proofErr w:type="gramStart"/>
      <w:r w:rsidRPr="00D21F46">
        <w:rPr>
          <w:rFonts w:cstheme="minorHAnsi"/>
          <w:sz w:val="24"/>
          <w:szCs w:val="24"/>
        </w:rPr>
        <w:t>In order to</w:t>
      </w:r>
      <w:proofErr w:type="gramEnd"/>
      <w:r w:rsidRPr="00D21F46">
        <w:rPr>
          <w:rFonts w:cstheme="minorHAnsi"/>
          <w:sz w:val="24"/>
          <w:szCs w:val="24"/>
        </w:rPr>
        <w:t xml:space="preserve"> confirm the formation of bredigite, the incorporation of vancomycin and the deposition of PLGA, the FTIR spectroscopy on the samples was used (</w:t>
      </w:r>
      <w:bookmarkStart w:id="51" w:name="bf0020"/>
      <w:r w:rsidRPr="0045528F">
        <w:rPr>
          <w:rFonts w:cstheme="minorHAnsi"/>
          <w:sz w:val="24"/>
          <w:szCs w:val="24"/>
        </w:rPr>
        <w:t>Fig. 4</w:t>
      </w:r>
      <w:r w:rsidRPr="00D21F46">
        <w:rPr>
          <w:rFonts w:cstheme="minorHAnsi"/>
          <w:sz w:val="24"/>
          <w:szCs w:val="24"/>
        </w:rPr>
        <w:t>). For the ceramic scaffold before impregnating with the drug and PLGA (</w:t>
      </w:r>
      <w:r w:rsidRPr="0045528F">
        <w:rPr>
          <w:rFonts w:cstheme="minorHAnsi"/>
          <w:sz w:val="24"/>
          <w:szCs w:val="24"/>
        </w:rPr>
        <w:t>Fig. 4</w:t>
      </w:r>
      <w:r w:rsidRPr="00D21F46">
        <w:rPr>
          <w:rFonts w:cstheme="minorHAnsi"/>
          <w:sz w:val="24"/>
          <w:szCs w:val="24"/>
        </w:rPr>
        <w:t>a), the characteristic peaks of 1100–1000, 960 and 873 cm</w:t>
      </w:r>
      <w:r w:rsidRPr="00D21F46">
        <w:rPr>
          <w:rFonts w:cstheme="minorHAnsi"/>
          <w:sz w:val="24"/>
          <w:szCs w:val="24"/>
          <w:vertAlign w:val="superscript"/>
        </w:rPr>
        <w:t>−1</w:t>
      </w:r>
      <w:r w:rsidRPr="00D21F46">
        <w:rPr>
          <w:rFonts w:cstheme="minorHAnsi"/>
          <w:sz w:val="24"/>
          <w:szCs w:val="24"/>
        </w:rPr>
        <w:t xml:space="preserve"> are assigned to the SiO</w:t>
      </w:r>
      <w:r w:rsidRPr="00D21F46">
        <w:rPr>
          <w:rFonts w:cstheme="minorHAnsi"/>
          <w:sz w:val="24"/>
          <w:szCs w:val="24"/>
          <w:vertAlign w:val="subscript"/>
        </w:rPr>
        <w:t>4</w:t>
      </w:r>
      <w:r w:rsidRPr="00D21F46">
        <w:rPr>
          <w:rFonts w:cstheme="minorHAnsi"/>
          <w:sz w:val="24"/>
          <w:szCs w:val="24"/>
        </w:rPr>
        <w:t xml:space="preserve"> tetrahedron stretching. The peak of 616 cm</w:t>
      </w:r>
      <w:r w:rsidRPr="00D21F46">
        <w:rPr>
          <w:rFonts w:cstheme="minorHAnsi"/>
          <w:sz w:val="24"/>
          <w:szCs w:val="24"/>
          <w:vertAlign w:val="superscript"/>
        </w:rPr>
        <w:t>−1</w:t>
      </w:r>
      <w:r w:rsidRPr="00D21F46">
        <w:rPr>
          <w:rFonts w:cstheme="minorHAnsi"/>
          <w:sz w:val="24"/>
          <w:szCs w:val="24"/>
        </w:rPr>
        <w:t xml:space="preserve"> is related to the SiO</w:t>
      </w:r>
      <w:r w:rsidRPr="00D21F46">
        <w:rPr>
          <w:rFonts w:cstheme="minorHAnsi"/>
          <w:sz w:val="24"/>
          <w:szCs w:val="24"/>
          <w:vertAlign w:val="subscript"/>
        </w:rPr>
        <w:t>4</w:t>
      </w:r>
      <w:r w:rsidRPr="00D21F46">
        <w:rPr>
          <w:rFonts w:cstheme="minorHAnsi"/>
          <w:sz w:val="24"/>
          <w:szCs w:val="24"/>
        </w:rPr>
        <w:t xml:space="preserve"> tetrahedron bending. Also, 516 and 553 cm</w:t>
      </w:r>
      <w:r w:rsidRPr="00D21F46">
        <w:rPr>
          <w:rFonts w:cstheme="minorHAnsi"/>
          <w:sz w:val="24"/>
          <w:szCs w:val="24"/>
          <w:vertAlign w:val="superscript"/>
        </w:rPr>
        <w:t>−1</w:t>
      </w:r>
      <w:r w:rsidRPr="00D21F46">
        <w:rPr>
          <w:rFonts w:cstheme="minorHAnsi"/>
          <w:sz w:val="24"/>
          <w:szCs w:val="24"/>
        </w:rPr>
        <w:t xml:space="preserve"> are attributed to the O–Mg–O bending and Ca–O stretching vibrations, respectively. These assignments are in good agreement with the functional groups of bredigite (</w:t>
      </w:r>
      <w:bookmarkStart w:id="52" w:name="bb0100"/>
      <w:proofErr w:type="spellStart"/>
      <w:r w:rsidRPr="0045528F">
        <w:rPr>
          <w:rFonts w:cstheme="minorHAnsi"/>
          <w:sz w:val="24"/>
          <w:szCs w:val="24"/>
        </w:rPr>
        <w:t>Khandan</w:t>
      </w:r>
      <w:proofErr w:type="spellEnd"/>
      <w:r w:rsidRPr="0045528F">
        <w:rPr>
          <w:rFonts w:cstheme="minorHAnsi"/>
          <w:sz w:val="24"/>
          <w:szCs w:val="24"/>
        </w:rPr>
        <w:t xml:space="preserve"> and </w:t>
      </w:r>
      <w:proofErr w:type="spellStart"/>
      <w:r w:rsidRPr="0045528F">
        <w:rPr>
          <w:rFonts w:cstheme="minorHAnsi"/>
          <w:sz w:val="24"/>
          <w:szCs w:val="24"/>
        </w:rPr>
        <w:t>Ozada</w:t>
      </w:r>
      <w:proofErr w:type="spellEnd"/>
      <w:r w:rsidRPr="0045528F">
        <w:rPr>
          <w:rFonts w:cstheme="minorHAnsi"/>
          <w:sz w:val="24"/>
          <w:szCs w:val="24"/>
        </w:rPr>
        <w:t>, 2017</w:t>
      </w:r>
      <w:bookmarkEnd w:id="52"/>
      <w:r w:rsidRPr="00D21F46">
        <w:rPr>
          <w:rFonts w:cstheme="minorHAnsi"/>
          <w:sz w:val="24"/>
          <w:szCs w:val="24"/>
        </w:rPr>
        <w:t xml:space="preserve">, </w:t>
      </w:r>
      <w:proofErr w:type="spellStart"/>
      <w:r w:rsidRPr="0045528F">
        <w:rPr>
          <w:rFonts w:cstheme="minorHAnsi"/>
          <w:sz w:val="24"/>
          <w:szCs w:val="24"/>
        </w:rPr>
        <w:t>Mirhadi</w:t>
      </w:r>
      <w:proofErr w:type="spellEnd"/>
      <w:r w:rsidRPr="0045528F">
        <w:rPr>
          <w:rFonts w:cstheme="minorHAnsi"/>
          <w:sz w:val="24"/>
          <w:szCs w:val="24"/>
        </w:rPr>
        <w:t xml:space="preserve"> et al., 2012</w:t>
      </w:r>
      <w:bookmarkEnd w:id="39"/>
      <w:r w:rsidRPr="00D21F46">
        <w:rPr>
          <w:rFonts w:cstheme="minorHAnsi"/>
          <w:sz w:val="24"/>
          <w:szCs w:val="24"/>
        </w:rPr>
        <w:t xml:space="preserve">, </w:t>
      </w:r>
      <w:bookmarkStart w:id="53" w:name="bb0195"/>
      <w:r w:rsidRPr="0045528F">
        <w:rPr>
          <w:rFonts w:cstheme="minorHAnsi"/>
          <w:sz w:val="24"/>
          <w:szCs w:val="24"/>
        </w:rPr>
        <w:t>Rahmati et al., 2018</w:t>
      </w:r>
      <w:bookmarkEnd w:id="53"/>
      <w:r w:rsidRPr="00D21F46">
        <w:rPr>
          <w:rFonts w:cstheme="minorHAnsi"/>
          <w:sz w:val="24"/>
          <w:szCs w:val="24"/>
        </w:rPr>
        <w:t>). For the vancomycin-loaded scaffolds (</w:t>
      </w:r>
      <w:r w:rsidRPr="0045528F">
        <w:rPr>
          <w:rFonts w:cstheme="minorHAnsi"/>
          <w:sz w:val="24"/>
          <w:szCs w:val="24"/>
        </w:rPr>
        <w:t>Fig. 4</w:t>
      </w:r>
      <w:r w:rsidRPr="00D21F46">
        <w:rPr>
          <w:rFonts w:cstheme="minorHAnsi"/>
          <w:sz w:val="24"/>
          <w:szCs w:val="24"/>
        </w:rPr>
        <w:t>b and c), the broad peak of 3406 cm</w:t>
      </w:r>
      <w:r w:rsidRPr="00D21F46">
        <w:rPr>
          <w:rFonts w:cstheme="minorHAnsi"/>
          <w:sz w:val="24"/>
          <w:szCs w:val="24"/>
          <w:vertAlign w:val="superscript"/>
        </w:rPr>
        <w:t>−1</w:t>
      </w:r>
      <w:r w:rsidRPr="00D21F46">
        <w:rPr>
          <w:rFonts w:cstheme="minorHAnsi"/>
          <w:sz w:val="24"/>
          <w:szCs w:val="24"/>
        </w:rPr>
        <w:t xml:space="preserve"> is attributed to the stretching vibration of the hydroxyl group. Also, peaks at 1655, 1504 and 1231 cm</w:t>
      </w:r>
      <w:r w:rsidRPr="00D21F46">
        <w:rPr>
          <w:rFonts w:cstheme="minorHAnsi"/>
          <w:sz w:val="24"/>
          <w:szCs w:val="24"/>
          <w:vertAlign w:val="superscript"/>
        </w:rPr>
        <w:t>−1</w:t>
      </w:r>
      <w:r w:rsidRPr="00D21F46">
        <w:rPr>
          <w:rFonts w:cstheme="minorHAnsi"/>
          <w:sz w:val="24"/>
          <w:szCs w:val="24"/>
        </w:rPr>
        <w:t xml:space="preserve"> are assigned to the vibrational modes of C</w:t>
      </w:r>
      <w:r w:rsidRPr="00D21F46">
        <w:rPr>
          <w:rFonts w:cstheme="minorHAnsi"/>
          <w:noProof/>
          <w:sz w:val="24"/>
          <w:szCs w:val="24"/>
        </w:rPr>
        <w:drawing>
          <wp:inline distT="0" distB="0" distL="0" distR="0" wp14:anchorId="56E28720" wp14:editId="4A8CE8F5">
            <wp:extent cx="175260" cy="38100"/>
            <wp:effectExtent l="0" t="0" r="0" b="0"/>
            <wp:docPr id="12" name="Picture 12" descr="doub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uble bon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5260" cy="38100"/>
                    </a:xfrm>
                    <a:prstGeom prst="rect">
                      <a:avLst/>
                    </a:prstGeom>
                    <a:noFill/>
                    <a:ln>
                      <a:noFill/>
                    </a:ln>
                  </pic:spPr>
                </pic:pic>
              </a:graphicData>
            </a:graphic>
          </wp:inline>
        </w:drawing>
      </w:r>
      <w:r w:rsidRPr="00D21F46">
        <w:rPr>
          <w:rFonts w:cstheme="minorHAnsi"/>
          <w:sz w:val="24"/>
          <w:szCs w:val="24"/>
        </w:rPr>
        <w:t>O, aromatic C</w:t>
      </w:r>
      <w:r w:rsidRPr="00D21F46">
        <w:rPr>
          <w:rFonts w:cstheme="minorHAnsi"/>
          <w:noProof/>
          <w:sz w:val="24"/>
          <w:szCs w:val="24"/>
        </w:rPr>
        <w:drawing>
          <wp:inline distT="0" distB="0" distL="0" distR="0" wp14:anchorId="4B66C79E" wp14:editId="1AD1DE17">
            <wp:extent cx="175260" cy="38100"/>
            <wp:effectExtent l="0" t="0" r="0" b="0"/>
            <wp:docPr id="11" name="Picture 11" descr="doub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uble bon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5260" cy="38100"/>
                    </a:xfrm>
                    <a:prstGeom prst="rect">
                      <a:avLst/>
                    </a:prstGeom>
                    <a:noFill/>
                    <a:ln>
                      <a:noFill/>
                    </a:ln>
                  </pic:spPr>
                </pic:pic>
              </a:graphicData>
            </a:graphic>
          </wp:inline>
        </w:drawing>
      </w:r>
      <w:proofErr w:type="spellStart"/>
      <w:r w:rsidRPr="00D21F46">
        <w:rPr>
          <w:rFonts w:cstheme="minorHAnsi"/>
          <w:sz w:val="24"/>
          <w:szCs w:val="24"/>
        </w:rPr>
        <w:t>C</w:t>
      </w:r>
      <w:proofErr w:type="spellEnd"/>
      <w:r w:rsidRPr="00D21F46">
        <w:rPr>
          <w:rFonts w:cstheme="minorHAnsi"/>
          <w:sz w:val="24"/>
          <w:szCs w:val="24"/>
        </w:rPr>
        <w:t xml:space="preserve"> and phenolic cycle, respectively (</w:t>
      </w:r>
      <w:bookmarkStart w:id="54" w:name="bb0025"/>
      <w:proofErr w:type="spellStart"/>
      <w:r w:rsidRPr="0045528F">
        <w:rPr>
          <w:rFonts w:cstheme="minorHAnsi"/>
          <w:sz w:val="24"/>
          <w:szCs w:val="24"/>
        </w:rPr>
        <w:t>Cerchiara</w:t>
      </w:r>
      <w:proofErr w:type="spellEnd"/>
      <w:r w:rsidRPr="0045528F">
        <w:rPr>
          <w:rFonts w:cstheme="minorHAnsi"/>
          <w:sz w:val="24"/>
          <w:szCs w:val="24"/>
        </w:rPr>
        <w:t xml:space="preserve"> et al., 2015</w:t>
      </w:r>
      <w:bookmarkEnd w:id="54"/>
      <w:r w:rsidRPr="00D21F46">
        <w:rPr>
          <w:rFonts w:cstheme="minorHAnsi"/>
          <w:sz w:val="24"/>
          <w:szCs w:val="24"/>
        </w:rPr>
        <w:t xml:space="preserve">, </w:t>
      </w:r>
      <w:bookmarkStart w:id="55" w:name="bb0170"/>
      <w:proofErr w:type="spellStart"/>
      <w:r w:rsidRPr="0045528F">
        <w:rPr>
          <w:rFonts w:cstheme="minorHAnsi"/>
          <w:sz w:val="24"/>
          <w:szCs w:val="24"/>
        </w:rPr>
        <w:t>Ordikhani</w:t>
      </w:r>
      <w:proofErr w:type="spellEnd"/>
      <w:r w:rsidRPr="0045528F">
        <w:rPr>
          <w:rFonts w:cstheme="minorHAnsi"/>
          <w:sz w:val="24"/>
          <w:szCs w:val="24"/>
        </w:rPr>
        <w:t xml:space="preserve"> and </w:t>
      </w:r>
      <w:proofErr w:type="spellStart"/>
      <w:r w:rsidRPr="0045528F">
        <w:rPr>
          <w:rFonts w:cstheme="minorHAnsi"/>
          <w:sz w:val="24"/>
          <w:szCs w:val="24"/>
        </w:rPr>
        <w:t>Simchi</w:t>
      </w:r>
      <w:proofErr w:type="spellEnd"/>
      <w:r w:rsidRPr="0045528F">
        <w:rPr>
          <w:rFonts w:cstheme="minorHAnsi"/>
          <w:sz w:val="24"/>
          <w:szCs w:val="24"/>
        </w:rPr>
        <w:t>, 2014</w:t>
      </w:r>
      <w:bookmarkEnd w:id="55"/>
      <w:r w:rsidRPr="00D21F46">
        <w:rPr>
          <w:rFonts w:cstheme="minorHAnsi"/>
          <w:sz w:val="24"/>
          <w:szCs w:val="24"/>
        </w:rPr>
        <w:t xml:space="preserve">, </w:t>
      </w:r>
      <w:bookmarkStart w:id="56" w:name="bb0285"/>
      <w:r w:rsidRPr="0045528F">
        <w:rPr>
          <w:rFonts w:cstheme="minorHAnsi"/>
          <w:sz w:val="24"/>
          <w:szCs w:val="24"/>
        </w:rPr>
        <w:t>Yao et al., 2013</w:t>
      </w:r>
      <w:r w:rsidRPr="00D21F46">
        <w:rPr>
          <w:rFonts w:cstheme="minorHAnsi"/>
          <w:sz w:val="24"/>
          <w:szCs w:val="24"/>
        </w:rPr>
        <w:t xml:space="preserve">), proving the successful incorporation of vancomycin into the scaffolds. The lack of any shifts in the absorption bands of vancomycin suggests that no chemical interactions occur between the drug and other substances, as </w:t>
      </w:r>
      <w:proofErr w:type="gramStart"/>
      <w:r w:rsidRPr="00D21F46">
        <w:rPr>
          <w:rFonts w:cstheme="minorHAnsi"/>
          <w:sz w:val="24"/>
          <w:szCs w:val="24"/>
        </w:rPr>
        <w:t>an evidence</w:t>
      </w:r>
      <w:proofErr w:type="gramEnd"/>
      <w:r w:rsidRPr="00D21F46">
        <w:rPr>
          <w:rFonts w:cstheme="minorHAnsi"/>
          <w:sz w:val="24"/>
          <w:szCs w:val="24"/>
        </w:rPr>
        <w:t xml:space="preserve"> for the physical adsorption of the drug. Also, for the PLGA-coated sample (</w:t>
      </w:r>
      <w:r w:rsidRPr="0045528F">
        <w:rPr>
          <w:rFonts w:cstheme="minorHAnsi"/>
          <w:sz w:val="24"/>
          <w:szCs w:val="24"/>
        </w:rPr>
        <w:t>Fig. 4</w:t>
      </w:r>
      <w:bookmarkEnd w:id="51"/>
      <w:r w:rsidRPr="00D21F46">
        <w:rPr>
          <w:rFonts w:cstheme="minorHAnsi"/>
          <w:sz w:val="24"/>
          <w:szCs w:val="24"/>
        </w:rPr>
        <w:t>c), the characteristic peaks of PLGA are identified at 1182 and 1089 cm</w:t>
      </w:r>
      <w:r w:rsidRPr="00D21F46">
        <w:rPr>
          <w:rFonts w:cstheme="minorHAnsi"/>
          <w:sz w:val="24"/>
          <w:szCs w:val="24"/>
          <w:vertAlign w:val="superscript"/>
        </w:rPr>
        <w:t>−1</w:t>
      </w:r>
      <w:r w:rsidRPr="00D21F46">
        <w:rPr>
          <w:rFonts w:cstheme="minorHAnsi"/>
          <w:sz w:val="24"/>
          <w:szCs w:val="24"/>
        </w:rPr>
        <w:t xml:space="preserve"> (C</w:t>
      </w:r>
      <w:r w:rsidRPr="00D21F46">
        <w:rPr>
          <w:rFonts w:cstheme="minorHAnsi"/>
          <w:noProof/>
          <w:sz w:val="24"/>
          <w:szCs w:val="24"/>
        </w:rPr>
        <w:drawing>
          <wp:inline distT="0" distB="0" distL="0" distR="0" wp14:anchorId="4104CEF1" wp14:editId="0041DF18">
            <wp:extent cx="175260" cy="7620"/>
            <wp:effectExtent l="0" t="0" r="0" b="0"/>
            <wp:docPr id="10" name="Picture 10"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ngle bon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5260" cy="7620"/>
                    </a:xfrm>
                    <a:prstGeom prst="rect">
                      <a:avLst/>
                    </a:prstGeom>
                    <a:noFill/>
                    <a:ln>
                      <a:noFill/>
                    </a:ln>
                  </pic:spPr>
                </pic:pic>
              </a:graphicData>
            </a:graphic>
          </wp:inline>
        </w:drawing>
      </w:r>
      <w:r w:rsidRPr="00D21F46">
        <w:rPr>
          <w:rFonts w:cstheme="minorHAnsi"/>
          <w:sz w:val="24"/>
          <w:szCs w:val="24"/>
        </w:rPr>
        <w:t>O</w:t>
      </w:r>
      <w:r w:rsidRPr="00D21F46">
        <w:rPr>
          <w:rFonts w:cstheme="minorHAnsi"/>
          <w:noProof/>
          <w:sz w:val="24"/>
          <w:szCs w:val="24"/>
        </w:rPr>
        <w:drawing>
          <wp:inline distT="0" distB="0" distL="0" distR="0" wp14:anchorId="7083C585" wp14:editId="7A183AD0">
            <wp:extent cx="175260" cy="7620"/>
            <wp:effectExtent l="0" t="0" r="0" b="0"/>
            <wp:docPr id="9" name="Picture 9"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ingle bon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5260" cy="7620"/>
                    </a:xfrm>
                    <a:prstGeom prst="rect">
                      <a:avLst/>
                    </a:prstGeom>
                    <a:noFill/>
                    <a:ln>
                      <a:noFill/>
                    </a:ln>
                  </pic:spPr>
                </pic:pic>
              </a:graphicData>
            </a:graphic>
          </wp:inline>
        </w:drawing>
      </w:r>
      <w:r w:rsidRPr="00D21F46">
        <w:rPr>
          <w:rFonts w:cstheme="minorHAnsi"/>
          <w:sz w:val="24"/>
          <w:szCs w:val="24"/>
        </w:rPr>
        <w:t>C stretching), 1752 cm</w:t>
      </w:r>
      <w:r w:rsidRPr="00D21F46">
        <w:rPr>
          <w:rFonts w:cstheme="minorHAnsi"/>
          <w:sz w:val="24"/>
          <w:szCs w:val="24"/>
          <w:vertAlign w:val="superscript"/>
        </w:rPr>
        <w:t>−1</w:t>
      </w:r>
      <w:r w:rsidRPr="00D21F46">
        <w:rPr>
          <w:rFonts w:cstheme="minorHAnsi"/>
          <w:sz w:val="24"/>
          <w:szCs w:val="24"/>
        </w:rPr>
        <w:t xml:space="preserve"> (C</w:t>
      </w:r>
      <w:r w:rsidRPr="00D21F46">
        <w:rPr>
          <w:rFonts w:cstheme="minorHAnsi"/>
          <w:noProof/>
          <w:sz w:val="24"/>
          <w:szCs w:val="24"/>
        </w:rPr>
        <w:drawing>
          <wp:inline distT="0" distB="0" distL="0" distR="0" wp14:anchorId="0A3D7495" wp14:editId="0E952604">
            <wp:extent cx="175260" cy="38100"/>
            <wp:effectExtent l="0" t="0" r="0" b="0"/>
            <wp:docPr id="8" name="Picture 8" descr="doub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uble bon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5260" cy="38100"/>
                    </a:xfrm>
                    <a:prstGeom prst="rect">
                      <a:avLst/>
                    </a:prstGeom>
                    <a:noFill/>
                    <a:ln>
                      <a:noFill/>
                    </a:ln>
                  </pic:spPr>
                </pic:pic>
              </a:graphicData>
            </a:graphic>
          </wp:inline>
        </w:drawing>
      </w:r>
      <w:r w:rsidRPr="00D21F46">
        <w:rPr>
          <w:rFonts w:cstheme="minorHAnsi"/>
          <w:sz w:val="24"/>
          <w:szCs w:val="24"/>
        </w:rPr>
        <w:t>O stretching) and 1454 cm</w:t>
      </w:r>
      <w:r w:rsidRPr="00D21F46">
        <w:rPr>
          <w:rFonts w:cstheme="minorHAnsi"/>
          <w:sz w:val="24"/>
          <w:szCs w:val="24"/>
          <w:vertAlign w:val="superscript"/>
        </w:rPr>
        <w:t>−1</w:t>
      </w:r>
      <w:r w:rsidRPr="00D21F46">
        <w:rPr>
          <w:rFonts w:cstheme="minorHAnsi"/>
          <w:sz w:val="24"/>
          <w:szCs w:val="24"/>
        </w:rPr>
        <w:t xml:space="preserve"> (C</w:t>
      </w:r>
      <w:r w:rsidRPr="00D21F46">
        <w:rPr>
          <w:rFonts w:cstheme="minorHAnsi"/>
          <w:noProof/>
          <w:sz w:val="24"/>
          <w:szCs w:val="24"/>
        </w:rPr>
        <w:drawing>
          <wp:inline distT="0" distB="0" distL="0" distR="0" wp14:anchorId="72AE35F1" wp14:editId="0AE03143">
            <wp:extent cx="175260" cy="7620"/>
            <wp:effectExtent l="0" t="0" r="0" b="0"/>
            <wp:docPr id="7" name="Picture 7"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ingle bon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5260" cy="7620"/>
                    </a:xfrm>
                    <a:prstGeom prst="rect">
                      <a:avLst/>
                    </a:prstGeom>
                    <a:noFill/>
                    <a:ln>
                      <a:noFill/>
                    </a:ln>
                  </pic:spPr>
                </pic:pic>
              </a:graphicData>
            </a:graphic>
          </wp:inline>
        </w:drawing>
      </w:r>
      <w:r w:rsidRPr="00D21F46">
        <w:rPr>
          <w:rFonts w:cstheme="minorHAnsi"/>
          <w:sz w:val="24"/>
          <w:szCs w:val="24"/>
        </w:rPr>
        <w:t>H stretching), which are compatible with the FTIR assignments of Refs. (</w:t>
      </w:r>
      <w:bookmarkStart w:id="57" w:name="bb0005"/>
      <w:proofErr w:type="spellStart"/>
      <w:r w:rsidRPr="0045528F">
        <w:rPr>
          <w:rFonts w:cstheme="minorHAnsi"/>
          <w:sz w:val="24"/>
          <w:szCs w:val="24"/>
        </w:rPr>
        <w:t>Akl</w:t>
      </w:r>
      <w:proofErr w:type="spellEnd"/>
      <w:r w:rsidRPr="0045528F">
        <w:rPr>
          <w:rFonts w:cstheme="minorHAnsi"/>
          <w:sz w:val="24"/>
          <w:szCs w:val="24"/>
        </w:rPr>
        <w:t xml:space="preserve"> et al., 2016</w:t>
      </w:r>
      <w:bookmarkEnd w:id="57"/>
      <w:r w:rsidRPr="00D21F46">
        <w:rPr>
          <w:rFonts w:cstheme="minorHAnsi"/>
          <w:sz w:val="24"/>
          <w:szCs w:val="24"/>
        </w:rPr>
        <w:t xml:space="preserve">, </w:t>
      </w:r>
      <w:bookmarkStart w:id="58" w:name="bb0155"/>
      <w:r w:rsidRPr="0045528F">
        <w:rPr>
          <w:rFonts w:cstheme="minorHAnsi"/>
          <w:sz w:val="24"/>
          <w:szCs w:val="24"/>
        </w:rPr>
        <w:t>Meng et al., 2010</w:t>
      </w:r>
      <w:bookmarkEnd w:id="58"/>
      <w:r w:rsidRPr="00D21F46">
        <w:rPr>
          <w:rFonts w:cstheme="minorHAnsi"/>
          <w:sz w:val="24"/>
          <w:szCs w:val="24"/>
        </w:rPr>
        <w:t xml:space="preserve">, </w:t>
      </w:r>
      <w:bookmarkStart w:id="59" w:name="bb0225"/>
      <w:r w:rsidRPr="0045528F">
        <w:rPr>
          <w:rFonts w:cstheme="minorHAnsi"/>
          <w:sz w:val="24"/>
          <w:szCs w:val="24"/>
        </w:rPr>
        <w:t>Singh et al., 2014</w:t>
      </w:r>
      <w:bookmarkEnd w:id="59"/>
      <w:r w:rsidRPr="00D21F46">
        <w:rPr>
          <w:rFonts w:cstheme="minorHAnsi"/>
          <w:sz w:val="24"/>
          <w:szCs w:val="24"/>
        </w:rPr>
        <w:t xml:space="preserve">, </w:t>
      </w:r>
      <w:bookmarkStart w:id="60" w:name="bb0245"/>
      <w:r w:rsidRPr="0045528F">
        <w:rPr>
          <w:rFonts w:cstheme="minorHAnsi"/>
          <w:sz w:val="24"/>
          <w:szCs w:val="24"/>
        </w:rPr>
        <w:t>Wang et al., 2019</w:t>
      </w:r>
      <w:bookmarkEnd w:id="60"/>
      <w:r w:rsidRPr="00D21F46">
        <w:rPr>
          <w:rFonts w:cstheme="minorHAnsi"/>
          <w:sz w:val="24"/>
          <w:szCs w:val="24"/>
        </w:rPr>
        <w:t>) for this aliphatic polyester.</w:t>
      </w:r>
    </w:p>
    <w:p w14:paraId="7DD8F0F2" w14:textId="6470F823" w:rsidR="00D21F46" w:rsidRPr="00D21F46" w:rsidRDefault="00D21F46" w:rsidP="001107AE">
      <w:pPr>
        <w:pStyle w:val="NoSpacing"/>
      </w:pPr>
      <w:r w:rsidRPr="00D21F46">
        <w:rPr>
          <w:noProof/>
        </w:rPr>
        <w:drawing>
          <wp:inline distT="0" distB="0" distL="0" distR="0" wp14:anchorId="20585923" wp14:editId="696E2F59">
            <wp:extent cx="2743200" cy="2194560"/>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2C08F17D" w14:textId="77777777" w:rsidR="00D21F46" w:rsidRDefault="00D21F46" w:rsidP="001107AE">
      <w:pPr>
        <w:pStyle w:val="NoSpacing"/>
      </w:pPr>
      <w:r w:rsidRPr="00D21F46">
        <w:t>Fig. 4. FTIR spectra of the bare vancomycin-free (a), bare vancomycin-loaded (b) and PLGA-coated vancomycin-loaded (c) bredigite scaffolds.</w:t>
      </w:r>
    </w:p>
    <w:p w14:paraId="441CBBC2" w14:textId="77777777" w:rsidR="001107AE" w:rsidRPr="00D21F46" w:rsidRDefault="001107AE" w:rsidP="00D21F46">
      <w:pPr>
        <w:rPr>
          <w:rFonts w:cstheme="minorHAnsi"/>
          <w:sz w:val="24"/>
          <w:szCs w:val="24"/>
        </w:rPr>
      </w:pPr>
    </w:p>
    <w:p w14:paraId="6E2522FF" w14:textId="77777777" w:rsidR="00D21F46" w:rsidRPr="00D21F46" w:rsidRDefault="00D21F46" w:rsidP="001107AE">
      <w:pPr>
        <w:pStyle w:val="Heading2"/>
      </w:pPr>
      <w:r w:rsidRPr="00D21F46">
        <w:t>3.2. Drug delivery assessments</w:t>
      </w:r>
    </w:p>
    <w:p w14:paraId="21BC81A1" w14:textId="169008D6" w:rsidR="00D21F46" w:rsidRPr="00D21F46" w:rsidRDefault="00D21F46" w:rsidP="00D21F46">
      <w:pPr>
        <w:rPr>
          <w:rFonts w:cstheme="minorHAnsi"/>
          <w:sz w:val="24"/>
          <w:szCs w:val="24"/>
        </w:rPr>
      </w:pPr>
      <w:r w:rsidRPr="00D21F46">
        <w:rPr>
          <w:rFonts w:cstheme="minorHAnsi"/>
          <w:sz w:val="24"/>
          <w:szCs w:val="24"/>
        </w:rPr>
        <w:t xml:space="preserve">The accumulative amount and percentage profiles of vancomycin released from the scaffolds are illustrated in </w:t>
      </w:r>
      <w:bookmarkStart w:id="61" w:name="bf0025"/>
      <w:r w:rsidRPr="0045528F">
        <w:rPr>
          <w:rFonts w:cstheme="minorHAnsi"/>
          <w:sz w:val="24"/>
          <w:szCs w:val="24"/>
        </w:rPr>
        <w:t>Fig. 5</w:t>
      </w:r>
      <w:r w:rsidRPr="00D21F46">
        <w:rPr>
          <w:rFonts w:cstheme="minorHAnsi"/>
          <w:sz w:val="24"/>
          <w:szCs w:val="24"/>
        </w:rPr>
        <w:t>. The percentages were calculated with respect to the total loaded content of vancomycin which was 66.6 ± 2.1% of the drug dissolved in the solution. For the bare scaffold, a burst release of vancomycin is detected within 9 h, so that about 94.7 ± 2.5% of the loaded vancomycin level is released. Nevertheless, after coating of the scaffolds with PLGA, the burst release is beneficially declined to the first 6 h with only 21.0 ± 2.9 and 18.5 ± 1.8% of the loaded drug amount for the bredigite-5% PLGA and bredigite-10% PLGA scaffolds, respectively. These modified levels of the burst release in the first 6 h of implantation, called “decisive period”, are essential to prevent the adhesion of bacteria and thereby inhibit infections (</w:t>
      </w:r>
      <w:bookmarkStart w:id="62" w:name="bb0120"/>
      <w:proofErr w:type="spellStart"/>
      <w:r w:rsidRPr="0045528F">
        <w:rPr>
          <w:rFonts w:cstheme="minorHAnsi"/>
          <w:sz w:val="24"/>
          <w:szCs w:val="24"/>
        </w:rPr>
        <w:t>Linke</w:t>
      </w:r>
      <w:proofErr w:type="spellEnd"/>
      <w:r w:rsidRPr="0045528F">
        <w:rPr>
          <w:rFonts w:cstheme="minorHAnsi"/>
          <w:sz w:val="24"/>
          <w:szCs w:val="24"/>
        </w:rPr>
        <w:t xml:space="preserve"> and Goldman, 2011</w:t>
      </w:r>
      <w:bookmarkEnd w:id="62"/>
      <w:r w:rsidRPr="00D21F46">
        <w:rPr>
          <w:rFonts w:cstheme="minorHAnsi"/>
          <w:sz w:val="24"/>
          <w:szCs w:val="24"/>
        </w:rPr>
        <w:t xml:space="preserve">, </w:t>
      </w:r>
      <w:bookmarkStart w:id="63" w:name="bb0190"/>
      <w:proofErr w:type="spellStart"/>
      <w:r w:rsidRPr="0045528F">
        <w:rPr>
          <w:rFonts w:cstheme="minorHAnsi"/>
          <w:sz w:val="24"/>
          <w:szCs w:val="24"/>
        </w:rPr>
        <w:t>Poelstra</w:t>
      </w:r>
      <w:proofErr w:type="spellEnd"/>
      <w:r w:rsidRPr="0045528F">
        <w:rPr>
          <w:rFonts w:cstheme="minorHAnsi"/>
          <w:sz w:val="24"/>
          <w:szCs w:val="24"/>
        </w:rPr>
        <w:t xml:space="preserve"> et al., 2002</w:t>
      </w:r>
      <w:bookmarkEnd w:id="63"/>
      <w:r w:rsidRPr="00D21F46">
        <w:rPr>
          <w:rFonts w:cstheme="minorHAnsi"/>
          <w:sz w:val="24"/>
          <w:szCs w:val="24"/>
        </w:rPr>
        <w:t>).</w:t>
      </w:r>
    </w:p>
    <w:p w14:paraId="57C5D408" w14:textId="7D8EEC6D" w:rsidR="00D21F46" w:rsidRPr="00D21F46" w:rsidRDefault="00D21F46" w:rsidP="001107AE">
      <w:pPr>
        <w:pStyle w:val="NoSpacing"/>
      </w:pPr>
      <w:r w:rsidRPr="00D21F46">
        <w:rPr>
          <w:noProof/>
        </w:rPr>
        <w:drawing>
          <wp:inline distT="0" distB="0" distL="0" distR="0" wp14:anchorId="78604D7B" wp14:editId="431B5A53">
            <wp:extent cx="2743200" cy="3557016"/>
            <wp:effectExtent l="0" t="0" r="0" b="5715"/>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3557016"/>
                    </a:xfrm>
                    <a:prstGeom prst="rect">
                      <a:avLst/>
                    </a:prstGeom>
                    <a:noFill/>
                    <a:ln>
                      <a:noFill/>
                    </a:ln>
                  </pic:spPr>
                </pic:pic>
              </a:graphicData>
            </a:graphic>
          </wp:inline>
        </w:drawing>
      </w:r>
    </w:p>
    <w:p w14:paraId="76624751" w14:textId="77777777" w:rsidR="00D21F46" w:rsidRDefault="00D21F46" w:rsidP="001107AE">
      <w:pPr>
        <w:pStyle w:val="NoSpacing"/>
      </w:pPr>
      <w:r w:rsidRPr="00D21F46">
        <w:t>Fig. 5. Concentration (a) and percentage (b) of vancomycin released from the different scaffolds.</w:t>
      </w:r>
    </w:p>
    <w:p w14:paraId="727F8842" w14:textId="77777777" w:rsidR="001107AE" w:rsidRPr="00D21F46" w:rsidRDefault="001107AE" w:rsidP="00D21F46">
      <w:pPr>
        <w:rPr>
          <w:rFonts w:cstheme="minorHAnsi"/>
          <w:sz w:val="24"/>
          <w:szCs w:val="24"/>
        </w:rPr>
      </w:pPr>
    </w:p>
    <w:p w14:paraId="3356E20B" w14:textId="3D774265" w:rsidR="00D21F46" w:rsidRPr="00D21F46" w:rsidRDefault="00D21F46" w:rsidP="00D21F46">
      <w:pPr>
        <w:rPr>
          <w:rFonts w:cstheme="minorHAnsi"/>
          <w:sz w:val="24"/>
          <w:szCs w:val="24"/>
        </w:rPr>
      </w:pPr>
      <w:r w:rsidRPr="00D21F46">
        <w:rPr>
          <w:rFonts w:cstheme="minorHAnsi"/>
          <w:sz w:val="24"/>
          <w:szCs w:val="24"/>
        </w:rPr>
        <w:t xml:space="preserve">In accordance with </w:t>
      </w:r>
      <w:r w:rsidRPr="0045528F">
        <w:rPr>
          <w:rFonts w:cstheme="minorHAnsi"/>
          <w:sz w:val="24"/>
          <w:szCs w:val="24"/>
        </w:rPr>
        <w:t>Fig. 5</w:t>
      </w:r>
      <w:r w:rsidRPr="00D21F46">
        <w:rPr>
          <w:rFonts w:cstheme="minorHAnsi"/>
          <w:sz w:val="24"/>
          <w:szCs w:val="24"/>
        </w:rPr>
        <w:t xml:space="preserve">, after the initial burst release of the drug from the scaffolds, the release rate of vancomycin </w:t>
      </w:r>
      <w:proofErr w:type="gramStart"/>
      <w:r w:rsidRPr="00D21F46">
        <w:rPr>
          <w:rFonts w:cstheme="minorHAnsi"/>
          <w:sz w:val="24"/>
          <w:szCs w:val="24"/>
        </w:rPr>
        <w:t>decreases</w:t>
      </w:r>
      <w:proofErr w:type="gramEnd"/>
      <w:r w:rsidRPr="00D21F46">
        <w:rPr>
          <w:rFonts w:cstheme="minorHAnsi"/>
          <w:sz w:val="24"/>
          <w:szCs w:val="24"/>
        </w:rPr>
        <w:t xml:space="preserve"> and a sustained release is followed for the coated scaffolds. Typically, after one day of exposure, vancomycin is almost completely released from the bare scaffold, which is insufficient for the antibiotic therapy of osteomyelitis (</w:t>
      </w:r>
      <w:bookmarkStart w:id="64" w:name="bb0055"/>
      <w:r w:rsidRPr="0045528F">
        <w:rPr>
          <w:rFonts w:cstheme="minorHAnsi"/>
          <w:sz w:val="24"/>
          <w:szCs w:val="24"/>
        </w:rPr>
        <w:t xml:space="preserve">Ford and </w:t>
      </w:r>
      <w:proofErr w:type="spellStart"/>
      <w:r w:rsidRPr="0045528F">
        <w:rPr>
          <w:rFonts w:cstheme="minorHAnsi"/>
          <w:sz w:val="24"/>
          <w:szCs w:val="24"/>
        </w:rPr>
        <w:t>Cassat</w:t>
      </w:r>
      <w:proofErr w:type="spellEnd"/>
      <w:r w:rsidRPr="0045528F">
        <w:rPr>
          <w:rFonts w:cstheme="minorHAnsi"/>
          <w:sz w:val="24"/>
          <w:szCs w:val="24"/>
        </w:rPr>
        <w:t>, 2017</w:t>
      </w:r>
      <w:bookmarkEnd w:id="64"/>
      <w:r w:rsidRPr="00D21F46">
        <w:rPr>
          <w:rFonts w:cstheme="minorHAnsi"/>
          <w:sz w:val="24"/>
          <w:szCs w:val="24"/>
        </w:rPr>
        <w:t xml:space="preserve">, </w:t>
      </w:r>
      <w:bookmarkStart w:id="65" w:name="bb0125"/>
      <w:r w:rsidRPr="0045528F">
        <w:rPr>
          <w:rFonts w:cstheme="minorHAnsi"/>
          <w:sz w:val="24"/>
          <w:szCs w:val="24"/>
        </w:rPr>
        <w:t>Long et al., 2016</w:t>
      </w:r>
      <w:bookmarkEnd w:id="65"/>
      <w:r w:rsidRPr="00D21F46">
        <w:rPr>
          <w:rFonts w:cstheme="minorHAnsi"/>
          <w:sz w:val="24"/>
          <w:szCs w:val="24"/>
        </w:rPr>
        <w:t xml:space="preserve">, </w:t>
      </w:r>
      <w:bookmarkStart w:id="66" w:name="bb0175"/>
      <w:r w:rsidRPr="0045528F">
        <w:rPr>
          <w:rFonts w:cstheme="minorHAnsi"/>
          <w:sz w:val="24"/>
          <w:szCs w:val="24"/>
        </w:rPr>
        <w:t>Pande et al., 2015</w:t>
      </w:r>
      <w:bookmarkEnd w:id="66"/>
      <w:r w:rsidRPr="00D21F46">
        <w:rPr>
          <w:rFonts w:cstheme="minorHAnsi"/>
          <w:sz w:val="24"/>
          <w:szCs w:val="24"/>
        </w:rPr>
        <w:t xml:space="preserve">). In a similar study, </w:t>
      </w:r>
      <w:r w:rsidRPr="0045528F">
        <w:rPr>
          <w:rFonts w:cstheme="minorHAnsi"/>
          <w:sz w:val="24"/>
          <w:szCs w:val="24"/>
        </w:rPr>
        <w:t>Yao et al. (2013)</w:t>
      </w:r>
      <w:bookmarkEnd w:id="56"/>
      <w:r w:rsidRPr="00D21F46">
        <w:rPr>
          <w:rFonts w:cstheme="minorHAnsi"/>
          <w:sz w:val="24"/>
          <w:szCs w:val="24"/>
        </w:rPr>
        <w:t xml:space="preserve"> investigated the vancomycin release behavior of bare and coated </w:t>
      </w:r>
      <w:proofErr w:type="spellStart"/>
      <w:r w:rsidRPr="00D21F46">
        <w:rPr>
          <w:rFonts w:cstheme="minorHAnsi"/>
          <w:sz w:val="24"/>
          <w:szCs w:val="24"/>
        </w:rPr>
        <w:t>bioglass</w:t>
      </w:r>
      <w:proofErr w:type="spellEnd"/>
      <w:r w:rsidRPr="00D21F46">
        <w:rPr>
          <w:rFonts w:cstheme="minorHAnsi"/>
          <w:sz w:val="24"/>
          <w:szCs w:val="24"/>
        </w:rPr>
        <w:t xml:space="preserve"> scaffolds and showed that vancomycin was released completely from the bare scaffold in less than 24 h. In contrast, only 33.3 ± 4.6 and 29.6 ± 2.6% of the initial loaded drug amount are desirably released from the 5 and 10% PLGA-coated bredigite scaffolds, respectively. Typically, after 7 days of immersion, nearly 6.16 ± 2.2 and 52.77 ± 2.7% of the drug </w:t>
      </w:r>
      <w:proofErr w:type="gramStart"/>
      <w:r w:rsidRPr="00D21F46">
        <w:rPr>
          <w:rFonts w:cstheme="minorHAnsi"/>
          <w:sz w:val="24"/>
          <w:szCs w:val="24"/>
        </w:rPr>
        <w:t>still remain</w:t>
      </w:r>
      <w:proofErr w:type="gramEnd"/>
      <w:r w:rsidRPr="00D21F46">
        <w:rPr>
          <w:rFonts w:cstheme="minorHAnsi"/>
          <w:sz w:val="24"/>
          <w:szCs w:val="24"/>
        </w:rPr>
        <w:t xml:space="preserve"> in the bredigite-5% PLGA and bredigite-10% PLGA scaffolds, respectively. The different kinetics of vancomycin release from the PLGA-coated samples is attributed to the different encapsulation modes of the struts with the PLGA deposits (</w:t>
      </w:r>
      <w:r w:rsidRPr="0045528F">
        <w:rPr>
          <w:rFonts w:cstheme="minorHAnsi"/>
          <w:sz w:val="24"/>
          <w:szCs w:val="24"/>
        </w:rPr>
        <w:t>Fig. 2</w:t>
      </w:r>
      <w:bookmarkEnd w:id="49"/>
      <w:r w:rsidRPr="00D21F46">
        <w:rPr>
          <w:rFonts w:cstheme="minorHAnsi"/>
          <w:sz w:val="24"/>
          <w:szCs w:val="24"/>
        </w:rPr>
        <w:t>d and f) and the different thicknesses of the coatings (</w:t>
      </w:r>
      <w:r w:rsidRPr="0045528F">
        <w:rPr>
          <w:rFonts w:cstheme="minorHAnsi"/>
          <w:sz w:val="24"/>
          <w:szCs w:val="24"/>
        </w:rPr>
        <w:t>Fig. 3</w:t>
      </w:r>
      <w:bookmarkEnd w:id="50"/>
      <w:r w:rsidRPr="00D21F46">
        <w:rPr>
          <w:rFonts w:cstheme="minorHAnsi"/>
          <w:sz w:val="24"/>
          <w:szCs w:val="24"/>
        </w:rPr>
        <w:t xml:space="preserve">). It is also worth mentioning that the drug release contents from the PLGA-coated scaffolds over the whole study period are above the MIC and MBC levels of vancomycin against </w:t>
      </w:r>
      <w:r w:rsidRPr="00D21F46">
        <w:rPr>
          <w:rFonts w:cstheme="minorHAnsi"/>
          <w:i/>
          <w:iCs/>
          <w:sz w:val="24"/>
          <w:szCs w:val="24"/>
        </w:rPr>
        <w:t>staphylococcus aureus</w:t>
      </w:r>
      <w:r w:rsidRPr="00D21F46">
        <w:rPr>
          <w:rFonts w:cstheme="minorHAnsi"/>
          <w:sz w:val="24"/>
          <w:szCs w:val="24"/>
        </w:rPr>
        <w:t xml:space="preserve"> (0.75–2 and 8 </w:t>
      </w:r>
      <w:proofErr w:type="spellStart"/>
      <w:r w:rsidRPr="00D21F46">
        <w:rPr>
          <w:rFonts w:cstheme="minorHAnsi"/>
          <w:sz w:val="24"/>
          <w:szCs w:val="24"/>
        </w:rPr>
        <w:t>μg</w:t>
      </w:r>
      <w:proofErr w:type="spellEnd"/>
      <w:r w:rsidRPr="00D21F46">
        <w:rPr>
          <w:rFonts w:cstheme="minorHAnsi"/>
          <w:sz w:val="24"/>
          <w:szCs w:val="24"/>
        </w:rPr>
        <w:t>/ml, respectively (</w:t>
      </w:r>
      <w:proofErr w:type="spellStart"/>
      <w:r w:rsidRPr="0045528F">
        <w:rPr>
          <w:rFonts w:cstheme="minorHAnsi"/>
          <w:sz w:val="24"/>
          <w:szCs w:val="24"/>
        </w:rPr>
        <w:t>Coudron</w:t>
      </w:r>
      <w:proofErr w:type="spellEnd"/>
      <w:r w:rsidRPr="0045528F">
        <w:rPr>
          <w:rFonts w:cstheme="minorHAnsi"/>
          <w:sz w:val="24"/>
          <w:szCs w:val="24"/>
        </w:rPr>
        <w:t xml:space="preserve"> et al., 1987</w:t>
      </w:r>
      <w:bookmarkEnd w:id="23"/>
      <w:r w:rsidRPr="00D21F46">
        <w:rPr>
          <w:rFonts w:cstheme="minorHAnsi"/>
          <w:sz w:val="24"/>
          <w:szCs w:val="24"/>
        </w:rPr>
        <w:t xml:space="preserve">, </w:t>
      </w:r>
      <w:r w:rsidRPr="0045528F">
        <w:rPr>
          <w:rFonts w:cstheme="minorHAnsi"/>
          <w:sz w:val="24"/>
          <w:szCs w:val="24"/>
        </w:rPr>
        <w:t>Mason et al., 2009</w:t>
      </w:r>
      <w:bookmarkEnd w:id="25"/>
      <w:r w:rsidRPr="00D21F46">
        <w:rPr>
          <w:rFonts w:cstheme="minorHAnsi"/>
          <w:sz w:val="24"/>
          <w:szCs w:val="24"/>
        </w:rPr>
        <w:t>)), which is desirable for treating osteomyelitis.</w:t>
      </w:r>
    </w:p>
    <w:p w14:paraId="272A7DF7" w14:textId="77777777" w:rsidR="00D21F46" w:rsidRPr="00D21F46" w:rsidRDefault="00D21F46" w:rsidP="001107AE">
      <w:pPr>
        <w:pStyle w:val="Heading2"/>
      </w:pPr>
      <w:r w:rsidRPr="00D21F46">
        <w:t>3.3. Investigation of physiological pH variations</w:t>
      </w:r>
    </w:p>
    <w:p w14:paraId="242F2886" w14:textId="7247E7CB" w:rsidR="00D21F46" w:rsidRPr="00D21F46" w:rsidRDefault="00D21F46" w:rsidP="00D21F46">
      <w:pPr>
        <w:rPr>
          <w:rFonts w:cstheme="minorHAnsi"/>
          <w:sz w:val="24"/>
          <w:szCs w:val="24"/>
        </w:rPr>
      </w:pPr>
      <w:bookmarkStart w:id="67" w:name="bf0030"/>
      <w:r w:rsidRPr="0045528F">
        <w:rPr>
          <w:rFonts w:cstheme="minorHAnsi"/>
          <w:sz w:val="24"/>
          <w:szCs w:val="24"/>
        </w:rPr>
        <w:t>Fig. 6</w:t>
      </w:r>
      <w:r w:rsidRPr="00D21F46">
        <w:rPr>
          <w:rFonts w:cstheme="minorHAnsi"/>
          <w:sz w:val="24"/>
          <w:szCs w:val="24"/>
        </w:rPr>
        <w:t xml:space="preserve"> depicts the pH value of the SBF during exposure to the scaffolds as a biodegradation/</w:t>
      </w:r>
      <w:proofErr w:type="spellStart"/>
      <w:r w:rsidRPr="00D21F46">
        <w:rPr>
          <w:rFonts w:cstheme="minorHAnsi"/>
          <w:sz w:val="24"/>
          <w:szCs w:val="24"/>
        </w:rPr>
        <w:t>bioresorption</w:t>
      </w:r>
      <w:proofErr w:type="spellEnd"/>
      <w:r w:rsidRPr="00D21F46">
        <w:rPr>
          <w:rFonts w:cstheme="minorHAnsi"/>
          <w:sz w:val="24"/>
          <w:szCs w:val="24"/>
        </w:rPr>
        <w:t>-related evaluation. A sharp increase of pH from 7.47 ± 0.02 to 9.17 ± 0.08 is observed for the bare bredigite scaffold during 7 days of soaking. Due to the domination of Ca in the bredigite structure (Ca</w:t>
      </w:r>
      <w:r w:rsidRPr="00D21F46">
        <w:rPr>
          <w:rFonts w:cstheme="minorHAnsi"/>
          <w:sz w:val="24"/>
          <w:szCs w:val="24"/>
          <w:vertAlign w:val="subscript"/>
        </w:rPr>
        <w:t>7</w:t>
      </w:r>
      <w:r w:rsidRPr="00D21F46">
        <w:rPr>
          <w:rFonts w:cstheme="minorHAnsi"/>
          <w:sz w:val="24"/>
          <w:szCs w:val="24"/>
        </w:rPr>
        <w:t>MgSi</w:t>
      </w:r>
      <w:r w:rsidRPr="00D21F46">
        <w:rPr>
          <w:rFonts w:cstheme="minorHAnsi"/>
          <w:sz w:val="24"/>
          <w:szCs w:val="24"/>
          <w:vertAlign w:val="subscript"/>
        </w:rPr>
        <w:t>4</w:t>
      </w:r>
      <w:r w:rsidRPr="00D21F46">
        <w:rPr>
          <w:rFonts w:cstheme="minorHAnsi"/>
          <w:sz w:val="24"/>
          <w:szCs w:val="24"/>
        </w:rPr>
        <w:t>O</w:t>
      </w:r>
      <w:r w:rsidRPr="00D21F46">
        <w:rPr>
          <w:rFonts w:cstheme="minorHAnsi"/>
          <w:sz w:val="24"/>
          <w:szCs w:val="24"/>
          <w:vertAlign w:val="subscript"/>
        </w:rPr>
        <w:t>16</w:t>
      </w:r>
      <w:r w:rsidRPr="00D21F46">
        <w:rPr>
          <w:rFonts w:cstheme="minorHAnsi"/>
          <w:sz w:val="24"/>
          <w:szCs w:val="24"/>
        </w:rPr>
        <w:t xml:space="preserve">) and the high affinity of the Ca-O bond for hydrolysis, the </w:t>
      </w:r>
      <w:proofErr w:type="spellStart"/>
      <w:r w:rsidRPr="00D21F46">
        <w:rPr>
          <w:rFonts w:cstheme="minorHAnsi"/>
          <w:sz w:val="24"/>
          <w:szCs w:val="24"/>
        </w:rPr>
        <w:t>bioresorption</w:t>
      </w:r>
      <w:proofErr w:type="spellEnd"/>
      <w:r w:rsidRPr="00D21F46">
        <w:rPr>
          <w:rFonts w:cstheme="minorHAnsi"/>
          <w:sz w:val="24"/>
          <w:szCs w:val="24"/>
        </w:rPr>
        <w:t xml:space="preserve"> rate of bredigite is very high (</w:t>
      </w:r>
      <w:bookmarkStart w:id="68" w:name="bb0095"/>
      <w:proofErr w:type="spellStart"/>
      <w:r w:rsidRPr="0045528F">
        <w:rPr>
          <w:rFonts w:cstheme="minorHAnsi"/>
          <w:sz w:val="24"/>
          <w:szCs w:val="24"/>
        </w:rPr>
        <w:t>Keihan</w:t>
      </w:r>
      <w:proofErr w:type="spellEnd"/>
      <w:r w:rsidRPr="0045528F">
        <w:rPr>
          <w:rFonts w:cstheme="minorHAnsi"/>
          <w:sz w:val="24"/>
          <w:szCs w:val="24"/>
        </w:rPr>
        <w:t xml:space="preserve"> and </w:t>
      </w:r>
      <w:proofErr w:type="spellStart"/>
      <w:r w:rsidRPr="0045528F">
        <w:rPr>
          <w:rFonts w:cstheme="minorHAnsi"/>
          <w:sz w:val="24"/>
          <w:szCs w:val="24"/>
        </w:rPr>
        <w:t>Salahinejad</w:t>
      </w:r>
      <w:proofErr w:type="spellEnd"/>
      <w:r w:rsidRPr="0045528F">
        <w:rPr>
          <w:rFonts w:cstheme="minorHAnsi"/>
          <w:sz w:val="24"/>
          <w:szCs w:val="24"/>
        </w:rPr>
        <w:t>, 2020</w:t>
      </w:r>
      <w:bookmarkEnd w:id="68"/>
      <w:r w:rsidRPr="00D21F46">
        <w:rPr>
          <w:rFonts w:cstheme="minorHAnsi"/>
          <w:sz w:val="24"/>
          <w:szCs w:val="24"/>
        </w:rPr>
        <w:t xml:space="preserve">, </w:t>
      </w:r>
      <w:r w:rsidRPr="0045528F">
        <w:rPr>
          <w:rFonts w:cstheme="minorHAnsi"/>
          <w:sz w:val="24"/>
          <w:szCs w:val="24"/>
        </w:rPr>
        <w:t>Wu and Chang, 2007a</w:t>
      </w:r>
      <w:r w:rsidRPr="00D21F46">
        <w:rPr>
          <w:rFonts w:cstheme="minorHAnsi"/>
          <w:sz w:val="24"/>
          <w:szCs w:val="24"/>
        </w:rPr>
        <w:t xml:space="preserve">, </w:t>
      </w:r>
      <w:bookmarkStart w:id="69" w:name="bb0310"/>
      <w:proofErr w:type="spellStart"/>
      <w:r w:rsidRPr="0045528F">
        <w:rPr>
          <w:rFonts w:cstheme="minorHAnsi"/>
          <w:sz w:val="24"/>
          <w:szCs w:val="24"/>
        </w:rPr>
        <w:t>Zirak</w:t>
      </w:r>
      <w:proofErr w:type="spellEnd"/>
      <w:r w:rsidRPr="0045528F">
        <w:rPr>
          <w:rFonts w:cstheme="minorHAnsi"/>
          <w:sz w:val="24"/>
          <w:szCs w:val="24"/>
        </w:rPr>
        <w:t xml:space="preserve"> et al., 2020</w:t>
      </w:r>
      <w:bookmarkEnd w:id="69"/>
      <w:r w:rsidRPr="00D21F46">
        <w:rPr>
          <w:rFonts w:cstheme="minorHAnsi"/>
          <w:sz w:val="24"/>
          <w:szCs w:val="24"/>
        </w:rPr>
        <w:t>). This results in a high local concentration of Ca</w:t>
      </w:r>
      <w:r w:rsidRPr="00D21F46">
        <w:rPr>
          <w:rFonts w:cstheme="minorHAnsi"/>
          <w:sz w:val="24"/>
          <w:szCs w:val="24"/>
          <w:vertAlign w:val="superscript"/>
        </w:rPr>
        <w:t>+2</w:t>
      </w:r>
      <w:r w:rsidRPr="00D21F46">
        <w:rPr>
          <w:rFonts w:cstheme="minorHAnsi"/>
          <w:sz w:val="24"/>
          <w:szCs w:val="24"/>
        </w:rPr>
        <w:t xml:space="preserve"> and Mg</w:t>
      </w:r>
      <w:r w:rsidRPr="00D21F46">
        <w:rPr>
          <w:rFonts w:cstheme="minorHAnsi"/>
          <w:sz w:val="24"/>
          <w:szCs w:val="24"/>
          <w:vertAlign w:val="superscript"/>
        </w:rPr>
        <w:t>+2</w:t>
      </w:r>
      <w:r w:rsidRPr="00D21F46">
        <w:rPr>
          <w:rFonts w:cstheme="minorHAnsi"/>
          <w:sz w:val="24"/>
          <w:szCs w:val="24"/>
        </w:rPr>
        <w:t xml:space="preserve"> ions in the surrounding biological environment. Accordingly, the activation of the ion exchange mechanism reduces the hydrogen ion concentration of the environment and thereby enhances </w:t>
      </w:r>
      <w:proofErr w:type="spellStart"/>
      <w:r w:rsidRPr="00D21F46">
        <w:rPr>
          <w:rFonts w:cstheme="minorHAnsi"/>
          <w:sz w:val="24"/>
          <w:szCs w:val="24"/>
        </w:rPr>
        <w:t>pH.</w:t>
      </w:r>
      <w:proofErr w:type="spellEnd"/>
      <w:r w:rsidRPr="00D21F46">
        <w:rPr>
          <w:rFonts w:cstheme="minorHAnsi"/>
          <w:sz w:val="24"/>
          <w:szCs w:val="24"/>
        </w:rPr>
        <w:t xml:space="preserve"> Regarding the bare scaffold impregnated with the drug, the presence of vancomycin despite an acidic character (</w:t>
      </w:r>
      <w:bookmarkStart w:id="70" w:name="bb0135"/>
      <w:r w:rsidRPr="0045528F">
        <w:rPr>
          <w:rFonts w:cstheme="minorHAnsi"/>
          <w:sz w:val="24"/>
          <w:szCs w:val="24"/>
        </w:rPr>
        <w:t>Marshall, 1965</w:t>
      </w:r>
      <w:bookmarkEnd w:id="70"/>
      <w:r w:rsidRPr="00D21F46">
        <w:rPr>
          <w:rFonts w:cstheme="minorHAnsi"/>
          <w:sz w:val="24"/>
          <w:szCs w:val="24"/>
        </w:rPr>
        <w:t xml:space="preserve">) could not significantly decline physiological pH, due to the low concentration of the drug released into the medium. In contrast, the PLGA coating of the vancomycin-loaded scaffolds effectively considerably buffers </w:t>
      </w:r>
      <w:proofErr w:type="spellStart"/>
      <w:r w:rsidRPr="00D21F46">
        <w:rPr>
          <w:rFonts w:cstheme="minorHAnsi"/>
          <w:sz w:val="24"/>
          <w:szCs w:val="24"/>
        </w:rPr>
        <w:t>pH.</w:t>
      </w:r>
      <w:proofErr w:type="spellEnd"/>
      <w:r w:rsidRPr="00D21F46">
        <w:rPr>
          <w:rFonts w:cstheme="minorHAnsi"/>
          <w:sz w:val="24"/>
          <w:szCs w:val="24"/>
        </w:rPr>
        <w:t xml:space="preserve"> According to </w:t>
      </w:r>
      <w:r w:rsidRPr="0045528F">
        <w:rPr>
          <w:rFonts w:cstheme="minorHAnsi"/>
          <w:sz w:val="24"/>
          <w:szCs w:val="24"/>
        </w:rPr>
        <w:t>Fig. 6</w:t>
      </w:r>
      <w:r w:rsidRPr="00D21F46">
        <w:rPr>
          <w:rFonts w:cstheme="minorHAnsi"/>
          <w:sz w:val="24"/>
          <w:szCs w:val="24"/>
        </w:rPr>
        <w:t>, the buffering effect is enhanced by increasing the PLGA concentration from 5% to 10% due to the following reasons:</w:t>
      </w:r>
    </w:p>
    <w:p w14:paraId="6AAEE159" w14:textId="24E4EB75" w:rsidR="00D21F46" w:rsidRPr="001107AE" w:rsidRDefault="00D21F46" w:rsidP="00F55FF6">
      <w:pPr>
        <w:pStyle w:val="ListParagraph"/>
        <w:numPr>
          <w:ilvl w:val="0"/>
          <w:numId w:val="12"/>
        </w:numPr>
        <w:rPr>
          <w:rFonts w:cstheme="minorHAnsi"/>
          <w:sz w:val="24"/>
          <w:szCs w:val="24"/>
        </w:rPr>
      </w:pPr>
      <w:r w:rsidRPr="001107AE">
        <w:rPr>
          <w:rFonts w:cstheme="minorHAnsi"/>
          <w:sz w:val="24"/>
          <w:szCs w:val="24"/>
        </w:rPr>
        <w:t>the release rate of the cations from the bredigite scaffolds is somewhat restricted with the increase of the coating thickness, where the PLGA coatings act as a physical barrier.</w:t>
      </w:r>
    </w:p>
    <w:p w14:paraId="19A04EEE" w14:textId="77777777" w:rsidR="00D21F46" w:rsidRPr="00F55FF6" w:rsidRDefault="00D21F46" w:rsidP="00F55FF6">
      <w:pPr>
        <w:pStyle w:val="ListParagraph"/>
        <w:numPr>
          <w:ilvl w:val="0"/>
          <w:numId w:val="12"/>
        </w:numPr>
        <w:rPr>
          <w:rFonts w:cstheme="minorHAnsi"/>
          <w:sz w:val="24"/>
          <w:szCs w:val="24"/>
        </w:rPr>
      </w:pPr>
      <w:r w:rsidRPr="00F55FF6">
        <w:rPr>
          <w:rFonts w:cstheme="minorHAnsi"/>
          <w:sz w:val="24"/>
          <w:szCs w:val="24"/>
        </w:rPr>
        <w:t>the amount of the acidic coproducts of PLGA (</w:t>
      </w:r>
      <w:proofErr w:type="gramStart"/>
      <w:r w:rsidRPr="00F55FF6">
        <w:rPr>
          <w:rFonts w:cstheme="minorHAnsi"/>
          <w:sz w:val="24"/>
          <w:szCs w:val="24"/>
        </w:rPr>
        <w:t>i.e.</w:t>
      </w:r>
      <w:proofErr w:type="gramEnd"/>
      <w:r w:rsidRPr="00F55FF6">
        <w:rPr>
          <w:rFonts w:cstheme="minorHAnsi"/>
          <w:sz w:val="24"/>
          <w:szCs w:val="24"/>
        </w:rPr>
        <w:t xml:space="preserve"> glycolic and lactic acids) released due to hydrolytic biodegradation is enhanced by increasing the content of PLGA.</w:t>
      </w:r>
    </w:p>
    <w:p w14:paraId="3600B4B0" w14:textId="2633174C" w:rsidR="00D21F46" w:rsidRPr="00D21F46" w:rsidRDefault="00D21F46" w:rsidP="00F55FF6">
      <w:pPr>
        <w:pStyle w:val="NoSpacing"/>
      </w:pPr>
      <w:r w:rsidRPr="00D21F46">
        <w:rPr>
          <w:noProof/>
        </w:rPr>
        <w:drawing>
          <wp:inline distT="0" distB="0" distL="0" distR="0" wp14:anchorId="2189699D" wp14:editId="0B64F8B3">
            <wp:extent cx="3550920" cy="208026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50920" cy="2080260"/>
                    </a:xfrm>
                    <a:prstGeom prst="rect">
                      <a:avLst/>
                    </a:prstGeom>
                    <a:noFill/>
                    <a:ln>
                      <a:noFill/>
                    </a:ln>
                  </pic:spPr>
                </pic:pic>
              </a:graphicData>
            </a:graphic>
          </wp:inline>
        </w:drawing>
      </w:r>
    </w:p>
    <w:p w14:paraId="208F6151" w14:textId="77777777" w:rsidR="00D21F46" w:rsidRDefault="00D21F46" w:rsidP="00F55FF6">
      <w:pPr>
        <w:pStyle w:val="NoSpacing"/>
      </w:pPr>
      <w:r w:rsidRPr="00D21F46">
        <w:t>Fig. 6. pH variations of the SBF in contact with the different scaffolds.</w:t>
      </w:r>
    </w:p>
    <w:p w14:paraId="1C11CE1C" w14:textId="77777777" w:rsidR="00F55FF6" w:rsidRPr="00D21F46" w:rsidRDefault="00F55FF6" w:rsidP="00D21F46">
      <w:pPr>
        <w:rPr>
          <w:rFonts w:cstheme="minorHAnsi"/>
          <w:sz w:val="24"/>
          <w:szCs w:val="24"/>
        </w:rPr>
      </w:pPr>
    </w:p>
    <w:p w14:paraId="37952F54" w14:textId="77777777" w:rsidR="00D21F46" w:rsidRPr="00D21F46" w:rsidRDefault="00D21F46" w:rsidP="00F55FF6">
      <w:pPr>
        <w:pStyle w:val="Heading2"/>
      </w:pPr>
      <w:r w:rsidRPr="00D21F46">
        <w:t>3.4. Biocompatibility evaluations</w:t>
      </w:r>
    </w:p>
    <w:p w14:paraId="714574E4" w14:textId="0C154141" w:rsidR="00D21F46" w:rsidRPr="00D21F46" w:rsidRDefault="00D21F46" w:rsidP="00D21F46">
      <w:pPr>
        <w:rPr>
          <w:rFonts w:cstheme="minorHAnsi"/>
          <w:sz w:val="24"/>
          <w:szCs w:val="24"/>
        </w:rPr>
      </w:pPr>
      <w:r w:rsidRPr="00D21F46">
        <w:rPr>
          <w:rFonts w:cstheme="minorHAnsi"/>
          <w:sz w:val="24"/>
          <w:szCs w:val="24"/>
        </w:rPr>
        <w:t xml:space="preserve">The MTT assay results of the cells cultured on the different scaffolds are indicated in </w:t>
      </w:r>
      <w:bookmarkStart w:id="71" w:name="bf0035"/>
      <w:r w:rsidRPr="0045528F">
        <w:rPr>
          <w:rFonts w:cstheme="minorHAnsi"/>
          <w:sz w:val="24"/>
          <w:szCs w:val="24"/>
        </w:rPr>
        <w:t>Fig. 7</w:t>
      </w:r>
      <w:bookmarkEnd w:id="71"/>
      <w:r w:rsidRPr="00D21F46">
        <w:rPr>
          <w:rFonts w:cstheme="minorHAnsi"/>
          <w:sz w:val="24"/>
          <w:szCs w:val="24"/>
        </w:rPr>
        <w:t xml:space="preserve">, with the significance level of less than 5% (p-value &lt; 0.05). Over the entire periods of culture, the cytocompatibility of the samples with respect to dental pulp stem cells ranks as follows: vancomycin-loaded 10% PLGA-coated bredigite &gt; vancomycin-loaded 5% PLGA-coated &gt; bredigite &gt; vancomycin-loaded bredigite. Essentially, the fast </w:t>
      </w:r>
      <w:proofErr w:type="spellStart"/>
      <w:r w:rsidRPr="00D21F46">
        <w:rPr>
          <w:rFonts w:cstheme="minorHAnsi"/>
          <w:sz w:val="24"/>
          <w:szCs w:val="24"/>
        </w:rPr>
        <w:t>bioresorption</w:t>
      </w:r>
      <w:proofErr w:type="spellEnd"/>
      <w:r w:rsidRPr="00D21F46">
        <w:rPr>
          <w:rFonts w:cstheme="minorHAnsi"/>
          <w:sz w:val="24"/>
          <w:szCs w:val="24"/>
        </w:rPr>
        <w:t xml:space="preserve"> of bredigite leads to high physiological pH (</w:t>
      </w:r>
      <w:r w:rsidRPr="0045528F">
        <w:rPr>
          <w:rFonts w:cstheme="minorHAnsi"/>
          <w:sz w:val="24"/>
          <w:szCs w:val="24"/>
        </w:rPr>
        <w:t>Fig. 6</w:t>
      </w:r>
      <w:r w:rsidRPr="00D21F46">
        <w:rPr>
          <w:rFonts w:cstheme="minorHAnsi"/>
          <w:sz w:val="24"/>
          <w:szCs w:val="24"/>
        </w:rPr>
        <w:t>) and the high concentration of Ca</w:t>
      </w:r>
      <w:r w:rsidRPr="00D21F46">
        <w:rPr>
          <w:rFonts w:cstheme="minorHAnsi"/>
          <w:sz w:val="24"/>
          <w:szCs w:val="24"/>
          <w:vertAlign w:val="superscript"/>
        </w:rPr>
        <w:t>2+</w:t>
      </w:r>
      <w:r w:rsidRPr="00D21F46">
        <w:rPr>
          <w:rFonts w:cstheme="minorHAnsi"/>
          <w:sz w:val="24"/>
          <w:szCs w:val="24"/>
        </w:rPr>
        <w:t xml:space="preserve"> released into the medium (</w:t>
      </w:r>
      <w:bookmarkStart w:id="72" w:name="bb0185"/>
      <w:r w:rsidRPr="0045528F">
        <w:rPr>
          <w:rFonts w:cstheme="minorHAnsi"/>
          <w:sz w:val="24"/>
          <w:szCs w:val="24"/>
        </w:rPr>
        <w:t>Peshwa et al., 1993</w:t>
      </w:r>
      <w:bookmarkEnd w:id="72"/>
      <w:r w:rsidRPr="00D21F46">
        <w:rPr>
          <w:rFonts w:cstheme="minorHAnsi"/>
          <w:sz w:val="24"/>
          <w:szCs w:val="24"/>
        </w:rPr>
        <w:t xml:space="preserve">, </w:t>
      </w:r>
      <w:bookmarkStart w:id="73" w:name="bb0305"/>
      <w:proofErr w:type="spellStart"/>
      <w:r w:rsidRPr="0045528F">
        <w:rPr>
          <w:rFonts w:cstheme="minorHAnsi"/>
          <w:sz w:val="24"/>
          <w:szCs w:val="24"/>
        </w:rPr>
        <w:t>Zhivotovsky</w:t>
      </w:r>
      <w:proofErr w:type="spellEnd"/>
      <w:r w:rsidRPr="0045528F">
        <w:rPr>
          <w:rFonts w:cstheme="minorHAnsi"/>
          <w:sz w:val="24"/>
          <w:szCs w:val="24"/>
        </w:rPr>
        <w:t xml:space="preserve"> and </w:t>
      </w:r>
      <w:proofErr w:type="spellStart"/>
      <w:r w:rsidRPr="0045528F">
        <w:rPr>
          <w:rFonts w:cstheme="minorHAnsi"/>
          <w:sz w:val="24"/>
          <w:szCs w:val="24"/>
        </w:rPr>
        <w:t>Orrenius</w:t>
      </w:r>
      <w:proofErr w:type="spellEnd"/>
      <w:r w:rsidRPr="0045528F">
        <w:rPr>
          <w:rFonts w:cstheme="minorHAnsi"/>
          <w:sz w:val="24"/>
          <w:szCs w:val="24"/>
        </w:rPr>
        <w:t>, 2011</w:t>
      </w:r>
      <w:bookmarkEnd w:id="73"/>
      <w:r w:rsidRPr="00D21F46">
        <w:rPr>
          <w:rFonts w:cstheme="minorHAnsi"/>
          <w:sz w:val="24"/>
          <w:szCs w:val="24"/>
        </w:rPr>
        <w:t>), which are responsible for the relatively low cell viability on the bredigite scaffold, in agreement with Ref. (</w:t>
      </w:r>
      <w:r w:rsidRPr="0045528F">
        <w:rPr>
          <w:rFonts w:cstheme="minorHAnsi"/>
          <w:sz w:val="24"/>
          <w:szCs w:val="24"/>
        </w:rPr>
        <w:t>Wu and Chang, 2007a</w:t>
      </w:r>
      <w:bookmarkEnd w:id="19"/>
      <w:r w:rsidRPr="00D21F46">
        <w:rPr>
          <w:rFonts w:cstheme="minorHAnsi"/>
          <w:sz w:val="24"/>
          <w:szCs w:val="24"/>
        </w:rPr>
        <w:t>). The impregnation of the bredigite scaffold with the antibiotic drug under the bare conditions further decreases the cell cytocompatibility, due to the burst release of vancomycin in the medium (</w:t>
      </w:r>
      <w:r w:rsidRPr="0045528F">
        <w:rPr>
          <w:rFonts w:cstheme="minorHAnsi"/>
          <w:sz w:val="24"/>
          <w:szCs w:val="24"/>
        </w:rPr>
        <w:t>Fig. 5</w:t>
      </w:r>
      <w:r w:rsidRPr="00D21F46">
        <w:rPr>
          <w:rFonts w:cstheme="minorHAnsi"/>
          <w:sz w:val="24"/>
          <w:szCs w:val="24"/>
        </w:rPr>
        <w:t>). Consistently, the detrimental influence of high vancomycin dosages on biocompatibility has been previously pointed out (</w:t>
      </w:r>
      <w:bookmarkStart w:id="74" w:name="bb0015"/>
      <w:proofErr w:type="spellStart"/>
      <w:r w:rsidRPr="0045528F">
        <w:rPr>
          <w:rFonts w:cstheme="minorHAnsi"/>
          <w:sz w:val="24"/>
          <w:szCs w:val="24"/>
        </w:rPr>
        <w:t>Bakhsheshi</w:t>
      </w:r>
      <w:proofErr w:type="spellEnd"/>
      <w:r w:rsidRPr="0045528F">
        <w:rPr>
          <w:rFonts w:cstheme="minorHAnsi"/>
          <w:sz w:val="24"/>
          <w:szCs w:val="24"/>
        </w:rPr>
        <w:t>-Rad et al., 2017</w:t>
      </w:r>
      <w:bookmarkEnd w:id="74"/>
      <w:r w:rsidRPr="00D21F46">
        <w:rPr>
          <w:rFonts w:cstheme="minorHAnsi"/>
          <w:sz w:val="24"/>
          <w:szCs w:val="24"/>
        </w:rPr>
        <w:t>). The controlling effects of the PLGA coatings on the burst release of the drug (</w:t>
      </w:r>
      <w:r w:rsidRPr="0045528F">
        <w:rPr>
          <w:rFonts w:cstheme="minorHAnsi"/>
          <w:sz w:val="24"/>
          <w:szCs w:val="24"/>
        </w:rPr>
        <w:t>Fig. 5</w:t>
      </w:r>
      <w:bookmarkEnd w:id="61"/>
      <w:r w:rsidRPr="00D21F46">
        <w:rPr>
          <w:rFonts w:cstheme="minorHAnsi"/>
          <w:sz w:val="24"/>
          <w:szCs w:val="24"/>
        </w:rPr>
        <w:t xml:space="preserve">), bredigite </w:t>
      </w:r>
      <w:proofErr w:type="spellStart"/>
      <w:r w:rsidRPr="00D21F46">
        <w:rPr>
          <w:rFonts w:cstheme="minorHAnsi"/>
          <w:sz w:val="24"/>
          <w:szCs w:val="24"/>
        </w:rPr>
        <w:t>bioresorption</w:t>
      </w:r>
      <w:proofErr w:type="spellEnd"/>
      <w:r w:rsidRPr="00D21F46">
        <w:rPr>
          <w:rFonts w:cstheme="minorHAnsi"/>
          <w:sz w:val="24"/>
          <w:szCs w:val="24"/>
        </w:rPr>
        <w:t xml:space="preserve"> and physiological pH (</w:t>
      </w:r>
      <w:r w:rsidRPr="0045528F">
        <w:rPr>
          <w:rFonts w:cstheme="minorHAnsi"/>
          <w:sz w:val="24"/>
          <w:szCs w:val="24"/>
        </w:rPr>
        <w:t>Fig. 6</w:t>
      </w:r>
      <w:bookmarkEnd w:id="67"/>
      <w:r w:rsidRPr="00D21F46">
        <w:rPr>
          <w:rFonts w:cstheme="minorHAnsi"/>
          <w:sz w:val="24"/>
          <w:szCs w:val="24"/>
        </w:rPr>
        <w:t>) cause the higher cytocompatibility of the coated scaffolds. This is supported by the fact that the cell viability is further improved by increasing the PLGA concentration from 5% to 10%.</w:t>
      </w:r>
    </w:p>
    <w:p w14:paraId="10A244B2" w14:textId="768698D6" w:rsidR="00D21F46" w:rsidRPr="00D21F46" w:rsidRDefault="00D21F46" w:rsidP="00F55FF6">
      <w:pPr>
        <w:pStyle w:val="NoSpacing"/>
      </w:pPr>
      <w:r w:rsidRPr="00D21F46">
        <w:rPr>
          <w:noProof/>
        </w:rPr>
        <w:drawing>
          <wp:inline distT="0" distB="0" distL="0" distR="0" wp14:anchorId="2FA55E50" wp14:editId="3BA596A3">
            <wp:extent cx="3169920" cy="225552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69920" cy="2255520"/>
                    </a:xfrm>
                    <a:prstGeom prst="rect">
                      <a:avLst/>
                    </a:prstGeom>
                    <a:noFill/>
                    <a:ln>
                      <a:noFill/>
                    </a:ln>
                  </pic:spPr>
                </pic:pic>
              </a:graphicData>
            </a:graphic>
          </wp:inline>
        </w:drawing>
      </w:r>
    </w:p>
    <w:p w14:paraId="21D234AB" w14:textId="66DAD46E" w:rsidR="00D21F46" w:rsidRDefault="00D21F46" w:rsidP="00F55FF6">
      <w:pPr>
        <w:pStyle w:val="NoSpacing"/>
      </w:pPr>
      <w:r w:rsidRPr="00D21F46">
        <w:t xml:space="preserve">Fig. 7. MTT results of the cell cultures on the different scaffolds, where *, Δ, </w:t>
      </w:r>
      <w:r w:rsidRPr="00D21F46">
        <w:rPr>
          <w:noProof/>
        </w:rPr>
        <w:drawing>
          <wp:inline distT="0" distB="0" distL="0" distR="0" wp14:anchorId="761FF854" wp14:editId="43301B30">
            <wp:extent cx="106680" cy="106680"/>
            <wp:effectExtent l="0" t="0" r="7620" b="762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6680" cy="106680"/>
                    </a:xfrm>
                    <a:prstGeom prst="rect">
                      <a:avLst/>
                    </a:prstGeom>
                    <a:noFill/>
                    <a:ln>
                      <a:noFill/>
                    </a:ln>
                  </pic:spPr>
                </pic:pic>
              </a:graphicData>
            </a:graphic>
          </wp:inline>
        </w:drawing>
      </w:r>
      <w:r w:rsidRPr="00D21F46">
        <w:t xml:space="preserve">and </w:t>
      </w:r>
      <w:r w:rsidRPr="00D21F46">
        <w:rPr>
          <w:rFonts w:ascii="Segoe UI Emoji" w:hAnsi="Segoe UI Emoji" w:cs="Segoe UI Emoji"/>
        </w:rPr>
        <w:t>♠</w:t>
      </w:r>
      <w:r w:rsidRPr="00D21F46">
        <w:t xml:space="preserve"> demonstrate significant differences with respect to the control, bare vancomycin-free bredigite, vancomycin-loaded bredigite and vancomycin-loaded 5% PLGA-coated bredigite scaffolds, respectively.</w:t>
      </w:r>
    </w:p>
    <w:p w14:paraId="17B14F65" w14:textId="77777777" w:rsidR="00F55FF6" w:rsidRPr="00D21F46" w:rsidRDefault="00F55FF6" w:rsidP="00D21F46">
      <w:pPr>
        <w:rPr>
          <w:rFonts w:cstheme="minorHAnsi"/>
          <w:sz w:val="24"/>
          <w:szCs w:val="24"/>
        </w:rPr>
      </w:pPr>
    </w:p>
    <w:p w14:paraId="183B4383" w14:textId="52EEDD49" w:rsidR="00D21F46" w:rsidRPr="00D21F46" w:rsidRDefault="00D21F46" w:rsidP="00D21F46">
      <w:pPr>
        <w:rPr>
          <w:rFonts w:cstheme="minorHAnsi"/>
          <w:sz w:val="24"/>
          <w:szCs w:val="24"/>
        </w:rPr>
      </w:pPr>
      <w:r w:rsidRPr="00D21F46">
        <w:rPr>
          <w:rFonts w:cstheme="minorHAnsi"/>
          <w:sz w:val="24"/>
          <w:szCs w:val="24"/>
        </w:rPr>
        <w:t xml:space="preserve">Form this work, it is finally concluded that the 10% PLGA coating is the optimal surface modification for the vancomycin-loaded bredigite scaffolds for bone tissue-engineering and local drug delivery applications. This assignment is due to the fact that this sample benefits from the appropriate </w:t>
      </w:r>
      <w:proofErr w:type="gramStart"/>
      <w:r w:rsidRPr="00D21F46">
        <w:rPr>
          <w:rFonts w:cstheme="minorHAnsi"/>
          <w:sz w:val="24"/>
          <w:szCs w:val="24"/>
        </w:rPr>
        <w:t>pores</w:t>
      </w:r>
      <w:proofErr w:type="gramEnd"/>
      <w:r w:rsidRPr="00D21F46">
        <w:rPr>
          <w:rFonts w:cstheme="minorHAnsi"/>
          <w:sz w:val="24"/>
          <w:szCs w:val="24"/>
        </w:rPr>
        <w:t xml:space="preserve"> configuration, drug release kinetics, cytocompatibility and cell attachment characterized by a spread morphology of cells with high cytoplasmic extensions (</w:t>
      </w:r>
      <w:bookmarkStart w:id="75" w:name="bf0040"/>
      <w:r w:rsidRPr="0045528F">
        <w:rPr>
          <w:rFonts w:cstheme="minorHAnsi"/>
          <w:sz w:val="24"/>
          <w:szCs w:val="24"/>
        </w:rPr>
        <w:t>Fig. 8</w:t>
      </w:r>
      <w:bookmarkEnd w:id="75"/>
      <w:r w:rsidRPr="00D21F46">
        <w:rPr>
          <w:rFonts w:cstheme="minorHAnsi"/>
          <w:sz w:val="24"/>
          <w:szCs w:val="24"/>
        </w:rPr>
        <w:t>).</w:t>
      </w:r>
    </w:p>
    <w:p w14:paraId="3499C5B1" w14:textId="3C49337C" w:rsidR="00D21F46" w:rsidRPr="00D21F46" w:rsidRDefault="00D21F46" w:rsidP="00F55FF6">
      <w:pPr>
        <w:pStyle w:val="NoSpacing"/>
      </w:pPr>
      <w:r w:rsidRPr="00D21F46">
        <w:rPr>
          <w:noProof/>
        </w:rPr>
        <w:drawing>
          <wp:inline distT="0" distB="0" distL="0" distR="0" wp14:anchorId="4386A37B" wp14:editId="278FE298">
            <wp:extent cx="2545080" cy="2788920"/>
            <wp:effectExtent l="0" t="0" r="762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45080" cy="2788920"/>
                    </a:xfrm>
                    <a:prstGeom prst="rect">
                      <a:avLst/>
                    </a:prstGeom>
                    <a:noFill/>
                    <a:ln>
                      <a:noFill/>
                    </a:ln>
                  </pic:spPr>
                </pic:pic>
              </a:graphicData>
            </a:graphic>
          </wp:inline>
        </w:drawing>
      </w:r>
    </w:p>
    <w:p w14:paraId="71910547" w14:textId="77777777" w:rsidR="00D21F46" w:rsidRDefault="00D21F46" w:rsidP="00F55FF6">
      <w:pPr>
        <w:pStyle w:val="NoSpacing"/>
      </w:pPr>
      <w:r w:rsidRPr="00D21F46">
        <w:t>Fig. 8. FESEM micrograph of a cell cultured on the vancomycin-impregnated 10% PLGA-coated bredigite scaffold, in which the arrows indicate cells.</w:t>
      </w:r>
    </w:p>
    <w:p w14:paraId="40006253" w14:textId="77777777" w:rsidR="00F55FF6" w:rsidRPr="00D21F46" w:rsidRDefault="00F55FF6" w:rsidP="00D21F46">
      <w:pPr>
        <w:rPr>
          <w:rFonts w:cstheme="minorHAnsi"/>
          <w:sz w:val="24"/>
          <w:szCs w:val="24"/>
        </w:rPr>
      </w:pPr>
    </w:p>
    <w:p w14:paraId="638457C5" w14:textId="77777777" w:rsidR="00D21F46" w:rsidRPr="00D21F46" w:rsidRDefault="00D21F46" w:rsidP="00F55FF6">
      <w:pPr>
        <w:pStyle w:val="Heading1"/>
      </w:pPr>
      <w:r w:rsidRPr="00D21F46">
        <w:t>4. Conclusions</w:t>
      </w:r>
    </w:p>
    <w:p w14:paraId="67281ED2" w14:textId="77777777" w:rsidR="00D21F46" w:rsidRPr="00D21F46" w:rsidRDefault="00D21F46" w:rsidP="00D21F46">
      <w:pPr>
        <w:rPr>
          <w:rFonts w:cstheme="minorHAnsi"/>
          <w:sz w:val="24"/>
          <w:szCs w:val="24"/>
        </w:rPr>
      </w:pPr>
      <w:r w:rsidRPr="00D21F46">
        <w:rPr>
          <w:rFonts w:cstheme="minorHAnsi"/>
          <w:sz w:val="24"/>
          <w:szCs w:val="24"/>
        </w:rPr>
        <w:t>In this work, bredigite (Ca</w:t>
      </w:r>
      <w:r w:rsidRPr="00D21F46">
        <w:rPr>
          <w:rFonts w:cstheme="minorHAnsi"/>
          <w:sz w:val="24"/>
          <w:szCs w:val="24"/>
          <w:vertAlign w:val="subscript"/>
        </w:rPr>
        <w:t>7</w:t>
      </w:r>
      <w:r w:rsidRPr="00D21F46">
        <w:rPr>
          <w:rFonts w:cstheme="minorHAnsi"/>
          <w:sz w:val="24"/>
          <w:szCs w:val="24"/>
        </w:rPr>
        <w:t>MgSi</w:t>
      </w:r>
      <w:r w:rsidRPr="00D21F46">
        <w:rPr>
          <w:rFonts w:cstheme="minorHAnsi"/>
          <w:sz w:val="24"/>
          <w:szCs w:val="24"/>
          <w:vertAlign w:val="subscript"/>
        </w:rPr>
        <w:t>4</w:t>
      </w:r>
      <w:r w:rsidRPr="00D21F46">
        <w:rPr>
          <w:rFonts w:cstheme="minorHAnsi"/>
          <w:sz w:val="24"/>
          <w:szCs w:val="24"/>
        </w:rPr>
        <w:t>O</w:t>
      </w:r>
      <w:r w:rsidRPr="00D21F46">
        <w:rPr>
          <w:rFonts w:cstheme="minorHAnsi"/>
          <w:sz w:val="24"/>
          <w:szCs w:val="24"/>
          <w:vertAlign w:val="subscript"/>
        </w:rPr>
        <w:t>16</w:t>
      </w:r>
      <w:r w:rsidRPr="00D21F46">
        <w:rPr>
          <w:rFonts w:cstheme="minorHAnsi"/>
          <w:sz w:val="24"/>
          <w:szCs w:val="24"/>
        </w:rPr>
        <w:t xml:space="preserve">) porous scaffolds were fabricated by the sponge replica method, impregnated with vancomycin </w:t>
      </w:r>
      <w:proofErr w:type="gramStart"/>
      <w:r w:rsidRPr="00D21F46">
        <w:rPr>
          <w:rFonts w:cstheme="minorHAnsi"/>
          <w:sz w:val="24"/>
          <w:szCs w:val="24"/>
        </w:rPr>
        <w:t>hydrochloride</w:t>
      </w:r>
      <w:proofErr w:type="gramEnd"/>
      <w:r w:rsidRPr="00D21F46">
        <w:rPr>
          <w:rFonts w:cstheme="minorHAnsi"/>
          <w:sz w:val="24"/>
          <w:szCs w:val="24"/>
        </w:rPr>
        <w:t xml:space="preserve"> and coated with PLGA for bone tissue engineering. The bare drug-loaded scaffold exhibited a one-step burst release of vancomycin, so that the relatively entire amount of the drug loaded was released in less than 24 h. The burst release of the drug and the fast </w:t>
      </w:r>
      <w:proofErr w:type="spellStart"/>
      <w:r w:rsidRPr="00D21F46">
        <w:rPr>
          <w:rFonts w:cstheme="minorHAnsi"/>
          <w:sz w:val="24"/>
          <w:szCs w:val="24"/>
        </w:rPr>
        <w:t>bioresorption</w:t>
      </w:r>
      <w:proofErr w:type="spellEnd"/>
      <w:r w:rsidRPr="00D21F46">
        <w:rPr>
          <w:rFonts w:cstheme="minorHAnsi"/>
          <w:sz w:val="24"/>
          <w:szCs w:val="24"/>
        </w:rPr>
        <w:t xml:space="preserve"> of bredigite were recognized to be responsible for the relatively low cytocompatibility of this sample with respect to dental pulp stem cells. The PLGA coating, nevertheless, altered the drug delivery kinetics characterized by the limitation of the burst drug release stage and by the development of a sustained drug release behavior. This surface modification process also improved the cell viability, which was attributed to the modification of the drug release and the buffering effect of PLGA on physiological </w:t>
      </w:r>
      <w:proofErr w:type="spellStart"/>
      <w:r w:rsidRPr="00D21F46">
        <w:rPr>
          <w:rFonts w:cstheme="minorHAnsi"/>
          <w:sz w:val="24"/>
          <w:szCs w:val="24"/>
        </w:rPr>
        <w:t>pH.</w:t>
      </w:r>
      <w:proofErr w:type="spellEnd"/>
      <w:r w:rsidRPr="00D21F46">
        <w:rPr>
          <w:rFonts w:cstheme="minorHAnsi"/>
          <w:sz w:val="24"/>
          <w:szCs w:val="24"/>
        </w:rPr>
        <w:t xml:space="preserve"> The most improvement in the biological behaviors was obtained by employing the PLGA coating deposited from the 10% PLGA-acetone solution, with the suitable characteristics of pores for bone tissue engineering and the appropriate antibiotic release kinetics for osteomyelitis treatment.</w:t>
      </w:r>
    </w:p>
    <w:p w14:paraId="1C2EA22E" w14:textId="77777777" w:rsidR="00D21F46" w:rsidRPr="00D21F46" w:rsidRDefault="00D21F46" w:rsidP="00F55FF6">
      <w:pPr>
        <w:pStyle w:val="Heading1"/>
      </w:pPr>
      <w:r w:rsidRPr="00D21F46">
        <w:t>Declaration of Competing Interest</w:t>
      </w:r>
    </w:p>
    <w:p w14:paraId="441072F0" w14:textId="77777777" w:rsidR="00D21F46" w:rsidRPr="00D21F46" w:rsidRDefault="00D21F46" w:rsidP="00D21F46">
      <w:pPr>
        <w:rPr>
          <w:rFonts w:cstheme="minorHAnsi"/>
          <w:sz w:val="24"/>
          <w:szCs w:val="24"/>
        </w:rPr>
      </w:pPr>
      <w:r w:rsidRPr="00D21F46">
        <w:rPr>
          <w:rFonts w:cstheme="minorHAnsi"/>
          <w:sz w:val="24"/>
          <w:szCs w:val="24"/>
        </w:rPr>
        <w:t>The authors declare that they have no known competing financial interests or personal relationships that could have appeared to influence the work reported in this paper.</w:t>
      </w:r>
    </w:p>
    <w:p w14:paraId="46162BD1" w14:textId="77777777" w:rsidR="00D21F46" w:rsidRPr="00D21F46" w:rsidRDefault="00D21F46" w:rsidP="00F55FF6">
      <w:pPr>
        <w:pStyle w:val="Heading1"/>
      </w:pPr>
      <w:r w:rsidRPr="00D21F46">
        <w:t>References</w:t>
      </w:r>
    </w:p>
    <w:p w14:paraId="150F8883" w14:textId="628C957C"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Akl</w:t>
      </w:r>
      <w:proofErr w:type="spellEnd"/>
      <w:r w:rsidRPr="00C3166C">
        <w:rPr>
          <w:rFonts w:cstheme="minorHAnsi"/>
          <w:sz w:val="24"/>
          <w:szCs w:val="24"/>
        </w:rPr>
        <w:t xml:space="preserve"> et al., 2016</w:t>
      </w:r>
      <w:r w:rsidR="00181BCF">
        <w:rPr>
          <w:rFonts w:cstheme="minorHAnsi"/>
          <w:sz w:val="24"/>
          <w:szCs w:val="24"/>
        </w:rPr>
        <w:t xml:space="preserve">. </w:t>
      </w:r>
      <w:r w:rsidRPr="00D21F46">
        <w:rPr>
          <w:rFonts w:cstheme="minorHAnsi"/>
          <w:sz w:val="24"/>
          <w:szCs w:val="24"/>
        </w:rPr>
        <w:t>M.A. Ak</w:t>
      </w:r>
      <w:proofErr w:type="spellStart"/>
      <w:r w:rsidRPr="00D21F46">
        <w:rPr>
          <w:rFonts w:cstheme="minorHAnsi"/>
          <w:sz w:val="24"/>
          <w:szCs w:val="24"/>
        </w:rPr>
        <w:t>l</w:t>
      </w:r>
      <w:proofErr w:type="spellEnd"/>
      <w:r w:rsidRPr="00D21F46">
        <w:rPr>
          <w:rFonts w:cstheme="minorHAnsi"/>
          <w:sz w:val="24"/>
          <w:szCs w:val="24"/>
        </w:rPr>
        <w:t xml:space="preserve">, A. </w:t>
      </w:r>
      <w:proofErr w:type="spellStart"/>
      <w:r w:rsidRPr="00D21F46">
        <w:rPr>
          <w:rFonts w:cstheme="minorHAnsi"/>
          <w:sz w:val="24"/>
          <w:szCs w:val="24"/>
        </w:rPr>
        <w:t>Kartal-Hodzic</w:t>
      </w:r>
      <w:proofErr w:type="spellEnd"/>
      <w:r w:rsidRPr="00D21F46">
        <w:rPr>
          <w:rFonts w:cstheme="minorHAnsi"/>
          <w:sz w:val="24"/>
          <w:szCs w:val="24"/>
        </w:rPr>
        <w:t xml:space="preserve">, T. Oksanen, H.R. Ismael, M.M. </w:t>
      </w:r>
      <w:proofErr w:type="spellStart"/>
      <w:r w:rsidRPr="00D21F46">
        <w:rPr>
          <w:rFonts w:cstheme="minorHAnsi"/>
          <w:sz w:val="24"/>
          <w:szCs w:val="24"/>
        </w:rPr>
        <w:t>Afouna</w:t>
      </w:r>
      <w:proofErr w:type="spellEnd"/>
      <w:r w:rsidRPr="00D21F46">
        <w:rPr>
          <w:rFonts w:cstheme="minorHAnsi"/>
          <w:sz w:val="24"/>
          <w:szCs w:val="24"/>
        </w:rPr>
        <w:t xml:space="preserve">, M. </w:t>
      </w:r>
      <w:proofErr w:type="spellStart"/>
      <w:r w:rsidRPr="00D21F46">
        <w:rPr>
          <w:rFonts w:cstheme="minorHAnsi"/>
          <w:sz w:val="24"/>
          <w:szCs w:val="24"/>
        </w:rPr>
        <w:t>Yliperttula</w:t>
      </w:r>
      <w:proofErr w:type="spellEnd"/>
      <w:r w:rsidRPr="00D21F46">
        <w:rPr>
          <w:rFonts w:cstheme="minorHAnsi"/>
          <w:sz w:val="24"/>
          <w:szCs w:val="24"/>
        </w:rPr>
        <w:t xml:space="preserve">, A.M. </w:t>
      </w:r>
      <w:proofErr w:type="spellStart"/>
      <w:r w:rsidRPr="00D21F46">
        <w:rPr>
          <w:rFonts w:cstheme="minorHAnsi"/>
          <w:sz w:val="24"/>
          <w:szCs w:val="24"/>
        </w:rPr>
        <w:t>Samy</w:t>
      </w:r>
      <w:proofErr w:type="spellEnd"/>
      <w:r w:rsidRPr="00D21F46">
        <w:rPr>
          <w:rFonts w:cstheme="minorHAnsi"/>
          <w:sz w:val="24"/>
          <w:szCs w:val="24"/>
        </w:rPr>
        <w:t xml:space="preserve">, T. </w:t>
      </w:r>
      <w:proofErr w:type="spellStart"/>
      <w:r w:rsidRPr="00D21F46">
        <w:rPr>
          <w:rFonts w:cstheme="minorHAnsi"/>
          <w:sz w:val="24"/>
          <w:szCs w:val="24"/>
        </w:rPr>
        <w:t>Viitala</w:t>
      </w:r>
      <w:proofErr w:type="spellEnd"/>
      <w:r w:rsidR="00181BCF">
        <w:rPr>
          <w:rFonts w:cstheme="minorHAnsi"/>
          <w:sz w:val="24"/>
          <w:szCs w:val="24"/>
        </w:rPr>
        <w:t xml:space="preserve">. </w:t>
      </w:r>
      <w:r w:rsidRPr="00D21F46">
        <w:rPr>
          <w:rFonts w:cstheme="minorHAnsi"/>
          <w:b/>
          <w:bCs/>
          <w:sz w:val="24"/>
          <w:szCs w:val="24"/>
        </w:rPr>
        <w:t xml:space="preserve">Factorial design formulation optimization and in vitro characterization of </w:t>
      </w:r>
      <w:proofErr w:type="gramStart"/>
      <w:r w:rsidRPr="00D21F46">
        <w:rPr>
          <w:rFonts w:cstheme="minorHAnsi"/>
          <w:b/>
          <w:bCs/>
          <w:sz w:val="24"/>
          <w:szCs w:val="24"/>
        </w:rPr>
        <w:t>curcumin-loaded</w:t>
      </w:r>
      <w:proofErr w:type="gramEnd"/>
      <w:r w:rsidRPr="00D21F46">
        <w:rPr>
          <w:rFonts w:cstheme="minorHAnsi"/>
          <w:b/>
          <w:bCs/>
          <w:sz w:val="24"/>
          <w:szCs w:val="24"/>
        </w:rPr>
        <w:t xml:space="preserve"> PLGA nanoparticles for colon delivery</w:t>
      </w:r>
      <w:r w:rsidR="00181BCF">
        <w:rPr>
          <w:rFonts w:cstheme="minorHAnsi"/>
          <w:b/>
          <w:bCs/>
          <w:sz w:val="24"/>
          <w:szCs w:val="24"/>
        </w:rPr>
        <w:t xml:space="preserve">. </w:t>
      </w:r>
      <w:r w:rsidRPr="00D21F46">
        <w:rPr>
          <w:rFonts w:cstheme="minorHAnsi"/>
          <w:sz w:val="24"/>
          <w:szCs w:val="24"/>
        </w:rPr>
        <w:t>J. Drug Delivery Sci. Technol., 32 (2016), pp. 10-20</w:t>
      </w:r>
    </w:p>
    <w:p w14:paraId="484210A5" w14:textId="4490ABD5"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Antoci</w:t>
      </w:r>
      <w:proofErr w:type="spellEnd"/>
      <w:r w:rsidRPr="00C3166C">
        <w:rPr>
          <w:rFonts w:cstheme="minorHAnsi"/>
          <w:sz w:val="24"/>
          <w:szCs w:val="24"/>
        </w:rPr>
        <w:t xml:space="preserve"> et al., 2007</w:t>
      </w:r>
      <w:r w:rsidR="00181BCF">
        <w:rPr>
          <w:rFonts w:cstheme="minorHAnsi"/>
          <w:sz w:val="24"/>
          <w:szCs w:val="24"/>
        </w:rPr>
        <w:t xml:space="preserve">. </w:t>
      </w:r>
      <w:r w:rsidRPr="00D21F46">
        <w:rPr>
          <w:rFonts w:cstheme="minorHAnsi"/>
          <w:sz w:val="24"/>
          <w:szCs w:val="24"/>
        </w:rPr>
        <w:t xml:space="preserve">V. </w:t>
      </w:r>
      <w:proofErr w:type="spellStart"/>
      <w:r w:rsidRPr="00D21F46">
        <w:rPr>
          <w:rFonts w:cstheme="minorHAnsi"/>
          <w:sz w:val="24"/>
          <w:szCs w:val="24"/>
        </w:rPr>
        <w:t>Antoci</w:t>
      </w:r>
      <w:proofErr w:type="spellEnd"/>
      <w:r w:rsidRPr="00D21F46">
        <w:rPr>
          <w:rFonts w:cstheme="minorHAnsi"/>
          <w:sz w:val="24"/>
          <w:szCs w:val="24"/>
        </w:rPr>
        <w:t xml:space="preserve"> Jr, C.S. Adams, N.J. Hickok, I.M. Shapiro, J. </w:t>
      </w:r>
      <w:proofErr w:type="spellStart"/>
      <w:r w:rsidRPr="00D21F46">
        <w:rPr>
          <w:rFonts w:cstheme="minorHAnsi"/>
          <w:sz w:val="24"/>
          <w:szCs w:val="24"/>
        </w:rPr>
        <w:t>Parvizi</w:t>
      </w:r>
      <w:proofErr w:type="spellEnd"/>
      <w:r w:rsidR="00181BCF">
        <w:rPr>
          <w:rFonts w:cstheme="minorHAnsi"/>
          <w:sz w:val="24"/>
          <w:szCs w:val="24"/>
        </w:rPr>
        <w:t xml:space="preserve">. </w:t>
      </w:r>
      <w:r w:rsidRPr="00D21F46">
        <w:rPr>
          <w:rFonts w:cstheme="minorHAnsi"/>
          <w:b/>
          <w:bCs/>
          <w:sz w:val="24"/>
          <w:szCs w:val="24"/>
        </w:rPr>
        <w:t>Antibiotics for local delivery systems cause skeletal cell toxicity in vitro</w:t>
      </w:r>
      <w:r w:rsidR="00181BCF">
        <w:rPr>
          <w:rFonts w:cstheme="minorHAnsi"/>
          <w:b/>
          <w:bCs/>
          <w:sz w:val="24"/>
          <w:szCs w:val="24"/>
        </w:rPr>
        <w:t xml:space="preserve">. </w:t>
      </w:r>
      <w:r w:rsidRPr="00D21F46">
        <w:rPr>
          <w:rFonts w:cstheme="minorHAnsi"/>
          <w:sz w:val="24"/>
          <w:szCs w:val="24"/>
        </w:rPr>
        <w:t xml:space="preserve">Clin. </w:t>
      </w:r>
      <w:proofErr w:type="spellStart"/>
      <w:r w:rsidRPr="00D21F46">
        <w:rPr>
          <w:rFonts w:cstheme="minorHAnsi"/>
          <w:sz w:val="24"/>
          <w:szCs w:val="24"/>
        </w:rPr>
        <w:t>Orthop</w:t>
      </w:r>
      <w:proofErr w:type="spellEnd"/>
      <w:r w:rsidRPr="00D21F46">
        <w:rPr>
          <w:rFonts w:cstheme="minorHAnsi"/>
          <w:sz w:val="24"/>
          <w:szCs w:val="24"/>
        </w:rPr>
        <w:t xml:space="preserve">. </w:t>
      </w:r>
      <w:proofErr w:type="spellStart"/>
      <w:r w:rsidRPr="00D21F46">
        <w:rPr>
          <w:rFonts w:cstheme="minorHAnsi"/>
          <w:sz w:val="24"/>
          <w:szCs w:val="24"/>
        </w:rPr>
        <w:t>Relat</w:t>
      </w:r>
      <w:proofErr w:type="spellEnd"/>
      <w:r w:rsidRPr="00D21F46">
        <w:rPr>
          <w:rFonts w:cstheme="minorHAnsi"/>
          <w:sz w:val="24"/>
          <w:szCs w:val="24"/>
        </w:rPr>
        <w:t>. Res., 462 (2007), pp. 200-206</w:t>
      </w:r>
    </w:p>
    <w:p w14:paraId="053294AA" w14:textId="5FE542B9"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Bakhsheshi</w:t>
      </w:r>
      <w:proofErr w:type="spellEnd"/>
      <w:r w:rsidRPr="00C3166C">
        <w:rPr>
          <w:rFonts w:cstheme="minorHAnsi"/>
          <w:sz w:val="24"/>
          <w:szCs w:val="24"/>
        </w:rPr>
        <w:t>-Rad et al., 2017</w:t>
      </w:r>
      <w:r w:rsidR="00181BCF">
        <w:rPr>
          <w:rFonts w:cstheme="minorHAnsi"/>
          <w:sz w:val="24"/>
          <w:szCs w:val="24"/>
        </w:rPr>
        <w:t xml:space="preserve">. </w:t>
      </w:r>
      <w:r w:rsidRPr="00D21F46">
        <w:rPr>
          <w:rFonts w:cstheme="minorHAnsi"/>
          <w:sz w:val="24"/>
          <w:szCs w:val="24"/>
        </w:rPr>
        <w:t xml:space="preserve">H. </w:t>
      </w:r>
      <w:proofErr w:type="spellStart"/>
      <w:r w:rsidRPr="00D21F46">
        <w:rPr>
          <w:rFonts w:cstheme="minorHAnsi"/>
          <w:sz w:val="24"/>
          <w:szCs w:val="24"/>
        </w:rPr>
        <w:t>Bakhsheshi</w:t>
      </w:r>
      <w:proofErr w:type="spellEnd"/>
      <w:r w:rsidRPr="00D21F46">
        <w:rPr>
          <w:rFonts w:cstheme="minorHAnsi"/>
          <w:sz w:val="24"/>
          <w:szCs w:val="24"/>
        </w:rPr>
        <w:t xml:space="preserve">-Rad, E. Hamzah, A. Ismail, M. Aziz, Z. </w:t>
      </w:r>
      <w:proofErr w:type="spellStart"/>
      <w:r w:rsidRPr="00D21F46">
        <w:rPr>
          <w:rFonts w:cstheme="minorHAnsi"/>
          <w:sz w:val="24"/>
          <w:szCs w:val="24"/>
        </w:rPr>
        <w:t>Hadisi</w:t>
      </w:r>
      <w:proofErr w:type="spellEnd"/>
      <w:r w:rsidRPr="00D21F46">
        <w:rPr>
          <w:rFonts w:cstheme="minorHAnsi"/>
          <w:sz w:val="24"/>
          <w:szCs w:val="24"/>
        </w:rPr>
        <w:t xml:space="preserve">, M. </w:t>
      </w:r>
      <w:proofErr w:type="spellStart"/>
      <w:r w:rsidRPr="00D21F46">
        <w:rPr>
          <w:rFonts w:cstheme="minorHAnsi"/>
          <w:sz w:val="24"/>
          <w:szCs w:val="24"/>
        </w:rPr>
        <w:t>Kashefian</w:t>
      </w:r>
      <w:proofErr w:type="spellEnd"/>
      <w:r w:rsidRPr="00D21F46">
        <w:rPr>
          <w:rFonts w:cstheme="minorHAnsi"/>
          <w:sz w:val="24"/>
          <w:szCs w:val="24"/>
        </w:rPr>
        <w:t xml:space="preserve">, A. </w:t>
      </w:r>
      <w:proofErr w:type="spellStart"/>
      <w:r w:rsidRPr="00D21F46">
        <w:rPr>
          <w:rFonts w:cstheme="minorHAnsi"/>
          <w:sz w:val="24"/>
          <w:szCs w:val="24"/>
        </w:rPr>
        <w:t>Najafinezhad</w:t>
      </w:r>
      <w:proofErr w:type="spellEnd"/>
      <w:r w:rsidR="00181BCF">
        <w:rPr>
          <w:rFonts w:cstheme="minorHAnsi"/>
          <w:sz w:val="24"/>
          <w:szCs w:val="24"/>
        </w:rPr>
        <w:t xml:space="preserve">. </w:t>
      </w:r>
      <w:r w:rsidRPr="00D21F46">
        <w:rPr>
          <w:rFonts w:cstheme="minorHAnsi"/>
          <w:b/>
          <w:bCs/>
          <w:sz w:val="24"/>
          <w:szCs w:val="24"/>
        </w:rPr>
        <w:t xml:space="preserve">Novel nanostructured baghdadite-vancomycin scaffolds: In-vitro drug release, antibacterial </w:t>
      </w:r>
      <w:proofErr w:type="gramStart"/>
      <w:r w:rsidRPr="00D21F46">
        <w:rPr>
          <w:rFonts w:cstheme="minorHAnsi"/>
          <w:b/>
          <w:bCs/>
          <w:sz w:val="24"/>
          <w:szCs w:val="24"/>
        </w:rPr>
        <w:t>activity</w:t>
      </w:r>
      <w:proofErr w:type="gramEnd"/>
      <w:r w:rsidRPr="00D21F46">
        <w:rPr>
          <w:rFonts w:cstheme="minorHAnsi"/>
          <w:b/>
          <w:bCs/>
          <w:sz w:val="24"/>
          <w:szCs w:val="24"/>
        </w:rPr>
        <w:t xml:space="preserve"> and biocompatibility</w:t>
      </w:r>
      <w:r w:rsidR="00181BCF">
        <w:rPr>
          <w:rFonts w:cstheme="minorHAnsi"/>
          <w:b/>
          <w:bCs/>
          <w:sz w:val="24"/>
          <w:szCs w:val="24"/>
        </w:rPr>
        <w:t xml:space="preserve">. </w:t>
      </w:r>
      <w:r w:rsidRPr="00D21F46">
        <w:rPr>
          <w:rFonts w:cstheme="minorHAnsi"/>
          <w:sz w:val="24"/>
          <w:szCs w:val="24"/>
        </w:rPr>
        <w:t>Mater. Lett., 209 (2017), pp. 369-372</w:t>
      </w:r>
    </w:p>
    <w:p w14:paraId="1C2C16A7" w14:textId="60F62551" w:rsidR="00D21F46" w:rsidRPr="00D21F46" w:rsidRDefault="00D21F46" w:rsidP="008C5034">
      <w:pPr>
        <w:pStyle w:val="NoSpacing"/>
        <w:ind w:left="720" w:hanging="720"/>
        <w:rPr>
          <w:rFonts w:cstheme="minorHAnsi"/>
          <w:sz w:val="24"/>
          <w:szCs w:val="24"/>
        </w:rPr>
      </w:pPr>
      <w:r w:rsidRPr="00C3166C">
        <w:rPr>
          <w:rFonts w:cstheme="minorHAnsi"/>
          <w:sz w:val="24"/>
          <w:szCs w:val="24"/>
        </w:rPr>
        <w:t>Bose et al., 2018</w:t>
      </w:r>
      <w:r w:rsidR="00181BCF">
        <w:rPr>
          <w:rFonts w:cstheme="minorHAnsi"/>
          <w:sz w:val="24"/>
          <w:szCs w:val="24"/>
        </w:rPr>
        <w:t xml:space="preserve">. </w:t>
      </w:r>
      <w:r w:rsidRPr="00D21F46">
        <w:rPr>
          <w:rFonts w:cstheme="minorHAnsi"/>
          <w:sz w:val="24"/>
          <w:szCs w:val="24"/>
        </w:rPr>
        <w:t>S. Bose, N. Sarkar, D. Banerjee</w:t>
      </w:r>
      <w:r w:rsidR="00181BCF">
        <w:rPr>
          <w:rFonts w:cstheme="minorHAnsi"/>
          <w:sz w:val="24"/>
          <w:szCs w:val="24"/>
        </w:rPr>
        <w:t xml:space="preserve">. </w:t>
      </w:r>
      <w:r w:rsidRPr="00D21F46">
        <w:rPr>
          <w:rFonts w:cstheme="minorHAnsi"/>
          <w:b/>
          <w:bCs/>
          <w:sz w:val="24"/>
          <w:szCs w:val="24"/>
        </w:rPr>
        <w:t>Effects of PCL, PEG and PLGA polymers on curcumin release from calcium phosphate matrix for in vitro and in vivo bone regeneration</w:t>
      </w:r>
      <w:r w:rsidR="00181BCF">
        <w:rPr>
          <w:rFonts w:cstheme="minorHAnsi"/>
          <w:b/>
          <w:bCs/>
          <w:sz w:val="24"/>
          <w:szCs w:val="24"/>
        </w:rPr>
        <w:t xml:space="preserve">. </w:t>
      </w:r>
      <w:r w:rsidRPr="00D21F46">
        <w:rPr>
          <w:rFonts w:cstheme="minorHAnsi"/>
          <w:sz w:val="24"/>
          <w:szCs w:val="24"/>
        </w:rPr>
        <w:t xml:space="preserve">Mater. </w:t>
      </w:r>
      <w:proofErr w:type="gramStart"/>
      <w:r w:rsidRPr="00D21F46">
        <w:rPr>
          <w:rFonts w:cstheme="minorHAnsi"/>
          <w:sz w:val="24"/>
          <w:szCs w:val="24"/>
        </w:rPr>
        <w:t>Today</w:t>
      </w:r>
      <w:proofErr w:type="gramEnd"/>
      <w:r w:rsidRPr="00D21F46">
        <w:rPr>
          <w:rFonts w:cstheme="minorHAnsi"/>
          <w:sz w:val="24"/>
          <w:szCs w:val="24"/>
        </w:rPr>
        <w:t xml:space="preserve"> Chem., 8 (2018), pp. 110-120</w:t>
      </w:r>
    </w:p>
    <w:p w14:paraId="4969BDAB" w14:textId="7916CDE8"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Cerchiara</w:t>
      </w:r>
      <w:proofErr w:type="spellEnd"/>
      <w:r w:rsidRPr="00C3166C">
        <w:rPr>
          <w:rFonts w:cstheme="minorHAnsi"/>
          <w:sz w:val="24"/>
          <w:szCs w:val="24"/>
        </w:rPr>
        <w:t xml:space="preserve"> et al., 2015</w:t>
      </w:r>
      <w:r w:rsidR="00181BCF">
        <w:rPr>
          <w:rFonts w:cstheme="minorHAnsi"/>
          <w:sz w:val="24"/>
          <w:szCs w:val="24"/>
        </w:rPr>
        <w:t xml:space="preserve">. </w:t>
      </w:r>
      <w:r w:rsidRPr="00D21F46">
        <w:rPr>
          <w:rFonts w:cstheme="minorHAnsi"/>
          <w:sz w:val="24"/>
          <w:szCs w:val="24"/>
        </w:rPr>
        <w:t xml:space="preserve">T. </w:t>
      </w:r>
      <w:proofErr w:type="spellStart"/>
      <w:r w:rsidRPr="00D21F46">
        <w:rPr>
          <w:rFonts w:cstheme="minorHAnsi"/>
          <w:sz w:val="24"/>
          <w:szCs w:val="24"/>
        </w:rPr>
        <w:t>Cerchiara</w:t>
      </w:r>
      <w:proofErr w:type="spellEnd"/>
      <w:r w:rsidRPr="00D21F46">
        <w:rPr>
          <w:rFonts w:cstheme="minorHAnsi"/>
          <w:sz w:val="24"/>
          <w:szCs w:val="24"/>
        </w:rPr>
        <w:t xml:space="preserve">, A. Abruzzo, M. Di </w:t>
      </w:r>
      <w:proofErr w:type="spellStart"/>
      <w:r w:rsidRPr="00D21F46">
        <w:rPr>
          <w:rFonts w:cstheme="minorHAnsi"/>
          <w:sz w:val="24"/>
          <w:szCs w:val="24"/>
        </w:rPr>
        <w:t>Cagno</w:t>
      </w:r>
      <w:proofErr w:type="spellEnd"/>
      <w:r w:rsidRPr="00D21F46">
        <w:rPr>
          <w:rFonts w:cstheme="minorHAnsi"/>
          <w:sz w:val="24"/>
          <w:szCs w:val="24"/>
        </w:rPr>
        <w:t xml:space="preserve">, F. </w:t>
      </w:r>
      <w:proofErr w:type="spellStart"/>
      <w:r w:rsidRPr="00D21F46">
        <w:rPr>
          <w:rFonts w:cstheme="minorHAnsi"/>
          <w:sz w:val="24"/>
          <w:szCs w:val="24"/>
        </w:rPr>
        <w:t>Bigucci</w:t>
      </w:r>
      <w:proofErr w:type="spellEnd"/>
      <w:r w:rsidRPr="00D21F46">
        <w:rPr>
          <w:rFonts w:cstheme="minorHAnsi"/>
          <w:sz w:val="24"/>
          <w:szCs w:val="24"/>
        </w:rPr>
        <w:t>, A. Bauer-</w:t>
      </w:r>
      <w:proofErr w:type="spellStart"/>
      <w:r w:rsidRPr="00D21F46">
        <w:rPr>
          <w:rFonts w:cstheme="minorHAnsi"/>
          <w:sz w:val="24"/>
          <w:szCs w:val="24"/>
        </w:rPr>
        <w:t>Brandl</w:t>
      </w:r>
      <w:proofErr w:type="spellEnd"/>
      <w:r w:rsidRPr="00D21F46">
        <w:rPr>
          <w:rFonts w:cstheme="minorHAnsi"/>
          <w:sz w:val="24"/>
          <w:szCs w:val="24"/>
        </w:rPr>
        <w:t xml:space="preserve">, C. Parolin, B. Vitali, M. Gallucci, B. </w:t>
      </w:r>
      <w:proofErr w:type="spellStart"/>
      <w:r w:rsidRPr="00D21F46">
        <w:rPr>
          <w:rFonts w:cstheme="minorHAnsi"/>
          <w:sz w:val="24"/>
          <w:szCs w:val="24"/>
        </w:rPr>
        <w:t>Luppi</w:t>
      </w:r>
      <w:proofErr w:type="spellEnd"/>
      <w:r w:rsidR="00181BCF">
        <w:rPr>
          <w:rFonts w:cstheme="minorHAnsi"/>
          <w:sz w:val="24"/>
          <w:szCs w:val="24"/>
        </w:rPr>
        <w:t xml:space="preserve">. </w:t>
      </w:r>
      <w:r w:rsidRPr="00D21F46">
        <w:rPr>
          <w:rFonts w:cstheme="minorHAnsi"/>
          <w:b/>
          <w:bCs/>
          <w:sz w:val="24"/>
          <w:szCs w:val="24"/>
        </w:rPr>
        <w:t>Chitosan based micro-and nanoparticles for colon-targeted delivery of vancomycin prepared by alternative processing methods</w:t>
      </w:r>
      <w:r w:rsidR="00181BCF">
        <w:rPr>
          <w:rFonts w:cstheme="minorHAnsi"/>
          <w:b/>
          <w:bCs/>
          <w:sz w:val="24"/>
          <w:szCs w:val="24"/>
        </w:rPr>
        <w:t xml:space="preserve">. </w:t>
      </w:r>
      <w:r w:rsidRPr="00D21F46">
        <w:rPr>
          <w:rFonts w:cstheme="minorHAnsi"/>
          <w:sz w:val="24"/>
          <w:szCs w:val="24"/>
        </w:rPr>
        <w:t xml:space="preserve">Eur. J. Pharm. </w:t>
      </w:r>
      <w:proofErr w:type="spellStart"/>
      <w:r w:rsidRPr="00D21F46">
        <w:rPr>
          <w:rFonts w:cstheme="minorHAnsi"/>
          <w:sz w:val="24"/>
          <w:szCs w:val="24"/>
        </w:rPr>
        <w:t>Biopharm</w:t>
      </w:r>
      <w:proofErr w:type="spellEnd"/>
      <w:r w:rsidRPr="00D21F46">
        <w:rPr>
          <w:rFonts w:cstheme="minorHAnsi"/>
          <w:sz w:val="24"/>
          <w:szCs w:val="24"/>
        </w:rPr>
        <w:t>., 92 (2015), pp. 112-119</w:t>
      </w:r>
    </w:p>
    <w:p w14:paraId="7CEF976B" w14:textId="5B7F53D0"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Coudron</w:t>
      </w:r>
      <w:proofErr w:type="spellEnd"/>
      <w:r w:rsidRPr="00C3166C">
        <w:rPr>
          <w:rFonts w:cstheme="minorHAnsi"/>
          <w:sz w:val="24"/>
          <w:szCs w:val="24"/>
        </w:rPr>
        <w:t xml:space="preserve"> et al., 1987</w:t>
      </w:r>
      <w:r w:rsidR="00181BCF">
        <w:rPr>
          <w:rFonts w:cstheme="minorHAnsi"/>
          <w:sz w:val="24"/>
          <w:szCs w:val="24"/>
        </w:rPr>
        <w:t xml:space="preserve">. </w:t>
      </w:r>
      <w:r w:rsidRPr="00D21F46">
        <w:rPr>
          <w:rFonts w:cstheme="minorHAnsi"/>
          <w:sz w:val="24"/>
          <w:szCs w:val="24"/>
        </w:rPr>
        <w:t xml:space="preserve">P.E. </w:t>
      </w:r>
      <w:proofErr w:type="spellStart"/>
      <w:r w:rsidRPr="00D21F46">
        <w:rPr>
          <w:rFonts w:cstheme="minorHAnsi"/>
          <w:sz w:val="24"/>
          <w:szCs w:val="24"/>
        </w:rPr>
        <w:t>Coudron</w:t>
      </w:r>
      <w:proofErr w:type="spellEnd"/>
      <w:r w:rsidRPr="00D21F46">
        <w:rPr>
          <w:rFonts w:cstheme="minorHAnsi"/>
          <w:sz w:val="24"/>
          <w:szCs w:val="24"/>
        </w:rPr>
        <w:t>, J.L. Johnston, G.L. Archer</w:t>
      </w:r>
      <w:r w:rsidR="00181BCF">
        <w:rPr>
          <w:rFonts w:cstheme="minorHAnsi"/>
          <w:sz w:val="24"/>
          <w:szCs w:val="24"/>
        </w:rPr>
        <w:t xml:space="preserve">. </w:t>
      </w:r>
      <w:r w:rsidRPr="00D21F46">
        <w:rPr>
          <w:rFonts w:cstheme="minorHAnsi"/>
          <w:b/>
          <w:bCs/>
          <w:sz w:val="24"/>
          <w:szCs w:val="24"/>
        </w:rPr>
        <w:t>In-vitro activity of LY146032 against Staphylococcus aureus and S. epidermidis</w:t>
      </w:r>
      <w:r w:rsidR="00181BCF">
        <w:rPr>
          <w:rFonts w:cstheme="minorHAnsi"/>
          <w:b/>
          <w:bCs/>
          <w:sz w:val="24"/>
          <w:szCs w:val="24"/>
        </w:rPr>
        <w:t xml:space="preserve">. </w:t>
      </w:r>
      <w:r w:rsidRPr="00D21F46">
        <w:rPr>
          <w:rFonts w:cstheme="minorHAnsi"/>
          <w:sz w:val="24"/>
          <w:szCs w:val="24"/>
        </w:rPr>
        <w:t xml:space="preserve">J. </w:t>
      </w:r>
      <w:proofErr w:type="spellStart"/>
      <w:r w:rsidRPr="00D21F46">
        <w:rPr>
          <w:rFonts w:cstheme="minorHAnsi"/>
          <w:sz w:val="24"/>
          <w:szCs w:val="24"/>
        </w:rPr>
        <w:t>Antimicrob</w:t>
      </w:r>
      <w:proofErr w:type="spellEnd"/>
      <w:r w:rsidRPr="00D21F46">
        <w:rPr>
          <w:rFonts w:cstheme="minorHAnsi"/>
          <w:sz w:val="24"/>
          <w:szCs w:val="24"/>
        </w:rPr>
        <w:t>. Chemother., 20 (1987), pp. 505-511</w:t>
      </w:r>
    </w:p>
    <w:p w14:paraId="5A61395B" w14:textId="671C268B"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Diba</w:t>
      </w:r>
      <w:proofErr w:type="spellEnd"/>
      <w:r w:rsidRPr="00C3166C">
        <w:rPr>
          <w:rFonts w:cstheme="minorHAnsi"/>
          <w:sz w:val="24"/>
          <w:szCs w:val="24"/>
        </w:rPr>
        <w:t xml:space="preserve"> et al., 2014</w:t>
      </w:r>
      <w:r w:rsidR="00181BCF">
        <w:rPr>
          <w:rFonts w:cstheme="minorHAnsi"/>
          <w:sz w:val="24"/>
          <w:szCs w:val="24"/>
        </w:rPr>
        <w:t xml:space="preserve">. </w:t>
      </w:r>
      <w:r w:rsidRPr="00D21F46">
        <w:rPr>
          <w:rFonts w:cstheme="minorHAnsi"/>
          <w:sz w:val="24"/>
          <w:szCs w:val="24"/>
        </w:rPr>
        <w:t xml:space="preserve">M. </w:t>
      </w:r>
      <w:proofErr w:type="spellStart"/>
      <w:r w:rsidRPr="00D21F46">
        <w:rPr>
          <w:rFonts w:cstheme="minorHAnsi"/>
          <w:sz w:val="24"/>
          <w:szCs w:val="24"/>
        </w:rPr>
        <w:t>Diba</w:t>
      </w:r>
      <w:proofErr w:type="spellEnd"/>
      <w:r w:rsidRPr="00D21F46">
        <w:rPr>
          <w:rFonts w:cstheme="minorHAnsi"/>
          <w:sz w:val="24"/>
          <w:szCs w:val="24"/>
        </w:rPr>
        <w:t xml:space="preserve">, O.-M. </w:t>
      </w:r>
      <w:proofErr w:type="spellStart"/>
      <w:r w:rsidRPr="00D21F46">
        <w:rPr>
          <w:rFonts w:cstheme="minorHAnsi"/>
          <w:sz w:val="24"/>
          <w:szCs w:val="24"/>
        </w:rPr>
        <w:t>Goudouri</w:t>
      </w:r>
      <w:proofErr w:type="spellEnd"/>
      <w:r w:rsidRPr="00D21F46">
        <w:rPr>
          <w:rFonts w:cstheme="minorHAnsi"/>
          <w:sz w:val="24"/>
          <w:szCs w:val="24"/>
        </w:rPr>
        <w:t xml:space="preserve">, F. Tapia, A.R. </w:t>
      </w:r>
      <w:proofErr w:type="spellStart"/>
      <w:r w:rsidRPr="00D21F46">
        <w:rPr>
          <w:rFonts w:cstheme="minorHAnsi"/>
          <w:sz w:val="24"/>
          <w:szCs w:val="24"/>
        </w:rPr>
        <w:t>Boccaccini</w:t>
      </w:r>
      <w:proofErr w:type="spellEnd"/>
      <w:r w:rsidR="00181BCF">
        <w:rPr>
          <w:rFonts w:cstheme="minorHAnsi"/>
          <w:sz w:val="24"/>
          <w:szCs w:val="24"/>
        </w:rPr>
        <w:t xml:space="preserve">. </w:t>
      </w:r>
      <w:r w:rsidRPr="00D21F46">
        <w:rPr>
          <w:rFonts w:cstheme="minorHAnsi"/>
          <w:b/>
          <w:bCs/>
          <w:sz w:val="24"/>
          <w:szCs w:val="24"/>
        </w:rPr>
        <w:t>Magnesium-containing bioactive polycrystalline silicate-based ceramics and glass-ceramics for biomedical applications</w:t>
      </w:r>
      <w:r w:rsidR="00181BCF">
        <w:rPr>
          <w:rFonts w:cstheme="minorHAnsi"/>
          <w:b/>
          <w:bCs/>
          <w:sz w:val="24"/>
          <w:szCs w:val="24"/>
        </w:rPr>
        <w:t xml:space="preserve">. </w:t>
      </w:r>
      <w:proofErr w:type="spellStart"/>
      <w:r w:rsidRPr="00D21F46">
        <w:rPr>
          <w:rFonts w:cstheme="minorHAnsi"/>
          <w:sz w:val="24"/>
          <w:szCs w:val="24"/>
        </w:rPr>
        <w:t>Curr</w:t>
      </w:r>
      <w:proofErr w:type="spellEnd"/>
      <w:r w:rsidRPr="00D21F46">
        <w:rPr>
          <w:rFonts w:cstheme="minorHAnsi"/>
          <w:sz w:val="24"/>
          <w:szCs w:val="24"/>
        </w:rPr>
        <w:t>. Op</w:t>
      </w:r>
      <w:proofErr w:type="spellStart"/>
      <w:r w:rsidRPr="00D21F46">
        <w:rPr>
          <w:rFonts w:cstheme="minorHAnsi"/>
          <w:sz w:val="24"/>
          <w:szCs w:val="24"/>
        </w:rPr>
        <w:t>in</w:t>
      </w:r>
      <w:proofErr w:type="spellEnd"/>
      <w:r w:rsidRPr="00D21F46">
        <w:rPr>
          <w:rFonts w:cstheme="minorHAnsi"/>
          <w:sz w:val="24"/>
          <w:szCs w:val="24"/>
        </w:rPr>
        <w:t>. Solid State Mater. Sci., 18 (2014), pp. 147-167</w:t>
      </w:r>
    </w:p>
    <w:p w14:paraId="64EF262F" w14:textId="6E6D00BE"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Diba</w:t>
      </w:r>
      <w:proofErr w:type="spellEnd"/>
      <w:r w:rsidRPr="00C3166C">
        <w:rPr>
          <w:rFonts w:cstheme="minorHAnsi"/>
          <w:sz w:val="24"/>
          <w:szCs w:val="24"/>
        </w:rPr>
        <w:t xml:space="preserve"> et al., 2012</w:t>
      </w:r>
      <w:r w:rsidR="00181BCF">
        <w:rPr>
          <w:rFonts w:cstheme="minorHAnsi"/>
          <w:sz w:val="24"/>
          <w:szCs w:val="24"/>
        </w:rPr>
        <w:t xml:space="preserve">. </w:t>
      </w:r>
      <w:r w:rsidRPr="00D21F46">
        <w:rPr>
          <w:rFonts w:cstheme="minorHAnsi"/>
          <w:sz w:val="24"/>
          <w:szCs w:val="24"/>
        </w:rPr>
        <w:t xml:space="preserve">M. </w:t>
      </w:r>
      <w:proofErr w:type="spellStart"/>
      <w:r w:rsidRPr="00D21F46">
        <w:rPr>
          <w:rFonts w:cstheme="minorHAnsi"/>
          <w:sz w:val="24"/>
          <w:szCs w:val="24"/>
        </w:rPr>
        <w:t>Diba</w:t>
      </w:r>
      <w:proofErr w:type="spellEnd"/>
      <w:r w:rsidRPr="00D21F46">
        <w:rPr>
          <w:rFonts w:cstheme="minorHAnsi"/>
          <w:sz w:val="24"/>
          <w:szCs w:val="24"/>
        </w:rPr>
        <w:t xml:space="preserve">, F. Tapia, A.R. </w:t>
      </w:r>
      <w:proofErr w:type="spellStart"/>
      <w:r w:rsidRPr="00D21F46">
        <w:rPr>
          <w:rFonts w:cstheme="minorHAnsi"/>
          <w:sz w:val="24"/>
          <w:szCs w:val="24"/>
        </w:rPr>
        <w:t>Boccaccini</w:t>
      </w:r>
      <w:proofErr w:type="spellEnd"/>
      <w:r w:rsidRPr="00D21F46">
        <w:rPr>
          <w:rFonts w:cstheme="minorHAnsi"/>
          <w:sz w:val="24"/>
          <w:szCs w:val="24"/>
        </w:rPr>
        <w:t>, L.A. Strobel</w:t>
      </w:r>
      <w:r w:rsidR="00181BCF">
        <w:rPr>
          <w:rFonts w:cstheme="minorHAnsi"/>
          <w:sz w:val="24"/>
          <w:szCs w:val="24"/>
        </w:rPr>
        <w:t xml:space="preserve">. </w:t>
      </w:r>
      <w:r w:rsidRPr="00D21F46">
        <w:rPr>
          <w:rFonts w:cstheme="minorHAnsi"/>
          <w:b/>
          <w:bCs/>
          <w:sz w:val="24"/>
          <w:szCs w:val="24"/>
        </w:rPr>
        <w:t>Magnesium-containing bioactive glasses for biomedical applications</w:t>
      </w:r>
      <w:r w:rsidR="00181BCF">
        <w:rPr>
          <w:rFonts w:cstheme="minorHAnsi"/>
          <w:b/>
          <w:bCs/>
          <w:sz w:val="24"/>
          <w:szCs w:val="24"/>
        </w:rPr>
        <w:t xml:space="preserve">. </w:t>
      </w:r>
      <w:r w:rsidRPr="00D21F46">
        <w:rPr>
          <w:rFonts w:cstheme="minorHAnsi"/>
          <w:sz w:val="24"/>
          <w:szCs w:val="24"/>
        </w:rPr>
        <w:t>Int. J. Appl. Glass Sci., 3 (2012), pp. 221-253</w:t>
      </w:r>
    </w:p>
    <w:p w14:paraId="40F1DC39" w14:textId="38FB3C53" w:rsidR="00D21F46" w:rsidRPr="00D21F46" w:rsidRDefault="00D21F46" w:rsidP="008C5034">
      <w:pPr>
        <w:pStyle w:val="NoSpacing"/>
        <w:ind w:left="720" w:hanging="720"/>
        <w:rPr>
          <w:rFonts w:cstheme="minorHAnsi"/>
          <w:sz w:val="24"/>
          <w:szCs w:val="24"/>
        </w:rPr>
      </w:pPr>
      <w:r w:rsidRPr="00C3166C">
        <w:rPr>
          <w:rFonts w:cstheme="minorHAnsi"/>
          <w:sz w:val="24"/>
          <w:szCs w:val="24"/>
        </w:rPr>
        <w:t>Edin et al., 1996</w:t>
      </w:r>
      <w:r w:rsidR="00181BCF">
        <w:rPr>
          <w:rFonts w:cstheme="minorHAnsi"/>
          <w:sz w:val="24"/>
          <w:szCs w:val="24"/>
        </w:rPr>
        <w:t xml:space="preserve">. </w:t>
      </w:r>
      <w:r w:rsidRPr="00D21F46">
        <w:rPr>
          <w:rFonts w:cstheme="minorHAnsi"/>
          <w:sz w:val="24"/>
          <w:szCs w:val="24"/>
        </w:rPr>
        <w:t xml:space="preserve">M.L. Edin, T. </w:t>
      </w:r>
      <w:proofErr w:type="spellStart"/>
      <w:r w:rsidRPr="00D21F46">
        <w:rPr>
          <w:rFonts w:cstheme="minorHAnsi"/>
          <w:sz w:val="24"/>
          <w:szCs w:val="24"/>
        </w:rPr>
        <w:t>Miclau</w:t>
      </w:r>
      <w:proofErr w:type="spellEnd"/>
      <w:r w:rsidRPr="00D21F46">
        <w:rPr>
          <w:rFonts w:cstheme="minorHAnsi"/>
          <w:sz w:val="24"/>
          <w:szCs w:val="24"/>
        </w:rPr>
        <w:t xml:space="preserve">, G.E. Lester, R.W. Lindsey, L.E. </w:t>
      </w:r>
      <w:proofErr w:type="spellStart"/>
      <w:r w:rsidRPr="00D21F46">
        <w:rPr>
          <w:rFonts w:cstheme="minorHAnsi"/>
          <w:sz w:val="24"/>
          <w:szCs w:val="24"/>
        </w:rPr>
        <w:t>Dahners</w:t>
      </w:r>
      <w:proofErr w:type="spellEnd"/>
      <w:r w:rsidR="00181BCF">
        <w:rPr>
          <w:rFonts w:cstheme="minorHAnsi"/>
          <w:sz w:val="24"/>
          <w:szCs w:val="24"/>
        </w:rPr>
        <w:t xml:space="preserve">. </w:t>
      </w:r>
      <w:r w:rsidRPr="00D21F46">
        <w:rPr>
          <w:rFonts w:cstheme="minorHAnsi"/>
          <w:b/>
          <w:bCs/>
          <w:sz w:val="24"/>
          <w:szCs w:val="24"/>
        </w:rPr>
        <w:t>Effect of cefazolin and vancomycin on osteoblasts in vitro</w:t>
      </w:r>
      <w:r w:rsidR="00181BCF">
        <w:rPr>
          <w:rFonts w:cstheme="minorHAnsi"/>
          <w:b/>
          <w:bCs/>
          <w:sz w:val="24"/>
          <w:szCs w:val="24"/>
        </w:rPr>
        <w:t xml:space="preserve">. </w:t>
      </w:r>
      <w:r w:rsidRPr="00D21F46">
        <w:rPr>
          <w:rFonts w:cstheme="minorHAnsi"/>
          <w:sz w:val="24"/>
          <w:szCs w:val="24"/>
        </w:rPr>
        <w:t xml:space="preserve">Clin. </w:t>
      </w:r>
      <w:proofErr w:type="spellStart"/>
      <w:r w:rsidRPr="00D21F46">
        <w:rPr>
          <w:rFonts w:cstheme="minorHAnsi"/>
          <w:sz w:val="24"/>
          <w:szCs w:val="24"/>
        </w:rPr>
        <w:t>Orthop</w:t>
      </w:r>
      <w:proofErr w:type="spellEnd"/>
      <w:r w:rsidRPr="00D21F46">
        <w:rPr>
          <w:rFonts w:cstheme="minorHAnsi"/>
          <w:sz w:val="24"/>
          <w:szCs w:val="24"/>
        </w:rPr>
        <w:t xml:space="preserve">. </w:t>
      </w:r>
      <w:proofErr w:type="spellStart"/>
      <w:r w:rsidRPr="00D21F46">
        <w:rPr>
          <w:rFonts w:cstheme="minorHAnsi"/>
          <w:sz w:val="24"/>
          <w:szCs w:val="24"/>
        </w:rPr>
        <w:t>Relat</w:t>
      </w:r>
      <w:proofErr w:type="spellEnd"/>
      <w:r w:rsidRPr="00D21F46">
        <w:rPr>
          <w:rFonts w:cstheme="minorHAnsi"/>
          <w:sz w:val="24"/>
          <w:szCs w:val="24"/>
        </w:rPr>
        <w:t>. Res., 333 (1996), pp. 245-251</w:t>
      </w:r>
    </w:p>
    <w:p w14:paraId="7BE374B3" w14:textId="5C5E496E" w:rsidR="00D21F46" w:rsidRPr="00D21F46" w:rsidRDefault="00D21F46" w:rsidP="008C5034">
      <w:pPr>
        <w:pStyle w:val="NoSpacing"/>
        <w:ind w:left="720" w:hanging="720"/>
        <w:rPr>
          <w:rFonts w:cstheme="minorHAnsi"/>
          <w:sz w:val="24"/>
          <w:szCs w:val="24"/>
        </w:rPr>
      </w:pPr>
      <w:r w:rsidRPr="00C3166C">
        <w:rPr>
          <w:rFonts w:cstheme="minorHAnsi"/>
          <w:sz w:val="24"/>
          <w:szCs w:val="24"/>
        </w:rPr>
        <w:t>Ferguson et al., 2014</w:t>
      </w:r>
      <w:r w:rsidR="00181BCF">
        <w:rPr>
          <w:rFonts w:cstheme="minorHAnsi"/>
          <w:sz w:val="24"/>
          <w:szCs w:val="24"/>
        </w:rPr>
        <w:t xml:space="preserve">. </w:t>
      </w:r>
      <w:r w:rsidRPr="00D21F46">
        <w:rPr>
          <w:rFonts w:cstheme="minorHAnsi"/>
          <w:sz w:val="24"/>
          <w:szCs w:val="24"/>
        </w:rPr>
        <w:t xml:space="preserve">J. Ferguson, M. </w:t>
      </w:r>
      <w:proofErr w:type="spellStart"/>
      <w:r w:rsidRPr="00D21F46">
        <w:rPr>
          <w:rFonts w:cstheme="minorHAnsi"/>
          <w:sz w:val="24"/>
          <w:szCs w:val="24"/>
        </w:rPr>
        <w:t>Dudareva</w:t>
      </w:r>
      <w:proofErr w:type="spellEnd"/>
      <w:r w:rsidRPr="00D21F46">
        <w:rPr>
          <w:rFonts w:cstheme="minorHAnsi"/>
          <w:sz w:val="24"/>
          <w:szCs w:val="24"/>
        </w:rPr>
        <w:t>, N. Riley, D. Stubbs, B. Atkins, M. McNally</w:t>
      </w:r>
      <w:r w:rsidR="00181BCF">
        <w:rPr>
          <w:rFonts w:cstheme="minorHAnsi"/>
          <w:sz w:val="24"/>
          <w:szCs w:val="24"/>
        </w:rPr>
        <w:t xml:space="preserve">. </w:t>
      </w:r>
      <w:r w:rsidRPr="00D21F46">
        <w:rPr>
          <w:rFonts w:cstheme="minorHAnsi"/>
          <w:b/>
          <w:bCs/>
          <w:sz w:val="24"/>
          <w:szCs w:val="24"/>
        </w:rPr>
        <w:t>The use of a biodegradable antibiotic-loaded calcium sulphate carrier containing tobramycin for the treatment of chronic osteomyelitis: a series of 195 cases</w:t>
      </w:r>
      <w:r w:rsidR="00181BCF">
        <w:rPr>
          <w:rFonts w:cstheme="minorHAnsi"/>
          <w:b/>
          <w:bCs/>
          <w:sz w:val="24"/>
          <w:szCs w:val="24"/>
        </w:rPr>
        <w:t xml:space="preserve">. </w:t>
      </w:r>
      <w:r w:rsidRPr="00D21F46">
        <w:rPr>
          <w:rFonts w:cstheme="minorHAnsi"/>
          <w:sz w:val="24"/>
          <w:szCs w:val="24"/>
        </w:rPr>
        <w:t>Bone Joint J., 96 (2014), pp. 829-836</w:t>
      </w:r>
    </w:p>
    <w:p w14:paraId="64431328" w14:textId="278316A1" w:rsidR="00D21F46" w:rsidRPr="00D21F46" w:rsidRDefault="00D21F46" w:rsidP="008C5034">
      <w:pPr>
        <w:pStyle w:val="NoSpacing"/>
        <w:ind w:left="720" w:hanging="720"/>
        <w:rPr>
          <w:rFonts w:cstheme="minorHAnsi"/>
          <w:sz w:val="24"/>
          <w:szCs w:val="24"/>
        </w:rPr>
      </w:pPr>
      <w:r w:rsidRPr="00C3166C">
        <w:rPr>
          <w:rFonts w:cstheme="minorHAnsi"/>
          <w:sz w:val="24"/>
          <w:szCs w:val="24"/>
        </w:rPr>
        <w:t xml:space="preserve">Ford and </w:t>
      </w:r>
      <w:proofErr w:type="spellStart"/>
      <w:r w:rsidRPr="00C3166C">
        <w:rPr>
          <w:rFonts w:cstheme="minorHAnsi"/>
          <w:sz w:val="24"/>
          <w:szCs w:val="24"/>
        </w:rPr>
        <w:t>Cassat</w:t>
      </w:r>
      <w:proofErr w:type="spellEnd"/>
      <w:r w:rsidRPr="00C3166C">
        <w:rPr>
          <w:rFonts w:cstheme="minorHAnsi"/>
          <w:sz w:val="24"/>
          <w:szCs w:val="24"/>
        </w:rPr>
        <w:t>, 2017</w:t>
      </w:r>
      <w:r w:rsidR="00181BCF">
        <w:rPr>
          <w:rFonts w:cstheme="minorHAnsi"/>
          <w:sz w:val="24"/>
          <w:szCs w:val="24"/>
        </w:rPr>
        <w:t xml:space="preserve">. </w:t>
      </w:r>
      <w:r w:rsidRPr="00D21F46">
        <w:rPr>
          <w:rFonts w:cstheme="minorHAnsi"/>
          <w:sz w:val="24"/>
          <w:szCs w:val="24"/>
        </w:rPr>
        <w:t xml:space="preserve">C.A. Ford, J.E. </w:t>
      </w:r>
      <w:proofErr w:type="spellStart"/>
      <w:r w:rsidRPr="00D21F46">
        <w:rPr>
          <w:rFonts w:cstheme="minorHAnsi"/>
          <w:sz w:val="24"/>
          <w:szCs w:val="24"/>
        </w:rPr>
        <w:t>Cassat</w:t>
      </w:r>
      <w:proofErr w:type="spellEnd"/>
      <w:r w:rsidR="00181BCF">
        <w:rPr>
          <w:rFonts w:cstheme="minorHAnsi"/>
          <w:sz w:val="24"/>
          <w:szCs w:val="24"/>
        </w:rPr>
        <w:t xml:space="preserve">. </w:t>
      </w:r>
      <w:r w:rsidRPr="00D21F46">
        <w:rPr>
          <w:rFonts w:cstheme="minorHAnsi"/>
          <w:b/>
          <w:bCs/>
          <w:sz w:val="24"/>
          <w:szCs w:val="24"/>
        </w:rPr>
        <w:t>Advances in the local and targeted delivery of anti-infective agents for management of osteomyelitis</w:t>
      </w:r>
      <w:r w:rsidR="00181BCF">
        <w:rPr>
          <w:rFonts w:cstheme="minorHAnsi"/>
          <w:b/>
          <w:bCs/>
          <w:sz w:val="24"/>
          <w:szCs w:val="24"/>
        </w:rPr>
        <w:t xml:space="preserve">. </w:t>
      </w:r>
      <w:r w:rsidRPr="00D21F46">
        <w:rPr>
          <w:rFonts w:cstheme="minorHAnsi"/>
          <w:sz w:val="24"/>
          <w:szCs w:val="24"/>
        </w:rPr>
        <w:t xml:space="preserve">Expert Rev. Anti-Infective </w:t>
      </w:r>
      <w:proofErr w:type="spellStart"/>
      <w:r w:rsidRPr="00D21F46">
        <w:rPr>
          <w:rFonts w:cstheme="minorHAnsi"/>
          <w:sz w:val="24"/>
          <w:szCs w:val="24"/>
        </w:rPr>
        <w:t>Ther</w:t>
      </w:r>
      <w:proofErr w:type="spellEnd"/>
      <w:r w:rsidRPr="00D21F46">
        <w:rPr>
          <w:rFonts w:cstheme="minorHAnsi"/>
          <w:sz w:val="24"/>
          <w:szCs w:val="24"/>
        </w:rPr>
        <w:t>., 15 (2017), pp. 851-860</w:t>
      </w:r>
    </w:p>
    <w:p w14:paraId="143212B8" w14:textId="12E8A7E9"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Galla</w:t>
      </w:r>
      <w:proofErr w:type="spellEnd"/>
      <w:r w:rsidRPr="00C3166C">
        <w:rPr>
          <w:rFonts w:cstheme="minorHAnsi"/>
          <w:sz w:val="24"/>
          <w:szCs w:val="24"/>
        </w:rPr>
        <w:t>, 2000</w:t>
      </w:r>
      <w:r w:rsidR="00181BCF">
        <w:rPr>
          <w:rFonts w:cstheme="minorHAnsi"/>
          <w:sz w:val="24"/>
          <w:szCs w:val="24"/>
        </w:rPr>
        <w:t xml:space="preserve">. </w:t>
      </w:r>
      <w:r w:rsidRPr="00D21F46">
        <w:rPr>
          <w:rFonts w:cstheme="minorHAnsi"/>
          <w:sz w:val="24"/>
          <w:szCs w:val="24"/>
        </w:rPr>
        <w:t xml:space="preserve">J.H. </w:t>
      </w:r>
      <w:proofErr w:type="spellStart"/>
      <w:r w:rsidRPr="00D21F46">
        <w:rPr>
          <w:rFonts w:cstheme="minorHAnsi"/>
          <w:sz w:val="24"/>
          <w:szCs w:val="24"/>
        </w:rPr>
        <w:t>Galla</w:t>
      </w:r>
      <w:proofErr w:type="spellEnd"/>
      <w:r w:rsidR="00181BCF">
        <w:rPr>
          <w:rFonts w:cstheme="minorHAnsi"/>
          <w:sz w:val="24"/>
          <w:szCs w:val="24"/>
        </w:rPr>
        <w:t xml:space="preserve">. </w:t>
      </w:r>
      <w:r w:rsidRPr="00D21F46">
        <w:rPr>
          <w:rFonts w:cstheme="minorHAnsi"/>
          <w:b/>
          <w:bCs/>
          <w:sz w:val="24"/>
          <w:szCs w:val="24"/>
        </w:rPr>
        <w:t>Metabolic alkalosis</w:t>
      </w:r>
      <w:r w:rsidR="00181BCF">
        <w:rPr>
          <w:rFonts w:cstheme="minorHAnsi"/>
          <w:b/>
          <w:bCs/>
          <w:sz w:val="24"/>
          <w:szCs w:val="24"/>
        </w:rPr>
        <w:t xml:space="preserve">. </w:t>
      </w:r>
      <w:r w:rsidRPr="00D21F46">
        <w:rPr>
          <w:rFonts w:cstheme="minorHAnsi"/>
          <w:sz w:val="24"/>
          <w:szCs w:val="24"/>
        </w:rPr>
        <w:t>J. Am. Soc. Nephrol., 11 (2000), pp. 369-375</w:t>
      </w:r>
    </w:p>
    <w:p w14:paraId="7CBB917C" w14:textId="24836FBE" w:rsidR="00D21F46" w:rsidRPr="00D21F46" w:rsidRDefault="00D21F46" w:rsidP="008C5034">
      <w:pPr>
        <w:pStyle w:val="NoSpacing"/>
        <w:ind w:left="720" w:hanging="720"/>
        <w:rPr>
          <w:rFonts w:cstheme="minorHAnsi"/>
          <w:sz w:val="24"/>
          <w:szCs w:val="24"/>
        </w:rPr>
      </w:pPr>
      <w:r w:rsidRPr="00C3166C">
        <w:rPr>
          <w:rFonts w:cstheme="minorHAnsi"/>
          <w:sz w:val="24"/>
          <w:szCs w:val="24"/>
        </w:rPr>
        <w:t xml:space="preserve">Gold and </w:t>
      </w:r>
      <w:proofErr w:type="spellStart"/>
      <w:r w:rsidRPr="00C3166C">
        <w:rPr>
          <w:rFonts w:cstheme="minorHAnsi"/>
          <w:sz w:val="24"/>
          <w:szCs w:val="24"/>
        </w:rPr>
        <w:t>Moellering</w:t>
      </w:r>
      <w:proofErr w:type="spellEnd"/>
      <w:r w:rsidRPr="00C3166C">
        <w:rPr>
          <w:rFonts w:cstheme="minorHAnsi"/>
          <w:sz w:val="24"/>
          <w:szCs w:val="24"/>
        </w:rPr>
        <w:t>, 1996</w:t>
      </w:r>
      <w:r w:rsidR="00181BCF">
        <w:rPr>
          <w:rFonts w:cstheme="minorHAnsi"/>
          <w:sz w:val="24"/>
          <w:szCs w:val="24"/>
        </w:rPr>
        <w:t xml:space="preserve">. </w:t>
      </w:r>
      <w:r w:rsidRPr="00D21F46">
        <w:rPr>
          <w:rFonts w:cstheme="minorHAnsi"/>
          <w:sz w:val="24"/>
          <w:szCs w:val="24"/>
        </w:rPr>
        <w:t xml:space="preserve">H.S. Gold, R.C. </w:t>
      </w:r>
      <w:proofErr w:type="spellStart"/>
      <w:r w:rsidRPr="00D21F46">
        <w:rPr>
          <w:rFonts w:cstheme="minorHAnsi"/>
          <w:sz w:val="24"/>
          <w:szCs w:val="24"/>
        </w:rPr>
        <w:t>Moellering</w:t>
      </w:r>
      <w:proofErr w:type="spellEnd"/>
      <w:r w:rsidRPr="00D21F46">
        <w:rPr>
          <w:rFonts w:cstheme="minorHAnsi"/>
          <w:sz w:val="24"/>
          <w:szCs w:val="24"/>
        </w:rPr>
        <w:t xml:space="preserve"> Jr</w:t>
      </w:r>
      <w:r w:rsidR="00181BCF">
        <w:rPr>
          <w:rFonts w:cstheme="minorHAnsi"/>
          <w:sz w:val="24"/>
          <w:szCs w:val="24"/>
        </w:rPr>
        <w:t xml:space="preserve">. </w:t>
      </w:r>
      <w:r w:rsidRPr="00D21F46">
        <w:rPr>
          <w:rFonts w:cstheme="minorHAnsi"/>
          <w:b/>
          <w:bCs/>
          <w:sz w:val="24"/>
          <w:szCs w:val="24"/>
        </w:rPr>
        <w:t>Antimicrobial-drug resistance</w:t>
      </w:r>
      <w:r w:rsidR="00181BCF">
        <w:rPr>
          <w:rFonts w:cstheme="minorHAnsi"/>
          <w:b/>
          <w:bCs/>
          <w:sz w:val="24"/>
          <w:szCs w:val="24"/>
        </w:rPr>
        <w:t xml:space="preserve">. </w:t>
      </w:r>
      <w:r w:rsidRPr="00D21F46">
        <w:rPr>
          <w:rFonts w:cstheme="minorHAnsi"/>
          <w:sz w:val="24"/>
          <w:szCs w:val="24"/>
        </w:rPr>
        <w:t>N. Engl. J. Med., 335 (1996), pp. 1445-1453</w:t>
      </w:r>
    </w:p>
    <w:p w14:paraId="0EBFD069" w14:textId="74423B2D" w:rsidR="00D21F46" w:rsidRPr="00D21F46" w:rsidRDefault="00D21F46" w:rsidP="008C5034">
      <w:pPr>
        <w:pStyle w:val="NoSpacing"/>
        <w:ind w:left="720" w:hanging="720"/>
        <w:rPr>
          <w:rFonts w:cstheme="minorHAnsi"/>
          <w:sz w:val="24"/>
          <w:szCs w:val="24"/>
        </w:rPr>
      </w:pPr>
      <w:r w:rsidRPr="00C3166C">
        <w:rPr>
          <w:rFonts w:cstheme="minorHAnsi"/>
          <w:sz w:val="24"/>
          <w:szCs w:val="24"/>
        </w:rPr>
        <w:t xml:space="preserve">Hetrick and </w:t>
      </w:r>
      <w:proofErr w:type="spellStart"/>
      <w:r w:rsidRPr="00C3166C">
        <w:rPr>
          <w:rFonts w:cstheme="minorHAnsi"/>
          <w:sz w:val="24"/>
          <w:szCs w:val="24"/>
        </w:rPr>
        <w:t>Schoenfisch</w:t>
      </w:r>
      <w:proofErr w:type="spellEnd"/>
      <w:r w:rsidRPr="00C3166C">
        <w:rPr>
          <w:rFonts w:cstheme="minorHAnsi"/>
          <w:sz w:val="24"/>
          <w:szCs w:val="24"/>
        </w:rPr>
        <w:t>, 2006</w:t>
      </w:r>
      <w:r w:rsidR="00181BCF">
        <w:rPr>
          <w:rFonts w:cstheme="minorHAnsi"/>
          <w:sz w:val="24"/>
          <w:szCs w:val="24"/>
        </w:rPr>
        <w:t xml:space="preserve">. </w:t>
      </w:r>
      <w:r w:rsidRPr="00D21F46">
        <w:rPr>
          <w:rFonts w:cstheme="minorHAnsi"/>
          <w:sz w:val="24"/>
          <w:szCs w:val="24"/>
        </w:rPr>
        <w:t xml:space="preserve">E.M. Hetrick, M.H. </w:t>
      </w:r>
      <w:proofErr w:type="spellStart"/>
      <w:r w:rsidRPr="00D21F46">
        <w:rPr>
          <w:rFonts w:cstheme="minorHAnsi"/>
          <w:sz w:val="24"/>
          <w:szCs w:val="24"/>
        </w:rPr>
        <w:t>Schoenfisch</w:t>
      </w:r>
      <w:proofErr w:type="spellEnd"/>
      <w:r w:rsidR="00181BCF">
        <w:rPr>
          <w:rFonts w:cstheme="minorHAnsi"/>
          <w:sz w:val="24"/>
          <w:szCs w:val="24"/>
        </w:rPr>
        <w:t xml:space="preserve">. </w:t>
      </w:r>
      <w:r w:rsidRPr="00D21F46">
        <w:rPr>
          <w:rFonts w:cstheme="minorHAnsi"/>
          <w:b/>
          <w:bCs/>
          <w:sz w:val="24"/>
          <w:szCs w:val="24"/>
        </w:rPr>
        <w:t>Reducing implant-related infections: active release strategies</w:t>
      </w:r>
      <w:r w:rsidR="00181BCF">
        <w:rPr>
          <w:rFonts w:cstheme="minorHAnsi"/>
          <w:b/>
          <w:bCs/>
          <w:sz w:val="24"/>
          <w:szCs w:val="24"/>
        </w:rPr>
        <w:t xml:space="preserve">. </w:t>
      </w:r>
      <w:r w:rsidRPr="00D21F46">
        <w:rPr>
          <w:rFonts w:cstheme="minorHAnsi"/>
          <w:sz w:val="24"/>
          <w:szCs w:val="24"/>
        </w:rPr>
        <w:t>Chem. Soc. Rev., 35 (2006), pp. 780-789</w:t>
      </w:r>
    </w:p>
    <w:p w14:paraId="3192576B" w14:textId="4FF6B5BC" w:rsidR="00D21F46" w:rsidRPr="00D21F46" w:rsidRDefault="00D21F46" w:rsidP="008C5034">
      <w:pPr>
        <w:pStyle w:val="NoSpacing"/>
        <w:ind w:left="720" w:hanging="720"/>
        <w:rPr>
          <w:rFonts w:cstheme="minorHAnsi"/>
          <w:sz w:val="24"/>
          <w:szCs w:val="24"/>
        </w:rPr>
      </w:pPr>
      <w:r w:rsidRPr="00C3166C">
        <w:rPr>
          <w:rFonts w:cstheme="minorHAnsi"/>
          <w:sz w:val="24"/>
          <w:szCs w:val="24"/>
        </w:rPr>
        <w:t xml:space="preserve">Huang and </w:t>
      </w:r>
      <w:proofErr w:type="spellStart"/>
      <w:r w:rsidRPr="00C3166C">
        <w:rPr>
          <w:rFonts w:cstheme="minorHAnsi"/>
          <w:sz w:val="24"/>
          <w:szCs w:val="24"/>
        </w:rPr>
        <w:t>Brazel</w:t>
      </w:r>
      <w:proofErr w:type="spellEnd"/>
      <w:r w:rsidRPr="00C3166C">
        <w:rPr>
          <w:rFonts w:cstheme="minorHAnsi"/>
          <w:sz w:val="24"/>
          <w:szCs w:val="24"/>
        </w:rPr>
        <w:t>, 2001</w:t>
      </w:r>
      <w:r w:rsidR="00181BCF">
        <w:rPr>
          <w:rFonts w:cstheme="minorHAnsi"/>
          <w:sz w:val="24"/>
          <w:szCs w:val="24"/>
        </w:rPr>
        <w:t xml:space="preserve">. </w:t>
      </w:r>
      <w:r w:rsidRPr="00D21F46">
        <w:rPr>
          <w:rFonts w:cstheme="minorHAnsi"/>
          <w:sz w:val="24"/>
          <w:szCs w:val="24"/>
        </w:rPr>
        <w:t xml:space="preserve">X. Huang, C.S. </w:t>
      </w:r>
      <w:proofErr w:type="spellStart"/>
      <w:r w:rsidRPr="00D21F46">
        <w:rPr>
          <w:rFonts w:cstheme="minorHAnsi"/>
          <w:sz w:val="24"/>
          <w:szCs w:val="24"/>
        </w:rPr>
        <w:t>Brazel</w:t>
      </w:r>
      <w:proofErr w:type="spellEnd"/>
      <w:r w:rsidR="00181BCF">
        <w:rPr>
          <w:rFonts w:cstheme="minorHAnsi"/>
          <w:sz w:val="24"/>
          <w:szCs w:val="24"/>
        </w:rPr>
        <w:t xml:space="preserve">. </w:t>
      </w:r>
      <w:r w:rsidRPr="00D21F46">
        <w:rPr>
          <w:rFonts w:cstheme="minorHAnsi"/>
          <w:b/>
          <w:bCs/>
          <w:sz w:val="24"/>
          <w:szCs w:val="24"/>
        </w:rPr>
        <w:t>On the importance and mechanisms of burst release in matrix-controlled drug delivery systems</w:t>
      </w:r>
      <w:r w:rsidR="00181BCF">
        <w:rPr>
          <w:rFonts w:cstheme="minorHAnsi"/>
          <w:b/>
          <w:bCs/>
          <w:sz w:val="24"/>
          <w:szCs w:val="24"/>
        </w:rPr>
        <w:t xml:space="preserve">. </w:t>
      </w:r>
      <w:r w:rsidRPr="00D21F46">
        <w:rPr>
          <w:rFonts w:cstheme="minorHAnsi"/>
          <w:sz w:val="24"/>
          <w:szCs w:val="24"/>
        </w:rPr>
        <w:t>J. Control. Release, 73 (2001), pp. 121-136</w:t>
      </w:r>
    </w:p>
    <w:p w14:paraId="532C44B1" w14:textId="525FAE8B"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Jadidi</w:t>
      </w:r>
      <w:proofErr w:type="spellEnd"/>
      <w:r w:rsidRPr="00C3166C">
        <w:rPr>
          <w:rFonts w:cstheme="minorHAnsi"/>
          <w:sz w:val="24"/>
          <w:szCs w:val="24"/>
        </w:rPr>
        <w:t xml:space="preserve"> and </w:t>
      </w:r>
      <w:proofErr w:type="spellStart"/>
      <w:r w:rsidRPr="00C3166C">
        <w:rPr>
          <w:rFonts w:cstheme="minorHAnsi"/>
          <w:sz w:val="24"/>
          <w:szCs w:val="24"/>
        </w:rPr>
        <w:t>Salahinejad</w:t>
      </w:r>
      <w:proofErr w:type="spellEnd"/>
      <w:r w:rsidRPr="00C3166C">
        <w:rPr>
          <w:rFonts w:cstheme="minorHAnsi"/>
          <w:sz w:val="24"/>
          <w:szCs w:val="24"/>
        </w:rPr>
        <w:t>, 2020</w:t>
      </w:r>
      <w:r w:rsidR="00181BCF">
        <w:rPr>
          <w:rFonts w:cstheme="minorHAnsi"/>
          <w:sz w:val="24"/>
          <w:szCs w:val="24"/>
        </w:rPr>
        <w:t xml:space="preserve">. </w:t>
      </w:r>
      <w:r w:rsidRPr="00D21F46">
        <w:rPr>
          <w:rFonts w:cstheme="minorHAnsi"/>
          <w:sz w:val="24"/>
          <w:szCs w:val="24"/>
        </w:rPr>
        <w:t xml:space="preserve">A. </w:t>
      </w:r>
      <w:proofErr w:type="spellStart"/>
      <w:r w:rsidRPr="00D21F46">
        <w:rPr>
          <w:rFonts w:cstheme="minorHAnsi"/>
          <w:sz w:val="24"/>
          <w:szCs w:val="24"/>
        </w:rPr>
        <w:t>Jadidi</w:t>
      </w:r>
      <w:proofErr w:type="spellEnd"/>
      <w:r w:rsidRPr="00D21F46">
        <w:rPr>
          <w:rFonts w:cstheme="minorHAnsi"/>
          <w:sz w:val="24"/>
          <w:szCs w:val="24"/>
        </w:rPr>
        <w:t xml:space="preserve">, E. </w:t>
      </w:r>
      <w:proofErr w:type="spellStart"/>
      <w:r w:rsidRPr="00D21F46">
        <w:rPr>
          <w:rFonts w:cstheme="minorHAnsi"/>
          <w:sz w:val="24"/>
          <w:szCs w:val="24"/>
        </w:rPr>
        <w:t>Salahinejad</w:t>
      </w:r>
      <w:proofErr w:type="spellEnd"/>
      <w:r w:rsidR="00181BCF">
        <w:rPr>
          <w:rFonts w:cstheme="minorHAnsi"/>
          <w:sz w:val="24"/>
          <w:szCs w:val="24"/>
        </w:rPr>
        <w:t xml:space="preserve">. </w:t>
      </w:r>
      <w:r w:rsidRPr="00D21F46">
        <w:rPr>
          <w:rFonts w:cstheme="minorHAnsi"/>
          <w:b/>
          <w:bCs/>
          <w:sz w:val="24"/>
          <w:szCs w:val="24"/>
        </w:rPr>
        <w:t>Mechanical strength and biocompatibility of bredigite (Ca7MgSi4O16) tissue-engineering scaffolds modified by aliphatic polyester coatings</w:t>
      </w:r>
      <w:r w:rsidR="00181BCF">
        <w:rPr>
          <w:rFonts w:cstheme="minorHAnsi"/>
          <w:b/>
          <w:bCs/>
          <w:sz w:val="24"/>
          <w:szCs w:val="24"/>
        </w:rPr>
        <w:t xml:space="preserve">. </w:t>
      </w:r>
      <w:r w:rsidRPr="00D21F46">
        <w:rPr>
          <w:rFonts w:cstheme="minorHAnsi"/>
          <w:sz w:val="24"/>
          <w:szCs w:val="24"/>
        </w:rPr>
        <w:t>Ceram. Int., 46 (2020), pp. 16439-16446</w:t>
      </w:r>
    </w:p>
    <w:p w14:paraId="3DD5AF54" w14:textId="604B0DD3" w:rsidR="00D21F46" w:rsidRPr="00D21F46" w:rsidRDefault="00D21F46" w:rsidP="008C5034">
      <w:pPr>
        <w:pStyle w:val="NoSpacing"/>
        <w:ind w:left="720" w:hanging="720"/>
        <w:rPr>
          <w:rFonts w:cstheme="minorHAnsi"/>
          <w:sz w:val="24"/>
          <w:szCs w:val="24"/>
        </w:rPr>
      </w:pPr>
      <w:r w:rsidRPr="00C3166C">
        <w:rPr>
          <w:rFonts w:cstheme="minorHAnsi"/>
          <w:sz w:val="24"/>
          <w:szCs w:val="24"/>
        </w:rPr>
        <w:t>Jain, 2008</w:t>
      </w:r>
      <w:r w:rsidR="00181BCF">
        <w:rPr>
          <w:rFonts w:cstheme="minorHAnsi"/>
          <w:sz w:val="24"/>
          <w:szCs w:val="24"/>
        </w:rPr>
        <w:t xml:space="preserve">. </w:t>
      </w:r>
      <w:r w:rsidRPr="00D21F46">
        <w:rPr>
          <w:rFonts w:cstheme="minorHAnsi"/>
          <w:sz w:val="24"/>
          <w:szCs w:val="24"/>
        </w:rPr>
        <w:t>Jain, K.K., 2008. Drug delivery systems-an overview, Drug delivery systems. Springer, pp. 1–50.</w:t>
      </w:r>
    </w:p>
    <w:p w14:paraId="63F32635" w14:textId="564C5626"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Keihan</w:t>
      </w:r>
      <w:proofErr w:type="spellEnd"/>
      <w:r w:rsidRPr="00C3166C">
        <w:rPr>
          <w:rFonts w:cstheme="minorHAnsi"/>
          <w:sz w:val="24"/>
          <w:szCs w:val="24"/>
        </w:rPr>
        <w:t xml:space="preserve"> et al., 2020</w:t>
      </w:r>
      <w:r w:rsidR="00181BCF">
        <w:rPr>
          <w:rFonts w:cstheme="minorHAnsi"/>
          <w:sz w:val="24"/>
          <w:szCs w:val="24"/>
        </w:rPr>
        <w:t xml:space="preserve">. </w:t>
      </w:r>
      <w:r w:rsidRPr="00D21F46">
        <w:rPr>
          <w:rFonts w:cstheme="minorHAnsi"/>
          <w:sz w:val="24"/>
          <w:szCs w:val="24"/>
        </w:rPr>
        <w:t xml:space="preserve">R. </w:t>
      </w:r>
      <w:proofErr w:type="spellStart"/>
      <w:r w:rsidRPr="00D21F46">
        <w:rPr>
          <w:rFonts w:cstheme="minorHAnsi"/>
          <w:sz w:val="24"/>
          <w:szCs w:val="24"/>
        </w:rPr>
        <w:t>Keihan</w:t>
      </w:r>
      <w:proofErr w:type="spellEnd"/>
      <w:r w:rsidRPr="00D21F46">
        <w:rPr>
          <w:rFonts w:cstheme="minorHAnsi"/>
          <w:sz w:val="24"/>
          <w:szCs w:val="24"/>
        </w:rPr>
        <w:t xml:space="preserve">, A. </w:t>
      </w:r>
      <w:proofErr w:type="spellStart"/>
      <w:r w:rsidRPr="00D21F46">
        <w:rPr>
          <w:rFonts w:cstheme="minorHAnsi"/>
          <w:sz w:val="24"/>
          <w:szCs w:val="24"/>
        </w:rPr>
        <w:t>Ghorbani</w:t>
      </w:r>
      <w:proofErr w:type="spellEnd"/>
      <w:r w:rsidRPr="00D21F46">
        <w:rPr>
          <w:rFonts w:cstheme="minorHAnsi"/>
          <w:sz w:val="24"/>
          <w:szCs w:val="24"/>
        </w:rPr>
        <w:t xml:space="preserve">, E. </w:t>
      </w:r>
      <w:proofErr w:type="spellStart"/>
      <w:r w:rsidRPr="00D21F46">
        <w:rPr>
          <w:rFonts w:cstheme="minorHAnsi"/>
          <w:sz w:val="24"/>
          <w:szCs w:val="24"/>
        </w:rPr>
        <w:t>Salahinejad</w:t>
      </w:r>
      <w:proofErr w:type="spellEnd"/>
      <w:r w:rsidRPr="00D21F46">
        <w:rPr>
          <w:rFonts w:cstheme="minorHAnsi"/>
          <w:sz w:val="24"/>
          <w:szCs w:val="24"/>
        </w:rPr>
        <w:t>, E. Sharifi, L. Tayebi</w:t>
      </w:r>
      <w:r w:rsidR="00181BCF">
        <w:rPr>
          <w:rFonts w:cstheme="minorHAnsi"/>
          <w:sz w:val="24"/>
          <w:szCs w:val="24"/>
        </w:rPr>
        <w:t xml:space="preserve">. </w:t>
      </w:r>
      <w:r w:rsidRPr="00D21F46">
        <w:rPr>
          <w:rFonts w:cstheme="minorHAnsi"/>
          <w:b/>
          <w:bCs/>
          <w:sz w:val="24"/>
          <w:szCs w:val="24"/>
        </w:rPr>
        <w:t>Biomineralization, strength and cytocompatibility improvement of bredigite scaffolds through doping/coating</w:t>
      </w:r>
      <w:r w:rsidR="00181BCF">
        <w:rPr>
          <w:rFonts w:cstheme="minorHAnsi"/>
          <w:b/>
          <w:bCs/>
          <w:sz w:val="24"/>
          <w:szCs w:val="24"/>
        </w:rPr>
        <w:t xml:space="preserve">. </w:t>
      </w:r>
      <w:r w:rsidRPr="00D21F46">
        <w:rPr>
          <w:rFonts w:cstheme="minorHAnsi"/>
          <w:sz w:val="24"/>
          <w:szCs w:val="24"/>
        </w:rPr>
        <w:t>Ceram. Int., 46 (2020), pp. 21056-21063</w:t>
      </w:r>
    </w:p>
    <w:p w14:paraId="6BE36C73" w14:textId="16DE614F"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Keihan</w:t>
      </w:r>
      <w:proofErr w:type="spellEnd"/>
      <w:r w:rsidRPr="00C3166C">
        <w:rPr>
          <w:rFonts w:cstheme="minorHAnsi"/>
          <w:sz w:val="24"/>
          <w:szCs w:val="24"/>
        </w:rPr>
        <w:t xml:space="preserve"> and </w:t>
      </w:r>
      <w:proofErr w:type="spellStart"/>
      <w:r w:rsidRPr="00C3166C">
        <w:rPr>
          <w:rFonts w:cstheme="minorHAnsi"/>
          <w:sz w:val="24"/>
          <w:szCs w:val="24"/>
        </w:rPr>
        <w:t>Salahinejad</w:t>
      </w:r>
      <w:proofErr w:type="spellEnd"/>
      <w:r w:rsidRPr="00C3166C">
        <w:rPr>
          <w:rFonts w:cstheme="minorHAnsi"/>
          <w:sz w:val="24"/>
          <w:szCs w:val="24"/>
        </w:rPr>
        <w:t>, 2020</w:t>
      </w:r>
      <w:r w:rsidR="00181BCF">
        <w:rPr>
          <w:rFonts w:cstheme="minorHAnsi"/>
          <w:sz w:val="24"/>
          <w:szCs w:val="24"/>
        </w:rPr>
        <w:t xml:space="preserve">. </w:t>
      </w:r>
      <w:r w:rsidRPr="00D21F46">
        <w:rPr>
          <w:rFonts w:cstheme="minorHAnsi"/>
          <w:sz w:val="24"/>
          <w:szCs w:val="24"/>
        </w:rPr>
        <w:t xml:space="preserve">R. </w:t>
      </w:r>
      <w:proofErr w:type="spellStart"/>
      <w:r w:rsidRPr="00D21F46">
        <w:rPr>
          <w:rFonts w:cstheme="minorHAnsi"/>
          <w:sz w:val="24"/>
          <w:szCs w:val="24"/>
        </w:rPr>
        <w:t>Keihan</w:t>
      </w:r>
      <w:proofErr w:type="spellEnd"/>
      <w:r w:rsidRPr="00D21F46">
        <w:rPr>
          <w:rFonts w:cstheme="minorHAnsi"/>
          <w:sz w:val="24"/>
          <w:szCs w:val="24"/>
        </w:rPr>
        <w:t xml:space="preserve">, E. </w:t>
      </w:r>
      <w:proofErr w:type="spellStart"/>
      <w:r w:rsidRPr="00D21F46">
        <w:rPr>
          <w:rFonts w:cstheme="minorHAnsi"/>
          <w:sz w:val="24"/>
          <w:szCs w:val="24"/>
        </w:rPr>
        <w:t>Salahinejad</w:t>
      </w:r>
      <w:proofErr w:type="spellEnd"/>
      <w:r w:rsidR="00181BCF">
        <w:rPr>
          <w:rFonts w:cstheme="minorHAnsi"/>
          <w:sz w:val="24"/>
          <w:szCs w:val="24"/>
        </w:rPr>
        <w:t xml:space="preserve">. </w:t>
      </w:r>
      <w:r w:rsidRPr="00D21F46">
        <w:rPr>
          <w:rFonts w:cstheme="minorHAnsi"/>
          <w:b/>
          <w:bCs/>
          <w:sz w:val="24"/>
          <w:szCs w:val="24"/>
        </w:rPr>
        <w:t xml:space="preserve">Inorganic-salt coprecipitation synthesis, fluoride-doping, </w:t>
      </w:r>
      <w:proofErr w:type="gramStart"/>
      <w:r w:rsidRPr="00D21F46">
        <w:rPr>
          <w:rFonts w:cstheme="minorHAnsi"/>
          <w:b/>
          <w:bCs/>
          <w:sz w:val="24"/>
          <w:szCs w:val="24"/>
        </w:rPr>
        <w:t>bioactivity</w:t>
      </w:r>
      <w:proofErr w:type="gramEnd"/>
      <w:r w:rsidRPr="00D21F46">
        <w:rPr>
          <w:rFonts w:cstheme="minorHAnsi"/>
          <w:b/>
          <w:bCs/>
          <w:sz w:val="24"/>
          <w:szCs w:val="24"/>
        </w:rPr>
        <w:t xml:space="preserve"> and physiological pH buffering evaluations of bredigite</w:t>
      </w:r>
      <w:r w:rsidR="00181BCF">
        <w:rPr>
          <w:rFonts w:cstheme="minorHAnsi"/>
          <w:b/>
          <w:bCs/>
          <w:sz w:val="24"/>
          <w:szCs w:val="24"/>
        </w:rPr>
        <w:t xml:space="preserve">. </w:t>
      </w:r>
      <w:r w:rsidRPr="00D21F46">
        <w:rPr>
          <w:rFonts w:cstheme="minorHAnsi"/>
          <w:sz w:val="24"/>
          <w:szCs w:val="24"/>
        </w:rPr>
        <w:t>Ceram. Int., 46 (2020), pp. 13292-13296</w:t>
      </w:r>
    </w:p>
    <w:p w14:paraId="239D3C6D" w14:textId="5FC5FDB0"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Khandan</w:t>
      </w:r>
      <w:proofErr w:type="spellEnd"/>
      <w:r w:rsidRPr="00C3166C">
        <w:rPr>
          <w:rFonts w:cstheme="minorHAnsi"/>
          <w:sz w:val="24"/>
          <w:szCs w:val="24"/>
        </w:rPr>
        <w:t xml:space="preserve"> and </w:t>
      </w:r>
      <w:proofErr w:type="spellStart"/>
      <w:r w:rsidRPr="00C3166C">
        <w:rPr>
          <w:rFonts w:cstheme="minorHAnsi"/>
          <w:sz w:val="24"/>
          <w:szCs w:val="24"/>
        </w:rPr>
        <w:t>Ozada</w:t>
      </w:r>
      <w:proofErr w:type="spellEnd"/>
      <w:r w:rsidRPr="00C3166C">
        <w:rPr>
          <w:rFonts w:cstheme="minorHAnsi"/>
          <w:sz w:val="24"/>
          <w:szCs w:val="24"/>
        </w:rPr>
        <w:t>, 2017</w:t>
      </w:r>
      <w:r w:rsidR="00181BCF">
        <w:rPr>
          <w:rFonts w:cstheme="minorHAnsi"/>
          <w:sz w:val="24"/>
          <w:szCs w:val="24"/>
        </w:rPr>
        <w:t xml:space="preserve">. </w:t>
      </w:r>
      <w:r w:rsidRPr="00D21F46">
        <w:rPr>
          <w:rFonts w:cstheme="minorHAnsi"/>
          <w:sz w:val="24"/>
          <w:szCs w:val="24"/>
        </w:rPr>
        <w:t xml:space="preserve">A. </w:t>
      </w:r>
      <w:proofErr w:type="spellStart"/>
      <w:r w:rsidRPr="00D21F46">
        <w:rPr>
          <w:rFonts w:cstheme="minorHAnsi"/>
          <w:sz w:val="24"/>
          <w:szCs w:val="24"/>
        </w:rPr>
        <w:t>Khandan</w:t>
      </w:r>
      <w:proofErr w:type="spellEnd"/>
      <w:r w:rsidRPr="00D21F46">
        <w:rPr>
          <w:rFonts w:cstheme="minorHAnsi"/>
          <w:sz w:val="24"/>
          <w:szCs w:val="24"/>
        </w:rPr>
        <w:t xml:space="preserve">, N. </w:t>
      </w:r>
      <w:proofErr w:type="spellStart"/>
      <w:r w:rsidRPr="00D21F46">
        <w:rPr>
          <w:rFonts w:cstheme="minorHAnsi"/>
          <w:sz w:val="24"/>
          <w:szCs w:val="24"/>
        </w:rPr>
        <w:t>Ozada</w:t>
      </w:r>
      <w:proofErr w:type="spellEnd"/>
      <w:r w:rsidR="00181BCF">
        <w:rPr>
          <w:rFonts w:cstheme="minorHAnsi"/>
          <w:sz w:val="24"/>
          <w:szCs w:val="24"/>
        </w:rPr>
        <w:t xml:space="preserve">. </w:t>
      </w:r>
      <w:r w:rsidRPr="00D21F46">
        <w:rPr>
          <w:rFonts w:cstheme="minorHAnsi"/>
          <w:b/>
          <w:bCs/>
          <w:sz w:val="24"/>
          <w:szCs w:val="24"/>
        </w:rPr>
        <w:t>Bredigite-Magnetite (Ca7MgSi4O16-Fe3O4) nanoparticles: a study on their magnetic properties</w:t>
      </w:r>
      <w:r w:rsidR="00181BCF">
        <w:rPr>
          <w:rFonts w:cstheme="minorHAnsi"/>
          <w:b/>
          <w:bCs/>
          <w:sz w:val="24"/>
          <w:szCs w:val="24"/>
        </w:rPr>
        <w:t xml:space="preserve">. </w:t>
      </w:r>
      <w:r w:rsidRPr="00D21F46">
        <w:rPr>
          <w:rFonts w:cstheme="minorHAnsi"/>
          <w:sz w:val="24"/>
          <w:szCs w:val="24"/>
        </w:rPr>
        <w:t>J. Alloy. Compd., 726 (2017), pp. 729-736</w:t>
      </w:r>
    </w:p>
    <w:p w14:paraId="7EE69FD9" w14:textId="064DF08D"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Khojasteh</w:t>
      </w:r>
      <w:proofErr w:type="spellEnd"/>
      <w:r w:rsidRPr="00C3166C">
        <w:rPr>
          <w:rFonts w:cstheme="minorHAnsi"/>
          <w:sz w:val="24"/>
          <w:szCs w:val="24"/>
        </w:rPr>
        <w:t xml:space="preserve"> et al., 2016</w:t>
      </w:r>
      <w:r w:rsidR="00181BCF">
        <w:rPr>
          <w:rFonts w:cstheme="minorHAnsi"/>
          <w:sz w:val="24"/>
          <w:szCs w:val="24"/>
        </w:rPr>
        <w:t xml:space="preserve"> </w:t>
      </w:r>
      <w:r w:rsidRPr="00D21F46">
        <w:rPr>
          <w:rFonts w:cstheme="minorHAnsi"/>
          <w:sz w:val="24"/>
          <w:szCs w:val="24"/>
        </w:rPr>
        <w:t xml:space="preserve">A. </w:t>
      </w:r>
      <w:proofErr w:type="spellStart"/>
      <w:r w:rsidRPr="00D21F46">
        <w:rPr>
          <w:rFonts w:cstheme="minorHAnsi"/>
          <w:sz w:val="24"/>
          <w:szCs w:val="24"/>
        </w:rPr>
        <w:t>Khojasteh</w:t>
      </w:r>
      <w:proofErr w:type="spellEnd"/>
      <w:r w:rsidRPr="00D21F46">
        <w:rPr>
          <w:rFonts w:cstheme="minorHAnsi"/>
          <w:sz w:val="24"/>
          <w:szCs w:val="24"/>
        </w:rPr>
        <w:t xml:space="preserve">, F. </w:t>
      </w:r>
      <w:proofErr w:type="spellStart"/>
      <w:r w:rsidRPr="00D21F46">
        <w:rPr>
          <w:rFonts w:cstheme="minorHAnsi"/>
          <w:sz w:val="24"/>
          <w:szCs w:val="24"/>
        </w:rPr>
        <w:t>Fahimipour</w:t>
      </w:r>
      <w:proofErr w:type="spellEnd"/>
      <w:r w:rsidRPr="00D21F46">
        <w:rPr>
          <w:rFonts w:cstheme="minorHAnsi"/>
          <w:sz w:val="24"/>
          <w:szCs w:val="24"/>
        </w:rPr>
        <w:t xml:space="preserve">, M.B. </w:t>
      </w:r>
      <w:proofErr w:type="spellStart"/>
      <w:r w:rsidRPr="00D21F46">
        <w:rPr>
          <w:rFonts w:cstheme="minorHAnsi"/>
          <w:sz w:val="24"/>
          <w:szCs w:val="24"/>
        </w:rPr>
        <w:t>Eslaminejad</w:t>
      </w:r>
      <w:proofErr w:type="spellEnd"/>
      <w:r w:rsidRPr="00D21F46">
        <w:rPr>
          <w:rFonts w:cstheme="minorHAnsi"/>
          <w:sz w:val="24"/>
          <w:szCs w:val="24"/>
        </w:rPr>
        <w:t xml:space="preserve">, M. </w:t>
      </w:r>
      <w:proofErr w:type="spellStart"/>
      <w:r w:rsidRPr="00D21F46">
        <w:rPr>
          <w:rFonts w:cstheme="minorHAnsi"/>
          <w:sz w:val="24"/>
          <w:szCs w:val="24"/>
        </w:rPr>
        <w:t>Jafarian</w:t>
      </w:r>
      <w:proofErr w:type="spellEnd"/>
      <w:r w:rsidRPr="00D21F46">
        <w:rPr>
          <w:rFonts w:cstheme="minorHAnsi"/>
          <w:sz w:val="24"/>
          <w:szCs w:val="24"/>
        </w:rPr>
        <w:t xml:space="preserve">, S. Jahangir, F. </w:t>
      </w:r>
      <w:proofErr w:type="spellStart"/>
      <w:r w:rsidRPr="00D21F46">
        <w:rPr>
          <w:rFonts w:cstheme="minorHAnsi"/>
          <w:sz w:val="24"/>
          <w:szCs w:val="24"/>
        </w:rPr>
        <w:t>Bastami</w:t>
      </w:r>
      <w:proofErr w:type="spellEnd"/>
      <w:r w:rsidRPr="00D21F46">
        <w:rPr>
          <w:rFonts w:cstheme="minorHAnsi"/>
          <w:sz w:val="24"/>
          <w:szCs w:val="24"/>
        </w:rPr>
        <w:t xml:space="preserve">, M. </w:t>
      </w:r>
      <w:proofErr w:type="spellStart"/>
      <w:r w:rsidRPr="00D21F46">
        <w:rPr>
          <w:rFonts w:cstheme="minorHAnsi"/>
          <w:sz w:val="24"/>
          <w:szCs w:val="24"/>
        </w:rPr>
        <w:t>Tahriri</w:t>
      </w:r>
      <w:proofErr w:type="spellEnd"/>
      <w:r w:rsidRPr="00D21F46">
        <w:rPr>
          <w:rFonts w:cstheme="minorHAnsi"/>
          <w:sz w:val="24"/>
          <w:szCs w:val="24"/>
        </w:rPr>
        <w:t xml:space="preserve">, A. </w:t>
      </w:r>
      <w:proofErr w:type="spellStart"/>
      <w:r w:rsidRPr="00D21F46">
        <w:rPr>
          <w:rFonts w:cstheme="minorHAnsi"/>
          <w:sz w:val="24"/>
          <w:szCs w:val="24"/>
        </w:rPr>
        <w:t>Karkhaneh</w:t>
      </w:r>
      <w:proofErr w:type="spellEnd"/>
      <w:r w:rsidRPr="00D21F46">
        <w:rPr>
          <w:rFonts w:cstheme="minorHAnsi"/>
          <w:sz w:val="24"/>
          <w:szCs w:val="24"/>
        </w:rPr>
        <w:t>, L. Tayebi</w:t>
      </w:r>
      <w:r w:rsidR="00181BCF">
        <w:rPr>
          <w:rFonts w:cstheme="minorHAnsi"/>
          <w:sz w:val="24"/>
          <w:szCs w:val="24"/>
        </w:rPr>
        <w:t xml:space="preserve">. </w:t>
      </w:r>
      <w:r w:rsidRPr="00D21F46">
        <w:rPr>
          <w:rFonts w:cstheme="minorHAnsi"/>
          <w:b/>
          <w:bCs/>
          <w:sz w:val="24"/>
          <w:szCs w:val="24"/>
        </w:rPr>
        <w:t>Development of PLGA-coated β-TCP scaffolds containing VEGF for bone tissue engineering</w:t>
      </w:r>
      <w:r w:rsidR="00181BCF">
        <w:rPr>
          <w:rFonts w:cstheme="minorHAnsi"/>
          <w:b/>
          <w:bCs/>
          <w:sz w:val="24"/>
          <w:szCs w:val="24"/>
        </w:rPr>
        <w:t xml:space="preserve">. </w:t>
      </w:r>
      <w:r w:rsidRPr="00D21F46">
        <w:rPr>
          <w:rFonts w:cstheme="minorHAnsi"/>
          <w:sz w:val="24"/>
          <w:szCs w:val="24"/>
        </w:rPr>
        <w:t>Mater. Sci. Eng., C, 69 (2016), pp. 780-788</w:t>
      </w:r>
    </w:p>
    <w:p w14:paraId="5FE9B45C" w14:textId="5822C541" w:rsidR="00D21F46" w:rsidRPr="00D21F46" w:rsidRDefault="00D21F46" w:rsidP="008C5034">
      <w:pPr>
        <w:pStyle w:val="NoSpacing"/>
        <w:ind w:left="720" w:hanging="720"/>
        <w:rPr>
          <w:rFonts w:cstheme="minorHAnsi"/>
          <w:sz w:val="24"/>
          <w:szCs w:val="24"/>
        </w:rPr>
      </w:pPr>
      <w:r w:rsidRPr="00C3166C">
        <w:rPr>
          <w:rFonts w:cstheme="minorHAnsi"/>
          <w:sz w:val="24"/>
          <w:szCs w:val="24"/>
        </w:rPr>
        <w:t>Krishnan et al., 2015</w:t>
      </w:r>
      <w:r w:rsidR="00181BCF">
        <w:rPr>
          <w:rFonts w:cstheme="minorHAnsi"/>
          <w:sz w:val="24"/>
          <w:szCs w:val="24"/>
        </w:rPr>
        <w:t xml:space="preserve">. </w:t>
      </w:r>
      <w:r w:rsidRPr="00D21F46">
        <w:rPr>
          <w:rFonts w:cstheme="minorHAnsi"/>
          <w:sz w:val="24"/>
          <w:szCs w:val="24"/>
        </w:rPr>
        <w:t>A.G. Krishnan, L. Jayaram, R. Biswas, M. Nair</w:t>
      </w:r>
      <w:r w:rsidR="00181BCF">
        <w:rPr>
          <w:rFonts w:cstheme="minorHAnsi"/>
          <w:sz w:val="24"/>
          <w:szCs w:val="24"/>
        </w:rPr>
        <w:t xml:space="preserve">. </w:t>
      </w:r>
      <w:r w:rsidRPr="00D21F46">
        <w:rPr>
          <w:rFonts w:cstheme="minorHAnsi"/>
          <w:b/>
          <w:bCs/>
          <w:sz w:val="24"/>
          <w:szCs w:val="24"/>
        </w:rPr>
        <w:t>Evaluation of antibacterial activity and cytocompatibility of ciprofloxacin loaded Gelatin-Hydroxyapatite scaffolds as a local drug delivery system for osteomyelitis treatment</w:t>
      </w:r>
      <w:r w:rsidR="00181BCF">
        <w:rPr>
          <w:rFonts w:cstheme="minorHAnsi"/>
          <w:b/>
          <w:bCs/>
          <w:sz w:val="24"/>
          <w:szCs w:val="24"/>
        </w:rPr>
        <w:t xml:space="preserve">. </w:t>
      </w:r>
      <w:r w:rsidRPr="00D21F46">
        <w:rPr>
          <w:rFonts w:cstheme="minorHAnsi"/>
          <w:sz w:val="24"/>
          <w:szCs w:val="24"/>
        </w:rPr>
        <w:t>Tissue Eng. Part A, 21 (2015), pp. 1422-1431</w:t>
      </w:r>
    </w:p>
    <w:p w14:paraId="2E9AED03" w14:textId="76554EEB" w:rsidR="00D21F46" w:rsidRPr="00D21F46" w:rsidRDefault="00D21F46" w:rsidP="008C5034">
      <w:pPr>
        <w:pStyle w:val="NoSpacing"/>
        <w:ind w:left="720" w:hanging="720"/>
        <w:rPr>
          <w:rFonts w:cstheme="minorHAnsi"/>
          <w:sz w:val="24"/>
          <w:szCs w:val="24"/>
        </w:rPr>
      </w:pPr>
      <w:r w:rsidRPr="00C3166C">
        <w:rPr>
          <w:rFonts w:cstheme="minorHAnsi"/>
          <w:sz w:val="24"/>
          <w:szCs w:val="24"/>
        </w:rPr>
        <w:t>Lee et al., 2012</w:t>
      </w:r>
      <w:r w:rsidR="00181BCF">
        <w:rPr>
          <w:rFonts w:cstheme="minorHAnsi"/>
          <w:sz w:val="24"/>
          <w:szCs w:val="24"/>
        </w:rPr>
        <w:t xml:space="preserve">. </w:t>
      </w:r>
      <w:r w:rsidRPr="00D21F46">
        <w:rPr>
          <w:rFonts w:cstheme="minorHAnsi"/>
          <w:sz w:val="24"/>
          <w:szCs w:val="24"/>
        </w:rPr>
        <w:t xml:space="preserve">Lee, S., Porter, M., </w:t>
      </w:r>
      <w:proofErr w:type="spellStart"/>
      <w:r w:rsidRPr="00D21F46">
        <w:rPr>
          <w:rFonts w:cstheme="minorHAnsi"/>
          <w:sz w:val="24"/>
          <w:szCs w:val="24"/>
        </w:rPr>
        <w:t>Wasko</w:t>
      </w:r>
      <w:proofErr w:type="spellEnd"/>
      <w:r w:rsidRPr="00D21F46">
        <w:rPr>
          <w:rFonts w:cstheme="minorHAnsi"/>
          <w:sz w:val="24"/>
          <w:szCs w:val="24"/>
        </w:rPr>
        <w:t xml:space="preserve">, S., Lau, G., Chen, P.-Y., </w:t>
      </w:r>
      <w:proofErr w:type="spellStart"/>
      <w:r w:rsidRPr="00D21F46">
        <w:rPr>
          <w:rFonts w:cstheme="minorHAnsi"/>
          <w:sz w:val="24"/>
          <w:szCs w:val="24"/>
        </w:rPr>
        <w:t>Novitskaya</w:t>
      </w:r>
      <w:proofErr w:type="spellEnd"/>
      <w:r w:rsidRPr="00D21F46">
        <w:rPr>
          <w:rFonts w:cstheme="minorHAnsi"/>
          <w:sz w:val="24"/>
          <w:szCs w:val="24"/>
        </w:rPr>
        <w:t xml:space="preserve">, E.E., </w:t>
      </w:r>
      <w:proofErr w:type="spellStart"/>
      <w:r w:rsidRPr="00D21F46">
        <w:rPr>
          <w:rFonts w:cstheme="minorHAnsi"/>
          <w:sz w:val="24"/>
          <w:szCs w:val="24"/>
        </w:rPr>
        <w:t>Tomsia</w:t>
      </w:r>
      <w:proofErr w:type="spellEnd"/>
      <w:r w:rsidRPr="00D21F46">
        <w:rPr>
          <w:rFonts w:cstheme="minorHAnsi"/>
          <w:sz w:val="24"/>
          <w:szCs w:val="24"/>
        </w:rPr>
        <w:t>, A.P., Almutairi, A., Meyers, M.A., McKittrick, J., 2012. Potential bone replacement materials prepared by two methods. MRS Online Proceedings Library Archive 1418.</w:t>
      </w:r>
    </w:p>
    <w:p w14:paraId="22FFFDFB" w14:textId="02D5F6F8"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Linke</w:t>
      </w:r>
      <w:proofErr w:type="spellEnd"/>
      <w:r w:rsidRPr="00C3166C">
        <w:rPr>
          <w:rFonts w:cstheme="minorHAnsi"/>
          <w:sz w:val="24"/>
          <w:szCs w:val="24"/>
        </w:rPr>
        <w:t xml:space="preserve"> and Goldman, 2011</w:t>
      </w:r>
      <w:r w:rsidR="00181BCF">
        <w:rPr>
          <w:rFonts w:cstheme="minorHAnsi"/>
          <w:sz w:val="24"/>
          <w:szCs w:val="24"/>
        </w:rPr>
        <w:t xml:space="preserve">. </w:t>
      </w:r>
      <w:r w:rsidRPr="00D21F46">
        <w:rPr>
          <w:rFonts w:cstheme="minorHAnsi"/>
          <w:sz w:val="24"/>
          <w:szCs w:val="24"/>
        </w:rPr>
        <w:t xml:space="preserve">D. </w:t>
      </w:r>
      <w:proofErr w:type="spellStart"/>
      <w:r w:rsidRPr="00D21F46">
        <w:rPr>
          <w:rFonts w:cstheme="minorHAnsi"/>
          <w:sz w:val="24"/>
          <w:szCs w:val="24"/>
        </w:rPr>
        <w:t>Linke</w:t>
      </w:r>
      <w:proofErr w:type="spellEnd"/>
      <w:r w:rsidRPr="00D21F46">
        <w:rPr>
          <w:rFonts w:cstheme="minorHAnsi"/>
          <w:sz w:val="24"/>
          <w:szCs w:val="24"/>
        </w:rPr>
        <w:t>, A. Goldman</w:t>
      </w:r>
      <w:r w:rsidR="00181BCF">
        <w:rPr>
          <w:rFonts w:cstheme="minorHAnsi"/>
          <w:sz w:val="24"/>
          <w:szCs w:val="24"/>
        </w:rPr>
        <w:t xml:space="preserve">. </w:t>
      </w:r>
      <w:r w:rsidRPr="00D21F46">
        <w:rPr>
          <w:rFonts w:cstheme="minorHAnsi"/>
          <w:b/>
          <w:bCs/>
          <w:sz w:val="24"/>
          <w:szCs w:val="24"/>
        </w:rPr>
        <w:t>Bacterial Adhesion: Chemistry, Biology and Physics</w:t>
      </w:r>
      <w:r w:rsidR="00181BCF">
        <w:rPr>
          <w:rFonts w:cstheme="minorHAnsi"/>
          <w:b/>
          <w:bCs/>
          <w:sz w:val="24"/>
          <w:szCs w:val="24"/>
        </w:rPr>
        <w:t xml:space="preserve">. </w:t>
      </w:r>
      <w:r w:rsidRPr="00D21F46">
        <w:rPr>
          <w:rFonts w:cstheme="minorHAnsi"/>
          <w:sz w:val="24"/>
          <w:szCs w:val="24"/>
        </w:rPr>
        <w:t>Springer Science &amp; Business Media (2011)</w:t>
      </w:r>
    </w:p>
    <w:p w14:paraId="359961A9" w14:textId="190354D0" w:rsidR="00D21F46" w:rsidRPr="00D21F46" w:rsidRDefault="00D21F46" w:rsidP="008C5034">
      <w:pPr>
        <w:pStyle w:val="NoSpacing"/>
        <w:ind w:left="720" w:hanging="720"/>
        <w:rPr>
          <w:rFonts w:cstheme="minorHAnsi"/>
          <w:sz w:val="24"/>
          <w:szCs w:val="24"/>
        </w:rPr>
      </w:pPr>
      <w:r w:rsidRPr="00C3166C">
        <w:rPr>
          <w:rFonts w:cstheme="minorHAnsi"/>
          <w:sz w:val="24"/>
          <w:szCs w:val="24"/>
        </w:rPr>
        <w:t>Long et al., 2016</w:t>
      </w:r>
      <w:r w:rsidR="00181BCF">
        <w:rPr>
          <w:rFonts w:cstheme="minorHAnsi"/>
          <w:sz w:val="24"/>
          <w:szCs w:val="24"/>
        </w:rPr>
        <w:t xml:space="preserve">. </w:t>
      </w:r>
      <w:r w:rsidRPr="00D21F46">
        <w:rPr>
          <w:rFonts w:cstheme="minorHAnsi"/>
          <w:sz w:val="24"/>
          <w:szCs w:val="24"/>
        </w:rPr>
        <w:t>Y. Long, Z. Zhu, Y. Yu, S. Zhang</w:t>
      </w:r>
      <w:r w:rsidR="00181BCF">
        <w:rPr>
          <w:rFonts w:cstheme="minorHAnsi"/>
          <w:sz w:val="24"/>
          <w:szCs w:val="24"/>
        </w:rPr>
        <w:t xml:space="preserve">. </w:t>
      </w:r>
      <w:r w:rsidRPr="00D21F46">
        <w:rPr>
          <w:rFonts w:cstheme="minorHAnsi"/>
          <w:b/>
          <w:bCs/>
          <w:sz w:val="24"/>
          <w:szCs w:val="24"/>
        </w:rPr>
        <w:t>Progress of different drug delivery route of vancomycin for the treatment of chronic osteomyelitis</w:t>
      </w:r>
      <w:r w:rsidR="00181BCF">
        <w:rPr>
          <w:rFonts w:cstheme="minorHAnsi"/>
          <w:b/>
          <w:bCs/>
          <w:sz w:val="24"/>
          <w:szCs w:val="24"/>
        </w:rPr>
        <w:t xml:space="preserve">. </w:t>
      </w:r>
      <w:proofErr w:type="spellStart"/>
      <w:r w:rsidRPr="00D21F46">
        <w:rPr>
          <w:rFonts w:cstheme="minorHAnsi"/>
          <w:sz w:val="24"/>
          <w:szCs w:val="24"/>
        </w:rPr>
        <w:t>Zhonghua</w:t>
      </w:r>
      <w:proofErr w:type="spellEnd"/>
      <w:r w:rsidRPr="00D21F46">
        <w:rPr>
          <w:rFonts w:cstheme="minorHAnsi"/>
          <w:sz w:val="24"/>
          <w:szCs w:val="24"/>
        </w:rPr>
        <w:t xml:space="preserve"> </w:t>
      </w:r>
      <w:proofErr w:type="spellStart"/>
      <w:r w:rsidRPr="00D21F46">
        <w:rPr>
          <w:rFonts w:cstheme="minorHAnsi"/>
          <w:sz w:val="24"/>
          <w:szCs w:val="24"/>
        </w:rPr>
        <w:t>wai</w:t>
      </w:r>
      <w:proofErr w:type="spellEnd"/>
      <w:r w:rsidRPr="00D21F46">
        <w:rPr>
          <w:rFonts w:cstheme="minorHAnsi"/>
          <w:sz w:val="24"/>
          <w:szCs w:val="24"/>
        </w:rPr>
        <w:t xml:space="preserve"> </w:t>
      </w:r>
      <w:proofErr w:type="spellStart"/>
      <w:r w:rsidRPr="00D21F46">
        <w:rPr>
          <w:rFonts w:cstheme="minorHAnsi"/>
          <w:sz w:val="24"/>
          <w:szCs w:val="24"/>
        </w:rPr>
        <w:t>ke</w:t>
      </w:r>
      <w:proofErr w:type="spellEnd"/>
      <w:r w:rsidRPr="00D21F46">
        <w:rPr>
          <w:rFonts w:cstheme="minorHAnsi"/>
          <w:sz w:val="24"/>
          <w:szCs w:val="24"/>
        </w:rPr>
        <w:t xml:space="preserve"> za </w:t>
      </w:r>
      <w:proofErr w:type="spellStart"/>
      <w:r w:rsidRPr="00D21F46">
        <w:rPr>
          <w:rFonts w:cstheme="minorHAnsi"/>
          <w:sz w:val="24"/>
          <w:szCs w:val="24"/>
        </w:rPr>
        <w:t>zhi</w:t>
      </w:r>
      <w:proofErr w:type="spellEnd"/>
      <w:r w:rsidRPr="00D21F46">
        <w:rPr>
          <w:rFonts w:cstheme="minorHAnsi"/>
          <w:sz w:val="24"/>
          <w:szCs w:val="24"/>
        </w:rPr>
        <w:t xml:space="preserve"> [Chinese J. Surg.], 54 (2016), pp. 716-720</w:t>
      </w:r>
    </w:p>
    <w:p w14:paraId="491A1C00" w14:textId="4A06A6A9"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Lucke</w:t>
      </w:r>
      <w:proofErr w:type="spellEnd"/>
      <w:r w:rsidRPr="00C3166C">
        <w:rPr>
          <w:rFonts w:cstheme="minorHAnsi"/>
          <w:sz w:val="24"/>
          <w:szCs w:val="24"/>
        </w:rPr>
        <w:t xml:space="preserve"> et al., 2003</w:t>
      </w:r>
      <w:r w:rsidR="00181BCF">
        <w:rPr>
          <w:rFonts w:cstheme="minorHAnsi"/>
          <w:sz w:val="24"/>
          <w:szCs w:val="24"/>
        </w:rPr>
        <w:t xml:space="preserve">. </w:t>
      </w:r>
      <w:r w:rsidRPr="00D21F46">
        <w:rPr>
          <w:rFonts w:cstheme="minorHAnsi"/>
          <w:sz w:val="24"/>
          <w:szCs w:val="24"/>
        </w:rPr>
        <w:t xml:space="preserve">M. </w:t>
      </w:r>
      <w:proofErr w:type="spellStart"/>
      <w:r w:rsidRPr="00D21F46">
        <w:rPr>
          <w:rFonts w:cstheme="minorHAnsi"/>
          <w:sz w:val="24"/>
          <w:szCs w:val="24"/>
        </w:rPr>
        <w:t>Lucke</w:t>
      </w:r>
      <w:proofErr w:type="spellEnd"/>
      <w:r w:rsidRPr="00D21F46">
        <w:rPr>
          <w:rFonts w:cstheme="minorHAnsi"/>
          <w:sz w:val="24"/>
          <w:szCs w:val="24"/>
        </w:rPr>
        <w:t xml:space="preserve">, G. </w:t>
      </w:r>
      <w:proofErr w:type="spellStart"/>
      <w:r w:rsidRPr="00D21F46">
        <w:rPr>
          <w:rFonts w:cstheme="minorHAnsi"/>
          <w:sz w:val="24"/>
          <w:szCs w:val="24"/>
        </w:rPr>
        <w:t>Schmidmaier</w:t>
      </w:r>
      <w:proofErr w:type="spellEnd"/>
      <w:r w:rsidRPr="00D21F46">
        <w:rPr>
          <w:rFonts w:cstheme="minorHAnsi"/>
          <w:sz w:val="24"/>
          <w:szCs w:val="24"/>
        </w:rPr>
        <w:t xml:space="preserve">, S. </w:t>
      </w:r>
      <w:proofErr w:type="spellStart"/>
      <w:r w:rsidRPr="00D21F46">
        <w:rPr>
          <w:rFonts w:cstheme="minorHAnsi"/>
          <w:sz w:val="24"/>
          <w:szCs w:val="24"/>
        </w:rPr>
        <w:t>Sadoni</w:t>
      </w:r>
      <w:proofErr w:type="spellEnd"/>
      <w:r w:rsidRPr="00D21F46">
        <w:rPr>
          <w:rFonts w:cstheme="minorHAnsi"/>
          <w:sz w:val="24"/>
          <w:szCs w:val="24"/>
        </w:rPr>
        <w:t xml:space="preserve">, B. </w:t>
      </w:r>
      <w:proofErr w:type="spellStart"/>
      <w:r w:rsidRPr="00D21F46">
        <w:rPr>
          <w:rFonts w:cstheme="minorHAnsi"/>
          <w:sz w:val="24"/>
          <w:szCs w:val="24"/>
        </w:rPr>
        <w:t>Wildemann</w:t>
      </w:r>
      <w:proofErr w:type="spellEnd"/>
      <w:r w:rsidRPr="00D21F46">
        <w:rPr>
          <w:rFonts w:cstheme="minorHAnsi"/>
          <w:sz w:val="24"/>
          <w:szCs w:val="24"/>
        </w:rPr>
        <w:t xml:space="preserve">, R. Schiller, A. Stemberger, N. Haas, M. </w:t>
      </w:r>
      <w:proofErr w:type="spellStart"/>
      <w:r w:rsidRPr="00D21F46">
        <w:rPr>
          <w:rFonts w:cstheme="minorHAnsi"/>
          <w:sz w:val="24"/>
          <w:szCs w:val="24"/>
        </w:rPr>
        <w:t>Raschke</w:t>
      </w:r>
      <w:proofErr w:type="spellEnd"/>
      <w:r w:rsidR="00181BCF">
        <w:rPr>
          <w:rFonts w:cstheme="minorHAnsi"/>
          <w:sz w:val="24"/>
          <w:szCs w:val="24"/>
        </w:rPr>
        <w:t xml:space="preserve">. </w:t>
      </w:r>
      <w:r w:rsidRPr="00D21F46">
        <w:rPr>
          <w:rFonts w:cstheme="minorHAnsi"/>
          <w:b/>
          <w:bCs/>
          <w:sz w:val="24"/>
          <w:szCs w:val="24"/>
        </w:rPr>
        <w:t>A new model of implant-related osteomyelitis in rats</w:t>
      </w:r>
      <w:r w:rsidR="00181BCF">
        <w:rPr>
          <w:rFonts w:cstheme="minorHAnsi"/>
          <w:b/>
          <w:bCs/>
          <w:sz w:val="24"/>
          <w:szCs w:val="24"/>
        </w:rPr>
        <w:t xml:space="preserve">. </w:t>
      </w:r>
      <w:r w:rsidRPr="00D21F46">
        <w:rPr>
          <w:rFonts w:cstheme="minorHAnsi"/>
          <w:sz w:val="24"/>
          <w:szCs w:val="24"/>
        </w:rPr>
        <w:t xml:space="preserve">J. Biomed. Mater. Res. B Appl. </w:t>
      </w:r>
      <w:proofErr w:type="spellStart"/>
      <w:r w:rsidRPr="00D21F46">
        <w:rPr>
          <w:rFonts w:cstheme="minorHAnsi"/>
          <w:sz w:val="24"/>
          <w:szCs w:val="24"/>
        </w:rPr>
        <w:t>Biomater</w:t>
      </w:r>
      <w:proofErr w:type="spellEnd"/>
      <w:r w:rsidRPr="00D21F46">
        <w:rPr>
          <w:rFonts w:cstheme="minorHAnsi"/>
          <w:sz w:val="24"/>
          <w:szCs w:val="24"/>
        </w:rPr>
        <w:t>., 67 (2003), pp. 593-602</w:t>
      </w:r>
    </w:p>
    <w:p w14:paraId="5FCB4A72" w14:textId="7F247AEC" w:rsidR="00D21F46" w:rsidRPr="00D21F46" w:rsidRDefault="00D21F46" w:rsidP="008C5034">
      <w:pPr>
        <w:pStyle w:val="NoSpacing"/>
        <w:ind w:left="720" w:hanging="720"/>
        <w:rPr>
          <w:rFonts w:cstheme="minorHAnsi"/>
          <w:sz w:val="24"/>
          <w:szCs w:val="24"/>
        </w:rPr>
      </w:pPr>
      <w:r w:rsidRPr="00C3166C">
        <w:rPr>
          <w:rFonts w:cstheme="minorHAnsi"/>
          <w:sz w:val="24"/>
          <w:szCs w:val="24"/>
        </w:rPr>
        <w:t>Marshall, 1965</w:t>
      </w:r>
      <w:r w:rsidR="00181BCF">
        <w:rPr>
          <w:rFonts w:cstheme="minorHAnsi"/>
          <w:sz w:val="24"/>
          <w:szCs w:val="24"/>
        </w:rPr>
        <w:t xml:space="preserve">. </w:t>
      </w:r>
      <w:r w:rsidRPr="00D21F46">
        <w:rPr>
          <w:rFonts w:cstheme="minorHAnsi"/>
          <w:sz w:val="24"/>
          <w:szCs w:val="24"/>
        </w:rPr>
        <w:t>F.J. Marshall</w:t>
      </w:r>
      <w:r w:rsidR="00181BCF">
        <w:rPr>
          <w:rFonts w:cstheme="minorHAnsi"/>
          <w:sz w:val="24"/>
          <w:szCs w:val="24"/>
        </w:rPr>
        <w:t xml:space="preserve">. </w:t>
      </w:r>
      <w:r w:rsidRPr="00D21F46">
        <w:rPr>
          <w:rFonts w:cstheme="minorHAnsi"/>
          <w:b/>
          <w:bCs/>
          <w:sz w:val="24"/>
          <w:szCs w:val="24"/>
        </w:rPr>
        <w:t>Structure studies on vancomycin</w:t>
      </w:r>
      <w:r w:rsidR="00181BCF">
        <w:rPr>
          <w:rFonts w:cstheme="minorHAnsi"/>
          <w:b/>
          <w:bCs/>
          <w:sz w:val="24"/>
          <w:szCs w:val="24"/>
        </w:rPr>
        <w:t xml:space="preserve">. </w:t>
      </w:r>
      <w:r w:rsidRPr="00D21F46">
        <w:rPr>
          <w:rFonts w:cstheme="minorHAnsi"/>
          <w:sz w:val="24"/>
          <w:szCs w:val="24"/>
        </w:rPr>
        <w:t>J. Med. Chem., 8 (1965), pp. 18-22</w:t>
      </w:r>
    </w:p>
    <w:p w14:paraId="54713161" w14:textId="08B239A2"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Marwah</w:t>
      </w:r>
      <w:proofErr w:type="spellEnd"/>
      <w:r w:rsidRPr="00C3166C">
        <w:rPr>
          <w:rFonts w:cstheme="minorHAnsi"/>
          <w:sz w:val="24"/>
          <w:szCs w:val="24"/>
        </w:rPr>
        <w:t xml:space="preserve"> et al., 2016</w:t>
      </w:r>
      <w:r w:rsidR="00181BCF">
        <w:rPr>
          <w:rFonts w:cstheme="minorHAnsi"/>
          <w:sz w:val="24"/>
          <w:szCs w:val="24"/>
        </w:rPr>
        <w:t xml:space="preserve">. </w:t>
      </w:r>
      <w:r w:rsidRPr="00D21F46">
        <w:rPr>
          <w:rFonts w:cstheme="minorHAnsi"/>
          <w:sz w:val="24"/>
          <w:szCs w:val="24"/>
        </w:rPr>
        <w:t xml:space="preserve">H. </w:t>
      </w:r>
      <w:proofErr w:type="spellStart"/>
      <w:r w:rsidRPr="00D21F46">
        <w:rPr>
          <w:rFonts w:cstheme="minorHAnsi"/>
          <w:sz w:val="24"/>
          <w:szCs w:val="24"/>
        </w:rPr>
        <w:t>Marwah</w:t>
      </w:r>
      <w:proofErr w:type="spellEnd"/>
      <w:r w:rsidRPr="00D21F46">
        <w:rPr>
          <w:rFonts w:cstheme="minorHAnsi"/>
          <w:sz w:val="24"/>
          <w:szCs w:val="24"/>
        </w:rPr>
        <w:t>, T. Garg, A.K. Goyal, G. Rath</w:t>
      </w:r>
      <w:r w:rsidR="00181BCF">
        <w:rPr>
          <w:rFonts w:cstheme="minorHAnsi"/>
          <w:sz w:val="24"/>
          <w:szCs w:val="24"/>
        </w:rPr>
        <w:t xml:space="preserve">. </w:t>
      </w:r>
      <w:r w:rsidRPr="00D21F46">
        <w:rPr>
          <w:rFonts w:cstheme="minorHAnsi"/>
          <w:b/>
          <w:bCs/>
          <w:sz w:val="24"/>
          <w:szCs w:val="24"/>
        </w:rPr>
        <w:t>Permeation enhancer strategies in transdermal drug delivery</w:t>
      </w:r>
      <w:r w:rsidR="00181BCF">
        <w:rPr>
          <w:rFonts w:cstheme="minorHAnsi"/>
          <w:b/>
          <w:bCs/>
          <w:sz w:val="24"/>
          <w:szCs w:val="24"/>
        </w:rPr>
        <w:t xml:space="preserve">. </w:t>
      </w:r>
      <w:r w:rsidRPr="00D21F46">
        <w:rPr>
          <w:rFonts w:cstheme="minorHAnsi"/>
          <w:sz w:val="24"/>
          <w:szCs w:val="24"/>
        </w:rPr>
        <w:t>Drug Delivery, 23 (2016), pp. 564-578</w:t>
      </w:r>
    </w:p>
    <w:p w14:paraId="300A73E8" w14:textId="1F46FA13" w:rsidR="00D21F46" w:rsidRPr="00D21F46" w:rsidRDefault="00D21F46" w:rsidP="008C5034">
      <w:pPr>
        <w:pStyle w:val="NoSpacing"/>
        <w:ind w:left="720" w:hanging="720"/>
        <w:rPr>
          <w:rFonts w:cstheme="minorHAnsi"/>
          <w:sz w:val="24"/>
          <w:szCs w:val="24"/>
        </w:rPr>
      </w:pPr>
      <w:r w:rsidRPr="00C3166C">
        <w:rPr>
          <w:rFonts w:cstheme="minorHAnsi"/>
          <w:sz w:val="24"/>
          <w:szCs w:val="24"/>
        </w:rPr>
        <w:t>Mason et al., 2009</w:t>
      </w:r>
      <w:r w:rsidR="00181BCF">
        <w:rPr>
          <w:rFonts w:cstheme="minorHAnsi"/>
          <w:sz w:val="24"/>
          <w:szCs w:val="24"/>
        </w:rPr>
        <w:t xml:space="preserve">. </w:t>
      </w:r>
      <w:r w:rsidRPr="00D21F46">
        <w:rPr>
          <w:rFonts w:cstheme="minorHAnsi"/>
          <w:sz w:val="24"/>
          <w:szCs w:val="24"/>
        </w:rPr>
        <w:t xml:space="preserve">E.O. Mason, L.B. </w:t>
      </w:r>
      <w:proofErr w:type="spellStart"/>
      <w:r w:rsidRPr="00D21F46">
        <w:rPr>
          <w:rFonts w:cstheme="minorHAnsi"/>
          <w:sz w:val="24"/>
          <w:szCs w:val="24"/>
        </w:rPr>
        <w:t>Lamberth</w:t>
      </w:r>
      <w:proofErr w:type="spellEnd"/>
      <w:r w:rsidRPr="00D21F46">
        <w:rPr>
          <w:rFonts w:cstheme="minorHAnsi"/>
          <w:sz w:val="24"/>
          <w:szCs w:val="24"/>
        </w:rPr>
        <w:t xml:space="preserve">, W.A. Hammerman, K.G. </w:t>
      </w:r>
      <w:proofErr w:type="spellStart"/>
      <w:r w:rsidRPr="00D21F46">
        <w:rPr>
          <w:rFonts w:cstheme="minorHAnsi"/>
          <w:sz w:val="24"/>
          <w:szCs w:val="24"/>
        </w:rPr>
        <w:t>Hulten</w:t>
      </w:r>
      <w:proofErr w:type="spellEnd"/>
      <w:r w:rsidRPr="00D21F46">
        <w:rPr>
          <w:rFonts w:cstheme="minorHAnsi"/>
          <w:sz w:val="24"/>
          <w:szCs w:val="24"/>
        </w:rPr>
        <w:t xml:space="preserve">, J. </w:t>
      </w:r>
      <w:proofErr w:type="spellStart"/>
      <w:r w:rsidRPr="00D21F46">
        <w:rPr>
          <w:rFonts w:cstheme="minorHAnsi"/>
          <w:sz w:val="24"/>
          <w:szCs w:val="24"/>
        </w:rPr>
        <w:t>Versalovic</w:t>
      </w:r>
      <w:proofErr w:type="spellEnd"/>
      <w:r w:rsidRPr="00D21F46">
        <w:rPr>
          <w:rFonts w:cstheme="minorHAnsi"/>
          <w:sz w:val="24"/>
          <w:szCs w:val="24"/>
        </w:rPr>
        <w:t>, S.L. Kaplan</w:t>
      </w:r>
      <w:r w:rsidR="00181BCF">
        <w:rPr>
          <w:rFonts w:cstheme="minorHAnsi"/>
          <w:sz w:val="24"/>
          <w:szCs w:val="24"/>
        </w:rPr>
        <w:t xml:space="preserve">. </w:t>
      </w:r>
      <w:r w:rsidRPr="00D21F46">
        <w:rPr>
          <w:rFonts w:cstheme="minorHAnsi"/>
          <w:b/>
          <w:bCs/>
          <w:sz w:val="24"/>
          <w:szCs w:val="24"/>
        </w:rPr>
        <w:t>Vancomycin MICs for Staphylococcus aureus vary by detection method and have subtly increased in a pediatric population since 2005</w:t>
      </w:r>
      <w:r w:rsidR="00181BCF">
        <w:rPr>
          <w:rFonts w:cstheme="minorHAnsi"/>
          <w:b/>
          <w:bCs/>
          <w:sz w:val="24"/>
          <w:szCs w:val="24"/>
        </w:rPr>
        <w:t xml:space="preserve">. </w:t>
      </w:r>
      <w:r w:rsidRPr="00D21F46">
        <w:rPr>
          <w:rFonts w:cstheme="minorHAnsi"/>
          <w:sz w:val="24"/>
          <w:szCs w:val="24"/>
        </w:rPr>
        <w:t>J. Clin. Microbiol., 47 (2009), pp. 1628-1630</w:t>
      </w:r>
    </w:p>
    <w:p w14:paraId="7830109D" w14:textId="1BAFC68B"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Maurmann</w:t>
      </w:r>
      <w:proofErr w:type="spellEnd"/>
      <w:r w:rsidRPr="00C3166C">
        <w:rPr>
          <w:rFonts w:cstheme="minorHAnsi"/>
          <w:sz w:val="24"/>
          <w:szCs w:val="24"/>
        </w:rPr>
        <w:t xml:space="preserve"> et al., 2017</w:t>
      </w:r>
      <w:r w:rsidR="00181BCF">
        <w:rPr>
          <w:rFonts w:cstheme="minorHAnsi"/>
          <w:sz w:val="24"/>
          <w:szCs w:val="24"/>
        </w:rPr>
        <w:t xml:space="preserve">. </w:t>
      </w:r>
      <w:r w:rsidRPr="00D21F46">
        <w:rPr>
          <w:rFonts w:cstheme="minorHAnsi"/>
          <w:sz w:val="24"/>
          <w:szCs w:val="24"/>
        </w:rPr>
        <w:t xml:space="preserve">N. </w:t>
      </w:r>
      <w:proofErr w:type="spellStart"/>
      <w:r w:rsidRPr="00D21F46">
        <w:rPr>
          <w:rFonts w:cstheme="minorHAnsi"/>
          <w:sz w:val="24"/>
          <w:szCs w:val="24"/>
        </w:rPr>
        <w:t>Maurmann</w:t>
      </w:r>
      <w:proofErr w:type="spellEnd"/>
      <w:r w:rsidRPr="00D21F46">
        <w:rPr>
          <w:rFonts w:cstheme="minorHAnsi"/>
          <w:sz w:val="24"/>
          <w:szCs w:val="24"/>
        </w:rPr>
        <w:t xml:space="preserve">, D.P. Pereira, D. </w:t>
      </w:r>
      <w:proofErr w:type="spellStart"/>
      <w:r w:rsidRPr="00D21F46">
        <w:rPr>
          <w:rFonts w:cstheme="minorHAnsi"/>
          <w:sz w:val="24"/>
          <w:szCs w:val="24"/>
        </w:rPr>
        <w:t>Burguez</w:t>
      </w:r>
      <w:proofErr w:type="spellEnd"/>
      <w:r w:rsidRPr="00D21F46">
        <w:rPr>
          <w:rFonts w:cstheme="minorHAnsi"/>
          <w:sz w:val="24"/>
          <w:szCs w:val="24"/>
        </w:rPr>
        <w:t xml:space="preserve">, S. De, F.D. Pereira, P.I. Neto, R.A. Rezende, D. </w:t>
      </w:r>
      <w:proofErr w:type="spellStart"/>
      <w:r w:rsidRPr="00D21F46">
        <w:rPr>
          <w:rFonts w:cstheme="minorHAnsi"/>
          <w:sz w:val="24"/>
          <w:szCs w:val="24"/>
        </w:rPr>
        <w:t>Gamba</w:t>
      </w:r>
      <w:proofErr w:type="spellEnd"/>
      <w:r w:rsidRPr="00D21F46">
        <w:rPr>
          <w:rFonts w:cstheme="minorHAnsi"/>
          <w:sz w:val="24"/>
          <w:szCs w:val="24"/>
        </w:rPr>
        <w:t xml:space="preserve">, J.V. da Silva, P. </w:t>
      </w:r>
      <w:proofErr w:type="spellStart"/>
      <w:r w:rsidRPr="00D21F46">
        <w:rPr>
          <w:rFonts w:cstheme="minorHAnsi"/>
          <w:sz w:val="24"/>
          <w:szCs w:val="24"/>
        </w:rPr>
        <w:t>Pranke</w:t>
      </w:r>
      <w:proofErr w:type="spellEnd"/>
      <w:r w:rsidR="00181BCF">
        <w:rPr>
          <w:rFonts w:cstheme="minorHAnsi"/>
          <w:sz w:val="24"/>
          <w:szCs w:val="24"/>
        </w:rPr>
        <w:t xml:space="preserve">. </w:t>
      </w:r>
      <w:r w:rsidRPr="00D21F46">
        <w:rPr>
          <w:rFonts w:cstheme="minorHAnsi"/>
          <w:b/>
          <w:bCs/>
          <w:sz w:val="24"/>
          <w:szCs w:val="24"/>
        </w:rPr>
        <w:t xml:space="preserve">Mesenchymal stem cells cultivated on scaffolds formed by 3D printed PCL matrices, coated with PLGA </w:t>
      </w:r>
      <w:proofErr w:type="spellStart"/>
      <w:r w:rsidRPr="00D21F46">
        <w:rPr>
          <w:rFonts w:cstheme="minorHAnsi"/>
          <w:b/>
          <w:bCs/>
          <w:sz w:val="24"/>
          <w:szCs w:val="24"/>
        </w:rPr>
        <w:t>electrospun</w:t>
      </w:r>
      <w:proofErr w:type="spellEnd"/>
      <w:r w:rsidRPr="00D21F46">
        <w:rPr>
          <w:rFonts w:cstheme="minorHAnsi"/>
          <w:b/>
          <w:bCs/>
          <w:sz w:val="24"/>
          <w:szCs w:val="24"/>
        </w:rPr>
        <w:t xml:space="preserve"> nanofibers for use in tissue engineering</w:t>
      </w:r>
      <w:r w:rsidR="00181BCF">
        <w:rPr>
          <w:rFonts w:cstheme="minorHAnsi"/>
          <w:b/>
          <w:bCs/>
          <w:sz w:val="24"/>
          <w:szCs w:val="24"/>
        </w:rPr>
        <w:t xml:space="preserve">. </w:t>
      </w:r>
      <w:r w:rsidRPr="00D21F46">
        <w:rPr>
          <w:rFonts w:cstheme="minorHAnsi"/>
          <w:sz w:val="24"/>
          <w:szCs w:val="24"/>
        </w:rPr>
        <w:t>Biomed. Phys. Eng. Express, 3 (2017), Article 045005</w:t>
      </w:r>
    </w:p>
    <w:p w14:paraId="7B5D02EE" w14:textId="3E9ADA75" w:rsidR="00D21F46" w:rsidRPr="00D21F46" w:rsidRDefault="00D21F46" w:rsidP="008C5034">
      <w:pPr>
        <w:pStyle w:val="NoSpacing"/>
        <w:ind w:left="720" w:hanging="720"/>
        <w:rPr>
          <w:rFonts w:cstheme="minorHAnsi"/>
          <w:sz w:val="24"/>
          <w:szCs w:val="24"/>
        </w:rPr>
      </w:pPr>
      <w:r w:rsidRPr="00C3166C">
        <w:rPr>
          <w:rFonts w:cstheme="minorHAnsi"/>
          <w:sz w:val="24"/>
          <w:szCs w:val="24"/>
        </w:rPr>
        <w:t>Meng et al., 2010</w:t>
      </w:r>
      <w:r w:rsidR="00181BCF">
        <w:rPr>
          <w:rFonts w:cstheme="minorHAnsi"/>
          <w:sz w:val="24"/>
          <w:szCs w:val="24"/>
        </w:rPr>
        <w:t xml:space="preserve">. </w:t>
      </w:r>
      <w:r w:rsidRPr="00D21F46">
        <w:rPr>
          <w:rFonts w:cstheme="minorHAnsi"/>
          <w:sz w:val="24"/>
          <w:szCs w:val="24"/>
        </w:rPr>
        <w:t>Z. Meng, Y. Wang, C. Ma, W. Zheng, L. Li, Y. Zheng</w:t>
      </w:r>
      <w:r w:rsidR="00181BCF">
        <w:rPr>
          <w:rFonts w:cstheme="minorHAnsi"/>
          <w:sz w:val="24"/>
          <w:szCs w:val="24"/>
        </w:rPr>
        <w:t xml:space="preserve">. </w:t>
      </w:r>
      <w:r w:rsidRPr="00D21F46">
        <w:rPr>
          <w:rFonts w:cstheme="minorHAnsi"/>
          <w:b/>
          <w:bCs/>
          <w:sz w:val="24"/>
          <w:szCs w:val="24"/>
        </w:rPr>
        <w:t xml:space="preserve">Electrospinning of PLGA/gelatin </w:t>
      </w:r>
      <w:proofErr w:type="gramStart"/>
      <w:r w:rsidRPr="00D21F46">
        <w:rPr>
          <w:rFonts w:cstheme="minorHAnsi"/>
          <w:b/>
          <w:bCs/>
          <w:sz w:val="24"/>
          <w:szCs w:val="24"/>
        </w:rPr>
        <w:t>randomly-oriented</w:t>
      </w:r>
      <w:proofErr w:type="gramEnd"/>
      <w:r w:rsidRPr="00D21F46">
        <w:rPr>
          <w:rFonts w:cstheme="minorHAnsi"/>
          <w:b/>
          <w:bCs/>
          <w:sz w:val="24"/>
          <w:szCs w:val="24"/>
        </w:rPr>
        <w:t xml:space="preserve"> and aligned nanofibers as potential scaffold in tissue engineering</w:t>
      </w:r>
      <w:r w:rsidR="00181BCF">
        <w:rPr>
          <w:rFonts w:cstheme="minorHAnsi"/>
          <w:b/>
          <w:bCs/>
          <w:sz w:val="24"/>
          <w:szCs w:val="24"/>
        </w:rPr>
        <w:t xml:space="preserve">. </w:t>
      </w:r>
      <w:r w:rsidRPr="00D21F46">
        <w:rPr>
          <w:rFonts w:cstheme="minorHAnsi"/>
          <w:sz w:val="24"/>
          <w:szCs w:val="24"/>
        </w:rPr>
        <w:t>Mater. Sci. Eng., C, 30 (2010), pp. 1204-1210</w:t>
      </w:r>
    </w:p>
    <w:p w14:paraId="651E132C" w14:textId="42963491"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Mirhadi</w:t>
      </w:r>
      <w:proofErr w:type="spellEnd"/>
      <w:r w:rsidRPr="00C3166C">
        <w:rPr>
          <w:rFonts w:cstheme="minorHAnsi"/>
          <w:sz w:val="24"/>
          <w:szCs w:val="24"/>
        </w:rPr>
        <w:t xml:space="preserve"> et al., 2012</w:t>
      </w:r>
      <w:r w:rsidR="00181BCF">
        <w:rPr>
          <w:rFonts w:cstheme="minorHAnsi"/>
          <w:sz w:val="24"/>
          <w:szCs w:val="24"/>
        </w:rPr>
        <w:t xml:space="preserve">. </w:t>
      </w:r>
      <w:r w:rsidRPr="00D21F46">
        <w:rPr>
          <w:rFonts w:cstheme="minorHAnsi"/>
          <w:sz w:val="24"/>
          <w:szCs w:val="24"/>
        </w:rPr>
        <w:t xml:space="preserve">S. </w:t>
      </w:r>
      <w:proofErr w:type="spellStart"/>
      <w:r w:rsidRPr="00D21F46">
        <w:rPr>
          <w:rFonts w:cstheme="minorHAnsi"/>
          <w:sz w:val="24"/>
          <w:szCs w:val="24"/>
        </w:rPr>
        <w:t>Mirhadi</w:t>
      </w:r>
      <w:proofErr w:type="spellEnd"/>
      <w:r w:rsidRPr="00D21F46">
        <w:rPr>
          <w:rFonts w:cstheme="minorHAnsi"/>
          <w:sz w:val="24"/>
          <w:szCs w:val="24"/>
        </w:rPr>
        <w:t xml:space="preserve">, F. </w:t>
      </w:r>
      <w:proofErr w:type="spellStart"/>
      <w:r w:rsidRPr="00D21F46">
        <w:rPr>
          <w:rFonts w:cstheme="minorHAnsi"/>
          <w:sz w:val="24"/>
          <w:szCs w:val="24"/>
        </w:rPr>
        <w:t>Tavangarian</w:t>
      </w:r>
      <w:proofErr w:type="spellEnd"/>
      <w:r w:rsidRPr="00D21F46">
        <w:rPr>
          <w:rFonts w:cstheme="minorHAnsi"/>
          <w:sz w:val="24"/>
          <w:szCs w:val="24"/>
        </w:rPr>
        <w:t xml:space="preserve">, R. </w:t>
      </w:r>
      <w:proofErr w:type="spellStart"/>
      <w:r w:rsidRPr="00D21F46">
        <w:rPr>
          <w:rFonts w:cstheme="minorHAnsi"/>
          <w:sz w:val="24"/>
          <w:szCs w:val="24"/>
        </w:rPr>
        <w:t>Emadi</w:t>
      </w:r>
      <w:proofErr w:type="spellEnd"/>
      <w:r w:rsidR="00181BCF">
        <w:rPr>
          <w:rFonts w:cstheme="minorHAnsi"/>
          <w:sz w:val="24"/>
          <w:szCs w:val="24"/>
        </w:rPr>
        <w:t xml:space="preserve">. </w:t>
      </w:r>
      <w:r w:rsidRPr="00D21F46">
        <w:rPr>
          <w:rFonts w:cstheme="minorHAnsi"/>
          <w:b/>
          <w:bCs/>
          <w:sz w:val="24"/>
          <w:szCs w:val="24"/>
        </w:rPr>
        <w:t xml:space="preserve">Synthesis, </w:t>
      </w:r>
      <w:proofErr w:type="gramStart"/>
      <w:r w:rsidRPr="00D21F46">
        <w:rPr>
          <w:rFonts w:cstheme="minorHAnsi"/>
          <w:b/>
          <w:bCs/>
          <w:sz w:val="24"/>
          <w:szCs w:val="24"/>
        </w:rPr>
        <w:t>characterization</w:t>
      </w:r>
      <w:proofErr w:type="gramEnd"/>
      <w:r w:rsidRPr="00D21F46">
        <w:rPr>
          <w:rFonts w:cstheme="minorHAnsi"/>
          <w:b/>
          <w:bCs/>
          <w:sz w:val="24"/>
          <w:szCs w:val="24"/>
        </w:rPr>
        <w:t xml:space="preserve"> and formation mechanism of single-phase nanostructure bredigite powder</w:t>
      </w:r>
      <w:r w:rsidR="00181BCF">
        <w:rPr>
          <w:rFonts w:cstheme="minorHAnsi"/>
          <w:b/>
          <w:bCs/>
          <w:sz w:val="24"/>
          <w:szCs w:val="24"/>
        </w:rPr>
        <w:t xml:space="preserve">. </w:t>
      </w:r>
      <w:r w:rsidRPr="00D21F46">
        <w:rPr>
          <w:rFonts w:cstheme="minorHAnsi"/>
          <w:sz w:val="24"/>
          <w:szCs w:val="24"/>
        </w:rPr>
        <w:t>Mater. Sci. Eng., C, 32 (2012), pp. 133-139</w:t>
      </w:r>
    </w:p>
    <w:p w14:paraId="29BF6652" w14:textId="1C6DBAB5"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Olalde</w:t>
      </w:r>
      <w:proofErr w:type="spellEnd"/>
      <w:r w:rsidRPr="00C3166C">
        <w:rPr>
          <w:rFonts w:cstheme="minorHAnsi"/>
          <w:sz w:val="24"/>
          <w:szCs w:val="24"/>
        </w:rPr>
        <w:t xml:space="preserve"> et al., 2013</w:t>
      </w:r>
      <w:r w:rsidR="00181BCF">
        <w:rPr>
          <w:rFonts w:cstheme="minorHAnsi"/>
          <w:sz w:val="24"/>
          <w:szCs w:val="24"/>
        </w:rPr>
        <w:t xml:space="preserve">. </w:t>
      </w:r>
      <w:r w:rsidRPr="00D21F46">
        <w:rPr>
          <w:rFonts w:cstheme="minorHAnsi"/>
          <w:sz w:val="24"/>
          <w:szCs w:val="24"/>
        </w:rPr>
        <w:t xml:space="preserve">B. </w:t>
      </w:r>
      <w:proofErr w:type="spellStart"/>
      <w:r w:rsidRPr="00D21F46">
        <w:rPr>
          <w:rFonts w:cstheme="minorHAnsi"/>
          <w:sz w:val="24"/>
          <w:szCs w:val="24"/>
        </w:rPr>
        <w:t>Olalde</w:t>
      </w:r>
      <w:proofErr w:type="spellEnd"/>
      <w:r w:rsidRPr="00D21F46">
        <w:rPr>
          <w:rFonts w:cstheme="minorHAnsi"/>
          <w:sz w:val="24"/>
          <w:szCs w:val="24"/>
        </w:rPr>
        <w:t xml:space="preserve">, N. </w:t>
      </w:r>
      <w:proofErr w:type="spellStart"/>
      <w:r w:rsidRPr="00D21F46">
        <w:rPr>
          <w:rFonts w:cstheme="minorHAnsi"/>
          <w:sz w:val="24"/>
          <w:szCs w:val="24"/>
        </w:rPr>
        <w:t>Garmendia</w:t>
      </w:r>
      <w:proofErr w:type="spellEnd"/>
      <w:r w:rsidRPr="00D21F46">
        <w:rPr>
          <w:rFonts w:cstheme="minorHAnsi"/>
          <w:sz w:val="24"/>
          <w:szCs w:val="24"/>
        </w:rPr>
        <w:t xml:space="preserve">, V. </w:t>
      </w:r>
      <w:proofErr w:type="spellStart"/>
      <w:r w:rsidRPr="00D21F46">
        <w:rPr>
          <w:rFonts w:cstheme="minorHAnsi"/>
          <w:sz w:val="24"/>
          <w:szCs w:val="24"/>
        </w:rPr>
        <w:t>Sáez</w:t>
      </w:r>
      <w:proofErr w:type="spellEnd"/>
      <w:r w:rsidRPr="00D21F46">
        <w:rPr>
          <w:rFonts w:cstheme="minorHAnsi"/>
          <w:sz w:val="24"/>
          <w:szCs w:val="24"/>
        </w:rPr>
        <w:t xml:space="preserve">-Martínez, N. </w:t>
      </w:r>
      <w:proofErr w:type="spellStart"/>
      <w:r w:rsidRPr="00D21F46">
        <w:rPr>
          <w:rFonts w:cstheme="minorHAnsi"/>
          <w:sz w:val="24"/>
          <w:szCs w:val="24"/>
        </w:rPr>
        <w:t>Argarate</w:t>
      </w:r>
      <w:proofErr w:type="spellEnd"/>
      <w:r w:rsidRPr="00D21F46">
        <w:rPr>
          <w:rFonts w:cstheme="minorHAnsi"/>
          <w:sz w:val="24"/>
          <w:szCs w:val="24"/>
        </w:rPr>
        <w:t xml:space="preserve">, P. </w:t>
      </w:r>
      <w:proofErr w:type="spellStart"/>
      <w:r w:rsidRPr="00D21F46">
        <w:rPr>
          <w:rFonts w:cstheme="minorHAnsi"/>
          <w:sz w:val="24"/>
          <w:szCs w:val="24"/>
        </w:rPr>
        <w:t>Nooeaid</w:t>
      </w:r>
      <w:proofErr w:type="spellEnd"/>
      <w:r w:rsidRPr="00D21F46">
        <w:rPr>
          <w:rFonts w:cstheme="minorHAnsi"/>
          <w:sz w:val="24"/>
          <w:szCs w:val="24"/>
        </w:rPr>
        <w:t xml:space="preserve">, F. Morin, A. </w:t>
      </w:r>
      <w:proofErr w:type="spellStart"/>
      <w:r w:rsidRPr="00D21F46">
        <w:rPr>
          <w:rFonts w:cstheme="minorHAnsi"/>
          <w:sz w:val="24"/>
          <w:szCs w:val="24"/>
        </w:rPr>
        <w:t>Boccaccini</w:t>
      </w:r>
      <w:proofErr w:type="spellEnd"/>
      <w:r w:rsidR="00181BCF">
        <w:rPr>
          <w:rFonts w:cstheme="minorHAnsi"/>
          <w:sz w:val="24"/>
          <w:szCs w:val="24"/>
        </w:rPr>
        <w:t xml:space="preserve">. </w:t>
      </w:r>
      <w:r w:rsidRPr="00D21F46">
        <w:rPr>
          <w:rFonts w:cstheme="minorHAnsi"/>
          <w:b/>
          <w:bCs/>
          <w:sz w:val="24"/>
          <w:szCs w:val="24"/>
        </w:rPr>
        <w:t>Multifunctional bioactive glass scaffolds coated with layers of poly (d, l-lactide-co-</w:t>
      </w:r>
      <w:proofErr w:type="spellStart"/>
      <w:r w:rsidRPr="00D21F46">
        <w:rPr>
          <w:rFonts w:cstheme="minorHAnsi"/>
          <w:b/>
          <w:bCs/>
          <w:sz w:val="24"/>
          <w:szCs w:val="24"/>
        </w:rPr>
        <w:t>glycolide</w:t>
      </w:r>
      <w:proofErr w:type="spellEnd"/>
      <w:r w:rsidRPr="00D21F46">
        <w:rPr>
          <w:rFonts w:cstheme="minorHAnsi"/>
          <w:b/>
          <w:bCs/>
          <w:sz w:val="24"/>
          <w:szCs w:val="24"/>
        </w:rPr>
        <w:t>) and poly (n-isopropylacrylamide-co-acrylic acid) microgels loaded with vancomycin</w:t>
      </w:r>
      <w:r w:rsidR="00181BCF">
        <w:rPr>
          <w:rFonts w:cstheme="minorHAnsi"/>
          <w:b/>
          <w:bCs/>
          <w:sz w:val="24"/>
          <w:szCs w:val="24"/>
        </w:rPr>
        <w:t xml:space="preserve">. </w:t>
      </w:r>
      <w:r w:rsidRPr="00D21F46">
        <w:rPr>
          <w:rFonts w:cstheme="minorHAnsi"/>
          <w:sz w:val="24"/>
          <w:szCs w:val="24"/>
        </w:rPr>
        <w:t>Mater. Sci. Eng., C, 33 (2013), pp. 3760-3767</w:t>
      </w:r>
    </w:p>
    <w:p w14:paraId="182783FF" w14:textId="7323C436"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Ordikhani</w:t>
      </w:r>
      <w:proofErr w:type="spellEnd"/>
      <w:r w:rsidRPr="00C3166C">
        <w:rPr>
          <w:rFonts w:cstheme="minorHAnsi"/>
          <w:sz w:val="24"/>
          <w:szCs w:val="24"/>
        </w:rPr>
        <w:t xml:space="preserve"> and </w:t>
      </w:r>
      <w:proofErr w:type="spellStart"/>
      <w:r w:rsidRPr="00C3166C">
        <w:rPr>
          <w:rFonts w:cstheme="minorHAnsi"/>
          <w:sz w:val="24"/>
          <w:szCs w:val="24"/>
        </w:rPr>
        <w:t>Simchi</w:t>
      </w:r>
      <w:proofErr w:type="spellEnd"/>
      <w:r w:rsidRPr="00C3166C">
        <w:rPr>
          <w:rFonts w:cstheme="minorHAnsi"/>
          <w:sz w:val="24"/>
          <w:szCs w:val="24"/>
        </w:rPr>
        <w:t>, 2014</w:t>
      </w:r>
      <w:r w:rsidR="00181BCF">
        <w:rPr>
          <w:rFonts w:cstheme="minorHAnsi"/>
          <w:sz w:val="24"/>
          <w:szCs w:val="24"/>
        </w:rPr>
        <w:t xml:space="preserve">. </w:t>
      </w:r>
      <w:r w:rsidRPr="00D21F46">
        <w:rPr>
          <w:rFonts w:cstheme="minorHAnsi"/>
          <w:sz w:val="24"/>
          <w:szCs w:val="24"/>
        </w:rPr>
        <w:t xml:space="preserve">F. </w:t>
      </w:r>
      <w:proofErr w:type="spellStart"/>
      <w:r w:rsidRPr="00D21F46">
        <w:rPr>
          <w:rFonts w:cstheme="minorHAnsi"/>
          <w:sz w:val="24"/>
          <w:szCs w:val="24"/>
        </w:rPr>
        <w:t>Ordikhani</w:t>
      </w:r>
      <w:proofErr w:type="spellEnd"/>
      <w:r w:rsidRPr="00D21F46">
        <w:rPr>
          <w:rFonts w:cstheme="minorHAnsi"/>
          <w:sz w:val="24"/>
          <w:szCs w:val="24"/>
        </w:rPr>
        <w:t xml:space="preserve">, A. </w:t>
      </w:r>
      <w:proofErr w:type="spellStart"/>
      <w:r w:rsidRPr="00D21F46">
        <w:rPr>
          <w:rFonts w:cstheme="minorHAnsi"/>
          <w:sz w:val="24"/>
          <w:szCs w:val="24"/>
        </w:rPr>
        <w:t>Simchi</w:t>
      </w:r>
      <w:proofErr w:type="spellEnd"/>
      <w:r w:rsidR="00181BCF">
        <w:rPr>
          <w:rFonts w:cstheme="minorHAnsi"/>
          <w:sz w:val="24"/>
          <w:szCs w:val="24"/>
        </w:rPr>
        <w:t xml:space="preserve">. </w:t>
      </w:r>
      <w:r w:rsidRPr="00D21F46">
        <w:rPr>
          <w:rFonts w:cstheme="minorHAnsi"/>
          <w:b/>
          <w:bCs/>
          <w:sz w:val="24"/>
          <w:szCs w:val="24"/>
        </w:rPr>
        <w:t>Long-term antibiotic delivery by chitosan-based composite coatings with bone regenerative potential</w:t>
      </w:r>
      <w:r w:rsidR="00181BCF">
        <w:rPr>
          <w:rFonts w:cstheme="minorHAnsi"/>
          <w:b/>
          <w:bCs/>
          <w:sz w:val="24"/>
          <w:szCs w:val="24"/>
        </w:rPr>
        <w:t xml:space="preserve">. </w:t>
      </w:r>
      <w:r w:rsidRPr="00D21F46">
        <w:rPr>
          <w:rFonts w:cstheme="minorHAnsi"/>
          <w:sz w:val="24"/>
          <w:szCs w:val="24"/>
        </w:rPr>
        <w:t>Appl. Surf. Sci., 317 (2014), pp. 56-66</w:t>
      </w:r>
    </w:p>
    <w:p w14:paraId="729DCBB3" w14:textId="676C061A" w:rsidR="00D21F46" w:rsidRPr="00D21F46" w:rsidRDefault="00D21F46" w:rsidP="008C5034">
      <w:pPr>
        <w:pStyle w:val="NoSpacing"/>
        <w:ind w:left="720" w:hanging="720"/>
        <w:rPr>
          <w:rFonts w:cstheme="minorHAnsi"/>
          <w:sz w:val="24"/>
          <w:szCs w:val="24"/>
        </w:rPr>
      </w:pPr>
      <w:r w:rsidRPr="00C3166C">
        <w:rPr>
          <w:rFonts w:cstheme="minorHAnsi"/>
          <w:sz w:val="24"/>
          <w:szCs w:val="24"/>
        </w:rPr>
        <w:t>Pande et al., 2015</w:t>
      </w:r>
      <w:r w:rsidR="00181BCF">
        <w:rPr>
          <w:rFonts w:cstheme="minorHAnsi"/>
          <w:sz w:val="24"/>
          <w:szCs w:val="24"/>
        </w:rPr>
        <w:t xml:space="preserve">. </w:t>
      </w:r>
      <w:r w:rsidRPr="00D21F46">
        <w:rPr>
          <w:rFonts w:cstheme="minorHAnsi"/>
          <w:sz w:val="24"/>
          <w:szCs w:val="24"/>
        </w:rPr>
        <w:t xml:space="preserve">K.C. Pande, J. </w:t>
      </w:r>
      <w:proofErr w:type="spellStart"/>
      <w:r w:rsidRPr="00D21F46">
        <w:rPr>
          <w:rFonts w:cstheme="minorHAnsi"/>
          <w:sz w:val="24"/>
          <w:szCs w:val="24"/>
        </w:rPr>
        <w:t>Putera</w:t>
      </w:r>
      <w:proofErr w:type="spellEnd"/>
      <w:r w:rsidRPr="00D21F46">
        <w:rPr>
          <w:rFonts w:cstheme="minorHAnsi"/>
          <w:sz w:val="24"/>
          <w:szCs w:val="24"/>
        </w:rPr>
        <w:t>, B. Seri</w:t>
      </w:r>
      <w:r w:rsidR="00181BCF">
        <w:rPr>
          <w:rFonts w:cstheme="minorHAnsi"/>
          <w:sz w:val="24"/>
          <w:szCs w:val="24"/>
        </w:rPr>
        <w:t xml:space="preserve">. </w:t>
      </w:r>
      <w:r w:rsidRPr="00D21F46">
        <w:rPr>
          <w:rFonts w:cstheme="minorHAnsi"/>
          <w:b/>
          <w:bCs/>
          <w:sz w:val="24"/>
          <w:szCs w:val="24"/>
        </w:rPr>
        <w:t>Optimal management of chronic osteomyelitis: current perspectives</w:t>
      </w:r>
      <w:r w:rsidR="00181BCF">
        <w:rPr>
          <w:rFonts w:cstheme="minorHAnsi"/>
          <w:b/>
          <w:bCs/>
          <w:sz w:val="24"/>
          <w:szCs w:val="24"/>
        </w:rPr>
        <w:t xml:space="preserve">. </w:t>
      </w:r>
      <w:r w:rsidRPr="00D21F46">
        <w:rPr>
          <w:rFonts w:cstheme="minorHAnsi"/>
          <w:sz w:val="24"/>
          <w:szCs w:val="24"/>
        </w:rPr>
        <w:t>Orthopedic Res. Rev., 7 (2015), pp. 71-81</w:t>
      </w:r>
    </w:p>
    <w:p w14:paraId="24D2C5E0" w14:textId="797CBE60" w:rsidR="00D21F46" w:rsidRPr="00D21F46" w:rsidRDefault="00D21F46" w:rsidP="008C5034">
      <w:pPr>
        <w:pStyle w:val="NoSpacing"/>
        <w:ind w:left="720" w:hanging="720"/>
        <w:rPr>
          <w:rFonts w:cstheme="minorHAnsi"/>
          <w:sz w:val="24"/>
          <w:szCs w:val="24"/>
        </w:rPr>
      </w:pPr>
      <w:r w:rsidRPr="00C3166C">
        <w:rPr>
          <w:rFonts w:cstheme="minorHAnsi"/>
          <w:sz w:val="24"/>
          <w:szCs w:val="24"/>
        </w:rPr>
        <w:t>Park et al., 2012</w:t>
      </w:r>
      <w:r w:rsidR="00181BCF">
        <w:rPr>
          <w:rFonts w:cstheme="minorHAnsi"/>
          <w:sz w:val="24"/>
          <w:szCs w:val="24"/>
        </w:rPr>
        <w:t xml:space="preserve">. </w:t>
      </w:r>
      <w:r w:rsidRPr="00D21F46">
        <w:rPr>
          <w:rFonts w:cstheme="minorHAnsi"/>
          <w:sz w:val="24"/>
          <w:szCs w:val="24"/>
        </w:rPr>
        <w:t>S.H. Park, D.S. Park, J.W. Shin, Y.G. Kang, H.K. Kim, T.R. Yoon, J.-W. Shin</w:t>
      </w:r>
      <w:r w:rsidR="00181BCF">
        <w:rPr>
          <w:rFonts w:cstheme="minorHAnsi"/>
          <w:sz w:val="24"/>
          <w:szCs w:val="24"/>
        </w:rPr>
        <w:t xml:space="preserve">. </w:t>
      </w:r>
      <w:r w:rsidRPr="00D21F46">
        <w:rPr>
          <w:rFonts w:cstheme="minorHAnsi"/>
          <w:b/>
          <w:bCs/>
          <w:sz w:val="24"/>
          <w:szCs w:val="24"/>
        </w:rPr>
        <w:t>Scaffolds for bone tissue engineering fabricated from two different materials by the rapid prototyping technique: PCL versus PLGA</w:t>
      </w:r>
      <w:r w:rsidR="00181BCF">
        <w:rPr>
          <w:rFonts w:cstheme="minorHAnsi"/>
          <w:b/>
          <w:bCs/>
          <w:sz w:val="24"/>
          <w:szCs w:val="24"/>
        </w:rPr>
        <w:t xml:space="preserve">. </w:t>
      </w:r>
      <w:r w:rsidRPr="00D21F46">
        <w:rPr>
          <w:rFonts w:cstheme="minorHAnsi"/>
          <w:sz w:val="24"/>
          <w:szCs w:val="24"/>
        </w:rPr>
        <w:t>J. Mater. Sci. - Mater. Med., 23 (2012), pp. 2671-2678</w:t>
      </w:r>
    </w:p>
    <w:p w14:paraId="516136B7" w14:textId="1604050C" w:rsidR="00D21F46" w:rsidRPr="00D21F46" w:rsidRDefault="00D21F46" w:rsidP="008C5034">
      <w:pPr>
        <w:pStyle w:val="NoSpacing"/>
        <w:ind w:left="720" w:hanging="720"/>
        <w:rPr>
          <w:rFonts w:cstheme="minorHAnsi"/>
          <w:sz w:val="24"/>
          <w:szCs w:val="24"/>
        </w:rPr>
      </w:pPr>
      <w:r w:rsidRPr="00C3166C">
        <w:rPr>
          <w:rFonts w:cstheme="minorHAnsi"/>
          <w:sz w:val="24"/>
          <w:szCs w:val="24"/>
        </w:rPr>
        <w:t>Peshwa et al., 1993</w:t>
      </w:r>
      <w:r w:rsidR="00181BCF">
        <w:rPr>
          <w:rFonts w:cstheme="minorHAnsi"/>
          <w:sz w:val="24"/>
          <w:szCs w:val="24"/>
        </w:rPr>
        <w:t xml:space="preserve">. </w:t>
      </w:r>
      <w:r w:rsidRPr="00D21F46">
        <w:rPr>
          <w:rFonts w:cstheme="minorHAnsi"/>
          <w:sz w:val="24"/>
          <w:szCs w:val="24"/>
        </w:rPr>
        <w:t>M.V. Peshwa, Y.S. Kyung, D.B. McClure, W.S. Hu</w:t>
      </w:r>
      <w:r w:rsidR="00181BCF">
        <w:rPr>
          <w:rFonts w:cstheme="minorHAnsi"/>
          <w:sz w:val="24"/>
          <w:szCs w:val="24"/>
        </w:rPr>
        <w:t xml:space="preserve">. </w:t>
      </w:r>
      <w:r w:rsidRPr="00D21F46">
        <w:rPr>
          <w:rFonts w:cstheme="minorHAnsi"/>
          <w:b/>
          <w:bCs/>
          <w:sz w:val="24"/>
          <w:szCs w:val="24"/>
        </w:rPr>
        <w:t>Cultivation of mammalian cells as aggregates in bioreactors: effect of calcium concentration of spatial distribution of viability</w:t>
      </w:r>
      <w:r w:rsidR="00181BCF">
        <w:rPr>
          <w:rFonts w:cstheme="minorHAnsi"/>
          <w:b/>
          <w:bCs/>
          <w:sz w:val="24"/>
          <w:szCs w:val="24"/>
        </w:rPr>
        <w:t xml:space="preserve">. </w:t>
      </w:r>
      <w:proofErr w:type="spellStart"/>
      <w:r w:rsidRPr="00D21F46">
        <w:rPr>
          <w:rFonts w:cstheme="minorHAnsi"/>
          <w:sz w:val="24"/>
          <w:szCs w:val="24"/>
        </w:rPr>
        <w:t>Biotechnol</w:t>
      </w:r>
      <w:proofErr w:type="spellEnd"/>
      <w:r w:rsidRPr="00D21F46">
        <w:rPr>
          <w:rFonts w:cstheme="minorHAnsi"/>
          <w:sz w:val="24"/>
          <w:szCs w:val="24"/>
        </w:rPr>
        <w:t xml:space="preserve">. </w:t>
      </w:r>
      <w:proofErr w:type="spellStart"/>
      <w:r w:rsidRPr="00D21F46">
        <w:rPr>
          <w:rFonts w:cstheme="minorHAnsi"/>
          <w:sz w:val="24"/>
          <w:szCs w:val="24"/>
        </w:rPr>
        <w:t>Bioeng</w:t>
      </w:r>
      <w:proofErr w:type="spellEnd"/>
      <w:r w:rsidRPr="00D21F46">
        <w:rPr>
          <w:rFonts w:cstheme="minorHAnsi"/>
          <w:sz w:val="24"/>
          <w:szCs w:val="24"/>
        </w:rPr>
        <w:t>., 41 (1993), pp. 179-187</w:t>
      </w:r>
    </w:p>
    <w:p w14:paraId="1C46FC30" w14:textId="08B8FF2B"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Poelstra</w:t>
      </w:r>
      <w:proofErr w:type="spellEnd"/>
      <w:r w:rsidRPr="00C3166C">
        <w:rPr>
          <w:rFonts w:cstheme="minorHAnsi"/>
          <w:sz w:val="24"/>
          <w:szCs w:val="24"/>
        </w:rPr>
        <w:t xml:space="preserve"> et al., 2002</w:t>
      </w:r>
      <w:r w:rsidR="00181BCF">
        <w:rPr>
          <w:rFonts w:cstheme="minorHAnsi"/>
          <w:sz w:val="24"/>
          <w:szCs w:val="24"/>
        </w:rPr>
        <w:t xml:space="preserve">. </w:t>
      </w:r>
      <w:r w:rsidRPr="00D21F46">
        <w:rPr>
          <w:rFonts w:cstheme="minorHAnsi"/>
          <w:sz w:val="24"/>
          <w:szCs w:val="24"/>
        </w:rPr>
        <w:t xml:space="preserve">K.A. </w:t>
      </w:r>
      <w:proofErr w:type="spellStart"/>
      <w:r w:rsidRPr="00D21F46">
        <w:rPr>
          <w:rFonts w:cstheme="minorHAnsi"/>
          <w:sz w:val="24"/>
          <w:szCs w:val="24"/>
        </w:rPr>
        <w:t>Poelstra</w:t>
      </w:r>
      <w:proofErr w:type="spellEnd"/>
      <w:r w:rsidRPr="00D21F46">
        <w:rPr>
          <w:rFonts w:cstheme="minorHAnsi"/>
          <w:sz w:val="24"/>
          <w:szCs w:val="24"/>
        </w:rPr>
        <w:t xml:space="preserve">, N.A. </w:t>
      </w:r>
      <w:proofErr w:type="spellStart"/>
      <w:r w:rsidRPr="00D21F46">
        <w:rPr>
          <w:rFonts w:cstheme="minorHAnsi"/>
          <w:sz w:val="24"/>
          <w:szCs w:val="24"/>
        </w:rPr>
        <w:t>Barekzi</w:t>
      </w:r>
      <w:proofErr w:type="spellEnd"/>
      <w:r w:rsidRPr="00D21F46">
        <w:rPr>
          <w:rFonts w:cstheme="minorHAnsi"/>
          <w:sz w:val="24"/>
          <w:szCs w:val="24"/>
        </w:rPr>
        <w:t xml:space="preserve">, A.M. </w:t>
      </w:r>
      <w:proofErr w:type="spellStart"/>
      <w:r w:rsidRPr="00D21F46">
        <w:rPr>
          <w:rFonts w:cstheme="minorHAnsi"/>
          <w:sz w:val="24"/>
          <w:szCs w:val="24"/>
        </w:rPr>
        <w:t>Rediske</w:t>
      </w:r>
      <w:proofErr w:type="spellEnd"/>
      <w:r w:rsidRPr="00D21F46">
        <w:rPr>
          <w:rFonts w:cstheme="minorHAnsi"/>
          <w:sz w:val="24"/>
          <w:szCs w:val="24"/>
        </w:rPr>
        <w:t xml:space="preserve">, A.G. Felts, J.B. </w:t>
      </w:r>
      <w:proofErr w:type="spellStart"/>
      <w:r w:rsidRPr="00D21F46">
        <w:rPr>
          <w:rFonts w:cstheme="minorHAnsi"/>
          <w:sz w:val="24"/>
          <w:szCs w:val="24"/>
        </w:rPr>
        <w:t>Slunt</w:t>
      </w:r>
      <w:proofErr w:type="spellEnd"/>
      <w:r w:rsidRPr="00D21F46">
        <w:rPr>
          <w:rFonts w:cstheme="minorHAnsi"/>
          <w:sz w:val="24"/>
          <w:szCs w:val="24"/>
        </w:rPr>
        <w:t>, D.W. Grainger</w:t>
      </w:r>
      <w:r w:rsidR="00181BCF">
        <w:rPr>
          <w:rFonts w:cstheme="minorHAnsi"/>
          <w:sz w:val="24"/>
          <w:szCs w:val="24"/>
        </w:rPr>
        <w:t xml:space="preserve">. </w:t>
      </w:r>
      <w:r w:rsidRPr="00D21F46">
        <w:rPr>
          <w:rFonts w:cstheme="minorHAnsi"/>
          <w:b/>
          <w:bCs/>
          <w:sz w:val="24"/>
          <w:szCs w:val="24"/>
        </w:rPr>
        <w:t>Prophylactic treatment of gram-positive and gram-negative abdominal implant infections using locally delivered polyclonal antibodies</w:t>
      </w:r>
      <w:r w:rsidR="00181BCF">
        <w:rPr>
          <w:rFonts w:cstheme="minorHAnsi"/>
          <w:b/>
          <w:bCs/>
          <w:sz w:val="24"/>
          <w:szCs w:val="24"/>
        </w:rPr>
        <w:t xml:space="preserve">. </w:t>
      </w:r>
      <w:r w:rsidRPr="00D21F46">
        <w:rPr>
          <w:rFonts w:cstheme="minorHAnsi"/>
          <w:sz w:val="24"/>
          <w:szCs w:val="24"/>
        </w:rPr>
        <w:t>J. Biomed. Mater. Res., 60 (2002), pp. 206-215</w:t>
      </w:r>
    </w:p>
    <w:p w14:paraId="3594FAB7" w14:textId="2F1A5A59" w:rsidR="00D21F46" w:rsidRPr="00D21F46" w:rsidRDefault="00D21F46" w:rsidP="008C5034">
      <w:pPr>
        <w:pStyle w:val="NoSpacing"/>
        <w:ind w:left="720" w:hanging="720"/>
        <w:rPr>
          <w:rFonts w:cstheme="minorHAnsi"/>
          <w:sz w:val="24"/>
          <w:szCs w:val="24"/>
        </w:rPr>
      </w:pPr>
      <w:r w:rsidRPr="00C3166C">
        <w:rPr>
          <w:rFonts w:cstheme="minorHAnsi"/>
          <w:sz w:val="24"/>
          <w:szCs w:val="24"/>
        </w:rPr>
        <w:t>Rahmati et al., 2018</w:t>
      </w:r>
      <w:r w:rsidR="00181BCF">
        <w:rPr>
          <w:rFonts w:cstheme="minorHAnsi"/>
          <w:sz w:val="24"/>
          <w:szCs w:val="24"/>
        </w:rPr>
        <w:t xml:space="preserve">. </w:t>
      </w:r>
      <w:r w:rsidRPr="00D21F46">
        <w:rPr>
          <w:rFonts w:cstheme="minorHAnsi"/>
          <w:sz w:val="24"/>
          <w:szCs w:val="24"/>
        </w:rPr>
        <w:t xml:space="preserve">M. Rahmati, M. </w:t>
      </w:r>
      <w:proofErr w:type="spellStart"/>
      <w:r w:rsidRPr="00D21F46">
        <w:rPr>
          <w:rFonts w:cstheme="minorHAnsi"/>
          <w:sz w:val="24"/>
          <w:szCs w:val="24"/>
        </w:rPr>
        <w:t>Fathi</w:t>
      </w:r>
      <w:proofErr w:type="spellEnd"/>
      <w:r w:rsidRPr="00D21F46">
        <w:rPr>
          <w:rFonts w:cstheme="minorHAnsi"/>
          <w:sz w:val="24"/>
          <w:szCs w:val="24"/>
        </w:rPr>
        <w:t>, M. Ahmadian</w:t>
      </w:r>
      <w:r w:rsidR="00181BCF">
        <w:rPr>
          <w:rFonts w:cstheme="minorHAnsi"/>
          <w:sz w:val="24"/>
          <w:szCs w:val="24"/>
        </w:rPr>
        <w:t xml:space="preserve">. </w:t>
      </w:r>
      <w:r w:rsidRPr="00D21F46">
        <w:rPr>
          <w:rFonts w:cstheme="minorHAnsi"/>
          <w:b/>
          <w:bCs/>
          <w:sz w:val="24"/>
          <w:szCs w:val="24"/>
        </w:rPr>
        <w:t xml:space="preserve">Preparation and structural characterization of bioactive bredigite (Ca7MgSi4O16) </w:t>
      </w:r>
      <w:proofErr w:type="spellStart"/>
      <w:r w:rsidRPr="00D21F46">
        <w:rPr>
          <w:rFonts w:cstheme="minorHAnsi"/>
          <w:b/>
          <w:bCs/>
          <w:sz w:val="24"/>
          <w:szCs w:val="24"/>
        </w:rPr>
        <w:t>nanopowder</w:t>
      </w:r>
      <w:proofErr w:type="spellEnd"/>
      <w:r w:rsidR="00181BCF">
        <w:rPr>
          <w:rFonts w:cstheme="minorHAnsi"/>
          <w:b/>
          <w:bCs/>
          <w:sz w:val="24"/>
          <w:szCs w:val="24"/>
        </w:rPr>
        <w:t xml:space="preserve">. </w:t>
      </w:r>
      <w:r w:rsidRPr="00D21F46">
        <w:rPr>
          <w:rFonts w:cstheme="minorHAnsi"/>
          <w:sz w:val="24"/>
          <w:szCs w:val="24"/>
        </w:rPr>
        <w:t>J. Alloy. Compd., 732 (2018), pp. 9-15</w:t>
      </w:r>
    </w:p>
    <w:p w14:paraId="7E7ABF64" w14:textId="59106431" w:rsidR="00D21F46" w:rsidRPr="00D21F46" w:rsidRDefault="00D21F46" w:rsidP="008C5034">
      <w:pPr>
        <w:pStyle w:val="NoSpacing"/>
        <w:ind w:left="720" w:hanging="720"/>
        <w:rPr>
          <w:rFonts w:cstheme="minorHAnsi"/>
          <w:sz w:val="24"/>
          <w:szCs w:val="24"/>
        </w:rPr>
      </w:pPr>
      <w:r w:rsidRPr="00C3166C">
        <w:rPr>
          <w:rFonts w:cstheme="minorHAnsi"/>
          <w:sz w:val="24"/>
          <w:szCs w:val="24"/>
        </w:rPr>
        <w:t>Sankar et al., 2011</w:t>
      </w:r>
      <w:r w:rsidR="00181BCF">
        <w:rPr>
          <w:rFonts w:cstheme="minorHAnsi"/>
          <w:sz w:val="24"/>
          <w:szCs w:val="24"/>
        </w:rPr>
        <w:t xml:space="preserve">. </w:t>
      </w:r>
      <w:r w:rsidRPr="00D21F46">
        <w:rPr>
          <w:rFonts w:cstheme="minorHAnsi"/>
          <w:sz w:val="24"/>
          <w:szCs w:val="24"/>
        </w:rPr>
        <w:t xml:space="preserve">V. Sankar, V. </w:t>
      </w:r>
      <w:proofErr w:type="spellStart"/>
      <w:r w:rsidRPr="00D21F46">
        <w:rPr>
          <w:rFonts w:cstheme="minorHAnsi"/>
          <w:sz w:val="24"/>
          <w:szCs w:val="24"/>
        </w:rPr>
        <w:t>Hearnden</w:t>
      </w:r>
      <w:proofErr w:type="spellEnd"/>
      <w:r w:rsidRPr="00D21F46">
        <w:rPr>
          <w:rFonts w:cstheme="minorHAnsi"/>
          <w:sz w:val="24"/>
          <w:szCs w:val="24"/>
        </w:rPr>
        <w:t xml:space="preserve">, K. Hull, D.V. </w:t>
      </w:r>
      <w:proofErr w:type="spellStart"/>
      <w:r w:rsidRPr="00D21F46">
        <w:rPr>
          <w:rFonts w:cstheme="minorHAnsi"/>
          <w:sz w:val="24"/>
          <w:szCs w:val="24"/>
        </w:rPr>
        <w:t>Juras</w:t>
      </w:r>
      <w:proofErr w:type="spellEnd"/>
      <w:r w:rsidRPr="00D21F46">
        <w:rPr>
          <w:rFonts w:cstheme="minorHAnsi"/>
          <w:sz w:val="24"/>
          <w:szCs w:val="24"/>
        </w:rPr>
        <w:t>, M. Greenberg, A. Kerr, P.B. Lockhart, L.L. Patton, S. Porter, M. Thornhill</w:t>
      </w:r>
      <w:r w:rsidR="00181BCF">
        <w:rPr>
          <w:rFonts w:cstheme="minorHAnsi"/>
          <w:sz w:val="24"/>
          <w:szCs w:val="24"/>
        </w:rPr>
        <w:t xml:space="preserve">. </w:t>
      </w:r>
      <w:r w:rsidRPr="00D21F46">
        <w:rPr>
          <w:rFonts w:cstheme="minorHAnsi"/>
          <w:b/>
          <w:bCs/>
          <w:sz w:val="24"/>
          <w:szCs w:val="24"/>
        </w:rPr>
        <w:t>Local drug delivery for oral mucosal diseases: challenges and opportunities</w:t>
      </w:r>
      <w:r w:rsidR="00181BCF">
        <w:rPr>
          <w:rFonts w:cstheme="minorHAnsi"/>
          <w:b/>
          <w:bCs/>
          <w:sz w:val="24"/>
          <w:szCs w:val="24"/>
        </w:rPr>
        <w:t xml:space="preserve">. </w:t>
      </w:r>
      <w:r w:rsidRPr="00D21F46">
        <w:rPr>
          <w:rFonts w:cstheme="minorHAnsi"/>
          <w:sz w:val="24"/>
          <w:szCs w:val="24"/>
        </w:rPr>
        <w:t>Oral Dis., 17 (2011), pp. 73-84</w:t>
      </w:r>
    </w:p>
    <w:p w14:paraId="0D787DA3" w14:textId="197490CA" w:rsidR="00D21F46" w:rsidRPr="00D21F46" w:rsidRDefault="00D21F46" w:rsidP="008C5034">
      <w:pPr>
        <w:pStyle w:val="NoSpacing"/>
        <w:ind w:left="720" w:hanging="720"/>
        <w:rPr>
          <w:rFonts w:cstheme="minorHAnsi"/>
          <w:sz w:val="24"/>
          <w:szCs w:val="24"/>
        </w:rPr>
      </w:pPr>
      <w:r w:rsidRPr="00C3166C">
        <w:rPr>
          <w:rFonts w:cstheme="minorHAnsi"/>
          <w:sz w:val="24"/>
          <w:szCs w:val="24"/>
        </w:rPr>
        <w:t>Schumacher et al., 2014</w:t>
      </w:r>
      <w:r w:rsidR="00181BCF">
        <w:rPr>
          <w:rFonts w:cstheme="minorHAnsi"/>
          <w:sz w:val="24"/>
          <w:szCs w:val="24"/>
        </w:rPr>
        <w:t xml:space="preserve">. </w:t>
      </w:r>
      <w:r w:rsidRPr="00D21F46">
        <w:rPr>
          <w:rFonts w:cstheme="minorHAnsi"/>
          <w:sz w:val="24"/>
          <w:szCs w:val="24"/>
        </w:rPr>
        <w:t xml:space="preserve">T.C. Schumacher, E. Volkmann, R. Yilmaz, A. Wolf, L. </w:t>
      </w:r>
      <w:proofErr w:type="spellStart"/>
      <w:r w:rsidRPr="00D21F46">
        <w:rPr>
          <w:rFonts w:cstheme="minorHAnsi"/>
          <w:sz w:val="24"/>
          <w:szCs w:val="24"/>
        </w:rPr>
        <w:t>Treccani</w:t>
      </w:r>
      <w:proofErr w:type="spellEnd"/>
      <w:r w:rsidRPr="00D21F46">
        <w:rPr>
          <w:rFonts w:cstheme="minorHAnsi"/>
          <w:sz w:val="24"/>
          <w:szCs w:val="24"/>
        </w:rPr>
        <w:t xml:space="preserve">, K. </w:t>
      </w:r>
      <w:proofErr w:type="spellStart"/>
      <w:r w:rsidRPr="00D21F46">
        <w:rPr>
          <w:rFonts w:cstheme="minorHAnsi"/>
          <w:sz w:val="24"/>
          <w:szCs w:val="24"/>
        </w:rPr>
        <w:t>Rezwan</w:t>
      </w:r>
      <w:proofErr w:type="spellEnd"/>
      <w:r w:rsidR="00181BCF">
        <w:rPr>
          <w:rFonts w:cstheme="minorHAnsi"/>
          <w:sz w:val="24"/>
          <w:szCs w:val="24"/>
        </w:rPr>
        <w:t xml:space="preserve">. </w:t>
      </w:r>
      <w:r w:rsidRPr="00D21F46">
        <w:rPr>
          <w:rFonts w:cstheme="minorHAnsi"/>
          <w:b/>
          <w:bCs/>
          <w:sz w:val="24"/>
          <w:szCs w:val="24"/>
        </w:rPr>
        <w:t>Mechanical evaluation of calcium-zirconium-silicate (baghdadite) obtained by a direct solid-state synthesis route</w:t>
      </w:r>
      <w:r w:rsidR="00181BCF">
        <w:rPr>
          <w:rFonts w:cstheme="minorHAnsi"/>
          <w:b/>
          <w:bCs/>
          <w:sz w:val="24"/>
          <w:szCs w:val="24"/>
        </w:rPr>
        <w:t xml:space="preserve">. </w:t>
      </w:r>
      <w:r w:rsidRPr="00D21F46">
        <w:rPr>
          <w:rFonts w:cstheme="minorHAnsi"/>
          <w:sz w:val="24"/>
          <w:szCs w:val="24"/>
        </w:rPr>
        <w:t xml:space="preserve">J. Mech. </w:t>
      </w:r>
      <w:proofErr w:type="spellStart"/>
      <w:r w:rsidRPr="00D21F46">
        <w:rPr>
          <w:rFonts w:cstheme="minorHAnsi"/>
          <w:sz w:val="24"/>
          <w:szCs w:val="24"/>
        </w:rPr>
        <w:t>Behav</w:t>
      </w:r>
      <w:proofErr w:type="spellEnd"/>
      <w:r w:rsidRPr="00D21F46">
        <w:rPr>
          <w:rFonts w:cstheme="minorHAnsi"/>
          <w:sz w:val="24"/>
          <w:szCs w:val="24"/>
        </w:rPr>
        <w:t>. Biomed. Mater., 34 (2014), pp. 294-301</w:t>
      </w:r>
    </w:p>
    <w:p w14:paraId="2E67F48E" w14:textId="0F69E301"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Shahrouzifar</w:t>
      </w:r>
      <w:proofErr w:type="spellEnd"/>
      <w:r w:rsidRPr="00C3166C">
        <w:rPr>
          <w:rFonts w:cstheme="minorHAnsi"/>
          <w:sz w:val="24"/>
          <w:szCs w:val="24"/>
        </w:rPr>
        <w:t xml:space="preserve"> and </w:t>
      </w:r>
      <w:proofErr w:type="spellStart"/>
      <w:r w:rsidRPr="00C3166C">
        <w:rPr>
          <w:rFonts w:cstheme="minorHAnsi"/>
          <w:sz w:val="24"/>
          <w:szCs w:val="24"/>
        </w:rPr>
        <w:t>Salahinejad</w:t>
      </w:r>
      <w:proofErr w:type="spellEnd"/>
      <w:r w:rsidRPr="00C3166C">
        <w:rPr>
          <w:rFonts w:cstheme="minorHAnsi"/>
          <w:sz w:val="24"/>
          <w:szCs w:val="24"/>
        </w:rPr>
        <w:t>, 2019</w:t>
      </w:r>
      <w:r w:rsidR="00181BCF">
        <w:rPr>
          <w:rFonts w:cstheme="minorHAnsi"/>
          <w:sz w:val="24"/>
          <w:szCs w:val="24"/>
        </w:rPr>
        <w:t xml:space="preserve">. </w:t>
      </w:r>
      <w:r w:rsidRPr="00D21F46">
        <w:rPr>
          <w:rFonts w:cstheme="minorHAnsi"/>
          <w:sz w:val="24"/>
          <w:szCs w:val="24"/>
        </w:rPr>
        <w:t xml:space="preserve">M. </w:t>
      </w:r>
      <w:proofErr w:type="spellStart"/>
      <w:r w:rsidRPr="00D21F46">
        <w:rPr>
          <w:rFonts w:cstheme="minorHAnsi"/>
          <w:sz w:val="24"/>
          <w:szCs w:val="24"/>
        </w:rPr>
        <w:t>Shahrouzifar</w:t>
      </w:r>
      <w:proofErr w:type="spellEnd"/>
      <w:r w:rsidRPr="00D21F46">
        <w:rPr>
          <w:rFonts w:cstheme="minorHAnsi"/>
          <w:sz w:val="24"/>
          <w:szCs w:val="24"/>
        </w:rPr>
        <w:t xml:space="preserve">, E. </w:t>
      </w:r>
      <w:proofErr w:type="spellStart"/>
      <w:r w:rsidRPr="00D21F46">
        <w:rPr>
          <w:rFonts w:cstheme="minorHAnsi"/>
          <w:sz w:val="24"/>
          <w:szCs w:val="24"/>
        </w:rPr>
        <w:t>Salahinejad</w:t>
      </w:r>
      <w:proofErr w:type="spellEnd"/>
      <w:r w:rsidR="00181BCF">
        <w:rPr>
          <w:rFonts w:cstheme="minorHAnsi"/>
          <w:sz w:val="24"/>
          <w:szCs w:val="24"/>
        </w:rPr>
        <w:t xml:space="preserve">. </w:t>
      </w:r>
      <w:r w:rsidRPr="00D21F46">
        <w:rPr>
          <w:rFonts w:cstheme="minorHAnsi"/>
          <w:b/>
          <w:bCs/>
          <w:sz w:val="24"/>
          <w:szCs w:val="24"/>
        </w:rPr>
        <w:t>Strontium doping into diopside tissue engineering scaffolds</w:t>
      </w:r>
      <w:r w:rsidR="00181BCF">
        <w:rPr>
          <w:rFonts w:cstheme="minorHAnsi"/>
          <w:b/>
          <w:bCs/>
          <w:sz w:val="24"/>
          <w:szCs w:val="24"/>
        </w:rPr>
        <w:t xml:space="preserve">. </w:t>
      </w:r>
      <w:r w:rsidRPr="00D21F46">
        <w:rPr>
          <w:rFonts w:cstheme="minorHAnsi"/>
          <w:sz w:val="24"/>
          <w:szCs w:val="24"/>
        </w:rPr>
        <w:t>Ceram. Int., 45 (2019), pp. 10176-10181</w:t>
      </w:r>
    </w:p>
    <w:p w14:paraId="2D73B243" w14:textId="28685451"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Shahrouzifar</w:t>
      </w:r>
      <w:proofErr w:type="spellEnd"/>
      <w:r w:rsidRPr="00C3166C">
        <w:rPr>
          <w:rFonts w:cstheme="minorHAnsi"/>
          <w:sz w:val="24"/>
          <w:szCs w:val="24"/>
        </w:rPr>
        <w:t xml:space="preserve"> et al., 2019</w:t>
      </w:r>
      <w:r w:rsidR="00181BCF">
        <w:rPr>
          <w:rFonts w:cstheme="minorHAnsi"/>
          <w:sz w:val="24"/>
          <w:szCs w:val="24"/>
        </w:rPr>
        <w:t xml:space="preserve">. </w:t>
      </w:r>
      <w:r w:rsidRPr="00D21F46">
        <w:rPr>
          <w:rFonts w:cstheme="minorHAnsi"/>
          <w:sz w:val="24"/>
          <w:szCs w:val="24"/>
        </w:rPr>
        <w:t xml:space="preserve">M. </w:t>
      </w:r>
      <w:proofErr w:type="spellStart"/>
      <w:r w:rsidRPr="00D21F46">
        <w:rPr>
          <w:rFonts w:cstheme="minorHAnsi"/>
          <w:sz w:val="24"/>
          <w:szCs w:val="24"/>
        </w:rPr>
        <w:t>Shahrouzifar</w:t>
      </w:r>
      <w:proofErr w:type="spellEnd"/>
      <w:r w:rsidRPr="00D21F46">
        <w:rPr>
          <w:rFonts w:cstheme="minorHAnsi"/>
          <w:sz w:val="24"/>
          <w:szCs w:val="24"/>
        </w:rPr>
        <w:t xml:space="preserve">, E. </w:t>
      </w:r>
      <w:proofErr w:type="spellStart"/>
      <w:r w:rsidRPr="00D21F46">
        <w:rPr>
          <w:rFonts w:cstheme="minorHAnsi"/>
          <w:sz w:val="24"/>
          <w:szCs w:val="24"/>
        </w:rPr>
        <w:t>Salahinejad</w:t>
      </w:r>
      <w:proofErr w:type="spellEnd"/>
      <w:r w:rsidRPr="00D21F46">
        <w:rPr>
          <w:rFonts w:cstheme="minorHAnsi"/>
          <w:sz w:val="24"/>
          <w:szCs w:val="24"/>
        </w:rPr>
        <w:t>, E. Sharifi</w:t>
      </w:r>
      <w:r w:rsidR="00181BCF">
        <w:rPr>
          <w:rFonts w:cstheme="minorHAnsi"/>
          <w:sz w:val="24"/>
          <w:szCs w:val="24"/>
        </w:rPr>
        <w:t xml:space="preserve">. </w:t>
      </w:r>
      <w:r w:rsidRPr="00D21F46">
        <w:rPr>
          <w:rFonts w:cstheme="minorHAnsi"/>
          <w:b/>
          <w:bCs/>
          <w:sz w:val="24"/>
          <w:szCs w:val="24"/>
        </w:rPr>
        <w:t>Co-incorporation of strontium and fluorine into diopside scaffolds: bioactivity, biodegradation and cytocompatibility evaluations</w:t>
      </w:r>
      <w:r w:rsidR="00181BCF">
        <w:rPr>
          <w:rFonts w:cstheme="minorHAnsi"/>
          <w:b/>
          <w:bCs/>
          <w:sz w:val="24"/>
          <w:szCs w:val="24"/>
        </w:rPr>
        <w:t xml:space="preserve">. </w:t>
      </w:r>
      <w:r w:rsidRPr="00D21F46">
        <w:rPr>
          <w:rFonts w:cstheme="minorHAnsi"/>
          <w:sz w:val="24"/>
          <w:szCs w:val="24"/>
        </w:rPr>
        <w:t>Mater. Sci. Eng., C, 103 (2019), Article 109752</w:t>
      </w:r>
    </w:p>
    <w:p w14:paraId="22B429FE" w14:textId="39A6D61F"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Shirtliff</w:t>
      </w:r>
      <w:proofErr w:type="spellEnd"/>
      <w:r w:rsidRPr="00C3166C">
        <w:rPr>
          <w:rFonts w:cstheme="minorHAnsi"/>
          <w:sz w:val="24"/>
          <w:szCs w:val="24"/>
        </w:rPr>
        <w:t xml:space="preserve"> and </w:t>
      </w:r>
      <w:proofErr w:type="spellStart"/>
      <w:r w:rsidRPr="00C3166C">
        <w:rPr>
          <w:rFonts w:cstheme="minorHAnsi"/>
          <w:sz w:val="24"/>
          <w:szCs w:val="24"/>
        </w:rPr>
        <w:t>Mader</w:t>
      </w:r>
      <w:proofErr w:type="spellEnd"/>
      <w:r w:rsidRPr="00C3166C">
        <w:rPr>
          <w:rFonts w:cstheme="minorHAnsi"/>
          <w:sz w:val="24"/>
          <w:szCs w:val="24"/>
        </w:rPr>
        <w:t>, 2000</w:t>
      </w:r>
      <w:r w:rsidR="00181BCF">
        <w:rPr>
          <w:rFonts w:cstheme="minorHAnsi"/>
          <w:sz w:val="24"/>
          <w:szCs w:val="24"/>
        </w:rPr>
        <w:t xml:space="preserve">. </w:t>
      </w:r>
      <w:r w:rsidRPr="00D21F46">
        <w:rPr>
          <w:rFonts w:cstheme="minorHAnsi"/>
          <w:sz w:val="24"/>
          <w:szCs w:val="24"/>
        </w:rPr>
        <w:t xml:space="preserve">M. </w:t>
      </w:r>
      <w:proofErr w:type="spellStart"/>
      <w:r w:rsidRPr="00D21F46">
        <w:rPr>
          <w:rFonts w:cstheme="minorHAnsi"/>
          <w:sz w:val="24"/>
          <w:szCs w:val="24"/>
        </w:rPr>
        <w:t>Shirtliff</w:t>
      </w:r>
      <w:proofErr w:type="spellEnd"/>
      <w:r w:rsidRPr="00D21F46">
        <w:rPr>
          <w:rFonts w:cstheme="minorHAnsi"/>
          <w:sz w:val="24"/>
          <w:szCs w:val="24"/>
        </w:rPr>
        <w:t xml:space="preserve">, J. </w:t>
      </w:r>
      <w:proofErr w:type="spellStart"/>
      <w:r w:rsidRPr="00D21F46">
        <w:rPr>
          <w:rFonts w:cstheme="minorHAnsi"/>
          <w:sz w:val="24"/>
          <w:szCs w:val="24"/>
        </w:rPr>
        <w:t>Mader</w:t>
      </w:r>
      <w:proofErr w:type="spellEnd"/>
      <w:r w:rsidR="00181BCF">
        <w:rPr>
          <w:rFonts w:cstheme="minorHAnsi"/>
          <w:sz w:val="24"/>
          <w:szCs w:val="24"/>
        </w:rPr>
        <w:t xml:space="preserve">. </w:t>
      </w:r>
      <w:r w:rsidRPr="00D21F46">
        <w:rPr>
          <w:rFonts w:cstheme="minorHAnsi"/>
          <w:b/>
          <w:bCs/>
          <w:sz w:val="24"/>
          <w:szCs w:val="24"/>
        </w:rPr>
        <w:t>Osteomyelitis, Persistent bacterial infections</w:t>
      </w:r>
      <w:r w:rsidR="00181BCF">
        <w:rPr>
          <w:rFonts w:cstheme="minorHAnsi"/>
          <w:b/>
          <w:bCs/>
          <w:sz w:val="24"/>
          <w:szCs w:val="24"/>
        </w:rPr>
        <w:t xml:space="preserve">. </w:t>
      </w:r>
      <w:r w:rsidRPr="00D21F46">
        <w:rPr>
          <w:rFonts w:cstheme="minorHAnsi"/>
          <w:sz w:val="24"/>
          <w:szCs w:val="24"/>
        </w:rPr>
        <w:t>Am. Soc. Microbiol. (2000), pp. 375-396</w:t>
      </w:r>
    </w:p>
    <w:p w14:paraId="2239DACA" w14:textId="6F06C64D" w:rsidR="00D21F46" w:rsidRPr="00D21F46" w:rsidRDefault="00D21F46" w:rsidP="008C5034">
      <w:pPr>
        <w:pStyle w:val="NoSpacing"/>
        <w:ind w:left="720" w:hanging="720"/>
        <w:rPr>
          <w:rFonts w:cstheme="minorHAnsi"/>
          <w:sz w:val="24"/>
          <w:szCs w:val="24"/>
        </w:rPr>
      </w:pPr>
      <w:r w:rsidRPr="00C3166C">
        <w:rPr>
          <w:rFonts w:cstheme="minorHAnsi"/>
          <w:sz w:val="24"/>
          <w:szCs w:val="24"/>
        </w:rPr>
        <w:t>Singh et al., 2014</w:t>
      </w:r>
      <w:r w:rsidR="00181BCF">
        <w:rPr>
          <w:rFonts w:cstheme="minorHAnsi"/>
          <w:sz w:val="24"/>
          <w:szCs w:val="24"/>
        </w:rPr>
        <w:t xml:space="preserve">. </w:t>
      </w:r>
      <w:r w:rsidRPr="00D21F46">
        <w:rPr>
          <w:rFonts w:cstheme="minorHAnsi"/>
          <w:sz w:val="24"/>
          <w:szCs w:val="24"/>
        </w:rPr>
        <w:t>G. Singh, T. Kaur, R. Kaur, A. Kaur</w:t>
      </w:r>
      <w:r w:rsidR="00181BCF">
        <w:rPr>
          <w:rFonts w:cstheme="minorHAnsi"/>
          <w:sz w:val="24"/>
          <w:szCs w:val="24"/>
        </w:rPr>
        <w:t xml:space="preserve">. </w:t>
      </w:r>
      <w:r w:rsidRPr="00D21F46">
        <w:rPr>
          <w:rFonts w:cstheme="minorHAnsi"/>
          <w:b/>
          <w:bCs/>
          <w:sz w:val="24"/>
          <w:szCs w:val="24"/>
        </w:rPr>
        <w:t>Recent biomedical applications and patents on biodegradable polymer-PLGA</w:t>
      </w:r>
      <w:r w:rsidR="00181BCF">
        <w:rPr>
          <w:rFonts w:cstheme="minorHAnsi"/>
          <w:b/>
          <w:bCs/>
          <w:sz w:val="24"/>
          <w:szCs w:val="24"/>
        </w:rPr>
        <w:t xml:space="preserve">. </w:t>
      </w:r>
      <w:r w:rsidRPr="00D21F46">
        <w:rPr>
          <w:rFonts w:cstheme="minorHAnsi"/>
          <w:sz w:val="24"/>
          <w:szCs w:val="24"/>
        </w:rPr>
        <w:t>Int. J. Pharm. Pharm. Sci., 1 (2014), pp. 30-32</w:t>
      </w:r>
    </w:p>
    <w:p w14:paraId="3539B99B" w14:textId="5D7B5348"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Soundrapandian</w:t>
      </w:r>
      <w:proofErr w:type="spellEnd"/>
      <w:r w:rsidRPr="00C3166C">
        <w:rPr>
          <w:rFonts w:cstheme="minorHAnsi"/>
          <w:sz w:val="24"/>
          <w:szCs w:val="24"/>
        </w:rPr>
        <w:t xml:space="preserve"> et al., 2010</w:t>
      </w:r>
      <w:r w:rsidR="00181BCF">
        <w:rPr>
          <w:rFonts w:cstheme="minorHAnsi"/>
          <w:sz w:val="24"/>
          <w:szCs w:val="24"/>
        </w:rPr>
        <w:t xml:space="preserve">. </w:t>
      </w:r>
      <w:r w:rsidRPr="00D21F46">
        <w:rPr>
          <w:rFonts w:cstheme="minorHAnsi"/>
          <w:sz w:val="24"/>
          <w:szCs w:val="24"/>
        </w:rPr>
        <w:t xml:space="preserve">C. </w:t>
      </w:r>
      <w:proofErr w:type="spellStart"/>
      <w:r w:rsidRPr="00D21F46">
        <w:rPr>
          <w:rFonts w:cstheme="minorHAnsi"/>
          <w:sz w:val="24"/>
          <w:szCs w:val="24"/>
        </w:rPr>
        <w:t>Soundrapandian</w:t>
      </w:r>
      <w:proofErr w:type="spellEnd"/>
      <w:r w:rsidRPr="00D21F46">
        <w:rPr>
          <w:rFonts w:cstheme="minorHAnsi"/>
          <w:sz w:val="24"/>
          <w:szCs w:val="24"/>
        </w:rPr>
        <w:t xml:space="preserve">, S. Datta, B. Kundu, D. </w:t>
      </w:r>
      <w:proofErr w:type="spellStart"/>
      <w:r w:rsidRPr="00D21F46">
        <w:rPr>
          <w:rFonts w:cstheme="minorHAnsi"/>
          <w:sz w:val="24"/>
          <w:szCs w:val="24"/>
        </w:rPr>
        <w:t>Basu</w:t>
      </w:r>
      <w:proofErr w:type="spellEnd"/>
      <w:r w:rsidRPr="00D21F46">
        <w:rPr>
          <w:rFonts w:cstheme="minorHAnsi"/>
          <w:sz w:val="24"/>
          <w:szCs w:val="24"/>
        </w:rPr>
        <w:t>, B. Sa</w:t>
      </w:r>
      <w:r w:rsidR="00181BCF">
        <w:rPr>
          <w:rFonts w:cstheme="minorHAnsi"/>
          <w:sz w:val="24"/>
          <w:szCs w:val="24"/>
        </w:rPr>
        <w:t xml:space="preserve">. </w:t>
      </w:r>
      <w:r w:rsidRPr="00D21F46">
        <w:rPr>
          <w:rFonts w:cstheme="minorHAnsi"/>
          <w:b/>
          <w:bCs/>
          <w:sz w:val="24"/>
          <w:szCs w:val="24"/>
        </w:rPr>
        <w:t>Porous bioactive glass scaffolds for local drug delivery in osteomyelitis: development and in vitro characterization</w:t>
      </w:r>
      <w:r w:rsidR="00181BCF">
        <w:rPr>
          <w:rFonts w:cstheme="minorHAnsi"/>
          <w:b/>
          <w:bCs/>
          <w:sz w:val="24"/>
          <w:szCs w:val="24"/>
        </w:rPr>
        <w:t xml:space="preserve">. </w:t>
      </w:r>
      <w:r w:rsidRPr="00D21F46">
        <w:rPr>
          <w:rFonts w:cstheme="minorHAnsi"/>
          <w:sz w:val="24"/>
          <w:szCs w:val="24"/>
        </w:rPr>
        <w:t xml:space="preserve">AAPS </w:t>
      </w:r>
      <w:proofErr w:type="spellStart"/>
      <w:r w:rsidRPr="00D21F46">
        <w:rPr>
          <w:rFonts w:cstheme="minorHAnsi"/>
          <w:sz w:val="24"/>
          <w:szCs w:val="24"/>
        </w:rPr>
        <w:t>Pharmscitech</w:t>
      </w:r>
      <w:proofErr w:type="spellEnd"/>
      <w:r w:rsidRPr="00D21F46">
        <w:rPr>
          <w:rFonts w:cstheme="minorHAnsi"/>
          <w:sz w:val="24"/>
          <w:szCs w:val="24"/>
        </w:rPr>
        <w:t>, 11 (2010), pp. 1675-1683</w:t>
      </w:r>
    </w:p>
    <w:p w14:paraId="46C1026C" w14:textId="10EF5130" w:rsidR="00D21F46" w:rsidRPr="00D21F46" w:rsidRDefault="00D21F46" w:rsidP="008C5034">
      <w:pPr>
        <w:pStyle w:val="NoSpacing"/>
        <w:ind w:left="720" w:hanging="720"/>
        <w:rPr>
          <w:rFonts w:cstheme="minorHAnsi"/>
          <w:sz w:val="24"/>
          <w:szCs w:val="24"/>
        </w:rPr>
      </w:pPr>
      <w:r w:rsidRPr="00C3166C">
        <w:rPr>
          <w:rFonts w:cstheme="minorHAnsi"/>
          <w:sz w:val="24"/>
          <w:szCs w:val="24"/>
        </w:rPr>
        <w:t>Su et al., 2019</w:t>
      </w:r>
      <w:r w:rsidR="00181BCF">
        <w:rPr>
          <w:rFonts w:cstheme="minorHAnsi"/>
          <w:sz w:val="24"/>
          <w:szCs w:val="24"/>
        </w:rPr>
        <w:t xml:space="preserve">. </w:t>
      </w:r>
      <w:r w:rsidRPr="00D21F46">
        <w:rPr>
          <w:rFonts w:cstheme="minorHAnsi"/>
          <w:sz w:val="24"/>
          <w:szCs w:val="24"/>
        </w:rPr>
        <w:t xml:space="preserve">W. Su, Y. Hu, M. Zeng, M. Li, S. Lin, Y. Zhou, J. </w:t>
      </w:r>
      <w:proofErr w:type="spellStart"/>
      <w:r w:rsidRPr="00D21F46">
        <w:rPr>
          <w:rFonts w:cstheme="minorHAnsi"/>
          <w:sz w:val="24"/>
          <w:szCs w:val="24"/>
        </w:rPr>
        <w:t>Xie</w:t>
      </w:r>
      <w:proofErr w:type="spellEnd"/>
      <w:r w:rsidR="00181BCF">
        <w:rPr>
          <w:rFonts w:cstheme="minorHAnsi"/>
          <w:sz w:val="24"/>
          <w:szCs w:val="24"/>
        </w:rPr>
        <w:t xml:space="preserve">. </w:t>
      </w:r>
      <w:r w:rsidRPr="00D21F46">
        <w:rPr>
          <w:rFonts w:cstheme="minorHAnsi"/>
          <w:b/>
          <w:bCs/>
          <w:sz w:val="24"/>
          <w:szCs w:val="24"/>
        </w:rPr>
        <w:t>Design and evaluation of nano-hydroxyapatite/poly (vinyl alcohol) hydrogels coated with poly (lactic-co-glycolic acid)/nano-hydroxyapatite/poly (vinyl alcohol) scaffolds for cartilage repair</w:t>
      </w:r>
      <w:r w:rsidR="00181BCF">
        <w:rPr>
          <w:rFonts w:cstheme="minorHAnsi"/>
          <w:b/>
          <w:bCs/>
          <w:sz w:val="24"/>
          <w:szCs w:val="24"/>
        </w:rPr>
        <w:t xml:space="preserve">. </w:t>
      </w:r>
      <w:r w:rsidRPr="00D21F46">
        <w:rPr>
          <w:rFonts w:cstheme="minorHAnsi"/>
          <w:sz w:val="24"/>
          <w:szCs w:val="24"/>
        </w:rPr>
        <w:t xml:space="preserve">J. </w:t>
      </w:r>
      <w:proofErr w:type="spellStart"/>
      <w:r w:rsidRPr="00D21F46">
        <w:rPr>
          <w:rFonts w:cstheme="minorHAnsi"/>
          <w:sz w:val="24"/>
          <w:szCs w:val="24"/>
        </w:rPr>
        <w:t>Orthopaedic</w:t>
      </w:r>
      <w:proofErr w:type="spellEnd"/>
      <w:r w:rsidRPr="00D21F46">
        <w:rPr>
          <w:rFonts w:cstheme="minorHAnsi"/>
          <w:sz w:val="24"/>
          <w:szCs w:val="24"/>
        </w:rPr>
        <w:t xml:space="preserve"> Surg. Res., 14 (2019), p. 446</w:t>
      </w:r>
    </w:p>
    <w:p w14:paraId="42D52DB1" w14:textId="44843B01" w:rsidR="00D21F46" w:rsidRPr="00D21F46" w:rsidRDefault="00D21F46" w:rsidP="008C5034">
      <w:pPr>
        <w:pStyle w:val="NoSpacing"/>
        <w:ind w:left="720" w:hanging="720"/>
        <w:rPr>
          <w:rFonts w:cstheme="minorHAnsi"/>
          <w:sz w:val="24"/>
          <w:szCs w:val="24"/>
        </w:rPr>
      </w:pPr>
      <w:r w:rsidRPr="00C3166C">
        <w:rPr>
          <w:rFonts w:cstheme="minorHAnsi"/>
          <w:sz w:val="24"/>
          <w:szCs w:val="24"/>
        </w:rPr>
        <w:t>Thomas, 1996</w:t>
      </w:r>
      <w:r w:rsidR="00181BCF">
        <w:rPr>
          <w:rFonts w:cstheme="minorHAnsi"/>
          <w:sz w:val="24"/>
          <w:szCs w:val="24"/>
        </w:rPr>
        <w:t xml:space="preserve">. </w:t>
      </w:r>
      <w:r w:rsidRPr="00D21F46">
        <w:rPr>
          <w:rFonts w:cstheme="minorHAnsi"/>
          <w:sz w:val="24"/>
          <w:szCs w:val="24"/>
        </w:rPr>
        <w:t>M.J.K. Thomas</w:t>
      </w:r>
      <w:r w:rsidR="00181BCF">
        <w:rPr>
          <w:rFonts w:cstheme="minorHAnsi"/>
          <w:sz w:val="24"/>
          <w:szCs w:val="24"/>
        </w:rPr>
        <w:t xml:space="preserve">. </w:t>
      </w:r>
      <w:r w:rsidRPr="00D21F46">
        <w:rPr>
          <w:rFonts w:cstheme="minorHAnsi"/>
          <w:b/>
          <w:bCs/>
          <w:sz w:val="24"/>
          <w:szCs w:val="24"/>
        </w:rPr>
        <w:t>Ultraviolet &amp; Visible Spectroscopy</w:t>
      </w:r>
      <w:r w:rsidR="00181BCF">
        <w:rPr>
          <w:rFonts w:cstheme="minorHAnsi"/>
          <w:b/>
          <w:bCs/>
          <w:sz w:val="24"/>
          <w:szCs w:val="24"/>
        </w:rPr>
        <w:t xml:space="preserve">. </w:t>
      </w:r>
      <w:r w:rsidRPr="00D21F46">
        <w:rPr>
          <w:rFonts w:cstheme="minorHAnsi"/>
          <w:sz w:val="24"/>
          <w:szCs w:val="24"/>
        </w:rPr>
        <w:t>John Wiley &amp; Sons (1996)</w:t>
      </w:r>
    </w:p>
    <w:p w14:paraId="3DA3F156" w14:textId="47A5FBAC" w:rsidR="00D21F46" w:rsidRPr="00D21F46" w:rsidRDefault="00D21F46" w:rsidP="008C5034">
      <w:pPr>
        <w:pStyle w:val="NoSpacing"/>
        <w:ind w:left="720" w:hanging="720"/>
        <w:rPr>
          <w:rFonts w:cstheme="minorHAnsi"/>
          <w:sz w:val="24"/>
          <w:szCs w:val="24"/>
        </w:rPr>
      </w:pPr>
      <w:r w:rsidRPr="00C3166C">
        <w:rPr>
          <w:rFonts w:cstheme="minorHAnsi"/>
          <w:sz w:val="24"/>
          <w:szCs w:val="24"/>
        </w:rPr>
        <w:t>Wang et al., 2019</w:t>
      </w:r>
      <w:r w:rsidR="00181BCF">
        <w:rPr>
          <w:rFonts w:cstheme="minorHAnsi"/>
          <w:sz w:val="24"/>
          <w:szCs w:val="24"/>
        </w:rPr>
        <w:t xml:space="preserve">. </w:t>
      </w:r>
      <w:r w:rsidRPr="00D21F46">
        <w:rPr>
          <w:rFonts w:cstheme="minorHAnsi"/>
          <w:sz w:val="24"/>
          <w:szCs w:val="24"/>
        </w:rPr>
        <w:t xml:space="preserve">J. Wang, L. </w:t>
      </w:r>
      <w:proofErr w:type="spellStart"/>
      <w:r w:rsidRPr="00D21F46">
        <w:rPr>
          <w:rFonts w:cstheme="minorHAnsi"/>
          <w:sz w:val="24"/>
          <w:szCs w:val="24"/>
        </w:rPr>
        <w:t>Helder</w:t>
      </w:r>
      <w:proofErr w:type="spellEnd"/>
      <w:r w:rsidRPr="00D21F46">
        <w:rPr>
          <w:rFonts w:cstheme="minorHAnsi"/>
          <w:sz w:val="24"/>
          <w:szCs w:val="24"/>
        </w:rPr>
        <w:t>, J. Shao, J.A. Jansen, M. Yang, F. Yang</w:t>
      </w:r>
      <w:r w:rsidR="00181BCF">
        <w:rPr>
          <w:rFonts w:cstheme="minorHAnsi"/>
          <w:sz w:val="24"/>
          <w:szCs w:val="24"/>
        </w:rPr>
        <w:t xml:space="preserve">. </w:t>
      </w:r>
      <w:r w:rsidRPr="00D21F46">
        <w:rPr>
          <w:rFonts w:cstheme="minorHAnsi"/>
          <w:b/>
          <w:bCs/>
          <w:sz w:val="24"/>
          <w:szCs w:val="24"/>
        </w:rPr>
        <w:t xml:space="preserve">Encapsulation and release of doxycycline from </w:t>
      </w:r>
      <w:proofErr w:type="gramStart"/>
      <w:r w:rsidRPr="00D21F46">
        <w:rPr>
          <w:rFonts w:cstheme="minorHAnsi"/>
          <w:b/>
          <w:bCs/>
          <w:sz w:val="24"/>
          <w:szCs w:val="24"/>
        </w:rPr>
        <w:t>electrospray-generated</w:t>
      </w:r>
      <w:proofErr w:type="gramEnd"/>
      <w:r w:rsidRPr="00D21F46">
        <w:rPr>
          <w:rFonts w:cstheme="minorHAnsi"/>
          <w:b/>
          <w:bCs/>
          <w:sz w:val="24"/>
          <w:szCs w:val="24"/>
        </w:rPr>
        <w:t xml:space="preserve"> PLGA microspheres: effect of polymer end groups</w:t>
      </w:r>
      <w:r w:rsidR="00181BCF">
        <w:rPr>
          <w:rFonts w:cstheme="minorHAnsi"/>
          <w:b/>
          <w:bCs/>
          <w:sz w:val="24"/>
          <w:szCs w:val="24"/>
        </w:rPr>
        <w:t xml:space="preserve">. </w:t>
      </w:r>
      <w:r w:rsidRPr="00D21F46">
        <w:rPr>
          <w:rFonts w:cstheme="minorHAnsi"/>
          <w:sz w:val="24"/>
          <w:szCs w:val="24"/>
        </w:rPr>
        <w:t>Int. J. Pharm., 564 (2019), pp. 1-9</w:t>
      </w:r>
    </w:p>
    <w:p w14:paraId="4CD7C649" w14:textId="6B6FF77A" w:rsidR="00D21F46" w:rsidRPr="00D21F46" w:rsidRDefault="00D21F46" w:rsidP="008C5034">
      <w:pPr>
        <w:pStyle w:val="NoSpacing"/>
        <w:ind w:left="720" w:hanging="720"/>
        <w:rPr>
          <w:rFonts w:cstheme="minorHAnsi"/>
          <w:sz w:val="24"/>
          <w:szCs w:val="24"/>
        </w:rPr>
      </w:pPr>
      <w:r w:rsidRPr="00C3166C">
        <w:rPr>
          <w:rFonts w:cstheme="minorHAnsi"/>
          <w:sz w:val="24"/>
          <w:szCs w:val="24"/>
        </w:rPr>
        <w:t>Weiner and Wagner, 1998</w:t>
      </w:r>
      <w:r w:rsidR="00181BCF">
        <w:rPr>
          <w:rFonts w:cstheme="minorHAnsi"/>
          <w:sz w:val="24"/>
          <w:szCs w:val="24"/>
        </w:rPr>
        <w:t xml:space="preserve">. </w:t>
      </w:r>
      <w:r w:rsidRPr="00D21F46">
        <w:rPr>
          <w:rFonts w:cstheme="minorHAnsi"/>
          <w:sz w:val="24"/>
          <w:szCs w:val="24"/>
        </w:rPr>
        <w:t>S. Weiner, H.D. Wagner</w:t>
      </w:r>
      <w:r w:rsidR="00181BCF">
        <w:rPr>
          <w:rFonts w:cstheme="minorHAnsi"/>
          <w:sz w:val="24"/>
          <w:szCs w:val="24"/>
        </w:rPr>
        <w:t xml:space="preserve">. </w:t>
      </w:r>
      <w:r w:rsidRPr="00D21F46">
        <w:rPr>
          <w:rFonts w:cstheme="minorHAnsi"/>
          <w:b/>
          <w:bCs/>
          <w:sz w:val="24"/>
          <w:szCs w:val="24"/>
        </w:rPr>
        <w:t>The material bone: structure-mechanical function relations</w:t>
      </w:r>
      <w:r w:rsidR="00181BCF">
        <w:rPr>
          <w:rFonts w:cstheme="minorHAnsi"/>
          <w:b/>
          <w:bCs/>
          <w:sz w:val="24"/>
          <w:szCs w:val="24"/>
        </w:rPr>
        <w:t xml:space="preserve">. </w:t>
      </w:r>
      <w:proofErr w:type="spellStart"/>
      <w:r w:rsidRPr="00D21F46">
        <w:rPr>
          <w:rFonts w:cstheme="minorHAnsi"/>
          <w:sz w:val="24"/>
          <w:szCs w:val="24"/>
        </w:rPr>
        <w:t>Annu</w:t>
      </w:r>
      <w:proofErr w:type="spellEnd"/>
      <w:r w:rsidRPr="00D21F46">
        <w:rPr>
          <w:rFonts w:cstheme="minorHAnsi"/>
          <w:sz w:val="24"/>
          <w:szCs w:val="24"/>
        </w:rPr>
        <w:t>. Rev. Mater. Sci., 28 (1998), pp. 271-298</w:t>
      </w:r>
    </w:p>
    <w:p w14:paraId="1216953F" w14:textId="7BD85B6D" w:rsidR="00D21F46" w:rsidRPr="00D21F46" w:rsidRDefault="00D21F46" w:rsidP="008C5034">
      <w:pPr>
        <w:pStyle w:val="NoSpacing"/>
        <w:ind w:left="720" w:hanging="720"/>
        <w:rPr>
          <w:rFonts w:cstheme="minorHAnsi"/>
          <w:sz w:val="24"/>
          <w:szCs w:val="24"/>
        </w:rPr>
      </w:pPr>
      <w:r w:rsidRPr="00C3166C">
        <w:rPr>
          <w:rFonts w:cstheme="minorHAnsi"/>
          <w:sz w:val="24"/>
          <w:szCs w:val="24"/>
        </w:rPr>
        <w:t>Wu and Chang, 2007a</w:t>
      </w:r>
      <w:r w:rsidR="00181BCF">
        <w:rPr>
          <w:rFonts w:cstheme="minorHAnsi"/>
          <w:sz w:val="24"/>
          <w:szCs w:val="24"/>
        </w:rPr>
        <w:t xml:space="preserve">. </w:t>
      </w:r>
      <w:r w:rsidRPr="00D21F46">
        <w:rPr>
          <w:rFonts w:cstheme="minorHAnsi"/>
          <w:sz w:val="24"/>
          <w:szCs w:val="24"/>
        </w:rPr>
        <w:t>C. Wu, J. Chang</w:t>
      </w:r>
      <w:r w:rsidR="00181BCF">
        <w:rPr>
          <w:rFonts w:cstheme="minorHAnsi"/>
          <w:sz w:val="24"/>
          <w:szCs w:val="24"/>
        </w:rPr>
        <w:t xml:space="preserve">. </w:t>
      </w:r>
      <w:r w:rsidRPr="00D21F46">
        <w:rPr>
          <w:rFonts w:cstheme="minorHAnsi"/>
          <w:b/>
          <w:bCs/>
          <w:sz w:val="24"/>
          <w:szCs w:val="24"/>
        </w:rPr>
        <w:t xml:space="preserve">Degradation, bioactivity, and cytocompatibility of diopside, </w:t>
      </w:r>
      <w:proofErr w:type="spellStart"/>
      <w:r w:rsidRPr="00D21F46">
        <w:rPr>
          <w:rFonts w:cstheme="minorHAnsi"/>
          <w:b/>
          <w:bCs/>
          <w:sz w:val="24"/>
          <w:szCs w:val="24"/>
        </w:rPr>
        <w:t>akermanite</w:t>
      </w:r>
      <w:proofErr w:type="spellEnd"/>
      <w:r w:rsidRPr="00D21F46">
        <w:rPr>
          <w:rFonts w:cstheme="minorHAnsi"/>
          <w:b/>
          <w:bCs/>
          <w:sz w:val="24"/>
          <w:szCs w:val="24"/>
        </w:rPr>
        <w:t>, and bredigite ceramics</w:t>
      </w:r>
      <w:r w:rsidR="00181BCF">
        <w:rPr>
          <w:rFonts w:cstheme="minorHAnsi"/>
          <w:b/>
          <w:bCs/>
          <w:sz w:val="24"/>
          <w:szCs w:val="24"/>
        </w:rPr>
        <w:t xml:space="preserve">. </w:t>
      </w:r>
      <w:r w:rsidRPr="00D21F46">
        <w:rPr>
          <w:rFonts w:cstheme="minorHAnsi"/>
          <w:sz w:val="24"/>
          <w:szCs w:val="24"/>
        </w:rPr>
        <w:t xml:space="preserve">J. Biomed. Mater. Res. B Appl. </w:t>
      </w:r>
      <w:proofErr w:type="spellStart"/>
      <w:r w:rsidRPr="00D21F46">
        <w:rPr>
          <w:rFonts w:cstheme="minorHAnsi"/>
          <w:sz w:val="24"/>
          <w:szCs w:val="24"/>
        </w:rPr>
        <w:t>Biomater</w:t>
      </w:r>
      <w:proofErr w:type="spellEnd"/>
      <w:r w:rsidRPr="00D21F46">
        <w:rPr>
          <w:rFonts w:cstheme="minorHAnsi"/>
          <w:sz w:val="24"/>
          <w:szCs w:val="24"/>
        </w:rPr>
        <w:t>., 83 (2007), pp. 153-160</w:t>
      </w:r>
    </w:p>
    <w:p w14:paraId="7D05D444" w14:textId="0D248227" w:rsidR="00D21F46" w:rsidRPr="00D21F46" w:rsidRDefault="00D21F46" w:rsidP="008C5034">
      <w:pPr>
        <w:pStyle w:val="NoSpacing"/>
        <w:ind w:left="720" w:hanging="720"/>
        <w:rPr>
          <w:rFonts w:cstheme="minorHAnsi"/>
          <w:sz w:val="24"/>
          <w:szCs w:val="24"/>
        </w:rPr>
      </w:pPr>
      <w:r w:rsidRPr="00C3166C">
        <w:rPr>
          <w:rFonts w:cstheme="minorHAnsi"/>
          <w:sz w:val="24"/>
          <w:szCs w:val="24"/>
        </w:rPr>
        <w:t>Wu and Chang, 2007b</w:t>
      </w:r>
      <w:r w:rsidR="00181BCF">
        <w:rPr>
          <w:rFonts w:cstheme="minorHAnsi"/>
          <w:sz w:val="24"/>
          <w:szCs w:val="24"/>
        </w:rPr>
        <w:t xml:space="preserve">. </w:t>
      </w:r>
      <w:r w:rsidRPr="00D21F46">
        <w:rPr>
          <w:rFonts w:cstheme="minorHAnsi"/>
          <w:sz w:val="24"/>
          <w:szCs w:val="24"/>
        </w:rPr>
        <w:t>C. Wu, J. Chang</w:t>
      </w:r>
      <w:r w:rsidR="00181BCF">
        <w:rPr>
          <w:rFonts w:cstheme="minorHAnsi"/>
          <w:sz w:val="24"/>
          <w:szCs w:val="24"/>
        </w:rPr>
        <w:t xml:space="preserve">. </w:t>
      </w:r>
      <w:r w:rsidRPr="00D21F46">
        <w:rPr>
          <w:rFonts w:cstheme="minorHAnsi"/>
          <w:b/>
          <w:bCs/>
          <w:sz w:val="24"/>
          <w:szCs w:val="24"/>
        </w:rPr>
        <w:t>Synthesis and in vitro bioactivity of bredigite powders</w:t>
      </w:r>
      <w:r w:rsidR="00181BCF">
        <w:rPr>
          <w:rFonts w:cstheme="minorHAnsi"/>
          <w:b/>
          <w:bCs/>
          <w:sz w:val="24"/>
          <w:szCs w:val="24"/>
        </w:rPr>
        <w:t xml:space="preserve">. </w:t>
      </w:r>
      <w:r w:rsidRPr="00D21F46">
        <w:rPr>
          <w:rFonts w:cstheme="minorHAnsi"/>
          <w:sz w:val="24"/>
          <w:szCs w:val="24"/>
        </w:rPr>
        <w:t xml:space="preserve">J. </w:t>
      </w:r>
      <w:proofErr w:type="spellStart"/>
      <w:r w:rsidRPr="00D21F46">
        <w:rPr>
          <w:rFonts w:cstheme="minorHAnsi"/>
          <w:sz w:val="24"/>
          <w:szCs w:val="24"/>
        </w:rPr>
        <w:t>Biomater</w:t>
      </w:r>
      <w:proofErr w:type="spellEnd"/>
      <w:r w:rsidRPr="00D21F46">
        <w:rPr>
          <w:rFonts w:cstheme="minorHAnsi"/>
          <w:sz w:val="24"/>
          <w:szCs w:val="24"/>
        </w:rPr>
        <w:t>. Appl., 21 (2007), pp. 251-263</w:t>
      </w:r>
    </w:p>
    <w:p w14:paraId="2C4BB3B6" w14:textId="52217E42" w:rsidR="00D21F46" w:rsidRPr="00D21F46" w:rsidRDefault="00D21F46" w:rsidP="008C5034">
      <w:pPr>
        <w:pStyle w:val="NoSpacing"/>
        <w:ind w:left="720" w:hanging="720"/>
        <w:rPr>
          <w:rFonts w:cstheme="minorHAnsi"/>
          <w:sz w:val="24"/>
          <w:szCs w:val="24"/>
        </w:rPr>
      </w:pPr>
      <w:r w:rsidRPr="00C3166C">
        <w:rPr>
          <w:rFonts w:cstheme="minorHAnsi"/>
          <w:sz w:val="24"/>
          <w:szCs w:val="24"/>
        </w:rPr>
        <w:t>Wu et al., 2007</w:t>
      </w:r>
      <w:r w:rsidR="00181BCF">
        <w:rPr>
          <w:rFonts w:cstheme="minorHAnsi"/>
          <w:sz w:val="24"/>
          <w:szCs w:val="24"/>
        </w:rPr>
        <w:t xml:space="preserve">. </w:t>
      </w:r>
      <w:r w:rsidRPr="00D21F46">
        <w:rPr>
          <w:rFonts w:cstheme="minorHAnsi"/>
          <w:sz w:val="24"/>
          <w:szCs w:val="24"/>
        </w:rPr>
        <w:t xml:space="preserve">C. Wu, J. Chang, W. </w:t>
      </w:r>
      <w:proofErr w:type="spellStart"/>
      <w:r w:rsidRPr="00D21F46">
        <w:rPr>
          <w:rFonts w:cstheme="minorHAnsi"/>
          <w:sz w:val="24"/>
          <w:szCs w:val="24"/>
        </w:rPr>
        <w:t>Zhai</w:t>
      </w:r>
      <w:proofErr w:type="spellEnd"/>
      <w:r w:rsidRPr="00D21F46">
        <w:rPr>
          <w:rFonts w:cstheme="minorHAnsi"/>
          <w:sz w:val="24"/>
          <w:szCs w:val="24"/>
        </w:rPr>
        <w:t>, S. Ni</w:t>
      </w:r>
      <w:r w:rsidR="00181BCF">
        <w:rPr>
          <w:rFonts w:cstheme="minorHAnsi"/>
          <w:sz w:val="24"/>
          <w:szCs w:val="24"/>
        </w:rPr>
        <w:t xml:space="preserve">. </w:t>
      </w:r>
      <w:r w:rsidRPr="00D21F46">
        <w:rPr>
          <w:rFonts w:cstheme="minorHAnsi"/>
          <w:b/>
          <w:bCs/>
          <w:sz w:val="24"/>
          <w:szCs w:val="24"/>
        </w:rPr>
        <w:t xml:space="preserve">A novel bioactive porous bredigite (Ca 7 </w:t>
      </w:r>
      <w:proofErr w:type="spellStart"/>
      <w:r w:rsidRPr="00D21F46">
        <w:rPr>
          <w:rFonts w:cstheme="minorHAnsi"/>
          <w:b/>
          <w:bCs/>
          <w:sz w:val="24"/>
          <w:szCs w:val="24"/>
        </w:rPr>
        <w:t>MgSi</w:t>
      </w:r>
      <w:proofErr w:type="spellEnd"/>
      <w:r w:rsidRPr="00D21F46">
        <w:rPr>
          <w:rFonts w:cstheme="minorHAnsi"/>
          <w:b/>
          <w:bCs/>
          <w:sz w:val="24"/>
          <w:szCs w:val="24"/>
        </w:rPr>
        <w:t xml:space="preserve"> 4 O 16) scaffold with biomimetic apatite layer for bone tissue engineering</w:t>
      </w:r>
      <w:r w:rsidR="00181BCF">
        <w:rPr>
          <w:rFonts w:cstheme="minorHAnsi"/>
          <w:b/>
          <w:bCs/>
          <w:sz w:val="24"/>
          <w:szCs w:val="24"/>
        </w:rPr>
        <w:t xml:space="preserve">. </w:t>
      </w:r>
      <w:r w:rsidRPr="00D21F46">
        <w:rPr>
          <w:rFonts w:cstheme="minorHAnsi"/>
          <w:sz w:val="24"/>
          <w:szCs w:val="24"/>
        </w:rPr>
        <w:t>J. Mater. Sci. - Mater. Med., 18 (2007), pp. 857-864</w:t>
      </w:r>
    </w:p>
    <w:p w14:paraId="7742AF21" w14:textId="75D2DEBA" w:rsidR="00D21F46" w:rsidRPr="00D21F46" w:rsidRDefault="00D21F46" w:rsidP="008C5034">
      <w:pPr>
        <w:pStyle w:val="NoSpacing"/>
        <w:ind w:left="720" w:hanging="720"/>
        <w:rPr>
          <w:rFonts w:cstheme="minorHAnsi"/>
          <w:sz w:val="24"/>
          <w:szCs w:val="24"/>
        </w:rPr>
      </w:pPr>
      <w:r w:rsidRPr="00C3166C">
        <w:rPr>
          <w:rFonts w:cstheme="minorHAnsi"/>
          <w:sz w:val="24"/>
          <w:szCs w:val="24"/>
        </w:rPr>
        <w:t>Wu et al., 2006</w:t>
      </w:r>
      <w:r w:rsidR="00181BCF">
        <w:rPr>
          <w:rFonts w:cstheme="minorHAnsi"/>
          <w:sz w:val="24"/>
          <w:szCs w:val="24"/>
        </w:rPr>
        <w:t xml:space="preserve">. </w:t>
      </w:r>
      <w:r w:rsidRPr="00D21F46">
        <w:rPr>
          <w:rFonts w:cstheme="minorHAnsi"/>
          <w:sz w:val="24"/>
          <w:szCs w:val="24"/>
        </w:rPr>
        <w:t xml:space="preserve">C. Wu, J. Chang, W. </w:t>
      </w:r>
      <w:proofErr w:type="spellStart"/>
      <w:r w:rsidRPr="00D21F46">
        <w:rPr>
          <w:rFonts w:cstheme="minorHAnsi"/>
          <w:sz w:val="24"/>
          <w:szCs w:val="24"/>
        </w:rPr>
        <w:t>Zhai</w:t>
      </w:r>
      <w:proofErr w:type="spellEnd"/>
      <w:r w:rsidRPr="00D21F46">
        <w:rPr>
          <w:rFonts w:cstheme="minorHAnsi"/>
          <w:sz w:val="24"/>
          <w:szCs w:val="24"/>
        </w:rPr>
        <w:t>, S. Ni, J. Wang</w:t>
      </w:r>
      <w:r w:rsidR="00181BCF">
        <w:rPr>
          <w:rFonts w:cstheme="minorHAnsi"/>
          <w:sz w:val="24"/>
          <w:szCs w:val="24"/>
        </w:rPr>
        <w:t xml:space="preserve">. </w:t>
      </w:r>
      <w:r w:rsidRPr="00D21F46">
        <w:rPr>
          <w:rFonts w:cstheme="minorHAnsi"/>
          <w:b/>
          <w:bCs/>
          <w:sz w:val="24"/>
          <w:szCs w:val="24"/>
        </w:rPr>
        <w:t xml:space="preserve">Porous </w:t>
      </w:r>
      <w:proofErr w:type="spellStart"/>
      <w:r w:rsidRPr="00D21F46">
        <w:rPr>
          <w:rFonts w:cstheme="minorHAnsi"/>
          <w:b/>
          <w:bCs/>
          <w:sz w:val="24"/>
          <w:szCs w:val="24"/>
        </w:rPr>
        <w:t>akermanite</w:t>
      </w:r>
      <w:proofErr w:type="spellEnd"/>
      <w:r w:rsidRPr="00D21F46">
        <w:rPr>
          <w:rFonts w:cstheme="minorHAnsi"/>
          <w:b/>
          <w:bCs/>
          <w:sz w:val="24"/>
          <w:szCs w:val="24"/>
        </w:rPr>
        <w:t xml:space="preserve"> scaffolds for bone tissue engineering: preparation, characterization, and in vitro studies</w:t>
      </w:r>
      <w:r w:rsidR="00181BCF">
        <w:rPr>
          <w:rFonts w:cstheme="minorHAnsi"/>
          <w:b/>
          <w:bCs/>
          <w:sz w:val="24"/>
          <w:szCs w:val="24"/>
        </w:rPr>
        <w:t xml:space="preserve">. </w:t>
      </w:r>
      <w:r w:rsidRPr="00D21F46">
        <w:rPr>
          <w:rFonts w:cstheme="minorHAnsi"/>
          <w:sz w:val="24"/>
          <w:szCs w:val="24"/>
        </w:rPr>
        <w:t xml:space="preserve">J. Biomed. Mater. Res. Part B: Appl. </w:t>
      </w:r>
      <w:proofErr w:type="spellStart"/>
      <w:r w:rsidRPr="00D21F46">
        <w:rPr>
          <w:rFonts w:cstheme="minorHAnsi"/>
          <w:sz w:val="24"/>
          <w:szCs w:val="24"/>
        </w:rPr>
        <w:t>Biomater</w:t>
      </w:r>
      <w:proofErr w:type="spellEnd"/>
      <w:r w:rsidRPr="00D21F46">
        <w:rPr>
          <w:rFonts w:cstheme="minorHAnsi"/>
          <w:sz w:val="24"/>
          <w:szCs w:val="24"/>
        </w:rPr>
        <w:t xml:space="preserve">.: Off. J. </w:t>
      </w:r>
      <w:proofErr w:type="spellStart"/>
      <w:r w:rsidRPr="00D21F46">
        <w:rPr>
          <w:rFonts w:cstheme="minorHAnsi"/>
          <w:sz w:val="24"/>
          <w:szCs w:val="24"/>
        </w:rPr>
        <w:t>Soci</w:t>
      </w:r>
      <w:proofErr w:type="spellEnd"/>
      <w:r w:rsidRPr="00D21F46">
        <w:rPr>
          <w:rFonts w:cstheme="minorHAnsi"/>
          <w:sz w:val="24"/>
          <w:szCs w:val="24"/>
        </w:rPr>
        <w:t xml:space="preserve">. </w:t>
      </w:r>
      <w:proofErr w:type="spellStart"/>
      <w:r w:rsidRPr="00D21F46">
        <w:rPr>
          <w:rFonts w:cstheme="minorHAnsi"/>
          <w:sz w:val="24"/>
          <w:szCs w:val="24"/>
        </w:rPr>
        <w:t>Biomater</w:t>
      </w:r>
      <w:proofErr w:type="spellEnd"/>
      <w:r w:rsidRPr="00D21F46">
        <w:rPr>
          <w:rFonts w:cstheme="minorHAnsi"/>
          <w:sz w:val="24"/>
          <w:szCs w:val="24"/>
        </w:rPr>
        <w:t xml:space="preserve">., Japanese Soc. </w:t>
      </w:r>
      <w:proofErr w:type="spellStart"/>
      <w:r w:rsidRPr="00D21F46">
        <w:rPr>
          <w:rFonts w:cstheme="minorHAnsi"/>
          <w:sz w:val="24"/>
          <w:szCs w:val="24"/>
        </w:rPr>
        <w:t>Biomater</w:t>
      </w:r>
      <w:proofErr w:type="spellEnd"/>
      <w:r w:rsidRPr="00D21F46">
        <w:rPr>
          <w:rFonts w:cstheme="minorHAnsi"/>
          <w:sz w:val="24"/>
          <w:szCs w:val="24"/>
        </w:rPr>
        <w:t xml:space="preserve">., Australian Soc. </w:t>
      </w:r>
      <w:proofErr w:type="spellStart"/>
      <w:r w:rsidRPr="00D21F46">
        <w:rPr>
          <w:rFonts w:cstheme="minorHAnsi"/>
          <w:sz w:val="24"/>
          <w:szCs w:val="24"/>
        </w:rPr>
        <w:t>Biomater</w:t>
      </w:r>
      <w:proofErr w:type="spellEnd"/>
      <w:r w:rsidRPr="00D21F46">
        <w:rPr>
          <w:rFonts w:cstheme="minorHAnsi"/>
          <w:sz w:val="24"/>
          <w:szCs w:val="24"/>
        </w:rPr>
        <w:t xml:space="preserve">. Korean Soc. </w:t>
      </w:r>
      <w:proofErr w:type="spellStart"/>
      <w:r w:rsidRPr="00D21F46">
        <w:rPr>
          <w:rFonts w:cstheme="minorHAnsi"/>
          <w:sz w:val="24"/>
          <w:szCs w:val="24"/>
        </w:rPr>
        <w:t>Biomater</w:t>
      </w:r>
      <w:proofErr w:type="spellEnd"/>
      <w:r w:rsidRPr="00D21F46">
        <w:rPr>
          <w:rFonts w:cstheme="minorHAnsi"/>
          <w:sz w:val="24"/>
          <w:szCs w:val="24"/>
        </w:rPr>
        <w:t>., 78 (2006), pp. 47-55</w:t>
      </w:r>
    </w:p>
    <w:p w14:paraId="7281EAE9" w14:textId="1EECA15A" w:rsidR="00D21F46" w:rsidRPr="00D21F46" w:rsidRDefault="00D21F46" w:rsidP="008C5034">
      <w:pPr>
        <w:pStyle w:val="NoSpacing"/>
        <w:ind w:left="720" w:hanging="720"/>
        <w:rPr>
          <w:rFonts w:cstheme="minorHAnsi"/>
          <w:sz w:val="24"/>
          <w:szCs w:val="24"/>
        </w:rPr>
      </w:pPr>
      <w:r w:rsidRPr="00C3166C">
        <w:rPr>
          <w:rFonts w:cstheme="minorHAnsi"/>
          <w:sz w:val="24"/>
          <w:szCs w:val="24"/>
        </w:rPr>
        <w:t>Wu et al., 2011</w:t>
      </w:r>
      <w:r w:rsidR="00181BCF">
        <w:rPr>
          <w:rFonts w:cstheme="minorHAnsi"/>
          <w:sz w:val="24"/>
          <w:szCs w:val="24"/>
        </w:rPr>
        <w:t xml:space="preserve">. </w:t>
      </w:r>
      <w:r w:rsidRPr="00D21F46">
        <w:rPr>
          <w:rFonts w:cstheme="minorHAnsi"/>
          <w:sz w:val="24"/>
          <w:szCs w:val="24"/>
        </w:rPr>
        <w:t xml:space="preserve">C. Wu, Y. Luo, G. </w:t>
      </w:r>
      <w:proofErr w:type="spellStart"/>
      <w:r w:rsidRPr="00D21F46">
        <w:rPr>
          <w:rFonts w:cstheme="minorHAnsi"/>
          <w:sz w:val="24"/>
          <w:szCs w:val="24"/>
        </w:rPr>
        <w:t>Cuniberti</w:t>
      </w:r>
      <w:proofErr w:type="spellEnd"/>
      <w:r w:rsidRPr="00D21F46">
        <w:rPr>
          <w:rFonts w:cstheme="minorHAnsi"/>
          <w:sz w:val="24"/>
          <w:szCs w:val="24"/>
        </w:rPr>
        <w:t xml:space="preserve">, Y. Xiao, M. </w:t>
      </w:r>
      <w:proofErr w:type="spellStart"/>
      <w:r w:rsidRPr="00D21F46">
        <w:rPr>
          <w:rFonts w:cstheme="minorHAnsi"/>
          <w:sz w:val="24"/>
          <w:szCs w:val="24"/>
        </w:rPr>
        <w:t>Gelinsky</w:t>
      </w:r>
      <w:proofErr w:type="spellEnd"/>
      <w:r w:rsidR="00181BCF">
        <w:rPr>
          <w:rFonts w:cstheme="minorHAnsi"/>
          <w:sz w:val="24"/>
          <w:szCs w:val="24"/>
        </w:rPr>
        <w:t xml:space="preserve">. </w:t>
      </w:r>
      <w:r w:rsidRPr="00D21F46">
        <w:rPr>
          <w:rFonts w:cstheme="minorHAnsi"/>
          <w:b/>
          <w:bCs/>
          <w:sz w:val="24"/>
          <w:szCs w:val="24"/>
        </w:rPr>
        <w:t xml:space="preserve">Three-dimensional printing of hierarchical and tough mesoporous bioactive glass scaffolds with a controllable pore architecture, excellent mechanical </w:t>
      </w:r>
      <w:proofErr w:type="gramStart"/>
      <w:r w:rsidRPr="00D21F46">
        <w:rPr>
          <w:rFonts w:cstheme="minorHAnsi"/>
          <w:b/>
          <w:bCs/>
          <w:sz w:val="24"/>
          <w:szCs w:val="24"/>
        </w:rPr>
        <w:t>strength</w:t>
      </w:r>
      <w:proofErr w:type="gramEnd"/>
      <w:r w:rsidRPr="00D21F46">
        <w:rPr>
          <w:rFonts w:cstheme="minorHAnsi"/>
          <w:b/>
          <w:bCs/>
          <w:sz w:val="24"/>
          <w:szCs w:val="24"/>
        </w:rPr>
        <w:t xml:space="preserve"> and mineralization ability</w:t>
      </w:r>
      <w:r w:rsidR="00181BCF">
        <w:rPr>
          <w:rFonts w:cstheme="minorHAnsi"/>
          <w:b/>
          <w:bCs/>
          <w:sz w:val="24"/>
          <w:szCs w:val="24"/>
        </w:rPr>
        <w:t xml:space="preserve">. </w:t>
      </w:r>
      <w:r w:rsidRPr="00D21F46">
        <w:rPr>
          <w:rFonts w:cstheme="minorHAnsi"/>
          <w:sz w:val="24"/>
          <w:szCs w:val="24"/>
        </w:rPr>
        <w:t xml:space="preserve">Acta </w:t>
      </w:r>
      <w:proofErr w:type="spellStart"/>
      <w:r w:rsidRPr="00D21F46">
        <w:rPr>
          <w:rFonts w:cstheme="minorHAnsi"/>
          <w:sz w:val="24"/>
          <w:szCs w:val="24"/>
        </w:rPr>
        <w:t>Biomater</w:t>
      </w:r>
      <w:proofErr w:type="spellEnd"/>
      <w:r w:rsidRPr="00D21F46">
        <w:rPr>
          <w:rFonts w:cstheme="minorHAnsi"/>
          <w:sz w:val="24"/>
          <w:szCs w:val="24"/>
        </w:rPr>
        <w:t>., 7 (2011), pp. 2644-2650</w:t>
      </w:r>
    </w:p>
    <w:p w14:paraId="14BC3EAF" w14:textId="02AD1B2B" w:rsidR="00D21F46" w:rsidRPr="00D21F46" w:rsidRDefault="00D21F46" w:rsidP="008C5034">
      <w:pPr>
        <w:pStyle w:val="NoSpacing"/>
        <w:ind w:left="720" w:hanging="720"/>
        <w:rPr>
          <w:rFonts w:cstheme="minorHAnsi"/>
          <w:sz w:val="24"/>
          <w:szCs w:val="24"/>
        </w:rPr>
      </w:pPr>
      <w:r w:rsidRPr="00C3166C">
        <w:rPr>
          <w:rFonts w:cstheme="minorHAnsi"/>
          <w:sz w:val="24"/>
          <w:szCs w:val="24"/>
        </w:rPr>
        <w:t>Wu et al., 2010</w:t>
      </w:r>
      <w:r w:rsidR="00181BCF">
        <w:rPr>
          <w:rFonts w:cstheme="minorHAnsi"/>
          <w:sz w:val="24"/>
          <w:szCs w:val="24"/>
        </w:rPr>
        <w:t xml:space="preserve">. </w:t>
      </w:r>
      <w:r w:rsidRPr="00D21F46">
        <w:rPr>
          <w:rFonts w:cstheme="minorHAnsi"/>
          <w:sz w:val="24"/>
          <w:szCs w:val="24"/>
        </w:rPr>
        <w:t xml:space="preserve">C. Wu, Y. Ramaswamy, H. </w:t>
      </w:r>
      <w:proofErr w:type="spellStart"/>
      <w:r w:rsidRPr="00D21F46">
        <w:rPr>
          <w:rFonts w:cstheme="minorHAnsi"/>
          <w:sz w:val="24"/>
          <w:szCs w:val="24"/>
        </w:rPr>
        <w:t>Zreiqat</w:t>
      </w:r>
      <w:proofErr w:type="spellEnd"/>
      <w:r w:rsidR="00181BCF">
        <w:rPr>
          <w:rFonts w:cstheme="minorHAnsi"/>
          <w:sz w:val="24"/>
          <w:szCs w:val="24"/>
        </w:rPr>
        <w:t xml:space="preserve">. </w:t>
      </w:r>
      <w:r w:rsidRPr="00D21F46">
        <w:rPr>
          <w:rFonts w:cstheme="minorHAnsi"/>
          <w:b/>
          <w:bCs/>
          <w:sz w:val="24"/>
          <w:szCs w:val="24"/>
        </w:rPr>
        <w:t>Porous diopside (CaMgSi2O6) scaffold: a promising bioactive material for bone tissue engineering</w:t>
      </w:r>
      <w:r w:rsidR="00181BCF">
        <w:rPr>
          <w:rFonts w:cstheme="minorHAnsi"/>
          <w:b/>
          <w:bCs/>
          <w:sz w:val="24"/>
          <w:szCs w:val="24"/>
        </w:rPr>
        <w:t xml:space="preserve">. </w:t>
      </w:r>
      <w:r w:rsidRPr="00D21F46">
        <w:rPr>
          <w:rFonts w:cstheme="minorHAnsi"/>
          <w:sz w:val="24"/>
          <w:szCs w:val="24"/>
        </w:rPr>
        <w:t xml:space="preserve">Acta </w:t>
      </w:r>
      <w:proofErr w:type="spellStart"/>
      <w:r w:rsidRPr="00D21F46">
        <w:rPr>
          <w:rFonts w:cstheme="minorHAnsi"/>
          <w:sz w:val="24"/>
          <w:szCs w:val="24"/>
        </w:rPr>
        <w:t>Biomater</w:t>
      </w:r>
      <w:proofErr w:type="spellEnd"/>
      <w:r w:rsidRPr="00D21F46">
        <w:rPr>
          <w:rFonts w:cstheme="minorHAnsi"/>
          <w:sz w:val="24"/>
          <w:szCs w:val="24"/>
        </w:rPr>
        <w:t>., 6 (2010), pp. 2237-2245</w:t>
      </w:r>
    </w:p>
    <w:p w14:paraId="2DCABDD2" w14:textId="6CC5FCD8" w:rsidR="00D21F46" w:rsidRPr="00D21F46" w:rsidRDefault="00D21F46" w:rsidP="008C5034">
      <w:pPr>
        <w:pStyle w:val="NoSpacing"/>
        <w:ind w:left="720" w:hanging="720"/>
        <w:rPr>
          <w:rFonts w:cstheme="minorHAnsi"/>
          <w:sz w:val="24"/>
          <w:szCs w:val="24"/>
        </w:rPr>
      </w:pPr>
      <w:r w:rsidRPr="00C3166C">
        <w:rPr>
          <w:rFonts w:cstheme="minorHAnsi"/>
          <w:sz w:val="24"/>
          <w:szCs w:val="24"/>
        </w:rPr>
        <w:t>Yao et al., 2013</w:t>
      </w:r>
      <w:r w:rsidR="00181BCF">
        <w:rPr>
          <w:rFonts w:cstheme="minorHAnsi"/>
          <w:sz w:val="24"/>
          <w:szCs w:val="24"/>
        </w:rPr>
        <w:t xml:space="preserve">. </w:t>
      </w:r>
      <w:r w:rsidRPr="00D21F46">
        <w:rPr>
          <w:rFonts w:cstheme="minorHAnsi"/>
          <w:sz w:val="24"/>
          <w:szCs w:val="24"/>
        </w:rPr>
        <w:t xml:space="preserve">Q. Yao, P. </w:t>
      </w:r>
      <w:proofErr w:type="spellStart"/>
      <w:r w:rsidRPr="00D21F46">
        <w:rPr>
          <w:rFonts w:cstheme="minorHAnsi"/>
          <w:sz w:val="24"/>
          <w:szCs w:val="24"/>
        </w:rPr>
        <w:t>Nooeaid</w:t>
      </w:r>
      <w:proofErr w:type="spellEnd"/>
      <w:r w:rsidRPr="00D21F46">
        <w:rPr>
          <w:rFonts w:cstheme="minorHAnsi"/>
          <w:sz w:val="24"/>
          <w:szCs w:val="24"/>
        </w:rPr>
        <w:t xml:space="preserve">, J.A. </w:t>
      </w:r>
      <w:proofErr w:type="spellStart"/>
      <w:r w:rsidRPr="00D21F46">
        <w:rPr>
          <w:rFonts w:cstheme="minorHAnsi"/>
          <w:sz w:val="24"/>
          <w:szCs w:val="24"/>
        </w:rPr>
        <w:t>Roether</w:t>
      </w:r>
      <w:proofErr w:type="spellEnd"/>
      <w:r w:rsidRPr="00D21F46">
        <w:rPr>
          <w:rFonts w:cstheme="minorHAnsi"/>
          <w:sz w:val="24"/>
          <w:szCs w:val="24"/>
        </w:rPr>
        <w:t xml:space="preserve">, Y. Dong, Q. Zhang, A.R. </w:t>
      </w:r>
      <w:proofErr w:type="spellStart"/>
      <w:r w:rsidRPr="00D21F46">
        <w:rPr>
          <w:rFonts w:cstheme="minorHAnsi"/>
          <w:sz w:val="24"/>
          <w:szCs w:val="24"/>
        </w:rPr>
        <w:t>Boccaccini</w:t>
      </w:r>
      <w:proofErr w:type="spellEnd"/>
      <w:r w:rsidR="00181BCF">
        <w:rPr>
          <w:rFonts w:cstheme="minorHAnsi"/>
          <w:sz w:val="24"/>
          <w:szCs w:val="24"/>
        </w:rPr>
        <w:t xml:space="preserve">. </w:t>
      </w:r>
      <w:proofErr w:type="spellStart"/>
      <w:r w:rsidRPr="00D21F46">
        <w:rPr>
          <w:rFonts w:cstheme="minorHAnsi"/>
          <w:b/>
          <w:bCs/>
          <w:sz w:val="24"/>
          <w:szCs w:val="24"/>
        </w:rPr>
        <w:t>Bioglass</w:t>
      </w:r>
      <w:proofErr w:type="spellEnd"/>
      <w:r w:rsidRPr="00D21F46">
        <w:rPr>
          <w:rFonts w:cstheme="minorHAnsi"/>
          <w:b/>
          <w:bCs/>
          <w:sz w:val="24"/>
          <w:szCs w:val="24"/>
        </w:rPr>
        <w:t>®-based scaffolds incorporating polycaprolactone and chitosan coatings for controlled vancomycin delivery</w:t>
      </w:r>
      <w:r w:rsidR="00181BCF">
        <w:rPr>
          <w:rFonts w:cstheme="minorHAnsi"/>
          <w:b/>
          <w:bCs/>
          <w:sz w:val="24"/>
          <w:szCs w:val="24"/>
        </w:rPr>
        <w:t xml:space="preserve">. </w:t>
      </w:r>
      <w:r w:rsidRPr="00D21F46">
        <w:rPr>
          <w:rFonts w:cstheme="minorHAnsi"/>
          <w:sz w:val="24"/>
          <w:szCs w:val="24"/>
        </w:rPr>
        <w:t>Ceram. Int., 39 (2013), pp. 7517-7522</w:t>
      </w:r>
    </w:p>
    <w:p w14:paraId="07CDE375" w14:textId="56C5CD61" w:rsidR="00D21F46" w:rsidRPr="00D21F46" w:rsidRDefault="00D21F46" w:rsidP="008C5034">
      <w:pPr>
        <w:pStyle w:val="NoSpacing"/>
        <w:ind w:left="720" w:hanging="720"/>
        <w:rPr>
          <w:rFonts w:cstheme="minorHAnsi"/>
          <w:sz w:val="24"/>
          <w:szCs w:val="24"/>
        </w:rPr>
      </w:pPr>
      <w:r w:rsidRPr="00C3166C">
        <w:rPr>
          <w:rFonts w:cstheme="minorHAnsi"/>
          <w:sz w:val="24"/>
          <w:szCs w:val="24"/>
        </w:rPr>
        <w:t>Zamboni et al., 2017</w:t>
      </w:r>
      <w:r w:rsidR="00181BCF">
        <w:rPr>
          <w:rFonts w:cstheme="minorHAnsi"/>
          <w:sz w:val="24"/>
          <w:szCs w:val="24"/>
        </w:rPr>
        <w:t xml:space="preserve">. </w:t>
      </w:r>
      <w:r w:rsidRPr="00D21F46">
        <w:rPr>
          <w:rFonts w:cstheme="minorHAnsi"/>
          <w:sz w:val="24"/>
          <w:szCs w:val="24"/>
        </w:rPr>
        <w:t xml:space="preserve">F. Zamboni, M. </w:t>
      </w:r>
      <w:proofErr w:type="spellStart"/>
      <w:r w:rsidRPr="00D21F46">
        <w:rPr>
          <w:rFonts w:cstheme="minorHAnsi"/>
          <w:sz w:val="24"/>
          <w:szCs w:val="24"/>
        </w:rPr>
        <w:t>Keays</w:t>
      </w:r>
      <w:proofErr w:type="spellEnd"/>
      <w:r w:rsidRPr="00D21F46">
        <w:rPr>
          <w:rFonts w:cstheme="minorHAnsi"/>
          <w:sz w:val="24"/>
          <w:szCs w:val="24"/>
        </w:rPr>
        <w:t xml:space="preserve">, S. Hayes, A.B. </w:t>
      </w:r>
      <w:proofErr w:type="spellStart"/>
      <w:r w:rsidRPr="00D21F46">
        <w:rPr>
          <w:rFonts w:cstheme="minorHAnsi"/>
          <w:sz w:val="24"/>
          <w:szCs w:val="24"/>
        </w:rPr>
        <w:t>Albadarin</w:t>
      </w:r>
      <w:proofErr w:type="spellEnd"/>
      <w:r w:rsidRPr="00D21F46">
        <w:rPr>
          <w:rFonts w:cstheme="minorHAnsi"/>
          <w:sz w:val="24"/>
          <w:szCs w:val="24"/>
        </w:rPr>
        <w:t>, G.M. Walker, P.A. Kiely, M.N. Collins</w:t>
      </w:r>
      <w:r w:rsidR="00181BCF">
        <w:rPr>
          <w:rFonts w:cstheme="minorHAnsi"/>
          <w:sz w:val="24"/>
          <w:szCs w:val="24"/>
        </w:rPr>
        <w:t xml:space="preserve">. </w:t>
      </w:r>
      <w:r w:rsidRPr="00D21F46">
        <w:rPr>
          <w:rFonts w:cstheme="minorHAnsi"/>
          <w:b/>
          <w:bCs/>
          <w:sz w:val="24"/>
          <w:szCs w:val="24"/>
        </w:rPr>
        <w:t>Enhanced cell viability in hyaluronic acid coated poly (lactic-co-glycolic acid) porous scaffolds within microfluidic channels</w:t>
      </w:r>
      <w:r w:rsidR="00181BCF">
        <w:rPr>
          <w:rFonts w:cstheme="minorHAnsi"/>
          <w:b/>
          <w:bCs/>
          <w:sz w:val="24"/>
          <w:szCs w:val="24"/>
        </w:rPr>
        <w:t xml:space="preserve">. </w:t>
      </w:r>
      <w:r w:rsidRPr="00D21F46">
        <w:rPr>
          <w:rFonts w:cstheme="minorHAnsi"/>
          <w:sz w:val="24"/>
          <w:szCs w:val="24"/>
        </w:rPr>
        <w:t>Int. J. Pharm., 532 (2017), pp. 595-602</w:t>
      </w:r>
    </w:p>
    <w:p w14:paraId="4CAFF516" w14:textId="1D5CDEE8" w:rsidR="00D21F46" w:rsidRPr="00D21F46" w:rsidRDefault="00D21F46" w:rsidP="008C5034">
      <w:pPr>
        <w:pStyle w:val="NoSpacing"/>
        <w:ind w:left="720" w:hanging="720"/>
        <w:rPr>
          <w:rFonts w:cstheme="minorHAnsi"/>
          <w:sz w:val="24"/>
          <w:szCs w:val="24"/>
        </w:rPr>
      </w:pPr>
      <w:r w:rsidRPr="00C3166C">
        <w:rPr>
          <w:rFonts w:cstheme="minorHAnsi"/>
          <w:sz w:val="24"/>
          <w:szCs w:val="24"/>
        </w:rPr>
        <w:t>Zhao et al., 2011</w:t>
      </w:r>
      <w:r w:rsidR="00181BCF">
        <w:rPr>
          <w:rFonts w:cstheme="minorHAnsi"/>
          <w:sz w:val="24"/>
          <w:szCs w:val="24"/>
        </w:rPr>
        <w:t xml:space="preserve">. </w:t>
      </w:r>
      <w:r w:rsidRPr="00D21F46">
        <w:rPr>
          <w:rFonts w:cstheme="minorHAnsi"/>
          <w:sz w:val="24"/>
          <w:szCs w:val="24"/>
        </w:rPr>
        <w:t xml:space="preserve">L. Zhao, K. Lin, M. Zhang, C. </w:t>
      </w:r>
      <w:proofErr w:type="spellStart"/>
      <w:r w:rsidRPr="00D21F46">
        <w:rPr>
          <w:rFonts w:cstheme="minorHAnsi"/>
          <w:sz w:val="24"/>
          <w:szCs w:val="24"/>
        </w:rPr>
        <w:t>Xiong</w:t>
      </w:r>
      <w:proofErr w:type="spellEnd"/>
      <w:r w:rsidRPr="00D21F46">
        <w:rPr>
          <w:rFonts w:cstheme="minorHAnsi"/>
          <w:sz w:val="24"/>
          <w:szCs w:val="24"/>
        </w:rPr>
        <w:t>, Y. Bao, X. Pang, J. Chang</w:t>
      </w:r>
      <w:r w:rsidR="00181BCF">
        <w:rPr>
          <w:rFonts w:cstheme="minorHAnsi"/>
          <w:sz w:val="24"/>
          <w:szCs w:val="24"/>
        </w:rPr>
        <w:t xml:space="preserve">. </w:t>
      </w:r>
      <w:r w:rsidRPr="00D21F46">
        <w:rPr>
          <w:rFonts w:cstheme="minorHAnsi"/>
          <w:b/>
          <w:bCs/>
          <w:sz w:val="24"/>
          <w:szCs w:val="24"/>
        </w:rPr>
        <w:t xml:space="preserve">The influences of poly (lactic-co-glycolic </w:t>
      </w:r>
      <w:proofErr w:type="gramStart"/>
      <w:r w:rsidRPr="00D21F46">
        <w:rPr>
          <w:rFonts w:cstheme="minorHAnsi"/>
          <w:b/>
          <w:bCs/>
          <w:sz w:val="24"/>
          <w:szCs w:val="24"/>
        </w:rPr>
        <w:t>acid)(</w:t>
      </w:r>
      <w:proofErr w:type="gramEnd"/>
      <w:r w:rsidRPr="00D21F46">
        <w:rPr>
          <w:rFonts w:cstheme="minorHAnsi"/>
          <w:b/>
          <w:bCs/>
          <w:sz w:val="24"/>
          <w:szCs w:val="24"/>
        </w:rPr>
        <w:t xml:space="preserve">PLGA) coating on the biodegradability, bioactivity, and biocompatibility of calcium silicate </w:t>
      </w:r>
      <w:proofErr w:type="spellStart"/>
      <w:r w:rsidRPr="00D21F46">
        <w:rPr>
          <w:rFonts w:cstheme="minorHAnsi"/>
          <w:b/>
          <w:bCs/>
          <w:sz w:val="24"/>
          <w:szCs w:val="24"/>
        </w:rPr>
        <w:t>bioceramics</w:t>
      </w:r>
      <w:proofErr w:type="spellEnd"/>
      <w:r w:rsidR="00181BCF">
        <w:rPr>
          <w:rFonts w:cstheme="minorHAnsi"/>
          <w:b/>
          <w:bCs/>
          <w:sz w:val="24"/>
          <w:szCs w:val="24"/>
        </w:rPr>
        <w:t xml:space="preserve">. </w:t>
      </w:r>
      <w:r w:rsidRPr="00D21F46">
        <w:rPr>
          <w:rFonts w:cstheme="minorHAnsi"/>
          <w:sz w:val="24"/>
          <w:szCs w:val="24"/>
        </w:rPr>
        <w:t>J. Mater. Sci., 46 (2011), pp. 4986-4993</w:t>
      </w:r>
    </w:p>
    <w:p w14:paraId="28CEACE0" w14:textId="68BD021B" w:rsidR="00D21F46" w:rsidRPr="00D21F46" w:rsidRDefault="00D21F46" w:rsidP="008C5034">
      <w:pPr>
        <w:pStyle w:val="NoSpacing"/>
        <w:ind w:left="720" w:hanging="720"/>
        <w:rPr>
          <w:rFonts w:cstheme="minorHAnsi"/>
          <w:sz w:val="24"/>
          <w:szCs w:val="24"/>
        </w:rPr>
      </w:pPr>
      <w:r w:rsidRPr="00C3166C">
        <w:rPr>
          <w:rFonts w:cstheme="minorHAnsi"/>
          <w:sz w:val="24"/>
          <w:szCs w:val="24"/>
        </w:rPr>
        <w:t>Zhao et al., 2012</w:t>
      </w:r>
      <w:r w:rsidR="00181BCF">
        <w:rPr>
          <w:rFonts w:cstheme="minorHAnsi"/>
          <w:sz w:val="24"/>
          <w:szCs w:val="24"/>
        </w:rPr>
        <w:t xml:space="preserve">. </w:t>
      </w:r>
      <w:r w:rsidRPr="00D21F46">
        <w:rPr>
          <w:rFonts w:cstheme="minorHAnsi"/>
          <w:sz w:val="24"/>
          <w:szCs w:val="24"/>
        </w:rPr>
        <w:t>L. Zhao, C. Wu, K. Lin, J. Chang</w:t>
      </w:r>
      <w:r w:rsidR="00181BCF">
        <w:rPr>
          <w:rFonts w:cstheme="minorHAnsi"/>
          <w:sz w:val="24"/>
          <w:szCs w:val="24"/>
        </w:rPr>
        <w:t xml:space="preserve">. </w:t>
      </w:r>
      <w:r w:rsidRPr="00D21F46">
        <w:rPr>
          <w:rFonts w:cstheme="minorHAnsi"/>
          <w:b/>
          <w:bCs/>
          <w:sz w:val="24"/>
          <w:szCs w:val="24"/>
        </w:rPr>
        <w:t xml:space="preserve">The effect of poly (lactic-co-glycolic </w:t>
      </w:r>
      <w:proofErr w:type="gramStart"/>
      <w:r w:rsidRPr="00D21F46">
        <w:rPr>
          <w:rFonts w:cstheme="minorHAnsi"/>
          <w:b/>
          <w:bCs/>
          <w:sz w:val="24"/>
          <w:szCs w:val="24"/>
        </w:rPr>
        <w:t>acid)(</w:t>
      </w:r>
      <w:proofErr w:type="gramEnd"/>
      <w:r w:rsidRPr="00D21F46">
        <w:rPr>
          <w:rFonts w:cstheme="minorHAnsi"/>
          <w:b/>
          <w:bCs/>
          <w:sz w:val="24"/>
          <w:szCs w:val="24"/>
        </w:rPr>
        <w:t>PLGA) coating on the mechanical, biodegradable, bioactive properties and drug release of porous calcium silicate scaffolds</w:t>
      </w:r>
      <w:r w:rsidR="00181BCF">
        <w:rPr>
          <w:rFonts w:cstheme="minorHAnsi"/>
          <w:b/>
          <w:bCs/>
          <w:sz w:val="24"/>
          <w:szCs w:val="24"/>
        </w:rPr>
        <w:t xml:space="preserve">. </w:t>
      </w:r>
      <w:r w:rsidRPr="00D21F46">
        <w:rPr>
          <w:rFonts w:cstheme="minorHAnsi"/>
          <w:sz w:val="24"/>
          <w:szCs w:val="24"/>
        </w:rPr>
        <w:t>Bio-Med. Mater. Eng., 22 (2012), pp. 289-300</w:t>
      </w:r>
    </w:p>
    <w:p w14:paraId="337326E5" w14:textId="4DD281F3"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Zhivotovsky</w:t>
      </w:r>
      <w:proofErr w:type="spellEnd"/>
      <w:r w:rsidRPr="00C3166C">
        <w:rPr>
          <w:rFonts w:cstheme="minorHAnsi"/>
          <w:sz w:val="24"/>
          <w:szCs w:val="24"/>
        </w:rPr>
        <w:t xml:space="preserve"> and </w:t>
      </w:r>
      <w:proofErr w:type="spellStart"/>
      <w:r w:rsidRPr="00C3166C">
        <w:rPr>
          <w:rFonts w:cstheme="minorHAnsi"/>
          <w:sz w:val="24"/>
          <w:szCs w:val="24"/>
        </w:rPr>
        <w:t>Orrenius</w:t>
      </w:r>
      <w:proofErr w:type="spellEnd"/>
      <w:r w:rsidRPr="00C3166C">
        <w:rPr>
          <w:rFonts w:cstheme="minorHAnsi"/>
          <w:sz w:val="24"/>
          <w:szCs w:val="24"/>
        </w:rPr>
        <w:t>, 2011</w:t>
      </w:r>
      <w:r w:rsidR="00181BCF">
        <w:rPr>
          <w:rFonts w:cstheme="minorHAnsi"/>
          <w:sz w:val="24"/>
          <w:szCs w:val="24"/>
        </w:rPr>
        <w:t xml:space="preserve">. </w:t>
      </w:r>
      <w:r w:rsidRPr="00D21F46">
        <w:rPr>
          <w:rFonts w:cstheme="minorHAnsi"/>
          <w:sz w:val="24"/>
          <w:szCs w:val="24"/>
        </w:rPr>
        <w:t xml:space="preserve">B. </w:t>
      </w:r>
      <w:proofErr w:type="spellStart"/>
      <w:r w:rsidRPr="00D21F46">
        <w:rPr>
          <w:rFonts w:cstheme="minorHAnsi"/>
          <w:sz w:val="24"/>
          <w:szCs w:val="24"/>
        </w:rPr>
        <w:t>Zhivotovsky</w:t>
      </w:r>
      <w:proofErr w:type="spellEnd"/>
      <w:r w:rsidRPr="00D21F46">
        <w:rPr>
          <w:rFonts w:cstheme="minorHAnsi"/>
          <w:sz w:val="24"/>
          <w:szCs w:val="24"/>
        </w:rPr>
        <w:t xml:space="preserve">, S. </w:t>
      </w:r>
      <w:proofErr w:type="spellStart"/>
      <w:r w:rsidRPr="00D21F46">
        <w:rPr>
          <w:rFonts w:cstheme="minorHAnsi"/>
          <w:sz w:val="24"/>
          <w:szCs w:val="24"/>
        </w:rPr>
        <w:t>Orrenius</w:t>
      </w:r>
      <w:proofErr w:type="spellEnd"/>
      <w:r w:rsidR="00181BCF">
        <w:rPr>
          <w:rFonts w:cstheme="minorHAnsi"/>
          <w:sz w:val="24"/>
          <w:szCs w:val="24"/>
        </w:rPr>
        <w:t xml:space="preserve">. </w:t>
      </w:r>
      <w:r w:rsidRPr="00D21F46">
        <w:rPr>
          <w:rFonts w:cstheme="minorHAnsi"/>
          <w:b/>
          <w:bCs/>
          <w:sz w:val="24"/>
          <w:szCs w:val="24"/>
        </w:rPr>
        <w:t>Calcium and cell death mechanisms: a perspective from the cell death community</w:t>
      </w:r>
      <w:r w:rsidR="00181BCF">
        <w:rPr>
          <w:rFonts w:cstheme="minorHAnsi"/>
          <w:b/>
          <w:bCs/>
          <w:sz w:val="24"/>
          <w:szCs w:val="24"/>
        </w:rPr>
        <w:t xml:space="preserve">. </w:t>
      </w:r>
      <w:r w:rsidRPr="00D21F46">
        <w:rPr>
          <w:rFonts w:cstheme="minorHAnsi"/>
          <w:sz w:val="24"/>
          <w:szCs w:val="24"/>
        </w:rPr>
        <w:t>Cell Calcium, 50 (2011), pp. 211-221</w:t>
      </w:r>
    </w:p>
    <w:p w14:paraId="3F865075" w14:textId="5C0FCC3E" w:rsidR="00D21F46" w:rsidRPr="00D21F46" w:rsidRDefault="00D21F46" w:rsidP="008C5034">
      <w:pPr>
        <w:pStyle w:val="NoSpacing"/>
        <w:ind w:left="720" w:hanging="720"/>
        <w:rPr>
          <w:rFonts w:cstheme="minorHAnsi"/>
          <w:sz w:val="24"/>
          <w:szCs w:val="24"/>
        </w:rPr>
      </w:pPr>
      <w:proofErr w:type="spellStart"/>
      <w:r w:rsidRPr="00C3166C">
        <w:rPr>
          <w:rFonts w:cstheme="minorHAnsi"/>
          <w:sz w:val="24"/>
          <w:szCs w:val="24"/>
        </w:rPr>
        <w:t>Zirak</w:t>
      </w:r>
      <w:proofErr w:type="spellEnd"/>
      <w:r w:rsidRPr="00C3166C">
        <w:rPr>
          <w:rFonts w:cstheme="minorHAnsi"/>
          <w:sz w:val="24"/>
          <w:szCs w:val="24"/>
        </w:rPr>
        <w:t xml:space="preserve"> et al., 2020</w:t>
      </w:r>
      <w:r w:rsidR="00181BCF">
        <w:rPr>
          <w:rFonts w:cstheme="minorHAnsi"/>
          <w:sz w:val="24"/>
          <w:szCs w:val="24"/>
        </w:rPr>
        <w:t xml:space="preserve">. </w:t>
      </w:r>
      <w:r w:rsidRPr="00D21F46">
        <w:rPr>
          <w:rFonts w:cstheme="minorHAnsi"/>
          <w:sz w:val="24"/>
          <w:szCs w:val="24"/>
        </w:rPr>
        <w:t xml:space="preserve">N. </w:t>
      </w:r>
      <w:proofErr w:type="spellStart"/>
      <w:r w:rsidRPr="00D21F46">
        <w:rPr>
          <w:rFonts w:cstheme="minorHAnsi"/>
          <w:sz w:val="24"/>
          <w:szCs w:val="24"/>
        </w:rPr>
        <w:t>Zirak</w:t>
      </w:r>
      <w:proofErr w:type="spellEnd"/>
      <w:r w:rsidRPr="00D21F46">
        <w:rPr>
          <w:rFonts w:cstheme="minorHAnsi"/>
          <w:sz w:val="24"/>
          <w:szCs w:val="24"/>
        </w:rPr>
        <w:t xml:space="preserve">, A.B. </w:t>
      </w:r>
      <w:proofErr w:type="spellStart"/>
      <w:r w:rsidRPr="00D21F46">
        <w:rPr>
          <w:rFonts w:cstheme="minorHAnsi"/>
          <w:sz w:val="24"/>
          <w:szCs w:val="24"/>
        </w:rPr>
        <w:t>Jahromi</w:t>
      </w:r>
      <w:proofErr w:type="spellEnd"/>
      <w:r w:rsidRPr="00D21F46">
        <w:rPr>
          <w:rFonts w:cstheme="minorHAnsi"/>
          <w:sz w:val="24"/>
          <w:szCs w:val="24"/>
        </w:rPr>
        <w:t xml:space="preserve">, E. </w:t>
      </w:r>
      <w:proofErr w:type="spellStart"/>
      <w:r w:rsidRPr="00D21F46">
        <w:rPr>
          <w:rFonts w:cstheme="minorHAnsi"/>
          <w:sz w:val="24"/>
          <w:szCs w:val="24"/>
        </w:rPr>
        <w:t>Salahinejad</w:t>
      </w:r>
      <w:proofErr w:type="spellEnd"/>
      <w:r w:rsidR="00181BCF">
        <w:rPr>
          <w:rFonts w:cstheme="minorHAnsi"/>
          <w:sz w:val="24"/>
          <w:szCs w:val="24"/>
        </w:rPr>
        <w:t xml:space="preserve">. </w:t>
      </w:r>
      <w:r w:rsidRPr="00D21F46">
        <w:rPr>
          <w:rFonts w:cstheme="minorHAnsi"/>
          <w:b/>
          <w:bCs/>
          <w:sz w:val="24"/>
          <w:szCs w:val="24"/>
        </w:rPr>
        <w:t>Vancomycin release kinetics from Mg–Ca silicate porous microspheres developed for controlled drug delivery</w:t>
      </w:r>
      <w:r w:rsidR="00181BCF">
        <w:rPr>
          <w:rFonts w:cstheme="minorHAnsi"/>
          <w:b/>
          <w:bCs/>
          <w:sz w:val="24"/>
          <w:szCs w:val="24"/>
        </w:rPr>
        <w:t xml:space="preserve">. </w:t>
      </w:r>
      <w:r w:rsidRPr="00D21F46">
        <w:rPr>
          <w:rFonts w:cstheme="minorHAnsi"/>
          <w:sz w:val="24"/>
          <w:szCs w:val="24"/>
        </w:rPr>
        <w:t>Ceram. Int., 46 (2020), pp. 508-512</w:t>
      </w:r>
    </w:p>
    <w:p w14:paraId="1DB4E0BE" w14:textId="77777777" w:rsidR="005304C8" w:rsidRPr="00FB5680" w:rsidRDefault="005304C8" w:rsidP="008C5034">
      <w:pPr>
        <w:pStyle w:val="NoSpacing"/>
        <w:ind w:left="720" w:hanging="720"/>
        <w:rPr>
          <w:rFonts w:cstheme="minorHAnsi"/>
          <w:b/>
          <w:bCs/>
          <w:sz w:val="24"/>
          <w:szCs w:val="24"/>
        </w:rPr>
      </w:pPr>
    </w:p>
    <w:p w14:paraId="2C72EAA8" w14:textId="77777777" w:rsidR="00FB5680" w:rsidRDefault="00FB5680" w:rsidP="008C5034">
      <w:pPr>
        <w:pStyle w:val="NoSpacing"/>
        <w:ind w:left="720" w:hanging="720"/>
        <w:rPr>
          <w:rFonts w:cstheme="minorHAnsi"/>
          <w:b/>
          <w:bCs/>
          <w:sz w:val="24"/>
          <w:szCs w:val="24"/>
        </w:rPr>
      </w:pPr>
    </w:p>
    <w:sectPr w:rsidR="00FB568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C5459"/>
    <w:multiLevelType w:val="hybridMultilevel"/>
    <w:tmpl w:val="3BCED638"/>
    <w:lvl w:ilvl="0" w:tplc="E3EC8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333A9A"/>
    <w:multiLevelType w:val="multilevel"/>
    <w:tmpl w:val="BCD83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D92F56"/>
    <w:multiLevelType w:val="multilevel"/>
    <w:tmpl w:val="86FAB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0C47C4"/>
    <w:multiLevelType w:val="multilevel"/>
    <w:tmpl w:val="C15C8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60409E"/>
    <w:multiLevelType w:val="multilevel"/>
    <w:tmpl w:val="82A0A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9105A6"/>
    <w:multiLevelType w:val="multilevel"/>
    <w:tmpl w:val="B9628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66F16EE"/>
    <w:multiLevelType w:val="multilevel"/>
    <w:tmpl w:val="AF1EA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3F6CF7"/>
    <w:multiLevelType w:val="multilevel"/>
    <w:tmpl w:val="2C5C1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8D759B"/>
    <w:multiLevelType w:val="multilevel"/>
    <w:tmpl w:val="24FC5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AE76738"/>
    <w:multiLevelType w:val="multilevel"/>
    <w:tmpl w:val="152A6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8215DEC"/>
    <w:multiLevelType w:val="multilevel"/>
    <w:tmpl w:val="E2069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2840D1"/>
    <w:multiLevelType w:val="hybridMultilevel"/>
    <w:tmpl w:val="3BD24E74"/>
    <w:lvl w:ilvl="0" w:tplc="E3EC8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9"/>
  </w:num>
  <w:num w:numId="4">
    <w:abstractNumId w:val="2"/>
  </w:num>
  <w:num w:numId="5">
    <w:abstractNumId w:val="5"/>
  </w:num>
  <w:num w:numId="6">
    <w:abstractNumId w:val="7"/>
  </w:num>
  <w:num w:numId="7">
    <w:abstractNumId w:val="1"/>
  </w:num>
  <w:num w:numId="8">
    <w:abstractNumId w:val="10"/>
  </w:num>
  <w:num w:numId="9">
    <w:abstractNumId w:val="8"/>
  </w:num>
  <w:num w:numId="10">
    <w:abstractNumId w:val="3"/>
  </w:num>
  <w:num w:numId="11">
    <w:abstractNumId w:val="11"/>
  </w:num>
  <w:num w:numId="1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zZ/7j2th/9HrnYwBGWGLor+6j9JUdf5fFsJj77Dro9gqydgeCAyV/JqVopPnLLnejR7UCRC9BukmVcf3iN/Msw==" w:salt="9+H7tGWg9emIUlIcORr/Z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5B6A"/>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15CE"/>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07AE"/>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1BC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65F7"/>
    <w:rsid w:val="004374EF"/>
    <w:rsid w:val="00440BC4"/>
    <w:rsid w:val="00440F61"/>
    <w:rsid w:val="004441CB"/>
    <w:rsid w:val="00450DB8"/>
    <w:rsid w:val="00453D2C"/>
    <w:rsid w:val="00454851"/>
    <w:rsid w:val="0045528F"/>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6569"/>
    <w:rsid w:val="005175E9"/>
    <w:rsid w:val="00520368"/>
    <w:rsid w:val="0052658A"/>
    <w:rsid w:val="005304C8"/>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66D0A"/>
    <w:rsid w:val="00772776"/>
    <w:rsid w:val="00776E56"/>
    <w:rsid w:val="00781619"/>
    <w:rsid w:val="00785981"/>
    <w:rsid w:val="0079146B"/>
    <w:rsid w:val="00791DD5"/>
    <w:rsid w:val="00792687"/>
    <w:rsid w:val="00796875"/>
    <w:rsid w:val="0079756E"/>
    <w:rsid w:val="007A1233"/>
    <w:rsid w:val="007A258F"/>
    <w:rsid w:val="007A3B3A"/>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04C9"/>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034"/>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6C94"/>
    <w:rsid w:val="00C170FF"/>
    <w:rsid w:val="00C173E1"/>
    <w:rsid w:val="00C2019E"/>
    <w:rsid w:val="00C20831"/>
    <w:rsid w:val="00C23760"/>
    <w:rsid w:val="00C2580C"/>
    <w:rsid w:val="00C27AEF"/>
    <w:rsid w:val="00C3110E"/>
    <w:rsid w:val="00C3166C"/>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1F46"/>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5FF6"/>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680"/>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0FF60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569"/>
  </w:style>
  <w:style w:type="paragraph" w:styleId="Heading1">
    <w:name w:val="heading 1"/>
    <w:basedOn w:val="Normal"/>
    <w:next w:val="Normal"/>
    <w:link w:val="Heading1Char"/>
    <w:uiPriority w:val="9"/>
    <w:qFormat/>
    <w:rsid w:val="0051656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1656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1656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16569"/>
    <w:pPr>
      <w:keepNext/>
      <w:keepLines/>
      <w:spacing w:before="40" w:after="0"/>
      <w:outlineLvl w:val="3"/>
    </w:pPr>
    <w:rPr>
      <w:i/>
      <w:iCs/>
    </w:rPr>
  </w:style>
  <w:style w:type="paragraph" w:styleId="Heading5">
    <w:name w:val="heading 5"/>
    <w:basedOn w:val="Normal"/>
    <w:next w:val="Normal"/>
    <w:link w:val="Heading5Char"/>
    <w:uiPriority w:val="9"/>
    <w:unhideWhenUsed/>
    <w:qFormat/>
    <w:rsid w:val="0051656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516569"/>
    <w:pPr>
      <w:keepNext/>
      <w:keepLines/>
      <w:spacing w:before="40" w:after="0"/>
      <w:outlineLvl w:val="5"/>
    </w:pPr>
  </w:style>
  <w:style w:type="paragraph" w:styleId="Heading7">
    <w:name w:val="heading 7"/>
    <w:basedOn w:val="Normal"/>
    <w:next w:val="Normal"/>
    <w:link w:val="Heading7Char"/>
    <w:uiPriority w:val="9"/>
    <w:semiHidden/>
    <w:unhideWhenUsed/>
    <w:qFormat/>
    <w:rsid w:val="0051656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1656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1656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56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1656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1656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16569"/>
    <w:rPr>
      <w:i/>
      <w:iCs/>
    </w:rPr>
  </w:style>
  <w:style w:type="character" w:customStyle="1" w:styleId="Heading5Char">
    <w:name w:val="Heading 5 Char"/>
    <w:basedOn w:val="DefaultParagraphFont"/>
    <w:link w:val="Heading5"/>
    <w:uiPriority w:val="9"/>
    <w:rsid w:val="00516569"/>
    <w:rPr>
      <w:color w:val="404040" w:themeColor="text1" w:themeTint="BF"/>
    </w:rPr>
  </w:style>
  <w:style w:type="character" w:customStyle="1" w:styleId="Heading6Char">
    <w:name w:val="Heading 6 Char"/>
    <w:basedOn w:val="DefaultParagraphFont"/>
    <w:link w:val="Heading6"/>
    <w:uiPriority w:val="9"/>
    <w:rsid w:val="00516569"/>
  </w:style>
  <w:style w:type="character" w:customStyle="1" w:styleId="Heading7Char">
    <w:name w:val="Heading 7 Char"/>
    <w:basedOn w:val="DefaultParagraphFont"/>
    <w:link w:val="Heading7"/>
    <w:uiPriority w:val="9"/>
    <w:semiHidden/>
    <w:rsid w:val="0051656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16569"/>
    <w:rPr>
      <w:color w:val="262626" w:themeColor="text1" w:themeTint="D9"/>
      <w:sz w:val="21"/>
      <w:szCs w:val="21"/>
    </w:rPr>
  </w:style>
  <w:style w:type="character" w:customStyle="1" w:styleId="Heading9Char">
    <w:name w:val="Heading 9 Char"/>
    <w:basedOn w:val="DefaultParagraphFont"/>
    <w:link w:val="Heading9"/>
    <w:uiPriority w:val="9"/>
    <w:semiHidden/>
    <w:rsid w:val="0051656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1656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1656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1656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1656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16569"/>
    <w:rPr>
      <w:color w:val="5A5A5A" w:themeColor="text1" w:themeTint="A5"/>
      <w:spacing w:val="15"/>
    </w:rPr>
  </w:style>
  <w:style w:type="character" w:styleId="Strong">
    <w:name w:val="Strong"/>
    <w:basedOn w:val="DefaultParagraphFont"/>
    <w:uiPriority w:val="22"/>
    <w:qFormat/>
    <w:rsid w:val="00516569"/>
    <w:rPr>
      <w:b/>
      <w:bCs/>
      <w:color w:val="auto"/>
    </w:rPr>
  </w:style>
  <w:style w:type="character" w:styleId="Emphasis">
    <w:name w:val="Emphasis"/>
    <w:basedOn w:val="DefaultParagraphFont"/>
    <w:uiPriority w:val="20"/>
    <w:qFormat/>
    <w:rsid w:val="00516569"/>
    <w:rPr>
      <w:i/>
      <w:iCs/>
      <w:color w:val="auto"/>
    </w:rPr>
  </w:style>
  <w:style w:type="paragraph" w:styleId="NoSpacing">
    <w:name w:val="No Spacing"/>
    <w:uiPriority w:val="1"/>
    <w:qFormat/>
    <w:rsid w:val="0051656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1656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16569"/>
    <w:rPr>
      <w:i/>
      <w:iCs/>
      <w:color w:val="404040" w:themeColor="text1" w:themeTint="BF"/>
    </w:rPr>
  </w:style>
  <w:style w:type="paragraph" w:styleId="IntenseQuote">
    <w:name w:val="Intense Quote"/>
    <w:basedOn w:val="Normal"/>
    <w:next w:val="Normal"/>
    <w:link w:val="IntenseQuoteChar"/>
    <w:uiPriority w:val="30"/>
    <w:qFormat/>
    <w:rsid w:val="0051656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16569"/>
    <w:rPr>
      <w:i/>
      <w:iCs/>
      <w:color w:val="404040" w:themeColor="text1" w:themeTint="BF"/>
    </w:rPr>
  </w:style>
  <w:style w:type="character" w:styleId="SubtleEmphasis">
    <w:name w:val="Subtle Emphasis"/>
    <w:basedOn w:val="DefaultParagraphFont"/>
    <w:uiPriority w:val="19"/>
    <w:qFormat/>
    <w:rsid w:val="00516569"/>
    <w:rPr>
      <w:i/>
      <w:iCs/>
      <w:color w:val="404040" w:themeColor="text1" w:themeTint="BF"/>
    </w:rPr>
  </w:style>
  <w:style w:type="character" w:styleId="IntenseEmphasis">
    <w:name w:val="Intense Emphasis"/>
    <w:basedOn w:val="DefaultParagraphFont"/>
    <w:uiPriority w:val="21"/>
    <w:qFormat/>
    <w:rsid w:val="00516569"/>
    <w:rPr>
      <w:b/>
      <w:bCs/>
      <w:i/>
      <w:iCs/>
      <w:color w:val="auto"/>
    </w:rPr>
  </w:style>
  <w:style w:type="character" w:styleId="SubtleReference">
    <w:name w:val="Subtle Reference"/>
    <w:basedOn w:val="DefaultParagraphFont"/>
    <w:uiPriority w:val="31"/>
    <w:qFormat/>
    <w:rsid w:val="00516569"/>
    <w:rPr>
      <w:smallCaps/>
      <w:color w:val="404040" w:themeColor="text1" w:themeTint="BF"/>
    </w:rPr>
  </w:style>
  <w:style w:type="character" w:styleId="IntenseReference">
    <w:name w:val="Intense Reference"/>
    <w:basedOn w:val="DefaultParagraphFont"/>
    <w:uiPriority w:val="32"/>
    <w:qFormat/>
    <w:rsid w:val="00516569"/>
    <w:rPr>
      <w:b/>
      <w:bCs/>
      <w:smallCaps/>
      <w:color w:val="404040" w:themeColor="text1" w:themeTint="BF"/>
      <w:spacing w:val="5"/>
    </w:rPr>
  </w:style>
  <w:style w:type="character" w:styleId="BookTitle">
    <w:name w:val="Book Title"/>
    <w:basedOn w:val="DefaultParagraphFont"/>
    <w:uiPriority w:val="33"/>
    <w:qFormat/>
    <w:rsid w:val="00516569"/>
    <w:rPr>
      <w:b/>
      <w:bCs/>
      <w:i/>
      <w:iCs/>
      <w:spacing w:val="5"/>
    </w:rPr>
  </w:style>
  <w:style w:type="paragraph" w:styleId="TOCHeading">
    <w:name w:val="TOC Heading"/>
    <w:basedOn w:val="Heading1"/>
    <w:next w:val="Normal"/>
    <w:uiPriority w:val="39"/>
    <w:semiHidden/>
    <w:unhideWhenUsed/>
    <w:qFormat/>
    <w:rsid w:val="0051656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23395459">
      <w:bodyDiv w:val="1"/>
      <w:marLeft w:val="0"/>
      <w:marRight w:val="0"/>
      <w:marTop w:val="0"/>
      <w:marBottom w:val="0"/>
      <w:divBdr>
        <w:top w:val="none" w:sz="0" w:space="0" w:color="auto"/>
        <w:left w:val="none" w:sz="0" w:space="0" w:color="auto"/>
        <w:bottom w:val="none" w:sz="0" w:space="0" w:color="auto"/>
        <w:right w:val="none" w:sz="0" w:space="0" w:color="auto"/>
      </w:divBdr>
      <w:divsChild>
        <w:div w:id="409697013">
          <w:marLeft w:val="0"/>
          <w:marRight w:val="0"/>
          <w:marTop w:val="0"/>
          <w:marBottom w:val="0"/>
          <w:divBdr>
            <w:top w:val="none" w:sz="0" w:space="0" w:color="auto"/>
            <w:left w:val="none" w:sz="0" w:space="0" w:color="auto"/>
            <w:bottom w:val="none" w:sz="0" w:space="0" w:color="auto"/>
            <w:right w:val="none" w:sz="0" w:space="0" w:color="auto"/>
          </w:divBdr>
          <w:divsChild>
            <w:div w:id="1602178055">
              <w:marLeft w:val="0"/>
              <w:marRight w:val="0"/>
              <w:marTop w:val="0"/>
              <w:marBottom w:val="0"/>
              <w:divBdr>
                <w:top w:val="none" w:sz="0" w:space="0" w:color="auto"/>
                <w:left w:val="none" w:sz="0" w:space="0" w:color="auto"/>
                <w:bottom w:val="none" w:sz="0" w:space="0" w:color="auto"/>
                <w:right w:val="none" w:sz="0" w:space="0" w:color="auto"/>
              </w:divBdr>
              <w:divsChild>
                <w:div w:id="1523515608">
                  <w:marLeft w:val="0"/>
                  <w:marRight w:val="0"/>
                  <w:marTop w:val="0"/>
                  <w:marBottom w:val="0"/>
                  <w:divBdr>
                    <w:top w:val="none" w:sz="0" w:space="0" w:color="auto"/>
                    <w:left w:val="none" w:sz="0" w:space="0" w:color="auto"/>
                    <w:bottom w:val="none" w:sz="0" w:space="0" w:color="auto"/>
                    <w:right w:val="none" w:sz="0" w:space="0" w:color="auto"/>
                  </w:divBdr>
                </w:div>
              </w:divsChild>
            </w:div>
            <w:div w:id="535049557">
              <w:marLeft w:val="0"/>
              <w:marRight w:val="0"/>
              <w:marTop w:val="0"/>
              <w:marBottom w:val="0"/>
              <w:divBdr>
                <w:top w:val="none" w:sz="0" w:space="0" w:color="auto"/>
                <w:left w:val="none" w:sz="0" w:space="0" w:color="auto"/>
                <w:bottom w:val="none" w:sz="0" w:space="0" w:color="auto"/>
                <w:right w:val="none" w:sz="0" w:space="0" w:color="auto"/>
              </w:divBdr>
              <w:divsChild>
                <w:div w:id="176090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530195">
          <w:marLeft w:val="0"/>
          <w:marRight w:val="0"/>
          <w:marTop w:val="0"/>
          <w:marBottom w:val="0"/>
          <w:divBdr>
            <w:top w:val="none" w:sz="0" w:space="0" w:color="auto"/>
            <w:left w:val="none" w:sz="0" w:space="0" w:color="auto"/>
            <w:bottom w:val="none" w:sz="0" w:space="0" w:color="auto"/>
            <w:right w:val="none" w:sz="0" w:space="0" w:color="auto"/>
          </w:divBdr>
          <w:divsChild>
            <w:div w:id="1158619300">
              <w:marLeft w:val="0"/>
              <w:marRight w:val="0"/>
              <w:marTop w:val="0"/>
              <w:marBottom w:val="0"/>
              <w:divBdr>
                <w:top w:val="none" w:sz="0" w:space="0" w:color="auto"/>
                <w:left w:val="none" w:sz="0" w:space="0" w:color="auto"/>
                <w:bottom w:val="none" w:sz="0" w:space="0" w:color="auto"/>
                <w:right w:val="none" w:sz="0" w:space="0" w:color="auto"/>
              </w:divBdr>
              <w:divsChild>
                <w:div w:id="1879314837">
                  <w:marLeft w:val="0"/>
                  <w:marRight w:val="0"/>
                  <w:marTop w:val="0"/>
                  <w:marBottom w:val="0"/>
                  <w:divBdr>
                    <w:top w:val="none" w:sz="0" w:space="0" w:color="auto"/>
                    <w:left w:val="none" w:sz="0" w:space="0" w:color="auto"/>
                    <w:bottom w:val="none" w:sz="0" w:space="0" w:color="auto"/>
                    <w:right w:val="none" w:sz="0" w:space="0" w:color="auto"/>
                  </w:divBdr>
                </w:div>
                <w:div w:id="194464061">
                  <w:marLeft w:val="0"/>
                  <w:marRight w:val="0"/>
                  <w:marTop w:val="0"/>
                  <w:marBottom w:val="0"/>
                  <w:divBdr>
                    <w:top w:val="none" w:sz="0" w:space="0" w:color="auto"/>
                    <w:left w:val="none" w:sz="0" w:space="0" w:color="auto"/>
                    <w:bottom w:val="none" w:sz="0" w:space="0" w:color="auto"/>
                    <w:right w:val="none" w:sz="0" w:space="0" w:color="auto"/>
                  </w:divBdr>
                </w:div>
                <w:div w:id="996425293">
                  <w:marLeft w:val="0"/>
                  <w:marRight w:val="0"/>
                  <w:marTop w:val="0"/>
                  <w:marBottom w:val="0"/>
                  <w:divBdr>
                    <w:top w:val="none" w:sz="0" w:space="0" w:color="auto"/>
                    <w:left w:val="none" w:sz="0" w:space="0" w:color="auto"/>
                    <w:bottom w:val="none" w:sz="0" w:space="0" w:color="auto"/>
                    <w:right w:val="none" w:sz="0" w:space="0" w:color="auto"/>
                  </w:divBdr>
                </w:div>
                <w:div w:id="492915242">
                  <w:marLeft w:val="0"/>
                  <w:marRight w:val="0"/>
                  <w:marTop w:val="0"/>
                  <w:marBottom w:val="0"/>
                  <w:divBdr>
                    <w:top w:val="none" w:sz="0" w:space="0" w:color="auto"/>
                    <w:left w:val="none" w:sz="0" w:space="0" w:color="auto"/>
                    <w:bottom w:val="none" w:sz="0" w:space="0" w:color="auto"/>
                    <w:right w:val="none" w:sz="0" w:space="0" w:color="auto"/>
                  </w:divBdr>
                </w:div>
                <w:div w:id="1351686128">
                  <w:marLeft w:val="0"/>
                  <w:marRight w:val="0"/>
                  <w:marTop w:val="0"/>
                  <w:marBottom w:val="0"/>
                  <w:divBdr>
                    <w:top w:val="none" w:sz="0" w:space="0" w:color="auto"/>
                    <w:left w:val="none" w:sz="0" w:space="0" w:color="auto"/>
                    <w:bottom w:val="none" w:sz="0" w:space="0" w:color="auto"/>
                    <w:right w:val="none" w:sz="0" w:space="0" w:color="auto"/>
                  </w:divBdr>
                </w:div>
                <w:div w:id="1414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57731">
          <w:marLeft w:val="0"/>
          <w:marRight w:val="0"/>
          <w:marTop w:val="0"/>
          <w:marBottom w:val="0"/>
          <w:divBdr>
            <w:top w:val="none" w:sz="0" w:space="0" w:color="auto"/>
            <w:left w:val="none" w:sz="0" w:space="0" w:color="auto"/>
            <w:bottom w:val="none" w:sz="0" w:space="0" w:color="auto"/>
            <w:right w:val="none" w:sz="0" w:space="0" w:color="auto"/>
          </w:divBdr>
          <w:divsChild>
            <w:div w:id="1759909985">
              <w:marLeft w:val="0"/>
              <w:marRight w:val="0"/>
              <w:marTop w:val="0"/>
              <w:marBottom w:val="0"/>
              <w:divBdr>
                <w:top w:val="none" w:sz="0" w:space="0" w:color="auto"/>
                <w:left w:val="none" w:sz="0" w:space="0" w:color="auto"/>
                <w:bottom w:val="none" w:sz="0" w:space="0" w:color="auto"/>
                <w:right w:val="none" w:sz="0" w:space="0" w:color="auto"/>
              </w:divBdr>
            </w:div>
          </w:divsChild>
        </w:div>
        <w:div w:id="1478645481">
          <w:marLeft w:val="0"/>
          <w:marRight w:val="0"/>
          <w:marTop w:val="0"/>
          <w:marBottom w:val="0"/>
          <w:divBdr>
            <w:top w:val="none" w:sz="0" w:space="0" w:color="auto"/>
            <w:left w:val="none" w:sz="0" w:space="0" w:color="auto"/>
            <w:bottom w:val="none" w:sz="0" w:space="0" w:color="auto"/>
            <w:right w:val="none" w:sz="0" w:space="0" w:color="auto"/>
          </w:divBdr>
          <w:divsChild>
            <w:div w:id="760641320">
              <w:marLeft w:val="0"/>
              <w:marRight w:val="0"/>
              <w:marTop w:val="0"/>
              <w:marBottom w:val="0"/>
              <w:divBdr>
                <w:top w:val="none" w:sz="0" w:space="0" w:color="auto"/>
                <w:left w:val="none" w:sz="0" w:space="0" w:color="auto"/>
                <w:bottom w:val="none" w:sz="0" w:space="0" w:color="auto"/>
                <w:right w:val="none" w:sz="0" w:space="0" w:color="auto"/>
              </w:divBdr>
              <w:divsChild>
                <w:div w:id="1623345855">
                  <w:marLeft w:val="0"/>
                  <w:marRight w:val="0"/>
                  <w:marTop w:val="0"/>
                  <w:marBottom w:val="0"/>
                  <w:divBdr>
                    <w:top w:val="none" w:sz="0" w:space="0" w:color="auto"/>
                    <w:left w:val="none" w:sz="0" w:space="0" w:color="auto"/>
                    <w:bottom w:val="none" w:sz="0" w:space="0" w:color="auto"/>
                    <w:right w:val="none" w:sz="0" w:space="0" w:color="auto"/>
                  </w:divBdr>
                </w:div>
                <w:div w:id="1930502042">
                  <w:marLeft w:val="0"/>
                  <w:marRight w:val="0"/>
                  <w:marTop w:val="0"/>
                  <w:marBottom w:val="0"/>
                  <w:divBdr>
                    <w:top w:val="none" w:sz="0" w:space="0" w:color="auto"/>
                    <w:left w:val="none" w:sz="0" w:space="0" w:color="auto"/>
                    <w:bottom w:val="none" w:sz="0" w:space="0" w:color="auto"/>
                    <w:right w:val="none" w:sz="0" w:space="0" w:color="auto"/>
                  </w:divBdr>
                </w:div>
                <w:div w:id="1315337912">
                  <w:marLeft w:val="0"/>
                  <w:marRight w:val="0"/>
                  <w:marTop w:val="0"/>
                  <w:marBottom w:val="0"/>
                  <w:divBdr>
                    <w:top w:val="none" w:sz="0" w:space="0" w:color="auto"/>
                    <w:left w:val="none" w:sz="0" w:space="0" w:color="auto"/>
                    <w:bottom w:val="none" w:sz="0" w:space="0" w:color="auto"/>
                    <w:right w:val="none" w:sz="0" w:space="0" w:color="auto"/>
                  </w:divBdr>
                </w:div>
                <w:div w:id="237633776">
                  <w:marLeft w:val="0"/>
                  <w:marRight w:val="0"/>
                  <w:marTop w:val="0"/>
                  <w:marBottom w:val="0"/>
                  <w:divBdr>
                    <w:top w:val="none" w:sz="0" w:space="0" w:color="auto"/>
                    <w:left w:val="none" w:sz="0" w:space="0" w:color="auto"/>
                    <w:bottom w:val="none" w:sz="0" w:space="0" w:color="auto"/>
                    <w:right w:val="none" w:sz="0" w:space="0" w:color="auto"/>
                  </w:divBdr>
                </w:div>
                <w:div w:id="751047330">
                  <w:marLeft w:val="0"/>
                  <w:marRight w:val="0"/>
                  <w:marTop w:val="0"/>
                  <w:marBottom w:val="0"/>
                  <w:divBdr>
                    <w:top w:val="none" w:sz="0" w:space="0" w:color="auto"/>
                    <w:left w:val="none" w:sz="0" w:space="0" w:color="auto"/>
                    <w:bottom w:val="none" w:sz="0" w:space="0" w:color="auto"/>
                    <w:right w:val="none" w:sz="0" w:space="0" w:color="auto"/>
                  </w:divBdr>
                </w:div>
                <w:div w:id="1872376410">
                  <w:marLeft w:val="0"/>
                  <w:marRight w:val="0"/>
                  <w:marTop w:val="0"/>
                  <w:marBottom w:val="0"/>
                  <w:divBdr>
                    <w:top w:val="none" w:sz="0" w:space="0" w:color="auto"/>
                    <w:left w:val="none" w:sz="0" w:space="0" w:color="auto"/>
                    <w:bottom w:val="none" w:sz="0" w:space="0" w:color="auto"/>
                    <w:right w:val="none" w:sz="0" w:space="0" w:color="auto"/>
                  </w:divBdr>
                </w:div>
                <w:div w:id="146684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40670">
          <w:marLeft w:val="0"/>
          <w:marRight w:val="0"/>
          <w:marTop w:val="0"/>
          <w:marBottom w:val="0"/>
          <w:divBdr>
            <w:top w:val="none" w:sz="0" w:space="0" w:color="auto"/>
            <w:left w:val="none" w:sz="0" w:space="0" w:color="auto"/>
            <w:bottom w:val="none" w:sz="0" w:space="0" w:color="auto"/>
            <w:right w:val="none" w:sz="0" w:space="0" w:color="auto"/>
          </w:divBdr>
          <w:divsChild>
            <w:div w:id="1441990931">
              <w:marLeft w:val="0"/>
              <w:marRight w:val="0"/>
              <w:marTop w:val="0"/>
              <w:marBottom w:val="0"/>
              <w:divBdr>
                <w:top w:val="none" w:sz="0" w:space="0" w:color="auto"/>
                <w:left w:val="none" w:sz="0" w:space="0" w:color="auto"/>
                <w:bottom w:val="none" w:sz="0" w:space="0" w:color="auto"/>
                <w:right w:val="none" w:sz="0" w:space="0" w:color="auto"/>
              </w:divBdr>
            </w:div>
          </w:divsChild>
        </w:div>
        <w:div w:id="1138455061">
          <w:marLeft w:val="0"/>
          <w:marRight w:val="0"/>
          <w:marTop w:val="0"/>
          <w:marBottom w:val="0"/>
          <w:divBdr>
            <w:top w:val="none" w:sz="0" w:space="0" w:color="auto"/>
            <w:left w:val="none" w:sz="0" w:space="0" w:color="auto"/>
            <w:bottom w:val="none" w:sz="0" w:space="0" w:color="auto"/>
            <w:right w:val="none" w:sz="0" w:space="0" w:color="auto"/>
          </w:divBdr>
        </w:div>
        <w:div w:id="1130512816">
          <w:marLeft w:val="0"/>
          <w:marRight w:val="0"/>
          <w:marTop w:val="0"/>
          <w:marBottom w:val="0"/>
          <w:divBdr>
            <w:top w:val="none" w:sz="0" w:space="0" w:color="auto"/>
            <w:left w:val="none" w:sz="0" w:space="0" w:color="auto"/>
            <w:bottom w:val="none" w:sz="0" w:space="0" w:color="auto"/>
            <w:right w:val="none" w:sz="0" w:space="0" w:color="auto"/>
          </w:divBdr>
        </w:div>
        <w:div w:id="468593032">
          <w:marLeft w:val="0"/>
          <w:marRight w:val="0"/>
          <w:marTop w:val="0"/>
          <w:marBottom w:val="0"/>
          <w:divBdr>
            <w:top w:val="none" w:sz="0" w:space="0" w:color="auto"/>
            <w:left w:val="none" w:sz="0" w:space="0" w:color="auto"/>
            <w:bottom w:val="none" w:sz="0" w:space="0" w:color="auto"/>
            <w:right w:val="none" w:sz="0" w:space="0" w:color="auto"/>
          </w:divBdr>
        </w:div>
        <w:div w:id="1281763742">
          <w:marLeft w:val="0"/>
          <w:marRight w:val="0"/>
          <w:marTop w:val="0"/>
          <w:marBottom w:val="0"/>
          <w:divBdr>
            <w:top w:val="none" w:sz="0" w:space="0" w:color="auto"/>
            <w:left w:val="none" w:sz="0" w:space="0" w:color="auto"/>
            <w:bottom w:val="none" w:sz="0" w:space="0" w:color="auto"/>
            <w:right w:val="none" w:sz="0" w:space="0" w:color="auto"/>
          </w:divBdr>
          <w:divsChild>
            <w:div w:id="1482426924">
              <w:marLeft w:val="0"/>
              <w:marRight w:val="0"/>
              <w:marTop w:val="0"/>
              <w:marBottom w:val="0"/>
              <w:divBdr>
                <w:top w:val="none" w:sz="0" w:space="0" w:color="auto"/>
                <w:left w:val="none" w:sz="0" w:space="0" w:color="auto"/>
                <w:bottom w:val="none" w:sz="0" w:space="0" w:color="auto"/>
                <w:right w:val="none" w:sz="0" w:space="0" w:color="auto"/>
              </w:divBdr>
            </w:div>
          </w:divsChild>
        </w:div>
        <w:div w:id="792016776">
          <w:marLeft w:val="0"/>
          <w:marRight w:val="0"/>
          <w:marTop w:val="0"/>
          <w:marBottom w:val="0"/>
          <w:divBdr>
            <w:top w:val="none" w:sz="0" w:space="0" w:color="auto"/>
            <w:left w:val="none" w:sz="0" w:space="0" w:color="auto"/>
            <w:bottom w:val="none" w:sz="0" w:space="0" w:color="auto"/>
            <w:right w:val="none" w:sz="0" w:space="0" w:color="auto"/>
          </w:divBdr>
        </w:div>
        <w:div w:id="1811052493">
          <w:marLeft w:val="0"/>
          <w:marRight w:val="0"/>
          <w:marTop w:val="0"/>
          <w:marBottom w:val="0"/>
          <w:divBdr>
            <w:top w:val="none" w:sz="0" w:space="0" w:color="auto"/>
            <w:left w:val="none" w:sz="0" w:space="0" w:color="auto"/>
            <w:bottom w:val="none" w:sz="0" w:space="0" w:color="auto"/>
            <w:right w:val="none" w:sz="0" w:space="0" w:color="auto"/>
          </w:divBdr>
        </w:div>
        <w:div w:id="905459420">
          <w:marLeft w:val="0"/>
          <w:marRight w:val="0"/>
          <w:marTop w:val="0"/>
          <w:marBottom w:val="0"/>
          <w:divBdr>
            <w:top w:val="none" w:sz="0" w:space="0" w:color="auto"/>
            <w:left w:val="none" w:sz="0" w:space="0" w:color="auto"/>
            <w:bottom w:val="none" w:sz="0" w:space="0" w:color="auto"/>
            <w:right w:val="none" w:sz="0" w:space="0" w:color="auto"/>
          </w:divBdr>
          <w:divsChild>
            <w:div w:id="336276604">
              <w:marLeft w:val="0"/>
              <w:marRight w:val="0"/>
              <w:marTop w:val="0"/>
              <w:marBottom w:val="0"/>
              <w:divBdr>
                <w:top w:val="none" w:sz="0" w:space="0" w:color="auto"/>
                <w:left w:val="none" w:sz="0" w:space="0" w:color="auto"/>
                <w:bottom w:val="none" w:sz="0" w:space="0" w:color="auto"/>
                <w:right w:val="none" w:sz="0" w:space="0" w:color="auto"/>
              </w:divBdr>
            </w:div>
          </w:divsChild>
        </w:div>
        <w:div w:id="954171246">
          <w:marLeft w:val="0"/>
          <w:marRight w:val="0"/>
          <w:marTop w:val="0"/>
          <w:marBottom w:val="0"/>
          <w:divBdr>
            <w:top w:val="none" w:sz="0" w:space="0" w:color="auto"/>
            <w:left w:val="none" w:sz="0" w:space="0" w:color="auto"/>
            <w:bottom w:val="none" w:sz="0" w:space="0" w:color="auto"/>
            <w:right w:val="none" w:sz="0" w:space="0" w:color="auto"/>
          </w:divBdr>
        </w:div>
        <w:div w:id="1149634486">
          <w:marLeft w:val="0"/>
          <w:marRight w:val="0"/>
          <w:marTop w:val="0"/>
          <w:marBottom w:val="0"/>
          <w:divBdr>
            <w:top w:val="none" w:sz="0" w:space="0" w:color="auto"/>
            <w:left w:val="none" w:sz="0" w:space="0" w:color="auto"/>
            <w:bottom w:val="none" w:sz="0" w:space="0" w:color="auto"/>
            <w:right w:val="none" w:sz="0" w:space="0" w:color="auto"/>
          </w:divBdr>
        </w:div>
        <w:div w:id="1310012998">
          <w:marLeft w:val="0"/>
          <w:marRight w:val="0"/>
          <w:marTop w:val="0"/>
          <w:marBottom w:val="0"/>
          <w:divBdr>
            <w:top w:val="none" w:sz="0" w:space="0" w:color="auto"/>
            <w:left w:val="none" w:sz="0" w:space="0" w:color="auto"/>
            <w:bottom w:val="none" w:sz="0" w:space="0" w:color="auto"/>
            <w:right w:val="none" w:sz="0" w:space="0" w:color="auto"/>
          </w:divBdr>
        </w:div>
        <w:div w:id="873426140">
          <w:marLeft w:val="0"/>
          <w:marRight w:val="0"/>
          <w:marTop w:val="0"/>
          <w:marBottom w:val="0"/>
          <w:divBdr>
            <w:top w:val="none" w:sz="0" w:space="0" w:color="auto"/>
            <w:left w:val="none" w:sz="0" w:space="0" w:color="auto"/>
            <w:bottom w:val="none" w:sz="0" w:space="0" w:color="auto"/>
            <w:right w:val="none" w:sz="0" w:space="0" w:color="auto"/>
          </w:divBdr>
          <w:divsChild>
            <w:div w:id="548761008">
              <w:marLeft w:val="0"/>
              <w:marRight w:val="0"/>
              <w:marTop w:val="0"/>
              <w:marBottom w:val="0"/>
              <w:divBdr>
                <w:top w:val="none" w:sz="0" w:space="0" w:color="auto"/>
                <w:left w:val="none" w:sz="0" w:space="0" w:color="auto"/>
                <w:bottom w:val="none" w:sz="0" w:space="0" w:color="auto"/>
                <w:right w:val="none" w:sz="0" w:space="0" w:color="auto"/>
              </w:divBdr>
            </w:div>
          </w:divsChild>
        </w:div>
        <w:div w:id="1473671693">
          <w:marLeft w:val="0"/>
          <w:marRight w:val="0"/>
          <w:marTop w:val="0"/>
          <w:marBottom w:val="0"/>
          <w:divBdr>
            <w:top w:val="none" w:sz="0" w:space="0" w:color="auto"/>
            <w:left w:val="none" w:sz="0" w:space="0" w:color="auto"/>
            <w:bottom w:val="none" w:sz="0" w:space="0" w:color="auto"/>
            <w:right w:val="none" w:sz="0" w:space="0" w:color="auto"/>
          </w:divBdr>
        </w:div>
        <w:div w:id="2044088301">
          <w:marLeft w:val="0"/>
          <w:marRight w:val="0"/>
          <w:marTop w:val="0"/>
          <w:marBottom w:val="0"/>
          <w:divBdr>
            <w:top w:val="none" w:sz="0" w:space="0" w:color="auto"/>
            <w:left w:val="none" w:sz="0" w:space="0" w:color="auto"/>
            <w:bottom w:val="none" w:sz="0" w:space="0" w:color="auto"/>
            <w:right w:val="none" w:sz="0" w:space="0" w:color="auto"/>
          </w:divBdr>
        </w:div>
        <w:div w:id="1595281770">
          <w:marLeft w:val="0"/>
          <w:marRight w:val="0"/>
          <w:marTop w:val="0"/>
          <w:marBottom w:val="0"/>
          <w:divBdr>
            <w:top w:val="none" w:sz="0" w:space="0" w:color="auto"/>
            <w:left w:val="none" w:sz="0" w:space="0" w:color="auto"/>
            <w:bottom w:val="none" w:sz="0" w:space="0" w:color="auto"/>
            <w:right w:val="none" w:sz="0" w:space="0" w:color="auto"/>
          </w:divBdr>
        </w:div>
        <w:div w:id="2057779516">
          <w:marLeft w:val="0"/>
          <w:marRight w:val="0"/>
          <w:marTop w:val="0"/>
          <w:marBottom w:val="0"/>
          <w:divBdr>
            <w:top w:val="none" w:sz="0" w:space="0" w:color="auto"/>
            <w:left w:val="none" w:sz="0" w:space="0" w:color="auto"/>
            <w:bottom w:val="none" w:sz="0" w:space="0" w:color="auto"/>
            <w:right w:val="none" w:sz="0" w:space="0" w:color="auto"/>
          </w:divBdr>
          <w:divsChild>
            <w:div w:id="614289633">
              <w:marLeft w:val="0"/>
              <w:marRight w:val="0"/>
              <w:marTop w:val="0"/>
              <w:marBottom w:val="0"/>
              <w:divBdr>
                <w:top w:val="none" w:sz="0" w:space="0" w:color="auto"/>
                <w:left w:val="none" w:sz="0" w:space="0" w:color="auto"/>
                <w:bottom w:val="none" w:sz="0" w:space="0" w:color="auto"/>
                <w:right w:val="none" w:sz="0" w:space="0" w:color="auto"/>
              </w:divBdr>
            </w:div>
          </w:divsChild>
        </w:div>
        <w:div w:id="1550527864">
          <w:marLeft w:val="0"/>
          <w:marRight w:val="0"/>
          <w:marTop w:val="0"/>
          <w:marBottom w:val="0"/>
          <w:divBdr>
            <w:top w:val="none" w:sz="0" w:space="0" w:color="auto"/>
            <w:left w:val="none" w:sz="0" w:space="0" w:color="auto"/>
            <w:bottom w:val="none" w:sz="0" w:space="0" w:color="auto"/>
            <w:right w:val="none" w:sz="0" w:space="0" w:color="auto"/>
          </w:divBdr>
        </w:div>
        <w:div w:id="1757826319">
          <w:marLeft w:val="0"/>
          <w:marRight w:val="0"/>
          <w:marTop w:val="0"/>
          <w:marBottom w:val="0"/>
          <w:divBdr>
            <w:top w:val="none" w:sz="0" w:space="0" w:color="auto"/>
            <w:left w:val="none" w:sz="0" w:space="0" w:color="auto"/>
            <w:bottom w:val="none" w:sz="0" w:space="0" w:color="auto"/>
            <w:right w:val="none" w:sz="0" w:space="0" w:color="auto"/>
          </w:divBdr>
        </w:div>
        <w:div w:id="1462453903">
          <w:marLeft w:val="0"/>
          <w:marRight w:val="0"/>
          <w:marTop w:val="0"/>
          <w:marBottom w:val="0"/>
          <w:divBdr>
            <w:top w:val="none" w:sz="0" w:space="0" w:color="auto"/>
            <w:left w:val="none" w:sz="0" w:space="0" w:color="auto"/>
            <w:bottom w:val="none" w:sz="0" w:space="0" w:color="auto"/>
            <w:right w:val="none" w:sz="0" w:space="0" w:color="auto"/>
          </w:divBdr>
        </w:div>
        <w:div w:id="124390847">
          <w:marLeft w:val="0"/>
          <w:marRight w:val="0"/>
          <w:marTop w:val="0"/>
          <w:marBottom w:val="0"/>
          <w:divBdr>
            <w:top w:val="none" w:sz="0" w:space="0" w:color="auto"/>
            <w:left w:val="none" w:sz="0" w:space="0" w:color="auto"/>
            <w:bottom w:val="none" w:sz="0" w:space="0" w:color="auto"/>
            <w:right w:val="none" w:sz="0" w:space="0" w:color="auto"/>
          </w:divBdr>
          <w:divsChild>
            <w:div w:id="179516123">
              <w:marLeft w:val="0"/>
              <w:marRight w:val="0"/>
              <w:marTop w:val="0"/>
              <w:marBottom w:val="0"/>
              <w:divBdr>
                <w:top w:val="none" w:sz="0" w:space="0" w:color="auto"/>
                <w:left w:val="none" w:sz="0" w:space="0" w:color="auto"/>
                <w:bottom w:val="none" w:sz="0" w:space="0" w:color="auto"/>
                <w:right w:val="none" w:sz="0" w:space="0" w:color="auto"/>
              </w:divBdr>
            </w:div>
          </w:divsChild>
        </w:div>
        <w:div w:id="1937444518">
          <w:marLeft w:val="0"/>
          <w:marRight w:val="0"/>
          <w:marTop w:val="0"/>
          <w:marBottom w:val="0"/>
          <w:divBdr>
            <w:top w:val="none" w:sz="0" w:space="0" w:color="auto"/>
            <w:left w:val="none" w:sz="0" w:space="0" w:color="auto"/>
            <w:bottom w:val="none" w:sz="0" w:space="0" w:color="auto"/>
            <w:right w:val="none" w:sz="0" w:space="0" w:color="auto"/>
          </w:divBdr>
        </w:div>
        <w:div w:id="349987495">
          <w:marLeft w:val="0"/>
          <w:marRight w:val="0"/>
          <w:marTop w:val="0"/>
          <w:marBottom w:val="0"/>
          <w:divBdr>
            <w:top w:val="none" w:sz="0" w:space="0" w:color="auto"/>
            <w:left w:val="none" w:sz="0" w:space="0" w:color="auto"/>
            <w:bottom w:val="none" w:sz="0" w:space="0" w:color="auto"/>
            <w:right w:val="none" w:sz="0" w:space="0" w:color="auto"/>
          </w:divBdr>
        </w:div>
        <w:div w:id="1946308847">
          <w:marLeft w:val="0"/>
          <w:marRight w:val="0"/>
          <w:marTop w:val="0"/>
          <w:marBottom w:val="0"/>
          <w:divBdr>
            <w:top w:val="none" w:sz="0" w:space="0" w:color="auto"/>
            <w:left w:val="none" w:sz="0" w:space="0" w:color="auto"/>
            <w:bottom w:val="none" w:sz="0" w:space="0" w:color="auto"/>
            <w:right w:val="none" w:sz="0" w:space="0" w:color="auto"/>
          </w:divBdr>
          <w:divsChild>
            <w:div w:id="917979597">
              <w:marLeft w:val="0"/>
              <w:marRight w:val="0"/>
              <w:marTop w:val="0"/>
              <w:marBottom w:val="0"/>
              <w:divBdr>
                <w:top w:val="none" w:sz="0" w:space="0" w:color="auto"/>
                <w:left w:val="none" w:sz="0" w:space="0" w:color="auto"/>
                <w:bottom w:val="none" w:sz="0" w:space="0" w:color="auto"/>
                <w:right w:val="none" w:sz="0" w:space="0" w:color="auto"/>
              </w:divBdr>
            </w:div>
          </w:divsChild>
        </w:div>
        <w:div w:id="196940598">
          <w:marLeft w:val="0"/>
          <w:marRight w:val="0"/>
          <w:marTop w:val="0"/>
          <w:marBottom w:val="0"/>
          <w:divBdr>
            <w:top w:val="none" w:sz="0" w:space="0" w:color="auto"/>
            <w:left w:val="none" w:sz="0" w:space="0" w:color="auto"/>
            <w:bottom w:val="none" w:sz="0" w:space="0" w:color="auto"/>
            <w:right w:val="none" w:sz="0" w:space="0" w:color="auto"/>
          </w:divBdr>
        </w:div>
        <w:div w:id="182090552">
          <w:marLeft w:val="0"/>
          <w:marRight w:val="0"/>
          <w:marTop w:val="0"/>
          <w:marBottom w:val="0"/>
          <w:divBdr>
            <w:top w:val="none" w:sz="0" w:space="0" w:color="auto"/>
            <w:left w:val="none" w:sz="0" w:space="0" w:color="auto"/>
            <w:bottom w:val="none" w:sz="0" w:space="0" w:color="auto"/>
            <w:right w:val="none" w:sz="0" w:space="0" w:color="auto"/>
          </w:divBdr>
        </w:div>
        <w:div w:id="913196782">
          <w:marLeft w:val="0"/>
          <w:marRight w:val="0"/>
          <w:marTop w:val="0"/>
          <w:marBottom w:val="0"/>
          <w:divBdr>
            <w:top w:val="none" w:sz="0" w:space="0" w:color="auto"/>
            <w:left w:val="none" w:sz="0" w:space="0" w:color="auto"/>
            <w:bottom w:val="none" w:sz="0" w:space="0" w:color="auto"/>
            <w:right w:val="none" w:sz="0" w:space="0" w:color="auto"/>
          </w:divBdr>
        </w:div>
        <w:div w:id="857818078">
          <w:marLeft w:val="0"/>
          <w:marRight w:val="0"/>
          <w:marTop w:val="0"/>
          <w:marBottom w:val="0"/>
          <w:divBdr>
            <w:top w:val="none" w:sz="0" w:space="0" w:color="auto"/>
            <w:left w:val="none" w:sz="0" w:space="0" w:color="auto"/>
            <w:bottom w:val="none" w:sz="0" w:space="0" w:color="auto"/>
            <w:right w:val="none" w:sz="0" w:space="0" w:color="auto"/>
          </w:divBdr>
          <w:divsChild>
            <w:div w:id="822158557">
              <w:marLeft w:val="0"/>
              <w:marRight w:val="0"/>
              <w:marTop w:val="0"/>
              <w:marBottom w:val="0"/>
              <w:divBdr>
                <w:top w:val="none" w:sz="0" w:space="0" w:color="auto"/>
                <w:left w:val="none" w:sz="0" w:space="0" w:color="auto"/>
                <w:bottom w:val="none" w:sz="0" w:space="0" w:color="auto"/>
                <w:right w:val="none" w:sz="0" w:space="0" w:color="auto"/>
              </w:divBdr>
            </w:div>
          </w:divsChild>
        </w:div>
        <w:div w:id="620768154">
          <w:marLeft w:val="0"/>
          <w:marRight w:val="0"/>
          <w:marTop w:val="0"/>
          <w:marBottom w:val="0"/>
          <w:divBdr>
            <w:top w:val="none" w:sz="0" w:space="0" w:color="auto"/>
            <w:left w:val="none" w:sz="0" w:space="0" w:color="auto"/>
            <w:bottom w:val="none" w:sz="0" w:space="0" w:color="auto"/>
            <w:right w:val="none" w:sz="0" w:space="0" w:color="auto"/>
          </w:divBdr>
        </w:div>
        <w:div w:id="1181821810">
          <w:marLeft w:val="0"/>
          <w:marRight w:val="0"/>
          <w:marTop w:val="0"/>
          <w:marBottom w:val="0"/>
          <w:divBdr>
            <w:top w:val="none" w:sz="0" w:space="0" w:color="auto"/>
            <w:left w:val="none" w:sz="0" w:space="0" w:color="auto"/>
            <w:bottom w:val="none" w:sz="0" w:space="0" w:color="auto"/>
            <w:right w:val="none" w:sz="0" w:space="0" w:color="auto"/>
          </w:divBdr>
        </w:div>
        <w:div w:id="973604893">
          <w:marLeft w:val="0"/>
          <w:marRight w:val="0"/>
          <w:marTop w:val="0"/>
          <w:marBottom w:val="0"/>
          <w:divBdr>
            <w:top w:val="none" w:sz="0" w:space="0" w:color="auto"/>
            <w:left w:val="none" w:sz="0" w:space="0" w:color="auto"/>
            <w:bottom w:val="none" w:sz="0" w:space="0" w:color="auto"/>
            <w:right w:val="none" w:sz="0" w:space="0" w:color="auto"/>
          </w:divBdr>
          <w:divsChild>
            <w:div w:id="1495805843">
              <w:marLeft w:val="0"/>
              <w:marRight w:val="0"/>
              <w:marTop w:val="0"/>
              <w:marBottom w:val="0"/>
              <w:divBdr>
                <w:top w:val="none" w:sz="0" w:space="0" w:color="auto"/>
                <w:left w:val="none" w:sz="0" w:space="0" w:color="auto"/>
                <w:bottom w:val="none" w:sz="0" w:space="0" w:color="auto"/>
                <w:right w:val="none" w:sz="0" w:space="0" w:color="auto"/>
              </w:divBdr>
            </w:div>
          </w:divsChild>
        </w:div>
        <w:div w:id="1095517303">
          <w:marLeft w:val="0"/>
          <w:marRight w:val="0"/>
          <w:marTop w:val="0"/>
          <w:marBottom w:val="0"/>
          <w:divBdr>
            <w:top w:val="none" w:sz="0" w:space="0" w:color="auto"/>
            <w:left w:val="none" w:sz="0" w:space="0" w:color="auto"/>
            <w:bottom w:val="none" w:sz="0" w:space="0" w:color="auto"/>
            <w:right w:val="none" w:sz="0" w:space="0" w:color="auto"/>
          </w:divBdr>
        </w:div>
        <w:div w:id="512494144">
          <w:marLeft w:val="0"/>
          <w:marRight w:val="0"/>
          <w:marTop w:val="0"/>
          <w:marBottom w:val="0"/>
          <w:divBdr>
            <w:top w:val="none" w:sz="0" w:space="0" w:color="auto"/>
            <w:left w:val="none" w:sz="0" w:space="0" w:color="auto"/>
            <w:bottom w:val="none" w:sz="0" w:space="0" w:color="auto"/>
            <w:right w:val="none" w:sz="0" w:space="0" w:color="auto"/>
          </w:divBdr>
        </w:div>
        <w:div w:id="1627158833">
          <w:marLeft w:val="0"/>
          <w:marRight w:val="0"/>
          <w:marTop w:val="0"/>
          <w:marBottom w:val="0"/>
          <w:divBdr>
            <w:top w:val="none" w:sz="0" w:space="0" w:color="auto"/>
            <w:left w:val="none" w:sz="0" w:space="0" w:color="auto"/>
            <w:bottom w:val="none" w:sz="0" w:space="0" w:color="auto"/>
            <w:right w:val="none" w:sz="0" w:space="0" w:color="auto"/>
          </w:divBdr>
          <w:divsChild>
            <w:div w:id="1159347787">
              <w:marLeft w:val="0"/>
              <w:marRight w:val="0"/>
              <w:marTop w:val="0"/>
              <w:marBottom w:val="0"/>
              <w:divBdr>
                <w:top w:val="none" w:sz="0" w:space="0" w:color="auto"/>
                <w:left w:val="none" w:sz="0" w:space="0" w:color="auto"/>
                <w:bottom w:val="none" w:sz="0" w:space="0" w:color="auto"/>
                <w:right w:val="none" w:sz="0" w:space="0" w:color="auto"/>
              </w:divBdr>
            </w:div>
          </w:divsChild>
        </w:div>
        <w:div w:id="152723419">
          <w:marLeft w:val="0"/>
          <w:marRight w:val="0"/>
          <w:marTop w:val="0"/>
          <w:marBottom w:val="0"/>
          <w:divBdr>
            <w:top w:val="none" w:sz="0" w:space="0" w:color="auto"/>
            <w:left w:val="none" w:sz="0" w:space="0" w:color="auto"/>
            <w:bottom w:val="none" w:sz="0" w:space="0" w:color="auto"/>
            <w:right w:val="none" w:sz="0" w:space="0" w:color="auto"/>
          </w:divBdr>
        </w:div>
        <w:div w:id="1795446955">
          <w:marLeft w:val="0"/>
          <w:marRight w:val="0"/>
          <w:marTop w:val="0"/>
          <w:marBottom w:val="0"/>
          <w:divBdr>
            <w:top w:val="none" w:sz="0" w:space="0" w:color="auto"/>
            <w:left w:val="none" w:sz="0" w:space="0" w:color="auto"/>
            <w:bottom w:val="none" w:sz="0" w:space="0" w:color="auto"/>
            <w:right w:val="none" w:sz="0" w:space="0" w:color="auto"/>
          </w:divBdr>
        </w:div>
        <w:div w:id="1521241677">
          <w:marLeft w:val="0"/>
          <w:marRight w:val="0"/>
          <w:marTop w:val="0"/>
          <w:marBottom w:val="0"/>
          <w:divBdr>
            <w:top w:val="none" w:sz="0" w:space="0" w:color="auto"/>
            <w:left w:val="none" w:sz="0" w:space="0" w:color="auto"/>
            <w:bottom w:val="none" w:sz="0" w:space="0" w:color="auto"/>
            <w:right w:val="none" w:sz="0" w:space="0" w:color="auto"/>
          </w:divBdr>
          <w:divsChild>
            <w:div w:id="791945711">
              <w:marLeft w:val="0"/>
              <w:marRight w:val="0"/>
              <w:marTop w:val="0"/>
              <w:marBottom w:val="0"/>
              <w:divBdr>
                <w:top w:val="none" w:sz="0" w:space="0" w:color="auto"/>
                <w:left w:val="none" w:sz="0" w:space="0" w:color="auto"/>
                <w:bottom w:val="none" w:sz="0" w:space="0" w:color="auto"/>
                <w:right w:val="none" w:sz="0" w:space="0" w:color="auto"/>
              </w:divBdr>
            </w:div>
          </w:divsChild>
        </w:div>
        <w:div w:id="1863123817">
          <w:marLeft w:val="0"/>
          <w:marRight w:val="0"/>
          <w:marTop w:val="0"/>
          <w:marBottom w:val="0"/>
          <w:divBdr>
            <w:top w:val="none" w:sz="0" w:space="0" w:color="auto"/>
            <w:left w:val="none" w:sz="0" w:space="0" w:color="auto"/>
            <w:bottom w:val="none" w:sz="0" w:space="0" w:color="auto"/>
            <w:right w:val="none" w:sz="0" w:space="0" w:color="auto"/>
          </w:divBdr>
        </w:div>
        <w:div w:id="1835953720">
          <w:marLeft w:val="0"/>
          <w:marRight w:val="0"/>
          <w:marTop w:val="0"/>
          <w:marBottom w:val="0"/>
          <w:divBdr>
            <w:top w:val="none" w:sz="0" w:space="0" w:color="auto"/>
            <w:left w:val="none" w:sz="0" w:space="0" w:color="auto"/>
            <w:bottom w:val="none" w:sz="0" w:space="0" w:color="auto"/>
            <w:right w:val="none" w:sz="0" w:space="0" w:color="auto"/>
          </w:divBdr>
        </w:div>
        <w:div w:id="1934851914">
          <w:marLeft w:val="0"/>
          <w:marRight w:val="0"/>
          <w:marTop w:val="0"/>
          <w:marBottom w:val="0"/>
          <w:divBdr>
            <w:top w:val="none" w:sz="0" w:space="0" w:color="auto"/>
            <w:left w:val="none" w:sz="0" w:space="0" w:color="auto"/>
            <w:bottom w:val="none" w:sz="0" w:space="0" w:color="auto"/>
            <w:right w:val="none" w:sz="0" w:space="0" w:color="auto"/>
          </w:divBdr>
          <w:divsChild>
            <w:div w:id="214120451">
              <w:marLeft w:val="0"/>
              <w:marRight w:val="0"/>
              <w:marTop w:val="0"/>
              <w:marBottom w:val="0"/>
              <w:divBdr>
                <w:top w:val="none" w:sz="0" w:space="0" w:color="auto"/>
                <w:left w:val="none" w:sz="0" w:space="0" w:color="auto"/>
                <w:bottom w:val="none" w:sz="0" w:space="0" w:color="auto"/>
                <w:right w:val="none" w:sz="0" w:space="0" w:color="auto"/>
              </w:divBdr>
            </w:div>
          </w:divsChild>
        </w:div>
        <w:div w:id="1730691625">
          <w:marLeft w:val="0"/>
          <w:marRight w:val="0"/>
          <w:marTop w:val="0"/>
          <w:marBottom w:val="0"/>
          <w:divBdr>
            <w:top w:val="none" w:sz="0" w:space="0" w:color="auto"/>
            <w:left w:val="none" w:sz="0" w:space="0" w:color="auto"/>
            <w:bottom w:val="none" w:sz="0" w:space="0" w:color="auto"/>
            <w:right w:val="none" w:sz="0" w:space="0" w:color="auto"/>
          </w:divBdr>
        </w:div>
        <w:div w:id="859272731">
          <w:marLeft w:val="0"/>
          <w:marRight w:val="0"/>
          <w:marTop w:val="0"/>
          <w:marBottom w:val="0"/>
          <w:divBdr>
            <w:top w:val="none" w:sz="0" w:space="0" w:color="auto"/>
            <w:left w:val="none" w:sz="0" w:space="0" w:color="auto"/>
            <w:bottom w:val="none" w:sz="0" w:space="0" w:color="auto"/>
            <w:right w:val="none" w:sz="0" w:space="0" w:color="auto"/>
          </w:divBdr>
        </w:div>
        <w:div w:id="267737601">
          <w:marLeft w:val="0"/>
          <w:marRight w:val="0"/>
          <w:marTop w:val="0"/>
          <w:marBottom w:val="0"/>
          <w:divBdr>
            <w:top w:val="none" w:sz="0" w:space="0" w:color="auto"/>
            <w:left w:val="none" w:sz="0" w:space="0" w:color="auto"/>
            <w:bottom w:val="none" w:sz="0" w:space="0" w:color="auto"/>
            <w:right w:val="none" w:sz="0" w:space="0" w:color="auto"/>
          </w:divBdr>
          <w:divsChild>
            <w:div w:id="329062015">
              <w:marLeft w:val="0"/>
              <w:marRight w:val="0"/>
              <w:marTop w:val="0"/>
              <w:marBottom w:val="0"/>
              <w:divBdr>
                <w:top w:val="none" w:sz="0" w:space="0" w:color="auto"/>
                <w:left w:val="none" w:sz="0" w:space="0" w:color="auto"/>
                <w:bottom w:val="none" w:sz="0" w:space="0" w:color="auto"/>
                <w:right w:val="none" w:sz="0" w:space="0" w:color="auto"/>
              </w:divBdr>
            </w:div>
          </w:divsChild>
        </w:div>
        <w:div w:id="2039693467">
          <w:marLeft w:val="0"/>
          <w:marRight w:val="0"/>
          <w:marTop w:val="0"/>
          <w:marBottom w:val="0"/>
          <w:divBdr>
            <w:top w:val="none" w:sz="0" w:space="0" w:color="auto"/>
            <w:left w:val="none" w:sz="0" w:space="0" w:color="auto"/>
            <w:bottom w:val="none" w:sz="0" w:space="0" w:color="auto"/>
            <w:right w:val="none" w:sz="0" w:space="0" w:color="auto"/>
          </w:divBdr>
        </w:div>
        <w:div w:id="192157433">
          <w:marLeft w:val="0"/>
          <w:marRight w:val="0"/>
          <w:marTop w:val="0"/>
          <w:marBottom w:val="0"/>
          <w:divBdr>
            <w:top w:val="none" w:sz="0" w:space="0" w:color="auto"/>
            <w:left w:val="none" w:sz="0" w:space="0" w:color="auto"/>
            <w:bottom w:val="none" w:sz="0" w:space="0" w:color="auto"/>
            <w:right w:val="none" w:sz="0" w:space="0" w:color="auto"/>
          </w:divBdr>
        </w:div>
        <w:div w:id="1282879470">
          <w:marLeft w:val="0"/>
          <w:marRight w:val="0"/>
          <w:marTop w:val="0"/>
          <w:marBottom w:val="0"/>
          <w:divBdr>
            <w:top w:val="none" w:sz="0" w:space="0" w:color="auto"/>
            <w:left w:val="none" w:sz="0" w:space="0" w:color="auto"/>
            <w:bottom w:val="none" w:sz="0" w:space="0" w:color="auto"/>
            <w:right w:val="none" w:sz="0" w:space="0" w:color="auto"/>
          </w:divBdr>
          <w:divsChild>
            <w:div w:id="1790736801">
              <w:marLeft w:val="0"/>
              <w:marRight w:val="0"/>
              <w:marTop w:val="0"/>
              <w:marBottom w:val="0"/>
              <w:divBdr>
                <w:top w:val="none" w:sz="0" w:space="0" w:color="auto"/>
                <w:left w:val="none" w:sz="0" w:space="0" w:color="auto"/>
                <w:bottom w:val="none" w:sz="0" w:space="0" w:color="auto"/>
                <w:right w:val="none" w:sz="0" w:space="0" w:color="auto"/>
              </w:divBdr>
            </w:div>
          </w:divsChild>
        </w:div>
        <w:div w:id="1400515873">
          <w:marLeft w:val="0"/>
          <w:marRight w:val="0"/>
          <w:marTop w:val="0"/>
          <w:marBottom w:val="0"/>
          <w:divBdr>
            <w:top w:val="none" w:sz="0" w:space="0" w:color="auto"/>
            <w:left w:val="none" w:sz="0" w:space="0" w:color="auto"/>
            <w:bottom w:val="none" w:sz="0" w:space="0" w:color="auto"/>
            <w:right w:val="none" w:sz="0" w:space="0" w:color="auto"/>
          </w:divBdr>
        </w:div>
        <w:div w:id="1700350020">
          <w:marLeft w:val="0"/>
          <w:marRight w:val="0"/>
          <w:marTop w:val="0"/>
          <w:marBottom w:val="0"/>
          <w:divBdr>
            <w:top w:val="none" w:sz="0" w:space="0" w:color="auto"/>
            <w:left w:val="none" w:sz="0" w:space="0" w:color="auto"/>
            <w:bottom w:val="none" w:sz="0" w:space="0" w:color="auto"/>
            <w:right w:val="none" w:sz="0" w:space="0" w:color="auto"/>
          </w:divBdr>
        </w:div>
        <w:div w:id="74592004">
          <w:marLeft w:val="0"/>
          <w:marRight w:val="0"/>
          <w:marTop w:val="0"/>
          <w:marBottom w:val="0"/>
          <w:divBdr>
            <w:top w:val="none" w:sz="0" w:space="0" w:color="auto"/>
            <w:left w:val="none" w:sz="0" w:space="0" w:color="auto"/>
            <w:bottom w:val="none" w:sz="0" w:space="0" w:color="auto"/>
            <w:right w:val="none" w:sz="0" w:space="0" w:color="auto"/>
          </w:divBdr>
          <w:divsChild>
            <w:div w:id="2125150108">
              <w:marLeft w:val="0"/>
              <w:marRight w:val="0"/>
              <w:marTop w:val="0"/>
              <w:marBottom w:val="0"/>
              <w:divBdr>
                <w:top w:val="none" w:sz="0" w:space="0" w:color="auto"/>
                <w:left w:val="none" w:sz="0" w:space="0" w:color="auto"/>
                <w:bottom w:val="none" w:sz="0" w:space="0" w:color="auto"/>
                <w:right w:val="none" w:sz="0" w:space="0" w:color="auto"/>
              </w:divBdr>
            </w:div>
          </w:divsChild>
        </w:div>
        <w:div w:id="1178151938">
          <w:marLeft w:val="0"/>
          <w:marRight w:val="0"/>
          <w:marTop w:val="0"/>
          <w:marBottom w:val="0"/>
          <w:divBdr>
            <w:top w:val="none" w:sz="0" w:space="0" w:color="auto"/>
            <w:left w:val="none" w:sz="0" w:space="0" w:color="auto"/>
            <w:bottom w:val="none" w:sz="0" w:space="0" w:color="auto"/>
            <w:right w:val="none" w:sz="0" w:space="0" w:color="auto"/>
          </w:divBdr>
        </w:div>
        <w:div w:id="1447652041">
          <w:marLeft w:val="0"/>
          <w:marRight w:val="0"/>
          <w:marTop w:val="0"/>
          <w:marBottom w:val="0"/>
          <w:divBdr>
            <w:top w:val="none" w:sz="0" w:space="0" w:color="auto"/>
            <w:left w:val="none" w:sz="0" w:space="0" w:color="auto"/>
            <w:bottom w:val="none" w:sz="0" w:space="0" w:color="auto"/>
            <w:right w:val="none" w:sz="0" w:space="0" w:color="auto"/>
          </w:divBdr>
        </w:div>
        <w:div w:id="1301421527">
          <w:marLeft w:val="0"/>
          <w:marRight w:val="0"/>
          <w:marTop w:val="0"/>
          <w:marBottom w:val="0"/>
          <w:divBdr>
            <w:top w:val="none" w:sz="0" w:space="0" w:color="auto"/>
            <w:left w:val="none" w:sz="0" w:space="0" w:color="auto"/>
            <w:bottom w:val="none" w:sz="0" w:space="0" w:color="auto"/>
            <w:right w:val="none" w:sz="0" w:space="0" w:color="auto"/>
          </w:divBdr>
        </w:div>
        <w:div w:id="1764715219">
          <w:marLeft w:val="0"/>
          <w:marRight w:val="0"/>
          <w:marTop w:val="0"/>
          <w:marBottom w:val="0"/>
          <w:divBdr>
            <w:top w:val="none" w:sz="0" w:space="0" w:color="auto"/>
            <w:left w:val="none" w:sz="0" w:space="0" w:color="auto"/>
            <w:bottom w:val="none" w:sz="0" w:space="0" w:color="auto"/>
            <w:right w:val="none" w:sz="0" w:space="0" w:color="auto"/>
          </w:divBdr>
          <w:divsChild>
            <w:div w:id="1430737718">
              <w:marLeft w:val="0"/>
              <w:marRight w:val="0"/>
              <w:marTop w:val="0"/>
              <w:marBottom w:val="0"/>
              <w:divBdr>
                <w:top w:val="none" w:sz="0" w:space="0" w:color="auto"/>
                <w:left w:val="none" w:sz="0" w:space="0" w:color="auto"/>
                <w:bottom w:val="none" w:sz="0" w:space="0" w:color="auto"/>
                <w:right w:val="none" w:sz="0" w:space="0" w:color="auto"/>
              </w:divBdr>
            </w:div>
          </w:divsChild>
        </w:div>
        <w:div w:id="942611853">
          <w:marLeft w:val="0"/>
          <w:marRight w:val="0"/>
          <w:marTop w:val="0"/>
          <w:marBottom w:val="0"/>
          <w:divBdr>
            <w:top w:val="none" w:sz="0" w:space="0" w:color="auto"/>
            <w:left w:val="none" w:sz="0" w:space="0" w:color="auto"/>
            <w:bottom w:val="none" w:sz="0" w:space="0" w:color="auto"/>
            <w:right w:val="none" w:sz="0" w:space="0" w:color="auto"/>
          </w:divBdr>
        </w:div>
        <w:div w:id="805898298">
          <w:marLeft w:val="0"/>
          <w:marRight w:val="0"/>
          <w:marTop w:val="0"/>
          <w:marBottom w:val="0"/>
          <w:divBdr>
            <w:top w:val="none" w:sz="0" w:space="0" w:color="auto"/>
            <w:left w:val="none" w:sz="0" w:space="0" w:color="auto"/>
            <w:bottom w:val="none" w:sz="0" w:space="0" w:color="auto"/>
            <w:right w:val="none" w:sz="0" w:space="0" w:color="auto"/>
          </w:divBdr>
        </w:div>
        <w:div w:id="783622410">
          <w:marLeft w:val="0"/>
          <w:marRight w:val="0"/>
          <w:marTop w:val="0"/>
          <w:marBottom w:val="0"/>
          <w:divBdr>
            <w:top w:val="none" w:sz="0" w:space="0" w:color="auto"/>
            <w:left w:val="none" w:sz="0" w:space="0" w:color="auto"/>
            <w:bottom w:val="none" w:sz="0" w:space="0" w:color="auto"/>
            <w:right w:val="none" w:sz="0" w:space="0" w:color="auto"/>
          </w:divBdr>
        </w:div>
        <w:div w:id="427772188">
          <w:marLeft w:val="0"/>
          <w:marRight w:val="0"/>
          <w:marTop w:val="0"/>
          <w:marBottom w:val="0"/>
          <w:divBdr>
            <w:top w:val="none" w:sz="0" w:space="0" w:color="auto"/>
            <w:left w:val="none" w:sz="0" w:space="0" w:color="auto"/>
            <w:bottom w:val="none" w:sz="0" w:space="0" w:color="auto"/>
            <w:right w:val="none" w:sz="0" w:space="0" w:color="auto"/>
          </w:divBdr>
        </w:div>
        <w:div w:id="315958597">
          <w:marLeft w:val="0"/>
          <w:marRight w:val="0"/>
          <w:marTop w:val="0"/>
          <w:marBottom w:val="0"/>
          <w:divBdr>
            <w:top w:val="none" w:sz="0" w:space="0" w:color="auto"/>
            <w:left w:val="none" w:sz="0" w:space="0" w:color="auto"/>
            <w:bottom w:val="none" w:sz="0" w:space="0" w:color="auto"/>
            <w:right w:val="none" w:sz="0" w:space="0" w:color="auto"/>
          </w:divBdr>
          <w:divsChild>
            <w:div w:id="1453213151">
              <w:marLeft w:val="0"/>
              <w:marRight w:val="0"/>
              <w:marTop w:val="0"/>
              <w:marBottom w:val="0"/>
              <w:divBdr>
                <w:top w:val="none" w:sz="0" w:space="0" w:color="auto"/>
                <w:left w:val="none" w:sz="0" w:space="0" w:color="auto"/>
                <w:bottom w:val="none" w:sz="0" w:space="0" w:color="auto"/>
                <w:right w:val="none" w:sz="0" w:space="0" w:color="auto"/>
              </w:divBdr>
            </w:div>
          </w:divsChild>
        </w:div>
        <w:div w:id="1375347526">
          <w:marLeft w:val="0"/>
          <w:marRight w:val="0"/>
          <w:marTop w:val="0"/>
          <w:marBottom w:val="0"/>
          <w:divBdr>
            <w:top w:val="none" w:sz="0" w:space="0" w:color="auto"/>
            <w:left w:val="none" w:sz="0" w:space="0" w:color="auto"/>
            <w:bottom w:val="none" w:sz="0" w:space="0" w:color="auto"/>
            <w:right w:val="none" w:sz="0" w:space="0" w:color="auto"/>
          </w:divBdr>
        </w:div>
        <w:div w:id="1344673699">
          <w:marLeft w:val="0"/>
          <w:marRight w:val="0"/>
          <w:marTop w:val="0"/>
          <w:marBottom w:val="0"/>
          <w:divBdr>
            <w:top w:val="none" w:sz="0" w:space="0" w:color="auto"/>
            <w:left w:val="none" w:sz="0" w:space="0" w:color="auto"/>
            <w:bottom w:val="none" w:sz="0" w:space="0" w:color="auto"/>
            <w:right w:val="none" w:sz="0" w:space="0" w:color="auto"/>
          </w:divBdr>
        </w:div>
        <w:div w:id="1631935537">
          <w:marLeft w:val="0"/>
          <w:marRight w:val="0"/>
          <w:marTop w:val="0"/>
          <w:marBottom w:val="0"/>
          <w:divBdr>
            <w:top w:val="none" w:sz="0" w:space="0" w:color="auto"/>
            <w:left w:val="none" w:sz="0" w:space="0" w:color="auto"/>
            <w:bottom w:val="none" w:sz="0" w:space="0" w:color="auto"/>
            <w:right w:val="none" w:sz="0" w:space="0" w:color="auto"/>
          </w:divBdr>
        </w:div>
        <w:div w:id="1942640075">
          <w:marLeft w:val="0"/>
          <w:marRight w:val="0"/>
          <w:marTop w:val="0"/>
          <w:marBottom w:val="0"/>
          <w:divBdr>
            <w:top w:val="none" w:sz="0" w:space="0" w:color="auto"/>
            <w:left w:val="none" w:sz="0" w:space="0" w:color="auto"/>
            <w:bottom w:val="none" w:sz="0" w:space="0" w:color="auto"/>
            <w:right w:val="none" w:sz="0" w:space="0" w:color="auto"/>
          </w:divBdr>
          <w:divsChild>
            <w:div w:id="1876697824">
              <w:marLeft w:val="0"/>
              <w:marRight w:val="0"/>
              <w:marTop w:val="0"/>
              <w:marBottom w:val="0"/>
              <w:divBdr>
                <w:top w:val="none" w:sz="0" w:space="0" w:color="auto"/>
                <w:left w:val="none" w:sz="0" w:space="0" w:color="auto"/>
                <w:bottom w:val="none" w:sz="0" w:space="0" w:color="auto"/>
                <w:right w:val="none" w:sz="0" w:space="0" w:color="auto"/>
              </w:divBdr>
            </w:div>
          </w:divsChild>
        </w:div>
        <w:div w:id="2063598599">
          <w:marLeft w:val="0"/>
          <w:marRight w:val="0"/>
          <w:marTop w:val="0"/>
          <w:marBottom w:val="0"/>
          <w:divBdr>
            <w:top w:val="none" w:sz="0" w:space="0" w:color="auto"/>
            <w:left w:val="none" w:sz="0" w:space="0" w:color="auto"/>
            <w:bottom w:val="none" w:sz="0" w:space="0" w:color="auto"/>
            <w:right w:val="none" w:sz="0" w:space="0" w:color="auto"/>
          </w:divBdr>
        </w:div>
        <w:div w:id="470294572">
          <w:marLeft w:val="0"/>
          <w:marRight w:val="0"/>
          <w:marTop w:val="0"/>
          <w:marBottom w:val="0"/>
          <w:divBdr>
            <w:top w:val="none" w:sz="0" w:space="0" w:color="auto"/>
            <w:left w:val="none" w:sz="0" w:space="0" w:color="auto"/>
            <w:bottom w:val="none" w:sz="0" w:space="0" w:color="auto"/>
            <w:right w:val="none" w:sz="0" w:space="0" w:color="auto"/>
          </w:divBdr>
        </w:div>
        <w:div w:id="1445882671">
          <w:marLeft w:val="0"/>
          <w:marRight w:val="0"/>
          <w:marTop w:val="0"/>
          <w:marBottom w:val="0"/>
          <w:divBdr>
            <w:top w:val="none" w:sz="0" w:space="0" w:color="auto"/>
            <w:left w:val="none" w:sz="0" w:space="0" w:color="auto"/>
            <w:bottom w:val="none" w:sz="0" w:space="0" w:color="auto"/>
            <w:right w:val="none" w:sz="0" w:space="0" w:color="auto"/>
          </w:divBdr>
        </w:div>
        <w:div w:id="1774009627">
          <w:marLeft w:val="0"/>
          <w:marRight w:val="0"/>
          <w:marTop w:val="0"/>
          <w:marBottom w:val="0"/>
          <w:divBdr>
            <w:top w:val="none" w:sz="0" w:space="0" w:color="auto"/>
            <w:left w:val="none" w:sz="0" w:space="0" w:color="auto"/>
            <w:bottom w:val="none" w:sz="0" w:space="0" w:color="auto"/>
            <w:right w:val="none" w:sz="0" w:space="0" w:color="auto"/>
          </w:divBdr>
          <w:divsChild>
            <w:div w:id="338896765">
              <w:marLeft w:val="0"/>
              <w:marRight w:val="0"/>
              <w:marTop w:val="0"/>
              <w:marBottom w:val="0"/>
              <w:divBdr>
                <w:top w:val="none" w:sz="0" w:space="0" w:color="auto"/>
                <w:left w:val="none" w:sz="0" w:space="0" w:color="auto"/>
                <w:bottom w:val="none" w:sz="0" w:space="0" w:color="auto"/>
                <w:right w:val="none" w:sz="0" w:space="0" w:color="auto"/>
              </w:divBdr>
            </w:div>
          </w:divsChild>
        </w:div>
        <w:div w:id="1211111965">
          <w:marLeft w:val="0"/>
          <w:marRight w:val="0"/>
          <w:marTop w:val="0"/>
          <w:marBottom w:val="0"/>
          <w:divBdr>
            <w:top w:val="none" w:sz="0" w:space="0" w:color="auto"/>
            <w:left w:val="none" w:sz="0" w:space="0" w:color="auto"/>
            <w:bottom w:val="none" w:sz="0" w:space="0" w:color="auto"/>
            <w:right w:val="none" w:sz="0" w:space="0" w:color="auto"/>
          </w:divBdr>
        </w:div>
        <w:div w:id="1478959638">
          <w:marLeft w:val="0"/>
          <w:marRight w:val="0"/>
          <w:marTop w:val="0"/>
          <w:marBottom w:val="0"/>
          <w:divBdr>
            <w:top w:val="none" w:sz="0" w:space="0" w:color="auto"/>
            <w:left w:val="none" w:sz="0" w:space="0" w:color="auto"/>
            <w:bottom w:val="none" w:sz="0" w:space="0" w:color="auto"/>
            <w:right w:val="none" w:sz="0" w:space="0" w:color="auto"/>
          </w:divBdr>
        </w:div>
        <w:div w:id="748385761">
          <w:marLeft w:val="0"/>
          <w:marRight w:val="0"/>
          <w:marTop w:val="0"/>
          <w:marBottom w:val="0"/>
          <w:divBdr>
            <w:top w:val="none" w:sz="0" w:space="0" w:color="auto"/>
            <w:left w:val="none" w:sz="0" w:space="0" w:color="auto"/>
            <w:bottom w:val="none" w:sz="0" w:space="0" w:color="auto"/>
            <w:right w:val="none" w:sz="0" w:space="0" w:color="auto"/>
          </w:divBdr>
        </w:div>
        <w:div w:id="2088645348">
          <w:marLeft w:val="0"/>
          <w:marRight w:val="0"/>
          <w:marTop w:val="0"/>
          <w:marBottom w:val="0"/>
          <w:divBdr>
            <w:top w:val="none" w:sz="0" w:space="0" w:color="auto"/>
            <w:left w:val="none" w:sz="0" w:space="0" w:color="auto"/>
            <w:bottom w:val="none" w:sz="0" w:space="0" w:color="auto"/>
            <w:right w:val="none" w:sz="0" w:space="0" w:color="auto"/>
          </w:divBdr>
          <w:divsChild>
            <w:div w:id="1889802131">
              <w:marLeft w:val="0"/>
              <w:marRight w:val="0"/>
              <w:marTop w:val="0"/>
              <w:marBottom w:val="0"/>
              <w:divBdr>
                <w:top w:val="none" w:sz="0" w:space="0" w:color="auto"/>
                <w:left w:val="none" w:sz="0" w:space="0" w:color="auto"/>
                <w:bottom w:val="none" w:sz="0" w:space="0" w:color="auto"/>
                <w:right w:val="none" w:sz="0" w:space="0" w:color="auto"/>
              </w:divBdr>
            </w:div>
          </w:divsChild>
        </w:div>
        <w:div w:id="1757946188">
          <w:marLeft w:val="0"/>
          <w:marRight w:val="0"/>
          <w:marTop w:val="0"/>
          <w:marBottom w:val="0"/>
          <w:divBdr>
            <w:top w:val="none" w:sz="0" w:space="0" w:color="auto"/>
            <w:left w:val="none" w:sz="0" w:space="0" w:color="auto"/>
            <w:bottom w:val="none" w:sz="0" w:space="0" w:color="auto"/>
            <w:right w:val="none" w:sz="0" w:space="0" w:color="auto"/>
          </w:divBdr>
        </w:div>
        <w:div w:id="1827163394">
          <w:marLeft w:val="0"/>
          <w:marRight w:val="0"/>
          <w:marTop w:val="0"/>
          <w:marBottom w:val="0"/>
          <w:divBdr>
            <w:top w:val="none" w:sz="0" w:space="0" w:color="auto"/>
            <w:left w:val="none" w:sz="0" w:space="0" w:color="auto"/>
            <w:bottom w:val="none" w:sz="0" w:space="0" w:color="auto"/>
            <w:right w:val="none" w:sz="0" w:space="0" w:color="auto"/>
          </w:divBdr>
        </w:div>
        <w:div w:id="1760174019">
          <w:marLeft w:val="0"/>
          <w:marRight w:val="0"/>
          <w:marTop w:val="0"/>
          <w:marBottom w:val="0"/>
          <w:divBdr>
            <w:top w:val="none" w:sz="0" w:space="0" w:color="auto"/>
            <w:left w:val="none" w:sz="0" w:space="0" w:color="auto"/>
            <w:bottom w:val="none" w:sz="0" w:space="0" w:color="auto"/>
            <w:right w:val="none" w:sz="0" w:space="0" w:color="auto"/>
          </w:divBdr>
        </w:div>
        <w:div w:id="911231951">
          <w:marLeft w:val="0"/>
          <w:marRight w:val="0"/>
          <w:marTop w:val="0"/>
          <w:marBottom w:val="0"/>
          <w:divBdr>
            <w:top w:val="none" w:sz="0" w:space="0" w:color="auto"/>
            <w:left w:val="none" w:sz="0" w:space="0" w:color="auto"/>
            <w:bottom w:val="none" w:sz="0" w:space="0" w:color="auto"/>
            <w:right w:val="none" w:sz="0" w:space="0" w:color="auto"/>
          </w:divBdr>
          <w:divsChild>
            <w:div w:id="318654374">
              <w:marLeft w:val="0"/>
              <w:marRight w:val="0"/>
              <w:marTop w:val="0"/>
              <w:marBottom w:val="0"/>
              <w:divBdr>
                <w:top w:val="none" w:sz="0" w:space="0" w:color="auto"/>
                <w:left w:val="none" w:sz="0" w:space="0" w:color="auto"/>
                <w:bottom w:val="none" w:sz="0" w:space="0" w:color="auto"/>
                <w:right w:val="none" w:sz="0" w:space="0" w:color="auto"/>
              </w:divBdr>
            </w:div>
          </w:divsChild>
        </w:div>
        <w:div w:id="1790706827">
          <w:marLeft w:val="0"/>
          <w:marRight w:val="0"/>
          <w:marTop w:val="0"/>
          <w:marBottom w:val="0"/>
          <w:divBdr>
            <w:top w:val="none" w:sz="0" w:space="0" w:color="auto"/>
            <w:left w:val="none" w:sz="0" w:space="0" w:color="auto"/>
            <w:bottom w:val="none" w:sz="0" w:space="0" w:color="auto"/>
            <w:right w:val="none" w:sz="0" w:space="0" w:color="auto"/>
          </w:divBdr>
        </w:div>
        <w:div w:id="1202480746">
          <w:marLeft w:val="0"/>
          <w:marRight w:val="0"/>
          <w:marTop w:val="0"/>
          <w:marBottom w:val="0"/>
          <w:divBdr>
            <w:top w:val="none" w:sz="0" w:space="0" w:color="auto"/>
            <w:left w:val="none" w:sz="0" w:space="0" w:color="auto"/>
            <w:bottom w:val="none" w:sz="0" w:space="0" w:color="auto"/>
            <w:right w:val="none" w:sz="0" w:space="0" w:color="auto"/>
          </w:divBdr>
        </w:div>
        <w:div w:id="329985458">
          <w:marLeft w:val="0"/>
          <w:marRight w:val="0"/>
          <w:marTop w:val="0"/>
          <w:marBottom w:val="0"/>
          <w:divBdr>
            <w:top w:val="none" w:sz="0" w:space="0" w:color="auto"/>
            <w:left w:val="none" w:sz="0" w:space="0" w:color="auto"/>
            <w:bottom w:val="none" w:sz="0" w:space="0" w:color="auto"/>
            <w:right w:val="none" w:sz="0" w:space="0" w:color="auto"/>
          </w:divBdr>
        </w:div>
        <w:div w:id="752094380">
          <w:marLeft w:val="0"/>
          <w:marRight w:val="0"/>
          <w:marTop w:val="0"/>
          <w:marBottom w:val="0"/>
          <w:divBdr>
            <w:top w:val="none" w:sz="0" w:space="0" w:color="auto"/>
            <w:left w:val="none" w:sz="0" w:space="0" w:color="auto"/>
            <w:bottom w:val="none" w:sz="0" w:space="0" w:color="auto"/>
            <w:right w:val="none" w:sz="0" w:space="0" w:color="auto"/>
          </w:divBdr>
          <w:divsChild>
            <w:div w:id="663507935">
              <w:marLeft w:val="0"/>
              <w:marRight w:val="0"/>
              <w:marTop w:val="0"/>
              <w:marBottom w:val="0"/>
              <w:divBdr>
                <w:top w:val="none" w:sz="0" w:space="0" w:color="auto"/>
                <w:left w:val="none" w:sz="0" w:space="0" w:color="auto"/>
                <w:bottom w:val="none" w:sz="0" w:space="0" w:color="auto"/>
                <w:right w:val="none" w:sz="0" w:space="0" w:color="auto"/>
              </w:divBdr>
            </w:div>
          </w:divsChild>
        </w:div>
        <w:div w:id="862326022">
          <w:marLeft w:val="0"/>
          <w:marRight w:val="0"/>
          <w:marTop w:val="0"/>
          <w:marBottom w:val="0"/>
          <w:divBdr>
            <w:top w:val="none" w:sz="0" w:space="0" w:color="auto"/>
            <w:left w:val="none" w:sz="0" w:space="0" w:color="auto"/>
            <w:bottom w:val="none" w:sz="0" w:space="0" w:color="auto"/>
            <w:right w:val="none" w:sz="0" w:space="0" w:color="auto"/>
          </w:divBdr>
        </w:div>
        <w:div w:id="683941209">
          <w:marLeft w:val="0"/>
          <w:marRight w:val="0"/>
          <w:marTop w:val="0"/>
          <w:marBottom w:val="0"/>
          <w:divBdr>
            <w:top w:val="none" w:sz="0" w:space="0" w:color="auto"/>
            <w:left w:val="none" w:sz="0" w:space="0" w:color="auto"/>
            <w:bottom w:val="none" w:sz="0" w:space="0" w:color="auto"/>
            <w:right w:val="none" w:sz="0" w:space="0" w:color="auto"/>
          </w:divBdr>
        </w:div>
        <w:div w:id="1609502022">
          <w:marLeft w:val="0"/>
          <w:marRight w:val="0"/>
          <w:marTop w:val="0"/>
          <w:marBottom w:val="0"/>
          <w:divBdr>
            <w:top w:val="none" w:sz="0" w:space="0" w:color="auto"/>
            <w:left w:val="none" w:sz="0" w:space="0" w:color="auto"/>
            <w:bottom w:val="none" w:sz="0" w:space="0" w:color="auto"/>
            <w:right w:val="none" w:sz="0" w:space="0" w:color="auto"/>
          </w:divBdr>
          <w:divsChild>
            <w:div w:id="1775788241">
              <w:marLeft w:val="0"/>
              <w:marRight w:val="0"/>
              <w:marTop w:val="0"/>
              <w:marBottom w:val="0"/>
              <w:divBdr>
                <w:top w:val="none" w:sz="0" w:space="0" w:color="auto"/>
                <w:left w:val="none" w:sz="0" w:space="0" w:color="auto"/>
                <w:bottom w:val="none" w:sz="0" w:space="0" w:color="auto"/>
                <w:right w:val="none" w:sz="0" w:space="0" w:color="auto"/>
              </w:divBdr>
            </w:div>
          </w:divsChild>
        </w:div>
        <w:div w:id="1199658840">
          <w:marLeft w:val="0"/>
          <w:marRight w:val="0"/>
          <w:marTop w:val="0"/>
          <w:marBottom w:val="0"/>
          <w:divBdr>
            <w:top w:val="none" w:sz="0" w:space="0" w:color="auto"/>
            <w:left w:val="none" w:sz="0" w:space="0" w:color="auto"/>
            <w:bottom w:val="none" w:sz="0" w:space="0" w:color="auto"/>
            <w:right w:val="none" w:sz="0" w:space="0" w:color="auto"/>
          </w:divBdr>
        </w:div>
        <w:div w:id="1728214343">
          <w:marLeft w:val="0"/>
          <w:marRight w:val="0"/>
          <w:marTop w:val="0"/>
          <w:marBottom w:val="0"/>
          <w:divBdr>
            <w:top w:val="none" w:sz="0" w:space="0" w:color="auto"/>
            <w:left w:val="none" w:sz="0" w:space="0" w:color="auto"/>
            <w:bottom w:val="none" w:sz="0" w:space="0" w:color="auto"/>
            <w:right w:val="none" w:sz="0" w:space="0" w:color="auto"/>
          </w:divBdr>
        </w:div>
        <w:div w:id="1031686130">
          <w:marLeft w:val="0"/>
          <w:marRight w:val="0"/>
          <w:marTop w:val="0"/>
          <w:marBottom w:val="0"/>
          <w:divBdr>
            <w:top w:val="none" w:sz="0" w:space="0" w:color="auto"/>
            <w:left w:val="none" w:sz="0" w:space="0" w:color="auto"/>
            <w:bottom w:val="none" w:sz="0" w:space="0" w:color="auto"/>
            <w:right w:val="none" w:sz="0" w:space="0" w:color="auto"/>
          </w:divBdr>
          <w:divsChild>
            <w:div w:id="1478959375">
              <w:marLeft w:val="0"/>
              <w:marRight w:val="0"/>
              <w:marTop w:val="0"/>
              <w:marBottom w:val="0"/>
              <w:divBdr>
                <w:top w:val="none" w:sz="0" w:space="0" w:color="auto"/>
                <w:left w:val="none" w:sz="0" w:space="0" w:color="auto"/>
                <w:bottom w:val="none" w:sz="0" w:space="0" w:color="auto"/>
                <w:right w:val="none" w:sz="0" w:space="0" w:color="auto"/>
              </w:divBdr>
            </w:div>
          </w:divsChild>
        </w:div>
        <w:div w:id="626544451">
          <w:marLeft w:val="0"/>
          <w:marRight w:val="0"/>
          <w:marTop w:val="0"/>
          <w:marBottom w:val="0"/>
          <w:divBdr>
            <w:top w:val="none" w:sz="0" w:space="0" w:color="auto"/>
            <w:left w:val="none" w:sz="0" w:space="0" w:color="auto"/>
            <w:bottom w:val="none" w:sz="0" w:space="0" w:color="auto"/>
            <w:right w:val="none" w:sz="0" w:space="0" w:color="auto"/>
          </w:divBdr>
        </w:div>
        <w:div w:id="1788311813">
          <w:marLeft w:val="0"/>
          <w:marRight w:val="0"/>
          <w:marTop w:val="0"/>
          <w:marBottom w:val="0"/>
          <w:divBdr>
            <w:top w:val="none" w:sz="0" w:space="0" w:color="auto"/>
            <w:left w:val="none" w:sz="0" w:space="0" w:color="auto"/>
            <w:bottom w:val="none" w:sz="0" w:space="0" w:color="auto"/>
            <w:right w:val="none" w:sz="0" w:space="0" w:color="auto"/>
          </w:divBdr>
        </w:div>
        <w:div w:id="39789262">
          <w:marLeft w:val="0"/>
          <w:marRight w:val="0"/>
          <w:marTop w:val="0"/>
          <w:marBottom w:val="0"/>
          <w:divBdr>
            <w:top w:val="none" w:sz="0" w:space="0" w:color="auto"/>
            <w:left w:val="none" w:sz="0" w:space="0" w:color="auto"/>
            <w:bottom w:val="none" w:sz="0" w:space="0" w:color="auto"/>
            <w:right w:val="none" w:sz="0" w:space="0" w:color="auto"/>
          </w:divBdr>
          <w:divsChild>
            <w:div w:id="1446777807">
              <w:marLeft w:val="0"/>
              <w:marRight w:val="0"/>
              <w:marTop w:val="0"/>
              <w:marBottom w:val="0"/>
              <w:divBdr>
                <w:top w:val="none" w:sz="0" w:space="0" w:color="auto"/>
                <w:left w:val="none" w:sz="0" w:space="0" w:color="auto"/>
                <w:bottom w:val="none" w:sz="0" w:space="0" w:color="auto"/>
                <w:right w:val="none" w:sz="0" w:space="0" w:color="auto"/>
              </w:divBdr>
            </w:div>
          </w:divsChild>
        </w:div>
        <w:div w:id="1233808460">
          <w:marLeft w:val="0"/>
          <w:marRight w:val="0"/>
          <w:marTop w:val="0"/>
          <w:marBottom w:val="0"/>
          <w:divBdr>
            <w:top w:val="none" w:sz="0" w:space="0" w:color="auto"/>
            <w:left w:val="none" w:sz="0" w:space="0" w:color="auto"/>
            <w:bottom w:val="none" w:sz="0" w:space="0" w:color="auto"/>
            <w:right w:val="none" w:sz="0" w:space="0" w:color="auto"/>
          </w:divBdr>
        </w:div>
        <w:div w:id="1231574900">
          <w:marLeft w:val="0"/>
          <w:marRight w:val="0"/>
          <w:marTop w:val="0"/>
          <w:marBottom w:val="0"/>
          <w:divBdr>
            <w:top w:val="none" w:sz="0" w:space="0" w:color="auto"/>
            <w:left w:val="none" w:sz="0" w:space="0" w:color="auto"/>
            <w:bottom w:val="none" w:sz="0" w:space="0" w:color="auto"/>
            <w:right w:val="none" w:sz="0" w:space="0" w:color="auto"/>
          </w:divBdr>
        </w:div>
        <w:div w:id="226112074">
          <w:marLeft w:val="0"/>
          <w:marRight w:val="0"/>
          <w:marTop w:val="0"/>
          <w:marBottom w:val="0"/>
          <w:divBdr>
            <w:top w:val="none" w:sz="0" w:space="0" w:color="auto"/>
            <w:left w:val="none" w:sz="0" w:space="0" w:color="auto"/>
            <w:bottom w:val="none" w:sz="0" w:space="0" w:color="auto"/>
            <w:right w:val="none" w:sz="0" w:space="0" w:color="auto"/>
          </w:divBdr>
          <w:divsChild>
            <w:div w:id="546261351">
              <w:marLeft w:val="0"/>
              <w:marRight w:val="0"/>
              <w:marTop w:val="0"/>
              <w:marBottom w:val="0"/>
              <w:divBdr>
                <w:top w:val="none" w:sz="0" w:space="0" w:color="auto"/>
                <w:left w:val="none" w:sz="0" w:space="0" w:color="auto"/>
                <w:bottom w:val="none" w:sz="0" w:space="0" w:color="auto"/>
                <w:right w:val="none" w:sz="0" w:space="0" w:color="auto"/>
              </w:divBdr>
            </w:div>
          </w:divsChild>
        </w:div>
        <w:div w:id="1226641796">
          <w:marLeft w:val="0"/>
          <w:marRight w:val="0"/>
          <w:marTop w:val="0"/>
          <w:marBottom w:val="0"/>
          <w:divBdr>
            <w:top w:val="none" w:sz="0" w:space="0" w:color="auto"/>
            <w:left w:val="none" w:sz="0" w:space="0" w:color="auto"/>
            <w:bottom w:val="none" w:sz="0" w:space="0" w:color="auto"/>
            <w:right w:val="none" w:sz="0" w:space="0" w:color="auto"/>
          </w:divBdr>
        </w:div>
        <w:div w:id="82992842">
          <w:marLeft w:val="0"/>
          <w:marRight w:val="0"/>
          <w:marTop w:val="0"/>
          <w:marBottom w:val="0"/>
          <w:divBdr>
            <w:top w:val="none" w:sz="0" w:space="0" w:color="auto"/>
            <w:left w:val="none" w:sz="0" w:space="0" w:color="auto"/>
            <w:bottom w:val="none" w:sz="0" w:space="0" w:color="auto"/>
            <w:right w:val="none" w:sz="0" w:space="0" w:color="auto"/>
          </w:divBdr>
        </w:div>
        <w:div w:id="494106027">
          <w:marLeft w:val="0"/>
          <w:marRight w:val="0"/>
          <w:marTop w:val="0"/>
          <w:marBottom w:val="0"/>
          <w:divBdr>
            <w:top w:val="none" w:sz="0" w:space="0" w:color="auto"/>
            <w:left w:val="none" w:sz="0" w:space="0" w:color="auto"/>
            <w:bottom w:val="none" w:sz="0" w:space="0" w:color="auto"/>
            <w:right w:val="none" w:sz="0" w:space="0" w:color="auto"/>
          </w:divBdr>
          <w:divsChild>
            <w:div w:id="428813799">
              <w:marLeft w:val="0"/>
              <w:marRight w:val="0"/>
              <w:marTop w:val="0"/>
              <w:marBottom w:val="0"/>
              <w:divBdr>
                <w:top w:val="none" w:sz="0" w:space="0" w:color="auto"/>
                <w:left w:val="none" w:sz="0" w:space="0" w:color="auto"/>
                <w:bottom w:val="none" w:sz="0" w:space="0" w:color="auto"/>
                <w:right w:val="none" w:sz="0" w:space="0" w:color="auto"/>
              </w:divBdr>
            </w:div>
          </w:divsChild>
        </w:div>
        <w:div w:id="1366639854">
          <w:marLeft w:val="0"/>
          <w:marRight w:val="0"/>
          <w:marTop w:val="0"/>
          <w:marBottom w:val="0"/>
          <w:divBdr>
            <w:top w:val="none" w:sz="0" w:space="0" w:color="auto"/>
            <w:left w:val="none" w:sz="0" w:space="0" w:color="auto"/>
            <w:bottom w:val="none" w:sz="0" w:space="0" w:color="auto"/>
            <w:right w:val="none" w:sz="0" w:space="0" w:color="auto"/>
          </w:divBdr>
        </w:div>
        <w:div w:id="1834566782">
          <w:marLeft w:val="0"/>
          <w:marRight w:val="0"/>
          <w:marTop w:val="0"/>
          <w:marBottom w:val="0"/>
          <w:divBdr>
            <w:top w:val="none" w:sz="0" w:space="0" w:color="auto"/>
            <w:left w:val="none" w:sz="0" w:space="0" w:color="auto"/>
            <w:bottom w:val="none" w:sz="0" w:space="0" w:color="auto"/>
            <w:right w:val="none" w:sz="0" w:space="0" w:color="auto"/>
          </w:divBdr>
        </w:div>
        <w:div w:id="166334810">
          <w:marLeft w:val="0"/>
          <w:marRight w:val="0"/>
          <w:marTop w:val="0"/>
          <w:marBottom w:val="0"/>
          <w:divBdr>
            <w:top w:val="none" w:sz="0" w:space="0" w:color="auto"/>
            <w:left w:val="none" w:sz="0" w:space="0" w:color="auto"/>
            <w:bottom w:val="none" w:sz="0" w:space="0" w:color="auto"/>
            <w:right w:val="none" w:sz="0" w:space="0" w:color="auto"/>
          </w:divBdr>
          <w:divsChild>
            <w:div w:id="737291030">
              <w:marLeft w:val="0"/>
              <w:marRight w:val="0"/>
              <w:marTop w:val="0"/>
              <w:marBottom w:val="0"/>
              <w:divBdr>
                <w:top w:val="none" w:sz="0" w:space="0" w:color="auto"/>
                <w:left w:val="none" w:sz="0" w:space="0" w:color="auto"/>
                <w:bottom w:val="none" w:sz="0" w:space="0" w:color="auto"/>
                <w:right w:val="none" w:sz="0" w:space="0" w:color="auto"/>
              </w:divBdr>
            </w:div>
          </w:divsChild>
        </w:div>
        <w:div w:id="637682165">
          <w:marLeft w:val="0"/>
          <w:marRight w:val="0"/>
          <w:marTop w:val="0"/>
          <w:marBottom w:val="0"/>
          <w:divBdr>
            <w:top w:val="none" w:sz="0" w:space="0" w:color="auto"/>
            <w:left w:val="none" w:sz="0" w:space="0" w:color="auto"/>
            <w:bottom w:val="none" w:sz="0" w:space="0" w:color="auto"/>
            <w:right w:val="none" w:sz="0" w:space="0" w:color="auto"/>
          </w:divBdr>
        </w:div>
        <w:div w:id="1973827416">
          <w:marLeft w:val="0"/>
          <w:marRight w:val="0"/>
          <w:marTop w:val="0"/>
          <w:marBottom w:val="0"/>
          <w:divBdr>
            <w:top w:val="none" w:sz="0" w:space="0" w:color="auto"/>
            <w:left w:val="none" w:sz="0" w:space="0" w:color="auto"/>
            <w:bottom w:val="none" w:sz="0" w:space="0" w:color="auto"/>
            <w:right w:val="none" w:sz="0" w:space="0" w:color="auto"/>
          </w:divBdr>
        </w:div>
        <w:div w:id="650795495">
          <w:marLeft w:val="0"/>
          <w:marRight w:val="0"/>
          <w:marTop w:val="0"/>
          <w:marBottom w:val="0"/>
          <w:divBdr>
            <w:top w:val="none" w:sz="0" w:space="0" w:color="auto"/>
            <w:left w:val="none" w:sz="0" w:space="0" w:color="auto"/>
            <w:bottom w:val="none" w:sz="0" w:space="0" w:color="auto"/>
            <w:right w:val="none" w:sz="0" w:space="0" w:color="auto"/>
          </w:divBdr>
          <w:divsChild>
            <w:div w:id="839349107">
              <w:marLeft w:val="0"/>
              <w:marRight w:val="0"/>
              <w:marTop w:val="0"/>
              <w:marBottom w:val="0"/>
              <w:divBdr>
                <w:top w:val="none" w:sz="0" w:space="0" w:color="auto"/>
                <w:left w:val="none" w:sz="0" w:space="0" w:color="auto"/>
                <w:bottom w:val="none" w:sz="0" w:space="0" w:color="auto"/>
                <w:right w:val="none" w:sz="0" w:space="0" w:color="auto"/>
              </w:divBdr>
            </w:div>
          </w:divsChild>
        </w:div>
        <w:div w:id="539513659">
          <w:marLeft w:val="0"/>
          <w:marRight w:val="0"/>
          <w:marTop w:val="0"/>
          <w:marBottom w:val="0"/>
          <w:divBdr>
            <w:top w:val="none" w:sz="0" w:space="0" w:color="auto"/>
            <w:left w:val="none" w:sz="0" w:space="0" w:color="auto"/>
            <w:bottom w:val="none" w:sz="0" w:space="0" w:color="auto"/>
            <w:right w:val="none" w:sz="0" w:space="0" w:color="auto"/>
          </w:divBdr>
        </w:div>
        <w:div w:id="813452762">
          <w:marLeft w:val="0"/>
          <w:marRight w:val="0"/>
          <w:marTop w:val="0"/>
          <w:marBottom w:val="0"/>
          <w:divBdr>
            <w:top w:val="none" w:sz="0" w:space="0" w:color="auto"/>
            <w:left w:val="none" w:sz="0" w:space="0" w:color="auto"/>
            <w:bottom w:val="none" w:sz="0" w:space="0" w:color="auto"/>
            <w:right w:val="none" w:sz="0" w:space="0" w:color="auto"/>
          </w:divBdr>
        </w:div>
        <w:div w:id="1073240060">
          <w:marLeft w:val="0"/>
          <w:marRight w:val="0"/>
          <w:marTop w:val="0"/>
          <w:marBottom w:val="0"/>
          <w:divBdr>
            <w:top w:val="none" w:sz="0" w:space="0" w:color="auto"/>
            <w:left w:val="none" w:sz="0" w:space="0" w:color="auto"/>
            <w:bottom w:val="none" w:sz="0" w:space="0" w:color="auto"/>
            <w:right w:val="none" w:sz="0" w:space="0" w:color="auto"/>
          </w:divBdr>
        </w:div>
        <w:div w:id="1193113896">
          <w:marLeft w:val="0"/>
          <w:marRight w:val="0"/>
          <w:marTop w:val="0"/>
          <w:marBottom w:val="0"/>
          <w:divBdr>
            <w:top w:val="none" w:sz="0" w:space="0" w:color="auto"/>
            <w:left w:val="none" w:sz="0" w:space="0" w:color="auto"/>
            <w:bottom w:val="none" w:sz="0" w:space="0" w:color="auto"/>
            <w:right w:val="none" w:sz="0" w:space="0" w:color="auto"/>
          </w:divBdr>
          <w:divsChild>
            <w:div w:id="2057001301">
              <w:marLeft w:val="0"/>
              <w:marRight w:val="0"/>
              <w:marTop w:val="0"/>
              <w:marBottom w:val="0"/>
              <w:divBdr>
                <w:top w:val="none" w:sz="0" w:space="0" w:color="auto"/>
                <w:left w:val="none" w:sz="0" w:space="0" w:color="auto"/>
                <w:bottom w:val="none" w:sz="0" w:space="0" w:color="auto"/>
                <w:right w:val="none" w:sz="0" w:space="0" w:color="auto"/>
              </w:divBdr>
            </w:div>
          </w:divsChild>
        </w:div>
        <w:div w:id="811672419">
          <w:marLeft w:val="0"/>
          <w:marRight w:val="0"/>
          <w:marTop w:val="0"/>
          <w:marBottom w:val="0"/>
          <w:divBdr>
            <w:top w:val="none" w:sz="0" w:space="0" w:color="auto"/>
            <w:left w:val="none" w:sz="0" w:space="0" w:color="auto"/>
            <w:bottom w:val="none" w:sz="0" w:space="0" w:color="auto"/>
            <w:right w:val="none" w:sz="0" w:space="0" w:color="auto"/>
          </w:divBdr>
        </w:div>
        <w:div w:id="428355548">
          <w:marLeft w:val="0"/>
          <w:marRight w:val="0"/>
          <w:marTop w:val="0"/>
          <w:marBottom w:val="0"/>
          <w:divBdr>
            <w:top w:val="none" w:sz="0" w:space="0" w:color="auto"/>
            <w:left w:val="none" w:sz="0" w:space="0" w:color="auto"/>
            <w:bottom w:val="none" w:sz="0" w:space="0" w:color="auto"/>
            <w:right w:val="none" w:sz="0" w:space="0" w:color="auto"/>
          </w:divBdr>
        </w:div>
        <w:div w:id="869146702">
          <w:marLeft w:val="0"/>
          <w:marRight w:val="0"/>
          <w:marTop w:val="0"/>
          <w:marBottom w:val="0"/>
          <w:divBdr>
            <w:top w:val="none" w:sz="0" w:space="0" w:color="auto"/>
            <w:left w:val="none" w:sz="0" w:space="0" w:color="auto"/>
            <w:bottom w:val="none" w:sz="0" w:space="0" w:color="auto"/>
            <w:right w:val="none" w:sz="0" w:space="0" w:color="auto"/>
          </w:divBdr>
        </w:div>
        <w:div w:id="870722924">
          <w:marLeft w:val="0"/>
          <w:marRight w:val="0"/>
          <w:marTop w:val="0"/>
          <w:marBottom w:val="0"/>
          <w:divBdr>
            <w:top w:val="none" w:sz="0" w:space="0" w:color="auto"/>
            <w:left w:val="none" w:sz="0" w:space="0" w:color="auto"/>
            <w:bottom w:val="none" w:sz="0" w:space="0" w:color="auto"/>
            <w:right w:val="none" w:sz="0" w:space="0" w:color="auto"/>
          </w:divBdr>
          <w:divsChild>
            <w:div w:id="1367146687">
              <w:marLeft w:val="0"/>
              <w:marRight w:val="0"/>
              <w:marTop w:val="0"/>
              <w:marBottom w:val="0"/>
              <w:divBdr>
                <w:top w:val="none" w:sz="0" w:space="0" w:color="auto"/>
                <w:left w:val="none" w:sz="0" w:space="0" w:color="auto"/>
                <w:bottom w:val="none" w:sz="0" w:space="0" w:color="auto"/>
                <w:right w:val="none" w:sz="0" w:space="0" w:color="auto"/>
              </w:divBdr>
            </w:div>
          </w:divsChild>
        </w:div>
        <w:div w:id="213927008">
          <w:marLeft w:val="0"/>
          <w:marRight w:val="0"/>
          <w:marTop w:val="0"/>
          <w:marBottom w:val="0"/>
          <w:divBdr>
            <w:top w:val="none" w:sz="0" w:space="0" w:color="auto"/>
            <w:left w:val="none" w:sz="0" w:space="0" w:color="auto"/>
            <w:bottom w:val="none" w:sz="0" w:space="0" w:color="auto"/>
            <w:right w:val="none" w:sz="0" w:space="0" w:color="auto"/>
          </w:divBdr>
        </w:div>
        <w:div w:id="822509209">
          <w:marLeft w:val="0"/>
          <w:marRight w:val="0"/>
          <w:marTop w:val="0"/>
          <w:marBottom w:val="0"/>
          <w:divBdr>
            <w:top w:val="none" w:sz="0" w:space="0" w:color="auto"/>
            <w:left w:val="none" w:sz="0" w:space="0" w:color="auto"/>
            <w:bottom w:val="none" w:sz="0" w:space="0" w:color="auto"/>
            <w:right w:val="none" w:sz="0" w:space="0" w:color="auto"/>
          </w:divBdr>
        </w:div>
        <w:div w:id="1852716198">
          <w:marLeft w:val="0"/>
          <w:marRight w:val="0"/>
          <w:marTop w:val="0"/>
          <w:marBottom w:val="0"/>
          <w:divBdr>
            <w:top w:val="none" w:sz="0" w:space="0" w:color="auto"/>
            <w:left w:val="none" w:sz="0" w:space="0" w:color="auto"/>
            <w:bottom w:val="none" w:sz="0" w:space="0" w:color="auto"/>
            <w:right w:val="none" w:sz="0" w:space="0" w:color="auto"/>
          </w:divBdr>
        </w:div>
        <w:div w:id="1408499777">
          <w:marLeft w:val="0"/>
          <w:marRight w:val="0"/>
          <w:marTop w:val="0"/>
          <w:marBottom w:val="0"/>
          <w:divBdr>
            <w:top w:val="none" w:sz="0" w:space="0" w:color="auto"/>
            <w:left w:val="none" w:sz="0" w:space="0" w:color="auto"/>
            <w:bottom w:val="none" w:sz="0" w:space="0" w:color="auto"/>
            <w:right w:val="none" w:sz="0" w:space="0" w:color="auto"/>
          </w:divBdr>
          <w:divsChild>
            <w:div w:id="1263873419">
              <w:marLeft w:val="0"/>
              <w:marRight w:val="0"/>
              <w:marTop w:val="0"/>
              <w:marBottom w:val="0"/>
              <w:divBdr>
                <w:top w:val="none" w:sz="0" w:space="0" w:color="auto"/>
                <w:left w:val="none" w:sz="0" w:space="0" w:color="auto"/>
                <w:bottom w:val="none" w:sz="0" w:space="0" w:color="auto"/>
                <w:right w:val="none" w:sz="0" w:space="0" w:color="auto"/>
              </w:divBdr>
            </w:div>
          </w:divsChild>
        </w:div>
        <w:div w:id="1266572114">
          <w:marLeft w:val="0"/>
          <w:marRight w:val="0"/>
          <w:marTop w:val="0"/>
          <w:marBottom w:val="0"/>
          <w:divBdr>
            <w:top w:val="none" w:sz="0" w:space="0" w:color="auto"/>
            <w:left w:val="none" w:sz="0" w:space="0" w:color="auto"/>
            <w:bottom w:val="none" w:sz="0" w:space="0" w:color="auto"/>
            <w:right w:val="none" w:sz="0" w:space="0" w:color="auto"/>
          </w:divBdr>
        </w:div>
        <w:div w:id="1944725114">
          <w:marLeft w:val="0"/>
          <w:marRight w:val="0"/>
          <w:marTop w:val="0"/>
          <w:marBottom w:val="0"/>
          <w:divBdr>
            <w:top w:val="none" w:sz="0" w:space="0" w:color="auto"/>
            <w:left w:val="none" w:sz="0" w:space="0" w:color="auto"/>
            <w:bottom w:val="none" w:sz="0" w:space="0" w:color="auto"/>
            <w:right w:val="none" w:sz="0" w:space="0" w:color="auto"/>
          </w:divBdr>
        </w:div>
        <w:div w:id="831943653">
          <w:marLeft w:val="0"/>
          <w:marRight w:val="0"/>
          <w:marTop w:val="0"/>
          <w:marBottom w:val="0"/>
          <w:divBdr>
            <w:top w:val="none" w:sz="0" w:space="0" w:color="auto"/>
            <w:left w:val="none" w:sz="0" w:space="0" w:color="auto"/>
            <w:bottom w:val="none" w:sz="0" w:space="0" w:color="auto"/>
            <w:right w:val="none" w:sz="0" w:space="0" w:color="auto"/>
          </w:divBdr>
        </w:div>
        <w:div w:id="18168799">
          <w:marLeft w:val="0"/>
          <w:marRight w:val="0"/>
          <w:marTop w:val="0"/>
          <w:marBottom w:val="0"/>
          <w:divBdr>
            <w:top w:val="none" w:sz="0" w:space="0" w:color="auto"/>
            <w:left w:val="none" w:sz="0" w:space="0" w:color="auto"/>
            <w:bottom w:val="none" w:sz="0" w:space="0" w:color="auto"/>
            <w:right w:val="none" w:sz="0" w:space="0" w:color="auto"/>
          </w:divBdr>
          <w:divsChild>
            <w:div w:id="1440443560">
              <w:marLeft w:val="0"/>
              <w:marRight w:val="0"/>
              <w:marTop w:val="0"/>
              <w:marBottom w:val="0"/>
              <w:divBdr>
                <w:top w:val="none" w:sz="0" w:space="0" w:color="auto"/>
                <w:left w:val="none" w:sz="0" w:space="0" w:color="auto"/>
                <w:bottom w:val="none" w:sz="0" w:space="0" w:color="auto"/>
                <w:right w:val="none" w:sz="0" w:space="0" w:color="auto"/>
              </w:divBdr>
            </w:div>
          </w:divsChild>
        </w:div>
        <w:div w:id="1766993218">
          <w:marLeft w:val="0"/>
          <w:marRight w:val="0"/>
          <w:marTop w:val="0"/>
          <w:marBottom w:val="0"/>
          <w:divBdr>
            <w:top w:val="none" w:sz="0" w:space="0" w:color="auto"/>
            <w:left w:val="none" w:sz="0" w:space="0" w:color="auto"/>
            <w:bottom w:val="none" w:sz="0" w:space="0" w:color="auto"/>
            <w:right w:val="none" w:sz="0" w:space="0" w:color="auto"/>
          </w:divBdr>
        </w:div>
        <w:div w:id="1496804051">
          <w:marLeft w:val="0"/>
          <w:marRight w:val="0"/>
          <w:marTop w:val="0"/>
          <w:marBottom w:val="0"/>
          <w:divBdr>
            <w:top w:val="none" w:sz="0" w:space="0" w:color="auto"/>
            <w:left w:val="none" w:sz="0" w:space="0" w:color="auto"/>
            <w:bottom w:val="none" w:sz="0" w:space="0" w:color="auto"/>
            <w:right w:val="none" w:sz="0" w:space="0" w:color="auto"/>
          </w:divBdr>
        </w:div>
        <w:div w:id="1257322332">
          <w:marLeft w:val="0"/>
          <w:marRight w:val="0"/>
          <w:marTop w:val="0"/>
          <w:marBottom w:val="0"/>
          <w:divBdr>
            <w:top w:val="none" w:sz="0" w:space="0" w:color="auto"/>
            <w:left w:val="none" w:sz="0" w:space="0" w:color="auto"/>
            <w:bottom w:val="none" w:sz="0" w:space="0" w:color="auto"/>
            <w:right w:val="none" w:sz="0" w:space="0" w:color="auto"/>
          </w:divBdr>
          <w:divsChild>
            <w:div w:id="953511876">
              <w:marLeft w:val="0"/>
              <w:marRight w:val="0"/>
              <w:marTop w:val="0"/>
              <w:marBottom w:val="0"/>
              <w:divBdr>
                <w:top w:val="none" w:sz="0" w:space="0" w:color="auto"/>
                <w:left w:val="none" w:sz="0" w:space="0" w:color="auto"/>
                <w:bottom w:val="none" w:sz="0" w:space="0" w:color="auto"/>
                <w:right w:val="none" w:sz="0" w:space="0" w:color="auto"/>
              </w:divBdr>
            </w:div>
          </w:divsChild>
        </w:div>
        <w:div w:id="1430463712">
          <w:marLeft w:val="0"/>
          <w:marRight w:val="0"/>
          <w:marTop w:val="0"/>
          <w:marBottom w:val="0"/>
          <w:divBdr>
            <w:top w:val="none" w:sz="0" w:space="0" w:color="auto"/>
            <w:left w:val="none" w:sz="0" w:space="0" w:color="auto"/>
            <w:bottom w:val="none" w:sz="0" w:space="0" w:color="auto"/>
            <w:right w:val="none" w:sz="0" w:space="0" w:color="auto"/>
          </w:divBdr>
        </w:div>
        <w:div w:id="1156842940">
          <w:marLeft w:val="0"/>
          <w:marRight w:val="0"/>
          <w:marTop w:val="0"/>
          <w:marBottom w:val="0"/>
          <w:divBdr>
            <w:top w:val="none" w:sz="0" w:space="0" w:color="auto"/>
            <w:left w:val="none" w:sz="0" w:space="0" w:color="auto"/>
            <w:bottom w:val="none" w:sz="0" w:space="0" w:color="auto"/>
            <w:right w:val="none" w:sz="0" w:space="0" w:color="auto"/>
          </w:divBdr>
        </w:div>
        <w:div w:id="1656690006">
          <w:marLeft w:val="0"/>
          <w:marRight w:val="0"/>
          <w:marTop w:val="0"/>
          <w:marBottom w:val="0"/>
          <w:divBdr>
            <w:top w:val="none" w:sz="0" w:space="0" w:color="auto"/>
            <w:left w:val="none" w:sz="0" w:space="0" w:color="auto"/>
            <w:bottom w:val="none" w:sz="0" w:space="0" w:color="auto"/>
            <w:right w:val="none" w:sz="0" w:space="0" w:color="auto"/>
          </w:divBdr>
          <w:divsChild>
            <w:div w:id="2136170222">
              <w:marLeft w:val="0"/>
              <w:marRight w:val="0"/>
              <w:marTop w:val="0"/>
              <w:marBottom w:val="0"/>
              <w:divBdr>
                <w:top w:val="none" w:sz="0" w:space="0" w:color="auto"/>
                <w:left w:val="none" w:sz="0" w:space="0" w:color="auto"/>
                <w:bottom w:val="none" w:sz="0" w:space="0" w:color="auto"/>
                <w:right w:val="none" w:sz="0" w:space="0" w:color="auto"/>
              </w:divBdr>
            </w:div>
          </w:divsChild>
        </w:div>
        <w:div w:id="574242767">
          <w:marLeft w:val="0"/>
          <w:marRight w:val="0"/>
          <w:marTop w:val="0"/>
          <w:marBottom w:val="0"/>
          <w:divBdr>
            <w:top w:val="none" w:sz="0" w:space="0" w:color="auto"/>
            <w:left w:val="none" w:sz="0" w:space="0" w:color="auto"/>
            <w:bottom w:val="none" w:sz="0" w:space="0" w:color="auto"/>
            <w:right w:val="none" w:sz="0" w:space="0" w:color="auto"/>
          </w:divBdr>
        </w:div>
        <w:div w:id="205531311">
          <w:marLeft w:val="0"/>
          <w:marRight w:val="0"/>
          <w:marTop w:val="0"/>
          <w:marBottom w:val="0"/>
          <w:divBdr>
            <w:top w:val="none" w:sz="0" w:space="0" w:color="auto"/>
            <w:left w:val="none" w:sz="0" w:space="0" w:color="auto"/>
            <w:bottom w:val="none" w:sz="0" w:space="0" w:color="auto"/>
            <w:right w:val="none" w:sz="0" w:space="0" w:color="auto"/>
          </w:divBdr>
        </w:div>
        <w:div w:id="606276641">
          <w:marLeft w:val="0"/>
          <w:marRight w:val="0"/>
          <w:marTop w:val="0"/>
          <w:marBottom w:val="0"/>
          <w:divBdr>
            <w:top w:val="none" w:sz="0" w:space="0" w:color="auto"/>
            <w:left w:val="none" w:sz="0" w:space="0" w:color="auto"/>
            <w:bottom w:val="none" w:sz="0" w:space="0" w:color="auto"/>
            <w:right w:val="none" w:sz="0" w:space="0" w:color="auto"/>
          </w:divBdr>
          <w:divsChild>
            <w:div w:id="1221021492">
              <w:marLeft w:val="0"/>
              <w:marRight w:val="0"/>
              <w:marTop w:val="0"/>
              <w:marBottom w:val="0"/>
              <w:divBdr>
                <w:top w:val="none" w:sz="0" w:space="0" w:color="auto"/>
                <w:left w:val="none" w:sz="0" w:space="0" w:color="auto"/>
                <w:bottom w:val="none" w:sz="0" w:space="0" w:color="auto"/>
                <w:right w:val="none" w:sz="0" w:space="0" w:color="auto"/>
              </w:divBdr>
            </w:div>
          </w:divsChild>
        </w:div>
        <w:div w:id="1629781409">
          <w:marLeft w:val="0"/>
          <w:marRight w:val="0"/>
          <w:marTop w:val="0"/>
          <w:marBottom w:val="0"/>
          <w:divBdr>
            <w:top w:val="none" w:sz="0" w:space="0" w:color="auto"/>
            <w:left w:val="none" w:sz="0" w:space="0" w:color="auto"/>
            <w:bottom w:val="none" w:sz="0" w:space="0" w:color="auto"/>
            <w:right w:val="none" w:sz="0" w:space="0" w:color="auto"/>
          </w:divBdr>
        </w:div>
        <w:div w:id="1046376058">
          <w:marLeft w:val="0"/>
          <w:marRight w:val="0"/>
          <w:marTop w:val="0"/>
          <w:marBottom w:val="0"/>
          <w:divBdr>
            <w:top w:val="none" w:sz="0" w:space="0" w:color="auto"/>
            <w:left w:val="none" w:sz="0" w:space="0" w:color="auto"/>
            <w:bottom w:val="none" w:sz="0" w:space="0" w:color="auto"/>
            <w:right w:val="none" w:sz="0" w:space="0" w:color="auto"/>
          </w:divBdr>
        </w:div>
        <w:div w:id="1778014871">
          <w:marLeft w:val="0"/>
          <w:marRight w:val="0"/>
          <w:marTop w:val="0"/>
          <w:marBottom w:val="0"/>
          <w:divBdr>
            <w:top w:val="none" w:sz="0" w:space="0" w:color="auto"/>
            <w:left w:val="none" w:sz="0" w:space="0" w:color="auto"/>
            <w:bottom w:val="none" w:sz="0" w:space="0" w:color="auto"/>
            <w:right w:val="none" w:sz="0" w:space="0" w:color="auto"/>
          </w:divBdr>
          <w:divsChild>
            <w:div w:id="1882356267">
              <w:marLeft w:val="0"/>
              <w:marRight w:val="0"/>
              <w:marTop w:val="0"/>
              <w:marBottom w:val="0"/>
              <w:divBdr>
                <w:top w:val="none" w:sz="0" w:space="0" w:color="auto"/>
                <w:left w:val="none" w:sz="0" w:space="0" w:color="auto"/>
                <w:bottom w:val="none" w:sz="0" w:space="0" w:color="auto"/>
                <w:right w:val="none" w:sz="0" w:space="0" w:color="auto"/>
              </w:divBdr>
            </w:div>
          </w:divsChild>
        </w:div>
        <w:div w:id="2588255">
          <w:marLeft w:val="0"/>
          <w:marRight w:val="0"/>
          <w:marTop w:val="0"/>
          <w:marBottom w:val="0"/>
          <w:divBdr>
            <w:top w:val="none" w:sz="0" w:space="0" w:color="auto"/>
            <w:left w:val="none" w:sz="0" w:space="0" w:color="auto"/>
            <w:bottom w:val="none" w:sz="0" w:space="0" w:color="auto"/>
            <w:right w:val="none" w:sz="0" w:space="0" w:color="auto"/>
          </w:divBdr>
        </w:div>
        <w:div w:id="889801717">
          <w:marLeft w:val="0"/>
          <w:marRight w:val="0"/>
          <w:marTop w:val="0"/>
          <w:marBottom w:val="0"/>
          <w:divBdr>
            <w:top w:val="none" w:sz="0" w:space="0" w:color="auto"/>
            <w:left w:val="none" w:sz="0" w:space="0" w:color="auto"/>
            <w:bottom w:val="none" w:sz="0" w:space="0" w:color="auto"/>
            <w:right w:val="none" w:sz="0" w:space="0" w:color="auto"/>
          </w:divBdr>
        </w:div>
        <w:div w:id="620577312">
          <w:marLeft w:val="0"/>
          <w:marRight w:val="0"/>
          <w:marTop w:val="0"/>
          <w:marBottom w:val="0"/>
          <w:divBdr>
            <w:top w:val="none" w:sz="0" w:space="0" w:color="auto"/>
            <w:left w:val="none" w:sz="0" w:space="0" w:color="auto"/>
            <w:bottom w:val="none" w:sz="0" w:space="0" w:color="auto"/>
            <w:right w:val="none" w:sz="0" w:space="0" w:color="auto"/>
          </w:divBdr>
        </w:div>
        <w:div w:id="1251237959">
          <w:marLeft w:val="0"/>
          <w:marRight w:val="0"/>
          <w:marTop w:val="0"/>
          <w:marBottom w:val="0"/>
          <w:divBdr>
            <w:top w:val="none" w:sz="0" w:space="0" w:color="auto"/>
            <w:left w:val="none" w:sz="0" w:space="0" w:color="auto"/>
            <w:bottom w:val="none" w:sz="0" w:space="0" w:color="auto"/>
            <w:right w:val="none" w:sz="0" w:space="0" w:color="auto"/>
          </w:divBdr>
          <w:divsChild>
            <w:div w:id="1706710451">
              <w:marLeft w:val="0"/>
              <w:marRight w:val="0"/>
              <w:marTop w:val="0"/>
              <w:marBottom w:val="0"/>
              <w:divBdr>
                <w:top w:val="none" w:sz="0" w:space="0" w:color="auto"/>
                <w:left w:val="none" w:sz="0" w:space="0" w:color="auto"/>
                <w:bottom w:val="none" w:sz="0" w:space="0" w:color="auto"/>
                <w:right w:val="none" w:sz="0" w:space="0" w:color="auto"/>
              </w:divBdr>
            </w:div>
          </w:divsChild>
        </w:div>
        <w:div w:id="632758791">
          <w:marLeft w:val="0"/>
          <w:marRight w:val="0"/>
          <w:marTop w:val="0"/>
          <w:marBottom w:val="0"/>
          <w:divBdr>
            <w:top w:val="none" w:sz="0" w:space="0" w:color="auto"/>
            <w:left w:val="none" w:sz="0" w:space="0" w:color="auto"/>
            <w:bottom w:val="none" w:sz="0" w:space="0" w:color="auto"/>
            <w:right w:val="none" w:sz="0" w:space="0" w:color="auto"/>
          </w:divBdr>
        </w:div>
        <w:div w:id="87970161">
          <w:marLeft w:val="0"/>
          <w:marRight w:val="0"/>
          <w:marTop w:val="0"/>
          <w:marBottom w:val="0"/>
          <w:divBdr>
            <w:top w:val="none" w:sz="0" w:space="0" w:color="auto"/>
            <w:left w:val="none" w:sz="0" w:space="0" w:color="auto"/>
            <w:bottom w:val="none" w:sz="0" w:space="0" w:color="auto"/>
            <w:right w:val="none" w:sz="0" w:space="0" w:color="auto"/>
          </w:divBdr>
        </w:div>
        <w:div w:id="1024482051">
          <w:marLeft w:val="0"/>
          <w:marRight w:val="0"/>
          <w:marTop w:val="0"/>
          <w:marBottom w:val="0"/>
          <w:divBdr>
            <w:top w:val="none" w:sz="0" w:space="0" w:color="auto"/>
            <w:left w:val="none" w:sz="0" w:space="0" w:color="auto"/>
            <w:bottom w:val="none" w:sz="0" w:space="0" w:color="auto"/>
            <w:right w:val="none" w:sz="0" w:space="0" w:color="auto"/>
          </w:divBdr>
          <w:divsChild>
            <w:div w:id="139929391">
              <w:marLeft w:val="0"/>
              <w:marRight w:val="0"/>
              <w:marTop w:val="0"/>
              <w:marBottom w:val="0"/>
              <w:divBdr>
                <w:top w:val="none" w:sz="0" w:space="0" w:color="auto"/>
                <w:left w:val="none" w:sz="0" w:space="0" w:color="auto"/>
                <w:bottom w:val="none" w:sz="0" w:space="0" w:color="auto"/>
                <w:right w:val="none" w:sz="0" w:space="0" w:color="auto"/>
              </w:divBdr>
            </w:div>
          </w:divsChild>
        </w:div>
        <w:div w:id="320694186">
          <w:marLeft w:val="0"/>
          <w:marRight w:val="0"/>
          <w:marTop w:val="0"/>
          <w:marBottom w:val="0"/>
          <w:divBdr>
            <w:top w:val="none" w:sz="0" w:space="0" w:color="auto"/>
            <w:left w:val="none" w:sz="0" w:space="0" w:color="auto"/>
            <w:bottom w:val="none" w:sz="0" w:space="0" w:color="auto"/>
            <w:right w:val="none" w:sz="0" w:space="0" w:color="auto"/>
          </w:divBdr>
        </w:div>
        <w:div w:id="15737529">
          <w:marLeft w:val="0"/>
          <w:marRight w:val="0"/>
          <w:marTop w:val="0"/>
          <w:marBottom w:val="0"/>
          <w:divBdr>
            <w:top w:val="none" w:sz="0" w:space="0" w:color="auto"/>
            <w:left w:val="none" w:sz="0" w:space="0" w:color="auto"/>
            <w:bottom w:val="none" w:sz="0" w:space="0" w:color="auto"/>
            <w:right w:val="none" w:sz="0" w:space="0" w:color="auto"/>
          </w:divBdr>
        </w:div>
        <w:div w:id="894197788">
          <w:marLeft w:val="0"/>
          <w:marRight w:val="0"/>
          <w:marTop w:val="0"/>
          <w:marBottom w:val="0"/>
          <w:divBdr>
            <w:top w:val="none" w:sz="0" w:space="0" w:color="auto"/>
            <w:left w:val="none" w:sz="0" w:space="0" w:color="auto"/>
            <w:bottom w:val="none" w:sz="0" w:space="0" w:color="auto"/>
            <w:right w:val="none" w:sz="0" w:space="0" w:color="auto"/>
          </w:divBdr>
        </w:div>
        <w:div w:id="2076664496">
          <w:marLeft w:val="0"/>
          <w:marRight w:val="0"/>
          <w:marTop w:val="0"/>
          <w:marBottom w:val="0"/>
          <w:divBdr>
            <w:top w:val="none" w:sz="0" w:space="0" w:color="auto"/>
            <w:left w:val="none" w:sz="0" w:space="0" w:color="auto"/>
            <w:bottom w:val="none" w:sz="0" w:space="0" w:color="auto"/>
            <w:right w:val="none" w:sz="0" w:space="0" w:color="auto"/>
          </w:divBdr>
          <w:divsChild>
            <w:div w:id="648897626">
              <w:marLeft w:val="0"/>
              <w:marRight w:val="0"/>
              <w:marTop w:val="0"/>
              <w:marBottom w:val="0"/>
              <w:divBdr>
                <w:top w:val="none" w:sz="0" w:space="0" w:color="auto"/>
                <w:left w:val="none" w:sz="0" w:space="0" w:color="auto"/>
                <w:bottom w:val="none" w:sz="0" w:space="0" w:color="auto"/>
                <w:right w:val="none" w:sz="0" w:space="0" w:color="auto"/>
              </w:divBdr>
            </w:div>
          </w:divsChild>
        </w:div>
        <w:div w:id="489366751">
          <w:marLeft w:val="0"/>
          <w:marRight w:val="0"/>
          <w:marTop w:val="0"/>
          <w:marBottom w:val="0"/>
          <w:divBdr>
            <w:top w:val="none" w:sz="0" w:space="0" w:color="auto"/>
            <w:left w:val="none" w:sz="0" w:space="0" w:color="auto"/>
            <w:bottom w:val="none" w:sz="0" w:space="0" w:color="auto"/>
            <w:right w:val="none" w:sz="0" w:space="0" w:color="auto"/>
          </w:divBdr>
        </w:div>
        <w:div w:id="240875334">
          <w:marLeft w:val="0"/>
          <w:marRight w:val="0"/>
          <w:marTop w:val="0"/>
          <w:marBottom w:val="0"/>
          <w:divBdr>
            <w:top w:val="none" w:sz="0" w:space="0" w:color="auto"/>
            <w:left w:val="none" w:sz="0" w:space="0" w:color="auto"/>
            <w:bottom w:val="none" w:sz="0" w:space="0" w:color="auto"/>
            <w:right w:val="none" w:sz="0" w:space="0" w:color="auto"/>
          </w:divBdr>
        </w:div>
        <w:div w:id="1779374188">
          <w:marLeft w:val="0"/>
          <w:marRight w:val="0"/>
          <w:marTop w:val="0"/>
          <w:marBottom w:val="0"/>
          <w:divBdr>
            <w:top w:val="none" w:sz="0" w:space="0" w:color="auto"/>
            <w:left w:val="none" w:sz="0" w:space="0" w:color="auto"/>
            <w:bottom w:val="none" w:sz="0" w:space="0" w:color="auto"/>
            <w:right w:val="none" w:sz="0" w:space="0" w:color="auto"/>
          </w:divBdr>
        </w:div>
        <w:div w:id="1036005324">
          <w:marLeft w:val="0"/>
          <w:marRight w:val="0"/>
          <w:marTop w:val="0"/>
          <w:marBottom w:val="0"/>
          <w:divBdr>
            <w:top w:val="none" w:sz="0" w:space="0" w:color="auto"/>
            <w:left w:val="none" w:sz="0" w:space="0" w:color="auto"/>
            <w:bottom w:val="none" w:sz="0" w:space="0" w:color="auto"/>
            <w:right w:val="none" w:sz="0" w:space="0" w:color="auto"/>
          </w:divBdr>
          <w:divsChild>
            <w:div w:id="144053011">
              <w:marLeft w:val="0"/>
              <w:marRight w:val="0"/>
              <w:marTop w:val="0"/>
              <w:marBottom w:val="0"/>
              <w:divBdr>
                <w:top w:val="none" w:sz="0" w:space="0" w:color="auto"/>
                <w:left w:val="none" w:sz="0" w:space="0" w:color="auto"/>
                <w:bottom w:val="none" w:sz="0" w:space="0" w:color="auto"/>
                <w:right w:val="none" w:sz="0" w:space="0" w:color="auto"/>
              </w:divBdr>
            </w:div>
          </w:divsChild>
        </w:div>
        <w:div w:id="960184605">
          <w:marLeft w:val="0"/>
          <w:marRight w:val="0"/>
          <w:marTop w:val="0"/>
          <w:marBottom w:val="0"/>
          <w:divBdr>
            <w:top w:val="none" w:sz="0" w:space="0" w:color="auto"/>
            <w:left w:val="none" w:sz="0" w:space="0" w:color="auto"/>
            <w:bottom w:val="none" w:sz="0" w:space="0" w:color="auto"/>
            <w:right w:val="none" w:sz="0" w:space="0" w:color="auto"/>
          </w:divBdr>
        </w:div>
        <w:div w:id="600336190">
          <w:marLeft w:val="0"/>
          <w:marRight w:val="0"/>
          <w:marTop w:val="0"/>
          <w:marBottom w:val="0"/>
          <w:divBdr>
            <w:top w:val="none" w:sz="0" w:space="0" w:color="auto"/>
            <w:left w:val="none" w:sz="0" w:space="0" w:color="auto"/>
            <w:bottom w:val="none" w:sz="0" w:space="0" w:color="auto"/>
            <w:right w:val="none" w:sz="0" w:space="0" w:color="auto"/>
          </w:divBdr>
        </w:div>
        <w:div w:id="1778478226">
          <w:marLeft w:val="0"/>
          <w:marRight w:val="0"/>
          <w:marTop w:val="0"/>
          <w:marBottom w:val="0"/>
          <w:divBdr>
            <w:top w:val="none" w:sz="0" w:space="0" w:color="auto"/>
            <w:left w:val="none" w:sz="0" w:space="0" w:color="auto"/>
            <w:bottom w:val="none" w:sz="0" w:space="0" w:color="auto"/>
            <w:right w:val="none" w:sz="0" w:space="0" w:color="auto"/>
          </w:divBdr>
        </w:div>
        <w:div w:id="1330019662">
          <w:marLeft w:val="0"/>
          <w:marRight w:val="0"/>
          <w:marTop w:val="0"/>
          <w:marBottom w:val="0"/>
          <w:divBdr>
            <w:top w:val="none" w:sz="0" w:space="0" w:color="auto"/>
            <w:left w:val="none" w:sz="0" w:space="0" w:color="auto"/>
            <w:bottom w:val="none" w:sz="0" w:space="0" w:color="auto"/>
            <w:right w:val="none" w:sz="0" w:space="0" w:color="auto"/>
          </w:divBdr>
          <w:divsChild>
            <w:div w:id="1041827512">
              <w:marLeft w:val="0"/>
              <w:marRight w:val="0"/>
              <w:marTop w:val="0"/>
              <w:marBottom w:val="0"/>
              <w:divBdr>
                <w:top w:val="none" w:sz="0" w:space="0" w:color="auto"/>
                <w:left w:val="none" w:sz="0" w:space="0" w:color="auto"/>
                <w:bottom w:val="none" w:sz="0" w:space="0" w:color="auto"/>
                <w:right w:val="none" w:sz="0" w:space="0" w:color="auto"/>
              </w:divBdr>
            </w:div>
          </w:divsChild>
        </w:div>
        <w:div w:id="999305314">
          <w:marLeft w:val="0"/>
          <w:marRight w:val="0"/>
          <w:marTop w:val="0"/>
          <w:marBottom w:val="0"/>
          <w:divBdr>
            <w:top w:val="none" w:sz="0" w:space="0" w:color="auto"/>
            <w:left w:val="none" w:sz="0" w:space="0" w:color="auto"/>
            <w:bottom w:val="none" w:sz="0" w:space="0" w:color="auto"/>
            <w:right w:val="none" w:sz="0" w:space="0" w:color="auto"/>
          </w:divBdr>
        </w:div>
        <w:div w:id="999306156">
          <w:marLeft w:val="0"/>
          <w:marRight w:val="0"/>
          <w:marTop w:val="0"/>
          <w:marBottom w:val="0"/>
          <w:divBdr>
            <w:top w:val="none" w:sz="0" w:space="0" w:color="auto"/>
            <w:left w:val="none" w:sz="0" w:space="0" w:color="auto"/>
            <w:bottom w:val="none" w:sz="0" w:space="0" w:color="auto"/>
            <w:right w:val="none" w:sz="0" w:space="0" w:color="auto"/>
          </w:divBdr>
        </w:div>
        <w:div w:id="1534221952">
          <w:marLeft w:val="0"/>
          <w:marRight w:val="0"/>
          <w:marTop w:val="0"/>
          <w:marBottom w:val="0"/>
          <w:divBdr>
            <w:top w:val="none" w:sz="0" w:space="0" w:color="auto"/>
            <w:left w:val="none" w:sz="0" w:space="0" w:color="auto"/>
            <w:bottom w:val="none" w:sz="0" w:space="0" w:color="auto"/>
            <w:right w:val="none" w:sz="0" w:space="0" w:color="auto"/>
          </w:divBdr>
          <w:divsChild>
            <w:div w:id="1832410948">
              <w:marLeft w:val="0"/>
              <w:marRight w:val="0"/>
              <w:marTop w:val="0"/>
              <w:marBottom w:val="0"/>
              <w:divBdr>
                <w:top w:val="none" w:sz="0" w:space="0" w:color="auto"/>
                <w:left w:val="none" w:sz="0" w:space="0" w:color="auto"/>
                <w:bottom w:val="none" w:sz="0" w:space="0" w:color="auto"/>
                <w:right w:val="none" w:sz="0" w:space="0" w:color="auto"/>
              </w:divBdr>
            </w:div>
          </w:divsChild>
        </w:div>
        <w:div w:id="18627109">
          <w:marLeft w:val="0"/>
          <w:marRight w:val="0"/>
          <w:marTop w:val="0"/>
          <w:marBottom w:val="0"/>
          <w:divBdr>
            <w:top w:val="none" w:sz="0" w:space="0" w:color="auto"/>
            <w:left w:val="none" w:sz="0" w:space="0" w:color="auto"/>
            <w:bottom w:val="none" w:sz="0" w:space="0" w:color="auto"/>
            <w:right w:val="none" w:sz="0" w:space="0" w:color="auto"/>
          </w:divBdr>
        </w:div>
        <w:div w:id="1139229314">
          <w:marLeft w:val="0"/>
          <w:marRight w:val="0"/>
          <w:marTop w:val="0"/>
          <w:marBottom w:val="0"/>
          <w:divBdr>
            <w:top w:val="none" w:sz="0" w:space="0" w:color="auto"/>
            <w:left w:val="none" w:sz="0" w:space="0" w:color="auto"/>
            <w:bottom w:val="none" w:sz="0" w:space="0" w:color="auto"/>
            <w:right w:val="none" w:sz="0" w:space="0" w:color="auto"/>
          </w:divBdr>
        </w:div>
        <w:div w:id="541596518">
          <w:marLeft w:val="0"/>
          <w:marRight w:val="0"/>
          <w:marTop w:val="0"/>
          <w:marBottom w:val="0"/>
          <w:divBdr>
            <w:top w:val="none" w:sz="0" w:space="0" w:color="auto"/>
            <w:left w:val="none" w:sz="0" w:space="0" w:color="auto"/>
            <w:bottom w:val="none" w:sz="0" w:space="0" w:color="auto"/>
            <w:right w:val="none" w:sz="0" w:space="0" w:color="auto"/>
          </w:divBdr>
          <w:divsChild>
            <w:div w:id="434978251">
              <w:marLeft w:val="0"/>
              <w:marRight w:val="0"/>
              <w:marTop w:val="0"/>
              <w:marBottom w:val="0"/>
              <w:divBdr>
                <w:top w:val="none" w:sz="0" w:space="0" w:color="auto"/>
                <w:left w:val="none" w:sz="0" w:space="0" w:color="auto"/>
                <w:bottom w:val="none" w:sz="0" w:space="0" w:color="auto"/>
                <w:right w:val="none" w:sz="0" w:space="0" w:color="auto"/>
              </w:divBdr>
            </w:div>
          </w:divsChild>
        </w:div>
        <w:div w:id="627584832">
          <w:marLeft w:val="0"/>
          <w:marRight w:val="0"/>
          <w:marTop w:val="0"/>
          <w:marBottom w:val="0"/>
          <w:divBdr>
            <w:top w:val="none" w:sz="0" w:space="0" w:color="auto"/>
            <w:left w:val="none" w:sz="0" w:space="0" w:color="auto"/>
            <w:bottom w:val="none" w:sz="0" w:space="0" w:color="auto"/>
            <w:right w:val="none" w:sz="0" w:space="0" w:color="auto"/>
          </w:divBdr>
        </w:div>
        <w:div w:id="1291202612">
          <w:marLeft w:val="0"/>
          <w:marRight w:val="0"/>
          <w:marTop w:val="0"/>
          <w:marBottom w:val="0"/>
          <w:divBdr>
            <w:top w:val="none" w:sz="0" w:space="0" w:color="auto"/>
            <w:left w:val="none" w:sz="0" w:space="0" w:color="auto"/>
            <w:bottom w:val="none" w:sz="0" w:space="0" w:color="auto"/>
            <w:right w:val="none" w:sz="0" w:space="0" w:color="auto"/>
          </w:divBdr>
        </w:div>
        <w:div w:id="660622638">
          <w:marLeft w:val="0"/>
          <w:marRight w:val="0"/>
          <w:marTop w:val="0"/>
          <w:marBottom w:val="0"/>
          <w:divBdr>
            <w:top w:val="none" w:sz="0" w:space="0" w:color="auto"/>
            <w:left w:val="none" w:sz="0" w:space="0" w:color="auto"/>
            <w:bottom w:val="none" w:sz="0" w:space="0" w:color="auto"/>
            <w:right w:val="none" w:sz="0" w:space="0" w:color="auto"/>
          </w:divBdr>
          <w:divsChild>
            <w:div w:id="1159274376">
              <w:marLeft w:val="0"/>
              <w:marRight w:val="0"/>
              <w:marTop w:val="0"/>
              <w:marBottom w:val="0"/>
              <w:divBdr>
                <w:top w:val="none" w:sz="0" w:space="0" w:color="auto"/>
                <w:left w:val="none" w:sz="0" w:space="0" w:color="auto"/>
                <w:bottom w:val="none" w:sz="0" w:space="0" w:color="auto"/>
                <w:right w:val="none" w:sz="0" w:space="0" w:color="auto"/>
              </w:divBdr>
            </w:div>
          </w:divsChild>
        </w:div>
        <w:div w:id="2101834376">
          <w:marLeft w:val="0"/>
          <w:marRight w:val="0"/>
          <w:marTop w:val="0"/>
          <w:marBottom w:val="0"/>
          <w:divBdr>
            <w:top w:val="none" w:sz="0" w:space="0" w:color="auto"/>
            <w:left w:val="none" w:sz="0" w:space="0" w:color="auto"/>
            <w:bottom w:val="none" w:sz="0" w:space="0" w:color="auto"/>
            <w:right w:val="none" w:sz="0" w:space="0" w:color="auto"/>
          </w:divBdr>
        </w:div>
        <w:div w:id="1800611866">
          <w:marLeft w:val="0"/>
          <w:marRight w:val="0"/>
          <w:marTop w:val="0"/>
          <w:marBottom w:val="0"/>
          <w:divBdr>
            <w:top w:val="none" w:sz="0" w:space="0" w:color="auto"/>
            <w:left w:val="none" w:sz="0" w:space="0" w:color="auto"/>
            <w:bottom w:val="none" w:sz="0" w:space="0" w:color="auto"/>
            <w:right w:val="none" w:sz="0" w:space="0" w:color="auto"/>
          </w:divBdr>
        </w:div>
        <w:div w:id="1212767775">
          <w:marLeft w:val="0"/>
          <w:marRight w:val="0"/>
          <w:marTop w:val="0"/>
          <w:marBottom w:val="0"/>
          <w:divBdr>
            <w:top w:val="none" w:sz="0" w:space="0" w:color="auto"/>
            <w:left w:val="none" w:sz="0" w:space="0" w:color="auto"/>
            <w:bottom w:val="none" w:sz="0" w:space="0" w:color="auto"/>
            <w:right w:val="none" w:sz="0" w:space="0" w:color="auto"/>
          </w:divBdr>
          <w:divsChild>
            <w:div w:id="134881257">
              <w:marLeft w:val="0"/>
              <w:marRight w:val="0"/>
              <w:marTop w:val="0"/>
              <w:marBottom w:val="0"/>
              <w:divBdr>
                <w:top w:val="none" w:sz="0" w:space="0" w:color="auto"/>
                <w:left w:val="none" w:sz="0" w:space="0" w:color="auto"/>
                <w:bottom w:val="none" w:sz="0" w:space="0" w:color="auto"/>
                <w:right w:val="none" w:sz="0" w:space="0" w:color="auto"/>
              </w:divBdr>
            </w:div>
          </w:divsChild>
        </w:div>
        <w:div w:id="1991865527">
          <w:marLeft w:val="0"/>
          <w:marRight w:val="0"/>
          <w:marTop w:val="0"/>
          <w:marBottom w:val="0"/>
          <w:divBdr>
            <w:top w:val="none" w:sz="0" w:space="0" w:color="auto"/>
            <w:left w:val="none" w:sz="0" w:space="0" w:color="auto"/>
            <w:bottom w:val="none" w:sz="0" w:space="0" w:color="auto"/>
            <w:right w:val="none" w:sz="0" w:space="0" w:color="auto"/>
          </w:divBdr>
        </w:div>
        <w:div w:id="708803451">
          <w:marLeft w:val="0"/>
          <w:marRight w:val="0"/>
          <w:marTop w:val="0"/>
          <w:marBottom w:val="0"/>
          <w:divBdr>
            <w:top w:val="none" w:sz="0" w:space="0" w:color="auto"/>
            <w:left w:val="none" w:sz="0" w:space="0" w:color="auto"/>
            <w:bottom w:val="none" w:sz="0" w:space="0" w:color="auto"/>
            <w:right w:val="none" w:sz="0" w:space="0" w:color="auto"/>
          </w:divBdr>
        </w:div>
        <w:div w:id="1889296466">
          <w:marLeft w:val="0"/>
          <w:marRight w:val="0"/>
          <w:marTop w:val="0"/>
          <w:marBottom w:val="0"/>
          <w:divBdr>
            <w:top w:val="none" w:sz="0" w:space="0" w:color="auto"/>
            <w:left w:val="none" w:sz="0" w:space="0" w:color="auto"/>
            <w:bottom w:val="none" w:sz="0" w:space="0" w:color="auto"/>
            <w:right w:val="none" w:sz="0" w:space="0" w:color="auto"/>
          </w:divBdr>
          <w:divsChild>
            <w:div w:id="1219899415">
              <w:marLeft w:val="0"/>
              <w:marRight w:val="0"/>
              <w:marTop w:val="0"/>
              <w:marBottom w:val="0"/>
              <w:divBdr>
                <w:top w:val="none" w:sz="0" w:space="0" w:color="auto"/>
                <w:left w:val="none" w:sz="0" w:space="0" w:color="auto"/>
                <w:bottom w:val="none" w:sz="0" w:space="0" w:color="auto"/>
                <w:right w:val="none" w:sz="0" w:space="0" w:color="auto"/>
              </w:divBdr>
            </w:div>
          </w:divsChild>
        </w:div>
        <w:div w:id="1304239562">
          <w:marLeft w:val="0"/>
          <w:marRight w:val="0"/>
          <w:marTop w:val="0"/>
          <w:marBottom w:val="0"/>
          <w:divBdr>
            <w:top w:val="none" w:sz="0" w:space="0" w:color="auto"/>
            <w:left w:val="none" w:sz="0" w:space="0" w:color="auto"/>
            <w:bottom w:val="none" w:sz="0" w:space="0" w:color="auto"/>
            <w:right w:val="none" w:sz="0" w:space="0" w:color="auto"/>
          </w:divBdr>
        </w:div>
        <w:div w:id="1490553954">
          <w:marLeft w:val="0"/>
          <w:marRight w:val="0"/>
          <w:marTop w:val="0"/>
          <w:marBottom w:val="0"/>
          <w:divBdr>
            <w:top w:val="none" w:sz="0" w:space="0" w:color="auto"/>
            <w:left w:val="none" w:sz="0" w:space="0" w:color="auto"/>
            <w:bottom w:val="none" w:sz="0" w:space="0" w:color="auto"/>
            <w:right w:val="none" w:sz="0" w:space="0" w:color="auto"/>
          </w:divBdr>
        </w:div>
        <w:div w:id="459499839">
          <w:marLeft w:val="0"/>
          <w:marRight w:val="0"/>
          <w:marTop w:val="0"/>
          <w:marBottom w:val="0"/>
          <w:divBdr>
            <w:top w:val="none" w:sz="0" w:space="0" w:color="auto"/>
            <w:left w:val="none" w:sz="0" w:space="0" w:color="auto"/>
            <w:bottom w:val="none" w:sz="0" w:space="0" w:color="auto"/>
            <w:right w:val="none" w:sz="0" w:space="0" w:color="auto"/>
          </w:divBdr>
        </w:div>
        <w:div w:id="979383706">
          <w:marLeft w:val="0"/>
          <w:marRight w:val="0"/>
          <w:marTop w:val="0"/>
          <w:marBottom w:val="0"/>
          <w:divBdr>
            <w:top w:val="none" w:sz="0" w:space="0" w:color="auto"/>
            <w:left w:val="none" w:sz="0" w:space="0" w:color="auto"/>
            <w:bottom w:val="none" w:sz="0" w:space="0" w:color="auto"/>
            <w:right w:val="none" w:sz="0" w:space="0" w:color="auto"/>
          </w:divBdr>
          <w:divsChild>
            <w:div w:id="1000155427">
              <w:marLeft w:val="0"/>
              <w:marRight w:val="0"/>
              <w:marTop w:val="0"/>
              <w:marBottom w:val="0"/>
              <w:divBdr>
                <w:top w:val="none" w:sz="0" w:space="0" w:color="auto"/>
                <w:left w:val="none" w:sz="0" w:space="0" w:color="auto"/>
                <w:bottom w:val="none" w:sz="0" w:space="0" w:color="auto"/>
                <w:right w:val="none" w:sz="0" w:space="0" w:color="auto"/>
              </w:divBdr>
            </w:div>
          </w:divsChild>
        </w:div>
        <w:div w:id="1998990326">
          <w:marLeft w:val="0"/>
          <w:marRight w:val="0"/>
          <w:marTop w:val="0"/>
          <w:marBottom w:val="0"/>
          <w:divBdr>
            <w:top w:val="none" w:sz="0" w:space="0" w:color="auto"/>
            <w:left w:val="none" w:sz="0" w:space="0" w:color="auto"/>
            <w:bottom w:val="none" w:sz="0" w:space="0" w:color="auto"/>
            <w:right w:val="none" w:sz="0" w:space="0" w:color="auto"/>
          </w:divBdr>
        </w:div>
        <w:div w:id="194077684">
          <w:marLeft w:val="0"/>
          <w:marRight w:val="0"/>
          <w:marTop w:val="0"/>
          <w:marBottom w:val="0"/>
          <w:divBdr>
            <w:top w:val="none" w:sz="0" w:space="0" w:color="auto"/>
            <w:left w:val="none" w:sz="0" w:space="0" w:color="auto"/>
            <w:bottom w:val="none" w:sz="0" w:space="0" w:color="auto"/>
            <w:right w:val="none" w:sz="0" w:space="0" w:color="auto"/>
          </w:divBdr>
        </w:div>
        <w:div w:id="1826164600">
          <w:marLeft w:val="0"/>
          <w:marRight w:val="0"/>
          <w:marTop w:val="0"/>
          <w:marBottom w:val="0"/>
          <w:divBdr>
            <w:top w:val="none" w:sz="0" w:space="0" w:color="auto"/>
            <w:left w:val="none" w:sz="0" w:space="0" w:color="auto"/>
            <w:bottom w:val="none" w:sz="0" w:space="0" w:color="auto"/>
            <w:right w:val="none" w:sz="0" w:space="0" w:color="auto"/>
          </w:divBdr>
          <w:divsChild>
            <w:div w:id="644817898">
              <w:marLeft w:val="0"/>
              <w:marRight w:val="0"/>
              <w:marTop w:val="0"/>
              <w:marBottom w:val="0"/>
              <w:divBdr>
                <w:top w:val="none" w:sz="0" w:space="0" w:color="auto"/>
                <w:left w:val="none" w:sz="0" w:space="0" w:color="auto"/>
                <w:bottom w:val="none" w:sz="0" w:space="0" w:color="auto"/>
                <w:right w:val="none" w:sz="0" w:space="0" w:color="auto"/>
              </w:divBdr>
            </w:div>
          </w:divsChild>
        </w:div>
        <w:div w:id="128136008">
          <w:marLeft w:val="0"/>
          <w:marRight w:val="0"/>
          <w:marTop w:val="0"/>
          <w:marBottom w:val="0"/>
          <w:divBdr>
            <w:top w:val="none" w:sz="0" w:space="0" w:color="auto"/>
            <w:left w:val="none" w:sz="0" w:space="0" w:color="auto"/>
            <w:bottom w:val="none" w:sz="0" w:space="0" w:color="auto"/>
            <w:right w:val="none" w:sz="0" w:space="0" w:color="auto"/>
          </w:divBdr>
        </w:div>
        <w:div w:id="1708532113">
          <w:marLeft w:val="0"/>
          <w:marRight w:val="0"/>
          <w:marTop w:val="0"/>
          <w:marBottom w:val="0"/>
          <w:divBdr>
            <w:top w:val="none" w:sz="0" w:space="0" w:color="auto"/>
            <w:left w:val="none" w:sz="0" w:space="0" w:color="auto"/>
            <w:bottom w:val="none" w:sz="0" w:space="0" w:color="auto"/>
            <w:right w:val="none" w:sz="0" w:space="0" w:color="auto"/>
          </w:divBdr>
        </w:div>
        <w:div w:id="1746416600">
          <w:marLeft w:val="0"/>
          <w:marRight w:val="0"/>
          <w:marTop w:val="0"/>
          <w:marBottom w:val="0"/>
          <w:divBdr>
            <w:top w:val="none" w:sz="0" w:space="0" w:color="auto"/>
            <w:left w:val="none" w:sz="0" w:space="0" w:color="auto"/>
            <w:bottom w:val="none" w:sz="0" w:space="0" w:color="auto"/>
            <w:right w:val="none" w:sz="0" w:space="0" w:color="auto"/>
          </w:divBdr>
          <w:divsChild>
            <w:div w:id="1331323537">
              <w:marLeft w:val="0"/>
              <w:marRight w:val="0"/>
              <w:marTop w:val="0"/>
              <w:marBottom w:val="0"/>
              <w:divBdr>
                <w:top w:val="none" w:sz="0" w:space="0" w:color="auto"/>
                <w:left w:val="none" w:sz="0" w:space="0" w:color="auto"/>
                <w:bottom w:val="none" w:sz="0" w:space="0" w:color="auto"/>
                <w:right w:val="none" w:sz="0" w:space="0" w:color="auto"/>
              </w:divBdr>
            </w:div>
          </w:divsChild>
        </w:div>
        <w:div w:id="1792476939">
          <w:marLeft w:val="0"/>
          <w:marRight w:val="0"/>
          <w:marTop w:val="0"/>
          <w:marBottom w:val="0"/>
          <w:divBdr>
            <w:top w:val="none" w:sz="0" w:space="0" w:color="auto"/>
            <w:left w:val="none" w:sz="0" w:space="0" w:color="auto"/>
            <w:bottom w:val="none" w:sz="0" w:space="0" w:color="auto"/>
            <w:right w:val="none" w:sz="0" w:space="0" w:color="auto"/>
          </w:divBdr>
        </w:div>
        <w:div w:id="723986082">
          <w:marLeft w:val="0"/>
          <w:marRight w:val="0"/>
          <w:marTop w:val="0"/>
          <w:marBottom w:val="0"/>
          <w:divBdr>
            <w:top w:val="none" w:sz="0" w:space="0" w:color="auto"/>
            <w:left w:val="none" w:sz="0" w:space="0" w:color="auto"/>
            <w:bottom w:val="none" w:sz="0" w:space="0" w:color="auto"/>
            <w:right w:val="none" w:sz="0" w:space="0" w:color="auto"/>
          </w:divBdr>
        </w:div>
        <w:div w:id="1053041340">
          <w:marLeft w:val="0"/>
          <w:marRight w:val="0"/>
          <w:marTop w:val="0"/>
          <w:marBottom w:val="0"/>
          <w:divBdr>
            <w:top w:val="none" w:sz="0" w:space="0" w:color="auto"/>
            <w:left w:val="none" w:sz="0" w:space="0" w:color="auto"/>
            <w:bottom w:val="none" w:sz="0" w:space="0" w:color="auto"/>
            <w:right w:val="none" w:sz="0" w:space="0" w:color="auto"/>
          </w:divBdr>
          <w:divsChild>
            <w:div w:id="997341453">
              <w:marLeft w:val="0"/>
              <w:marRight w:val="0"/>
              <w:marTop w:val="0"/>
              <w:marBottom w:val="0"/>
              <w:divBdr>
                <w:top w:val="none" w:sz="0" w:space="0" w:color="auto"/>
                <w:left w:val="none" w:sz="0" w:space="0" w:color="auto"/>
                <w:bottom w:val="none" w:sz="0" w:space="0" w:color="auto"/>
                <w:right w:val="none" w:sz="0" w:space="0" w:color="auto"/>
              </w:divBdr>
            </w:div>
          </w:divsChild>
        </w:div>
        <w:div w:id="194463889">
          <w:marLeft w:val="0"/>
          <w:marRight w:val="0"/>
          <w:marTop w:val="0"/>
          <w:marBottom w:val="0"/>
          <w:divBdr>
            <w:top w:val="none" w:sz="0" w:space="0" w:color="auto"/>
            <w:left w:val="none" w:sz="0" w:space="0" w:color="auto"/>
            <w:bottom w:val="none" w:sz="0" w:space="0" w:color="auto"/>
            <w:right w:val="none" w:sz="0" w:space="0" w:color="auto"/>
          </w:divBdr>
        </w:div>
        <w:div w:id="2136409446">
          <w:marLeft w:val="0"/>
          <w:marRight w:val="0"/>
          <w:marTop w:val="0"/>
          <w:marBottom w:val="0"/>
          <w:divBdr>
            <w:top w:val="none" w:sz="0" w:space="0" w:color="auto"/>
            <w:left w:val="none" w:sz="0" w:space="0" w:color="auto"/>
            <w:bottom w:val="none" w:sz="0" w:space="0" w:color="auto"/>
            <w:right w:val="none" w:sz="0" w:space="0" w:color="auto"/>
          </w:divBdr>
        </w:div>
        <w:div w:id="2021348929">
          <w:marLeft w:val="0"/>
          <w:marRight w:val="0"/>
          <w:marTop w:val="0"/>
          <w:marBottom w:val="0"/>
          <w:divBdr>
            <w:top w:val="none" w:sz="0" w:space="0" w:color="auto"/>
            <w:left w:val="none" w:sz="0" w:space="0" w:color="auto"/>
            <w:bottom w:val="none" w:sz="0" w:space="0" w:color="auto"/>
            <w:right w:val="none" w:sz="0" w:space="0" w:color="auto"/>
          </w:divBdr>
          <w:divsChild>
            <w:div w:id="890269260">
              <w:marLeft w:val="0"/>
              <w:marRight w:val="0"/>
              <w:marTop w:val="0"/>
              <w:marBottom w:val="0"/>
              <w:divBdr>
                <w:top w:val="none" w:sz="0" w:space="0" w:color="auto"/>
                <w:left w:val="none" w:sz="0" w:space="0" w:color="auto"/>
                <w:bottom w:val="none" w:sz="0" w:space="0" w:color="auto"/>
                <w:right w:val="none" w:sz="0" w:space="0" w:color="auto"/>
              </w:divBdr>
            </w:div>
          </w:divsChild>
        </w:div>
        <w:div w:id="687097894">
          <w:marLeft w:val="0"/>
          <w:marRight w:val="0"/>
          <w:marTop w:val="0"/>
          <w:marBottom w:val="0"/>
          <w:divBdr>
            <w:top w:val="none" w:sz="0" w:space="0" w:color="auto"/>
            <w:left w:val="none" w:sz="0" w:space="0" w:color="auto"/>
            <w:bottom w:val="none" w:sz="0" w:space="0" w:color="auto"/>
            <w:right w:val="none" w:sz="0" w:space="0" w:color="auto"/>
          </w:divBdr>
        </w:div>
        <w:div w:id="1852572422">
          <w:marLeft w:val="0"/>
          <w:marRight w:val="0"/>
          <w:marTop w:val="0"/>
          <w:marBottom w:val="0"/>
          <w:divBdr>
            <w:top w:val="none" w:sz="0" w:space="0" w:color="auto"/>
            <w:left w:val="none" w:sz="0" w:space="0" w:color="auto"/>
            <w:bottom w:val="none" w:sz="0" w:space="0" w:color="auto"/>
            <w:right w:val="none" w:sz="0" w:space="0" w:color="auto"/>
          </w:divBdr>
        </w:div>
        <w:div w:id="1450706441">
          <w:marLeft w:val="0"/>
          <w:marRight w:val="0"/>
          <w:marTop w:val="0"/>
          <w:marBottom w:val="0"/>
          <w:divBdr>
            <w:top w:val="none" w:sz="0" w:space="0" w:color="auto"/>
            <w:left w:val="none" w:sz="0" w:space="0" w:color="auto"/>
            <w:bottom w:val="none" w:sz="0" w:space="0" w:color="auto"/>
            <w:right w:val="none" w:sz="0" w:space="0" w:color="auto"/>
          </w:divBdr>
          <w:divsChild>
            <w:div w:id="2119256201">
              <w:marLeft w:val="0"/>
              <w:marRight w:val="0"/>
              <w:marTop w:val="0"/>
              <w:marBottom w:val="0"/>
              <w:divBdr>
                <w:top w:val="none" w:sz="0" w:space="0" w:color="auto"/>
                <w:left w:val="none" w:sz="0" w:space="0" w:color="auto"/>
                <w:bottom w:val="none" w:sz="0" w:space="0" w:color="auto"/>
                <w:right w:val="none" w:sz="0" w:space="0" w:color="auto"/>
              </w:divBdr>
            </w:div>
          </w:divsChild>
        </w:div>
        <w:div w:id="75564112">
          <w:marLeft w:val="0"/>
          <w:marRight w:val="0"/>
          <w:marTop w:val="0"/>
          <w:marBottom w:val="0"/>
          <w:divBdr>
            <w:top w:val="none" w:sz="0" w:space="0" w:color="auto"/>
            <w:left w:val="none" w:sz="0" w:space="0" w:color="auto"/>
            <w:bottom w:val="none" w:sz="0" w:space="0" w:color="auto"/>
            <w:right w:val="none" w:sz="0" w:space="0" w:color="auto"/>
          </w:divBdr>
        </w:div>
        <w:div w:id="1821313080">
          <w:marLeft w:val="0"/>
          <w:marRight w:val="0"/>
          <w:marTop w:val="0"/>
          <w:marBottom w:val="0"/>
          <w:divBdr>
            <w:top w:val="none" w:sz="0" w:space="0" w:color="auto"/>
            <w:left w:val="none" w:sz="0" w:space="0" w:color="auto"/>
            <w:bottom w:val="none" w:sz="0" w:space="0" w:color="auto"/>
            <w:right w:val="none" w:sz="0" w:space="0" w:color="auto"/>
          </w:divBdr>
        </w:div>
        <w:div w:id="1367028237">
          <w:marLeft w:val="0"/>
          <w:marRight w:val="0"/>
          <w:marTop w:val="0"/>
          <w:marBottom w:val="0"/>
          <w:divBdr>
            <w:top w:val="none" w:sz="0" w:space="0" w:color="auto"/>
            <w:left w:val="none" w:sz="0" w:space="0" w:color="auto"/>
            <w:bottom w:val="none" w:sz="0" w:space="0" w:color="auto"/>
            <w:right w:val="none" w:sz="0" w:space="0" w:color="auto"/>
          </w:divBdr>
        </w:div>
        <w:div w:id="123502591">
          <w:marLeft w:val="0"/>
          <w:marRight w:val="0"/>
          <w:marTop w:val="0"/>
          <w:marBottom w:val="0"/>
          <w:divBdr>
            <w:top w:val="none" w:sz="0" w:space="0" w:color="auto"/>
            <w:left w:val="none" w:sz="0" w:space="0" w:color="auto"/>
            <w:bottom w:val="none" w:sz="0" w:space="0" w:color="auto"/>
            <w:right w:val="none" w:sz="0" w:space="0" w:color="auto"/>
          </w:divBdr>
          <w:divsChild>
            <w:div w:id="792820308">
              <w:marLeft w:val="0"/>
              <w:marRight w:val="0"/>
              <w:marTop w:val="0"/>
              <w:marBottom w:val="0"/>
              <w:divBdr>
                <w:top w:val="none" w:sz="0" w:space="0" w:color="auto"/>
                <w:left w:val="none" w:sz="0" w:space="0" w:color="auto"/>
                <w:bottom w:val="none" w:sz="0" w:space="0" w:color="auto"/>
                <w:right w:val="none" w:sz="0" w:space="0" w:color="auto"/>
              </w:divBdr>
            </w:div>
          </w:divsChild>
        </w:div>
        <w:div w:id="85813154">
          <w:marLeft w:val="0"/>
          <w:marRight w:val="0"/>
          <w:marTop w:val="0"/>
          <w:marBottom w:val="0"/>
          <w:divBdr>
            <w:top w:val="none" w:sz="0" w:space="0" w:color="auto"/>
            <w:left w:val="none" w:sz="0" w:space="0" w:color="auto"/>
            <w:bottom w:val="none" w:sz="0" w:space="0" w:color="auto"/>
            <w:right w:val="none" w:sz="0" w:space="0" w:color="auto"/>
          </w:divBdr>
        </w:div>
        <w:div w:id="1194534642">
          <w:marLeft w:val="0"/>
          <w:marRight w:val="0"/>
          <w:marTop w:val="0"/>
          <w:marBottom w:val="0"/>
          <w:divBdr>
            <w:top w:val="none" w:sz="0" w:space="0" w:color="auto"/>
            <w:left w:val="none" w:sz="0" w:space="0" w:color="auto"/>
            <w:bottom w:val="none" w:sz="0" w:space="0" w:color="auto"/>
            <w:right w:val="none" w:sz="0" w:space="0" w:color="auto"/>
          </w:divBdr>
        </w:div>
        <w:div w:id="377781160">
          <w:marLeft w:val="0"/>
          <w:marRight w:val="0"/>
          <w:marTop w:val="0"/>
          <w:marBottom w:val="0"/>
          <w:divBdr>
            <w:top w:val="none" w:sz="0" w:space="0" w:color="auto"/>
            <w:left w:val="none" w:sz="0" w:space="0" w:color="auto"/>
            <w:bottom w:val="none" w:sz="0" w:space="0" w:color="auto"/>
            <w:right w:val="none" w:sz="0" w:space="0" w:color="auto"/>
          </w:divBdr>
        </w:div>
        <w:div w:id="2137791128">
          <w:marLeft w:val="0"/>
          <w:marRight w:val="0"/>
          <w:marTop w:val="0"/>
          <w:marBottom w:val="0"/>
          <w:divBdr>
            <w:top w:val="none" w:sz="0" w:space="0" w:color="auto"/>
            <w:left w:val="none" w:sz="0" w:space="0" w:color="auto"/>
            <w:bottom w:val="none" w:sz="0" w:space="0" w:color="auto"/>
            <w:right w:val="none" w:sz="0" w:space="0" w:color="auto"/>
          </w:divBdr>
          <w:divsChild>
            <w:div w:id="226107831">
              <w:marLeft w:val="0"/>
              <w:marRight w:val="0"/>
              <w:marTop w:val="0"/>
              <w:marBottom w:val="0"/>
              <w:divBdr>
                <w:top w:val="none" w:sz="0" w:space="0" w:color="auto"/>
                <w:left w:val="none" w:sz="0" w:space="0" w:color="auto"/>
                <w:bottom w:val="none" w:sz="0" w:space="0" w:color="auto"/>
                <w:right w:val="none" w:sz="0" w:space="0" w:color="auto"/>
              </w:divBdr>
            </w:div>
          </w:divsChild>
        </w:div>
        <w:div w:id="964121909">
          <w:marLeft w:val="0"/>
          <w:marRight w:val="0"/>
          <w:marTop w:val="0"/>
          <w:marBottom w:val="0"/>
          <w:divBdr>
            <w:top w:val="none" w:sz="0" w:space="0" w:color="auto"/>
            <w:left w:val="none" w:sz="0" w:space="0" w:color="auto"/>
            <w:bottom w:val="none" w:sz="0" w:space="0" w:color="auto"/>
            <w:right w:val="none" w:sz="0" w:space="0" w:color="auto"/>
          </w:divBdr>
        </w:div>
        <w:div w:id="1825051594">
          <w:marLeft w:val="0"/>
          <w:marRight w:val="0"/>
          <w:marTop w:val="0"/>
          <w:marBottom w:val="0"/>
          <w:divBdr>
            <w:top w:val="none" w:sz="0" w:space="0" w:color="auto"/>
            <w:left w:val="none" w:sz="0" w:space="0" w:color="auto"/>
            <w:bottom w:val="none" w:sz="0" w:space="0" w:color="auto"/>
            <w:right w:val="none" w:sz="0" w:space="0" w:color="auto"/>
          </w:divBdr>
        </w:div>
        <w:div w:id="769349999">
          <w:marLeft w:val="0"/>
          <w:marRight w:val="0"/>
          <w:marTop w:val="0"/>
          <w:marBottom w:val="0"/>
          <w:divBdr>
            <w:top w:val="none" w:sz="0" w:space="0" w:color="auto"/>
            <w:left w:val="none" w:sz="0" w:space="0" w:color="auto"/>
            <w:bottom w:val="none" w:sz="0" w:space="0" w:color="auto"/>
            <w:right w:val="none" w:sz="0" w:space="0" w:color="auto"/>
          </w:divBdr>
        </w:div>
        <w:div w:id="1245190049">
          <w:marLeft w:val="0"/>
          <w:marRight w:val="0"/>
          <w:marTop w:val="0"/>
          <w:marBottom w:val="0"/>
          <w:divBdr>
            <w:top w:val="none" w:sz="0" w:space="0" w:color="auto"/>
            <w:left w:val="none" w:sz="0" w:space="0" w:color="auto"/>
            <w:bottom w:val="none" w:sz="0" w:space="0" w:color="auto"/>
            <w:right w:val="none" w:sz="0" w:space="0" w:color="auto"/>
          </w:divBdr>
          <w:divsChild>
            <w:div w:id="654649275">
              <w:marLeft w:val="0"/>
              <w:marRight w:val="0"/>
              <w:marTop w:val="0"/>
              <w:marBottom w:val="0"/>
              <w:divBdr>
                <w:top w:val="none" w:sz="0" w:space="0" w:color="auto"/>
                <w:left w:val="none" w:sz="0" w:space="0" w:color="auto"/>
                <w:bottom w:val="none" w:sz="0" w:space="0" w:color="auto"/>
                <w:right w:val="none" w:sz="0" w:space="0" w:color="auto"/>
              </w:divBdr>
            </w:div>
          </w:divsChild>
        </w:div>
        <w:div w:id="264072492">
          <w:marLeft w:val="0"/>
          <w:marRight w:val="0"/>
          <w:marTop w:val="0"/>
          <w:marBottom w:val="0"/>
          <w:divBdr>
            <w:top w:val="none" w:sz="0" w:space="0" w:color="auto"/>
            <w:left w:val="none" w:sz="0" w:space="0" w:color="auto"/>
            <w:bottom w:val="none" w:sz="0" w:space="0" w:color="auto"/>
            <w:right w:val="none" w:sz="0" w:space="0" w:color="auto"/>
          </w:divBdr>
        </w:div>
        <w:div w:id="1442992259">
          <w:marLeft w:val="0"/>
          <w:marRight w:val="0"/>
          <w:marTop w:val="0"/>
          <w:marBottom w:val="0"/>
          <w:divBdr>
            <w:top w:val="none" w:sz="0" w:space="0" w:color="auto"/>
            <w:left w:val="none" w:sz="0" w:space="0" w:color="auto"/>
            <w:bottom w:val="none" w:sz="0" w:space="0" w:color="auto"/>
            <w:right w:val="none" w:sz="0" w:space="0" w:color="auto"/>
          </w:divBdr>
        </w:div>
        <w:div w:id="1430200376">
          <w:marLeft w:val="0"/>
          <w:marRight w:val="0"/>
          <w:marTop w:val="0"/>
          <w:marBottom w:val="0"/>
          <w:divBdr>
            <w:top w:val="none" w:sz="0" w:space="0" w:color="auto"/>
            <w:left w:val="none" w:sz="0" w:space="0" w:color="auto"/>
            <w:bottom w:val="none" w:sz="0" w:space="0" w:color="auto"/>
            <w:right w:val="none" w:sz="0" w:space="0" w:color="auto"/>
          </w:divBdr>
        </w:div>
        <w:div w:id="321738699">
          <w:marLeft w:val="0"/>
          <w:marRight w:val="0"/>
          <w:marTop w:val="0"/>
          <w:marBottom w:val="0"/>
          <w:divBdr>
            <w:top w:val="none" w:sz="0" w:space="0" w:color="auto"/>
            <w:left w:val="none" w:sz="0" w:space="0" w:color="auto"/>
            <w:bottom w:val="none" w:sz="0" w:space="0" w:color="auto"/>
            <w:right w:val="none" w:sz="0" w:space="0" w:color="auto"/>
          </w:divBdr>
          <w:divsChild>
            <w:div w:id="567230285">
              <w:marLeft w:val="0"/>
              <w:marRight w:val="0"/>
              <w:marTop w:val="0"/>
              <w:marBottom w:val="0"/>
              <w:divBdr>
                <w:top w:val="none" w:sz="0" w:space="0" w:color="auto"/>
                <w:left w:val="none" w:sz="0" w:space="0" w:color="auto"/>
                <w:bottom w:val="none" w:sz="0" w:space="0" w:color="auto"/>
                <w:right w:val="none" w:sz="0" w:space="0" w:color="auto"/>
              </w:divBdr>
            </w:div>
          </w:divsChild>
        </w:div>
        <w:div w:id="868639686">
          <w:marLeft w:val="0"/>
          <w:marRight w:val="0"/>
          <w:marTop w:val="0"/>
          <w:marBottom w:val="0"/>
          <w:divBdr>
            <w:top w:val="none" w:sz="0" w:space="0" w:color="auto"/>
            <w:left w:val="none" w:sz="0" w:space="0" w:color="auto"/>
            <w:bottom w:val="none" w:sz="0" w:space="0" w:color="auto"/>
            <w:right w:val="none" w:sz="0" w:space="0" w:color="auto"/>
          </w:divBdr>
        </w:div>
        <w:div w:id="1025014889">
          <w:marLeft w:val="0"/>
          <w:marRight w:val="0"/>
          <w:marTop w:val="0"/>
          <w:marBottom w:val="0"/>
          <w:divBdr>
            <w:top w:val="none" w:sz="0" w:space="0" w:color="auto"/>
            <w:left w:val="none" w:sz="0" w:space="0" w:color="auto"/>
            <w:bottom w:val="none" w:sz="0" w:space="0" w:color="auto"/>
            <w:right w:val="none" w:sz="0" w:space="0" w:color="auto"/>
          </w:divBdr>
        </w:div>
        <w:div w:id="1270503306">
          <w:marLeft w:val="0"/>
          <w:marRight w:val="0"/>
          <w:marTop w:val="0"/>
          <w:marBottom w:val="0"/>
          <w:divBdr>
            <w:top w:val="none" w:sz="0" w:space="0" w:color="auto"/>
            <w:left w:val="none" w:sz="0" w:space="0" w:color="auto"/>
            <w:bottom w:val="none" w:sz="0" w:space="0" w:color="auto"/>
            <w:right w:val="none" w:sz="0" w:space="0" w:color="auto"/>
          </w:divBdr>
          <w:divsChild>
            <w:div w:id="1738356572">
              <w:marLeft w:val="0"/>
              <w:marRight w:val="0"/>
              <w:marTop w:val="0"/>
              <w:marBottom w:val="0"/>
              <w:divBdr>
                <w:top w:val="none" w:sz="0" w:space="0" w:color="auto"/>
                <w:left w:val="none" w:sz="0" w:space="0" w:color="auto"/>
                <w:bottom w:val="none" w:sz="0" w:space="0" w:color="auto"/>
                <w:right w:val="none" w:sz="0" w:space="0" w:color="auto"/>
              </w:divBdr>
            </w:div>
          </w:divsChild>
        </w:div>
        <w:div w:id="1550844445">
          <w:marLeft w:val="0"/>
          <w:marRight w:val="0"/>
          <w:marTop w:val="0"/>
          <w:marBottom w:val="0"/>
          <w:divBdr>
            <w:top w:val="none" w:sz="0" w:space="0" w:color="auto"/>
            <w:left w:val="none" w:sz="0" w:space="0" w:color="auto"/>
            <w:bottom w:val="none" w:sz="0" w:space="0" w:color="auto"/>
            <w:right w:val="none" w:sz="0" w:space="0" w:color="auto"/>
          </w:divBdr>
        </w:div>
        <w:div w:id="359476983">
          <w:marLeft w:val="0"/>
          <w:marRight w:val="0"/>
          <w:marTop w:val="0"/>
          <w:marBottom w:val="0"/>
          <w:divBdr>
            <w:top w:val="none" w:sz="0" w:space="0" w:color="auto"/>
            <w:left w:val="none" w:sz="0" w:space="0" w:color="auto"/>
            <w:bottom w:val="none" w:sz="0" w:space="0" w:color="auto"/>
            <w:right w:val="none" w:sz="0" w:space="0" w:color="auto"/>
          </w:divBdr>
        </w:div>
        <w:div w:id="492766848">
          <w:marLeft w:val="0"/>
          <w:marRight w:val="0"/>
          <w:marTop w:val="0"/>
          <w:marBottom w:val="0"/>
          <w:divBdr>
            <w:top w:val="none" w:sz="0" w:space="0" w:color="auto"/>
            <w:left w:val="none" w:sz="0" w:space="0" w:color="auto"/>
            <w:bottom w:val="none" w:sz="0" w:space="0" w:color="auto"/>
            <w:right w:val="none" w:sz="0" w:space="0" w:color="auto"/>
          </w:divBdr>
          <w:divsChild>
            <w:div w:id="1229265078">
              <w:marLeft w:val="0"/>
              <w:marRight w:val="0"/>
              <w:marTop w:val="0"/>
              <w:marBottom w:val="0"/>
              <w:divBdr>
                <w:top w:val="none" w:sz="0" w:space="0" w:color="auto"/>
                <w:left w:val="none" w:sz="0" w:space="0" w:color="auto"/>
                <w:bottom w:val="none" w:sz="0" w:space="0" w:color="auto"/>
                <w:right w:val="none" w:sz="0" w:space="0" w:color="auto"/>
              </w:divBdr>
            </w:div>
          </w:divsChild>
        </w:div>
        <w:div w:id="1996032179">
          <w:marLeft w:val="0"/>
          <w:marRight w:val="0"/>
          <w:marTop w:val="0"/>
          <w:marBottom w:val="0"/>
          <w:divBdr>
            <w:top w:val="none" w:sz="0" w:space="0" w:color="auto"/>
            <w:left w:val="none" w:sz="0" w:space="0" w:color="auto"/>
            <w:bottom w:val="none" w:sz="0" w:space="0" w:color="auto"/>
            <w:right w:val="none" w:sz="0" w:space="0" w:color="auto"/>
          </w:divBdr>
        </w:div>
        <w:div w:id="940338184">
          <w:marLeft w:val="0"/>
          <w:marRight w:val="0"/>
          <w:marTop w:val="0"/>
          <w:marBottom w:val="0"/>
          <w:divBdr>
            <w:top w:val="none" w:sz="0" w:space="0" w:color="auto"/>
            <w:left w:val="none" w:sz="0" w:space="0" w:color="auto"/>
            <w:bottom w:val="none" w:sz="0" w:space="0" w:color="auto"/>
            <w:right w:val="none" w:sz="0" w:space="0" w:color="auto"/>
          </w:divBdr>
        </w:div>
        <w:div w:id="525678335">
          <w:marLeft w:val="0"/>
          <w:marRight w:val="0"/>
          <w:marTop w:val="0"/>
          <w:marBottom w:val="0"/>
          <w:divBdr>
            <w:top w:val="none" w:sz="0" w:space="0" w:color="auto"/>
            <w:left w:val="none" w:sz="0" w:space="0" w:color="auto"/>
            <w:bottom w:val="none" w:sz="0" w:space="0" w:color="auto"/>
            <w:right w:val="none" w:sz="0" w:space="0" w:color="auto"/>
          </w:divBdr>
        </w:div>
        <w:div w:id="555243062">
          <w:marLeft w:val="0"/>
          <w:marRight w:val="0"/>
          <w:marTop w:val="0"/>
          <w:marBottom w:val="0"/>
          <w:divBdr>
            <w:top w:val="none" w:sz="0" w:space="0" w:color="auto"/>
            <w:left w:val="none" w:sz="0" w:space="0" w:color="auto"/>
            <w:bottom w:val="none" w:sz="0" w:space="0" w:color="auto"/>
            <w:right w:val="none" w:sz="0" w:space="0" w:color="auto"/>
          </w:divBdr>
          <w:divsChild>
            <w:div w:id="1844199042">
              <w:marLeft w:val="0"/>
              <w:marRight w:val="0"/>
              <w:marTop w:val="0"/>
              <w:marBottom w:val="0"/>
              <w:divBdr>
                <w:top w:val="none" w:sz="0" w:space="0" w:color="auto"/>
                <w:left w:val="none" w:sz="0" w:space="0" w:color="auto"/>
                <w:bottom w:val="none" w:sz="0" w:space="0" w:color="auto"/>
                <w:right w:val="none" w:sz="0" w:space="0" w:color="auto"/>
              </w:divBdr>
            </w:div>
          </w:divsChild>
        </w:div>
        <w:div w:id="1746143005">
          <w:marLeft w:val="0"/>
          <w:marRight w:val="0"/>
          <w:marTop w:val="0"/>
          <w:marBottom w:val="0"/>
          <w:divBdr>
            <w:top w:val="none" w:sz="0" w:space="0" w:color="auto"/>
            <w:left w:val="none" w:sz="0" w:space="0" w:color="auto"/>
            <w:bottom w:val="none" w:sz="0" w:space="0" w:color="auto"/>
            <w:right w:val="none" w:sz="0" w:space="0" w:color="auto"/>
          </w:divBdr>
        </w:div>
        <w:div w:id="1590238015">
          <w:marLeft w:val="0"/>
          <w:marRight w:val="0"/>
          <w:marTop w:val="0"/>
          <w:marBottom w:val="0"/>
          <w:divBdr>
            <w:top w:val="none" w:sz="0" w:space="0" w:color="auto"/>
            <w:left w:val="none" w:sz="0" w:space="0" w:color="auto"/>
            <w:bottom w:val="none" w:sz="0" w:space="0" w:color="auto"/>
            <w:right w:val="none" w:sz="0" w:space="0" w:color="auto"/>
          </w:divBdr>
        </w:div>
        <w:div w:id="1383018087">
          <w:marLeft w:val="0"/>
          <w:marRight w:val="0"/>
          <w:marTop w:val="0"/>
          <w:marBottom w:val="0"/>
          <w:divBdr>
            <w:top w:val="none" w:sz="0" w:space="0" w:color="auto"/>
            <w:left w:val="none" w:sz="0" w:space="0" w:color="auto"/>
            <w:bottom w:val="none" w:sz="0" w:space="0" w:color="auto"/>
            <w:right w:val="none" w:sz="0" w:space="0" w:color="auto"/>
          </w:divBdr>
        </w:div>
      </w:divsChild>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38153">
      <w:bodyDiv w:val="1"/>
      <w:marLeft w:val="0"/>
      <w:marRight w:val="0"/>
      <w:marTop w:val="0"/>
      <w:marBottom w:val="0"/>
      <w:divBdr>
        <w:top w:val="none" w:sz="0" w:space="0" w:color="auto"/>
        <w:left w:val="none" w:sz="0" w:space="0" w:color="auto"/>
        <w:bottom w:val="none" w:sz="0" w:space="0" w:color="auto"/>
        <w:right w:val="none" w:sz="0" w:space="0" w:color="auto"/>
      </w:divBdr>
      <w:divsChild>
        <w:div w:id="354504101">
          <w:marLeft w:val="0"/>
          <w:marRight w:val="0"/>
          <w:marTop w:val="0"/>
          <w:marBottom w:val="0"/>
          <w:divBdr>
            <w:top w:val="none" w:sz="0" w:space="0" w:color="auto"/>
            <w:left w:val="none" w:sz="0" w:space="0" w:color="auto"/>
            <w:bottom w:val="none" w:sz="0" w:space="0" w:color="auto"/>
            <w:right w:val="none" w:sz="0" w:space="0" w:color="auto"/>
          </w:divBdr>
          <w:divsChild>
            <w:div w:id="171639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14408273">
      <w:bodyDiv w:val="1"/>
      <w:marLeft w:val="0"/>
      <w:marRight w:val="0"/>
      <w:marTop w:val="0"/>
      <w:marBottom w:val="0"/>
      <w:divBdr>
        <w:top w:val="none" w:sz="0" w:space="0" w:color="auto"/>
        <w:left w:val="none" w:sz="0" w:space="0" w:color="auto"/>
        <w:bottom w:val="none" w:sz="0" w:space="0" w:color="auto"/>
        <w:right w:val="none" w:sz="0" w:space="0" w:color="auto"/>
      </w:divBdr>
      <w:divsChild>
        <w:div w:id="1478298436">
          <w:marLeft w:val="0"/>
          <w:marRight w:val="0"/>
          <w:marTop w:val="0"/>
          <w:marBottom w:val="0"/>
          <w:divBdr>
            <w:top w:val="none" w:sz="0" w:space="0" w:color="auto"/>
            <w:left w:val="none" w:sz="0" w:space="0" w:color="auto"/>
            <w:bottom w:val="none" w:sz="0" w:space="0" w:color="auto"/>
            <w:right w:val="none" w:sz="0" w:space="0" w:color="auto"/>
          </w:divBdr>
          <w:divsChild>
            <w:div w:id="67584574">
              <w:marLeft w:val="0"/>
              <w:marRight w:val="0"/>
              <w:marTop w:val="0"/>
              <w:marBottom w:val="0"/>
              <w:divBdr>
                <w:top w:val="none" w:sz="0" w:space="0" w:color="auto"/>
                <w:left w:val="none" w:sz="0" w:space="0" w:color="auto"/>
                <w:bottom w:val="none" w:sz="0" w:space="0" w:color="auto"/>
                <w:right w:val="none" w:sz="0" w:space="0" w:color="auto"/>
              </w:divBdr>
              <w:divsChild>
                <w:div w:id="1899050398">
                  <w:marLeft w:val="0"/>
                  <w:marRight w:val="0"/>
                  <w:marTop w:val="0"/>
                  <w:marBottom w:val="0"/>
                  <w:divBdr>
                    <w:top w:val="none" w:sz="0" w:space="0" w:color="auto"/>
                    <w:left w:val="none" w:sz="0" w:space="0" w:color="auto"/>
                    <w:bottom w:val="none" w:sz="0" w:space="0" w:color="auto"/>
                    <w:right w:val="none" w:sz="0" w:space="0" w:color="auto"/>
                  </w:divBdr>
                  <w:divsChild>
                    <w:div w:id="124094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14231">
          <w:marLeft w:val="0"/>
          <w:marRight w:val="0"/>
          <w:marTop w:val="0"/>
          <w:marBottom w:val="0"/>
          <w:divBdr>
            <w:top w:val="none" w:sz="0" w:space="0" w:color="auto"/>
            <w:left w:val="none" w:sz="0" w:space="0" w:color="auto"/>
            <w:bottom w:val="none" w:sz="0" w:space="0" w:color="auto"/>
            <w:right w:val="none" w:sz="0" w:space="0" w:color="auto"/>
          </w:divBdr>
          <w:divsChild>
            <w:div w:id="1542598007">
              <w:marLeft w:val="0"/>
              <w:marRight w:val="0"/>
              <w:marTop w:val="0"/>
              <w:marBottom w:val="0"/>
              <w:divBdr>
                <w:top w:val="none" w:sz="0" w:space="0" w:color="auto"/>
                <w:left w:val="none" w:sz="0" w:space="0" w:color="auto"/>
                <w:bottom w:val="none" w:sz="0" w:space="0" w:color="auto"/>
                <w:right w:val="none" w:sz="0" w:space="0" w:color="auto"/>
              </w:divBdr>
              <w:divsChild>
                <w:div w:id="11503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ijpharm.2020.119855"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2.jpe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6130</Words>
  <Characters>34942</Characters>
  <Application>Microsoft Office Word</Application>
  <DocSecurity>8</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2021-11-16T18:39:00Z</dcterms:created>
  <dcterms:modified xsi:type="dcterms:W3CDTF">2021-12-20T18:42:00Z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