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8500E"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8500E"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8500E">
        <w:rPr>
          <w:rFonts w:cstheme="minorHAnsi"/>
          <w:b/>
          <w:bCs/>
          <w:color w:val="316192"/>
          <w:sz w:val="28"/>
          <w:szCs w:val="26"/>
        </w:rPr>
        <w:t>Marquette University</w:t>
      </w:r>
    </w:p>
    <w:p w14:paraId="158D4B9F" w14:textId="77777777" w:rsidR="000A7622" w:rsidRPr="00C8500E" w:rsidRDefault="000A7622" w:rsidP="00D14423">
      <w:pPr>
        <w:autoSpaceDE w:val="0"/>
        <w:autoSpaceDN w:val="0"/>
        <w:adjustRightInd w:val="0"/>
        <w:rPr>
          <w:rFonts w:cstheme="minorHAnsi"/>
          <w:b/>
          <w:bCs/>
          <w:color w:val="316192"/>
          <w:sz w:val="40"/>
          <w:szCs w:val="36"/>
        </w:rPr>
      </w:pPr>
      <w:r w:rsidRPr="00C8500E">
        <w:rPr>
          <w:rFonts w:cstheme="minorHAnsi"/>
          <w:b/>
          <w:bCs/>
          <w:color w:val="316192"/>
          <w:sz w:val="40"/>
          <w:szCs w:val="36"/>
        </w:rPr>
        <w:t>e-Publications@Marquette</w:t>
      </w:r>
    </w:p>
    <w:p w14:paraId="689ACF87" w14:textId="77777777" w:rsidR="000A7622" w:rsidRPr="00C8500E" w:rsidRDefault="000A7622" w:rsidP="00D14423">
      <w:pPr>
        <w:autoSpaceDE w:val="0"/>
        <w:autoSpaceDN w:val="0"/>
        <w:adjustRightInd w:val="0"/>
        <w:rPr>
          <w:rFonts w:cstheme="minorHAnsi"/>
          <w:b/>
          <w:bCs/>
          <w:i/>
          <w:iCs/>
        </w:rPr>
      </w:pPr>
    </w:p>
    <w:p w14:paraId="161853CC" w14:textId="30CACBB5" w:rsidR="000A7622" w:rsidRPr="00C8500E" w:rsidRDefault="005B70A2" w:rsidP="00D14423">
      <w:pPr>
        <w:autoSpaceDE w:val="0"/>
        <w:autoSpaceDN w:val="0"/>
        <w:adjustRightInd w:val="0"/>
        <w:rPr>
          <w:rFonts w:cstheme="minorHAnsi"/>
          <w:b/>
          <w:bCs/>
          <w:i/>
          <w:iCs/>
          <w:sz w:val="32"/>
          <w:szCs w:val="32"/>
        </w:rPr>
      </w:pPr>
      <w:r w:rsidRPr="00C8500E">
        <w:rPr>
          <w:rFonts w:cstheme="minorHAnsi"/>
          <w:b/>
          <w:bCs/>
          <w:i/>
          <w:iCs/>
          <w:sz w:val="32"/>
          <w:szCs w:val="32"/>
        </w:rPr>
        <w:t>P</w:t>
      </w:r>
      <w:r w:rsidR="00EF20E6" w:rsidRPr="00C8500E">
        <w:rPr>
          <w:rFonts w:cstheme="minorHAnsi"/>
          <w:b/>
          <w:bCs/>
          <w:i/>
          <w:iCs/>
          <w:sz w:val="32"/>
          <w:szCs w:val="32"/>
        </w:rPr>
        <w:t xml:space="preserve">sychology </w:t>
      </w:r>
      <w:r w:rsidR="000A7622" w:rsidRPr="00C8500E">
        <w:rPr>
          <w:rFonts w:cstheme="minorHAnsi"/>
          <w:b/>
          <w:bCs/>
          <w:i/>
          <w:iCs/>
          <w:sz w:val="32"/>
          <w:szCs w:val="32"/>
        </w:rPr>
        <w:t>Faculty Research and Publications/</w:t>
      </w:r>
      <w:r w:rsidR="009732A9" w:rsidRPr="00C8500E">
        <w:rPr>
          <w:rFonts w:cstheme="minorHAnsi"/>
          <w:b/>
          <w:bCs/>
          <w:i/>
          <w:iCs/>
          <w:sz w:val="32"/>
          <w:szCs w:val="32"/>
        </w:rPr>
        <w:t xml:space="preserve">College of </w:t>
      </w:r>
      <w:r w:rsidR="00EF20E6" w:rsidRPr="00C8500E">
        <w:rPr>
          <w:rFonts w:cstheme="minorHAnsi"/>
          <w:b/>
          <w:bCs/>
          <w:i/>
          <w:iCs/>
          <w:sz w:val="32"/>
          <w:szCs w:val="32"/>
        </w:rPr>
        <w:t>Arts and Sciences</w:t>
      </w:r>
    </w:p>
    <w:bookmarkEnd w:id="1"/>
    <w:p w14:paraId="3E538636" w14:textId="77777777" w:rsidR="000A7622" w:rsidRPr="00C8500E" w:rsidRDefault="000A7622" w:rsidP="00D14423">
      <w:pPr>
        <w:jc w:val="center"/>
        <w:rPr>
          <w:rFonts w:cstheme="minorHAnsi"/>
          <w:b/>
          <w:bCs/>
          <w:i/>
          <w:iCs/>
        </w:rPr>
      </w:pPr>
    </w:p>
    <w:p w14:paraId="25509BF0" w14:textId="00ABD3FD" w:rsidR="000A7622" w:rsidRPr="00C8500E" w:rsidRDefault="000A7622" w:rsidP="00D14423">
      <w:pPr>
        <w:jc w:val="center"/>
        <w:rPr>
          <w:rFonts w:cstheme="minorHAnsi"/>
          <w:sz w:val="24"/>
          <w:szCs w:val="24"/>
        </w:rPr>
      </w:pPr>
      <w:r w:rsidRPr="00C8500E">
        <w:rPr>
          <w:rFonts w:cstheme="minorHAnsi"/>
          <w:b/>
          <w:bCs/>
          <w:i/>
          <w:iCs/>
          <w:sz w:val="24"/>
          <w:szCs w:val="24"/>
        </w:rPr>
        <w:t xml:space="preserve">This paper is NOT THE PUBLISHED VERSION; </w:t>
      </w:r>
      <w:r w:rsidRPr="00C8500E">
        <w:rPr>
          <w:rFonts w:cstheme="minorHAnsi"/>
          <w:b/>
          <w:bCs/>
          <w:sz w:val="24"/>
          <w:szCs w:val="24"/>
        </w:rPr>
        <w:t xml:space="preserve">but the author’s final, peer-reviewed manuscript. </w:t>
      </w:r>
      <w:r w:rsidRPr="00C8500E">
        <w:rPr>
          <w:rFonts w:cstheme="minorHAnsi"/>
          <w:sz w:val="24"/>
          <w:szCs w:val="24"/>
        </w:rPr>
        <w:t>The published version may be accessed by following the link in th</w:t>
      </w:r>
      <w:r w:rsidR="00BA5335" w:rsidRPr="00C8500E">
        <w:rPr>
          <w:rFonts w:cstheme="minorHAnsi"/>
          <w:sz w:val="24"/>
          <w:szCs w:val="24"/>
        </w:rPr>
        <w:t>e</w:t>
      </w:r>
      <w:r w:rsidRPr="00C8500E">
        <w:rPr>
          <w:rFonts w:cstheme="minorHAnsi"/>
          <w:sz w:val="24"/>
          <w:szCs w:val="24"/>
        </w:rPr>
        <w:t xml:space="preserve"> citation below.</w:t>
      </w:r>
    </w:p>
    <w:p w14:paraId="207B0342" w14:textId="77777777" w:rsidR="000A7622" w:rsidRPr="00C8500E" w:rsidRDefault="000A7622" w:rsidP="00D14423">
      <w:pPr>
        <w:jc w:val="center"/>
        <w:rPr>
          <w:rFonts w:cstheme="minorHAnsi"/>
          <w:sz w:val="24"/>
          <w:szCs w:val="24"/>
        </w:rPr>
      </w:pPr>
    </w:p>
    <w:p w14:paraId="2A38AFE1" w14:textId="79664672" w:rsidR="000A7622" w:rsidRPr="00C8500E" w:rsidRDefault="000A7622" w:rsidP="00D14423">
      <w:pPr>
        <w:rPr>
          <w:rFonts w:cstheme="minorHAnsi"/>
          <w:sz w:val="24"/>
          <w:szCs w:val="24"/>
        </w:rPr>
      </w:pPr>
      <w:r w:rsidRPr="00C8500E">
        <w:rPr>
          <w:rFonts w:cstheme="minorHAnsi"/>
          <w:i/>
          <w:sz w:val="24"/>
          <w:szCs w:val="24"/>
          <w:lang w:val="fr-FR"/>
        </w:rPr>
        <w:t>Journa</w:t>
      </w:r>
      <w:r w:rsidR="008964B3" w:rsidRPr="00C8500E">
        <w:rPr>
          <w:rFonts w:cstheme="minorHAnsi"/>
          <w:i/>
          <w:sz w:val="24"/>
          <w:szCs w:val="24"/>
          <w:lang w:val="fr-FR"/>
        </w:rPr>
        <w:t>l of Al</w:t>
      </w:r>
      <w:r w:rsidR="000E2B81" w:rsidRPr="00C8500E">
        <w:rPr>
          <w:rFonts w:cstheme="minorHAnsi"/>
          <w:i/>
          <w:sz w:val="24"/>
          <w:szCs w:val="24"/>
          <w:lang w:val="fr-FR"/>
        </w:rPr>
        <w:t>zheimer’s Disease</w:t>
      </w:r>
      <w:r w:rsidRPr="00C8500E">
        <w:rPr>
          <w:rFonts w:cstheme="minorHAnsi"/>
          <w:sz w:val="24"/>
          <w:szCs w:val="24"/>
          <w:lang w:val="fr-FR"/>
        </w:rPr>
        <w:t xml:space="preserve">, Vol. </w:t>
      </w:r>
      <w:r w:rsidR="00AF6963" w:rsidRPr="00C8500E">
        <w:rPr>
          <w:rFonts w:cstheme="minorHAnsi"/>
          <w:sz w:val="24"/>
          <w:szCs w:val="24"/>
          <w:lang w:val="fr-FR"/>
        </w:rPr>
        <w:t>67</w:t>
      </w:r>
      <w:r w:rsidRPr="00C8500E">
        <w:rPr>
          <w:rFonts w:cstheme="minorHAnsi"/>
          <w:sz w:val="24"/>
          <w:szCs w:val="24"/>
          <w:lang w:val="fr-FR"/>
        </w:rPr>
        <w:t xml:space="preserve">, No. </w:t>
      </w:r>
      <w:r w:rsidR="00AF6963" w:rsidRPr="00C8500E">
        <w:rPr>
          <w:rFonts w:cstheme="minorHAnsi"/>
          <w:sz w:val="24"/>
          <w:szCs w:val="24"/>
          <w:lang w:val="fr-FR"/>
        </w:rPr>
        <w:t>2</w:t>
      </w:r>
      <w:r w:rsidRPr="00C8500E">
        <w:rPr>
          <w:rFonts w:cstheme="minorHAnsi"/>
          <w:sz w:val="24"/>
          <w:szCs w:val="24"/>
          <w:lang w:val="fr-FR"/>
        </w:rPr>
        <w:t xml:space="preserve"> (</w:t>
      </w:r>
      <w:r w:rsidR="00AF6963" w:rsidRPr="00C8500E">
        <w:rPr>
          <w:rFonts w:cstheme="minorHAnsi"/>
          <w:sz w:val="24"/>
          <w:szCs w:val="24"/>
          <w:lang w:val="fr-FR"/>
        </w:rPr>
        <w:t>January 2019</w:t>
      </w:r>
      <w:r w:rsidRPr="00C8500E">
        <w:rPr>
          <w:rFonts w:cstheme="minorHAnsi"/>
          <w:sz w:val="24"/>
          <w:szCs w:val="24"/>
          <w:lang w:val="fr-FR"/>
        </w:rPr>
        <w:t>)</w:t>
      </w:r>
      <w:r w:rsidR="00D92E8F" w:rsidRPr="00C8500E">
        <w:rPr>
          <w:rFonts w:cstheme="minorHAnsi"/>
          <w:sz w:val="24"/>
          <w:szCs w:val="24"/>
          <w:lang w:val="fr-FR"/>
        </w:rPr>
        <w:t xml:space="preserve"> </w:t>
      </w:r>
      <w:r w:rsidRPr="00C8500E">
        <w:rPr>
          <w:rFonts w:cstheme="minorHAnsi"/>
          <w:sz w:val="24"/>
          <w:szCs w:val="24"/>
          <w:lang w:val="fr-FR"/>
        </w:rPr>
        <w:t xml:space="preserve">: </w:t>
      </w:r>
      <w:r w:rsidR="00F272D7" w:rsidRPr="00C8500E">
        <w:rPr>
          <w:rFonts w:cstheme="minorHAnsi"/>
          <w:sz w:val="24"/>
          <w:szCs w:val="24"/>
          <w:lang w:val="fr-FR"/>
        </w:rPr>
        <w:t>671</w:t>
      </w:r>
      <w:r w:rsidRPr="00C8500E">
        <w:rPr>
          <w:rFonts w:cstheme="minorHAnsi"/>
          <w:sz w:val="24"/>
          <w:szCs w:val="24"/>
          <w:lang w:val="fr-FR"/>
        </w:rPr>
        <w:t>-</w:t>
      </w:r>
      <w:r w:rsidR="00F272D7" w:rsidRPr="00C8500E">
        <w:rPr>
          <w:rFonts w:cstheme="minorHAnsi"/>
          <w:sz w:val="24"/>
          <w:szCs w:val="24"/>
          <w:lang w:val="fr-FR"/>
        </w:rPr>
        <w:t>684</w:t>
      </w:r>
      <w:r w:rsidRPr="00C8500E">
        <w:rPr>
          <w:rFonts w:cstheme="minorHAnsi"/>
          <w:sz w:val="24"/>
          <w:szCs w:val="24"/>
          <w:lang w:val="fr-FR"/>
        </w:rPr>
        <w:t xml:space="preserve">. </w:t>
      </w:r>
      <w:hyperlink r:id="rId8" w:history="1">
        <w:r w:rsidRPr="00C8500E">
          <w:rPr>
            <w:rFonts w:cstheme="minorHAnsi"/>
            <w:color w:val="0563C1" w:themeColor="hyperlink"/>
            <w:sz w:val="24"/>
            <w:szCs w:val="24"/>
            <w:u w:val="single"/>
            <w:lang w:val="fr-FR"/>
          </w:rPr>
          <w:t>DOI</w:t>
        </w:r>
      </w:hyperlink>
      <w:r w:rsidRPr="00C8500E">
        <w:rPr>
          <w:rFonts w:cstheme="minorHAnsi"/>
          <w:sz w:val="24"/>
          <w:szCs w:val="24"/>
          <w:lang w:val="fr-FR"/>
        </w:rPr>
        <w:t xml:space="preserve">. </w:t>
      </w:r>
      <w:r w:rsidRPr="00C8500E">
        <w:rPr>
          <w:rFonts w:cstheme="minorHAnsi"/>
          <w:sz w:val="24"/>
          <w:szCs w:val="24"/>
        </w:rPr>
        <w:t xml:space="preserve">This article is © </w:t>
      </w:r>
      <w:r w:rsidR="004B55D9" w:rsidRPr="00C8500E">
        <w:rPr>
          <w:rFonts w:cstheme="minorHAnsi"/>
          <w:sz w:val="24"/>
          <w:szCs w:val="24"/>
        </w:rPr>
        <w:t>IOS Press</w:t>
      </w:r>
      <w:r w:rsidRPr="00C8500E">
        <w:rPr>
          <w:rFonts w:cstheme="minorHAnsi"/>
          <w:sz w:val="24"/>
          <w:szCs w:val="24"/>
        </w:rPr>
        <w:t xml:space="preserve"> and permission has been granted for this version to appear in </w:t>
      </w:r>
      <w:hyperlink r:id="rId9" w:history="1">
        <w:r w:rsidRPr="00C8500E">
          <w:rPr>
            <w:rFonts w:cstheme="minorHAnsi"/>
            <w:color w:val="0563C1" w:themeColor="hyperlink"/>
            <w:sz w:val="24"/>
            <w:szCs w:val="24"/>
            <w:u w:val="single"/>
          </w:rPr>
          <w:t>e-Publications@Marquette</w:t>
        </w:r>
      </w:hyperlink>
      <w:r w:rsidRPr="00C8500E">
        <w:rPr>
          <w:rFonts w:cstheme="minorHAnsi"/>
          <w:sz w:val="24"/>
          <w:szCs w:val="24"/>
        </w:rPr>
        <w:t xml:space="preserve">. </w:t>
      </w:r>
      <w:r w:rsidR="004B55D9" w:rsidRPr="00C8500E">
        <w:rPr>
          <w:rFonts w:cstheme="minorHAnsi"/>
          <w:sz w:val="24"/>
          <w:szCs w:val="24"/>
        </w:rPr>
        <w:t xml:space="preserve">IOS Press </w:t>
      </w:r>
      <w:r w:rsidRPr="00C8500E">
        <w:rPr>
          <w:rFonts w:cstheme="minorHAnsi"/>
          <w:sz w:val="24"/>
          <w:szCs w:val="24"/>
        </w:rPr>
        <w:t xml:space="preserve">does not grant permission for this article to be further copied/distributed or hosted elsewhere without the express permission from </w:t>
      </w:r>
      <w:bookmarkEnd w:id="2"/>
      <w:r w:rsidR="004B55D9" w:rsidRPr="00C8500E">
        <w:rPr>
          <w:rFonts w:cstheme="minorHAnsi"/>
          <w:sz w:val="24"/>
          <w:szCs w:val="24"/>
        </w:rPr>
        <w:t>IOS Press.</w:t>
      </w:r>
    </w:p>
    <w:p w14:paraId="741A454A" w14:textId="1AD548ED" w:rsidR="00981438" w:rsidRPr="00C8500E" w:rsidRDefault="00981438" w:rsidP="00981438">
      <w:pPr>
        <w:pStyle w:val="Title"/>
        <w:rPr>
          <w:rFonts w:asciiTheme="minorHAnsi" w:hAnsiTheme="minorHAnsi" w:cstheme="minorHAnsi"/>
          <w:lang w:val="en"/>
        </w:rPr>
      </w:pPr>
      <w:r w:rsidRPr="00C8500E">
        <w:rPr>
          <w:rFonts w:asciiTheme="minorHAnsi" w:hAnsiTheme="minorHAnsi" w:cstheme="minorHAnsi"/>
          <w:lang w:val="en"/>
        </w:rPr>
        <w:t>Resting Cerebral Blood Flow After Exercise Training in Mild Cognitive Impairment</w:t>
      </w:r>
    </w:p>
    <w:p w14:paraId="6A754C64" w14:textId="77777777" w:rsidR="00BA358A" w:rsidRPr="00C8500E" w:rsidRDefault="00BA358A" w:rsidP="00C9499F">
      <w:pPr>
        <w:rPr>
          <w:rFonts w:cstheme="minorHAnsi"/>
          <w:sz w:val="32"/>
          <w:szCs w:val="32"/>
          <w:lang w:val="en"/>
        </w:rPr>
      </w:pPr>
    </w:p>
    <w:p w14:paraId="156ADF97" w14:textId="77777777" w:rsidR="00C8500E" w:rsidRPr="00C8500E" w:rsidRDefault="00DC69D8" w:rsidP="00C8500E">
      <w:pPr>
        <w:spacing w:after="0"/>
        <w:rPr>
          <w:rFonts w:cstheme="minorHAnsi"/>
          <w:sz w:val="32"/>
          <w:szCs w:val="32"/>
          <w:lang w:val="en"/>
        </w:rPr>
      </w:pPr>
      <w:r w:rsidRPr="00C8500E">
        <w:rPr>
          <w:rFonts w:cstheme="minorHAnsi"/>
          <w:sz w:val="32"/>
          <w:szCs w:val="32"/>
          <w:lang w:val="en"/>
        </w:rPr>
        <w:t>Alfonso J.</w:t>
      </w:r>
      <w:r w:rsidR="00F663FB" w:rsidRPr="00C8500E">
        <w:rPr>
          <w:rFonts w:cstheme="minorHAnsi"/>
          <w:sz w:val="32"/>
          <w:szCs w:val="32"/>
          <w:lang w:val="en"/>
        </w:rPr>
        <w:t xml:space="preserve"> </w:t>
      </w:r>
      <w:proofErr w:type="spellStart"/>
      <w:r w:rsidR="00F663FB" w:rsidRPr="00C8500E">
        <w:rPr>
          <w:rFonts w:cstheme="minorHAnsi"/>
          <w:sz w:val="32"/>
          <w:szCs w:val="32"/>
          <w:lang w:val="en"/>
        </w:rPr>
        <w:t>Alfini</w:t>
      </w:r>
      <w:proofErr w:type="spellEnd"/>
    </w:p>
    <w:p w14:paraId="2BD164A2" w14:textId="1AC1BC8B" w:rsidR="004C350E" w:rsidRPr="00C8500E" w:rsidRDefault="000D40E7" w:rsidP="00C8500E">
      <w:pPr>
        <w:spacing w:after="0"/>
        <w:rPr>
          <w:rFonts w:cstheme="minorHAnsi"/>
          <w:sz w:val="24"/>
          <w:szCs w:val="24"/>
          <w:lang w:val="en"/>
        </w:rPr>
      </w:pPr>
      <w:r w:rsidRPr="00C8500E">
        <w:rPr>
          <w:rFonts w:cstheme="minorHAnsi"/>
          <w:sz w:val="24"/>
          <w:szCs w:val="24"/>
          <w:lang w:val="en"/>
        </w:rPr>
        <w:t>Department of Mental Health, Johns Hopkins Bloomberg School of Public Health, Baltimore, MD</w:t>
      </w:r>
    </w:p>
    <w:p w14:paraId="6ED6F22D" w14:textId="77777777" w:rsidR="00C8500E" w:rsidRPr="00C8500E" w:rsidRDefault="00DC69D8" w:rsidP="00C8500E">
      <w:pPr>
        <w:spacing w:after="0"/>
        <w:rPr>
          <w:rFonts w:cstheme="minorHAnsi"/>
          <w:sz w:val="32"/>
          <w:szCs w:val="32"/>
          <w:lang w:val="en"/>
        </w:rPr>
      </w:pPr>
      <w:r w:rsidRPr="00C8500E">
        <w:rPr>
          <w:rFonts w:cstheme="minorHAnsi"/>
          <w:sz w:val="32"/>
          <w:szCs w:val="32"/>
          <w:lang w:val="en"/>
        </w:rPr>
        <w:t>Lauren R.</w:t>
      </w:r>
      <w:r w:rsidR="00F663FB" w:rsidRPr="00C8500E">
        <w:rPr>
          <w:rFonts w:cstheme="minorHAnsi"/>
          <w:sz w:val="32"/>
          <w:szCs w:val="32"/>
          <w:lang w:val="en"/>
        </w:rPr>
        <w:t xml:space="preserve"> Weiss</w:t>
      </w:r>
    </w:p>
    <w:p w14:paraId="7C7DAD28" w14:textId="184D76E5" w:rsidR="00530DB9" w:rsidRPr="00C8500E" w:rsidRDefault="00907CD6" w:rsidP="00C8500E">
      <w:pPr>
        <w:spacing w:after="0"/>
        <w:rPr>
          <w:rFonts w:cstheme="minorHAnsi"/>
          <w:sz w:val="24"/>
          <w:szCs w:val="24"/>
          <w:lang w:val="en"/>
        </w:rPr>
      </w:pPr>
      <w:r w:rsidRPr="00C8500E">
        <w:rPr>
          <w:rFonts w:cstheme="minorHAnsi"/>
          <w:sz w:val="24"/>
          <w:szCs w:val="24"/>
          <w:lang w:val="en"/>
        </w:rPr>
        <w:t>Department of Kinesiology, University of Maryland, College Park, MD</w:t>
      </w:r>
    </w:p>
    <w:p w14:paraId="115261FF" w14:textId="12F5D875" w:rsidR="004C350E" w:rsidRPr="00C8500E" w:rsidRDefault="00907CD6" w:rsidP="00C8500E">
      <w:pPr>
        <w:spacing w:after="0"/>
        <w:rPr>
          <w:rFonts w:cstheme="minorHAnsi"/>
          <w:sz w:val="24"/>
          <w:szCs w:val="24"/>
          <w:lang w:val="en"/>
        </w:rPr>
      </w:pPr>
      <w:r w:rsidRPr="00C8500E">
        <w:rPr>
          <w:rFonts w:cstheme="minorHAnsi"/>
          <w:sz w:val="24"/>
          <w:szCs w:val="24"/>
          <w:lang w:val="en"/>
        </w:rPr>
        <w:t xml:space="preserve"> Program in Neuroscience and Cognitive Science, University of Maryland, College Park, MD</w:t>
      </w:r>
    </w:p>
    <w:p w14:paraId="51F7CB26" w14:textId="77777777" w:rsidR="00C8500E" w:rsidRPr="00C8500E" w:rsidRDefault="00DC69D8" w:rsidP="00C8500E">
      <w:pPr>
        <w:spacing w:after="0"/>
        <w:rPr>
          <w:rFonts w:cstheme="minorHAnsi"/>
          <w:sz w:val="32"/>
          <w:szCs w:val="32"/>
          <w:lang w:val="en"/>
        </w:rPr>
      </w:pPr>
      <w:r w:rsidRPr="00C8500E">
        <w:rPr>
          <w:rFonts w:cstheme="minorHAnsi"/>
          <w:sz w:val="32"/>
          <w:szCs w:val="32"/>
          <w:lang w:val="en"/>
        </w:rPr>
        <w:t xml:space="preserve"> Kristy A.</w:t>
      </w:r>
      <w:r w:rsidR="00F663FB" w:rsidRPr="00C8500E">
        <w:rPr>
          <w:rFonts w:cstheme="minorHAnsi"/>
          <w:sz w:val="32"/>
          <w:szCs w:val="32"/>
          <w:lang w:val="en"/>
        </w:rPr>
        <w:t xml:space="preserve"> Nielson</w:t>
      </w:r>
    </w:p>
    <w:p w14:paraId="58DEAF71" w14:textId="102AB894" w:rsidR="004C350E" w:rsidRPr="00C8500E" w:rsidRDefault="0080528E" w:rsidP="00C8500E">
      <w:pPr>
        <w:spacing w:after="0"/>
        <w:rPr>
          <w:rFonts w:cstheme="minorHAnsi"/>
          <w:sz w:val="24"/>
          <w:szCs w:val="24"/>
          <w:lang w:val="en"/>
        </w:rPr>
      </w:pPr>
      <w:r w:rsidRPr="00C8500E">
        <w:rPr>
          <w:rFonts w:cstheme="minorHAnsi"/>
          <w:sz w:val="24"/>
          <w:szCs w:val="24"/>
          <w:lang w:val="en"/>
        </w:rPr>
        <w:t>Department of Psychology, Marquette University, Milwaukee, WI</w:t>
      </w:r>
    </w:p>
    <w:p w14:paraId="6B5F491C" w14:textId="6EC7F977" w:rsidR="0085053E" w:rsidRPr="00C8500E" w:rsidRDefault="0085053E" w:rsidP="00C8500E">
      <w:pPr>
        <w:spacing w:after="0"/>
        <w:rPr>
          <w:rFonts w:cstheme="minorHAnsi"/>
          <w:sz w:val="24"/>
          <w:szCs w:val="24"/>
          <w:lang w:val="en"/>
        </w:rPr>
      </w:pPr>
      <w:r w:rsidRPr="00C8500E">
        <w:rPr>
          <w:rFonts w:cstheme="minorHAnsi"/>
          <w:sz w:val="24"/>
          <w:szCs w:val="24"/>
          <w:lang w:val="en"/>
        </w:rPr>
        <w:t>Department of Neuropsychology, Medical College of Wisconsin, Milwaukee, WI</w:t>
      </w:r>
    </w:p>
    <w:p w14:paraId="7E038D94" w14:textId="77777777" w:rsidR="00C8500E" w:rsidRPr="00C8500E" w:rsidRDefault="00DC69D8" w:rsidP="00C8500E">
      <w:pPr>
        <w:spacing w:after="0"/>
        <w:rPr>
          <w:rFonts w:cstheme="minorHAnsi"/>
          <w:sz w:val="32"/>
          <w:szCs w:val="32"/>
          <w:lang w:val="en"/>
        </w:rPr>
      </w:pPr>
      <w:r w:rsidRPr="00C8500E">
        <w:rPr>
          <w:rFonts w:cstheme="minorHAnsi"/>
          <w:sz w:val="32"/>
          <w:szCs w:val="32"/>
          <w:lang w:val="en"/>
        </w:rPr>
        <w:t>Matthew D.</w:t>
      </w:r>
      <w:r w:rsidR="00F663FB" w:rsidRPr="00C8500E">
        <w:rPr>
          <w:rFonts w:cstheme="minorHAnsi"/>
          <w:sz w:val="32"/>
          <w:szCs w:val="32"/>
          <w:lang w:val="en"/>
        </w:rPr>
        <w:t xml:space="preserve"> </w:t>
      </w:r>
      <w:proofErr w:type="spellStart"/>
      <w:r w:rsidR="00F663FB" w:rsidRPr="00C8500E">
        <w:rPr>
          <w:rFonts w:cstheme="minorHAnsi"/>
          <w:sz w:val="32"/>
          <w:szCs w:val="32"/>
          <w:lang w:val="en"/>
        </w:rPr>
        <w:t>Verber</w:t>
      </w:r>
      <w:proofErr w:type="spellEnd"/>
    </w:p>
    <w:p w14:paraId="234D2260" w14:textId="23152A46" w:rsidR="004C350E" w:rsidRPr="00C8500E" w:rsidRDefault="00CF0B37" w:rsidP="00C8500E">
      <w:pPr>
        <w:spacing w:after="0"/>
        <w:rPr>
          <w:rFonts w:cstheme="minorHAnsi"/>
          <w:sz w:val="24"/>
          <w:szCs w:val="24"/>
          <w:lang w:val="en"/>
        </w:rPr>
      </w:pPr>
      <w:r w:rsidRPr="00C8500E">
        <w:rPr>
          <w:rFonts w:cstheme="minorHAnsi"/>
          <w:sz w:val="24"/>
          <w:szCs w:val="24"/>
          <w:lang w:val="en"/>
        </w:rPr>
        <w:t>Department of Chemistry, University of North Carolina, Chapel Hill, NC</w:t>
      </w:r>
    </w:p>
    <w:p w14:paraId="0998C967" w14:textId="77777777" w:rsidR="00C8500E" w:rsidRPr="00C8500E" w:rsidRDefault="00DC69D8" w:rsidP="00C8500E">
      <w:pPr>
        <w:spacing w:after="0"/>
        <w:rPr>
          <w:rFonts w:cstheme="minorHAnsi"/>
          <w:sz w:val="32"/>
          <w:szCs w:val="32"/>
          <w:lang w:val="en"/>
        </w:rPr>
      </w:pPr>
      <w:r w:rsidRPr="00C8500E">
        <w:rPr>
          <w:rFonts w:cstheme="minorHAnsi"/>
          <w:sz w:val="32"/>
          <w:szCs w:val="32"/>
          <w:lang w:val="en"/>
        </w:rPr>
        <w:t>J. Carson</w:t>
      </w:r>
      <w:r w:rsidR="00DE3D44" w:rsidRPr="00C8500E">
        <w:rPr>
          <w:rFonts w:cstheme="minorHAnsi"/>
          <w:sz w:val="32"/>
          <w:szCs w:val="32"/>
          <w:lang w:val="en"/>
        </w:rPr>
        <w:t xml:space="preserve"> Smith</w:t>
      </w:r>
    </w:p>
    <w:p w14:paraId="67A44B93" w14:textId="2961020F" w:rsidR="00981438" w:rsidRPr="00C8500E" w:rsidRDefault="00C9482D" w:rsidP="00C8500E">
      <w:pPr>
        <w:spacing w:after="0"/>
        <w:rPr>
          <w:rFonts w:cstheme="minorHAnsi"/>
          <w:sz w:val="24"/>
          <w:szCs w:val="24"/>
        </w:rPr>
      </w:pPr>
      <w:r w:rsidRPr="00C8500E">
        <w:rPr>
          <w:rFonts w:cstheme="minorHAnsi"/>
          <w:sz w:val="24"/>
          <w:szCs w:val="24"/>
        </w:rPr>
        <w:t>Department of Kinesiology, University of Maryland, College Park, MD</w:t>
      </w:r>
    </w:p>
    <w:p w14:paraId="0CD0FD2D" w14:textId="7B7AB199" w:rsidR="00096429" w:rsidRPr="00C8500E" w:rsidRDefault="00096429" w:rsidP="00C8500E">
      <w:pPr>
        <w:spacing w:after="0"/>
        <w:rPr>
          <w:rFonts w:cstheme="minorHAnsi"/>
          <w:sz w:val="24"/>
          <w:szCs w:val="24"/>
          <w:lang w:val="en"/>
        </w:rPr>
      </w:pPr>
      <w:r w:rsidRPr="00C8500E">
        <w:rPr>
          <w:rFonts w:cstheme="minorHAnsi"/>
          <w:sz w:val="24"/>
          <w:szCs w:val="24"/>
          <w:lang w:val="en"/>
        </w:rPr>
        <w:t>Program in Neuroscience and Cognitive Science, University of Maryland, College Park, MD</w:t>
      </w:r>
    </w:p>
    <w:p w14:paraId="26CB761E" w14:textId="0327666D" w:rsidR="00C9499F" w:rsidRPr="00C8500E" w:rsidRDefault="00C9499F" w:rsidP="00110CDA">
      <w:pPr>
        <w:pStyle w:val="Heading1"/>
        <w:rPr>
          <w:rFonts w:asciiTheme="minorHAnsi" w:hAnsiTheme="minorHAnsi" w:cstheme="minorHAnsi"/>
          <w:lang w:val="en"/>
        </w:rPr>
      </w:pPr>
      <w:r w:rsidRPr="00C8500E">
        <w:rPr>
          <w:rFonts w:asciiTheme="minorHAnsi" w:hAnsiTheme="minorHAnsi" w:cstheme="minorHAnsi"/>
          <w:lang w:val="en"/>
        </w:rPr>
        <w:lastRenderedPageBreak/>
        <w:t>Abstract</w:t>
      </w:r>
    </w:p>
    <w:p w14:paraId="199121DE" w14:textId="61D19FB4" w:rsidR="00332B2C" w:rsidRPr="00C8500E" w:rsidRDefault="00110CDA" w:rsidP="00110CDA">
      <w:pPr>
        <w:pStyle w:val="Heading2"/>
        <w:rPr>
          <w:rFonts w:asciiTheme="minorHAnsi" w:hAnsiTheme="minorHAnsi" w:cstheme="minorHAnsi"/>
          <w:lang w:val="en"/>
        </w:rPr>
      </w:pPr>
      <w:r w:rsidRPr="00C8500E">
        <w:rPr>
          <w:rFonts w:asciiTheme="minorHAnsi" w:hAnsiTheme="minorHAnsi" w:cstheme="minorHAnsi"/>
          <w:lang w:val="en"/>
        </w:rPr>
        <w:t>Background:</w:t>
      </w:r>
    </w:p>
    <w:p w14:paraId="41E8A25E" w14:textId="1E756D48" w:rsidR="00110CDA" w:rsidRPr="00C8500E" w:rsidRDefault="00012250" w:rsidP="00110CDA">
      <w:pPr>
        <w:rPr>
          <w:rFonts w:cstheme="minorHAnsi"/>
          <w:lang w:val="en"/>
        </w:rPr>
      </w:pPr>
      <w:r w:rsidRPr="00C8500E">
        <w:rPr>
          <w:rFonts w:cstheme="minorHAnsi"/>
          <w:lang w:val="en"/>
        </w:rPr>
        <w:t>Exercise training has been associated with greater cerebral blood flow (CBF) in cognitively normal older adults (CN). Alterations in CBF, including compensatory perfusion in the prefrontal cortex, may facilitate changes to the brain’s neural infrastructure.</w:t>
      </w:r>
    </w:p>
    <w:p w14:paraId="19EE186F" w14:textId="4402F0C2" w:rsidR="00012250" w:rsidRPr="00C8500E" w:rsidRDefault="00012250" w:rsidP="00012250">
      <w:pPr>
        <w:pStyle w:val="Heading2"/>
        <w:rPr>
          <w:rFonts w:asciiTheme="minorHAnsi" w:hAnsiTheme="minorHAnsi" w:cstheme="minorHAnsi"/>
          <w:lang w:val="en"/>
        </w:rPr>
      </w:pPr>
      <w:r w:rsidRPr="00C8500E">
        <w:rPr>
          <w:rFonts w:asciiTheme="minorHAnsi" w:hAnsiTheme="minorHAnsi" w:cstheme="minorHAnsi"/>
          <w:lang w:val="en"/>
        </w:rPr>
        <w:t>Objective:</w:t>
      </w:r>
    </w:p>
    <w:p w14:paraId="3FDB2947" w14:textId="1B21BF18" w:rsidR="00012250" w:rsidRPr="00C8500E" w:rsidRDefault="00E92FEC" w:rsidP="00012250">
      <w:pPr>
        <w:rPr>
          <w:rFonts w:cstheme="minorHAnsi"/>
        </w:rPr>
      </w:pPr>
      <w:r w:rsidRPr="00C8500E">
        <w:rPr>
          <w:rFonts w:cstheme="minorHAnsi"/>
        </w:rPr>
        <w:t>To examine the effects of a 12-week aerobic exercise intervention on resting CBF and cognition in CN and those with mild cognitive impairment (MCI). We hypothesized individuals with MCI (vs. CN) would exhibit greater whole brain CBF at baseline and that exercise would mitigate these differences. We also expected CBF changes to parallel cognitive improvements.</w:t>
      </w:r>
    </w:p>
    <w:p w14:paraId="55EAB549" w14:textId="77777777" w:rsidR="00E92FEC" w:rsidRPr="00C8500E" w:rsidRDefault="00E92FEC" w:rsidP="00E92FEC">
      <w:pPr>
        <w:pStyle w:val="Heading2"/>
        <w:rPr>
          <w:rFonts w:asciiTheme="minorHAnsi" w:hAnsiTheme="minorHAnsi" w:cstheme="minorHAnsi"/>
        </w:rPr>
      </w:pPr>
      <w:r w:rsidRPr="00C8500E">
        <w:rPr>
          <w:rFonts w:asciiTheme="minorHAnsi" w:hAnsiTheme="minorHAnsi" w:cstheme="minorHAnsi"/>
        </w:rPr>
        <w:t>Methods:</w:t>
      </w:r>
    </w:p>
    <w:p w14:paraId="78ACCC43" w14:textId="37F1316C" w:rsidR="00E92FEC" w:rsidRPr="00C8500E" w:rsidRDefault="002B1782" w:rsidP="00012250">
      <w:pPr>
        <w:rPr>
          <w:rFonts w:cstheme="minorHAnsi"/>
          <w:lang w:val="en"/>
        </w:rPr>
      </w:pPr>
      <w:r w:rsidRPr="00C8500E">
        <w:rPr>
          <w:rFonts w:cstheme="minorHAnsi"/>
          <w:lang w:val="en"/>
        </w:rPr>
        <w:t>Before and after a 12-week exercise intervention, 18 CN and 17 MCI participants (aged 61–88) underwent aerobic fitness testing, neuropsychological assessment, and an MRI scan. Perfusion-weighted images were collected using a GE 3T MR system. Repeated measures analyses of covariance were used to test within- and between-group differences over time, followed by post-hoc analyses to examine links between CBF changes and cognitive improvement.</w:t>
      </w:r>
    </w:p>
    <w:p w14:paraId="54B15206" w14:textId="747F44FD" w:rsidR="002B1782" w:rsidRPr="00C8500E" w:rsidRDefault="002B1782" w:rsidP="002B1782">
      <w:pPr>
        <w:pStyle w:val="Heading2"/>
        <w:rPr>
          <w:rFonts w:asciiTheme="minorHAnsi" w:hAnsiTheme="minorHAnsi" w:cstheme="minorHAnsi"/>
        </w:rPr>
      </w:pPr>
      <w:r w:rsidRPr="00C8500E">
        <w:rPr>
          <w:rFonts w:asciiTheme="minorHAnsi" w:hAnsiTheme="minorHAnsi" w:cstheme="minorHAnsi"/>
        </w:rPr>
        <w:t>Results:</w:t>
      </w:r>
    </w:p>
    <w:p w14:paraId="51868370" w14:textId="18091B56" w:rsidR="00877F7B" w:rsidRPr="00C8500E" w:rsidRDefault="00877F7B" w:rsidP="00877F7B">
      <w:pPr>
        <w:rPr>
          <w:rFonts w:cstheme="minorHAnsi"/>
        </w:rPr>
      </w:pPr>
      <w:r w:rsidRPr="00C8500E">
        <w:rPr>
          <w:rFonts w:cstheme="minorHAnsi"/>
        </w:rPr>
        <w:t>At baseline, individuals with MCI (vs. CN) exhibited significantly elevated perfusion in the left insula. Twelve weeks of aerobic exercise reversed this discrepancy. Additionally, exercise improved working memory (measured by the Rey Auditory Verbal Learning Test) and verbal fluency (measured by the Controlled Oral Word Association Test) and differentially altered CBF depending on cognitive status. Among those with MCI, decreased CBF in the left insula and anterior cingulate cortex was associated with improved verbal fluency.</w:t>
      </w:r>
    </w:p>
    <w:p w14:paraId="3410C925" w14:textId="77777777" w:rsidR="00877F7B" w:rsidRPr="00C8500E" w:rsidRDefault="00877F7B" w:rsidP="00877F7B">
      <w:pPr>
        <w:pStyle w:val="Heading2"/>
        <w:rPr>
          <w:rFonts w:asciiTheme="minorHAnsi" w:hAnsiTheme="minorHAnsi" w:cstheme="minorHAnsi"/>
        </w:rPr>
      </w:pPr>
      <w:r w:rsidRPr="00C8500E">
        <w:rPr>
          <w:rFonts w:asciiTheme="minorHAnsi" w:hAnsiTheme="minorHAnsi" w:cstheme="minorHAnsi"/>
        </w:rPr>
        <w:t>Conclusions:</w:t>
      </w:r>
    </w:p>
    <w:p w14:paraId="306A7988" w14:textId="55977526" w:rsidR="00877F7B" w:rsidRPr="00C8500E" w:rsidRDefault="00AF34F8" w:rsidP="00877F7B">
      <w:pPr>
        <w:rPr>
          <w:rFonts w:cstheme="minorHAnsi"/>
        </w:rPr>
      </w:pPr>
      <w:r w:rsidRPr="00C8500E">
        <w:rPr>
          <w:rFonts w:cstheme="minorHAnsi"/>
        </w:rPr>
        <w:t>Exercise training alters CBF and improves cognitive performance in older adults with and without cognitive impairment. Future studies must evaluate the mediating effects of CBF on the association between exercise training and cognition.</w:t>
      </w:r>
    </w:p>
    <w:p w14:paraId="2E760826" w14:textId="17F47B22" w:rsidR="00AF34F8" w:rsidRPr="00C8500E" w:rsidRDefault="00AF34F8" w:rsidP="00877F7B">
      <w:pPr>
        <w:rPr>
          <w:rFonts w:cstheme="minorHAnsi"/>
        </w:rPr>
      </w:pPr>
      <w:r w:rsidRPr="00C8500E">
        <w:rPr>
          <w:rFonts w:cstheme="minorHAnsi"/>
          <w:b/>
          <w:bCs/>
        </w:rPr>
        <w:t>Keywords: </w:t>
      </w:r>
      <w:r w:rsidRPr="00C8500E">
        <w:rPr>
          <w:rFonts w:cstheme="minorHAnsi"/>
        </w:rPr>
        <w:t>MRI, Exercise, Aging, Cerebral Blood Flow, Mild Cognitive Impairment, Neuroimaging</w:t>
      </w:r>
    </w:p>
    <w:p w14:paraId="5E6BCC2B" w14:textId="77777777" w:rsidR="00C9499F" w:rsidRPr="00C8500E" w:rsidRDefault="00C9499F" w:rsidP="00AF34F8">
      <w:pPr>
        <w:pStyle w:val="Heading1"/>
        <w:rPr>
          <w:rFonts w:asciiTheme="minorHAnsi" w:hAnsiTheme="minorHAnsi" w:cstheme="minorHAnsi"/>
        </w:rPr>
      </w:pPr>
      <w:r w:rsidRPr="00C8500E">
        <w:rPr>
          <w:rFonts w:asciiTheme="minorHAnsi" w:hAnsiTheme="minorHAnsi" w:cstheme="minorHAnsi"/>
        </w:rPr>
        <w:t>INTRODUCTION</w:t>
      </w:r>
    </w:p>
    <w:p w14:paraId="68848548" w14:textId="77777777" w:rsidR="00C9499F" w:rsidRPr="00C8500E" w:rsidRDefault="00C9499F" w:rsidP="00AF34F8">
      <w:pPr>
        <w:rPr>
          <w:rFonts w:cstheme="minorHAnsi"/>
        </w:rPr>
      </w:pPr>
      <w:r w:rsidRPr="00C8500E">
        <w:rPr>
          <w:rFonts w:cstheme="minorHAnsi"/>
        </w:rPr>
        <w:t>Mild cognitive impairment (MCI), a condition involving subtle, yet noticeable, deficits in memory and thinking abilities, affects 15% to 20% of older Americans[</w:t>
      </w:r>
      <w:hyperlink r:id="rId10" w:anchor="R1" w:history="1">
        <w:r w:rsidRPr="00C8500E">
          <w:rPr>
            <w:rStyle w:val="Hyperlink"/>
            <w:rFonts w:cstheme="minorHAnsi"/>
            <w:sz w:val="24"/>
            <w:szCs w:val="24"/>
          </w:rPr>
          <w:t>1</w:t>
        </w:r>
      </w:hyperlink>
      <w:r w:rsidRPr="00C8500E">
        <w:rPr>
          <w:rFonts w:cstheme="minorHAnsi"/>
        </w:rPr>
        <w:t>–</w:t>
      </w:r>
      <w:hyperlink r:id="rId11" w:anchor="R3" w:history="1">
        <w:r w:rsidRPr="00C8500E">
          <w:rPr>
            <w:rStyle w:val="Hyperlink"/>
            <w:rFonts w:cstheme="minorHAnsi"/>
            <w:sz w:val="24"/>
            <w:szCs w:val="24"/>
          </w:rPr>
          <w:t>3</w:t>
        </w:r>
      </w:hyperlink>
      <w:r w:rsidRPr="00C8500E">
        <w:rPr>
          <w:rFonts w:cstheme="minorHAnsi"/>
        </w:rPr>
        <w:t>] and precedes the onset of dementia. Although the cause of MCI remains uncertain, emerging evidence suggests that vascular pathology and perfusion abnormalities play central roles in the pathophysiology of Alzheimer’s disease (AD)[</w:t>
      </w:r>
      <w:hyperlink r:id="rId12" w:anchor="R4" w:history="1">
        <w:r w:rsidRPr="00C8500E">
          <w:rPr>
            <w:rStyle w:val="Hyperlink"/>
            <w:rFonts w:cstheme="minorHAnsi"/>
            <w:sz w:val="24"/>
            <w:szCs w:val="24"/>
          </w:rPr>
          <w:t>4</w:t>
        </w:r>
      </w:hyperlink>
      <w:r w:rsidRPr="00C8500E">
        <w:rPr>
          <w:rFonts w:cstheme="minorHAnsi"/>
        </w:rPr>
        <w:t>–</w:t>
      </w:r>
      <w:hyperlink r:id="rId13" w:anchor="R6" w:history="1">
        <w:r w:rsidRPr="00C8500E">
          <w:rPr>
            <w:rStyle w:val="Hyperlink"/>
            <w:rFonts w:cstheme="minorHAnsi"/>
            <w:sz w:val="24"/>
            <w:szCs w:val="24"/>
          </w:rPr>
          <w:t>6</w:t>
        </w:r>
      </w:hyperlink>
      <w:r w:rsidRPr="00C8500E">
        <w:rPr>
          <w:rFonts w:cstheme="minorHAnsi"/>
        </w:rPr>
        <w:t>]. Vascular risk factors such as hypertension, hypercholesterolemia, and diabetes often occur early in AD progression, damaging the neurovascular unit and disrupting oxygen delivery/exchange[</w:t>
      </w:r>
      <w:hyperlink r:id="rId14" w:anchor="R5" w:history="1">
        <w:r w:rsidRPr="00C8500E">
          <w:rPr>
            <w:rStyle w:val="Hyperlink"/>
            <w:rFonts w:cstheme="minorHAnsi"/>
            <w:sz w:val="24"/>
            <w:szCs w:val="24"/>
          </w:rPr>
          <w:t>5</w:t>
        </w:r>
      </w:hyperlink>
      <w:r w:rsidRPr="00C8500E">
        <w:rPr>
          <w:rFonts w:cstheme="minorHAnsi"/>
        </w:rPr>
        <w:t>,</w:t>
      </w:r>
      <w:hyperlink r:id="rId15" w:anchor="R7" w:history="1">
        <w:r w:rsidRPr="00C8500E">
          <w:rPr>
            <w:rStyle w:val="Hyperlink"/>
            <w:rFonts w:cstheme="minorHAnsi"/>
            <w:sz w:val="24"/>
            <w:szCs w:val="24"/>
          </w:rPr>
          <w:t>7</w:t>
        </w:r>
      </w:hyperlink>
      <w:r w:rsidRPr="00C8500E">
        <w:rPr>
          <w:rFonts w:cstheme="minorHAnsi"/>
        </w:rPr>
        <w:t>,</w:t>
      </w:r>
      <w:hyperlink r:id="rId16" w:anchor="R8" w:history="1">
        <w:r w:rsidRPr="00C8500E">
          <w:rPr>
            <w:rStyle w:val="Hyperlink"/>
            <w:rFonts w:cstheme="minorHAnsi"/>
            <w:sz w:val="24"/>
            <w:szCs w:val="24"/>
          </w:rPr>
          <w:t>8</w:t>
        </w:r>
      </w:hyperlink>
      <w:r w:rsidRPr="00C8500E">
        <w:rPr>
          <w:rFonts w:cstheme="minorHAnsi"/>
        </w:rPr>
        <w:t>]. Altered perfusion rates and hypoxemia facilitate the aggregation of neurotoxic substances such as amyloid-β (Aβ) and tau-containing neurofibrillary tangles (NFT)[</w:t>
      </w:r>
      <w:hyperlink r:id="rId17" w:anchor="R9" w:history="1">
        <w:r w:rsidRPr="00C8500E">
          <w:rPr>
            <w:rStyle w:val="Hyperlink"/>
            <w:rFonts w:cstheme="minorHAnsi"/>
            <w:sz w:val="24"/>
            <w:szCs w:val="24"/>
          </w:rPr>
          <w:t>9</w:t>
        </w:r>
      </w:hyperlink>
      <w:r w:rsidRPr="00C8500E">
        <w:rPr>
          <w:rFonts w:cstheme="minorHAnsi"/>
        </w:rPr>
        <w:t>,</w:t>
      </w:r>
      <w:hyperlink r:id="rId18" w:anchor="R10" w:history="1">
        <w:r w:rsidRPr="00C8500E">
          <w:rPr>
            <w:rStyle w:val="Hyperlink"/>
            <w:rFonts w:cstheme="minorHAnsi"/>
            <w:sz w:val="24"/>
            <w:szCs w:val="24"/>
          </w:rPr>
          <w:t>10</w:t>
        </w:r>
      </w:hyperlink>
      <w:r w:rsidRPr="00C8500E">
        <w:rPr>
          <w:rFonts w:cstheme="minorHAnsi"/>
        </w:rPr>
        <w:t>], further promoting vascular inflammation and endothelial decay[</w:t>
      </w:r>
      <w:hyperlink r:id="rId19" w:anchor="R11" w:history="1">
        <w:r w:rsidRPr="00C8500E">
          <w:rPr>
            <w:rStyle w:val="Hyperlink"/>
            <w:rFonts w:cstheme="minorHAnsi"/>
            <w:sz w:val="24"/>
            <w:szCs w:val="24"/>
          </w:rPr>
          <w:t>11</w:t>
        </w:r>
      </w:hyperlink>
      <w:r w:rsidRPr="00C8500E">
        <w:rPr>
          <w:rFonts w:cstheme="minorHAnsi"/>
        </w:rPr>
        <w:t>].</w:t>
      </w:r>
    </w:p>
    <w:p w14:paraId="3EF9F811" w14:textId="77777777" w:rsidR="00C9499F" w:rsidRPr="00C8500E" w:rsidRDefault="00C9499F" w:rsidP="00AF34F8">
      <w:pPr>
        <w:rPr>
          <w:rFonts w:cstheme="minorHAnsi"/>
        </w:rPr>
      </w:pPr>
      <w:r w:rsidRPr="00C8500E">
        <w:rPr>
          <w:rFonts w:cstheme="minorHAnsi"/>
        </w:rPr>
        <w:t>Despite consistent evidence of hypoperfusion among individuals with dementia[</w:t>
      </w:r>
      <w:hyperlink r:id="rId20" w:anchor="R12" w:history="1">
        <w:r w:rsidRPr="00C8500E">
          <w:rPr>
            <w:rStyle w:val="Hyperlink"/>
            <w:rFonts w:cstheme="minorHAnsi"/>
            <w:sz w:val="24"/>
            <w:szCs w:val="24"/>
          </w:rPr>
          <w:t>12</w:t>
        </w:r>
      </w:hyperlink>
      <w:r w:rsidRPr="00C8500E">
        <w:rPr>
          <w:rFonts w:cstheme="minorHAnsi"/>
        </w:rPr>
        <w:t>], cerebral perfusion in those at increased risk of AD is not reliably diminished[</w:t>
      </w:r>
      <w:hyperlink r:id="rId21" w:anchor="R13" w:history="1">
        <w:r w:rsidRPr="00C8500E">
          <w:rPr>
            <w:rStyle w:val="Hyperlink"/>
            <w:rFonts w:cstheme="minorHAnsi"/>
            <w:sz w:val="24"/>
            <w:szCs w:val="24"/>
          </w:rPr>
          <w:t>13</w:t>
        </w:r>
      </w:hyperlink>
      <w:r w:rsidRPr="00C8500E">
        <w:rPr>
          <w:rFonts w:cstheme="minorHAnsi"/>
        </w:rPr>
        <w:t>–</w:t>
      </w:r>
      <w:hyperlink r:id="rId22" w:anchor="R15" w:history="1">
        <w:r w:rsidRPr="00C8500E">
          <w:rPr>
            <w:rStyle w:val="Hyperlink"/>
            <w:rFonts w:cstheme="minorHAnsi"/>
            <w:sz w:val="24"/>
            <w:szCs w:val="24"/>
          </w:rPr>
          <w:t>15</w:t>
        </w:r>
      </w:hyperlink>
      <w:r w:rsidRPr="00C8500E">
        <w:rPr>
          <w:rFonts w:cstheme="minorHAnsi"/>
        </w:rPr>
        <w:t>]. In fact, several studies have found that APOE ε4 carriers[</w:t>
      </w:r>
      <w:hyperlink r:id="rId23" w:anchor="R16" w:history="1">
        <w:r w:rsidRPr="00C8500E">
          <w:rPr>
            <w:rStyle w:val="Hyperlink"/>
            <w:rFonts w:cstheme="minorHAnsi"/>
            <w:sz w:val="24"/>
            <w:szCs w:val="24"/>
          </w:rPr>
          <w:t>16</w:t>
        </w:r>
      </w:hyperlink>
      <w:r w:rsidRPr="00C8500E">
        <w:rPr>
          <w:rFonts w:cstheme="minorHAnsi"/>
        </w:rPr>
        <w:t>,</w:t>
      </w:r>
      <w:hyperlink r:id="rId24" w:anchor="R17" w:history="1">
        <w:r w:rsidRPr="00C8500E">
          <w:rPr>
            <w:rStyle w:val="Hyperlink"/>
            <w:rFonts w:cstheme="minorHAnsi"/>
            <w:sz w:val="24"/>
            <w:szCs w:val="24"/>
          </w:rPr>
          <w:t>17</w:t>
        </w:r>
      </w:hyperlink>
      <w:r w:rsidRPr="00C8500E">
        <w:rPr>
          <w:rFonts w:cstheme="minorHAnsi"/>
        </w:rPr>
        <w:t>] and those with MCI[</w:t>
      </w:r>
      <w:hyperlink r:id="rId25" w:anchor="R13" w:history="1">
        <w:r w:rsidRPr="00C8500E">
          <w:rPr>
            <w:rStyle w:val="Hyperlink"/>
            <w:rFonts w:cstheme="minorHAnsi"/>
            <w:sz w:val="24"/>
            <w:szCs w:val="24"/>
          </w:rPr>
          <w:t>13</w:t>
        </w:r>
      </w:hyperlink>
      <w:r w:rsidRPr="00C8500E">
        <w:rPr>
          <w:rFonts w:cstheme="minorHAnsi"/>
        </w:rPr>
        <w:t>,</w:t>
      </w:r>
      <w:hyperlink r:id="rId26" w:anchor="R15" w:history="1">
        <w:r w:rsidRPr="00C8500E">
          <w:rPr>
            <w:rStyle w:val="Hyperlink"/>
            <w:rFonts w:cstheme="minorHAnsi"/>
            <w:sz w:val="24"/>
            <w:szCs w:val="24"/>
          </w:rPr>
          <w:t>15</w:t>
        </w:r>
      </w:hyperlink>
      <w:r w:rsidRPr="00C8500E">
        <w:rPr>
          <w:rFonts w:cstheme="minorHAnsi"/>
        </w:rPr>
        <w:t xml:space="preserve">] often display augmented cerebral blood flow (CBF) in the temporal, </w:t>
      </w:r>
      <w:r w:rsidRPr="00C8500E">
        <w:rPr>
          <w:rFonts w:cstheme="minorHAnsi"/>
        </w:rPr>
        <w:lastRenderedPageBreak/>
        <w:t>prefrontal, and insular cortices[</w:t>
      </w:r>
      <w:hyperlink r:id="rId27" w:anchor="R16" w:history="1">
        <w:r w:rsidRPr="00C8500E">
          <w:rPr>
            <w:rStyle w:val="Hyperlink"/>
            <w:rFonts w:cstheme="minorHAnsi"/>
            <w:sz w:val="24"/>
            <w:szCs w:val="24"/>
          </w:rPr>
          <w:t>16</w:t>
        </w:r>
      </w:hyperlink>
      <w:r w:rsidRPr="00C8500E">
        <w:rPr>
          <w:rFonts w:cstheme="minorHAnsi"/>
        </w:rPr>
        <w:t>,</w:t>
      </w:r>
      <w:hyperlink r:id="rId28" w:anchor="R18" w:history="1">
        <w:r w:rsidRPr="00C8500E">
          <w:rPr>
            <w:rStyle w:val="Hyperlink"/>
            <w:rFonts w:cstheme="minorHAnsi"/>
            <w:sz w:val="24"/>
            <w:szCs w:val="24"/>
          </w:rPr>
          <w:t>18</w:t>
        </w:r>
      </w:hyperlink>
      <w:r w:rsidRPr="00C8500E">
        <w:rPr>
          <w:rFonts w:cstheme="minorHAnsi"/>
        </w:rPr>
        <w:t>]. While hypoperfusion is a characteristic feature of advanced AD, hyperperfusion in MCI is hypothesized to reflect a compensatory response by the neurovascular system to support compromised neural networks in the face of neurodegenerative disease[</w:t>
      </w:r>
      <w:hyperlink r:id="rId29" w:anchor="R19" w:history="1">
        <w:r w:rsidRPr="00C8500E">
          <w:rPr>
            <w:rStyle w:val="Hyperlink"/>
            <w:rFonts w:cstheme="minorHAnsi"/>
            <w:sz w:val="24"/>
            <w:szCs w:val="24"/>
          </w:rPr>
          <w:t>19</w:t>
        </w:r>
      </w:hyperlink>
      <w:r w:rsidRPr="00C8500E">
        <w:rPr>
          <w:rFonts w:cstheme="minorHAnsi"/>
        </w:rPr>
        <w:t>,</w:t>
      </w:r>
      <w:hyperlink r:id="rId30" w:anchor="R20" w:history="1">
        <w:r w:rsidRPr="00C8500E">
          <w:rPr>
            <w:rStyle w:val="Hyperlink"/>
            <w:rFonts w:cstheme="minorHAnsi"/>
            <w:sz w:val="24"/>
            <w:szCs w:val="24"/>
          </w:rPr>
          <w:t>20</w:t>
        </w:r>
      </w:hyperlink>
      <w:r w:rsidRPr="00C8500E">
        <w:rPr>
          <w:rFonts w:cstheme="minorHAnsi"/>
        </w:rPr>
        <w:t>]. Currently, however, no treatments strategies are known to reduce hyperperfusion in older adults diagnosed with MCI.</w:t>
      </w:r>
    </w:p>
    <w:p w14:paraId="16AE8702" w14:textId="77777777" w:rsidR="00C9499F" w:rsidRPr="00C8500E" w:rsidRDefault="00C9499F" w:rsidP="00AF34F8">
      <w:pPr>
        <w:rPr>
          <w:rFonts w:cstheme="minorHAnsi"/>
        </w:rPr>
      </w:pPr>
      <w:r w:rsidRPr="00C8500E">
        <w:rPr>
          <w:rFonts w:cstheme="minorHAnsi"/>
        </w:rPr>
        <w:t>Exercise training induces physiological adaptations that enhance aerobic fitness and vascular health[</w:t>
      </w:r>
      <w:hyperlink r:id="rId31" w:anchor="R21" w:history="1">
        <w:r w:rsidRPr="00C8500E">
          <w:rPr>
            <w:rStyle w:val="Hyperlink"/>
            <w:rFonts w:cstheme="minorHAnsi"/>
            <w:sz w:val="24"/>
            <w:szCs w:val="24"/>
          </w:rPr>
          <w:t>21</w:t>
        </w:r>
      </w:hyperlink>
      <w:r w:rsidRPr="00C8500E">
        <w:rPr>
          <w:rFonts w:cstheme="minorHAnsi"/>
        </w:rPr>
        <w:t>,</w:t>
      </w:r>
      <w:hyperlink r:id="rId32" w:anchor="R22" w:history="1">
        <w:r w:rsidRPr="00C8500E">
          <w:rPr>
            <w:rStyle w:val="Hyperlink"/>
            <w:rFonts w:cstheme="minorHAnsi"/>
            <w:sz w:val="24"/>
            <w:szCs w:val="24"/>
          </w:rPr>
          <w:t>22</w:t>
        </w:r>
      </w:hyperlink>
      <w:r w:rsidRPr="00C8500E">
        <w:rPr>
          <w:rFonts w:cstheme="minorHAnsi"/>
        </w:rPr>
        <w:t>]. Chronic exercise not only mitigates cardiovascular and metabolic disease[</w:t>
      </w:r>
      <w:hyperlink r:id="rId33" w:anchor="R23" w:history="1">
        <w:r w:rsidRPr="00C8500E">
          <w:rPr>
            <w:rStyle w:val="Hyperlink"/>
            <w:rFonts w:cstheme="minorHAnsi"/>
            <w:sz w:val="24"/>
            <w:szCs w:val="24"/>
          </w:rPr>
          <w:t>23</w:t>
        </w:r>
      </w:hyperlink>
      <w:r w:rsidRPr="00C8500E">
        <w:rPr>
          <w:rFonts w:cstheme="minorHAnsi"/>
        </w:rPr>
        <w:t>–</w:t>
      </w:r>
      <w:hyperlink r:id="rId34" w:anchor="R26" w:history="1">
        <w:r w:rsidRPr="00C8500E">
          <w:rPr>
            <w:rStyle w:val="Hyperlink"/>
            <w:rFonts w:cstheme="minorHAnsi"/>
            <w:sz w:val="24"/>
            <w:szCs w:val="24"/>
          </w:rPr>
          <w:t>26</w:t>
        </w:r>
      </w:hyperlink>
      <w:r w:rsidRPr="00C8500E">
        <w:rPr>
          <w:rFonts w:cstheme="minorHAnsi"/>
        </w:rPr>
        <w:t>], but likely enhances memory performance[</w:t>
      </w:r>
      <w:hyperlink r:id="rId35" w:anchor="R27" w:history="1">
        <w:r w:rsidRPr="00C8500E">
          <w:rPr>
            <w:rStyle w:val="Hyperlink"/>
            <w:rFonts w:cstheme="minorHAnsi"/>
            <w:sz w:val="24"/>
            <w:szCs w:val="24"/>
          </w:rPr>
          <w:t>27</w:t>
        </w:r>
      </w:hyperlink>
      <w:r w:rsidRPr="00C8500E">
        <w:rPr>
          <w:rFonts w:cstheme="minorHAnsi"/>
        </w:rPr>
        <w:t>] and executive control[</w:t>
      </w:r>
      <w:hyperlink r:id="rId36" w:anchor="R28" w:history="1">
        <w:r w:rsidRPr="00C8500E">
          <w:rPr>
            <w:rStyle w:val="Hyperlink"/>
            <w:rFonts w:cstheme="minorHAnsi"/>
            <w:sz w:val="24"/>
            <w:szCs w:val="24"/>
          </w:rPr>
          <w:t>28</w:t>
        </w:r>
      </w:hyperlink>
      <w:r w:rsidRPr="00C8500E">
        <w:rPr>
          <w:rFonts w:cstheme="minorHAnsi"/>
        </w:rPr>
        <w:t>] through improved cerebrovascular function[</w:t>
      </w:r>
      <w:hyperlink r:id="rId37" w:anchor="R29" w:history="1">
        <w:r w:rsidRPr="00C8500E">
          <w:rPr>
            <w:rStyle w:val="Hyperlink"/>
            <w:rFonts w:cstheme="minorHAnsi"/>
            <w:sz w:val="24"/>
            <w:szCs w:val="24"/>
          </w:rPr>
          <w:t>29</w:t>
        </w:r>
      </w:hyperlink>
      <w:r w:rsidRPr="00C8500E">
        <w:rPr>
          <w:rFonts w:cstheme="minorHAnsi"/>
        </w:rPr>
        <w:t>–</w:t>
      </w:r>
      <w:hyperlink r:id="rId38" w:anchor="R31" w:history="1">
        <w:r w:rsidRPr="00C8500E">
          <w:rPr>
            <w:rStyle w:val="Hyperlink"/>
            <w:rFonts w:cstheme="minorHAnsi"/>
            <w:sz w:val="24"/>
            <w:szCs w:val="24"/>
          </w:rPr>
          <w:t>31</w:t>
        </w:r>
      </w:hyperlink>
      <w:r w:rsidRPr="00C8500E">
        <w:rPr>
          <w:rFonts w:cstheme="minorHAnsi"/>
        </w:rPr>
        <w:t>]. Animal studies have revealed that chronic exercise upregulates various neurovascular growth factors[</w:t>
      </w:r>
      <w:hyperlink r:id="rId39" w:anchor="R32" w:history="1">
        <w:r w:rsidRPr="00C8500E">
          <w:rPr>
            <w:rStyle w:val="Hyperlink"/>
            <w:rFonts w:cstheme="minorHAnsi"/>
            <w:sz w:val="24"/>
            <w:szCs w:val="24"/>
          </w:rPr>
          <w:t>32</w:t>
        </w:r>
      </w:hyperlink>
      <w:r w:rsidRPr="00C8500E">
        <w:rPr>
          <w:rFonts w:cstheme="minorHAnsi"/>
        </w:rPr>
        <w:t>], which stimulate angiogenesis[</w:t>
      </w:r>
      <w:hyperlink r:id="rId40" w:anchor="R31" w:history="1">
        <w:r w:rsidRPr="00C8500E">
          <w:rPr>
            <w:rStyle w:val="Hyperlink"/>
            <w:rFonts w:cstheme="minorHAnsi"/>
            <w:sz w:val="24"/>
            <w:szCs w:val="24"/>
          </w:rPr>
          <w:t>31</w:t>
        </w:r>
      </w:hyperlink>
      <w:r w:rsidRPr="00C8500E">
        <w:rPr>
          <w:rFonts w:cstheme="minorHAnsi"/>
        </w:rPr>
        <w:t>] and enhance cognitive performance[</w:t>
      </w:r>
      <w:hyperlink r:id="rId41" w:anchor="R31" w:history="1">
        <w:r w:rsidRPr="00C8500E">
          <w:rPr>
            <w:rStyle w:val="Hyperlink"/>
            <w:rFonts w:cstheme="minorHAnsi"/>
            <w:sz w:val="24"/>
            <w:szCs w:val="24"/>
          </w:rPr>
          <w:t>31</w:t>
        </w:r>
      </w:hyperlink>
      <w:r w:rsidRPr="00C8500E">
        <w:rPr>
          <w:rFonts w:cstheme="minorHAnsi"/>
        </w:rPr>
        <w:t>,</w:t>
      </w:r>
      <w:hyperlink r:id="rId42" w:anchor="R33" w:history="1">
        <w:r w:rsidRPr="00C8500E">
          <w:rPr>
            <w:rStyle w:val="Hyperlink"/>
            <w:rFonts w:cstheme="minorHAnsi"/>
            <w:sz w:val="24"/>
            <w:szCs w:val="24"/>
          </w:rPr>
          <w:t>33</w:t>
        </w:r>
      </w:hyperlink>
      <w:r w:rsidRPr="00C8500E">
        <w:rPr>
          <w:rFonts w:cstheme="minorHAnsi"/>
        </w:rPr>
        <w:t>], thus providing a potential mechanistic pathway by which these adaptations occur.</w:t>
      </w:r>
    </w:p>
    <w:p w14:paraId="407E219B" w14:textId="77777777" w:rsidR="00C9499F" w:rsidRPr="00C8500E" w:rsidRDefault="00C9499F" w:rsidP="00AF34F8">
      <w:pPr>
        <w:rPr>
          <w:rFonts w:cstheme="minorHAnsi"/>
        </w:rPr>
      </w:pPr>
      <w:r w:rsidRPr="00C8500E">
        <w:rPr>
          <w:rFonts w:cstheme="minorHAnsi"/>
        </w:rPr>
        <w:t>A small number of studies have demonstrated that the cerebral benefits of exercise are not limited to CN, but extend to those with MCI[</w:t>
      </w:r>
      <w:hyperlink r:id="rId43" w:anchor="R34" w:history="1">
        <w:r w:rsidRPr="00C8500E">
          <w:rPr>
            <w:rStyle w:val="Hyperlink"/>
            <w:rFonts w:cstheme="minorHAnsi"/>
            <w:sz w:val="24"/>
            <w:szCs w:val="24"/>
          </w:rPr>
          <w:t>34</w:t>
        </w:r>
      </w:hyperlink>
      <w:r w:rsidRPr="00C8500E">
        <w:rPr>
          <w:rFonts w:cstheme="minorHAnsi"/>
        </w:rPr>
        <w:t>–</w:t>
      </w:r>
      <w:hyperlink r:id="rId44" w:anchor="R39" w:history="1">
        <w:r w:rsidRPr="00C8500E">
          <w:rPr>
            <w:rStyle w:val="Hyperlink"/>
            <w:rFonts w:cstheme="minorHAnsi"/>
            <w:sz w:val="24"/>
            <w:szCs w:val="24"/>
          </w:rPr>
          <w:t>39</w:t>
        </w:r>
      </w:hyperlink>
      <w:r w:rsidRPr="00C8500E">
        <w:rPr>
          <w:rFonts w:cstheme="minorHAnsi"/>
        </w:rPr>
        <w:t>]. However, the effects of exercise training on CBF in this high-risk population remain unclear. Therefore, the aim of the current study was to measure resting CBF before and after 12 weeks of aerobic exercise training in both CN and those with MCI, and to assess the relationship between CBF changes and changes in cognitive performance. We hypothesized that individuals with MCI (vs. CN) would exhibit greater whole brain CBF at baseline and that exercise would mitigate these differences. Additionally, we expected exercise-induced CBF alterations to parallel improved cognitive performance.</w:t>
      </w:r>
    </w:p>
    <w:p w14:paraId="331A6A03" w14:textId="77777777" w:rsidR="00C9499F" w:rsidRPr="00C8500E" w:rsidRDefault="00C9499F" w:rsidP="00AF34F8">
      <w:pPr>
        <w:pStyle w:val="Heading1"/>
        <w:rPr>
          <w:rFonts w:asciiTheme="minorHAnsi" w:hAnsiTheme="minorHAnsi" w:cstheme="minorHAnsi"/>
        </w:rPr>
      </w:pPr>
      <w:r w:rsidRPr="00C8500E">
        <w:rPr>
          <w:rFonts w:asciiTheme="minorHAnsi" w:hAnsiTheme="minorHAnsi" w:cstheme="minorHAnsi"/>
        </w:rPr>
        <w:t>MATERIALS AND METHODS</w:t>
      </w:r>
    </w:p>
    <w:p w14:paraId="1761C03F" w14:textId="77777777" w:rsidR="00C9499F" w:rsidRPr="00C8500E" w:rsidRDefault="00C9499F" w:rsidP="00AF34F8">
      <w:pPr>
        <w:pStyle w:val="Heading2"/>
        <w:rPr>
          <w:rFonts w:asciiTheme="minorHAnsi" w:hAnsiTheme="minorHAnsi" w:cstheme="minorHAnsi"/>
        </w:rPr>
      </w:pPr>
      <w:r w:rsidRPr="00C8500E">
        <w:rPr>
          <w:rFonts w:asciiTheme="minorHAnsi" w:hAnsiTheme="minorHAnsi" w:cstheme="minorHAnsi"/>
        </w:rPr>
        <w:t>Participants</w:t>
      </w:r>
    </w:p>
    <w:p w14:paraId="1C18EB7C" w14:textId="77777777" w:rsidR="00C9499F" w:rsidRPr="00C8500E" w:rsidRDefault="00C9499F" w:rsidP="00AF34F8">
      <w:pPr>
        <w:rPr>
          <w:rFonts w:cstheme="minorHAnsi"/>
        </w:rPr>
      </w:pPr>
      <w:r w:rsidRPr="00C8500E">
        <w:rPr>
          <w:rFonts w:cstheme="minorHAnsi"/>
        </w:rPr>
        <w:t>Thirty-five community-dwelling older adults (aged 61–88) were enrolled in this exercise intervention. Recruitment methods included study fliers, newspaper advertisements, physician referrals, and in-person informational sessions at local retirement communities and recreation centers. To determine preliminary eligibility, participants underwent a structured telephone interview to identify preclusive health conditions and MRI contraindications. Qualified participants provided written informed consent, obtained physician’s approval for moderate- intensity exercise, and underwent a neurological assessment to establish definitive eligibility. Prior to commencing the exercise intervention, participants were familiarized with the scanning procedures at the neuroimaging center. This study was approved by the Institutional Review Board of the Medical College of Wisconsin in accordance with the Helsinki Declaration.</w:t>
      </w:r>
    </w:p>
    <w:p w14:paraId="030EA92D" w14:textId="77777777" w:rsidR="00C9499F" w:rsidRPr="00C8500E" w:rsidRDefault="00C9499F" w:rsidP="00AF34F8">
      <w:pPr>
        <w:pStyle w:val="Heading2"/>
        <w:rPr>
          <w:rFonts w:asciiTheme="minorHAnsi" w:hAnsiTheme="minorHAnsi" w:cstheme="minorHAnsi"/>
        </w:rPr>
      </w:pPr>
      <w:r w:rsidRPr="00C8500E">
        <w:rPr>
          <w:rFonts w:asciiTheme="minorHAnsi" w:hAnsiTheme="minorHAnsi" w:cstheme="minorHAnsi"/>
        </w:rPr>
        <w:t>Eligibly Criteria</w:t>
      </w:r>
    </w:p>
    <w:p w14:paraId="647CCE81" w14:textId="77777777" w:rsidR="00C9499F" w:rsidRPr="00C8500E" w:rsidRDefault="00C9499F" w:rsidP="00AF34F8">
      <w:pPr>
        <w:rPr>
          <w:rFonts w:cstheme="minorHAnsi"/>
        </w:rPr>
      </w:pPr>
      <w:r w:rsidRPr="00C8500E">
        <w:rPr>
          <w:rFonts w:cstheme="minorHAnsi"/>
        </w:rPr>
        <w:t>For a complete list of exclusionary criteria and prohibitive medication, see our previous study[</w:t>
      </w:r>
      <w:hyperlink r:id="rId45" w:anchor="R35" w:history="1">
        <w:r w:rsidRPr="00C8500E">
          <w:rPr>
            <w:rStyle w:val="Hyperlink"/>
            <w:rFonts w:cstheme="minorHAnsi"/>
            <w:sz w:val="24"/>
            <w:szCs w:val="24"/>
          </w:rPr>
          <w:t>35</w:t>
        </w:r>
      </w:hyperlink>
      <w:r w:rsidRPr="00C8500E">
        <w:rPr>
          <w:rFonts w:cstheme="minorHAnsi"/>
        </w:rPr>
        <w:t>]. Briefly, study volunteers were excluded if they reported or presented signs of the following: neurological disorders including, Parkinson’s disease, Huntington’s disease, multiple sclerosis, cerebral palsy, epilepsy, carotid artery disease, transient ischemic attack (&gt; 4 on the modified Hachinski Ischemic Scale[</w:t>
      </w:r>
      <w:hyperlink r:id="rId46" w:anchor="R40" w:history="1">
        <w:r w:rsidRPr="00C8500E">
          <w:rPr>
            <w:rStyle w:val="Hyperlink"/>
            <w:rFonts w:cstheme="minorHAnsi"/>
            <w:sz w:val="24"/>
            <w:szCs w:val="24"/>
          </w:rPr>
          <w:t>40</w:t>
        </w:r>
      </w:hyperlink>
      <w:r w:rsidRPr="00C8500E">
        <w:rPr>
          <w:rFonts w:cstheme="minorHAnsi"/>
        </w:rPr>
        <w:t>]), brain tumor, or head trauma with a loss of consciousness (&gt; 30 minutes); psychiatric disorders, including any untreated Axis I diagnosis (as defined by the DSM-IV[</w:t>
      </w:r>
      <w:hyperlink r:id="rId47" w:anchor="R41" w:history="1">
        <w:r w:rsidRPr="00C8500E">
          <w:rPr>
            <w:rStyle w:val="Hyperlink"/>
            <w:rFonts w:cstheme="minorHAnsi"/>
            <w:sz w:val="24"/>
            <w:szCs w:val="24"/>
          </w:rPr>
          <w:t>41</w:t>
        </w:r>
      </w:hyperlink>
      <w:r w:rsidRPr="00C8500E">
        <w:rPr>
          <w:rFonts w:cstheme="minorHAnsi"/>
        </w:rPr>
        <w:t>]), a substance abuse disorder, or severe depressive symptoms (&gt; 12 on the Geriatric Depression Scale[</w:t>
      </w:r>
      <w:hyperlink r:id="rId48" w:anchor="R42" w:history="1">
        <w:r w:rsidRPr="00C8500E">
          <w:rPr>
            <w:rStyle w:val="Hyperlink"/>
            <w:rFonts w:cstheme="minorHAnsi"/>
            <w:sz w:val="24"/>
            <w:szCs w:val="24"/>
          </w:rPr>
          <w:t>42</w:t>
        </w:r>
      </w:hyperlink>
      <w:r w:rsidRPr="00C8500E">
        <w:rPr>
          <w:rFonts w:cstheme="minorHAnsi"/>
        </w:rPr>
        <w:t>]); and cardiometabolic or pulmonary disorders including cardiovascular disease, untreated hypertension, chronic obstructive pulmonary disease, and asthma. Eligible participants reported low physical activity (&lt; 3 days/week during the previous 6 months), were right-handed (≤ 50 on the Edinburgh Handedness Inventory[</w:t>
      </w:r>
      <w:hyperlink r:id="rId49" w:anchor="R43" w:history="1">
        <w:r w:rsidRPr="00C8500E">
          <w:rPr>
            <w:rStyle w:val="Hyperlink"/>
            <w:rFonts w:cstheme="minorHAnsi"/>
            <w:sz w:val="24"/>
            <w:szCs w:val="24"/>
          </w:rPr>
          <w:t>43</w:t>
        </w:r>
      </w:hyperlink>
      <w:r w:rsidRPr="00C8500E">
        <w:rPr>
          <w:rFonts w:cstheme="minorHAnsi"/>
        </w:rPr>
        <w:t>]), could independently complete tasks of daily living (IADLs; measured by the Lawton and Brody Self- Maintaining and Instrumental Activities of Daily Living Scale[</w:t>
      </w:r>
      <w:hyperlink r:id="rId50" w:anchor="R44" w:history="1">
        <w:r w:rsidRPr="00C8500E">
          <w:rPr>
            <w:rStyle w:val="Hyperlink"/>
            <w:rFonts w:cstheme="minorHAnsi"/>
            <w:sz w:val="24"/>
            <w:szCs w:val="24"/>
          </w:rPr>
          <w:t>44</w:t>
        </w:r>
      </w:hyperlink>
      <w:r w:rsidRPr="00C8500E">
        <w:rPr>
          <w:rFonts w:cstheme="minorHAnsi"/>
        </w:rPr>
        <w:t>]), and presented no absolute contraindications to exercise stress testing or MRI.</w:t>
      </w:r>
    </w:p>
    <w:p w14:paraId="230B1CAF" w14:textId="77777777" w:rsidR="00C9499F" w:rsidRPr="00C8500E" w:rsidRDefault="00C9499F" w:rsidP="00AF34F8">
      <w:pPr>
        <w:rPr>
          <w:rFonts w:cstheme="minorHAnsi"/>
        </w:rPr>
      </w:pPr>
      <w:r w:rsidRPr="00C8500E">
        <w:rPr>
          <w:rFonts w:cstheme="minorHAnsi"/>
        </w:rPr>
        <w:lastRenderedPageBreak/>
        <w:t>Over the course of the recruitment process, a total of 407 individuals responded to in-person solicitations or study advertisements. Of these, 92 eligible individuals signed informed consent and underwent neurological examination. Of these, six did not meet inclusion/exclusion criteria and another 18 declined to continue beyond the initial screening. Of the 68 remaining, 29 were withdrawn from the study before commencing the exercise intervention, for various reasons: nine due to discomfort in the MRI environment, five due to excluded medications, and 15 due to unwillingness to commence the intervention. The remaining 39 participants started the exercise program. Of these, four were withdrawn because of a later diagnosis of exclusionary medical condition, leaving a final sample of 35 participants (17 MCI and 18 CN)[</w:t>
      </w:r>
      <w:hyperlink r:id="rId51" w:anchor="R35" w:history="1">
        <w:r w:rsidRPr="00C8500E">
          <w:rPr>
            <w:rStyle w:val="Hyperlink"/>
            <w:rFonts w:cstheme="minorHAnsi"/>
            <w:sz w:val="24"/>
            <w:szCs w:val="24"/>
          </w:rPr>
          <w:t>35</w:t>
        </w:r>
      </w:hyperlink>
      <w:r w:rsidRPr="00C8500E">
        <w:rPr>
          <w:rFonts w:cstheme="minorHAnsi"/>
        </w:rPr>
        <w:t>].</w:t>
      </w:r>
    </w:p>
    <w:p w14:paraId="7C582CAE" w14:textId="77777777" w:rsidR="00C9499F" w:rsidRPr="00C8500E" w:rsidRDefault="00C9499F" w:rsidP="00AF34F8">
      <w:pPr>
        <w:pStyle w:val="Heading2"/>
        <w:rPr>
          <w:rFonts w:asciiTheme="minorHAnsi" w:hAnsiTheme="minorHAnsi" w:cstheme="minorHAnsi"/>
        </w:rPr>
      </w:pPr>
      <w:r w:rsidRPr="00C8500E">
        <w:rPr>
          <w:rFonts w:asciiTheme="minorHAnsi" w:hAnsiTheme="minorHAnsi" w:cstheme="minorHAnsi"/>
        </w:rPr>
        <w:t>Cognitive Status and Neuropsychological Testing</w:t>
      </w:r>
    </w:p>
    <w:p w14:paraId="5DB6F782" w14:textId="77777777" w:rsidR="00C9499F" w:rsidRPr="00C8500E" w:rsidRDefault="00C9499F" w:rsidP="00AF34F8">
      <w:pPr>
        <w:rPr>
          <w:rFonts w:cstheme="minorHAnsi"/>
        </w:rPr>
      </w:pPr>
      <w:r w:rsidRPr="00C8500E">
        <w:rPr>
          <w:rFonts w:cstheme="minorHAnsi"/>
        </w:rPr>
        <w:t>Cognitive status (normal or MCI) was determined using the Core Clinical Criteria for the diagnosis of MCI as set forth by the National Institute on Aging- Alzheimer’s Association workgroup on diagnostic criteria for the symptomatic predementia stages of AD[</w:t>
      </w:r>
      <w:hyperlink r:id="rId52" w:anchor="R2" w:history="1">
        <w:r w:rsidRPr="00C8500E">
          <w:rPr>
            <w:rStyle w:val="Hyperlink"/>
            <w:rFonts w:cstheme="minorHAnsi"/>
            <w:sz w:val="24"/>
            <w:szCs w:val="24"/>
          </w:rPr>
          <w:t>2</w:t>
        </w:r>
      </w:hyperlink>
      <w:r w:rsidRPr="00C8500E">
        <w:rPr>
          <w:rFonts w:cstheme="minorHAnsi"/>
        </w:rPr>
        <w:t>]. Namely, these criteria include (1) subjective concern related to changes in cognition, (2) objective impairment in at least one cognitive domain, (3) preserved functional independence, and (4) absence of dementia (exhibited by intact social and occupational abilities)[</w:t>
      </w:r>
      <w:hyperlink r:id="rId53" w:anchor="R2" w:history="1">
        <w:r w:rsidRPr="00C8500E">
          <w:rPr>
            <w:rStyle w:val="Hyperlink"/>
            <w:rFonts w:cstheme="minorHAnsi"/>
            <w:sz w:val="24"/>
            <w:szCs w:val="24"/>
          </w:rPr>
          <w:t>2</w:t>
        </w:r>
      </w:hyperlink>
      <w:r w:rsidRPr="00C8500E">
        <w:rPr>
          <w:rFonts w:cstheme="minorHAnsi"/>
        </w:rPr>
        <w:t>]. To appropriately make this determination and ultimately stratify the sample, each participant was evaluated by a team of clinical investigators (including KAN). Participants with probable MCI were further assessed by a neurologist to exclude other possible causes of cognitive decline.</w:t>
      </w:r>
    </w:p>
    <w:p w14:paraId="4F42306F" w14:textId="77777777" w:rsidR="00C9499F" w:rsidRPr="00C8500E" w:rsidRDefault="00C9499F" w:rsidP="00AF34F8">
      <w:pPr>
        <w:rPr>
          <w:rFonts w:cstheme="minorHAnsi"/>
        </w:rPr>
      </w:pPr>
      <w:r w:rsidRPr="00C8500E">
        <w:rPr>
          <w:rFonts w:cstheme="minorHAnsi"/>
        </w:rPr>
        <w:t>A comprehensive battery of neuropsychological tests was used to assess performance across the cognitive domains before and immediately after the 12- week exercise intervention. The battery consisted of seven tests to evaluate several aspects of cognition, including: (1) Mattis Dementia Rating Scale-2[</w:t>
      </w:r>
      <w:hyperlink r:id="rId54" w:anchor="R45" w:history="1">
        <w:r w:rsidRPr="00C8500E">
          <w:rPr>
            <w:rStyle w:val="Hyperlink"/>
            <w:rFonts w:cstheme="minorHAnsi"/>
            <w:sz w:val="24"/>
            <w:szCs w:val="24"/>
          </w:rPr>
          <w:t>45</w:t>
        </w:r>
      </w:hyperlink>
      <w:r w:rsidRPr="00C8500E">
        <w:rPr>
          <w:rFonts w:cstheme="minorHAnsi"/>
        </w:rPr>
        <w:t>] (DRS-2; global cognitive function and risk of dementia), (2) Mini-Mental State Exam[</w:t>
      </w:r>
      <w:hyperlink r:id="rId55" w:anchor="R46" w:history="1">
        <w:r w:rsidRPr="00C8500E">
          <w:rPr>
            <w:rStyle w:val="Hyperlink"/>
            <w:rFonts w:cstheme="minorHAnsi"/>
            <w:sz w:val="24"/>
            <w:szCs w:val="24"/>
          </w:rPr>
          <w:t>46</w:t>
        </w:r>
      </w:hyperlink>
      <w:r w:rsidRPr="00C8500E">
        <w:rPr>
          <w:rFonts w:cstheme="minorHAnsi"/>
        </w:rPr>
        <w:t>] (MMSE; global cognitive function and risk of dementia), (3) Symbol Digit Modalities Test[</w:t>
      </w:r>
      <w:hyperlink r:id="rId56" w:anchor="R47" w:history="1">
        <w:r w:rsidRPr="00C8500E">
          <w:rPr>
            <w:rStyle w:val="Hyperlink"/>
            <w:rFonts w:cstheme="minorHAnsi"/>
            <w:sz w:val="24"/>
            <w:szCs w:val="24"/>
          </w:rPr>
          <w:t>47</w:t>
        </w:r>
      </w:hyperlink>
      <w:r w:rsidRPr="00C8500E">
        <w:rPr>
          <w:rFonts w:cstheme="minorHAnsi"/>
        </w:rPr>
        <w:t>] (SDMT; attention and processing speed), (4) Controlled Oral Word Association Test[</w:t>
      </w:r>
      <w:hyperlink r:id="rId57" w:anchor="R48" w:history="1">
        <w:r w:rsidRPr="00C8500E">
          <w:rPr>
            <w:rStyle w:val="Hyperlink"/>
            <w:rFonts w:cstheme="minorHAnsi"/>
            <w:sz w:val="24"/>
            <w:szCs w:val="24"/>
          </w:rPr>
          <w:t>48</w:t>
        </w:r>
      </w:hyperlink>
      <w:r w:rsidRPr="00C8500E">
        <w:rPr>
          <w:rFonts w:cstheme="minorHAnsi"/>
        </w:rPr>
        <w:t>] (COWAT; verbal fluency), (5) Semantic Fluency Test[</w:t>
      </w:r>
      <w:hyperlink r:id="rId58" w:anchor="R49" w:history="1">
        <w:r w:rsidRPr="00C8500E">
          <w:rPr>
            <w:rStyle w:val="Hyperlink"/>
            <w:rFonts w:cstheme="minorHAnsi"/>
            <w:sz w:val="24"/>
            <w:szCs w:val="24"/>
          </w:rPr>
          <w:t>49</w:t>
        </w:r>
      </w:hyperlink>
      <w:r w:rsidRPr="00C8500E">
        <w:rPr>
          <w:rFonts w:cstheme="minorHAnsi"/>
        </w:rPr>
        <w:t>] (Animals; semantic fluency), (6) Logical Memory and Letter-Number Sequencing subtests of the Wechsler Memory Scale-III[</w:t>
      </w:r>
      <w:hyperlink r:id="rId59" w:anchor="R50" w:history="1">
        <w:r w:rsidRPr="00C8500E">
          <w:rPr>
            <w:rStyle w:val="Hyperlink"/>
            <w:rFonts w:cstheme="minorHAnsi"/>
            <w:sz w:val="24"/>
            <w:szCs w:val="24"/>
          </w:rPr>
          <w:t>50</w:t>
        </w:r>
      </w:hyperlink>
      <w:r w:rsidRPr="00C8500E">
        <w:rPr>
          <w:rFonts w:cstheme="minorHAnsi"/>
        </w:rPr>
        <w:t>] (WMS-III; working memory, delayed memory, and attention), (7) Rey Auditory Verbal Learning Test[</w:t>
      </w:r>
      <w:hyperlink r:id="rId60" w:anchor="R51" w:history="1">
        <w:r w:rsidRPr="00C8500E">
          <w:rPr>
            <w:rStyle w:val="Hyperlink"/>
            <w:rFonts w:cstheme="minorHAnsi"/>
            <w:sz w:val="24"/>
            <w:szCs w:val="24"/>
          </w:rPr>
          <w:t>51</w:t>
        </w:r>
      </w:hyperlink>
      <w:r w:rsidRPr="00C8500E">
        <w:rPr>
          <w:rFonts w:cstheme="minorHAnsi"/>
        </w:rPr>
        <w:t>] (RAVLT; verbal working memory and delayed-recall). Alternate test forms were used for each test at each time point, where possible, including for the RAVLT and DRS-2. An extensive description of each assessment (including test materials and procedures) can be found in our previous paper[</w:t>
      </w:r>
      <w:hyperlink r:id="rId61" w:anchor="R35" w:history="1">
        <w:r w:rsidRPr="00C8500E">
          <w:rPr>
            <w:rStyle w:val="Hyperlink"/>
            <w:rFonts w:cstheme="minorHAnsi"/>
            <w:sz w:val="24"/>
            <w:szCs w:val="24"/>
          </w:rPr>
          <w:t>35</w:t>
        </w:r>
      </w:hyperlink>
      <w:r w:rsidRPr="00C8500E">
        <w:rPr>
          <w:rFonts w:cstheme="minorHAnsi"/>
        </w:rPr>
        <w:t>].</w:t>
      </w:r>
    </w:p>
    <w:p w14:paraId="3948F5FB" w14:textId="77777777" w:rsidR="00C9499F" w:rsidRPr="00C8500E" w:rsidRDefault="00C9499F" w:rsidP="00AF34F8">
      <w:pPr>
        <w:pStyle w:val="Heading2"/>
        <w:rPr>
          <w:rFonts w:asciiTheme="minorHAnsi" w:hAnsiTheme="minorHAnsi" w:cstheme="minorHAnsi"/>
        </w:rPr>
      </w:pPr>
      <w:r w:rsidRPr="00C8500E">
        <w:rPr>
          <w:rFonts w:asciiTheme="minorHAnsi" w:hAnsiTheme="minorHAnsi" w:cstheme="minorHAnsi"/>
        </w:rPr>
        <w:t>V̇O</w:t>
      </w:r>
      <w:r w:rsidRPr="00C8500E">
        <w:rPr>
          <w:rFonts w:asciiTheme="minorHAnsi" w:hAnsiTheme="minorHAnsi" w:cstheme="minorHAnsi"/>
          <w:vertAlign w:val="subscript"/>
        </w:rPr>
        <w:t>2peak</w:t>
      </w:r>
      <w:r w:rsidRPr="00C8500E">
        <w:rPr>
          <w:rFonts w:asciiTheme="minorHAnsi" w:hAnsiTheme="minorHAnsi" w:cstheme="minorHAnsi"/>
        </w:rPr>
        <w:t> Testing</w:t>
      </w:r>
    </w:p>
    <w:p w14:paraId="3F1167FD" w14:textId="77777777" w:rsidR="00C9499F" w:rsidRPr="00C8500E" w:rsidRDefault="00C9499F" w:rsidP="00AF34F8">
      <w:pPr>
        <w:rPr>
          <w:rFonts w:cstheme="minorHAnsi"/>
        </w:rPr>
      </w:pPr>
      <w:r w:rsidRPr="00C8500E">
        <w:rPr>
          <w:rFonts w:cstheme="minorHAnsi"/>
        </w:rPr>
        <w:t>V̇O</w:t>
      </w:r>
      <w:r w:rsidRPr="00C8500E">
        <w:rPr>
          <w:rFonts w:cstheme="minorHAnsi"/>
          <w:vertAlign w:val="subscript"/>
        </w:rPr>
        <w:t>2peak</w:t>
      </w:r>
      <w:r w:rsidRPr="00C8500E">
        <w:rPr>
          <w:rFonts w:cstheme="minorHAnsi"/>
        </w:rPr>
        <w:t>, which is the peak rate of oxygen consumption during exercise and an established metric of aerobic fitness, was measured before and immediately after the 12-week exercise intervention using a submaximal graded exercise test. Preceding each test, the indirect calorimeter (ParvoMedics, Sandy,UT) was calibrated against standard O</w:t>
      </w:r>
      <w:r w:rsidRPr="00C8500E">
        <w:rPr>
          <w:rFonts w:cstheme="minorHAnsi"/>
          <w:vertAlign w:val="subscript"/>
        </w:rPr>
        <w:t>2</w:t>
      </w:r>
      <w:r w:rsidRPr="00C8500E">
        <w:rPr>
          <w:rFonts w:cstheme="minorHAnsi"/>
        </w:rPr>
        <w:t> and CO</w:t>
      </w:r>
      <w:r w:rsidRPr="00C8500E">
        <w:rPr>
          <w:rFonts w:cstheme="minorHAnsi"/>
          <w:vertAlign w:val="subscript"/>
        </w:rPr>
        <w:t>2</w:t>
      </w:r>
      <w:r w:rsidRPr="00C8500E">
        <w:rPr>
          <w:rFonts w:cstheme="minorHAnsi"/>
        </w:rPr>
        <w:t> concentrations. Resting heart rate was collected continuously for 10 min prior to the start of exercise (in supine position), which was then used to compute heart rate reserve (HRR = 220 - age - resting heart rate)[</w:t>
      </w:r>
      <w:hyperlink r:id="rId62" w:anchor="R52" w:history="1">
        <w:r w:rsidRPr="00C8500E">
          <w:rPr>
            <w:rStyle w:val="Hyperlink"/>
            <w:rFonts w:cstheme="minorHAnsi"/>
            <w:sz w:val="24"/>
            <w:szCs w:val="24"/>
          </w:rPr>
          <w:t>52</w:t>
        </w:r>
      </w:hyperlink>
      <w:r w:rsidRPr="00C8500E">
        <w:rPr>
          <w:rFonts w:cstheme="minorHAnsi"/>
        </w:rPr>
        <w:t>]. Exercise tests were performed on a General Electric (GE) motorized treadmill system (Milwaukee, WI) and followed a modified Balke-Ware protocol[</w:t>
      </w:r>
      <w:hyperlink r:id="rId63" w:anchor="R53" w:history="1">
        <w:r w:rsidRPr="00C8500E">
          <w:rPr>
            <w:rStyle w:val="Hyperlink"/>
            <w:rFonts w:cstheme="minorHAnsi"/>
            <w:sz w:val="24"/>
            <w:szCs w:val="24"/>
          </w:rPr>
          <w:t>53</w:t>
        </w:r>
      </w:hyperlink>
      <w:r w:rsidRPr="00C8500E">
        <w:rPr>
          <w:rFonts w:cstheme="minorHAnsi"/>
        </w:rPr>
        <w:t>] (initial exercise intensity = 2.0 mi/h (3.2 km/h) at 0° grade, with intensity increases of 1°/min), in accordance with the American College of Sports Medicine Guidelines[</w:t>
      </w:r>
      <w:hyperlink r:id="rId64" w:anchor="R54" w:history="1">
        <w:r w:rsidRPr="00C8500E">
          <w:rPr>
            <w:rStyle w:val="Hyperlink"/>
            <w:rFonts w:cstheme="minorHAnsi"/>
            <w:sz w:val="24"/>
            <w:szCs w:val="24"/>
          </w:rPr>
          <w:t>54</w:t>
        </w:r>
      </w:hyperlink>
      <w:r w:rsidRPr="00C8500E">
        <w:rPr>
          <w:rFonts w:cstheme="minorHAnsi"/>
        </w:rPr>
        <w:t xml:space="preserve">]. All testing sessions began and ended with 3–5 min of level walking at 1–2 mi/h (1.6–3.2 km/h). Throughout the test, several variables were collected including expired air, (every 15 sec), ratings of perceived exertion (every min), and measures of heart rate (HR) and blood pressure (every 2 min). To ensure participant safety, testing was terminated if any absolute exercise contraindications were observed (e.g., diastolic blood pressure &gt; 110 mmHg) or if the participant requested to stop the test. Successful fitness </w:t>
      </w:r>
      <w:r w:rsidRPr="00C8500E">
        <w:rPr>
          <w:rFonts w:cstheme="minorHAnsi"/>
        </w:rPr>
        <w:lastRenderedPageBreak/>
        <w:t>assessments were complete when the participant reached 85% of their HRR. V̇O</w:t>
      </w:r>
      <w:r w:rsidRPr="00C8500E">
        <w:rPr>
          <w:rFonts w:cstheme="minorHAnsi"/>
          <w:vertAlign w:val="subscript"/>
        </w:rPr>
        <w:t>2peak</w:t>
      </w:r>
      <w:r w:rsidRPr="00C8500E">
        <w:rPr>
          <w:rFonts w:cstheme="minorHAnsi"/>
        </w:rPr>
        <w:t> (measured as ml/kg/min at standard temperature, pressure, and dry; STPD) was the highest V̇O</w:t>
      </w:r>
      <w:r w:rsidRPr="00C8500E">
        <w:rPr>
          <w:rFonts w:cstheme="minorHAnsi"/>
          <w:vertAlign w:val="subscript"/>
        </w:rPr>
        <w:t>2</w:t>
      </w:r>
      <w:r w:rsidRPr="00C8500E">
        <w:rPr>
          <w:rFonts w:cstheme="minorHAnsi"/>
        </w:rPr>
        <w:t> value achieved during the exercise test.</w:t>
      </w:r>
    </w:p>
    <w:p w14:paraId="19CF2B88" w14:textId="77777777" w:rsidR="00C9499F" w:rsidRPr="00C8500E" w:rsidRDefault="00C9499F" w:rsidP="00AF34F8">
      <w:pPr>
        <w:pStyle w:val="Heading2"/>
        <w:rPr>
          <w:rFonts w:asciiTheme="minorHAnsi" w:hAnsiTheme="minorHAnsi" w:cstheme="minorHAnsi"/>
        </w:rPr>
      </w:pPr>
      <w:r w:rsidRPr="00C8500E">
        <w:rPr>
          <w:rFonts w:asciiTheme="minorHAnsi" w:hAnsiTheme="minorHAnsi" w:cstheme="minorHAnsi"/>
        </w:rPr>
        <w:t>Exercise Intervention</w:t>
      </w:r>
    </w:p>
    <w:p w14:paraId="3BC5B2FC" w14:textId="77777777" w:rsidR="00C9499F" w:rsidRPr="00C8500E" w:rsidRDefault="00C9499F" w:rsidP="00AF34F8">
      <w:pPr>
        <w:rPr>
          <w:rFonts w:cstheme="minorHAnsi"/>
        </w:rPr>
      </w:pPr>
      <w:r w:rsidRPr="00C8500E">
        <w:rPr>
          <w:rFonts w:cstheme="minorHAnsi"/>
        </w:rPr>
        <w:t>The 12-week exercise intervention included four 30-min sessions of moderate-intensity treadmill walking per week. Exercise sessions occurred at local recreation centers, were conducted independently or in groups of two, and were always supervised by a certified exercise trainer. During the first four weeks, exercise intensity progressively increased, with all participants ultimately reaching target intensity (50–60% of HRR) by the fifth week. This target intensity was maintained for the remainder of the exercise training program (8 weeks). Participants engaged in 10 min of light activity (e.g., stretching and walking) as a warm-up and cool-down; and during the training sessions, HR (using a Polar® monitor) and RPE (using the Borg RPE 6–20 Scale[</w:t>
      </w:r>
      <w:hyperlink r:id="rId65" w:anchor="R55" w:history="1">
        <w:r w:rsidRPr="00C8500E">
          <w:rPr>
            <w:rStyle w:val="Hyperlink"/>
            <w:rFonts w:cstheme="minorHAnsi"/>
            <w:sz w:val="24"/>
            <w:szCs w:val="24"/>
          </w:rPr>
          <w:t>55</w:t>
        </w:r>
      </w:hyperlink>
      <w:r w:rsidRPr="00C8500E">
        <w:rPr>
          <w:rFonts w:cstheme="minorHAnsi"/>
        </w:rPr>
        <w:t>]) were measured to track training intensity and accommodation. Treadmill speed and grade were tailored to match baseline fitness levels and were progressively modified, by session, to promote increases in aerobic fitness.</w:t>
      </w:r>
    </w:p>
    <w:p w14:paraId="2A703854" w14:textId="77777777" w:rsidR="00C9499F" w:rsidRPr="00C8500E" w:rsidRDefault="00C9499F" w:rsidP="00AF34F8">
      <w:pPr>
        <w:pStyle w:val="Heading2"/>
        <w:rPr>
          <w:rFonts w:asciiTheme="minorHAnsi" w:hAnsiTheme="minorHAnsi" w:cstheme="minorHAnsi"/>
        </w:rPr>
      </w:pPr>
      <w:r w:rsidRPr="00C8500E">
        <w:rPr>
          <w:rFonts w:asciiTheme="minorHAnsi" w:hAnsiTheme="minorHAnsi" w:cstheme="minorHAnsi"/>
        </w:rPr>
        <w:t>MRI Acquisition</w:t>
      </w:r>
    </w:p>
    <w:p w14:paraId="2E2DACA2" w14:textId="77777777" w:rsidR="00C9499F" w:rsidRPr="00C8500E" w:rsidRDefault="00C9499F" w:rsidP="00AF34F8">
      <w:pPr>
        <w:rPr>
          <w:rFonts w:cstheme="minorHAnsi"/>
        </w:rPr>
      </w:pPr>
      <w:r w:rsidRPr="00C8500E">
        <w:rPr>
          <w:rFonts w:cstheme="minorHAnsi"/>
        </w:rPr>
        <w:t>During the MRI scan, participants were instructed to remain still, keep their eyes open, and focus their gaze towards a fixation cross projected directly in front of them. All MRI data were acquired using a GE 3.0 Tesla MR system (Waukesha, WI, USA) with a quad/split head coil for radio frequency transmission and reception. A high-resolution T1-weighted anatomical brain image was collected using a 3D Spoiled Gradient Recalled at steady state (SPGR) protocol for coregistration and included the following sequence parameters: matrix = 256, field-of-view (FOV) = 240 mm, voxel size = 0.94 × 0.94 × 1.00 mm, number of excitations = 1, slice thickness = 1 mm, repetition time (TR) = 9.6 ms, echo time (TE) = 3.9 ms, inversion time (TI) = 450 ms, flip angle = 90°, and sequence duration = 6 min.</w:t>
      </w:r>
    </w:p>
    <w:p w14:paraId="29448C95" w14:textId="77777777" w:rsidR="00C9499F" w:rsidRPr="00C8500E" w:rsidRDefault="00C9499F" w:rsidP="00AF34F8">
      <w:pPr>
        <w:rPr>
          <w:rFonts w:cstheme="minorHAnsi"/>
        </w:rPr>
      </w:pPr>
      <w:r w:rsidRPr="00C8500E">
        <w:rPr>
          <w:rFonts w:cstheme="minorHAnsi"/>
        </w:rPr>
        <w:t>Perfusion-weighted images were collected using a multi-slice pseudo- continuous arterial spin labeling (PCASL) protocol for perfusion quantification and included the following sequence parameters: matrix = 64, FOV = 240 mm,voxel size = 3.75 × 3.75 × 5.00 mm, number of excitations = 1, slices = 12 (axial, ascending order), slice thickness = 5 mm, gap between slices = 1 mm, single slice acquisition time = 33.75 ms, label duration (bolus) = 1480 ms, post-label delay (PLD) = 1575–1980 ms, TR = 4000 ms, volumes = 90, number of label/control pairs = 45, flip angle = 90°, RF blocks = 80, block duration = 18.5 ms, and sequence duration = 6 min.</w:t>
      </w:r>
    </w:p>
    <w:p w14:paraId="45D1FFC7" w14:textId="77777777" w:rsidR="00C9499F" w:rsidRPr="00C8500E" w:rsidRDefault="00C9499F" w:rsidP="00AF34F8">
      <w:pPr>
        <w:pStyle w:val="Heading2"/>
        <w:rPr>
          <w:rFonts w:asciiTheme="minorHAnsi" w:hAnsiTheme="minorHAnsi" w:cstheme="minorHAnsi"/>
        </w:rPr>
      </w:pPr>
      <w:r w:rsidRPr="00C8500E">
        <w:rPr>
          <w:rFonts w:asciiTheme="minorHAnsi" w:hAnsiTheme="minorHAnsi" w:cstheme="minorHAnsi"/>
        </w:rPr>
        <w:t>MRI Data Processing</w:t>
      </w:r>
    </w:p>
    <w:p w14:paraId="244E525B" w14:textId="77777777" w:rsidR="00C9499F" w:rsidRPr="00C8500E" w:rsidRDefault="00C9499F" w:rsidP="00AF34F8">
      <w:pPr>
        <w:pStyle w:val="Heading3"/>
        <w:rPr>
          <w:rFonts w:asciiTheme="minorHAnsi" w:hAnsiTheme="minorHAnsi" w:cstheme="minorHAnsi"/>
        </w:rPr>
      </w:pPr>
      <w:r w:rsidRPr="00C8500E">
        <w:rPr>
          <w:rFonts w:asciiTheme="minorHAnsi" w:hAnsiTheme="minorHAnsi" w:cstheme="minorHAnsi"/>
        </w:rPr>
        <w:t>Preprocessing:</w:t>
      </w:r>
    </w:p>
    <w:p w14:paraId="6BBA3776" w14:textId="77777777" w:rsidR="00C9499F" w:rsidRPr="00C8500E" w:rsidRDefault="00C9499F" w:rsidP="00AF34F8">
      <w:pPr>
        <w:rPr>
          <w:rFonts w:cstheme="minorHAnsi"/>
        </w:rPr>
      </w:pPr>
      <w:r w:rsidRPr="00C8500E">
        <w:rPr>
          <w:rFonts w:cstheme="minorHAnsi"/>
        </w:rPr>
        <w:t>AFNI’s Dimon program was used to convert the DICOM image files into 3D space[</w:t>
      </w:r>
      <w:hyperlink r:id="rId66" w:anchor="R56" w:history="1">
        <w:r w:rsidRPr="00C8500E">
          <w:rPr>
            <w:rStyle w:val="Hyperlink"/>
            <w:rFonts w:cstheme="minorHAnsi"/>
            <w:sz w:val="24"/>
            <w:szCs w:val="24"/>
          </w:rPr>
          <w:t>56</w:t>
        </w:r>
      </w:hyperlink>
      <w:r w:rsidRPr="00C8500E">
        <w:rPr>
          <w:rFonts w:cstheme="minorHAnsi"/>
        </w:rPr>
        <w:t>]. Once reconstructed, the first four volumes of the image time-series were discarded to avoid magnetization disequilibrium. The truncated time series were realigned to reduce the spurious effects of head motion (using AFNI’s 3dvolreg), and runs with excessive motion (&gt; 2.5 mm) were excluded from further analysis. The motion-corrected undifferenced PCASL image was coregistered with the T1-weighted anatomy (using AFNI’s align_epi_anat.py) and visually inspected for proper alignment. A proton density (PD) image for perfusion calibration was created by extracting the first 10 control volumes from the coregistered time series[</w:t>
      </w:r>
      <w:hyperlink r:id="rId67" w:anchor="R57" w:history="1">
        <w:r w:rsidRPr="00C8500E">
          <w:rPr>
            <w:rStyle w:val="Hyperlink"/>
            <w:rFonts w:cstheme="minorHAnsi"/>
            <w:sz w:val="24"/>
            <w:szCs w:val="24"/>
          </w:rPr>
          <w:t>57</w:t>
        </w:r>
      </w:hyperlink>
      <w:r w:rsidRPr="00C8500E">
        <w:rPr>
          <w:rFonts w:cstheme="minorHAnsi"/>
        </w:rPr>
        <w:t>], and was spatially smoothed (6 mm Gaussian kernel) to enhance SNR and improve perfusion calibration[</w:t>
      </w:r>
      <w:hyperlink r:id="rId68" w:anchor="R58" w:history="1">
        <w:r w:rsidRPr="00C8500E">
          <w:rPr>
            <w:rStyle w:val="Hyperlink"/>
            <w:rFonts w:cstheme="minorHAnsi"/>
            <w:sz w:val="24"/>
            <w:szCs w:val="24"/>
          </w:rPr>
          <w:t>58</w:t>
        </w:r>
      </w:hyperlink>
      <w:r w:rsidRPr="00C8500E">
        <w:rPr>
          <w:rFonts w:cstheme="minorHAnsi"/>
        </w:rPr>
        <w:t>].</w:t>
      </w:r>
    </w:p>
    <w:p w14:paraId="61EE91DE" w14:textId="77777777" w:rsidR="00C9499F" w:rsidRPr="00C8500E" w:rsidRDefault="00C9499F" w:rsidP="00AF34F8">
      <w:pPr>
        <w:pStyle w:val="Heading3"/>
        <w:rPr>
          <w:rFonts w:asciiTheme="minorHAnsi" w:hAnsiTheme="minorHAnsi" w:cstheme="minorHAnsi"/>
        </w:rPr>
      </w:pPr>
      <w:r w:rsidRPr="00C8500E">
        <w:rPr>
          <w:rFonts w:asciiTheme="minorHAnsi" w:hAnsiTheme="minorHAnsi" w:cstheme="minorHAnsi"/>
        </w:rPr>
        <w:t>Segmentation:</w:t>
      </w:r>
    </w:p>
    <w:p w14:paraId="185ECFFC" w14:textId="77777777" w:rsidR="00C9499F" w:rsidRPr="00C8500E" w:rsidRDefault="00C9499F" w:rsidP="00AF34F8">
      <w:pPr>
        <w:rPr>
          <w:rFonts w:cstheme="minorHAnsi"/>
        </w:rPr>
      </w:pPr>
      <w:r w:rsidRPr="00C8500E">
        <w:rPr>
          <w:rFonts w:cstheme="minorHAnsi"/>
        </w:rPr>
        <w:t>Partial volume estimates, which are proportional estimates of gray matter (GM) and white matter (WM) per voxel, were derived using the tissue sensitivity and probability distributions of the coregistered T1-weighted anatomy utilizing FSL’s Fully Automated Segmentation Tool (FAST; FMRIB Software Library version 5.0.9, Oxford, UK)[</w:t>
      </w:r>
      <w:hyperlink r:id="rId69" w:anchor="R59" w:history="1">
        <w:r w:rsidRPr="00C8500E">
          <w:rPr>
            <w:rStyle w:val="Hyperlink"/>
            <w:rFonts w:cstheme="minorHAnsi"/>
            <w:sz w:val="24"/>
            <w:szCs w:val="24"/>
          </w:rPr>
          <w:t>59</w:t>
        </w:r>
      </w:hyperlink>
      <w:r w:rsidRPr="00C8500E">
        <w:rPr>
          <w:rFonts w:cstheme="minorHAnsi"/>
        </w:rPr>
        <w:t xml:space="preserve">]. These high-resolution maps served several key purposes including partial volume correction, nuisance </w:t>
      </w:r>
      <w:r w:rsidRPr="00C8500E">
        <w:rPr>
          <w:rFonts w:cstheme="minorHAnsi"/>
        </w:rPr>
        <w:lastRenderedPageBreak/>
        <w:t>regression, and tissue-specific perfusion quantification. Additionally, cortical parcellation maps were created using FreeSurfer’s (Version 5.3.0) automated processing stream to anatomically isolate regional CBF.</w:t>
      </w:r>
    </w:p>
    <w:p w14:paraId="085DC453" w14:textId="77777777" w:rsidR="00C9499F" w:rsidRPr="00C8500E" w:rsidRDefault="00C9499F" w:rsidP="00AF34F8">
      <w:pPr>
        <w:pStyle w:val="Heading3"/>
        <w:rPr>
          <w:rFonts w:asciiTheme="minorHAnsi" w:hAnsiTheme="minorHAnsi" w:cstheme="minorHAnsi"/>
        </w:rPr>
      </w:pPr>
      <w:r w:rsidRPr="00C8500E">
        <w:rPr>
          <w:rFonts w:asciiTheme="minorHAnsi" w:hAnsiTheme="minorHAnsi" w:cstheme="minorHAnsi"/>
        </w:rPr>
        <w:t>Perfusion Quantification:</w:t>
      </w:r>
    </w:p>
    <w:p w14:paraId="10416C76" w14:textId="77777777" w:rsidR="00C9499F" w:rsidRPr="00C8500E" w:rsidRDefault="00C9499F" w:rsidP="00AF34F8">
      <w:pPr>
        <w:rPr>
          <w:rFonts w:cstheme="minorHAnsi"/>
        </w:rPr>
      </w:pPr>
      <w:r w:rsidRPr="00C8500E">
        <w:rPr>
          <w:rFonts w:cstheme="minorHAnsi"/>
        </w:rPr>
        <w:t>FSL’s Bayesian Inference for Arterial Spin Labeling (BASIL, FMRIB Software Library version 5.0.9, Oxford, UK) was used for perfusion quantification[</w:t>
      </w:r>
      <w:hyperlink r:id="rId70" w:anchor="R57" w:history="1">
        <w:r w:rsidRPr="00C8500E">
          <w:rPr>
            <w:rStyle w:val="Hyperlink"/>
            <w:rFonts w:cstheme="minorHAnsi"/>
            <w:sz w:val="24"/>
            <w:szCs w:val="24"/>
          </w:rPr>
          <w:t>57</w:t>
        </w:r>
      </w:hyperlink>
      <w:r w:rsidRPr="00C8500E">
        <w:rPr>
          <w:rFonts w:cstheme="minorHAnsi"/>
        </w:rPr>
        <w:t>,</w:t>
      </w:r>
      <w:hyperlink r:id="rId71" w:anchor="R60" w:history="1">
        <w:r w:rsidRPr="00C8500E">
          <w:rPr>
            <w:rStyle w:val="Hyperlink"/>
            <w:rFonts w:cstheme="minorHAnsi"/>
            <w:sz w:val="24"/>
            <w:szCs w:val="24"/>
          </w:rPr>
          <w:t>60</w:t>
        </w:r>
      </w:hyperlink>
      <w:r w:rsidRPr="00C8500E">
        <w:rPr>
          <w:rFonts w:cstheme="minorHAnsi"/>
        </w:rPr>
        <w:t>]. A perfusion image was generated from the coregistered PCASL time series using pairwise subtraction (control-labeled volumes) and adjusted for slice-time delay. A T</w:t>
      </w:r>
      <w:r w:rsidRPr="00C8500E">
        <w:rPr>
          <w:rFonts w:cstheme="minorHAnsi"/>
          <w:vertAlign w:val="subscript"/>
        </w:rPr>
        <w:t>1</w:t>
      </w:r>
      <w:r w:rsidRPr="00C8500E">
        <w:rPr>
          <w:rFonts w:cstheme="minorHAnsi"/>
        </w:rPr>
        <w:t> correction was used on the PD image to adjust for potential errors in the blood-brain partition coefficient (TR &lt; 5000 ms)[</w:t>
      </w:r>
      <w:hyperlink r:id="rId72" w:anchor="R58" w:history="1">
        <w:r w:rsidRPr="00C8500E">
          <w:rPr>
            <w:rStyle w:val="Hyperlink"/>
            <w:rFonts w:cstheme="minorHAnsi"/>
            <w:sz w:val="24"/>
            <w:szCs w:val="24"/>
          </w:rPr>
          <w:t>58</w:t>
        </w:r>
      </w:hyperlink>
      <w:r w:rsidRPr="00C8500E">
        <w:rPr>
          <w:rFonts w:cstheme="minorHAnsi"/>
        </w:rPr>
        <w:t>]. Once corrected, a ventricular reference mask from the T1- weighted anatomy was used to isolate and compute the magnetization equilibrium (M0) of brain tissue, which was further used to approximate the M0 of arterial blood (M0a).</w:t>
      </w:r>
    </w:p>
    <w:p w14:paraId="38EAA935" w14:textId="77777777" w:rsidR="00C9499F" w:rsidRPr="00C8500E" w:rsidRDefault="00C9499F" w:rsidP="00AF34F8">
      <w:pPr>
        <w:rPr>
          <w:rFonts w:cstheme="minorHAnsi"/>
        </w:rPr>
      </w:pPr>
      <w:r w:rsidRPr="00C8500E">
        <w:rPr>
          <w:rFonts w:cstheme="minorHAnsi"/>
        </w:rPr>
        <w:t xml:space="preserve">Buxton’s General Model for Kinetic Inversion was implemented to estimate absolute cerebral perfusion (ml/100g/min) and included the following parameters: ΔM (proportional magnetization change represented by the perfusion image), T1 blood (longitudinal relaxation time of blood = 1650 ms), T1 tissue (longitudinal relaxation time of tissue = 1300 ms), </w:t>
      </w:r>
      <w:r w:rsidRPr="00C8500E">
        <w:rPr>
          <w:rFonts w:ascii="Cambria Math" w:hAnsi="Cambria Math" w:cs="Cambria Math"/>
        </w:rPr>
        <w:t>𝛼</w:t>
      </w:r>
      <w:r w:rsidRPr="00C8500E">
        <w:rPr>
          <w:rFonts w:cstheme="minorHAnsi"/>
        </w:rPr>
        <w:t xml:space="preserve"> (labeling efficiency = 0.85), M0a (magnetization equilibrium of arterial blood), BAT (bolus arrival time: GM = 1300 ms, WM = 1000 ms), Bolus (label duration = 1480 ms), PLD (post label delay =1575–1980 ms), and λ (blood-brain partition coefficient of gray matter (GM) = 0.98 ml/g and white matter (WM) = 0.82 ml/g)[</w:t>
      </w:r>
      <w:hyperlink r:id="rId73" w:anchor="R57" w:history="1">
        <w:r w:rsidRPr="00C8500E">
          <w:rPr>
            <w:rStyle w:val="Hyperlink"/>
            <w:rFonts w:cstheme="minorHAnsi"/>
            <w:sz w:val="24"/>
            <w:szCs w:val="24"/>
          </w:rPr>
          <w:t>57</w:t>
        </w:r>
      </w:hyperlink>
      <w:r w:rsidRPr="00C8500E">
        <w:rPr>
          <w:rFonts w:cstheme="minorHAnsi"/>
        </w:rPr>
        <w:t>,</w:t>
      </w:r>
      <w:hyperlink r:id="rId74" w:anchor="R60" w:history="1">
        <w:r w:rsidRPr="00C8500E">
          <w:rPr>
            <w:rStyle w:val="Hyperlink"/>
            <w:rFonts w:cstheme="minorHAnsi"/>
            <w:sz w:val="24"/>
            <w:szCs w:val="24"/>
          </w:rPr>
          <w:t>60</w:t>
        </w:r>
      </w:hyperlink>
      <w:r w:rsidRPr="00C8500E">
        <w:rPr>
          <w:rFonts w:cstheme="minorHAnsi"/>
        </w:rPr>
        <w:t>]. The rendered CBF map was adaptively smoothed using a spatial regularization technique and partial volume corrected to improve the accuracy of CBF estimation[</w:t>
      </w:r>
      <w:hyperlink r:id="rId75" w:anchor="R59" w:history="1">
        <w:r w:rsidRPr="00C8500E">
          <w:rPr>
            <w:rStyle w:val="Hyperlink"/>
            <w:rFonts w:cstheme="minorHAnsi"/>
            <w:sz w:val="24"/>
            <w:szCs w:val="24"/>
          </w:rPr>
          <w:t>59</w:t>
        </w:r>
      </w:hyperlink>
      <w:r w:rsidRPr="00C8500E">
        <w:rPr>
          <w:rFonts w:cstheme="minorHAnsi"/>
        </w:rPr>
        <w:t>,</w:t>
      </w:r>
      <w:hyperlink r:id="rId76" w:anchor="R61" w:history="1">
        <w:r w:rsidRPr="00C8500E">
          <w:rPr>
            <w:rStyle w:val="Hyperlink"/>
            <w:rFonts w:cstheme="minorHAnsi"/>
            <w:sz w:val="24"/>
            <w:szCs w:val="24"/>
          </w:rPr>
          <w:t>61</w:t>
        </w:r>
      </w:hyperlink>
      <w:r w:rsidRPr="00C8500E">
        <w:rPr>
          <w:rFonts w:cstheme="minorHAnsi"/>
        </w:rPr>
        <w:t>]. Relative CBF was derived by dividing absolute CBF by the GM mean on a per subject basis.</w:t>
      </w:r>
    </w:p>
    <w:p w14:paraId="1D6A34E4" w14:textId="77777777" w:rsidR="00C9499F" w:rsidRPr="00C8500E" w:rsidRDefault="00C9499F" w:rsidP="00AF34F8">
      <w:pPr>
        <w:pStyle w:val="Heading3"/>
        <w:rPr>
          <w:rFonts w:asciiTheme="minorHAnsi" w:hAnsiTheme="minorHAnsi" w:cstheme="minorHAnsi"/>
        </w:rPr>
      </w:pPr>
      <w:r w:rsidRPr="00C8500E">
        <w:rPr>
          <w:rFonts w:asciiTheme="minorHAnsi" w:hAnsiTheme="minorHAnsi" w:cstheme="minorHAnsi"/>
        </w:rPr>
        <w:t>Normalization:</w:t>
      </w:r>
    </w:p>
    <w:p w14:paraId="0E7BD21E" w14:textId="77777777" w:rsidR="00C9499F" w:rsidRPr="00C8500E" w:rsidRDefault="00C9499F" w:rsidP="00AF34F8">
      <w:pPr>
        <w:rPr>
          <w:rFonts w:cstheme="minorHAnsi"/>
        </w:rPr>
      </w:pPr>
      <w:r w:rsidRPr="00C8500E">
        <w:rPr>
          <w:rFonts w:cstheme="minorHAnsi"/>
        </w:rPr>
        <w:t>To preserve the heterogeneity of the individual brain anatomy, the T1-weighted image and anatomical followers (FAST-rendered gray matter segmentations) were warped to MNI space using AFNI’s non-linear transformation[</w:t>
      </w:r>
      <w:hyperlink r:id="rId77" w:anchor="R62" w:history="1">
        <w:r w:rsidRPr="00C8500E">
          <w:rPr>
            <w:rStyle w:val="Hyperlink"/>
            <w:rFonts w:cstheme="minorHAnsi"/>
            <w:sz w:val="24"/>
            <w:szCs w:val="24"/>
          </w:rPr>
          <w:t>62</w:t>
        </w:r>
      </w:hyperlink>
      <w:r w:rsidRPr="00C8500E">
        <w:rPr>
          <w:rFonts w:cstheme="minorHAnsi"/>
        </w:rPr>
        <w:t>]. The resulting transformation matrices were then used to normalize and isotropically resample (2 mm</w:t>
      </w:r>
      <w:r w:rsidRPr="00C8500E">
        <w:rPr>
          <w:rFonts w:cstheme="minorHAnsi"/>
          <w:vertAlign w:val="superscript"/>
        </w:rPr>
        <w:t>3</w:t>
      </w:r>
      <w:r w:rsidRPr="00C8500E">
        <w:rPr>
          <w:rFonts w:cstheme="minorHAnsi"/>
        </w:rPr>
        <w:t>) the corrected CBF maps to standard space.</w:t>
      </w:r>
    </w:p>
    <w:p w14:paraId="3F3880B8" w14:textId="77777777" w:rsidR="00C9499F" w:rsidRPr="00C8500E" w:rsidRDefault="00C9499F" w:rsidP="00AF34F8">
      <w:pPr>
        <w:pStyle w:val="Heading3"/>
        <w:rPr>
          <w:rFonts w:asciiTheme="minorHAnsi" w:hAnsiTheme="minorHAnsi" w:cstheme="minorHAnsi"/>
        </w:rPr>
      </w:pPr>
      <w:r w:rsidRPr="00C8500E">
        <w:rPr>
          <w:rFonts w:asciiTheme="minorHAnsi" w:hAnsiTheme="minorHAnsi" w:cstheme="minorHAnsi"/>
        </w:rPr>
        <w:t>Group-Level Processing:</w:t>
      </w:r>
    </w:p>
    <w:p w14:paraId="549511E8" w14:textId="5FA6F573" w:rsidR="00C9499F" w:rsidRPr="00C8500E" w:rsidRDefault="00C9499F" w:rsidP="00C9499F">
      <w:pPr>
        <w:rPr>
          <w:rStyle w:val="Hyperlink"/>
          <w:rFonts w:cstheme="minorHAnsi"/>
          <w:sz w:val="24"/>
          <w:szCs w:val="24"/>
        </w:rPr>
      </w:pPr>
      <w:r w:rsidRPr="00C8500E">
        <w:rPr>
          <w:rFonts w:cstheme="minorHAnsi"/>
        </w:rPr>
        <w:t>Sufficient perfusion data were available for 32 participants at baseline (15 MCI and 17 CN) and 31 participants post-intervention (15 MCI and 16 CN). Before normalizing to MNI space, individual GM and WM segmentations from each participant were used to isolate and extract mean CBF from the PVC maps. Once normalized, GM segmentations (from each participant at both time points) were combined to create a group-level mask, within which the voxel-wise analysis was restricted. Voxels containing signal from less than 95% of the overall dataset were deleted from the group mask and not included in the analysis (see </w:t>
      </w:r>
      <w:hyperlink r:id="rId78" w:tgtFrame="figure" w:history="1">
        <w:r w:rsidRPr="00C8500E">
          <w:rPr>
            <w:rStyle w:val="Hyperlink"/>
            <w:rFonts w:cstheme="minorHAnsi"/>
            <w:sz w:val="24"/>
            <w:szCs w:val="24"/>
          </w:rPr>
          <w:t>Figure 1</w:t>
        </w:r>
      </w:hyperlink>
      <w:r w:rsidRPr="00C8500E">
        <w:rPr>
          <w:rFonts w:cstheme="minorHAnsi"/>
        </w:rPr>
        <w:t>).</w:t>
      </w:r>
      <w:r w:rsidRPr="00C8500E">
        <w:rPr>
          <w:rFonts w:cstheme="minorHAnsi"/>
          <w:sz w:val="24"/>
          <w:szCs w:val="24"/>
        </w:rPr>
        <w:fldChar w:fldCharType="begin"/>
      </w:r>
      <w:r w:rsidRPr="00C8500E">
        <w:rPr>
          <w:rFonts w:cstheme="minorHAnsi"/>
          <w:sz w:val="24"/>
          <w:szCs w:val="24"/>
        </w:rPr>
        <w:instrText xml:space="preserve"> HYPERLINK "https://www.ncbi.nlm.nih.gov/pmc/articles/PMC6444938/figure/F1/" \t "figure" </w:instrText>
      </w:r>
      <w:r w:rsidRPr="00C8500E">
        <w:rPr>
          <w:rFonts w:cstheme="minorHAnsi"/>
          <w:sz w:val="24"/>
          <w:szCs w:val="24"/>
        </w:rPr>
        <w:fldChar w:fldCharType="separate"/>
      </w:r>
    </w:p>
    <w:p w14:paraId="75DCD54F" w14:textId="6A09CF94" w:rsidR="00C9499F" w:rsidRPr="00C8500E" w:rsidRDefault="00C9499F" w:rsidP="00CF787C">
      <w:pPr>
        <w:spacing w:after="0"/>
        <w:rPr>
          <w:rStyle w:val="Hyperlink"/>
          <w:rFonts w:cstheme="minorHAnsi"/>
          <w:sz w:val="24"/>
          <w:szCs w:val="24"/>
        </w:rPr>
      </w:pPr>
      <w:r w:rsidRPr="00C8500E">
        <w:rPr>
          <w:rStyle w:val="Hyperlink"/>
          <w:rFonts w:cstheme="minorHAnsi"/>
          <w:noProof/>
          <w:sz w:val="24"/>
          <w:szCs w:val="24"/>
        </w:rPr>
        <w:drawing>
          <wp:inline distT="0" distB="0" distL="0" distR="0" wp14:anchorId="3B82EC67" wp14:editId="31548CA3">
            <wp:extent cx="2743200" cy="877824"/>
            <wp:effectExtent l="0" t="0" r="0" b="0"/>
            <wp:docPr id="4" name="Picture 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743200" cy="877824"/>
                    </a:xfrm>
                    <a:prstGeom prst="rect">
                      <a:avLst/>
                    </a:prstGeom>
                    <a:noFill/>
                    <a:ln>
                      <a:noFill/>
                    </a:ln>
                  </pic:spPr>
                </pic:pic>
              </a:graphicData>
            </a:graphic>
          </wp:inline>
        </w:drawing>
      </w:r>
    </w:p>
    <w:p w14:paraId="414AC686" w14:textId="19DE4861" w:rsidR="00C9499F" w:rsidRPr="00C8500E" w:rsidRDefault="00C9499F" w:rsidP="00887598">
      <w:pPr>
        <w:rPr>
          <w:rFonts w:cstheme="minorHAnsi"/>
        </w:rPr>
      </w:pPr>
      <w:r w:rsidRPr="00C8500E">
        <w:rPr>
          <w:rFonts w:cstheme="minorHAnsi"/>
          <w:sz w:val="24"/>
          <w:szCs w:val="24"/>
        </w:rPr>
        <w:fldChar w:fldCharType="end"/>
      </w:r>
      <w:r w:rsidRPr="00C8500E">
        <w:rPr>
          <w:rFonts w:cstheme="minorHAnsi"/>
        </w:rPr>
        <w:t>Figure 1.</w:t>
      </w:r>
      <w:r w:rsidR="003227E5">
        <w:rPr>
          <w:rFonts w:cstheme="minorHAnsi"/>
        </w:rPr>
        <w:t xml:space="preserve"> </w:t>
      </w:r>
      <w:r w:rsidRPr="00C8500E">
        <w:rPr>
          <w:rFonts w:cstheme="minorHAnsi"/>
        </w:rPr>
        <w:t>The box encompassing the brain maps above represents the field of view (FOV) that was used for image acquisition during this study. The green colored area illustrates the standardized gray matter mask within which the voxel-wise analysis was restricted. The brain mask was generated using AFNI’s 3dMerge program and included only those voxels in which ≥ 95% of the study sample had data. Data from voxels not meeting this threshold were excluded from the group analyses.</w:t>
      </w:r>
    </w:p>
    <w:p w14:paraId="6CAED9F8" w14:textId="77777777" w:rsidR="00C9499F" w:rsidRPr="00C8500E" w:rsidRDefault="00C9499F" w:rsidP="00887598">
      <w:pPr>
        <w:pStyle w:val="Heading2"/>
        <w:rPr>
          <w:rFonts w:asciiTheme="minorHAnsi" w:hAnsiTheme="minorHAnsi" w:cstheme="minorHAnsi"/>
        </w:rPr>
      </w:pPr>
      <w:r w:rsidRPr="00C8500E">
        <w:rPr>
          <w:rFonts w:asciiTheme="minorHAnsi" w:hAnsiTheme="minorHAnsi" w:cstheme="minorHAnsi"/>
        </w:rPr>
        <w:lastRenderedPageBreak/>
        <w:t>Statistical Analyses</w:t>
      </w:r>
    </w:p>
    <w:p w14:paraId="0AECF064" w14:textId="77777777" w:rsidR="00C9499F" w:rsidRPr="00C8500E" w:rsidRDefault="00C9499F" w:rsidP="00887598">
      <w:pPr>
        <w:rPr>
          <w:rFonts w:cstheme="minorHAnsi"/>
        </w:rPr>
      </w:pPr>
      <w:r w:rsidRPr="00C8500E">
        <w:rPr>
          <w:rFonts w:cstheme="minorHAnsi"/>
        </w:rPr>
        <w:t>Relative CBF was the primary neuroimaging outcome, because of its high resistance to physiological noise and enhanced sensitivity to regional variation[</w:t>
      </w:r>
      <w:hyperlink r:id="rId80" w:anchor="R29" w:history="1">
        <w:r w:rsidRPr="00C8500E">
          <w:rPr>
            <w:rStyle w:val="Hyperlink"/>
            <w:rFonts w:cstheme="minorHAnsi"/>
            <w:sz w:val="24"/>
            <w:szCs w:val="24"/>
          </w:rPr>
          <w:t>29</w:t>
        </w:r>
      </w:hyperlink>
      <w:r w:rsidRPr="00C8500E">
        <w:rPr>
          <w:rFonts w:cstheme="minorHAnsi"/>
        </w:rPr>
        <w:t>,</w:t>
      </w:r>
      <w:hyperlink r:id="rId81" w:anchor="R63" w:history="1">
        <w:r w:rsidRPr="00C8500E">
          <w:rPr>
            <w:rStyle w:val="Hyperlink"/>
            <w:rFonts w:cstheme="minorHAnsi"/>
            <w:sz w:val="24"/>
            <w:szCs w:val="24"/>
          </w:rPr>
          <w:t>63</w:t>
        </w:r>
      </w:hyperlink>
      <w:r w:rsidRPr="00C8500E">
        <w:rPr>
          <w:rFonts w:cstheme="minorHAnsi"/>
        </w:rPr>
        <w:t>]. Using the relative maps, a voxel-wise analysis, without additional covariates, was performed using AFNI’s 3dLME to identify within- and between-group differences over time (see </w:t>
      </w:r>
      <w:hyperlink r:id="rId82" w:anchor="SD1" w:history="1">
        <w:r w:rsidRPr="00C8500E">
          <w:rPr>
            <w:rStyle w:val="Hyperlink"/>
            <w:rFonts w:cstheme="minorHAnsi"/>
            <w:sz w:val="24"/>
            <w:szCs w:val="24"/>
          </w:rPr>
          <w:t>Supplementary Table 2</w:t>
        </w:r>
      </w:hyperlink>
      <w:r w:rsidRPr="00C8500E">
        <w:rPr>
          <w:rFonts w:cstheme="minorHAnsi"/>
        </w:rPr>
        <w:t> for regional absolute CBF values and </w:t>
      </w:r>
      <w:hyperlink r:id="rId83" w:anchor="SD1" w:history="1">
        <w:r w:rsidRPr="00C8500E">
          <w:rPr>
            <w:rStyle w:val="Hyperlink"/>
            <w:rFonts w:cstheme="minorHAnsi"/>
            <w:sz w:val="24"/>
            <w:szCs w:val="24"/>
          </w:rPr>
          <w:t>Supplementary Figure 1</w:t>
        </w:r>
      </w:hyperlink>
      <w:r w:rsidRPr="00C8500E">
        <w:rPr>
          <w:rFonts w:cstheme="minorHAnsi"/>
        </w:rPr>
        <w:t> for an example perfusion map from the current study). We chose to use 3dLME for its capacity to execute repeated measures analyses while accommodating missing data[</w:t>
      </w:r>
      <w:hyperlink r:id="rId84" w:anchor="R64" w:history="1">
        <w:r w:rsidRPr="00C8500E">
          <w:rPr>
            <w:rStyle w:val="Hyperlink"/>
            <w:rFonts w:cstheme="minorHAnsi"/>
            <w:sz w:val="24"/>
            <w:szCs w:val="24"/>
          </w:rPr>
          <w:t>64</w:t>
        </w:r>
      </w:hyperlink>
      <w:r w:rsidRPr="00C8500E">
        <w:rPr>
          <w:rFonts w:cstheme="minorHAnsi"/>
        </w:rPr>
        <w:t>]. Given effective smoothness (ACF estimates) and first-order nearest neighbor clustering, AFNI’s 3dClustSim program was used to control for multiple comparisons and reduce the risk of Type-I error[</w:t>
      </w:r>
      <w:hyperlink r:id="rId85" w:anchor="R65" w:history="1">
        <w:r w:rsidRPr="00C8500E">
          <w:rPr>
            <w:rStyle w:val="Hyperlink"/>
            <w:rFonts w:cstheme="minorHAnsi"/>
            <w:sz w:val="24"/>
            <w:szCs w:val="24"/>
          </w:rPr>
          <w:t>65</w:t>
        </w:r>
      </w:hyperlink>
      <w:r w:rsidRPr="00C8500E">
        <w:rPr>
          <w:rFonts w:cstheme="minorHAnsi"/>
        </w:rPr>
        <w:t>]. A family-wise error (FWE) corrected significance threshold was set at </w:t>
      </w:r>
      <w:r w:rsidRPr="00C8500E">
        <w:rPr>
          <w:rFonts w:cstheme="minorHAnsi"/>
          <w:i/>
          <w:iCs/>
        </w:rPr>
        <w:t>p</w:t>
      </w:r>
      <w:r w:rsidRPr="00C8500E">
        <w:rPr>
          <w:rFonts w:cstheme="minorHAnsi"/>
        </w:rPr>
        <w:t> &lt; 0.05 (voxel-level </w:t>
      </w:r>
      <w:r w:rsidRPr="00C8500E">
        <w:rPr>
          <w:rFonts w:cstheme="minorHAnsi"/>
          <w:i/>
          <w:iCs/>
        </w:rPr>
        <w:t>p</w:t>
      </w:r>
      <w:r w:rsidRPr="00C8500E">
        <w:rPr>
          <w:rFonts w:cstheme="minorHAnsi"/>
        </w:rPr>
        <w:t xml:space="preserve"> &lt; 0.05, cluster- level </w:t>
      </w:r>
      <w:r w:rsidRPr="00C8500E">
        <w:rPr>
          <w:rFonts w:ascii="Cambria Math" w:hAnsi="Cambria Math" w:cs="Cambria Math"/>
        </w:rPr>
        <w:t>𝛼</w:t>
      </w:r>
      <w:r w:rsidRPr="00C8500E">
        <w:rPr>
          <w:rFonts w:cstheme="minorHAnsi"/>
        </w:rPr>
        <w:t xml:space="preserve"> = 0.05), which maintained clusters ≥ 428 contiguous voxels (3424 mm</w:t>
      </w:r>
      <w:r w:rsidRPr="00C8500E">
        <w:rPr>
          <w:rFonts w:cstheme="minorHAnsi"/>
          <w:vertAlign w:val="superscript"/>
        </w:rPr>
        <w:t>3</w:t>
      </w:r>
      <w:r w:rsidRPr="00C8500E">
        <w:rPr>
          <w:rFonts w:cstheme="minorHAnsi"/>
        </w:rPr>
        <w:t>). Mean CBF values were extracted from these significant clusters from each participant at both time points. Between-group differences in demographic characteristics were assessed using independent samples </w:t>
      </w:r>
      <w:r w:rsidRPr="00C8500E">
        <w:rPr>
          <w:rFonts w:cstheme="minorHAnsi"/>
          <w:i/>
          <w:iCs/>
        </w:rPr>
        <w:t>t</w:t>
      </w:r>
      <w:r w:rsidRPr="00C8500E">
        <w:rPr>
          <w:rFonts w:cstheme="minorHAnsi"/>
        </w:rPr>
        <w:t>-tests (or Wilcoxon rank sum tests) and chi-squared tests for continuous variables and categorical variables, respectively. Adjusting for age and education, multiple linear regression and repeated measures analysis of covariance were utilized to evaluate both baseline CBF differences and changes over time using Stata software (version 15; StatCorp, College Station, TX). The same statistical methods were used to test for exercise-induced changes in mean GM CBF, neuropsychological performance, aerobic fitness, and blood pressure. For </w:t>
      </w:r>
      <w:r w:rsidRPr="00C8500E">
        <w:rPr>
          <w:rFonts w:cstheme="minorHAnsi"/>
          <w:i/>
          <w:iCs/>
        </w:rPr>
        <w:t>post</w:t>
      </w:r>
      <w:r w:rsidRPr="00C8500E">
        <w:rPr>
          <w:rFonts w:cstheme="minorHAnsi"/>
        </w:rPr>
        <w:t>-</w:t>
      </w:r>
      <w:r w:rsidRPr="00C8500E">
        <w:rPr>
          <w:rFonts w:cstheme="minorHAnsi"/>
          <w:i/>
          <w:iCs/>
        </w:rPr>
        <w:t>hoc</w:t>
      </w:r>
      <w:r w:rsidRPr="00C8500E">
        <w:rPr>
          <w:rFonts w:cstheme="minorHAnsi"/>
        </w:rPr>
        <w:t> correlation analyses, significant clusters (from the voxel-wise analysis) and representative cortical parcellations (from FreeSurfer) were used to isolate regional CBF at both time points. Residualized CBF, RAVLT Trial 1, and COWAT performance were independently derived from linear regression models predicting post-intervention from baseline values. The residualized change scores were used to minimize both practice effects and regression to the mean[</w:t>
      </w:r>
      <w:hyperlink r:id="rId86" w:anchor="R66" w:history="1">
        <w:r w:rsidRPr="00C8500E">
          <w:rPr>
            <w:rStyle w:val="Hyperlink"/>
            <w:rFonts w:cstheme="minorHAnsi"/>
            <w:sz w:val="24"/>
            <w:szCs w:val="24"/>
          </w:rPr>
          <w:t>66</w:t>
        </w:r>
      </w:hyperlink>
      <w:r w:rsidRPr="00C8500E">
        <w:rPr>
          <w:rFonts w:cstheme="minorHAnsi"/>
        </w:rPr>
        <w:t>,</w:t>
      </w:r>
      <w:hyperlink r:id="rId87" w:anchor="R67" w:history="1">
        <w:r w:rsidRPr="00C8500E">
          <w:rPr>
            <w:rStyle w:val="Hyperlink"/>
            <w:rFonts w:cstheme="minorHAnsi"/>
            <w:sz w:val="24"/>
            <w:szCs w:val="24"/>
          </w:rPr>
          <w:t>67</w:t>
        </w:r>
      </w:hyperlink>
      <w:r w:rsidRPr="00C8500E">
        <w:rPr>
          <w:rFonts w:cstheme="minorHAnsi"/>
        </w:rPr>
        <w:t>]. Adjusting for age and education, partial correlation analyses were utilized to evaluate the correlation between CBF changes and cognitive improvements[</w:t>
      </w:r>
      <w:hyperlink r:id="rId88" w:anchor="R68" w:history="1">
        <w:r w:rsidRPr="00C8500E">
          <w:rPr>
            <w:rStyle w:val="Hyperlink"/>
            <w:rFonts w:cstheme="minorHAnsi"/>
            <w:sz w:val="24"/>
            <w:szCs w:val="24"/>
          </w:rPr>
          <w:t>68</w:t>
        </w:r>
      </w:hyperlink>
      <w:r w:rsidRPr="00C8500E">
        <w:rPr>
          <w:rFonts w:cstheme="minorHAnsi"/>
        </w:rPr>
        <w:t>]. Unless otherwise stated, significance was determined using a two-tailed alpha &lt; 0.05.</w:t>
      </w:r>
    </w:p>
    <w:p w14:paraId="1F5BCB4E" w14:textId="77777777" w:rsidR="00C9499F" w:rsidRPr="00C8500E" w:rsidRDefault="00C9499F" w:rsidP="009E03EB">
      <w:pPr>
        <w:pStyle w:val="Heading1"/>
        <w:rPr>
          <w:rFonts w:asciiTheme="minorHAnsi" w:hAnsiTheme="minorHAnsi" w:cstheme="minorHAnsi"/>
        </w:rPr>
      </w:pPr>
      <w:r w:rsidRPr="00C8500E">
        <w:rPr>
          <w:rFonts w:asciiTheme="minorHAnsi" w:hAnsiTheme="minorHAnsi" w:cstheme="minorHAnsi"/>
        </w:rPr>
        <w:t>RESULTS</w:t>
      </w:r>
    </w:p>
    <w:p w14:paraId="1F933FBC" w14:textId="77777777" w:rsidR="00C9499F" w:rsidRPr="00C8500E" w:rsidRDefault="00C9499F" w:rsidP="00110408">
      <w:pPr>
        <w:pStyle w:val="Heading2"/>
        <w:rPr>
          <w:rFonts w:asciiTheme="minorHAnsi" w:hAnsiTheme="minorHAnsi" w:cstheme="minorHAnsi"/>
        </w:rPr>
      </w:pPr>
      <w:r w:rsidRPr="00C8500E">
        <w:rPr>
          <w:rFonts w:asciiTheme="minorHAnsi" w:hAnsiTheme="minorHAnsi" w:cstheme="minorHAnsi"/>
        </w:rPr>
        <w:t>Demographic Characteristics and Aerobic Fitness</w:t>
      </w:r>
    </w:p>
    <w:p w14:paraId="6F00E550" w14:textId="77777777" w:rsidR="00C9499F" w:rsidRPr="00C8500E" w:rsidRDefault="00C9499F" w:rsidP="00110408">
      <w:pPr>
        <w:rPr>
          <w:rFonts w:cstheme="minorHAnsi"/>
        </w:rPr>
      </w:pPr>
      <w:r w:rsidRPr="00C8500E">
        <w:rPr>
          <w:rFonts w:cstheme="minorHAnsi"/>
        </w:rPr>
        <w:t>At baseline, those diagnosed with MCI and CN did not significantly differ by age, sex, education, APOE genotype, functional abilities, depression score (missing data n = 3 MCI, 1 CN), V̇O</w:t>
      </w:r>
      <w:r w:rsidRPr="00C8500E">
        <w:rPr>
          <w:rFonts w:cstheme="minorHAnsi"/>
          <w:vertAlign w:val="subscript"/>
        </w:rPr>
        <w:t>2peak</w:t>
      </w:r>
      <w:r w:rsidRPr="00C8500E">
        <w:rPr>
          <w:rFonts w:cstheme="minorHAnsi"/>
        </w:rPr>
        <w:t> (missing data n = 1 MCI), or systolic/diastolic blood pressure (missing data n = 1 MCI, 1 CN) (</w:t>
      </w:r>
      <w:hyperlink r:id="rId89" w:tgtFrame="table" w:history="1">
        <w:r w:rsidRPr="00C8500E">
          <w:rPr>
            <w:rStyle w:val="Hyperlink"/>
            <w:rFonts w:cstheme="minorHAnsi"/>
            <w:sz w:val="24"/>
            <w:szCs w:val="24"/>
          </w:rPr>
          <w:t>Table 1</w:t>
        </w:r>
      </w:hyperlink>
      <w:r w:rsidRPr="00C8500E">
        <w:rPr>
          <w:rFonts w:cstheme="minorHAnsi"/>
        </w:rPr>
        <w:t>). Overall, adherence to the exercise intervention was high (~ 96%) and throughout the training program, neither exercise adherence nor intensity (measured by HR and RPE) significantly differed by group (see Smith, 2013).</w:t>
      </w:r>
    </w:p>
    <w:p w14:paraId="51C05801" w14:textId="6A0EAB0B" w:rsidR="00C9499F" w:rsidRPr="00C8500E" w:rsidRDefault="00C9499F" w:rsidP="00CF787C">
      <w:pPr>
        <w:pStyle w:val="NoSpacing"/>
      </w:pPr>
      <w:r w:rsidRPr="00C8500E">
        <w:t>Table 1.</w:t>
      </w:r>
      <w:r w:rsidR="00CF787C">
        <w:t xml:space="preserve"> </w:t>
      </w:r>
      <w:r w:rsidRPr="00C8500E">
        <w:t>Participant characteristics at baseline.</w:t>
      </w:r>
    </w:p>
    <w:tbl>
      <w:tblPr>
        <w:tblStyle w:val="TableGrid"/>
        <w:tblW w:w="5000" w:type="pct"/>
        <w:tblLook w:val="04A0" w:firstRow="1" w:lastRow="0" w:firstColumn="1" w:lastColumn="0" w:noHBand="0" w:noVBand="1"/>
      </w:tblPr>
      <w:tblGrid>
        <w:gridCol w:w="4495"/>
        <w:gridCol w:w="1259"/>
        <w:gridCol w:w="1231"/>
        <w:gridCol w:w="1454"/>
        <w:gridCol w:w="1631"/>
      </w:tblGrid>
      <w:tr w:rsidR="00130F87" w:rsidRPr="00C8500E" w14:paraId="6D10E3E6" w14:textId="77777777" w:rsidTr="00CD164D">
        <w:tc>
          <w:tcPr>
            <w:tcW w:w="2232" w:type="pct"/>
            <w:hideMark/>
          </w:tcPr>
          <w:p w14:paraId="5AFD06D0" w14:textId="77777777" w:rsidR="00C9499F" w:rsidRPr="00C8500E" w:rsidRDefault="00C9499F" w:rsidP="00DC29DB">
            <w:pPr>
              <w:pStyle w:val="NoSpacing"/>
            </w:pPr>
          </w:p>
        </w:tc>
        <w:tc>
          <w:tcPr>
            <w:tcW w:w="625" w:type="pct"/>
            <w:hideMark/>
          </w:tcPr>
          <w:p w14:paraId="37FB3B58" w14:textId="77777777" w:rsidR="00C9499F" w:rsidRPr="00C8500E" w:rsidRDefault="00C9499F" w:rsidP="00DC29DB">
            <w:pPr>
              <w:pStyle w:val="NoSpacing"/>
              <w:rPr>
                <w:b/>
                <w:bCs/>
              </w:rPr>
            </w:pPr>
            <w:r w:rsidRPr="00C8500E">
              <w:rPr>
                <w:b/>
                <w:bCs/>
              </w:rPr>
              <w:t>Total</w:t>
            </w:r>
            <w:r w:rsidRPr="00C8500E">
              <w:rPr>
                <w:b/>
                <w:bCs/>
              </w:rPr>
              <w:br/>
              <w:t>(n = 32)</w:t>
            </w:r>
          </w:p>
        </w:tc>
        <w:tc>
          <w:tcPr>
            <w:tcW w:w="611" w:type="pct"/>
            <w:hideMark/>
          </w:tcPr>
          <w:p w14:paraId="3C207A62" w14:textId="77777777" w:rsidR="00C9499F" w:rsidRPr="00C8500E" w:rsidRDefault="00C9499F" w:rsidP="00DC29DB">
            <w:pPr>
              <w:pStyle w:val="NoSpacing"/>
              <w:rPr>
                <w:b/>
                <w:bCs/>
              </w:rPr>
            </w:pPr>
            <w:r w:rsidRPr="00C8500E">
              <w:rPr>
                <w:b/>
                <w:bCs/>
              </w:rPr>
              <w:t>MCI</w:t>
            </w:r>
            <w:r w:rsidRPr="00C8500E">
              <w:rPr>
                <w:b/>
                <w:bCs/>
              </w:rPr>
              <w:br/>
              <w:t>(n = 15)</w:t>
            </w:r>
          </w:p>
        </w:tc>
        <w:tc>
          <w:tcPr>
            <w:tcW w:w="722" w:type="pct"/>
            <w:hideMark/>
          </w:tcPr>
          <w:p w14:paraId="4503CC28" w14:textId="77777777" w:rsidR="00C9499F" w:rsidRPr="00C8500E" w:rsidRDefault="00C9499F" w:rsidP="00DC29DB">
            <w:pPr>
              <w:pStyle w:val="NoSpacing"/>
              <w:rPr>
                <w:b/>
                <w:bCs/>
              </w:rPr>
            </w:pPr>
            <w:r w:rsidRPr="00C8500E">
              <w:rPr>
                <w:b/>
                <w:bCs/>
              </w:rPr>
              <w:t>CN</w:t>
            </w:r>
            <w:r w:rsidRPr="00C8500E">
              <w:rPr>
                <w:b/>
                <w:bCs/>
              </w:rPr>
              <w:br/>
              <w:t>(n = 17)</w:t>
            </w:r>
          </w:p>
        </w:tc>
        <w:tc>
          <w:tcPr>
            <w:tcW w:w="810" w:type="pct"/>
            <w:hideMark/>
          </w:tcPr>
          <w:p w14:paraId="3DBBEA1B" w14:textId="77777777" w:rsidR="00C9499F" w:rsidRPr="00C8500E" w:rsidRDefault="00C9499F" w:rsidP="00DC29DB">
            <w:pPr>
              <w:pStyle w:val="NoSpacing"/>
              <w:rPr>
                <w:b/>
                <w:bCs/>
              </w:rPr>
            </w:pPr>
            <w:r w:rsidRPr="00C8500E">
              <w:rPr>
                <w:b/>
                <w:bCs/>
              </w:rPr>
              <w:t>Baseline</w:t>
            </w:r>
            <w:r w:rsidRPr="00C8500E">
              <w:rPr>
                <w:b/>
                <w:bCs/>
              </w:rPr>
              <w:br/>
              <w:t>Differences</w:t>
            </w:r>
          </w:p>
        </w:tc>
      </w:tr>
      <w:tr w:rsidR="00130F87" w:rsidRPr="00C8500E" w14:paraId="7C394DAC" w14:textId="77777777" w:rsidTr="00CD164D">
        <w:tc>
          <w:tcPr>
            <w:tcW w:w="2232" w:type="pct"/>
            <w:hideMark/>
          </w:tcPr>
          <w:p w14:paraId="4F7A6441" w14:textId="7E09E49A" w:rsidR="00130F87" w:rsidRPr="00C8500E" w:rsidRDefault="00130F87" w:rsidP="00DC29DB">
            <w:pPr>
              <w:pStyle w:val="NoSpacing"/>
              <w:rPr>
                <w:b/>
                <w:bCs/>
              </w:rPr>
            </w:pPr>
          </w:p>
        </w:tc>
        <w:tc>
          <w:tcPr>
            <w:tcW w:w="625" w:type="pct"/>
          </w:tcPr>
          <w:p w14:paraId="256500BC" w14:textId="77777777" w:rsidR="00130F87" w:rsidRPr="00C8500E" w:rsidRDefault="00130F87" w:rsidP="00DC29DB">
            <w:pPr>
              <w:pStyle w:val="NoSpacing"/>
              <w:rPr>
                <w:b/>
                <w:bCs/>
              </w:rPr>
            </w:pPr>
          </w:p>
        </w:tc>
        <w:tc>
          <w:tcPr>
            <w:tcW w:w="611" w:type="pct"/>
          </w:tcPr>
          <w:p w14:paraId="2ED9EE16" w14:textId="77777777" w:rsidR="00130F87" w:rsidRPr="00C8500E" w:rsidRDefault="00130F87" w:rsidP="00DC29DB">
            <w:pPr>
              <w:pStyle w:val="NoSpacing"/>
              <w:rPr>
                <w:b/>
                <w:bCs/>
              </w:rPr>
            </w:pPr>
          </w:p>
        </w:tc>
        <w:tc>
          <w:tcPr>
            <w:tcW w:w="722" w:type="pct"/>
          </w:tcPr>
          <w:p w14:paraId="798F87E6" w14:textId="77777777" w:rsidR="00130F87" w:rsidRPr="00C8500E" w:rsidRDefault="00130F87" w:rsidP="00DC29DB">
            <w:pPr>
              <w:pStyle w:val="NoSpacing"/>
              <w:rPr>
                <w:b/>
                <w:bCs/>
              </w:rPr>
            </w:pPr>
          </w:p>
        </w:tc>
        <w:tc>
          <w:tcPr>
            <w:tcW w:w="810" w:type="pct"/>
          </w:tcPr>
          <w:p w14:paraId="3C03E372" w14:textId="778BF672" w:rsidR="00130F87" w:rsidRPr="00C8500E" w:rsidRDefault="00130F87" w:rsidP="00DC29DB">
            <w:pPr>
              <w:pStyle w:val="NoSpacing"/>
              <w:rPr>
                <w:b/>
                <w:bCs/>
              </w:rPr>
            </w:pPr>
          </w:p>
        </w:tc>
      </w:tr>
      <w:tr w:rsidR="00130F87" w:rsidRPr="00C8500E" w14:paraId="36F350AC" w14:textId="77777777" w:rsidTr="00CD164D">
        <w:tc>
          <w:tcPr>
            <w:tcW w:w="2232" w:type="pct"/>
            <w:hideMark/>
          </w:tcPr>
          <w:p w14:paraId="3D65C7B4" w14:textId="77777777" w:rsidR="00C9499F" w:rsidRPr="00C8500E" w:rsidRDefault="00C9499F" w:rsidP="00DC29DB">
            <w:pPr>
              <w:pStyle w:val="NoSpacing"/>
              <w:rPr>
                <w:b/>
                <w:bCs/>
              </w:rPr>
            </w:pPr>
            <w:r w:rsidRPr="00C8500E">
              <w:rPr>
                <w:b/>
                <w:bCs/>
                <w:i/>
                <w:iCs/>
              </w:rPr>
              <w:t>Features &amp; Assessments</w:t>
            </w:r>
          </w:p>
        </w:tc>
        <w:tc>
          <w:tcPr>
            <w:tcW w:w="625" w:type="pct"/>
            <w:hideMark/>
          </w:tcPr>
          <w:p w14:paraId="04AB26ED" w14:textId="77777777" w:rsidR="00C9499F" w:rsidRPr="00C8500E" w:rsidRDefault="00C9499F" w:rsidP="00DC29DB">
            <w:pPr>
              <w:pStyle w:val="NoSpacing"/>
              <w:rPr>
                <w:b/>
                <w:bCs/>
              </w:rPr>
            </w:pPr>
            <w:r w:rsidRPr="00C8500E">
              <w:rPr>
                <w:b/>
                <w:bCs/>
              </w:rPr>
              <w:t>Mean (SD)</w:t>
            </w:r>
          </w:p>
        </w:tc>
        <w:tc>
          <w:tcPr>
            <w:tcW w:w="611" w:type="pct"/>
            <w:hideMark/>
          </w:tcPr>
          <w:p w14:paraId="3501001B" w14:textId="77777777" w:rsidR="00C9499F" w:rsidRPr="00C8500E" w:rsidRDefault="00C9499F" w:rsidP="00DC29DB">
            <w:pPr>
              <w:pStyle w:val="NoSpacing"/>
              <w:rPr>
                <w:b/>
                <w:bCs/>
              </w:rPr>
            </w:pPr>
            <w:r w:rsidRPr="00C8500E">
              <w:rPr>
                <w:b/>
                <w:bCs/>
              </w:rPr>
              <w:t>Mean (SD)</w:t>
            </w:r>
          </w:p>
        </w:tc>
        <w:tc>
          <w:tcPr>
            <w:tcW w:w="722" w:type="pct"/>
            <w:hideMark/>
          </w:tcPr>
          <w:p w14:paraId="026DD385" w14:textId="77777777" w:rsidR="00C9499F" w:rsidRPr="00C8500E" w:rsidRDefault="00C9499F" w:rsidP="00DC29DB">
            <w:pPr>
              <w:pStyle w:val="NoSpacing"/>
              <w:rPr>
                <w:b/>
                <w:bCs/>
              </w:rPr>
            </w:pPr>
            <w:r w:rsidRPr="00C8500E">
              <w:rPr>
                <w:b/>
                <w:bCs/>
              </w:rPr>
              <w:t>Mean (SD)</w:t>
            </w:r>
          </w:p>
        </w:tc>
        <w:tc>
          <w:tcPr>
            <w:tcW w:w="810" w:type="pct"/>
            <w:hideMark/>
          </w:tcPr>
          <w:p w14:paraId="4A584246" w14:textId="77777777" w:rsidR="00C9499F" w:rsidRPr="00C8500E" w:rsidRDefault="00C9499F" w:rsidP="00DC29DB">
            <w:pPr>
              <w:pStyle w:val="NoSpacing"/>
              <w:rPr>
                <w:b/>
                <w:bCs/>
              </w:rPr>
            </w:pPr>
            <w:r w:rsidRPr="00C8500E">
              <w:rPr>
                <w:b/>
                <w:bCs/>
                <w:i/>
                <w:iCs/>
              </w:rPr>
              <w:t>p</w:t>
            </w:r>
            <w:r w:rsidRPr="00C8500E">
              <w:rPr>
                <w:b/>
                <w:bCs/>
              </w:rPr>
              <w:t>-value</w:t>
            </w:r>
          </w:p>
        </w:tc>
      </w:tr>
      <w:tr w:rsidR="00130F87" w:rsidRPr="00C8500E" w14:paraId="2A997639" w14:textId="77777777" w:rsidTr="00CD164D">
        <w:tc>
          <w:tcPr>
            <w:tcW w:w="2232" w:type="pct"/>
            <w:hideMark/>
          </w:tcPr>
          <w:p w14:paraId="6A06F8D0" w14:textId="5C93D3B1" w:rsidR="00130F87" w:rsidRPr="00C8500E" w:rsidRDefault="00130F87" w:rsidP="00DC29DB">
            <w:pPr>
              <w:pStyle w:val="NoSpacing"/>
              <w:rPr>
                <w:b/>
                <w:bCs/>
              </w:rPr>
            </w:pPr>
          </w:p>
        </w:tc>
        <w:tc>
          <w:tcPr>
            <w:tcW w:w="625" w:type="pct"/>
          </w:tcPr>
          <w:p w14:paraId="288424D2" w14:textId="77777777" w:rsidR="00130F87" w:rsidRPr="00C8500E" w:rsidRDefault="00130F87" w:rsidP="00DC29DB">
            <w:pPr>
              <w:pStyle w:val="NoSpacing"/>
              <w:rPr>
                <w:b/>
                <w:bCs/>
              </w:rPr>
            </w:pPr>
          </w:p>
        </w:tc>
        <w:tc>
          <w:tcPr>
            <w:tcW w:w="611" w:type="pct"/>
          </w:tcPr>
          <w:p w14:paraId="70855D49" w14:textId="77777777" w:rsidR="00130F87" w:rsidRPr="00C8500E" w:rsidRDefault="00130F87" w:rsidP="00DC29DB">
            <w:pPr>
              <w:pStyle w:val="NoSpacing"/>
              <w:rPr>
                <w:b/>
                <w:bCs/>
              </w:rPr>
            </w:pPr>
          </w:p>
        </w:tc>
        <w:tc>
          <w:tcPr>
            <w:tcW w:w="722" w:type="pct"/>
          </w:tcPr>
          <w:p w14:paraId="4758A0EC" w14:textId="77777777" w:rsidR="00130F87" w:rsidRPr="00C8500E" w:rsidRDefault="00130F87" w:rsidP="00DC29DB">
            <w:pPr>
              <w:pStyle w:val="NoSpacing"/>
              <w:rPr>
                <w:b/>
                <w:bCs/>
              </w:rPr>
            </w:pPr>
          </w:p>
        </w:tc>
        <w:tc>
          <w:tcPr>
            <w:tcW w:w="810" w:type="pct"/>
          </w:tcPr>
          <w:p w14:paraId="2F6AADC7" w14:textId="08095B79" w:rsidR="00130F87" w:rsidRPr="00C8500E" w:rsidRDefault="00130F87" w:rsidP="00DC29DB">
            <w:pPr>
              <w:pStyle w:val="NoSpacing"/>
              <w:rPr>
                <w:b/>
                <w:bCs/>
              </w:rPr>
            </w:pPr>
          </w:p>
        </w:tc>
      </w:tr>
      <w:tr w:rsidR="00130F87" w:rsidRPr="00C8500E" w14:paraId="6549DE53" w14:textId="77777777" w:rsidTr="00CD164D">
        <w:tc>
          <w:tcPr>
            <w:tcW w:w="2232" w:type="pct"/>
            <w:hideMark/>
          </w:tcPr>
          <w:p w14:paraId="60EA696C" w14:textId="77777777" w:rsidR="00130F87" w:rsidRPr="00C8500E" w:rsidRDefault="00130F87" w:rsidP="00DC29DB">
            <w:pPr>
              <w:pStyle w:val="NoSpacing"/>
            </w:pPr>
            <w:r w:rsidRPr="00C8500E">
              <w:rPr>
                <w:i/>
                <w:iCs/>
              </w:rPr>
              <w:t>Demographics</w:t>
            </w:r>
          </w:p>
        </w:tc>
        <w:tc>
          <w:tcPr>
            <w:tcW w:w="625" w:type="pct"/>
          </w:tcPr>
          <w:p w14:paraId="1BDB4202" w14:textId="77777777" w:rsidR="00130F87" w:rsidRPr="00C8500E" w:rsidRDefault="00130F87" w:rsidP="00DC29DB">
            <w:pPr>
              <w:pStyle w:val="NoSpacing"/>
            </w:pPr>
          </w:p>
        </w:tc>
        <w:tc>
          <w:tcPr>
            <w:tcW w:w="611" w:type="pct"/>
          </w:tcPr>
          <w:p w14:paraId="457FFE2C" w14:textId="77777777" w:rsidR="00130F87" w:rsidRPr="00C8500E" w:rsidRDefault="00130F87" w:rsidP="00DC29DB">
            <w:pPr>
              <w:pStyle w:val="NoSpacing"/>
            </w:pPr>
          </w:p>
        </w:tc>
        <w:tc>
          <w:tcPr>
            <w:tcW w:w="722" w:type="pct"/>
          </w:tcPr>
          <w:p w14:paraId="5A46C7B5" w14:textId="77777777" w:rsidR="00130F87" w:rsidRPr="00C8500E" w:rsidRDefault="00130F87" w:rsidP="00DC29DB">
            <w:pPr>
              <w:pStyle w:val="NoSpacing"/>
            </w:pPr>
          </w:p>
        </w:tc>
        <w:tc>
          <w:tcPr>
            <w:tcW w:w="810" w:type="pct"/>
          </w:tcPr>
          <w:p w14:paraId="5C5934C2" w14:textId="2562F8AA" w:rsidR="00130F87" w:rsidRPr="00C8500E" w:rsidRDefault="00130F87" w:rsidP="00DC29DB">
            <w:pPr>
              <w:pStyle w:val="NoSpacing"/>
            </w:pPr>
          </w:p>
        </w:tc>
      </w:tr>
      <w:tr w:rsidR="00130F87" w:rsidRPr="00C8500E" w14:paraId="61A28120" w14:textId="77777777" w:rsidTr="00CD164D">
        <w:tc>
          <w:tcPr>
            <w:tcW w:w="2232" w:type="pct"/>
            <w:hideMark/>
          </w:tcPr>
          <w:p w14:paraId="5DE30CEA" w14:textId="77777777" w:rsidR="00130F87" w:rsidRPr="00C8500E" w:rsidRDefault="00130F87" w:rsidP="00DC29DB">
            <w:pPr>
              <w:pStyle w:val="NoSpacing"/>
            </w:pPr>
            <w:r w:rsidRPr="00C8500E">
              <w:t> </w:t>
            </w:r>
            <w:r w:rsidRPr="00C8500E">
              <w:t>Age, years</w:t>
            </w:r>
          </w:p>
        </w:tc>
        <w:tc>
          <w:tcPr>
            <w:tcW w:w="625" w:type="pct"/>
            <w:hideMark/>
          </w:tcPr>
          <w:p w14:paraId="0AE3D5E0" w14:textId="77777777" w:rsidR="00130F87" w:rsidRPr="00C8500E" w:rsidRDefault="00130F87" w:rsidP="00DC29DB">
            <w:pPr>
              <w:pStyle w:val="NoSpacing"/>
            </w:pPr>
            <w:r w:rsidRPr="00C8500E">
              <w:t>78.4</w:t>
            </w:r>
          </w:p>
          <w:p w14:paraId="7AE6756E" w14:textId="77777777" w:rsidR="00130F87" w:rsidRPr="00C8500E" w:rsidRDefault="00130F87" w:rsidP="00DC29DB">
            <w:pPr>
              <w:pStyle w:val="NoSpacing"/>
            </w:pPr>
            <w:r w:rsidRPr="00C8500E">
              <w:t>(6.8)</w:t>
            </w:r>
          </w:p>
        </w:tc>
        <w:tc>
          <w:tcPr>
            <w:tcW w:w="611" w:type="pct"/>
          </w:tcPr>
          <w:p w14:paraId="1F0C728E" w14:textId="05DC9901" w:rsidR="00130F87" w:rsidRPr="00C8500E" w:rsidRDefault="00130F87" w:rsidP="00DC29DB">
            <w:pPr>
              <w:pStyle w:val="NoSpacing"/>
            </w:pPr>
            <w:r w:rsidRPr="00C8500E">
              <w:t>80.5</w:t>
            </w:r>
          </w:p>
          <w:p w14:paraId="736765D5" w14:textId="77777777" w:rsidR="00130F87" w:rsidRPr="00C8500E" w:rsidRDefault="00130F87" w:rsidP="00DC29DB">
            <w:pPr>
              <w:pStyle w:val="NoSpacing"/>
            </w:pPr>
            <w:r w:rsidRPr="00C8500E">
              <w:t>(5.8)</w:t>
            </w:r>
          </w:p>
        </w:tc>
        <w:tc>
          <w:tcPr>
            <w:tcW w:w="722" w:type="pct"/>
          </w:tcPr>
          <w:p w14:paraId="5FF88C37" w14:textId="57264D11" w:rsidR="00130F87" w:rsidRPr="00C8500E" w:rsidRDefault="00130F87" w:rsidP="00DC29DB">
            <w:pPr>
              <w:pStyle w:val="NoSpacing"/>
            </w:pPr>
            <w:r w:rsidRPr="00C8500E">
              <w:t>76.5</w:t>
            </w:r>
          </w:p>
          <w:p w14:paraId="663A93AB" w14:textId="25058629" w:rsidR="00130F87" w:rsidRPr="00C8500E" w:rsidRDefault="00130F87" w:rsidP="00DC29DB">
            <w:pPr>
              <w:pStyle w:val="NoSpacing"/>
            </w:pPr>
            <w:r w:rsidRPr="00C8500E">
              <w:t>(7.2)</w:t>
            </w:r>
          </w:p>
        </w:tc>
        <w:tc>
          <w:tcPr>
            <w:tcW w:w="810" w:type="pct"/>
            <w:hideMark/>
          </w:tcPr>
          <w:p w14:paraId="703FFB8F" w14:textId="77777777" w:rsidR="00130F87" w:rsidRPr="00C8500E" w:rsidRDefault="00130F87" w:rsidP="00DC29DB">
            <w:pPr>
              <w:pStyle w:val="NoSpacing"/>
            </w:pPr>
            <w:r w:rsidRPr="00C8500E">
              <w:t>0.112</w:t>
            </w:r>
          </w:p>
        </w:tc>
      </w:tr>
      <w:tr w:rsidR="00130F87" w:rsidRPr="00C8500E" w14:paraId="390607C4" w14:textId="77777777" w:rsidTr="00CD164D">
        <w:tc>
          <w:tcPr>
            <w:tcW w:w="2232" w:type="pct"/>
            <w:hideMark/>
          </w:tcPr>
          <w:p w14:paraId="3240A349" w14:textId="77777777" w:rsidR="00130F87" w:rsidRPr="00C8500E" w:rsidRDefault="00130F87" w:rsidP="00DC29DB">
            <w:pPr>
              <w:pStyle w:val="NoSpacing"/>
            </w:pPr>
            <w:r w:rsidRPr="00C8500E">
              <w:t> </w:t>
            </w:r>
            <w:r w:rsidRPr="00C8500E">
              <w:t>Female, n (%)</w:t>
            </w:r>
          </w:p>
        </w:tc>
        <w:tc>
          <w:tcPr>
            <w:tcW w:w="625" w:type="pct"/>
            <w:hideMark/>
          </w:tcPr>
          <w:p w14:paraId="649069B0" w14:textId="77777777" w:rsidR="00130F87" w:rsidRPr="00C8500E" w:rsidRDefault="00130F87" w:rsidP="00DC29DB">
            <w:pPr>
              <w:pStyle w:val="NoSpacing"/>
            </w:pPr>
            <w:r w:rsidRPr="00C8500E">
              <w:t>23</w:t>
            </w:r>
          </w:p>
          <w:p w14:paraId="71BFBCAE" w14:textId="77777777" w:rsidR="00130F87" w:rsidRPr="00C8500E" w:rsidRDefault="00130F87" w:rsidP="00DC29DB">
            <w:pPr>
              <w:pStyle w:val="NoSpacing"/>
            </w:pPr>
            <w:r w:rsidRPr="00C8500E">
              <w:t>(71.9)</w:t>
            </w:r>
          </w:p>
        </w:tc>
        <w:tc>
          <w:tcPr>
            <w:tcW w:w="611" w:type="pct"/>
          </w:tcPr>
          <w:p w14:paraId="67A2A8AB" w14:textId="35BEBF5A" w:rsidR="00130F87" w:rsidRPr="00C8500E" w:rsidRDefault="00130F87" w:rsidP="00DC29DB">
            <w:pPr>
              <w:pStyle w:val="NoSpacing"/>
            </w:pPr>
            <w:r w:rsidRPr="00C8500E">
              <w:t>9</w:t>
            </w:r>
          </w:p>
          <w:p w14:paraId="0A28EB46" w14:textId="77777777" w:rsidR="00130F87" w:rsidRPr="00C8500E" w:rsidRDefault="00130F87" w:rsidP="00DC29DB">
            <w:pPr>
              <w:pStyle w:val="NoSpacing"/>
            </w:pPr>
            <w:r w:rsidRPr="00C8500E">
              <w:t>(60.0)</w:t>
            </w:r>
          </w:p>
        </w:tc>
        <w:tc>
          <w:tcPr>
            <w:tcW w:w="722" w:type="pct"/>
          </w:tcPr>
          <w:p w14:paraId="05C976ED" w14:textId="096BDDCE" w:rsidR="00130F87" w:rsidRPr="00C8500E" w:rsidRDefault="00130F87" w:rsidP="00DC29DB">
            <w:pPr>
              <w:pStyle w:val="NoSpacing"/>
            </w:pPr>
            <w:r w:rsidRPr="00C8500E">
              <w:t>14</w:t>
            </w:r>
          </w:p>
          <w:p w14:paraId="32C64977" w14:textId="4764EC49" w:rsidR="00130F87" w:rsidRPr="00C8500E" w:rsidRDefault="00130F87" w:rsidP="00DC29DB">
            <w:pPr>
              <w:pStyle w:val="NoSpacing"/>
            </w:pPr>
            <w:r w:rsidRPr="00C8500E">
              <w:t>(82.4)</w:t>
            </w:r>
          </w:p>
        </w:tc>
        <w:tc>
          <w:tcPr>
            <w:tcW w:w="810" w:type="pct"/>
            <w:hideMark/>
          </w:tcPr>
          <w:p w14:paraId="7BFD21C9" w14:textId="77777777" w:rsidR="00130F87" w:rsidRPr="00C8500E" w:rsidRDefault="00130F87" w:rsidP="00DC29DB">
            <w:pPr>
              <w:pStyle w:val="NoSpacing"/>
            </w:pPr>
            <w:r w:rsidRPr="00C8500E">
              <w:t>0.160</w:t>
            </w:r>
          </w:p>
        </w:tc>
      </w:tr>
      <w:tr w:rsidR="00130F87" w:rsidRPr="00C8500E" w14:paraId="66A5C970" w14:textId="77777777" w:rsidTr="00CD164D">
        <w:tc>
          <w:tcPr>
            <w:tcW w:w="2232" w:type="pct"/>
            <w:hideMark/>
          </w:tcPr>
          <w:p w14:paraId="3764CBD6" w14:textId="77777777" w:rsidR="00130F87" w:rsidRPr="00C8500E" w:rsidRDefault="00130F87" w:rsidP="00DC29DB">
            <w:pPr>
              <w:pStyle w:val="NoSpacing"/>
            </w:pPr>
            <w:r w:rsidRPr="00C8500E">
              <w:t> </w:t>
            </w:r>
            <w:r w:rsidRPr="00C8500E">
              <w:t>Education, years</w:t>
            </w:r>
          </w:p>
        </w:tc>
        <w:tc>
          <w:tcPr>
            <w:tcW w:w="625" w:type="pct"/>
            <w:hideMark/>
          </w:tcPr>
          <w:p w14:paraId="329556F8" w14:textId="77777777" w:rsidR="00130F87" w:rsidRPr="00C8500E" w:rsidRDefault="00130F87" w:rsidP="00DC29DB">
            <w:pPr>
              <w:pStyle w:val="NoSpacing"/>
            </w:pPr>
            <w:r w:rsidRPr="00C8500E">
              <w:t>16.0</w:t>
            </w:r>
          </w:p>
          <w:p w14:paraId="7855F2DB" w14:textId="77777777" w:rsidR="00130F87" w:rsidRPr="00C8500E" w:rsidRDefault="00130F87" w:rsidP="00DC29DB">
            <w:pPr>
              <w:pStyle w:val="NoSpacing"/>
            </w:pPr>
            <w:r w:rsidRPr="00C8500E">
              <w:t>(2.6)</w:t>
            </w:r>
          </w:p>
        </w:tc>
        <w:tc>
          <w:tcPr>
            <w:tcW w:w="611" w:type="pct"/>
          </w:tcPr>
          <w:p w14:paraId="37C23A5A" w14:textId="3D22BA68" w:rsidR="00130F87" w:rsidRPr="00C8500E" w:rsidRDefault="00130F87" w:rsidP="00DC29DB">
            <w:pPr>
              <w:pStyle w:val="NoSpacing"/>
            </w:pPr>
            <w:r w:rsidRPr="00C8500E">
              <w:t>15.6</w:t>
            </w:r>
          </w:p>
          <w:p w14:paraId="349B1B00" w14:textId="77777777" w:rsidR="00130F87" w:rsidRPr="00C8500E" w:rsidRDefault="00130F87" w:rsidP="00DC29DB">
            <w:pPr>
              <w:pStyle w:val="NoSpacing"/>
            </w:pPr>
            <w:r w:rsidRPr="00C8500E">
              <w:t>(3.2)</w:t>
            </w:r>
          </w:p>
        </w:tc>
        <w:tc>
          <w:tcPr>
            <w:tcW w:w="722" w:type="pct"/>
          </w:tcPr>
          <w:p w14:paraId="29464CB6" w14:textId="35AFCEBE" w:rsidR="00130F87" w:rsidRPr="00C8500E" w:rsidRDefault="00130F87" w:rsidP="00DC29DB">
            <w:pPr>
              <w:pStyle w:val="NoSpacing"/>
            </w:pPr>
            <w:r w:rsidRPr="00C8500E">
              <w:t>16.5</w:t>
            </w:r>
          </w:p>
          <w:p w14:paraId="13D16989" w14:textId="0529A25C" w:rsidR="00130F87" w:rsidRPr="00C8500E" w:rsidRDefault="00130F87" w:rsidP="00DC29DB">
            <w:pPr>
              <w:pStyle w:val="NoSpacing"/>
            </w:pPr>
            <w:r w:rsidRPr="00C8500E">
              <w:t>(2.0)</w:t>
            </w:r>
          </w:p>
        </w:tc>
        <w:tc>
          <w:tcPr>
            <w:tcW w:w="810" w:type="pct"/>
            <w:hideMark/>
          </w:tcPr>
          <w:p w14:paraId="63CA6587" w14:textId="77777777" w:rsidR="00130F87" w:rsidRPr="00C8500E" w:rsidRDefault="00130F87" w:rsidP="00DC29DB">
            <w:pPr>
              <w:pStyle w:val="NoSpacing"/>
            </w:pPr>
            <w:r w:rsidRPr="00C8500E">
              <w:t>0.327</w:t>
            </w:r>
          </w:p>
        </w:tc>
      </w:tr>
      <w:tr w:rsidR="00130F87" w:rsidRPr="00C8500E" w14:paraId="20EBBE4A" w14:textId="77777777" w:rsidTr="00CD164D">
        <w:tc>
          <w:tcPr>
            <w:tcW w:w="2232" w:type="pct"/>
            <w:hideMark/>
          </w:tcPr>
          <w:p w14:paraId="012DCAAC" w14:textId="77777777" w:rsidR="00130F87" w:rsidRPr="00C8500E" w:rsidRDefault="00130F87" w:rsidP="00DC29DB">
            <w:pPr>
              <w:pStyle w:val="NoSpacing"/>
            </w:pPr>
            <w:r w:rsidRPr="00C8500E">
              <w:lastRenderedPageBreak/>
              <w:t> </w:t>
            </w:r>
            <w:r w:rsidRPr="00C8500E">
              <w:t>APOE E4+, n (%)</w:t>
            </w:r>
          </w:p>
        </w:tc>
        <w:tc>
          <w:tcPr>
            <w:tcW w:w="625" w:type="pct"/>
            <w:hideMark/>
          </w:tcPr>
          <w:p w14:paraId="0150F61C" w14:textId="77777777" w:rsidR="00130F87" w:rsidRPr="00C8500E" w:rsidRDefault="00130F87" w:rsidP="00DC29DB">
            <w:pPr>
              <w:pStyle w:val="NoSpacing"/>
            </w:pPr>
            <w:r w:rsidRPr="00C8500E">
              <w:t>10</w:t>
            </w:r>
          </w:p>
          <w:p w14:paraId="2E1F8E99" w14:textId="77777777" w:rsidR="00130F87" w:rsidRPr="00C8500E" w:rsidRDefault="00130F87" w:rsidP="00DC29DB">
            <w:pPr>
              <w:pStyle w:val="NoSpacing"/>
            </w:pPr>
            <w:r w:rsidRPr="00C8500E">
              <w:t>(31.3)</w:t>
            </w:r>
          </w:p>
        </w:tc>
        <w:tc>
          <w:tcPr>
            <w:tcW w:w="611" w:type="pct"/>
          </w:tcPr>
          <w:p w14:paraId="428B56C8" w14:textId="7A306855" w:rsidR="00130F87" w:rsidRPr="00C8500E" w:rsidRDefault="00130F87" w:rsidP="00DC29DB">
            <w:pPr>
              <w:pStyle w:val="NoSpacing"/>
            </w:pPr>
            <w:r w:rsidRPr="00C8500E">
              <w:t>5</w:t>
            </w:r>
          </w:p>
          <w:p w14:paraId="24893920" w14:textId="77777777" w:rsidR="00130F87" w:rsidRPr="00C8500E" w:rsidRDefault="00130F87" w:rsidP="00DC29DB">
            <w:pPr>
              <w:pStyle w:val="NoSpacing"/>
            </w:pPr>
            <w:r w:rsidRPr="00C8500E">
              <w:t>(33.3)</w:t>
            </w:r>
          </w:p>
        </w:tc>
        <w:tc>
          <w:tcPr>
            <w:tcW w:w="722" w:type="pct"/>
          </w:tcPr>
          <w:p w14:paraId="33BED06D" w14:textId="03C480AE" w:rsidR="00130F87" w:rsidRPr="00C8500E" w:rsidRDefault="00130F87" w:rsidP="00DC29DB">
            <w:pPr>
              <w:pStyle w:val="NoSpacing"/>
            </w:pPr>
            <w:r w:rsidRPr="00C8500E">
              <w:t>5</w:t>
            </w:r>
          </w:p>
          <w:p w14:paraId="742BEBD6" w14:textId="22A51FB9" w:rsidR="00130F87" w:rsidRPr="00C8500E" w:rsidRDefault="00130F87" w:rsidP="00DC29DB">
            <w:pPr>
              <w:pStyle w:val="NoSpacing"/>
            </w:pPr>
            <w:r w:rsidRPr="00C8500E">
              <w:t>(29.4)</w:t>
            </w:r>
          </w:p>
        </w:tc>
        <w:tc>
          <w:tcPr>
            <w:tcW w:w="810" w:type="pct"/>
            <w:hideMark/>
          </w:tcPr>
          <w:p w14:paraId="540362A2" w14:textId="77777777" w:rsidR="00130F87" w:rsidRPr="00C8500E" w:rsidRDefault="00130F87" w:rsidP="00DC29DB">
            <w:pPr>
              <w:pStyle w:val="NoSpacing"/>
            </w:pPr>
            <w:r w:rsidRPr="00C8500E">
              <w:t>0.811</w:t>
            </w:r>
          </w:p>
        </w:tc>
      </w:tr>
      <w:tr w:rsidR="00130F87" w:rsidRPr="00C8500E" w14:paraId="2401A99A" w14:textId="77777777" w:rsidTr="00CD164D">
        <w:tc>
          <w:tcPr>
            <w:tcW w:w="2232" w:type="pct"/>
            <w:hideMark/>
          </w:tcPr>
          <w:p w14:paraId="1562292F" w14:textId="77777777" w:rsidR="00130F87" w:rsidRPr="00C8500E" w:rsidRDefault="00130F87" w:rsidP="00DC29DB">
            <w:pPr>
              <w:pStyle w:val="NoSpacing"/>
            </w:pPr>
            <w:r w:rsidRPr="00C8500E">
              <w:rPr>
                <w:i/>
                <w:iCs/>
              </w:rPr>
              <w:t>Physical Function</w:t>
            </w:r>
          </w:p>
        </w:tc>
        <w:tc>
          <w:tcPr>
            <w:tcW w:w="625" w:type="pct"/>
          </w:tcPr>
          <w:p w14:paraId="71D2B5E8" w14:textId="77777777" w:rsidR="00130F87" w:rsidRPr="00C8500E" w:rsidRDefault="00130F87" w:rsidP="00DC29DB">
            <w:pPr>
              <w:pStyle w:val="NoSpacing"/>
            </w:pPr>
          </w:p>
        </w:tc>
        <w:tc>
          <w:tcPr>
            <w:tcW w:w="611" w:type="pct"/>
          </w:tcPr>
          <w:p w14:paraId="3B996A36" w14:textId="77777777" w:rsidR="00130F87" w:rsidRPr="00C8500E" w:rsidRDefault="00130F87" w:rsidP="00DC29DB">
            <w:pPr>
              <w:pStyle w:val="NoSpacing"/>
            </w:pPr>
          </w:p>
        </w:tc>
        <w:tc>
          <w:tcPr>
            <w:tcW w:w="722" w:type="pct"/>
          </w:tcPr>
          <w:p w14:paraId="078C66DF" w14:textId="77777777" w:rsidR="00130F87" w:rsidRPr="00C8500E" w:rsidRDefault="00130F87" w:rsidP="00DC29DB">
            <w:pPr>
              <w:pStyle w:val="NoSpacing"/>
            </w:pPr>
          </w:p>
        </w:tc>
        <w:tc>
          <w:tcPr>
            <w:tcW w:w="810" w:type="pct"/>
          </w:tcPr>
          <w:p w14:paraId="0EEFE3C5" w14:textId="499933B9" w:rsidR="00130F87" w:rsidRPr="00C8500E" w:rsidRDefault="00130F87" w:rsidP="00DC29DB">
            <w:pPr>
              <w:pStyle w:val="NoSpacing"/>
            </w:pPr>
          </w:p>
        </w:tc>
      </w:tr>
      <w:tr w:rsidR="00130F87" w:rsidRPr="00C8500E" w14:paraId="3E71C143" w14:textId="77777777" w:rsidTr="00CD164D">
        <w:tc>
          <w:tcPr>
            <w:tcW w:w="2232" w:type="pct"/>
            <w:hideMark/>
          </w:tcPr>
          <w:p w14:paraId="6ED432CA" w14:textId="77777777" w:rsidR="00130F87" w:rsidRPr="00C8500E" w:rsidRDefault="00130F87" w:rsidP="00DC29DB">
            <w:pPr>
              <w:pStyle w:val="NoSpacing"/>
            </w:pPr>
            <w:r w:rsidRPr="00C8500E">
              <w:t> </w:t>
            </w:r>
            <w:r w:rsidRPr="00C8500E">
              <w:t>Baseline Function, IADL</w:t>
            </w:r>
          </w:p>
        </w:tc>
        <w:tc>
          <w:tcPr>
            <w:tcW w:w="625" w:type="pct"/>
            <w:hideMark/>
          </w:tcPr>
          <w:p w14:paraId="1C6E54E5" w14:textId="77777777" w:rsidR="00130F87" w:rsidRPr="00C8500E" w:rsidRDefault="00130F87" w:rsidP="00DC29DB">
            <w:pPr>
              <w:pStyle w:val="NoSpacing"/>
            </w:pPr>
            <w:r w:rsidRPr="00C8500E">
              <w:t>4.7</w:t>
            </w:r>
          </w:p>
          <w:p w14:paraId="36F56280" w14:textId="77777777" w:rsidR="00130F87" w:rsidRPr="00C8500E" w:rsidRDefault="00130F87" w:rsidP="00DC29DB">
            <w:pPr>
              <w:pStyle w:val="NoSpacing"/>
            </w:pPr>
            <w:r w:rsidRPr="00C8500E">
              <w:t>(0.5)</w:t>
            </w:r>
          </w:p>
        </w:tc>
        <w:tc>
          <w:tcPr>
            <w:tcW w:w="611" w:type="pct"/>
          </w:tcPr>
          <w:p w14:paraId="140EA058" w14:textId="11EC729B" w:rsidR="00130F87" w:rsidRPr="00C8500E" w:rsidRDefault="00130F87" w:rsidP="00DC29DB">
            <w:pPr>
              <w:pStyle w:val="NoSpacing"/>
            </w:pPr>
            <w:r w:rsidRPr="00C8500E">
              <w:t>4.7</w:t>
            </w:r>
          </w:p>
          <w:p w14:paraId="575874CE" w14:textId="77777777" w:rsidR="00130F87" w:rsidRPr="00C8500E" w:rsidRDefault="00130F87" w:rsidP="00DC29DB">
            <w:pPr>
              <w:pStyle w:val="NoSpacing"/>
            </w:pPr>
            <w:r w:rsidRPr="00C8500E">
              <w:t>(0.5)</w:t>
            </w:r>
          </w:p>
        </w:tc>
        <w:tc>
          <w:tcPr>
            <w:tcW w:w="722" w:type="pct"/>
          </w:tcPr>
          <w:p w14:paraId="00A73ED3" w14:textId="3CF9D476" w:rsidR="00130F87" w:rsidRPr="00C8500E" w:rsidRDefault="00130F87" w:rsidP="00DC29DB">
            <w:pPr>
              <w:pStyle w:val="NoSpacing"/>
            </w:pPr>
            <w:r w:rsidRPr="00C8500E">
              <w:t>4.8</w:t>
            </w:r>
          </w:p>
          <w:p w14:paraId="6B43C34A" w14:textId="6530151F" w:rsidR="00130F87" w:rsidRPr="00C8500E" w:rsidRDefault="00130F87" w:rsidP="00DC29DB">
            <w:pPr>
              <w:pStyle w:val="NoSpacing"/>
            </w:pPr>
            <w:r w:rsidRPr="00C8500E">
              <w:t>(0.4)</w:t>
            </w:r>
          </w:p>
        </w:tc>
        <w:tc>
          <w:tcPr>
            <w:tcW w:w="810" w:type="pct"/>
            <w:hideMark/>
          </w:tcPr>
          <w:p w14:paraId="21A7D3B6" w14:textId="77777777" w:rsidR="00130F87" w:rsidRPr="00C8500E" w:rsidRDefault="00130F87" w:rsidP="00DC29DB">
            <w:pPr>
              <w:pStyle w:val="NoSpacing"/>
            </w:pPr>
            <w:r w:rsidRPr="00C8500E">
              <w:t>0.545</w:t>
            </w:r>
          </w:p>
        </w:tc>
      </w:tr>
      <w:tr w:rsidR="00130F87" w:rsidRPr="00C8500E" w14:paraId="59F0348C" w14:textId="77777777" w:rsidTr="00CD164D">
        <w:tc>
          <w:tcPr>
            <w:tcW w:w="2232" w:type="pct"/>
            <w:hideMark/>
          </w:tcPr>
          <w:p w14:paraId="039ECB05" w14:textId="77777777" w:rsidR="00130F87" w:rsidRPr="00C8500E" w:rsidRDefault="00130F87" w:rsidP="00DC29DB">
            <w:pPr>
              <w:pStyle w:val="NoSpacing"/>
            </w:pPr>
            <w:r w:rsidRPr="00C8500E">
              <w:rPr>
                <w:i/>
                <w:iCs/>
              </w:rPr>
              <w:t>Depression</w:t>
            </w:r>
          </w:p>
        </w:tc>
        <w:tc>
          <w:tcPr>
            <w:tcW w:w="625" w:type="pct"/>
          </w:tcPr>
          <w:p w14:paraId="7DDF38BC" w14:textId="77777777" w:rsidR="00130F87" w:rsidRPr="00C8500E" w:rsidRDefault="00130F87" w:rsidP="00DC29DB">
            <w:pPr>
              <w:pStyle w:val="NoSpacing"/>
            </w:pPr>
          </w:p>
        </w:tc>
        <w:tc>
          <w:tcPr>
            <w:tcW w:w="611" w:type="pct"/>
          </w:tcPr>
          <w:p w14:paraId="77906DCB" w14:textId="77777777" w:rsidR="00130F87" w:rsidRPr="00C8500E" w:rsidRDefault="00130F87" w:rsidP="00DC29DB">
            <w:pPr>
              <w:pStyle w:val="NoSpacing"/>
            </w:pPr>
          </w:p>
        </w:tc>
        <w:tc>
          <w:tcPr>
            <w:tcW w:w="722" w:type="pct"/>
          </w:tcPr>
          <w:p w14:paraId="7AD0FB5B" w14:textId="77777777" w:rsidR="00130F87" w:rsidRPr="00C8500E" w:rsidRDefault="00130F87" w:rsidP="00DC29DB">
            <w:pPr>
              <w:pStyle w:val="NoSpacing"/>
            </w:pPr>
          </w:p>
        </w:tc>
        <w:tc>
          <w:tcPr>
            <w:tcW w:w="810" w:type="pct"/>
          </w:tcPr>
          <w:p w14:paraId="2D100082" w14:textId="695F2F19" w:rsidR="00130F87" w:rsidRPr="00C8500E" w:rsidRDefault="00130F87" w:rsidP="00DC29DB">
            <w:pPr>
              <w:pStyle w:val="NoSpacing"/>
            </w:pPr>
          </w:p>
        </w:tc>
      </w:tr>
      <w:tr w:rsidR="00130F87" w:rsidRPr="00C8500E" w14:paraId="38E90FF4" w14:textId="77777777" w:rsidTr="00CD164D">
        <w:tc>
          <w:tcPr>
            <w:tcW w:w="2232" w:type="pct"/>
            <w:hideMark/>
          </w:tcPr>
          <w:p w14:paraId="6F1CB6F9" w14:textId="77777777" w:rsidR="00130F87" w:rsidRPr="00C8500E" w:rsidRDefault="00130F87" w:rsidP="00DC29DB">
            <w:pPr>
              <w:pStyle w:val="NoSpacing"/>
            </w:pPr>
            <w:r w:rsidRPr="00C8500E">
              <w:t> </w:t>
            </w:r>
            <w:r w:rsidRPr="00C8500E">
              <w:t>Baseline Depression, GDS</w:t>
            </w:r>
          </w:p>
        </w:tc>
        <w:tc>
          <w:tcPr>
            <w:tcW w:w="625" w:type="pct"/>
            <w:hideMark/>
          </w:tcPr>
          <w:p w14:paraId="79666906" w14:textId="77777777" w:rsidR="00130F87" w:rsidRPr="00C8500E" w:rsidRDefault="00130F87" w:rsidP="00DC29DB">
            <w:pPr>
              <w:pStyle w:val="NoSpacing"/>
            </w:pPr>
            <w:r w:rsidRPr="00C8500E">
              <w:t>4.8</w:t>
            </w:r>
          </w:p>
          <w:p w14:paraId="4CDD8F23" w14:textId="77777777" w:rsidR="00130F87" w:rsidRPr="00C8500E" w:rsidRDefault="00130F87" w:rsidP="00DC29DB">
            <w:pPr>
              <w:pStyle w:val="NoSpacing"/>
            </w:pPr>
            <w:r w:rsidRPr="00C8500E">
              <w:t>(3.3)</w:t>
            </w:r>
          </w:p>
        </w:tc>
        <w:tc>
          <w:tcPr>
            <w:tcW w:w="611" w:type="pct"/>
          </w:tcPr>
          <w:p w14:paraId="378CF83B" w14:textId="0BEAE19A" w:rsidR="00130F87" w:rsidRPr="00C8500E" w:rsidRDefault="00130F87" w:rsidP="00DC29DB">
            <w:pPr>
              <w:pStyle w:val="NoSpacing"/>
            </w:pPr>
            <w:r w:rsidRPr="00C8500E">
              <w:t>6.1</w:t>
            </w:r>
          </w:p>
          <w:p w14:paraId="5898ADED" w14:textId="77777777" w:rsidR="00130F87" w:rsidRPr="00C8500E" w:rsidRDefault="00130F87" w:rsidP="00DC29DB">
            <w:pPr>
              <w:pStyle w:val="NoSpacing"/>
            </w:pPr>
            <w:r w:rsidRPr="00C8500E">
              <w:t>(3.8)</w:t>
            </w:r>
          </w:p>
        </w:tc>
        <w:tc>
          <w:tcPr>
            <w:tcW w:w="722" w:type="pct"/>
          </w:tcPr>
          <w:p w14:paraId="19DB4DB9" w14:textId="5FA50409" w:rsidR="00130F87" w:rsidRPr="00C8500E" w:rsidRDefault="00130F87" w:rsidP="00DC29DB">
            <w:pPr>
              <w:pStyle w:val="NoSpacing"/>
            </w:pPr>
            <w:r w:rsidRPr="00C8500E">
              <w:t>3.8</w:t>
            </w:r>
          </w:p>
          <w:p w14:paraId="6C75158A" w14:textId="7628E4B8" w:rsidR="00130F87" w:rsidRPr="00C8500E" w:rsidRDefault="00130F87" w:rsidP="00DC29DB">
            <w:pPr>
              <w:pStyle w:val="NoSpacing"/>
            </w:pPr>
            <w:r w:rsidRPr="00C8500E">
              <w:t>(2.7)</w:t>
            </w:r>
          </w:p>
        </w:tc>
        <w:tc>
          <w:tcPr>
            <w:tcW w:w="810" w:type="pct"/>
            <w:hideMark/>
          </w:tcPr>
          <w:p w14:paraId="62C84AC3" w14:textId="77777777" w:rsidR="00130F87" w:rsidRPr="00C8500E" w:rsidRDefault="00130F87" w:rsidP="00DC29DB">
            <w:pPr>
              <w:pStyle w:val="NoSpacing"/>
            </w:pPr>
            <w:r w:rsidRPr="00C8500E">
              <w:t>0.075</w:t>
            </w:r>
          </w:p>
        </w:tc>
      </w:tr>
      <w:tr w:rsidR="00130F87" w:rsidRPr="00C8500E" w14:paraId="4151AFB1" w14:textId="77777777" w:rsidTr="00CD164D">
        <w:tc>
          <w:tcPr>
            <w:tcW w:w="2232" w:type="pct"/>
            <w:hideMark/>
          </w:tcPr>
          <w:p w14:paraId="72F35089" w14:textId="77777777" w:rsidR="00130F87" w:rsidRPr="00C8500E" w:rsidRDefault="00130F87" w:rsidP="00DC29DB">
            <w:pPr>
              <w:pStyle w:val="NoSpacing"/>
            </w:pPr>
            <w:r w:rsidRPr="00C8500E">
              <w:rPr>
                <w:i/>
                <w:iCs/>
              </w:rPr>
              <w:t>Aerobic Fitness</w:t>
            </w:r>
          </w:p>
        </w:tc>
        <w:tc>
          <w:tcPr>
            <w:tcW w:w="625" w:type="pct"/>
          </w:tcPr>
          <w:p w14:paraId="7B65883C" w14:textId="77777777" w:rsidR="00130F87" w:rsidRPr="00C8500E" w:rsidRDefault="00130F87" w:rsidP="00DC29DB">
            <w:pPr>
              <w:pStyle w:val="NoSpacing"/>
            </w:pPr>
          </w:p>
        </w:tc>
        <w:tc>
          <w:tcPr>
            <w:tcW w:w="611" w:type="pct"/>
          </w:tcPr>
          <w:p w14:paraId="0128585E" w14:textId="77777777" w:rsidR="00130F87" w:rsidRPr="00C8500E" w:rsidRDefault="00130F87" w:rsidP="00DC29DB">
            <w:pPr>
              <w:pStyle w:val="NoSpacing"/>
            </w:pPr>
          </w:p>
        </w:tc>
        <w:tc>
          <w:tcPr>
            <w:tcW w:w="722" w:type="pct"/>
          </w:tcPr>
          <w:p w14:paraId="03D2B74A" w14:textId="77777777" w:rsidR="00130F87" w:rsidRPr="00C8500E" w:rsidRDefault="00130F87" w:rsidP="00DC29DB">
            <w:pPr>
              <w:pStyle w:val="NoSpacing"/>
            </w:pPr>
          </w:p>
        </w:tc>
        <w:tc>
          <w:tcPr>
            <w:tcW w:w="810" w:type="pct"/>
          </w:tcPr>
          <w:p w14:paraId="6015D9CE" w14:textId="10CF1207" w:rsidR="00130F87" w:rsidRPr="00C8500E" w:rsidRDefault="00130F87" w:rsidP="00DC29DB">
            <w:pPr>
              <w:pStyle w:val="NoSpacing"/>
            </w:pPr>
          </w:p>
        </w:tc>
      </w:tr>
      <w:tr w:rsidR="00130F87" w:rsidRPr="00C8500E" w14:paraId="3785DD0C" w14:textId="77777777" w:rsidTr="00CD164D">
        <w:tc>
          <w:tcPr>
            <w:tcW w:w="2232" w:type="pct"/>
            <w:hideMark/>
          </w:tcPr>
          <w:p w14:paraId="75CDFCCD" w14:textId="77777777" w:rsidR="00130F87" w:rsidRPr="00C8500E" w:rsidRDefault="00130F87" w:rsidP="00DC29DB">
            <w:pPr>
              <w:pStyle w:val="NoSpacing"/>
            </w:pPr>
            <w:r w:rsidRPr="00C8500E">
              <w:t> </w:t>
            </w:r>
            <w:r w:rsidRPr="00C8500E">
              <w:t>Baseline V̇O2peak, ml/kg/min</w:t>
            </w:r>
          </w:p>
        </w:tc>
        <w:tc>
          <w:tcPr>
            <w:tcW w:w="625" w:type="pct"/>
            <w:hideMark/>
          </w:tcPr>
          <w:p w14:paraId="38827766" w14:textId="77777777" w:rsidR="00130F87" w:rsidRPr="00C8500E" w:rsidRDefault="00130F87" w:rsidP="00DC29DB">
            <w:pPr>
              <w:pStyle w:val="NoSpacing"/>
            </w:pPr>
            <w:r w:rsidRPr="00C8500E">
              <w:t>19.2</w:t>
            </w:r>
          </w:p>
          <w:p w14:paraId="453DAD43" w14:textId="77777777" w:rsidR="00130F87" w:rsidRPr="00C8500E" w:rsidRDefault="00130F87" w:rsidP="00DC29DB">
            <w:pPr>
              <w:pStyle w:val="NoSpacing"/>
            </w:pPr>
            <w:r w:rsidRPr="00C8500E">
              <w:t>(4.5)</w:t>
            </w:r>
          </w:p>
        </w:tc>
        <w:tc>
          <w:tcPr>
            <w:tcW w:w="611" w:type="pct"/>
          </w:tcPr>
          <w:p w14:paraId="2476A71C" w14:textId="11535702" w:rsidR="00130F87" w:rsidRPr="00C8500E" w:rsidRDefault="00130F87" w:rsidP="00DC29DB">
            <w:pPr>
              <w:pStyle w:val="NoSpacing"/>
            </w:pPr>
            <w:r w:rsidRPr="00C8500E">
              <w:t>18.3</w:t>
            </w:r>
          </w:p>
          <w:p w14:paraId="0BB2E8E1" w14:textId="77777777" w:rsidR="00130F87" w:rsidRPr="00C8500E" w:rsidRDefault="00130F87" w:rsidP="00DC29DB">
            <w:pPr>
              <w:pStyle w:val="NoSpacing"/>
            </w:pPr>
            <w:r w:rsidRPr="00C8500E">
              <w:t>(3.8)</w:t>
            </w:r>
          </w:p>
        </w:tc>
        <w:tc>
          <w:tcPr>
            <w:tcW w:w="722" w:type="pct"/>
          </w:tcPr>
          <w:p w14:paraId="743A5CBA" w14:textId="4733077C" w:rsidR="00130F87" w:rsidRPr="00C8500E" w:rsidRDefault="00130F87" w:rsidP="00DC29DB">
            <w:pPr>
              <w:pStyle w:val="NoSpacing"/>
            </w:pPr>
            <w:r w:rsidRPr="00C8500E">
              <w:t>20.1</w:t>
            </w:r>
          </w:p>
          <w:p w14:paraId="13930243" w14:textId="7E46911F" w:rsidR="00130F87" w:rsidRPr="00C8500E" w:rsidRDefault="00130F87" w:rsidP="00DC29DB">
            <w:pPr>
              <w:pStyle w:val="NoSpacing"/>
            </w:pPr>
            <w:r w:rsidRPr="00C8500E">
              <w:t>(5.1)</w:t>
            </w:r>
          </w:p>
        </w:tc>
        <w:tc>
          <w:tcPr>
            <w:tcW w:w="810" w:type="pct"/>
            <w:hideMark/>
          </w:tcPr>
          <w:p w14:paraId="09CA78B8" w14:textId="77777777" w:rsidR="00130F87" w:rsidRPr="00C8500E" w:rsidRDefault="00130F87" w:rsidP="00DC29DB">
            <w:pPr>
              <w:pStyle w:val="NoSpacing"/>
            </w:pPr>
            <w:r w:rsidRPr="00C8500E">
              <w:t>0.285</w:t>
            </w:r>
          </w:p>
        </w:tc>
      </w:tr>
      <w:tr w:rsidR="00130F87" w:rsidRPr="00C8500E" w14:paraId="69939D1D" w14:textId="77777777" w:rsidTr="00CD164D">
        <w:tc>
          <w:tcPr>
            <w:tcW w:w="2232" w:type="pct"/>
            <w:hideMark/>
          </w:tcPr>
          <w:p w14:paraId="02766BE8" w14:textId="77777777" w:rsidR="00130F87" w:rsidRPr="00C8500E" w:rsidRDefault="00130F87" w:rsidP="00DC29DB">
            <w:pPr>
              <w:pStyle w:val="NoSpacing"/>
            </w:pPr>
            <w:r w:rsidRPr="00C8500E">
              <w:rPr>
                <w:i/>
                <w:iCs/>
              </w:rPr>
              <w:t>Blood Pressure</w:t>
            </w:r>
          </w:p>
        </w:tc>
        <w:tc>
          <w:tcPr>
            <w:tcW w:w="625" w:type="pct"/>
          </w:tcPr>
          <w:p w14:paraId="1416539D" w14:textId="77777777" w:rsidR="00130F87" w:rsidRPr="00C8500E" w:rsidRDefault="00130F87" w:rsidP="00DC29DB">
            <w:pPr>
              <w:pStyle w:val="NoSpacing"/>
            </w:pPr>
          </w:p>
        </w:tc>
        <w:tc>
          <w:tcPr>
            <w:tcW w:w="611" w:type="pct"/>
          </w:tcPr>
          <w:p w14:paraId="37926795" w14:textId="77777777" w:rsidR="00130F87" w:rsidRPr="00C8500E" w:rsidRDefault="00130F87" w:rsidP="00DC29DB">
            <w:pPr>
              <w:pStyle w:val="NoSpacing"/>
            </w:pPr>
          </w:p>
        </w:tc>
        <w:tc>
          <w:tcPr>
            <w:tcW w:w="722" w:type="pct"/>
          </w:tcPr>
          <w:p w14:paraId="069C9CCB" w14:textId="77777777" w:rsidR="00130F87" w:rsidRPr="00C8500E" w:rsidRDefault="00130F87" w:rsidP="00DC29DB">
            <w:pPr>
              <w:pStyle w:val="NoSpacing"/>
            </w:pPr>
          </w:p>
        </w:tc>
        <w:tc>
          <w:tcPr>
            <w:tcW w:w="810" w:type="pct"/>
          </w:tcPr>
          <w:p w14:paraId="257DE3A9" w14:textId="5F2AA7DB" w:rsidR="00130F87" w:rsidRPr="00C8500E" w:rsidRDefault="00130F87" w:rsidP="00DC29DB">
            <w:pPr>
              <w:pStyle w:val="NoSpacing"/>
            </w:pPr>
          </w:p>
        </w:tc>
      </w:tr>
      <w:tr w:rsidR="00130F87" w:rsidRPr="00C8500E" w14:paraId="2DBC44CF" w14:textId="77777777" w:rsidTr="00CD164D">
        <w:tc>
          <w:tcPr>
            <w:tcW w:w="2232" w:type="pct"/>
            <w:hideMark/>
          </w:tcPr>
          <w:p w14:paraId="5EFF4FC1" w14:textId="77777777" w:rsidR="00130F87" w:rsidRPr="00C8500E" w:rsidRDefault="00130F87" w:rsidP="00DC29DB">
            <w:pPr>
              <w:pStyle w:val="NoSpacing"/>
            </w:pPr>
            <w:r w:rsidRPr="00C8500E">
              <w:t> </w:t>
            </w:r>
            <w:r w:rsidRPr="00C8500E">
              <w:t>Systolic, mmHg</w:t>
            </w:r>
          </w:p>
        </w:tc>
        <w:tc>
          <w:tcPr>
            <w:tcW w:w="625" w:type="pct"/>
            <w:hideMark/>
          </w:tcPr>
          <w:p w14:paraId="563494E2" w14:textId="77777777" w:rsidR="00130F87" w:rsidRPr="00C8500E" w:rsidRDefault="00130F87" w:rsidP="00DC29DB">
            <w:pPr>
              <w:pStyle w:val="NoSpacing"/>
            </w:pPr>
            <w:r w:rsidRPr="00C8500E">
              <w:t>144.9</w:t>
            </w:r>
          </w:p>
          <w:p w14:paraId="483A5483" w14:textId="77777777" w:rsidR="00130F87" w:rsidRPr="00C8500E" w:rsidRDefault="00130F87" w:rsidP="00DC29DB">
            <w:pPr>
              <w:pStyle w:val="NoSpacing"/>
            </w:pPr>
            <w:r w:rsidRPr="00C8500E">
              <w:t>(22.0)</w:t>
            </w:r>
          </w:p>
        </w:tc>
        <w:tc>
          <w:tcPr>
            <w:tcW w:w="611" w:type="pct"/>
          </w:tcPr>
          <w:p w14:paraId="31440161" w14:textId="3A902DD0" w:rsidR="00130F87" w:rsidRPr="00C8500E" w:rsidRDefault="00130F87" w:rsidP="00DC29DB">
            <w:pPr>
              <w:pStyle w:val="NoSpacing"/>
            </w:pPr>
            <w:r w:rsidRPr="00C8500E">
              <w:t>148.6</w:t>
            </w:r>
          </w:p>
          <w:p w14:paraId="75508DD4" w14:textId="77777777" w:rsidR="00130F87" w:rsidRPr="00C8500E" w:rsidRDefault="00130F87" w:rsidP="00DC29DB">
            <w:pPr>
              <w:pStyle w:val="NoSpacing"/>
            </w:pPr>
            <w:r w:rsidRPr="00C8500E">
              <w:t>(24.5)</w:t>
            </w:r>
          </w:p>
        </w:tc>
        <w:tc>
          <w:tcPr>
            <w:tcW w:w="722" w:type="pct"/>
          </w:tcPr>
          <w:p w14:paraId="0E87DDE2" w14:textId="0F9C2BFF" w:rsidR="00130F87" w:rsidRPr="00C8500E" w:rsidRDefault="00130F87" w:rsidP="00DC29DB">
            <w:pPr>
              <w:pStyle w:val="NoSpacing"/>
            </w:pPr>
            <w:r w:rsidRPr="00C8500E">
              <w:t>141.7</w:t>
            </w:r>
          </w:p>
          <w:p w14:paraId="71E9FEA1" w14:textId="72750684" w:rsidR="00130F87" w:rsidRPr="00C8500E" w:rsidRDefault="00130F87" w:rsidP="00DC29DB">
            <w:pPr>
              <w:pStyle w:val="NoSpacing"/>
            </w:pPr>
            <w:r w:rsidRPr="00C8500E">
              <w:t>(19.8)</w:t>
            </w:r>
          </w:p>
        </w:tc>
        <w:tc>
          <w:tcPr>
            <w:tcW w:w="810" w:type="pct"/>
            <w:hideMark/>
          </w:tcPr>
          <w:p w14:paraId="38DA675E" w14:textId="77777777" w:rsidR="00130F87" w:rsidRPr="00C8500E" w:rsidRDefault="00130F87" w:rsidP="00DC29DB">
            <w:pPr>
              <w:pStyle w:val="NoSpacing"/>
            </w:pPr>
            <w:r w:rsidRPr="00C8500E">
              <w:t>0.397</w:t>
            </w:r>
          </w:p>
        </w:tc>
      </w:tr>
      <w:tr w:rsidR="00130F87" w:rsidRPr="00C8500E" w14:paraId="653864DB" w14:textId="77777777" w:rsidTr="00CD164D">
        <w:tc>
          <w:tcPr>
            <w:tcW w:w="2232" w:type="pct"/>
            <w:hideMark/>
          </w:tcPr>
          <w:p w14:paraId="2AA893DD" w14:textId="77777777" w:rsidR="00130F87" w:rsidRPr="00C8500E" w:rsidRDefault="00130F87" w:rsidP="00DC29DB">
            <w:pPr>
              <w:pStyle w:val="NoSpacing"/>
            </w:pPr>
            <w:r w:rsidRPr="00C8500E">
              <w:t> </w:t>
            </w:r>
            <w:r w:rsidRPr="00C8500E">
              <w:t>Diastolic, mmHg</w:t>
            </w:r>
          </w:p>
        </w:tc>
        <w:tc>
          <w:tcPr>
            <w:tcW w:w="625" w:type="pct"/>
            <w:hideMark/>
          </w:tcPr>
          <w:p w14:paraId="1695A6F2" w14:textId="77777777" w:rsidR="00130F87" w:rsidRPr="00C8500E" w:rsidRDefault="00130F87" w:rsidP="00DC29DB">
            <w:pPr>
              <w:pStyle w:val="NoSpacing"/>
            </w:pPr>
            <w:r w:rsidRPr="00C8500E">
              <w:t>75.0</w:t>
            </w:r>
          </w:p>
          <w:p w14:paraId="6C4B708A" w14:textId="77777777" w:rsidR="00130F87" w:rsidRPr="00C8500E" w:rsidRDefault="00130F87" w:rsidP="00DC29DB">
            <w:pPr>
              <w:pStyle w:val="NoSpacing"/>
            </w:pPr>
            <w:r w:rsidRPr="00C8500E">
              <w:t>(11.0)</w:t>
            </w:r>
          </w:p>
        </w:tc>
        <w:tc>
          <w:tcPr>
            <w:tcW w:w="611" w:type="pct"/>
          </w:tcPr>
          <w:p w14:paraId="1E07A2A9" w14:textId="77777777" w:rsidR="00130F87" w:rsidRPr="00C8500E" w:rsidRDefault="00130F87" w:rsidP="00DC29DB">
            <w:pPr>
              <w:pStyle w:val="NoSpacing"/>
            </w:pPr>
            <w:r w:rsidRPr="00C8500E">
              <w:t>77.3</w:t>
            </w:r>
          </w:p>
          <w:p w14:paraId="3C917D71" w14:textId="77777777" w:rsidR="00130F87" w:rsidRPr="00C8500E" w:rsidRDefault="00130F87" w:rsidP="00DC29DB">
            <w:pPr>
              <w:pStyle w:val="NoSpacing"/>
            </w:pPr>
            <w:r w:rsidRPr="00C8500E">
              <w:t>(12.4)</w:t>
            </w:r>
          </w:p>
        </w:tc>
        <w:tc>
          <w:tcPr>
            <w:tcW w:w="722" w:type="pct"/>
          </w:tcPr>
          <w:p w14:paraId="181E2B4A" w14:textId="451E7594" w:rsidR="00130F87" w:rsidRPr="00C8500E" w:rsidRDefault="00130F87" w:rsidP="00DC29DB">
            <w:pPr>
              <w:pStyle w:val="NoSpacing"/>
            </w:pPr>
            <w:r w:rsidRPr="00C8500E">
              <w:t>73.0</w:t>
            </w:r>
          </w:p>
          <w:p w14:paraId="621E2FCF" w14:textId="55AE3B1A" w:rsidR="00130F87" w:rsidRPr="00C8500E" w:rsidRDefault="00130F87" w:rsidP="00DC29DB">
            <w:pPr>
              <w:pStyle w:val="NoSpacing"/>
            </w:pPr>
            <w:r w:rsidRPr="00C8500E">
              <w:t>(9.6)</w:t>
            </w:r>
          </w:p>
        </w:tc>
        <w:tc>
          <w:tcPr>
            <w:tcW w:w="810" w:type="pct"/>
            <w:hideMark/>
          </w:tcPr>
          <w:p w14:paraId="3B1D1195" w14:textId="77777777" w:rsidR="00130F87" w:rsidRPr="00C8500E" w:rsidRDefault="00130F87" w:rsidP="00DC29DB">
            <w:pPr>
              <w:pStyle w:val="NoSpacing"/>
            </w:pPr>
            <w:r w:rsidRPr="00C8500E">
              <w:t>0.296</w:t>
            </w:r>
          </w:p>
        </w:tc>
      </w:tr>
    </w:tbl>
    <w:p w14:paraId="3F821CB2" w14:textId="77777777" w:rsidR="00C9499F" w:rsidRPr="00C8500E" w:rsidRDefault="00C9499F" w:rsidP="00130F87">
      <w:pPr>
        <w:rPr>
          <w:rFonts w:cstheme="minorHAnsi"/>
        </w:rPr>
      </w:pPr>
      <w:r w:rsidRPr="00C8500E">
        <w:rPr>
          <w:rFonts w:cstheme="minorHAnsi"/>
          <w:i/>
          <w:iCs/>
        </w:rPr>
        <w:t>Note.</w:t>
      </w:r>
      <w:r w:rsidRPr="00C8500E">
        <w:rPr>
          <w:rFonts w:cstheme="minorHAnsi"/>
        </w:rPr>
        <w:t> Unless otherwise indicated, values reflect means with standard deviations in parentheses. </w:t>
      </w:r>
      <w:r w:rsidRPr="00C8500E">
        <w:rPr>
          <w:rFonts w:cstheme="minorHAnsi"/>
          <w:i/>
          <w:iCs/>
        </w:rPr>
        <w:t>P</w:t>
      </w:r>
      <w:r w:rsidRPr="00C8500E">
        <w:rPr>
          <w:rFonts w:cstheme="minorHAnsi"/>
        </w:rPr>
        <w:t>-values from chi-square tests for categorical variables and t-tests (or Wilcoxon rank sum tests) for continuous variables. Bold </w:t>
      </w:r>
      <w:r w:rsidRPr="00C8500E">
        <w:rPr>
          <w:rFonts w:cstheme="minorHAnsi"/>
          <w:i/>
          <w:iCs/>
        </w:rPr>
        <w:t>p</w:t>
      </w:r>
      <w:r w:rsidRPr="00C8500E">
        <w:rPr>
          <w:rFonts w:cstheme="minorHAnsi"/>
        </w:rPr>
        <w:t>-values indicate significant between-group differences, </w:t>
      </w:r>
      <w:r w:rsidRPr="00C8500E">
        <w:rPr>
          <w:rFonts w:cstheme="minorHAnsi"/>
          <w:i/>
          <w:iCs/>
        </w:rPr>
        <w:t>p</w:t>
      </w:r>
      <w:r w:rsidRPr="00C8500E">
        <w:rPr>
          <w:rFonts w:cstheme="minorHAnsi"/>
        </w:rPr>
        <w:t> &lt; 0.05. Key: MCI, mild cognitive impairment; CN, cognitively normal; IADL, Instrumental Activities of Daily Living; GDS, Geriatric Depression Scale; V̇O</w:t>
      </w:r>
      <w:r w:rsidRPr="00C8500E">
        <w:rPr>
          <w:rFonts w:cstheme="minorHAnsi"/>
          <w:vertAlign w:val="subscript"/>
        </w:rPr>
        <w:t>2peak</w:t>
      </w:r>
      <w:r w:rsidRPr="00C8500E">
        <w:rPr>
          <w:rFonts w:cstheme="minorHAnsi"/>
        </w:rPr>
        <w:t>, peak rate of oxygen consumption.</w:t>
      </w:r>
    </w:p>
    <w:p w14:paraId="7D93AB28" w14:textId="77777777" w:rsidR="00C9499F" w:rsidRPr="00C8500E" w:rsidRDefault="00C9499F" w:rsidP="00130F87">
      <w:pPr>
        <w:pStyle w:val="Heading2"/>
        <w:rPr>
          <w:rFonts w:asciiTheme="minorHAnsi" w:hAnsiTheme="minorHAnsi" w:cstheme="minorHAnsi"/>
        </w:rPr>
      </w:pPr>
      <w:r w:rsidRPr="00C8500E">
        <w:rPr>
          <w:rFonts w:asciiTheme="minorHAnsi" w:hAnsiTheme="minorHAnsi" w:cstheme="minorHAnsi"/>
        </w:rPr>
        <w:t>Neuropsychological Performance</w:t>
      </w:r>
    </w:p>
    <w:p w14:paraId="251A1D36" w14:textId="77777777" w:rsidR="00C9499F" w:rsidRPr="00C8500E" w:rsidRDefault="00C9499F" w:rsidP="00130F87">
      <w:pPr>
        <w:rPr>
          <w:rFonts w:cstheme="minorHAnsi"/>
        </w:rPr>
      </w:pPr>
      <w:r w:rsidRPr="00C8500E">
        <w:rPr>
          <w:rFonts w:cstheme="minorHAnsi"/>
        </w:rPr>
        <w:t>Aside from RAVLT Trial 1, individuals with MCI (vs. CN) performed significantly worse on all neuropsychological assessments at baseline (see Smith et al., 2013). After the exercise intervention, both groups exhibited significantly improved RAVLT Trial 1, F(1, 30) = 7.6, </w:t>
      </w:r>
      <w:r w:rsidRPr="00C8500E">
        <w:rPr>
          <w:rFonts w:cstheme="minorHAnsi"/>
          <w:i/>
          <w:iCs/>
        </w:rPr>
        <w:t>p</w:t>
      </w:r>
      <w:r w:rsidRPr="00C8500E">
        <w:rPr>
          <w:rFonts w:cstheme="minorHAnsi"/>
        </w:rPr>
        <w:t> = 0.010 and COWAT performance, F(1, 30) = 5.6, </w:t>
      </w:r>
      <w:r w:rsidRPr="00C8500E">
        <w:rPr>
          <w:rFonts w:cstheme="minorHAnsi"/>
          <w:i/>
          <w:iCs/>
        </w:rPr>
        <w:t>p</w:t>
      </w:r>
      <w:r w:rsidRPr="00C8500E">
        <w:rPr>
          <w:rFonts w:cstheme="minorHAnsi"/>
        </w:rPr>
        <w:t> = 0.024, and V̇O</w:t>
      </w:r>
      <w:r w:rsidRPr="00C8500E">
        <w:rPr>
          <w:rFonts w:cstheme="minorHAnsi"/>
          <w:vertAlign w:val="subscript"/>
        </w:rPr>
        <w:t>2peak</w:t>
      </w:r>
      <w:r w:rsidRPr="00C8500E">
        <w:rPr>
          <w:rFonts w:cstheme="minorHAnsi"/>
        </w:rPr>
        <w:t>, F(1, 27) = 7.6, </w:t>
      </w:r>
      <w:r w:rsidRPr="00C8500E">
        <w:rPr>
          <w:rFonts w:cstheme="minorHAnsi"/>
          <w:i/>
          <w:iCs/>
        </w:rPr>
        <w:t>p</w:t>
      </w:r>
      <w:r w:rsidRPr="00C8500E">
        <w:rPr>
          <w:rFonts w:cstheme="minorHAnsi"/>
        </w:rPr>
        <w:t> = 0.010. There were no significant group-by-time interactions or main effects of time for the RAVLT Trials 1–5, RAVLT Immediate Recall, RAVLT Delayed Recall, Clock Drawing, Animal Fluency, or systolic/diastolic blood pressure (missing data n = 1 MCI, 2 CN) (</w:t>
      </w:r>
      <w:hyperlink r:id="rId90" w:tgtFrame="table" w:history="1">
        <w:r w:rsidRPr="00C8500E">
          <w:rPr>
            <w:rStyle w:val="Hyperlink"/>
            <w:rFonts w:cstheme="minorHAnsi"/>
            <w:sz w:val="24"/>
            <w:szCs w:val="24"/>
          </w:rPr>
          <w:t>Table 2</w:t>
        </w:r>
      </w:hyperlink>
      <w:r w:rsidRPr="00C8500E">
        <w:rPr>
          <w:rFonts w:cstheme="minorHAnsi"/>
        </w:rPr>
        <w:t>).</w:t>
      </w:r>
    </w:p>
    <w:p w14:paraId="16A0CC40" w14:textId="1A45D7A5" w:rsidR="00C9499F" w:rsidRPr="00C8500E" w:rsidRDefault="00C9499F" w:rsidP="00CF787C">
      <w:pPr>
        <w:pStyle w:val="NoSpacing"/>
      </w:pPr>
      <w:r w:rsidRPr="00C8500E">
        <w:t>Table 2.</w:t>
      </w:r>
      <w:r w:rsidR="00CF787C">
        <w:t xml:space="preserve"> </w:t>
      </w:r>
      <w:r w:rsidRPr="00C8500E">
        <w:t>Neuropsychological performance, aerobic fitness, and blood pressure changes over time.</w:t>
      </w:r>
    </w:p>
    <w:tbl>
      <w:tblPr>
        <w:tblStyle w:val="TableGrid"/>
        <w:tblW w:w="10785" w:type="dxa"/>
        <w:tblLook w:val="04A0" w:firstRow="1" w:lastRow="0" w:firstColumn="1" w:lastColumn="0" w:noHBand="0" w:noVBand="1"/>
      </w:tblPr>
      <w:tblGrid>
        <w:gridCol w:w="1963"/>
        <w:gridCol w:w="1141"/>
        <w:gridCol w:w="1327"/>
        <w:gridCol w:w="1368"/>
        <w:gridCol w:w="1327"/>
        <w:gridCol w:w="2364"/>
        <w:gridCol w:w="1295"/>
      </w:tblGrid>
      <w:tr w:rsidR="00920C6D" w:rsidRPr="00C8500E" w14:paraId="6E1875F9" w14:textId="77777777" w:rsidTr="00920C6D">
        <w:tc>
          <w:tcPr>
            <w:tcW w:w="0" w:type="auto"/>
            <w:hideMark/>
          </w:tcPr>
          <w:p w14:paraId="31C87F01" w14:textId="77777777" w:rsidR="00206755" w:rsidRPr="00C8500E" w:rsidRDefault="00206755" w:rsidP="00CD164D">
            <w:pPr>
              <w:pStyle w:val="NoSpacing"/>
            </w:pPr>
          </w:p>
        </w:tc>
        <w:tc>
          <w:tcPr>
            <w:tcW w:w="1013" w:type="dxa"/>
            <w:hideMark/>
          </w:tcPr>
          <w:p w14:paraId="6FA6E7E9" w14:textId="77777777" w:rsidR="00206755" w:rsidRPr="00C8500E" w:rsidRDefault="00206755" w:rsidP="00CD164D">
            <w:pPr>
              <w:pStyle w:val="NoSpacing"/>
              <w:rPr>
                <w:b/>
                <w:bCs/>
              </w:rPr>
            </w:pPr>
            <w:r w:rsidRPr="00C8500E">
              <w:rPr>
                <w:b/>
                <w:bCs/>
              </w:rPr>
              <w:t>MCI</w:t>
            </w:r>
          </w:p>
        </w:tc>
        <w:tc>
          <w:tcPr>
            <w:tcW w:w="1335" w:type="dxa"/>
          </w:tcPr>
          <w:p w14:paraId="14631462" w14:textId="6A231373" w:rsidR="00206755" w:rsidRPr="00C8500E" w:rsidRDefault="00206755" w:rsidP="00CD164D">
            <w:pPr>
              <w:pStyle w:val="NoSpacing"/>
              <w:rPr>
                <w:b/>
                <w:bCs/>
              </w:rPr>
            </w:pPr>
          </w:p>
        </w:tc>
        <w:tc>
          <w:tcPr>
            <w:tcW w:w="1379" w:type="dxa"/>
          </w:tcPr>
          <w:p w14:paraId="4BCA3A61" w14:textId="5EAE0262" w:rsidR="00206755" w:rsidRPr="00C8500E" w:rsidRDefault="00FA4BC4" w:rsidP="00CD164D">
            <w:pPr>
              <w:pStyle w:val="NoSpacing"/>
              <w:rPr>
                <w:b/>
                <w:bCs/>
              </w:rPr>
            </w:pPr>
            <w:r w:rsidRPr="00C8500E">
              <w:rPr>
                <w:b/>
                <w:bCs/>
              </w:rPr>
              <w:t>CN</w:t>
            </w:r>
          </w:p>
        </w:tc>
        <w:tc>
          <w:tcPr>
            <w:tcW w:w="1335" w:type="dxa"/>
          </w:tcPr>
          <w:p w14:paraId="282E6EC9" w14:textId="77777777" w:rsidR="00206755" w:rsidRPr="00C8500E" w:rsidRDefault="00206755" w:rsidP="00CD164D">
            <w:pPr>
              <w:pStyle w:val="NoSpacing"/>
              <w:rPr>
                <w:b/>
                <w:bCs/>
              </w:rPr>
            </w:pPr>
          </w:p>
        </w:tc>
        <w:tc>
          <w:tcPr>
            <w:tcW w:w="2500" w:type="dxa"/>
          </w:tcPr>
          <w:p w14:paraId="185CDCCE" w14:textId="35595C56" w:rsidR="00206755" w:rsidRPr="00C8500E" w:rsidRDefault="00FA4BC4" w:rsidP="00CD164D">
            <w:pPr>
              <w:pStyle w:val="NoSpacing"/>
              <w:rPr>
                <w:b/>
                <w:bCs/>
              </w:rPr>
            </w:pPr>
            <w:r w:rsidRPr="00C8500E">
              <w:rPr>
                <w:b/>
                <w:bCs/>
              </w:rPr>
              <w:t>Effects</w:t>
            </w:r>
          </w:p>
        </w:tc>
        <w:tc>
          <w:tcPr>
            <w:tcW w:w="1103" w:type="dxa"/>
          </w:tcPr>
          <w:p w14:paraId="6F3C0F00" w14:textId="27F70D69" w:rsidR="00206755" w:rsidRPr="00C8500E" w:rsidRDefault="00206755" w:rsidP="00CD164D">
            <w:pPr>
              <w:pStyle w:val="NoSpacing"/>
              <w:rPr>
                <w:b/>
                <w:bCs/>
              </w:rPr>
            </w:pPr>
          </w:p>
        </w:tc>
      </w:tr>
      <w:tr w:rsidR="00920C6D" w:rsidRPr="00C8500E" w14:paraId="6C087704" w14:textId="77777777" w:rsidTr="00504AA0">
        <w:tc>
          <w:tcPr>
            <w:tcW w:w="0" w:type="auto"/>
            <w:hideMark/>
          </w:tcPr>
          <w:p w14:paraId="1CA9D2B2" w14:textId="77777777" w:rsidR="00C9499F" w:rsidRPr="00C8500E" w:rsidRDefault="00C9499F" w:rsidP="00CD164D">
            <w:pPr>
              <w:pStyle w:val="NoSpacing"/>
              <w:rPr>
                <w:b/>
                <w:bCs/>
              </w:rPr>
            </w:pPr>
          </w:p>
        </w:tc>
        <w:tc>
          <w:tcPr>
            <w:tcW w:w="0" w:type="auto"/>
            <w:hideMark/>
          </w:tcPr>
          <w:p w14:paraId="3A04C7F6" w14:textId="77777777" w:rsidR="00C9499F" w:rsidRPr="00C8500E" w:rsidRDefault="00C9499F" w:rsidP="00CD164D">
            <w:pPr>
              <w:pStyle w:val="NoSpacing"/>
              <w:rPr>
                <w:b/>
                <w:bCs/>
              </w:rPr>
            </w:pPr>
            <w:r w:rsidRPr="00C8500E">
              <w:rPr>
                <w:b/>
                <w:bCs/>
              </w:rPr>
              <w:t>Pre</w:t>
            </w:r>
          </w:p>
        </w:tc>
        <w:tc>
          <w:tcPr>
            <w:tcW w:w="0" w:type="auto"/>
            <w:hideMark/>
          </w:tcPr>
          <w:p w14:paraId="64780547" w14:textId="77777777" w:rsidR="00C9499F" w:rsidRPr="00C8500E" w:rsidRDefault="00C9499F" w:rsidP="00CD164D">
            <w:pPr>
              <w:pStyle w:val="NoSpacing"/>
              <w:rPr>
                <w:b/>
                <w:bCs/>
              </w:rPr>
            </w:pPr>
            <w:r w:rsidRPr="00C8500E">
              <w:rPr>
                <w:b/>
                <w:bCs/>
              </w:rPr>
              <w:t>Post</w:t>
            </w:r>
          </w:p>
        </w:tc>
        <w:tc>
          <w:tcPr>
            <w:tcW w:w="0" w:type="auto"/>
            <w:hideMark/>
          </w:tcPr>
          <w:p w14:paraId="6B6F579F" w14:textId="77777777" w:rsidR="00C9499F" w:rsidRPr="00C8500E" w:rsidRDefault="00C9499F" w:rsidP="00CD164D">
            <w:pPr>
              <w:pStyle w:val="NoSpacing"/>
              <w:rPr>
                <w:b/>
                <w:bCs/>
              </w:rPr>
            </w:pPr>
            <w:r w:rsidRPr="00C8500E">
              <w:rPr>
                <w:b/>
                <w:bCs/>
              </w:rPr>
              <w:t>Pre</w:t>
            </w:r>
          </w:p>
        </w:tc>
        <w:tc>
          <w:tcPr>
            <w:tcW w:w="0" w:type="auto"/>
            <w:hideMark/>
          </w:tcPr>
          <w:p w14:paraId="29815F02" w14:textId="77777777" w:rsidR="00C9499F" w:rsidRPr="00C8500E" w:rsidRDefault="00C9499F" w:rsidP="00CD164D">
            <w:pPr>
              <w:pStyle w:val="NoSpacing"/>
              <w:rPr>
                <w:b/>
                <w:bCs/>
              </w:rPr>
            </w:pPr>
            <w:r w:rsidRPr="00C8500E">
              <w:rPr>
                <w:b/>
                <w:bCs/>
              </w:rPr>
              <w:t>Post</w:t>
            </w:r>
          </w:p>
        </w:tc>
        <w:tc>
          <w:tcPr>
            <w:tcW w:w="0" w:type="auto"/>
            <w:hideMark/>
          </w:tcPr>
          <w:p w14:paraId="63268719" w14:textId="77777777" w:rsidR="00C9499F" w:rsidRPr="00C8500E" w:rsidRDefault="00C9499F" w:rsidP="00CD164D">
            <w:pPr>
              <w:pStyle w:val="NoSpacing"/>
              <w:rPr>
                <w:b/>
                <w:bCs/>
              </w:rPr>
            </w:pPr>
            <w:r w:rsidRPr="00C8500E">
              <w:rPr>
                <w:b/>
                <w:bCs/>
              </w:rPr>
              <w:t>Group x Time</w:t>
            </w:r>
          </w:p>
        </w:tc>
        <w:tc>
          <w:tcPr>
            <w:tcW w:w="0" w:type="auto"/>
            <w:hideMark/>
          </w:tcPr>
          <w:p w14:paraId="5819ACD6" w14:textId="77777777" w:rsidR="00C9499F" w:rsidRPr="00C8500E" w:rsidRDefault="00C9499F" w:rsidP="00CD164D">
            <w:pPr>
              <w:pStyle w:val="NoSpacing"/>
              <w:rPr>
                <w:b/>
                <w:bCs/>
              </w:rPr>
            </w:pPr>
            <w:r w:rsidRPr="00C8500E">
              <w:rPr>
                <w:b/>
                <w:bCs/>
              </w:rPr>
              <w:t>Time</w:t>
            </w:r>
          </w:p>
        </w:tc>
      </w:tr>
      <w:tr w:rsidR="00920C6D" w:rsidRPr="00C8500E" w14:paraId="3531D537" w14:textId="77777777" w:rsidTr="00504AA0">
        <w:tc>
          <w:tcPr>
            <w:tcW w:w="0" w:type="auto"/>
            <w:hideMark/>
          </w:tcPr>
          <w:p w14:paraId="067B3349" w14:textId="77777777" w:rsidR="00C9499F" w:rsidRPr="00C8500E" w:rsidRDefault="00C9499F" w:rsidP="00CD164D">
            <w:pPr>
              <w:pStyle w:val="NoSpacing"/>
              <w:rPr>
                <w:b/>
                <w:bCs/>
              </w:rPr>
            </w:pPr>
            <w:r w:rsidRPr="00C8500E">
              <w:rPr>
                <w:b/>
                <w:bCs/>
                <w:i/>
                <w:iCs/>
              </w:rPr>
              <w:t>Assessments</w:t>
            </w:r>
          </w:p>
        </w:tc>
        <w:tc>
          <w:tcPr>
            <w:tcW w:w="0" w:type="auto"/>
            <w:hideMark/>
          </w:tcPr>
          <w:p w14:paraId="3F6B205B" w14:textId="77777777" w:rsidR="00C9499F" w:rsidRPr="00C8500E" w:rsidRDefault="00C9499F" w:rsidP="00CD164D">
            <w:pPr>
              <w:pStyle w:val="NoSpacing"/>
              <w:rPr>
                <w:b/>
                <w:bCs/>
              </w:rPr>
            </w:pPr>
            <w:r w:rsidRPr="00C8500E">
              <w:rPr>
                <w:b/>
                <w:bCs/>
              </w:rPr>
              <w:t>Mean (SD)</w:t>
            </w:r>
          </w:p>
        </w:tc>
        <w:tc>
          <w:tcPr>
            <w:tcW w:w="0" w:type="auto"/>
            <w:hideMark/>
          </w:tcPr>
          <w:p w14:paraId="0BC51CAD" w14:textId="77777777" w:rsidR="00C9499F" w:rsidRPr="00C8500E" w:rsidRDefault="00C9499F" w:rsidP="00CD164D">
            <w:pPr>
              <w:pStyle w:val="NoSpacing"/>
              <w:rPr>
                <w:b/>
                <w:bCs/>
              </w:rPr>
            </w:pPr>
            <w:r w:rsidRPr="00C8500E">
              <w:rPr>
                <w:b/>
                <w:bCs/>
              </w:rPr>
              <w:t>Mean (SD)</w:t>
            </w:r>
          </w:p>
        </w:tc>
        <w:tc>
          <w:tcPr>
            <w:tcW w:w="0" w:type="auto"/>
            <w:hideMark/>
          </w:tcPr>
          <w:p w14:paraId="23E9D59E" w14:textId="77777777" w:rsidR="00C9499F" w:rsidRPr="00C8500E" w:rsidRDefault="00C9499F" w:rsidP="00CD164D">
            <w:pPr>
              <w:pStyle w:val="NoSpacing"/>
              <w:rPr>
                <w:b/>
                <w:bCs/>
              </w:rPr>
            </w:pPr>
            <w:r w:rsidRPr="00C8500E">
              <w:rPr>
                <w:b/>
                <w:bCs/>
              </w:rPr>
              <w:t>Mean (SD)</w:t>
            </w:r>
          </w:p>
        </w:tc>
        <w:tc>
          <w:tcPr>
            <w:tcW w:w="0" w:type="auto"/>
            <w:hideMark/>
          </w:tcPr>
          <w:p w14:paraId="5CB4CDC9" w14:textId="77777777" w:rsidR="00C9499F" w:rsidRPr="00C8500E" w:rsidRDefault="00C9499F" w:rsidP="00CD164D">
            <w:pPr>
              <w:pStyle w:val="NoSpacing"/>
              <w:rPr>
                <w:b/>
                <w:bCs/>
              </w:rPr>
            </w:pPr>
            <w:r w:rsidRPr="00C8500E">
              <w:rPr>
                <w:b/>
                <w:bCs/>
              </w:rPr>
              <w:t>Mean (SD)</w:t>
            </w:r>
          </w:p>
        </w:tc>
        <w:tc>
          <w:tcPr>
            <w:tcW w:w="0" w:type="auto"/>
            <w:hideMark/>
          </w:tcPr>
          <w:p w14:paraId="1F478B7D" w14:textId="77777777" w:rsidR="00C9499F" w:rsidRPr="00C8500E" w:rsidRDefault="00C9499F" w:rsidP="00CD164D">
            <w:pPr>
              <w:pStyle w:val="NoSpacing"/>
              <w:rPr>
                <w:b/>
                <w:bCs/>
              </w:rPr>
            </w:pPr>
            <w:r w:rsidRPr="00C8500E">
              <w:rPr>
                <w:b/>
                <w:bCs/>
                <w:i/>
                <w:iCs/>
              </w:rPr>
              <w:t>p</w:t>
            </w:r>
            <w:r w:rsidRPr="00C8500E">
              <w:rPr>
                <w:b/>
                <w:bCs/>
              </w:rPr>
              <w:t>-value (</w:t>
            </w:r>
            <w:r w:rsidRPr="00C8500E">
              <w:t>η</w:t>
            </w:r>
            <w:r w:rsidRPr="00C8500E">
              <w:rPr>
                <w:vertAlign w:val="superscript"/>
              </w:rPr>
              <w:t>2</w:t>
            </w:r>
            <w:r w:rsidRPr="00C8500E">
              <w:rPr>
                <w:vertAlign w:val="subscript"/>
              </w:rPr>
              <w:t>P</w:t>
            </w:r>
            <w:r w:rsidRPr="00C8500E">
              <w:rPr>
                <w:b/>
                <w:bCs/>
              </w:rPr>
              <w:t>)</w:t>
            </w:r>
          </w:p>
        </w:tc>
        <w:tc>
          <w:tcPr>
            <w:tcW w:w="0" w:type="auto"/>
            <w:hideMark/>
          </w:tcPr>
          <w:p w14:paraId="16BEEA5E" w14:textId="77777777" w:rsidR="00C9499F" w:rsidRPr="00C8500E" w:rsidRDefault="00C9499F" w:rsidP="00CD164D">
            <w:pPr>
              <w:pStyle w:val="NoSpacing"/>
              <w:rPr>
                <w:b/>
                <w:bCs/>
              </w:rPr>
            </w:pPr>
            <w:r w:rsidRPr="00C8500E">
              <w:rPr>
                <w:b/>
                <w:bCs/>
                <w:i/>
                <w:iCs/>
              </w:rPr>
              <w:t>p</w:t>
            </w:r>
            <w:r w:rsidRPr="00C8500E">
              <w:rPr>
                <w:b/>
                <w:bCs/>
              </w:rPr>
              <w:t>-value (</w:t>
            </w:r>
            <w:r w:rsidRPr="00C8500E">
              <w:t>η</w:t>
            </w:r>
            <w:r w:rsidRPr="00C8500E">
              <w:rPr>
                <w:vertAlign w:val="superscript"/>
              </w:rPr>
              <w:t>2</w:t>
            </w:r>
            <w:r w:rsidRPr="00C8500E">
              <w:rPr>
                <w:vertAlign w:val="subscript"/>
              </w:rPr>
              <w:t>P</w:t>
            </w:r>
            <w:r w:rsidRPr="00C8500E">
              <w:rPr>
                <w:b/>
                <w:bCs/>
              </w:rPr>
              <w:t>)</w:t>
            </w:r>
          </w:p>
        </w:tc>
      </w:tr>
      <w:tr w:rsidR="007C1277" w:rsidRPr="00C8500E" w14:paraId="18F46ACE" w14:textId="77777777" w:rsidTr="00920C6D">
        <w:tc>
          <w:tcPr>
            <w:tcW w:w="0" w:type="auto"/>
            <w:hideMark/>
          </w:tcPr>
          <w:p w14:paraId="42434FAE" w14:textId="77777777" w:rsidR="007C1277" w:rsidRPr="00C8500E" w:rsidRDefault="007C1277" w:rsidP="00CD164D">
            <w:pPr>
              <w:pStyle w:val="NoSpacing"/>
            </w:pPr>
            <w:r w:rsidRPr="00C8500E">
              <w:rPr>
                <w:i/>
                <w:iCs/>
              </w:rPr>
              <w:t>Neuropsychological</w:t>
            </w:r>
          </w:p>
        </w:tc>
        <w:tc>
          <w:tcPr>
            <w:tcW w:w="0" w:type="auto"/>
            <w:hideMark/>
          </w:tcPr>
          <w:p w14:paraId="67E06C27" w14:textId="77777777" w:rsidR="007C1277" w:rsidRPr="00C8500E" w:rsidRDefault="007C1277" w:rsidP="00CD164D">
            <w:pPr>
              <w:pStyle w:val="NoSpacing"/>
            </w:pPr>
          </w:p>
        </w:tc>
        <w:tc>
          <w:tcPr>
            <w:tcW w:w="1335" w:type="dxa"/>
            <w:hideMark/>
          </w:tcPr>
          <w:p w14:paraId="27A1FEA5" w14:textId="77777777" w:rsidR="007C1277" w:rsidRPr="00C8500E" w:rsidRDefault="007C1277" w:rsidP="00CD164D">
            <w:pPr>
              <w:pStyle w:val="NoSpacing"/>
            </w:pPr>
          </w:p>
        </w:tc>
        <w:tc>
          <w:tcPr>
            <w:tcW w:w="1379" w:type="dxa"/>
            <w:hideMark/>
          </w:tcPr>
          <w:p w14:paraId="3F3DBA2C" w14:textId="77777777" w:rsidR="007C1277" w:rsidRPr="00C8500E" w:rsidRDefault="007C1277" w:rsidP="00CD164D">
            <w:pPr>
              <w:pStyle w:val="NoSpacing"/>
            </w:pPr>
          </w:p>
        </w:tc>
        <w:tc>
          <w:tcPr>
            <w:tcW w:w="0" w:type="auto"/>
            <w:hideMark/>
          </w:tcPr>
          <w:p w14:paraId="3E1BFEA7" w14:textId="77777777" w:rsidR="007C1277" w:rsidRPr="00C8500E" w:rsidRDefault="007C1277" w:rsidP="00CD164D">
            <w:pPr>
              <w:pStyle w:val="NoSpacing"/>
            </w:pPr>
          </w:p>
        </w:tc>
        <w:tc>
          <w:tcPr>
            <w:tcW w:w="2500" w:type="dxa"/>
            <w:hideMark/>
          </w:tcPr>
          <w:p w14:paraId="170D88BC" w14:textId="77777777" w:rsidR="007C1277" w:rsidRPr="00C8500E" w:rsidRDefault="007C1277" w:rsidP="00CD164D">
            <w:pPr>
              <w:pStyle w:val="NoSpacing"/>
            </w:pPr>
          </w:p>
        </w:tc>
        <w:tc>
          <w:tcPr>
            <w:tcW w:w="0" w:type="auto"/>
            <w:hideMark/>
          </w:tcPr>
          <w:p w14:paraId="7D43467F" w14:textId="77777777" w:rsidR="007C1277" w:rsidRPr="00C8500E" w:rsidRDefault="007C1277" w:rsidP="00CD164D">
            <w:pPr>
              <w:pStyle w:val="NoSpacing"/>
            </w:pPr>
          </w:p>
        </w:tc>
      </w:tr>
      <w:tr w:rsidR="007C1277" w:rsidRPr="00C8500E" w14:paraId="423D96AF" w14:textId="77777777" w:rsidTr="00920C6D">
        <w:tc>
          <w:tcPr>
            <w:tcW w:w="0" w:type="auto"/>
            <w:hideMark/>
          </w:tcPr>
          <w:p w14:paraId="73B20D44" w14:textId="77777777" w:rsidR="007C1277" w:rsidRPr="00C8500E" w:rsidRDefault="007C1277" w:rsidP="00CD164D">
            <w:pPr>
              <w:pStyle w:val="NoSpacing"/>
            </w:pPr>
            <w:r w:rsidRPr="00C8500E">
              <w:t> </w:t>
            </w:r>
            <w:r w:rsidRPr="00C8500E">
              <w:t>RAVLT Trial 1</w:t>
            </w:r>
          </w:p>
        </w:tc>
        <w:tc>
          <w:tcPr>
            <w:tcW w:w="0" w:type="auto"/>
            <w:hideMark/>
          </w:tcPr>
          <w:p w14:paraId="537E3383" w14:textId="77777777" w:rsidR="007C1277" w:rsidRPr="00C8500E" w:rsidRDefault="007C1277" w:rsidP="00CD164D">
            <w:pPr>
              <w:pStyle w:val="NoSpacing"/>
            </w:pPr>
            <w:r w:rsidRPr="00C8500E">
              <w:t>3.9</w:t>
            </w:r>
          </w:p>
          <w:p w14:paraId="5F7AADF6" w14:textId="5AED0FA6" w:rsidR="007C1277" w:rsidRPr="00C8500E" w:rsidRDefault="007C1277" w:rsidP="00CD164D">
            <w:pPr>
              <w:pStyle w:val="NoSpacing"/>
            </w:pPr>
            <w:r w:rsidRPr="00C8500E">
              <w:t>(2.0)</w:t>
            </w:r>
          </w:p>
        </w:tc>
        <w:tc>
          <w:tcPr>
            <w:tcW w:w="1335" w:type="dxa"/>
            <w:hideMark/>
          </w:tcPr>
          <w:p w14:paraId="6FAD1372" w14:textId="77777777" w:rsidR="007C1277" w:rsidRPr="00C8500E" w:rsidRDefault="007C1277" w:rsidP="00CD164D">
            <w:pPr>
              <w:pStyle w:val="NoSpacing"/>
            </w:pPr>
            <w:r w:rsidRPr="00C8500E">
              <w:t>5.0(1.9)</w:t>
            </w:r>
          </w:p>
          <w:p w14:paraId="0070AE1B" w14:textId="5DCFE097" w:rsidR="007C1277" w:rsidRPr="00C8500E" w:rsidRDefault="007C1277" w:rsidP="00CD164D">
            <w:pPr>
              <w:pStyle w:val="NoSpacing"/>
            </w:pPr>
          </w:p>
        </w:tc>
        <w:tc>
          <w:tcPr>
            <w:tcW w:w="1379" w:type="dxa"/>
            <w:hideMark/>
          </w:tcPr>
          <w:p w14:paraId="48F6F1DD" w14:textId="561C0D13" w:rsidR="007C1277" w:rsidRPr="00C8500E" w:rsidRDefault="007C1277" w:rsidP="00CD164D">
            <w:pPr>
              <w:pStyle w:val="NoSpacing"/>
            </w:pPr>
            <w:r w:rsidRPr="00C8500E">
              <w:t>5.4</w:t>
            </w:r>
            <w:r w:rsidR="000B7245" w:rsidRPr="00C8500E">
              <w:t>(1.9)</w:t>
            </w:r>
          </w:p>
        </w:tc>
        <w:tc>
          <w:tcPr>
            <w:tcW w:w="0" w:type="auto"/>
            <w:hideMark/>
          </w:tcPr>
          <w:p w14:paraId="3F83212A" w14:textId="6805167C" w:rsidR="000B7245" w:rsidRPr="00C8500E" w:rsidRDefault="000B7245" w:rsidP="00CD164D">
            <w:pPr>
              <w:pStyle w:val="NoSpacing"/>
            </w:pPr>
            <w:r w:rsidRPr="00C8500E">
              <w:t>6.3(1.6)</w:t>
            </w:r>
          </w:p>
          <w:p w14:paraId="44A98114" w14:textId="6AE7B51D" w:rsidR="007C1277" w:rsidRPr="00C8500E" w:rsidRDefault="007C1277" w:rsidP="00CD164D">
            <w:pPr>
              <w:pStyle w:val="NoSpacing"/>
            </w:pPr>
          </w:p>
        </w:tc>
        <w:tc>
          <w:tcPr>
            <w:tcW w:w="2500" w:type="dxa"/>
            <w:hideMark/>
          </w:tcPr>
          <w:p w14:paraId="1CBCF9AB" w14:textId="1630C513" w:rsidR="007C1277" w:rsidRPr="00C8500E" w:rsidRDefault="000B7245" w:rsidP="00CD164D">
            <w:pPr>
              <w:pStyle w:val="NoSpacing"/>
            </w:pPr>
            <w:r w:rsidRPr="00C8500E">
              <w:t xml:space="preserve"> </w:t>
            </w:r>
          </w:p>
          <w:p w14:paraId="24C4EA47" w14:textId="38AB3FD7" w:rsidR="007C1277" w:rsidRPr="00C8500E" w:rsidRDefault="007C1277" w:rsidP="00CD164D">
            <w:pPr>
              <w:pStyle w:val="NoSpacing"/>
            </w:pPr>
            <w:r w:rsidRPr="00C8500E">
              <w:t>0.734 (0.00)</w:t>
            </w:r>
          </w:p>
        </w:tc>
        <w:tc>
          <w:tcPr>
            <w:tcW w:w="0" w:type="auto"/>
            <w:hideMark/>
          </w:tcPr>
          <w:p w14:paraId="315C6FE6" w14:textId="77777777" w:rsidR="007C1277" w:rsidRPr="00C8500E" w:rsidRDefault="007C1277" w:rsidP="00CD164D">
            <w:pPr>
              <w:pStyle w:val="NoSpacing"/>
            </w:pPr>
            <w:r w:rsidRPr="00C8500E">
              <w:rPr>
                <w:b/>
                <w:bCs/>
              </w:rPr>
              <w:t>0.010 (0.20)</w:t>
            </w:r>
          </w:p>
        </w:tc>
      </w:tr>
      <w:tr w:rsidR="00A312DA" w:rsidRPr="00C8500E" w14:paraId="11732439" w14:textId="77777777" w:rsidTr="00920C6D">
        <w:tc>
          <w:tcPr>
            <w:tcW w:w="0" w:type="auto"/>
            <w:hideMark/>
          </w:tcPr>
          <w:p w14:paraId="4FCA8007" w14:textId="77777777" w:rsidR="00A312DA" w:rsidRPr="00C8500E" w:rsidRDefault="00A312DA" w:rsidP="00CD164D">
            <w:pPr>
              <w:pStyle w:val="NoSpacing"/>
            </w:pPr>
            <w:r w:rsidRPr="00C8500E">
              <w:t> </w:t>
            </w:r>
            <w:r w:rsidRPr="00C8500E">
              <w:t>RAVLT Trials 1–5</w:t>
            </w:r>
          </w:p>
        </w:tc>
        <w:tc>
          <w:tcPr>
            <w:tcW w:w="0" w:type="auto"/>
            <w:hideMark/>
          </w:tcPr>
          <w:p w14:paraId="71E93A0B" w14:textId="77777777" w:rsidR="00A312DA" w:rsidRPr="00C8500E" w:rsidRDefault="00A312DA" w:rsidP="00CD164D">
            <w:pPr>
              <w:pStyle w:val="NoSpacing"/>
            </w:pPr>
            <w:r w:rsidRPr="00C8500E">
              <w:t>35.3</w:t>
            </w:r>
          </w:p>
          <w:p w14:paraId="29820478" w14:textId="05964BDE" w:rsidR="00A312DA" w:rsidRPr="00C8500E" w:rsidRDefault="00A312DA" w:rsidP="00CD164D">
            <w:pPr>
              <w:pStyle w:val="NoSpacing"/>
            </w:pPr>
            <w:r w:rsidRPr="00C8500E">
              <w:t>(14.2)</w:t>
            </w:r>
          </w:p>
        </w:tc>
        <w:tc>
          <w:tcPr>
            <w:tcW w:w="1335" w:type="dxa"/>
            <w:hideMark/>
          </w:tcPr>
          <w:p w14:paraId="7BF233A0" w14:textId="2E0B4898" w:rsidR="00A312DA" w:rsidRPr="00C8500E" w:rsidRDefault="00A312DA" w:rsidP="00CD164D">
            <w:pPr>
              <w:pStyle w:val="NoSpacing"/>
            </w:pPr>
            <w:r w:rsidRPr="00C8500E">
              <w:t>37.2(14.6)</w:t>
            </w:r>
          </w:p>
        </w:tc>
        <w:tc>
          <w:tcPr>
            <w:tcW w:w="1379" w:type="dxa"/>
            <w:hideMark/>
          </w:tcPr>
          <w:p w14:paraId="220DC9EC" w14:textId="7473C241" w:rsidR="00A312DA" w:rsidRPr="00C8500E" w:rsidRDefault="00A312DA" w:rsidP="00CD164D">
            <w:pPr>
              <w:pStyle w:val="NoSpacing"/>
            </w:pPr>
            <w:r w:rsidRPr="00C8500E">
              <w:t>49.4(9.6)</w:t>
            </w:r>
          </w:p>
        </w:tc>
        <w:tc>
          <w:tcPr>
            <w:tcW w:w="0" w:type="auto"/>
            <w:hideMark/>
          </w:tcPr>
          <w:p w14:paraId="118034FF" w14:textId="77777777" w:rsidR="004852BC" w:rsidRPr="00C8500E" w:rsidRDefault="004852BC" w:rsidP="00CD164D">
            <w:pPr>
              <w:pStyle w:val="NoSpacing"/>
            </w:pPr>
            <w:r w:rsidRPr="00C8500E">
              <w:t>52.5 (8.2)</w:t>
            </w:r>
          </w:p>
          <w:p w14:paraId="7125EC63" w14:textId="7E7DCEEF" w:rsidR="004852BC" w:rsidRPr="00C8500E" w:rsidRDefault="004852BC" w:rsidP="00CD164D">
            <w:pPr>
              <w:pStyle w:val="NoSpacing"/>
            </w:pPr>
          </w:p>
          <w:p w14:paraId="060817A3" w14:textId="21DE9E83" w:rsidR="00A312DA" w:rsidRPr="00C8500E" w:rsidRDefault="00A312DA" w:rsidP="00CD164D">
            <w:pPr>
              <w:pStyle w:val="NoSpacing"/>
            </w:pPr>
          </w:p>
        </w:tc>
        <w:tc>
          <w:tcPr>
            <w:tcW w:w="2500" w:type="dxa"/>
            <w:hideMark/>
          </w:tcPr>
          <w:p w14:paraId="5ADBCE82" w14:textId="1CEEC3A4" w:rsidR="00A312DA" w:rsidRPr="00C8500E" w:rsidRDefault="00A312DA" w:rsidP="00CD164D">
            <w:pPr>
              <w:pStyle w:val="NoSpacing"/>
            </w:pPr>
            <w:r w:rsidRPr="00C8500E">
              <w:t>0.685 (0.01)</w:t>
            </w:r>
          </w:p>
        </w:tc>
        <w:tc>
          <w:tcPr>
            <w:tcW w:w="0" w:type="auto"/>
            <w:hideMark/>
          </w:tcPr>
          <w:p w14:paraId="3D8E26CC" w14:textId="77777777" w:rsidR="00A312DA" w:rsidRPr="00C8500E" w:rsidRDefault="00A312DA" w:rsidP="00CD164D">
            <w:pPr>
              <w:pStyle w:val="NoSpacing"/>
            </w:pPr>
            <w:r w:rsidRPr="00C8500E">
              <w:t>0.091 (0.09)</w:t>
            </w:r>
          </w:p>
        </w:tc>
      </w:tr>
      <w:tr w:rsidR="00FD7073" w:rsidRPr="00C8500E" w14:paraId="25E59C3B" w14:textId="77777777" w:rsidTr="00920C6D">
        <w:tc>
          <w:tcPr>
            <w:tcW w:w="0" w:type="auto"/>
            <w:hideMark/>
          </w:tcPr>
          <w:p w14:paraId="09415675" w14:textId="77777777" w:rsidR="00FD7073" w:rsidRPr="00C8500E" w:rsidRDefault="00FD7073" w:rsidP="00CD164D">
            <w:pPr>
              <w:pStyle w:val="NoSpacing"/>
            </w:pPr>
            <w:r w:rsidRPr="00C8500E">
              <w:t> </w:t>
            </w:r>
            <w:r w:rsidRPr="00C8500E">
              <w:t>RAVLT IR</w:t>
            </w:r>
          </w:p>
        </w:tc>
        <w:tc>
          <w:tcPr>
            <w:tcW w:w="0" w:type="auto"/>
            <w:hideMark/>
          </w:tcPr>
          <w:p w14:paraId="0A992735" w14:textId="77777777" w:rsidR="00FD7073" w:rsidRPr="00C8500E" w:rsidRDefault="00FD7073" w:rsidP="00CD164D">
            <w:pPr>
              <w:pStyle w:val="NoSpacing"/>
            </w:pPr>
            <w:r w:rsidRPr="00C8500E">
              <w:t>5.4</w:t>
            </w:r>
          </w:p>
          <w:p w14:paraId="1D895A8C" w14:textId="48F56E66" w:rsidR="00FD7073" w:rsidRPr="00C8500E" w:rsidRDefault="00FD7073" w:rsidP="00CD164D">
            <w:pPr>
              <w:pStyle w:val="NoSpacing"/>
            </w:pPr>
            <w:r w:rsidRPr="00C8500E">
              <w:t>(4.1)</w:t>
            </w:r>
          </w:p>
        </w:tc>
        <w:tc>
          <w:tcPr>
            <w:tcW w:w="1335" w:type="dxa"/>
            <w:hideMark/>
          </w:tcPr>
          <w:p w14:paraId="6B67AACF" w14:textId="77777777" w:rsidR="00FD7073" w:rsidRPr="00C8500E" w:rsidRDefault="00FD7073" w:rsidP="00CD164D">
            <w:pPr>
              <w:pStyle w:val="NoSpacing"/>
            </w:pPr>
            <w:r w:rsidRPr="00C8500E">
              <w:t>6.0(4.3)</w:t>
            </w:r>
          </w:p>
          <w:p w14:paraId="39636A14" w14:textId="0310B26D" w:rsidR="00FD7073" w:rsidRPr="00C8500E" w:rsidRDefault="00FD7073" w:rsidP="00CD164D">
            <w:pPr>
              <w:pStyle w:val="NoSpacing"/>
            </w:pPr>
          </w:p>
        </w:tc>
        <w:tc>
          <w:tcPr>
            <w:tcW w:w="1379" w:type="dxa"/>
            <w:hideMark/>
          </w:tcPr>
          <w:p w14:paraId="50E6742F" w14:textId="1BB77834" w:rsidR="00FD7073" w:rsidRPr="00C8500E" w:rsidRDefault="00FD7073" w:rsidP="00CD164D">
            <w:pPr>
              <w:pStyle w:val="NoSpacing"/>
            </w:pPr>
            <w:r w:rsidRPr="00C8500E">
              <w:t>11.1(2.4)</w:t>
            </w:r>
          </w:p>
        </w:tc>
        <w:tc>
          <w:tcPr>
            <w:tcW w:w="0" w:type="auto"/>
            <w:hideMark/>
          </w:tcPr>
          <w:p w14:paraId="1AE03BD4" w14:textId="6834CA14" w:rsidR="00FD7073" w:rsidRPr="00C8500E" w:rsidRDefault="00FD7073" w:rsidP="00CD164D">
            <w:pPr>
              <w:pStyle w:val="NoSpacing"/>
            </w:pPr>
            <w:r w:rsidRPr="00C8500E">
              <w:t>11.4(1.6)</w:t>
            </w:r>
          </w:p>
          <w:p w14:paraId="340407A4" w14:textId="0F67C9DA" w:rsidR="00FD7073" w:rsidRPr="00C8500E" w:rsidRDefault="00FD7073" w:rsidP="00CD164D">
            <w:pPr>
              <w:pStyle w:val="NoSpacing"/>
            </w:pPr>
          </w:p>
        </w:tc>
        <w:tc>
          <w:tcPr>
            <w:tcW w:w="2500" w:type="dxa"/>
            <w:hideMark/>
          </w:tcPr>
          <w:p w14:paraId="14F2B7FC" w14:textId="762E45B3" w:rsidR="00FD7073" w:rsidRPr="00C8500E" w:rsidRDefault="00FD7073" w:rsidP="00CD164D">
            <w:pPr>
              <w:pStyle w:val="NoSpacing"/>
            </w:pPr>
            <w:r w:rsidRPr="00C8500E">
              <w:t xml:space="preserve"> </w:t>
            </w:r>
          </w:p>
          <w:p w14:paraId="1A04E4BA" w14:textId="3A2E1545" w:rsidR="00FD7073" w:rsidRPr="00C8500E" w:rsidRDefault="00FD7073" w:rsidP="00CD164D">
            <w:pPr>
              <w:pStyle w:val="NoSpacing"/>
            </w:pPr>
            <w:r w:rsidRPr="00C8500E">
              <w:t>0.633 (0.01)</w:t>
            </w:r>
          </w:p>
        </w:tc>
        <w:tc>
          <w:tcPr>
            <w:tcW w:w="0" w:type="auto"/>
            <w:hideMark/>
          </w:tcPr>
          <w:p w14:paraId="48C76E77" w14:textId="77777777" w:rsidR="00FD7073" w:rsidRPr="00C8500E" w:rsidRDefault="00FD7073" w:rsidP="00CD164D">
            <w:pPr>
              <w:pStyle w:val="NoSpacing"/>
            </w:pPr>
            <w:r w:rsidRPr="00C8500E">
              <w:t>0.278 (0.04)</w:t>
            </w:r>
          </w:p>
        </w:tc>
      </w:tr>
      <w:tr w:rsidR="003A4DD3" w:rsidRPr="00C8500E" w14:paraId="21D00901" w14:textId="77777777" w:rsidTr="00920C6D">
        <w:tc>
          <w:tcPr>
            <w:tcW w:w="0" w:type="auto"/>
            <w:hideMark/>
          </w:tcPr>
          <w:p w14:paraId="74A74478" w14:textId="77777777" w:rsidR="003A4DD3" w:rsidRPr="00C8500E" w:rsidRDefault="003A4DD3" w:rsidP="00CD164D">
            <w:pPr>
              <w:pStyle w:val="NoSpacing"/>
            </w:pPr>
            <w:r w:rsidRPr="00C8500E">
              <w:t> </w:t>
            </w:r>
            <w:r w:rsidRPr="00C8500E">
              <w:t>RAVLT DR</w:t>
            </w:r>
          </w:p>
        </w:tc>
        <w:tc>
          <w:tcPr>
            <w:tcW w:w="0" w:type="auto"/>
            <w:hideMark/>
          </w:tcPr>
          <w:p w14:paraId="790DE5DD" w14:textId="77777777" w:rsidR="003A4DD3" w:rsidRPr="00C8500E" w:rsidRDefault="003A4DD3" w:rsidP="00CD164D">
            <w:pPr>
              <w:pStyle w:val="NoSpacing"/>
            </w:pPr>
            <w:r w:rsidRPr="00C8500E">
              <w:t>5.8</w:t>
            </w:r>
          </w:p>
          <w:p w14:paraId="5D488D19" w14:textId="152CF70A" w:rsidR="003A4DD3" w:rsidRPr="00C8500E" w:rsidRDefault="003A4DD3" w:rsidP="00CD164D">
            <w:pPr>
              <w:pStyle w:val="NoSpacing"/>
            </w:pPr>
            <w:r w:rsidRPr="00C8500E">
              <w:t>(4.5)</w:t>
            </w:r>
          </w:p>
        </w:tc>
        <w:tc>
          <w:tcPr>
            <w:tcW w:w="1335" w:type="dxa"/>
            <w:hideMark/>
          </w:tcPr>
          <w:p w14:paraId="19936DB9" w14:textId="77777777" w:rsidR="003A4DD3" w:rsidRPr="00C8500E" w:rsidRDefault="003A4DD3" w:rsidP="00CD164D">
            <w:pPr>
              <w:pStyle w:val="NoSpacing"/>
            </w:pPr>
            <w:r w:rsidRPr="00C8500E">
              <w:t>4.9(4.3)</w:t>
            </w:r>
          </w:p>
          <w:p w14:paraId="4359EAB9" w14:textId="47E50143" w:rsidR="003A4DD3" w:rsidRPr="00C8500E" w:rsidRDefault="003A4DD3" w:rsidP="00CD164D">
            <w:pPr>
              <w:pStyle w:val="NoSpacing"/>
            </w:pPr>
          </w:p>
        </w:tc>
        <w:tc>
          <w:tcPr>
            <w:tcW w:w="1379" w:type="dxa"/>
            <w:hideMark/>
          </w:tcPr>
          <w:p w14:paraId="577484FB" w14:textId="709B822E" w:rsidR="003A4DD3" w:rsidRPr="00C8500E" w:rsidRDefault="003A4DD3" w:rsidP="00CD164D">
            <w:pPr>
              <w:pStyle w:val="NoSpacing"/>
            </w:pPr>
            <w:r w:rsidRPr="00C8500E">
              <w:t>10.4(3.3)</w:t>
            </w:r>
          </w:p>
        </w:tc>
        <w:tc>
          <w:tcPr>
            <w:tcW w:w="0" w:type="auto"/>
            <w:hideMark/>
          </w:tcPr>
          <w:p w14:paraId="17C6BF0B" w14:textId="28D94CA5" w:rsidR="003A4DD3" w:rsidRPr="00C8500E" w:rsidRDefault="003A4DD3" w:rsidP="00CD164D">
            <w:pPr>
              <w:pStyle w:val="NoSpacing"/>
            </w:pPr>
            <w:r w:rsidRPr="00C8500E">
              <w:t>11.4(1.9)</w:t>
            </w:r>
          </w:p>
          <w:p w14:paraId="2C1E6854" w14:textId="594614DF" w:rsidR="003A4DD3" w:rsidRPr="00C8500E" w:rsidRDefault="003A4DD3" w:rsidP="00CD164D">
            <w:pPr>
              <w:pStyle w:val="NoSpacing"/>
            </w:pPr>
          </w:p>
        </w:tc>
        <w:tc>
          <w:tcPr>
            <w:tcW w:w="2500" w:type="dxa"/>
            <w:hideMark/>
          </w:tcPr>
          <w:p w14:paraId="77E6A1AC" w14:textId="478A89E7" w:rsidR="003A4DD3" w:rsidRPr="00C8500E" w:rsidRDefault="003A4DD3" w:rsidP="00CD164D">
            <w:pPr>
              <w:pStyle w:val="NoSpacing"/>
            </w:pPr>
            <w:r w:rsidRPr="00C8500E">
              <w:t xml:space="preserve"> </w:t>
            </w:r>
          </w:p>
          <w:p w14:paraId="7D98BB6A" w14:textId="1CE0D20B" w:rsidR="003A4DD3" w:rsidRPr="00C8500E" w:rsidRDefault="003A4DD3" w:rsidP="00CD164D">
            <w:pPr>
              <w:pStyle w:val="NoSpacing"/>
            </w:pPr>
            <w:r w:rsidRPr="00C8500E">
              <w:t>0.069 (0.11)</w:t>
            </w:r>
          </w:p>
        </w:tc>
        <w:tc>
          <w:tcPr>
            <w:tcW w:w="0" w:type="auto"/>
            <w:hideMark/>
          </w:tcPr>
          <w:p w14:paraId="675ACF4F" w14:textId="77777777" w:rsidR="003A4DD3" w:rsidRPr="00C8500E" w:rsidRDefault="003A4DD3" w:rsidP="00CD164D">
            <w:pPr>
              <w:pStyle w:val="NoSpacing"/>
            </w:pPr>
            <w:r w:rsidRPr="00C8500E">
              <w:t>0.894 (0.00)</w:t>
            </w:r>
          </w:p>
        </w:tc>
      </w:tr>
      <w:tr w:rsidR="003A4DD3" w:rsidRPr="00C8500E" w14:paraId="0B43F1AF" w14:textId="77777777" w:rsidTr="00920C6D">
        <w:tc>
          <w:tcPr>
            <w:tcW w:w="0" w:type="auto"/>
            <w:hideMark/>
          </w:tcPr>
          <w:p w14:paraId="44F63624" w14:textId="77777777" w:rsidR="003A4DD3" w:rsidRPr="00C8500E" w:rsidRDefault="003A4DD3" w:rsidP="00CD164D">
            <w:pPr>
              <w:pStyle w:val="NoSpacing"/>
            </w:pPr>
            <w:r w:rsidRPr="00C8500E">
              <w:t> </w:t>
            </w:r>
            <w:r w:rsidRPr="00C8500E">
              <w:t>Clock Drawing</w:t>
            </w:r>
          </w:p>
        </w:tc>
        <w:tc>
          <w:tcPr>
            <w:tcW w:w="0" w:type="auto"/>
            <w:hideMark/>
          </w:tcPr>
          <w:p w14:paraId="344DF793" w14:textId="77777777" w:rsidR="003A4DD3" w:rsidRPr="00C8500E" w:rsidRDefault="003A4DD3" w:rsidP="00CD164D">
            <w:pPr>
              <w:pStyle w:val="NoSpacing"/>
            </w:pPr>
            <w:r w:rsidRPr="00C8500E">
              <w:t>2.5</w:t>
            </w:r>
          </w:p>
          <w:p w14:paraId="5CCB22AD" w14:textId="597D3B04" w:rsidR="003A4DD3" w:rsidRPr="00C8500E" w:rsidRDefault="003A4DD3" w:rsidP="00CD164D">
            <w:pPr>
              <w:pStyle w:val="NoSpacing"/>
            </w:pPr>
            <w:r w:rsidRPr="00C8500E">
              <w:t>(1.1)</w:t>
            </w:r>
          </w:p>
        </w:tc>
        <w:tc>
          <w:tcPr>
            <w:tcW w:w="1335" w:type="dxa"/>
            <w:hideMark/>
          </w:tcPr>
          <w:p w14:paraId="5850AFE7" w14:textId="77777777" w:rsidR="003A4DD3" w:rsidRPr="00C8500E" w:rsidRDefault="003A4DD3" w:rsidP="00CD164D">
            <w:pPr>
              <w:pStyle w:val="NoSpacing"/>
            </w:pPr>
            <w:r w:rsidRPr="00C8500E">
              <w:t>2.2(0.8)</w:t>
            </w:r>
          </w:p>
          <w:p w14:paraId="77FE3CDB" w14:textId="2A791240" w:rsidR="003A4DD3" w:rsidRPr="00C8500E" w:rsidRDefault="003A4DD3" w:rsidP="00CD164D">
            <w:pPr>
              <w:pStyle w:val="NoSpacing"/>
            </w:pPr>
          </w:p>
        </w:tc>
        <w:tc>
          <w:tcPr>
            <w:tcW w:w="1379" w:type="dxa"/>
            <w:hideMark/>
          </w:tcPr>
          <w:p w14:paraId="7539AE19" w14:textId="058EA625" w:rsidR="003A4DD3" w:rsidRPr="00C8500E" w:rsidRDefault="003A4DD3" w:rsidP="00CD164D">
            <w:pPr>
              <w:pStyle w:val="NoSpacing"/>
            </w:pPr>
            <w:r w:rsidRPr="00C8500E">
              <w:t>1.4(0.9)</w:t>
            </w:r>
          </w:p>
        </w:tc>
        <w:tc>
          <w:tcPr>
            <w:tcW w:w="0" w:type="auto"/>
            <w:hideMark/>
          </w:tcPr>
          <w:p w14:paraId="627FB8D7" w14:textId="7EC4D096" w:rsidR="003A4DD3" w:rsidRPr="00C8500E" w:rsidRDefault="003A4DD3" w:rsidP="00CD164D">
            <w:pPr>
              <w:pStyle w:val="NoSpacing"/>
            </w:pPr>
            <w:r w:rsidRPr="00C8500E">
              <w:t>1.2(0.7)</w:t>
            </w:r>
          </w:p>
          <w:p w14:paraId="40D8EB18" w14:textId="605DB251" w:rsidR="003A4DD3" w:rsidRPr="00C8500E" w:rsidRDefault="003A4DD3" w:rsidP="00CD164D">
            <w:pPr>
              <w:pStyle w:val="NoSpacing"/>
            </w:pPr>
          </w:p>
        </w:tc>
        <w:tc>
          <w:tcPr>
            <w:tcW w:w="2500" w:type="dxa"/>
            <w:hideMark/>
          </w:tcPr>
          <w:p w14:paraId="03841628" w14:textId="11FBAA66" w:rsidR="003A4DD3" w:rsidRPr="00C8500E" w:rsidRDefault="003A4DD3" w:rsidP="00CD164D">
            <w:pPr>
              <w:pStyle w:val="NoSpacing"/>
            </w:pPr>
            <w:r w:rsidRPr="00C8500E">
              <w:t xml:space="preserve"> </w:t>
            </w:r>
          </w:p>
          <w:p w14:paraId="5EF1DC57" w14:textId="5B666D83" w:rsidR="003A4DD3" w:rsidRPr="00C8500E" w:rsidRDefault="003A4DD3" w:rsidP="00CD164D">
            <w:pPr>
              <w:pStyle w:val="NoSpacing"/>
            </w:pPr>
            <w:r w:rsidRPr="00C8500E">
              <w:t>0.590 (0.01)</w:t>
            </w:r>
          </w:p>
        </w:tc>
        <w:tc>
          <w:tcPr>
            <w:tcW w:w="0" w:type="auto"/>
            <w:hideMark/>
          </w:tcPr>
          <w:p w14:paraId="7F9ED450" w14:textId="77777777" w:rsidR="003A4DD3" w:rsidRPr="00C8500E" w:rsidRDefault="003A4DD3" w:rsidP="00CD164D">
            <w:pPr>
              <w:pStyle w:val="NoSpacing"/>
            </w:pPr>
            <w:r w:rsidRPr="00C8500E">
              <w:t>0.087 (0.09)</w:t>
            </w:r>
          </w:p>
        </w:tc>
      </w:tr>
      <w:tr w:rsidR="003A4DD3" w:rsidRPr="00C8500E" w14:paraId="49F6A3A7" w14:textId="77777777" w:rsidTr="00920C6D">
        <w:tc>
          <w:tcPr>
            <w:tcW w:w="0" w:type="auto"/>
            <w:hideMark/>
          </w:tcPr>
          <w:p w14:paraId="489B7A59" w14:textId="77777777" w:rsidR="003A4DD3" w:rsidRPr="00C8500E" w:rsidRDefault="003A4DD3" w:rsidP="00CD164D">
            <w:pPr>
              <w:pStyle w:val="NoSpacing"/>
            </w:pPr>
            <w:r w:rsidRPr="00C8500E">
              <w:t> </w:t>
            </w:r>
            <w:r w:rsidRPr="00C8500E">
              <w:t>COWAT</w:t>
            </w:r>
          </w:p>
        </w:tc>
        <w:tc>
          <w:tcPr>
            <w:tcW w:w="0" w:type="auto"/>
            <w:hideMark/>
          </w:tcPr>
          <w:p w14:paraId="485A6D63" w14:textId="77777777" w:rsidR="003A4DD3" w:rsidRPr="00C8500E" w:rsidRDefault="003A4DD3" w:rsidP="00CD164D">
            <w:pPr>
              <w:pStyle w:val="NoSpacing"/>
            </w:pPr>
            <w:r w:rsidRPr="00C8500E">
              <w:t>30.3</w:t>
            </w:r>
          </w:p>
          <w:p w14:paraId="2ACFA1A5" w14:textId="7507D3EF" w:rsidR="003A4DD3" w:rsidRPr="00C8500E" w:rsidRDefault="003A4DD3" w:rsidP="00CD164D">
            <w:pPr>
              <w:pStyle w:val="NoSpacing"/>
            </w:pPr>
            <w:r w:rsidRPr="00C8500E">
              <w:t>(12.3)</w:t>
            </w:r>
          </w:p>
        </w:tc>
        <w:tc>
          <w:tcPr>
            <w:tcW w:w="1335" w:type="dxa"/>
            <w:hideMark/>
          </w:tcPr>
          <w:p w14:paraId="286C2E6F" w14:textId="77777777" w:rsidR="003A4DD3" w:rsidRPr="00C8500E" w:rsidRDefault="003A4DD3" w:rsidP="00CD164D">
            <w:pPr>
              <w:pStyle w:val="NoSpacing"/>
            </w:pPr>
            <w:r w:rsidRPr="00C8500E">
              <w:t>35.5(15.9)</w:t>
            </w:r>
          </w:p>
          <w:p w14:paraId="7A7906A9" w14:textId="593E201B" w:rsidR="003A4DD3" w:rsidRPr="00C8500E" w:rsidRDefault="003A4DD3" w:rsidP="00CD164D">
            <w:pPr>
              <w:pStyle w:val="NoSpacing"/>
            </w:pPr>
          </w:p>
        </w:tc>
        <w:tc>
          <w:tcPr>
            <w:tcW w:w="1379" w:type="dxa"/>
            <w:hideMark/>
          </w:tcPr>
          <w:p w14:paraId="265C8ABE" w14:textId="239BFA68" w:rsidR="003A4DD3" w:rsidRPr="00C8500E" w:rsidRDefault="003A4DD3" w:rsidP="00CD164D">
            <w:pPr>
              <w:pStyle w:val="NoSpacing"/>
            </w:pPr>
            <w:r w:rsidRPr="00C8500E">
              <w:t>41.6(9.2)</w:t>
            </w:r>
          </w:p>
        </w:tc>
        <w:tc>
          <w:tcPr>
            <w:tcW w:w="0" w:type="auto"/>
            <w:hideMark/>
          </w:tcPr>
          <w:p w14:paraId="2EADC81D" w14:textId="2EBD21B7" w:rsidR="00504AA0" w:rsidRPr="00C8500E" w:rsidRDefault="00504AA0" w:rsidP="00CD164D">
            <w:pPr>
              <w:pStyle w:val="NoSpacing"/>
            </w:pPr>
            <w:r w:rsidRPr="00C8500E">
              <w:t>42.3(11.1)</w:t>
            </w:r>
          </w:p>
          <w:p w14:paraId="47436401" w14:textId="4682D115" w:rsidR="003A4DD3" w:rsidRPr="00C8500E" w:rsidRDefault="003A4DD3" w:rsidP="00CD164D">
            <w:pPr>
              <w:pStyle w:val="NoSpacing"/>
            </w:pPr>
          </w:p>
        </w:tc>
        <w:tc>
          <w:tcPr>
            <w:tcW w:w="2500" w:type="dxa"/>
            <w:hideMark/>
          </w:tcPr>
          <w:p w14:paraId="1FA16B90" w14:textId="74B3BF41" w:rsidR="003A4DD3" w:rsidRPr="00C8500E" w:rsidRDefault="00504AA0" w:rsidP="00CD164D">
            <w:pPr>
              <w:pStyle w:val="NoSpacing"/>
            </w:pPr>
            <w:r w:rsidRPr="00C8500E">
              <w:t xml:space="preserve"> </w:t>
            </w:r>
          </w:p>
          <w:p w14:paraId="35DFAE4C" w14:textId="02C37663" w:rsidR="003A4DD3" w:rsidRPr="00C8500E" w:rsidRDefault="003A4DD3" w:rsidP="00CD164D">
            <w:pPr>
              <w:pStyle w:val="NoSpacing"/>
            </w:pPr>
            <w:r w:rsidRPr="00C8500E">
              <w:t>0.074 (0.10)</w:t>
            </w:r>
          </w:p>
        </w:tc>
        <w:tc>
          <w:tcPr>
            <w:tcW w:w="0" w:type="auto"/>
            <w:hideMark/>
          </w:tcPr>
          <w:p w14:paraId="612E5819" w14:textId="77777777" w:rsidR="003A4DD3" w:rsidRPr="00C8500E" w:rsidRDefault="003A4DD3" w:rsidP="00CD164D">
            <w:pPr>
              <w:pStyle w:val="NoSpacing"/>
            </w:pPr>
            <w:r w:rsidRPr="00C8500E">
              <w:rPr>
                <w:b/>
                <w:bCs/>
              </w:rPr>
              <w:t>0.024 (0.15)</w:t>
            </w:r>
          </w:p>
        </w:tc>
      </w:tr>
      <w:tr w:rsidR="00504AA0" w:rsidRPr="00C8500E" w14:paraId="4668142F" w14:textId="77777777" w:rsidTr="00920C6D">
        <w:tc>
          <w:tcPr>
            <w:tcW w:w="0" w:type="auto"/>
            <w:hideMark/>
          </w:tcPr>
          <w:p w14:paraId="15F11F14" w14:textId="77777777" w:rsidR="00504AA0" w:rsidRPr="00C8500E" w:rsidRDefault="00504AA0" w:rsidP="00CD164D">
            <w:pPr>
              <w:pStyle w:val="NoSpacing"/>
            </w:pPr>
            <w:r w:rsidRPr="00C8500E">
              <w:t> </w:t>
            </w:r>
            <w:r w:rsidRPr="00C8500E">
              <w:t>Animal Fluency</w:t>
            </w:r>
          </w:p>
        </w:tc>
        <w:tc>
          <w:tcPr>
            <w:tcW w:w="0" w:type="auto"/>
            <w:hideMark/>
          </w:tcPr>
          <w:p w14:paraId="0DC0325E" w14:textId="77777777" w:rsidR="00504AA0" w:rsidRPr="00C8500E" w:rsidRDefault="00504AA0" w:rsidP="00CD164D">
            <w:pPr>
              <w:pStyle w:val="NoSpacing"/>
            </w:pPr>
            <w:r w:rsidRPr="00C8500E">
              <w:t>12.7</w:t>
            </w:r>
          </w:p>
          <w:p w14:paraId="2440C2E7" w14:textId="6DE538C8" w:rsidR="00504AA0" w:rsidRPr="00C8500E" w:rsidRDefault="00504AA0" w:rsidP="00CD164D">
            <w:pPr>
              <w:pStyle w:val="NoSpacing"/>
            </w:pPr>
            <w:r w:rsidRPr="00C8500E">
              <w:lastRenderedPageBreak/>
              <w:t>(6.6)</w:t>
            </w:r>
          </w:p>
        </w:tc>
        <w:tc>
          <w:tcPr>
            <w:tcW w:w="1335" w:type="dxa"/>
            <w:hideMark/>
          </w:tcPr>
          <w:p w14:paraId="19250A82" w14:textId="77777777" w:rsidR="00504AA0" w:rsidRPr="00C8500E" w:rsidRDefault="00504AA0" w:rsidP="00CD164D">
            <w:pPr>
              <w:pStyle w:val="NoSpacing"/>
            </w:pPr>
            <w:r w:rsidRPr="00C8500E">
              <w:lastRenderedPageBreak/>
              <w:t>11.5(7.2)</w:t>
            </w:r>
          </w:p>
          <w:p w14:paraId="6381E59E" w14:textId="3D10EF0C" w:rsidR="00504AA0" w:rsidRPr="00C8500E" w:rsidRDefault="00504AA0" w:rsidP="00CD164D">
            <w:pPr>
              <w:pStyle w:val="NoSpacing"/>
            </w:pPr>
          </w:p>
        </w:tc>
        <w:tc>
          <w:tcPr>
            <w:tcW w:w="1379" w:type="dxa"/>
            <w:hideMark/>
          </w:tcPr>
          <w:p w14:paraId="478695E8" w14:textId="7285A546" w:rsidR="00504AA0" w:rsidRPr="00C8500E" w:rsidRDefault="00504AA0" w:rsidP="00CD164D">
            <w:pPr>
              <w:pStyle w:val="NoSpacing"/>
            </w:pPr>
            <w:r w:rsidRPr="00C8500E">
              <w:t>20.6(4.3)</w:t>
            </w:r>
          </w:p>
        </w:tc>
        <w:tc>
          <w:tcPr>
            <w:tcW w:w="0" w:type="auto"/>
            <w:hideMark/>
          </w:tcPr>
          <w:p w14:paraId="3A8D3325" w14:textId="15ED3047" w:rsidR="00504AA0" w:rsidRPr="00C8500E" w:rsidRDefault="00504AA0" w:rsidP="00CD164D">
            <w:pPr>
              <w:pStyle w:val="NoSpacing"/>
            </w:pPr>
            <w:r w:rsidRPr="00C8500E">
              <w:t>21.8(5.1)</w:t>
            </w:r>
          </w:p>
          <w:p w14:paraId="1131C38B" w14:textId="4314080D" w:rsidR="00504AA0" w:rsidRPr="00C8500E" w:rsidRDefault="00504AA0" w:rsidP="00CD164D">
            <w:pPr>
              <w:pStyle w:val="NoSpacing"/>
            </w:pPr>
          </w:p>
        </w:tc>
        <w:tc>
          <w:tcPr>
            <w:tcW w:w="2500" w:type="dxa"/>
            <w:hideMark/>
          </w:tcPr>
          <w:p w14:paraId="6B4171BF" w14:textId="1E1B3C83" w:rsidR="00504AA0" w:rsidRPr="00C8500E" w:rsidRDefault="00504AA0" w:rsidP="00CD164D">
            <w:pPr>
              <w:pStyle w:val="NoSpacing"/>
            </w:pPr>
            <w:r w:rsidRPr="00C8500E">
              <w:t xml:space="preserve"> </w:t>
            </w:r>
          </w:p>
          <w:p w14:paraId="4699AB2B" w14:textId="7A856A06" w:rsidR="00504AA0" w:rsidRPr="00C8500E" w:rsidRDefault="00504AA0" w:rsidP="00CD164D">
            <w:pPr>
              <w:pStyle w:val="NoSpacing"/>
            </w:pPr>
            <w:r w:rsidRPr="00C8500E">
              <w:lastRenderedPageBreak/>
              <w:t>0.158 (0.07)</w:t>
            </w:r>
          </w:p>
        </w:tc>
        <w:tc>
          <w:tcPr>
            <w:tcW w:w="0" w:type="auto"/>
            <w:hideMark/>
          </w:tcPr>
          <w:p w14:paraId="104872C8" w14:textId="77777777" w:rsidR="00504AA0" w:rsidRPr="00C8500E" w:rsidRDefault="00504AA0" w:rsidP="00CD164D">
            <w:pPr>
              <w:pStyle w:val="NoSpacing"/>
            </w:pPr>
            <w:r w:rsidRPr="00C8500E">
              <w:lastRenderedPageBreak/>
              <w:t>0.958 (0.00)</w:t>
            </w:r>
          </w:p>
        </w:tc>
      </w:tr>
      <w:tr w:rsidR="00920C6D" w:rsidRPr="00C8500E" w14:paraId="2A2CD62B" w14:textId="77777777" w:rsidTr="00920C6D">
        <w:tc>
          <w:tcPr>
            <w:tcW w:w="0" w:type="auto"/>
            <w:hideMark/>
          </w:tcPr>
          <w:p w14:paraId="21DB2B63" w14:textId="77777777" w:rsidR="00920C6D" w:rsidRPr="00C8500E" w:rsidRDefault="00920C6D" w:rsidP="00CD164D">
            <w:pPr>
              <w:pStyle w:val="NoSpacing"/>
            </w:pPr>
            <w:r w:rsidRPr="00C8500E">
              <w:rPr>
                <w:i/>
                <w:iCs/>
              </w:rPr>
              <w:t>Aerobic Fitness</w:t>
            </w:r>
          </w:p>
        </w:tc>
        <w:tc>
          <w:tcPr>
            <w:tcW w:w="0" w:type="auto"/>
            <w:hideMark/>
          </w:tcPr>
          <w:p w14:paraId="07C614FF" w14:textId="77777777" w:rsidR="00920C6D" w:rsidRPr="00C8500E" w:rsidRDefault="00920C6D" w:rsidP="00CD164D">
            <w:pPr>
              <w:pStyle w:val="NoSpacing"/>
            </w:pPr>
          </w:p>
        </w:tc>
        <w:tc>
          <w:tcPr>
            <w:tcW w:w="1335" w:type="dxa"/>
            <w:hideMark/>
          </w:tcPr>
          <w:p w14:paraId="55202F03" w14:textId="77777777" w:rsidR="00920C6D" w:rsidRPr="00C8500E" w:rsidRDefault="00920C6D" w:rsidP="00CD164D">
            <w:pPr>
              <w:pStyle w:val="NoSpacing"/>
            </w:pPr>
          </w:p>
        </w:tc>
        <w:tc>
          <w:tcPr>
            <w:tcW w:w="1379" w:type="dxa"/>
            <w:hideMark/>
          </w:tcPr>
          <w:p w14:paraId="12142156" w14:textId="77777777" w:rsidR="00920C6D" w:rsidRPr="00C8500E" w:rsidRDefault="00920C6D" w:rsidP="00CD164D">
            <w:pPr>
              <w:pStyle w:val="NoSpacing"/>
            </w:pPr>
          </w:p>
        </w:tc>
        <w:tc>
          <w:tcPr>
            <w:tcW w:w="0" w:type="auto"/>
            <w:hideMark/>
          </w:tcPr>
          <w:p w14:paraId="294F8C9A" w14:textId="77777777" w:rsidR="00920C6D" w:rsidRPr="00C8500E" w:rsidRDefault="00920C6D" w:rsidP="00CD164D">
            <w:pPr>
              <w:pStyle w:val="NoSpacing"/>
            </w:pPr>
          </w:p>
        </w:tc>
        <w:tc>
          <w:tcPr>
            <w:tcW w:w="2500" w:type="dxa"/>
            <w:hideMark/>
          </w:tcPr>
          <w:p w14:paraId="77791B14" w14:textId="77777777" w:rsidR="00920C6D" w:rsidRPr="00C8500E" w:rsidRDefault="00920C6D" w:rsidP="00CD164D">
            <w:pPr>
              <w:pStyle w:val="NoSpacing"/>
            </w:pPr>
          </w:p>
        </w:tc>
        <w:tc>
          <w:tcPr>
            <w:tcW w:w="0" w:type="auto"/>
            <w:hideMark/>
          </w:tcPr>
          <w:p w14:paraId="7C10C39A" w14:textId="77777777" w:rsidR="00920C6D" w:rsidRPr="00C8500E" w:rsidRDefault="00920C6D" w:rsidP="00CD164D">
            <w:pPr>
              <w:pStyle w:val="NoSpacing"/>
            </w:pPr>
          </w:p>
        </w:tc>
      </w:tr>
      <w:tr w:rsidR="00920C6D" w:rsidRPr="00C8500E" w14:paraId="7455E423" w14:textId="77777777" w:rsidTr="00920C6D">
        <w:tc>
          <w:tcPr>
            <w:tcW w:w="0" w:type="auto"/>
            <w:hideMark/>
          </w:tcPr>
          <w:p w14:paraId="152106C4" w14:textId="77777777" w:rsidR="00920C6D" w:rsidRPr="00C8500E" w:rsidRDefault="00920C6D" w:rsidP="00CD164D">
            <w:pPr>
              <w:pStyle w:val="NoSpacing"/>
            </w:pPr>
            <w:r w:rsidRPr="00C8500E">
              <w:t> </w:t>
            </w:r>
            <w:r w:rsidRPr="00C8500E">
              <w:t>V̇O</w:t>
            </w:r>
            <w:r w:rsidRPr="00C8500E">
              <w:rPr>
                <w:vertAlign w:val="subscript"/>
              </w:rPr>
              <w:t>2peak</w:t>
            </w:r>
            <w:r w:rsidRPr="00C8500E">
              <w:t>, ml/kg/min</w:t>
            </w:r>
          </w:p>
        </w:tc>
        <w:tc>
          <w:tcPr>
            <w:tcW w:w="0" w:type="auto"/>
            <w:hideMark/>
          </w:tcPr>
          <w:p w14:paraId="34ADF011" w14:textId="77777777" w:rsidR="00920C6D" w:rsidRPr="00C8500E" w:rsidRDefault="00920C6D" w:rsidP="00CD164D">
            <w:pPr>
              <w:pStyle w:val="NoSpacing"/>
            </w:pPr>
            <w:r w:rsidRPr="00C8500E">
              <w:t>18.3</w:t>
            </w:r>
          </w:p>
          <w:p w14:paraId="2BE43476" w14:textId="756166B4" w:rsidR="00920C6D" w:rsidRPr="00C8500E" w:rsidRDefault="00920C6D" w:rsidP="00CD164D">
            <w:pPr>
              <w:pStyle w:val="NoSpacing"/>
            </w:pPr>
            <w:r w:rsidRPr="00C8500E">
              <w:t>(3.8)</w:t>
            </w:r>
          </w:p>
        </w:tc>
        <w:tc>
          <w:tcPr>
            <w:tcW w:w="1335" w:type="dxa"/>
            <w:hideMark/>
          </w:tcPr>
          <w:p w14:paraId="6A9096CA" w14:textId="77777777" w:rsidR="00920C6D" w:rsidRPr="00C8500E" w:rsidRDefault="00920C6D" w:rsidP="00CD164D">
            <w:pPr>
              <w:pStyle w:val="NoSpacing"/>
            </w:pPr>
            <w:r w:rsidRPr="00C8500E">
              <w:t>20.9(3.2)</w:t>
            </w:r>
          </w:p>
          <w:p w14:paraId="6CBD539A" w14:textId="47F5A670" w:rsidR="00920C6D" w:rsidRPr="00C8500E" w:rsidRDefault="00920C6D" w:rsidP="00CD164D">
            <w:pPr>
              <w:pStyle w:val="NoSpacing"/>
            </w:pPr>
          </w:p>
        </w:tc>
        <w:tc>
          <w:tcPr>
            <w:tcW w:w="1379" w:type="dxa"/>
            <w:hideMark/>
          </w:tcPr>
          <w:p w14:paraId="65B6F6B0" w14:textId="61828B6D" w:rsidR="00920C6D" w:rsidRPr="00C8500E" w:rsidRDefault="00920C6D" w:rsidP="00CD164D">
            <w:pPr>
              <w:pStyle w:val="NoSpacing"/>
            </w:pPr>
            <w:r w:rsidRPr="00C8500E">
              <w:t>20.1(5.1)</w:t>
            </w:r>
          </w:p>
        </w:tc>
        <w:tc>
          <w:tcPr>
            <w:tcW w:w="0" w:type="auto"/>
            <w:hideMark/>
          </w:tcPr>
          <w:p w14:paraId="3F6094DF" w14:textId="677485F6" w:rsidR="00920C6D" w:rsidRPr="00C8500E" w:rsidRDefault="00920C6D" w:rsidP="00CD164D">
            <w:pPr>
              <w:pStyle w:val="NoSpacing"/>
            </w:pPr>
            <w:r w:rsidRPr="00C8500E">
              <w:t>20.7(4.2)</w:t>
            </w:r>
          </w:p>
          <w:p w14:paraId="3722AF15" w14:textId="426616B9" w:rsidR="00920C6D" w:rsidRPr="00C8500E" w:rsidRDefault="00920C6D" w:rsidP="00CD164D">
            <w:pPr>
              <w:pStyle w:val="NoSpacing"/>
            </w:pPr>
          </w:p>
        </w:tc>
        <w:tc>
          <w:tcPr>
            <w:tcW w:w="2500" w:type="dxa"/>
            <w:hideMark/>
          </w:tcPr>
          <w:p w14:paraId="25801093" w14:textId="2DCE8942" w:rsidR="00920C6D" w:rsidRPr="00C8500E" w:rsidRDefault="00920C6D" w:rsidP="00CD164D">
            <w:pPr>
              <w:pStyle w:val="NoSpacing"/>
            </w:pPr>
            <w:r w:rsidRPr="00C8500E">
              <w:t xml:space="preserve"> </w:t>
            </w:r>
          </w:p>
          <w:p w14:paraId="5F28198C" w14:textId="3732735A" w:rsidR="00920C6D" w:rsidRPr="00C8500E" w:rsidRDefault="00920C6D" w:rsidP="00CD164D">
            <w:pPr>
              <w:pStyle w:val="NoSpacing"/>
            </w:pPr>
            <w:r w:rsidRPr="00C8500E">
              <w:t>0.264 (0.05)</w:t>
            </w:r>
          </w:p>
        </w:tc>
        <w:tc>
          <w:tcPr>
            <w:tcW w:w="0" w:type="auto"/>
            <w:hideMark/>
          </w:tcPr>
          <w:p w14:paraId="2068ECEC" w14:textId="77777777" w:rsidR="00920C6D" w:rsidRPr="00C8500E" w:rsidRDefault="00920C6D" w:rsidP="00CD164D">
            <w:pPr>
              <w:pStyle w:val="NoSpacing"/>
            </w:pPr>
            <w:r w:rsidRPr="00C8500E">
              <w:rPr>
                <w:b/>
                <w:bCs/>
              </w:rPr>
              <w:t>0.010 (0.22)</w:t>
            </w:r>
          </w:p>
        </w:tc>
      </w:tr>
      <w:tr w:rsidR="00920C6D" w:rsidRPr="00C8500E" w14:paraId="029DC270" w14:textId="77777777" w:rsidTr="00920C6D">
        <w:tc>
          <w:tcPr>
            <w:tcW w:w="0" w:type="auto"/>
            <w:hideMark/>
          </w:tcPr>
          <w:p w14:paraId="1E1DFAB8" w14:textId="77777777" w:rsidR="00920C6D" w:rsidRPr="00C8500E" w:rsidRDefault="00920C6D" w:rsidP="00CD164D">
            <w:pPr>
              <w:pStyle w:val="NoSpacing"/>
            </w:pPr>
            <w:r w:rsidRPr="00C8500E">
              <w:rPr>
                <w:i/>
                <w:iCs/>
              </w:rPr>
              <w:t>Blood Pressure</w:t>
            </w:r>
          </w:p>
        </w:tc>
        <w:tc>
          <w:tcPr>
            <w:tcW w:w="0" w:type="auto"/>
            <w:hideMark/>
          </w:tcPr>
          <w:p w14:paraId="40E64BB4" w14:textId="77777777" w:rsidR="00920C6D" w:rsidRPr="00C8500E" w:rsidRDefault="00920C6D" w:rsidP="00CD164D">
            <w:pPr>
              <w:pStyle w:val="NoSpacing"/>
            </w:pPr>
          </w:p>
        </w:tc>
        <w:tc>
          <w:tcPr>
            <w:tcW w:w="1335" w:type="dxa"/>
            <w:hideMark/>
          </w:tcPr>
          <w:p w14:paraId="5DF300D8" w14:textId="77777777" w:rsidR="00920C6D" w:rsidRPr="00C8500E" w:rsidRDefault="00920C6D" w:rsidP="00CD164D">
            <w:pPr>
              <w:pStyle w:val="NoSpacing"/>
            </w:pPr>
          </w:p>
        </w:tc>
        <w:tc>
          <w:tcPr>
            <w:tcW w:w="1379" w:type="dxa"/>
            <w:hideMark/>
          </w:tcPr>
          <w:p w14:paraId="5F587590" w14:textId="77777777" w:rsidR="00920C6D" w:rsidRPr="00C8500E" w:rsidRDefault="00920C6D" w:rsidP="00CD164D">
            <w:pPr>
              <w:pStyle w:val="NoSpacing"/>
            </w:pPr>
          </w:p>
        </w:tc>
        <w:tc>
          <w:tcPr>
            <w:tcW w:w="0" w:type="auto"/>
            <w:hideMark/>
          </w:tcPr>
          <w:p w14:paraId="5FA2FFB6" w14:textId="77777777" w:rsidR="00920C6D" w:rsidRPr="00C8500E" w:rsidRDefault="00920C6D" w:rsidP="00CD164D">
            <w:pPr>
              <w:pStyle w:val="NoSpacing"/>
            </w:pPr>
          </w:p>
        </w:tc>
        <w:tc>
          <w:tcPr>
            <w:tcW w:w="2500" w:type="dxa"/>
            <w:hideMark/>
          </w:tcPr>
          <w:p w14:paraId="49389C2C" w14:textId="77777777" w:rsidR="00920C6D" w:rsidRPr="00C8500E" w:rsidRDefault="00920C6D" w:rsidP="00CD164D">
            <w:pPr>
              <w:pStyle w:val="NoSpacing"/>
            </w:pPr>
          </w:p>
        </w:tc>
        <w:tc>
          <w:tcPr>
            <w:tcW w:w="0" w:type="auto"/>
            <w:hideMark/>
          </w:tcPr>
          <w:p w14:paraId="1BCC2B17" w14:textId="77777777" w:rsidR="00920C6D" w:rsidRPr="00C8500E" w:rsidRDefault="00920C6D" w:rsidP="00CD164D">
            <w:pPr>
              <w:pStyle w:val="NoSpacing"/>
            </w:pPr>
          </w:p>
        </w:tc>
      </w:tr>
      <w:tr w:rsidR="00920C6D" w:rsidRPr="00C8500E" w14:paraId="74421418" w14:textId="77777777" w:rsidTr="00920C6D">
        <w:tc>
          <w:tcPr>
            <w:tcW w:w="0" w:type="auto"/>
            <w:hideMark/>
          </w:tcPr>
          <w:p w14:paraId="7938F530" w14:textId="77777777" w:rsidR="00920C6D" w:rsidRPr="00C8500E" w:rsidRDefault="00920C6D" w:rsidP="00CD164D">
            <w:pPr>
              <w:pStyle w:val="NoSpacing"/>
            </w:pPr>
            <w:r w:rsidRPr="00C8500E">
              <w:t> </w:t>
            </w:r>
            <w:r w:rsidRPr="00C8500E">
              <w:t>Systolic, mmHg</w:t>
            </w:r>
          </w:p>
        </w:tc>
        <w:tc>
          <w:tcPr>
            <w:tcW w:w="0" w:type="auto"/>
            <w:hideMark/>
          </w:tcPr>
          <w:p w14:paraId="5647011C" w14:textId="77777777" w:rsidR="00920C6D" w:rsidRPr="00C8500E" w:rsidRDefault="00920C6D" w:rsidP="00CD164D">
            <w:pPr>
              <w:pStyle w:val="NoSpacing"/>
            </w:pPr>
            <w:r w:rsidRPr="00C8500E">
              <w:t>148.6</w:t>
            </w:r>
          </w:p>
          <w:p w14:paraId="730D8C46" w14:textId="0B299BB4" w:rsidR="00920C6D" w:rsidRPr="00C8500E" w:rsidRDefault="00920C6D" w:rsidP="00CD164D">
            <w:pPr>
              <w:pStyle w:val="NoSpacing"/>
            </w:pPr>
            <w:r w:rsidRPr="00C8500E">
              <w:t>(24.5)</w:t>
            </w:r>
          </w:p>
        </w:tc>
        <w:tc>
          <w:tcPr>
            <w:tcW w:w="1335" w:type="dxa"/>
            <w:hideMark/>
          </w:tcPr>
          <w:p w14:paraId="42EAC533" w14:textId="77777777" w:rsidR="00920C6D" w:rsidRPr="00C8500E" w:rsidRDefault="00920C6D" w:rsidP="00CD164D">
            <w:pPr>
              <w:pStyle w:val="NoSpacing"/>
            </w:pPr>
            <w:r w:rsidRPr="00C8500E">
              <w:t>142.1(13.0)</w:t>
            </w:r>
          </w:p>
          <w:p w14:paraId="69CB4014" w14:textId="439C0CD2" w:rsidR="00920C6D" w:rsidRPr="00C8500E" w:rsidRDefault="00920C6D" w:rsidP="00CD164D">
            <w:pPr>
              <w:pStyle w:val="NoSpacing"/>
            </w:pPr>
          </w:p>
        </w:tc>
        <w:tc>
          <w:tcPr>
            <w:tcW w:w="1379" w:type="dxa"/>
            <w:hideMark/>
          </w:tcPr>
          <w:p w14:paraId="2DC33A19" w14:textId="31FB35AF" w:rsidR="00920C6D" w:rsidRPr="00C8500E" w:rsidRDefault="00920C6D" w:rsidP="00CD164D">
            <w:pPr>
              <w:pStyle w:val="NoSpacing"/>
            </w:pPr>
            <w:r w:rsidRPr="00C8500E">
              <w:t>141.7(19.8)</w:t>
            </w:r>
          </w:p>
        </w:tc>
        <w:tc>
          <w:tcPr>
            <w:tcW w:w="0" w:type="auto"/>
            <w:hideMark/>
          </w:tcPr>
          <w:p w14:paraId="43295F69" w14:textId="3A4FA559" w:rsidR="00920C6D" w:rsidRPr="00C8500E" w:rsidRDefault="00920C6D" w:rsidP="00CD164D">
            <w:pPr>
              <w:pStyle w:val="NoSpacing"/>
            </w:pPr>
            <w:r w:rsidRPr="00C8500E">
              <w:t>136.3(20.2)</w:t>
            </w:r>
          </w:p>
          <w:p w14:paraId="35988A67" w14:textId="6D38AABE" w:rsidR="00920C6D" w:rsidRPr="00C8500E" w:rsidRDefault="00920C6D" w:rsidP="00CD164D">
            <w:pPr>
              <w:pStyle w:val="NoSpacing"/>
            </w:pPr>
          </w:p>
        </w:tc>
        <w:tc>
          <w:tcPr>
            <w:tcW w:w="2500" w:type="dxa"/>
            <w:hideMark/>
          </w:tcPr>
          <w:p w14:paraId="1D7F396B" w14:textId="5724D015" w:rsidR="00920C6D" w:rsidRPr="00C8500E" w:rsidRDefault="00920C6D" w:rsidP="00CD164D">
            <w:pPr>
              <w:pStyle w:val="NoSpacing"/>
            </w:pPr>
            <w:r w:rsidRPr="00C8500E">
              <w:t xml:space="preserve"> </w:t>
            </w:r>
          </w:p>
          <w:p w14:paraId="00D4FA37" w14:textId="53667ABB" w:rsidR="00920C6D" w:rsidRPr="00C8500E" w:rsidRDefault="00920C6D" w:rsidP="00CD164D">
            <w:pPr>
              <w:pStyle w:val="NoSpacing"/>
            </w:pPr>
            <w:r w:rsidRPr="00C8500E">
              <w:t>0.813 (0.00)</w:t>
            </w:r>
          </w:p>
        </w:tc>
        <w:tc>
          <w:tcPr>
            <w:tcW w:w="0" w:type="auto"/>
            <w:hideMark/>
          </w:tcPr>
          <w:p w14:paraId="058FAF3B" w14:textId="77777777" w:rsidR="00920C6D" w:rsidRPr="00C8500E" w:rsidRDefault="00920C6D" w:rsidP="00CD164D">
            <w:pPr>
              <w:pStyle w:val="NoSpacing"/>
            </w:pPr>
            <w:r w:rsidRPr="00C8500E">
              <w:t>0.052 (0.13)</w:t>
            </w:r>
          </w:p>
        </w:tc>
      </w:tr>
      <w:tr w:rsidR="00920C6D" w:rsidRPr="00C8500E" w14:paraId="367DCBB0" w14:textId="77777777" w:rsidTr="00920C6D">
        <w:tc>
          <w:tcPr>
            <w:tcW w:w="0" w:type="auto"/>
            <w:hideMark/>
          </w:tcPr>
          <w:p w14:paraId="2609C1C2" w14:textId="77777777" w:rsidR="00920C6D" w:rsidRPr="00C8500E" w:rsidRDefault="00920C6D" w:rsidP="00CD164D">
            <w:pPr>
              <w:pStyle w:val="NoSpacing"/>
            </w:pPr>
            <w:r w:rsidRPr="00C8500E">
              <w:t> </w:t>
            </w:r>
            <w:r w:rsidRPr="00C8500E">
              <w:t>Diastolic, mmHg</w:t>
            </w:r>
          </w:p>
        </w:tc>
        <w:tc>
          <w:tcPr>
            <w:tcW w:w="0" w:type="auto"/>
            <w:hideMark/>
          </w:tcPr>
          <w:p w14:paraId="6DCF5BDB" w14:textId="77777777" w:rsidR="00920C6D" w:rsidRPr="00C8500E" w:rsidRDefault="00920C6D" w:rsidP="00CD164D">
            <w:pPr>
              <w:pStyle w:val="NoSpacing"/>
            </w:pPr>
            <w:r w:rsidRPr="00C8500E">
              <w:t>77.3</w:t>
            </w:r>
          </w:p>
          <w:p w14:paraId="3E2BAC05" w14:textId="419E37CC" w:rsidR="00920C6D" w:rsidRPr="00C8500E" w:rsidRDefault="00920C6D" w:rsidP="00CD164D">
            <w:pPr>
              <w:pStyle w:val="NoSpacing"/>
            </w:pPr>
            <w:r w:rsidRPr="00C8500E">
              <w:t>(12.4)</w:t>
            </w:r>
          </w:p>
        </w:tc>
        <w:tc>
          <w:tcPr>
            <w:tcW w:w="1335" w:type="dxa"/>
            <w:hideMark/>
          </w:tcPr>
          <w:p w14:paraId="7846838D" w14:textId="77777777" w:rsidR="00920C6D" w:rsidRPr="00C8500E" w:rsidRDefault="00920C6D" w:rsidP="00CD164D">
            <w:pPr>
              <w:pStyle w:val="NoSpacing"/>
            </w:pPr>
            <w:r w:rsidRPr="00C8500E">
              <w:t>78.1(12.0)</w:t>
            </w:r>
          </w:p>
          <w:p w14:paraId="2C7300AD" w14:textId="4431A672" w:rsidR="00920C6D" w:rsidRPr="00C8500E" w:rsidRDefault="00920C6D" w:rsidP="00CD164D">
            <w:pPr>
              <w:pStyle w:val="NoSpacing"/>
            </w:pPr>
          </w:p>
        </w:tc>
        <w:tc>
          <w:tcPr>
            <w:tcW w:w="1379" w:type="dxa"/>
            <w:hideMark/>
          </w:tcPr>
          <w:p w14:paraId="0681C466" w14:textId="3F861338" w:rsidR="00920C6D" w:rsidRPr="00C8500E" w:rsidRDefault="00920C6D" w:rsidP="00CD164D">
            <w:pPr>
              <w:pStyle w:val="NoSpacing"/>
            </w:pPr>
            <w:r w:rsidRPr="00C8500E">
              <w:t>73.0(9.6)</w:t>
            </w:r>
          </w:p>
        </w:tc>
        <w:tc>
          <w:tcPr>
            <w:tcW w:w="0" w:type="auto"/>
            <w:hideMark/>
          </w:tcPr>
          <w:p w14:paraId="3D133389" w14:textId="77777777" w:rsidR="00920C6D" w:rsidRPr="00C8500E" w:rsidRDefault="00920C6D" w:rsidP="00CD164D">
            <w:pPr>
              <w:pStyle w:val="NoSpacing"/>
            </w:pPr>
            <w:r w:rsidRPr="00C8500E">
              <w:t>70.0 (12.5)</w:t>
            </w:r>
          </w:p>
          <w:p w14:paraId="69E465E6" w14:textId="24ACF340" w:rsidR="00920C6D" w:rsidRPr="00C8500E" w:rsidRDefault="00920C6D" w:rsidP="00CD164D">
            <w:pPr>
              <w:pStyle w:val="NoSpacing"/>
            </w:pPr>
          </w:p>
          <w:p w14:paraId="3B582F1B" w14:textId="009DC473" w:rsidR="00920C6D" w:rsidRPr="00C8500E" w:rsidRDefault="00920C6D" w:rsidP="00CD164D">
            <w:pPr>
              <w:pStyle w:val="NoSpacing"/>
            </w:pPr>
          </w:p>
        </w:tc>
        <w:tc>
          <w:tcPr>
            <w:tcW w:w="2500" w:type="dxa"/>
            <w:hideMark/>
          </w:tcPr>
          <w:p w14:paraId="063E7A68" w14:textId="15E34004" w:rsidR="00920C6D" w:rsidRPr="00C8500E" w:rsidRDefault="00920C6D" w:rsidP="00CD164D">
            <w:pPr>
              <w:pStyle w:val="NoSpacing"/>
            </w:pPr>
            <w:r w:rsidRPr="00C8500E">
              <w:t>0.190 (0.06)</w:t>
            </w:r>
          </w:p>
        </w:tc>
        <w:tc>
          <w:tcPr>
            <w:tcW w:w="0" w:type="auto"/>
            <w:hideMark/>
          </w:tcPr>
          <w:p w14:paraId="25EAA9B8" w14:textId="77777777" w:rsidR="00920C6D" w:rsidRPr="00C8500E" w:rsidRDefault="00920C6D" w:rsidP="00CD164D">
            <w:pPr>
              <w:pStyle w:val="NoSpacing"/>
            </w:pPr>
            <w:r w:rsidRPr="00C8500E">
              <w:t>0.392 (0.03)</w:t>
            </w:r>
          </w:p>
        </w:tc>
      </w:tr>
    </w:tbl>
    <w:p w14:paraId="68FC4B05" w14:textId="77777777" w:rsidR="00C9499F" w:rsidRPr="00C8500E" w:rsidRDefault="00C9499F" w:rsidP="00C9499F">
      <w:pPr>
        <w:rPr>
          <w:rFonts w:cstheme="minorHAnsi"/>
          <w:sz w:val="24"/>
          <w:szCs w:val="24"/>
        </w:rPr>
      </w:pPr>
      <w:r w:rsidRPr="00C8500E">
        <w:rPr>
          <w:rFonts w:cstheme="minorHAnsi"/>
          <w:i/>
          <w:iCs/>
          <w:sz w:val="24"/>
          <w:szCs w:val="24"/>
        </w:rPr>
        <w:t>Note.</w:t>
      </w:r>
      <w:r w:rsidRPr="00C8500E">
        <w:rPr>
          <w:rFonts w:cstheme="minorHAnsi"/>
          <w:sz w:val="24"/>
          <w:szCs w:val="24"/>
        </w:rPr>
        <w:t> After adjustment of age and education, </w:t>
      </w:r>
      <w:r w:rsidRPr="00C8500E">
        <w:rPr>
          <w:rFonts w:cstheme="minorHAnsi"/>
          <w:i/>
          <w:iCs/>
          <w:sz w:val="24"/>
          <w:szCs w:val="24"/>
        </w:rPr>
        <w:t>p</w:t>
      </w:r>
      <w:r w:rsidRPr="00C8500E">
        <w:rPr>
          <w:rFonts w:cstheme="minorHAnsi"/>
          <w:sz w:val="24"/>
          <w:szCs w:val="24"/>
        </w:rPr>
        <w:t>-values and effect sizes (η2P ) reflect the group-by-time interactions and main effects of time from the ANCOVA models. Bold p-values indicate significant changes over time, </w:t>
      </w:r>
      <w:r w:rsidRPr="00C8500E">
        <w:rPr>
          <w:rFonts w:cstheme="minorHAnsi"/>
          <w:i/>
          <w:iCs/>
          <w:sz w:val="24"/>
          <w:szCs w:val="24"/>
        </w:rPr>
        <w:t>p</w:t>
      </w:r>
      <w:r w:rsidRPr="00C8500E">
        <w:rPr>
          <w:rFonts w:cstheme="minorHAnsi"/>
          <w:sz w:val="24"/>
          <w:szCs w:val="24"/>
        </w:rPr>
        <w:t> &lt; 0.05. Key: Pre, baseline; Post, post-intervention; MCI, mild cognitive impairment; CN, cognitively normal; RAVLT, Rey Auditory Verbal Learning Test; DR, delayed recall; IR, immediate recall; COWAT, Controlled Oral Word Association Test; V̇O</w:t>
      </w:r>
      <w:r w:rsidRPr="00C8500E">
        <w:rPr>
          <w:rFonts w:cstheme="minorHAnsi"/>
          <w:sz w:val="24"/>
          <w:szCs w:val="24"/>
          <w:vertAlign w:val="subscript"/>
        </w:rPr>
        <w:t>2peak</w:t>
      </w:r>
      <w:r w:rsidRPr="00C8500E">
        <w:rPr>
          <w:rFonts w:cstheme="minorHAnsi"/>
          <w:sz w:val="24"/>
          <w:szCs w:val="24"/>
        </w:rPr>
        <w:t>, peak rate of oxygen consumption.</w:t>
      </w:r>
    </w:p>
    <w:p w14:paraId="31D6FBCC" w14:textId="77777777" w:rsidR="00C9499F" w:rsidRPr="00C8500E" w:rsidRDefault="00C9499F" w:rsidP="00920C6D">
      <w:pPr>
        <w:pStyle w:val="Heading2"/>
        <w:rPr>
          <w:rFonts w:asciiTheme="minorHAnsi" w:hAnsiTheme="minorHAnsi" w:cstheme="minorHAnsi"/>
        </w:rPr>
      </w:pPr>
      <w:r w:rsidRPr="00C8500E">
        <w:rPr>
          <w:rFonts w:asciiTheme="minorHAnsi" w:hAnsiTheme="minorHAnsi" w:cstheme="minorHAnsi"/>
        </w:rPr>
        <w:t>Voxel-Wise CBF Analyses</w:t>
      </w:r>
    </w:p>
    <w:p w14:paraId="09D0AF81" w14:textId="0ECBC4F1" w:rsidR="00C9499F" w:rsidRPr="00C8500E" w:rsidRDefault="00C9499F" w:rsidP="00C9499F">
      <w:pPr>
        <w:rPr>
          <w:rStyle w:val="Hyperlink"/>
          <w:rFonts w:cstheme="minorHAnsi"/>
          <w:sz w:val="24"/>
          <w:szCs w:val="24"/>
        </w:rPr>
      </w:pPr>
      <w:r w:rsidRPr="00C8500E">
        <w:rPr>
          <w:rFonts w:cstheme="minorHAnsi"/>
        </w:rPr>
        <w:t>At baseline, relative CBF within the left insula (L insula) was significantly greater among those with MCI (β = 0.7, </w:t>
      </w:r>
      <w:r w:rsidRPr="00C8500E">
        <w:rPr>
          <w:rFonts w:cstheme="minorHAnsi"/>
          <w:i/>
          <w:iCs/>
        </w:rPr>
        <w:t>p</w:t>
      </w:r>
      <w:r w:rsidRPr="00C8500E">
        <w:rPr>
          <w:rFonts w:cstheme="minorHAnsi"/>
        </w:rPr>
        <w:t> = 0.008), but after the exercise intervention no such difference was present (</w:t>
      </w:r>
      <w:hyperlink r:id="rId91" w:tgtFrame="figure" w:history="1">
        <w:r w:rsidRPr="00C8500E">
          <w:rPr>
            <w:rStyle w:val="Hyperlink"/>
            <w:rFonts w:cstheme="minorHAnsi"/>
            <w:sz w:val="24"/>
            <w:szCs w:val="24"/>
          </w:rPr>
          <w:t>Figure 2</w:t>
        </w:r>
      </w:hyperlink>
      <w:r w:rsidRPr="00C8500E">
        <w:rPr>
          <w:rFonts w:cstheme="minorHAnsi"/>
        </w:rPr>
        <w:t>). There were no significant group-by-time interactions or main effects of time. However, </w:t>
      </w:r>
      <w:r w:rsidRPr="00C8500E">
        <w:rPr>
          <w:rFonts w:cstheme="minorHAnsi"/>
          <w:i/>
          <w:iCs/>
        </w:rPr>
        <w:t>post</w:t>
      </w:r>
      <w:r w:rsidRPr="00C8500E">
        <w:rPr>
          <w:rFonts w:cstheme="minorHAnsi"/>
        </w:rPr>
        <w:t>-</w:t>
      </w:r>
      <w:r w:rsidRPr="00C8500E">
        <w:rPr>
          <w:rFonts w:cstheme="minorHAnsi"/>
          <w:i/>
          <w:iCs/>
        </w:rPr>
        <w:t>hoc</w:t>
      </w:r>
      <w:r w:rsidRPr="00C8500E">
        <w:rPr>
          <w:rFonts w:cstheme="minorHAnsi"/>
        </w:rPr>
        <w:t> analyses revealed that chronic exercise engendered different responses within each group. After adjustment for age and education, exercise training decreased CBF among those with MCI in the L ACC, F(1, 14) = 6.8, </w:t>
      </w:r>
      <w:r w:rsidRPr="00C8500E">
        <w:rPr>
          <w:rFonts w:cstheme="minorHAnsi"/>
          <w:i/>
          <w:iCs/>
        </w:rPr>
        <w:t>p</w:t>
      </w:r>
      <w:r w:rsidRPr="00C8500E">
        <w:rPr>
          <w:rFonts w:cstheme="minorHAnsi"/>
        </w:rPr>
        <w:t> = 0.021 and the R IFG,F(1, 14) = 5.5, </w:t>
      </w:r>
      <w:r w:rsidRPr="00C8500E">
        <w:rPr>
          <w:rFonts w:cstheme="minorHAnsi"/>
          <w:i/>
          <w:iCs/>
        </w:rPr>
        <w:t>p</w:t>
      </w:r>
      <w:r w:rsidRPr="00C8500E">
        <w:rPr>
          <w:rFonts w:cstheme="minorHAnsi"/>
        </w:rPr>
        <w:t> = 0.034, and increased CBF in the R ACC among CN, F(1, 15) = 9.6, </w:t>
      </w:r>
      <w:r w:rsidRPr="00C8500E">
        <w:rPr>
          <w:rFonts w:cstheme="minorHAnsi"/>
          <w:i/>
          <w:iCs/>
        </w:rPr>
        <w:t>p</w:t>
      </w:r>
      <w:r w:rsidRPr="00C8500E">
        <w:rPr>
          <w:rFonts w:cstheme="minorHAnsi"/>
        </w:rPr>
        <w:t> = 0.007 (</w:t>
      </w:r>
      <w:hyperlink r:id="rId92" w:tgtFrame="figure" w:history="1">
        <w:r w:rsidRPr="00C8500E">
          <w:rPr>
            <w:rStyle w:val="Hyperlink"/>
            <w:rFonts w:cstheme="minorHAnsi"/>
            <w:sz w:val="24"/>
            <w:szCs w:val="24"/>
          </w:rPr>
          <w:t>Figure 3</w:t>
        </w:r>
      </w:hyperlink>
      <w:r w:rsidRPr="00C8500E">
        <w:rPr>
          <w:rFonts w:cstheme="minorHAnsi"/>
        </w:rPr>
        <w:t> and </w:t>
      </w:r>
      <w:hyperlink r:id="rId93" w:anchor="SD1" w:history="1">
        <w:r w:rsidRPr="00C8500E">
          <w:rPr>
            <w:rStyle w:val="Hyperlink"/>
            <w:rFonts w:cstheme="minorHAnsi"/>
            <w:sz w:val="24"/>
            <w:szCs w:val="24"/>
          </w:rPr>
          <w:t>Supplementary Table 1</w:t>
        </w:r>
      </w:hyperlink>
      <w:r w:rsidRPr="00C8500E">
        <w:rPr>
          <w:rFonts w:cstheme="minorHAnsi"/>
        </w:rPr>
        <w:t>). Note, the brain regions mentioned above reflect the location of peak perfusion differences or changes; figure legends contain a complete list of brain regions overlapped by significant clusters (Figures </w:t>
      </w:r>
      <w:hyperlink r:id="rId94" w:tgtFrame="figure" w:history="1">
        <w:r w:rsidRPr="00C8500E">
          <w:rPr>
            <w:rStyle w:val="Hyperlink"/>
            <w:rFonts w:cstheme="minorHAnsi"/>
            <w:sz w:val="24"/>
            <w:szCs w:val="24"/>
          </w:rPr>
          <w:t>​(Figures22</w:t>
        </w:r>
      </w:hyperlink>
      <w:r w:rsidRPr="00C8500E">
        <w:rPr>
          <w:rFonts w:cstheme="minorHAnsi"/>
        </w:rPr>
        <w:t> and </w:t>
      </w:r>
      <w:hyperlink r:id="rId95" w:tgtFrame="figure" w:history="1">
        <w:r w:rsidRPr="00C8500E">
          <w:rPr>
            <w:rStyle w:val="Hyperlink"/>
            <w:rFonts w:cstheme="minorHAnsi"/>
            <w:sz w:val="24"/>
            <w:szCs w:val="24"/>
          </w:rPr>
          <w:t>​and33</w:t>
        </w:r>
      </w:hyperlink>
      <w:r w:rsidRPr="00C8500E">
        <w:rPr>
          <w:rFonts w:cstheme="minorHAnsi"/>
        </w:rPr>
        <w:t>).</w:t>
      </w:r>
      <w:r w:rsidRPr="00C8500E">
        <w:rPr>
          <w:rFonts w:cstheme="minorHAnsi"/>
          <w:sz w:val="24"/>
          <w:szCs w:val="24"/>
        </w:rPr>
        <w:fldChar w:fldCharType="begin"/>
      </w:r>
      <w:r w:rsidRPr="00C8500E">
        <w:rPr>
          <w:rFonts w:cstheme="minorHAnsi"/>
          <w:sz w:val="24"/>
          <w:szCs w:val="24"/>
        </w:rPr>
        <w:instrText xml:space="preserve"> HYPERLINK "https://www.ncbi.nlm.nih.gov/pmc/articles/PMC6444938/figure/F2/" \t "figure" </w:instrText>
      </w:r>
      <w:r w:rsidRPr="00C8500E">
        <w:rPr>
          <w:rFonts w:cstheme="minorHAnsi"/>
          <w:sz w:val="24"/>
          <w:szCs w:val="24"/>
        </w:rPr>
        <w:fldChar w:fldCharType="separate"/>
      </w:r>
    </w:p>
    <w:p w14:paraId="25E9A5FB" w14:textId="12AC2417" w:rsidR="00C9499F" w:rsidRPr="00C8500E" w:rsidRDefault="00C9499F" w:rsidP="00CF787C">
      <w:pPr>
        <w:spacing w:after="0"/>
        <w:rPr>
          <w:rStyle w:val="Hyperlink"/>
          <w:rFonts w:cstheme="minorHAnsi"/>
          <w:sz w:val="24"/>
          <w:szCs w:val="24"/>
        </w:rPr>
      </w:pPr>
      <w:r w:rsidRPr="00C8500E">
        <w:rPr>
          <w:rStyle w:val="Hyperlink"/>
          <w:rFonts w:cstheme="minorHAnsi"/>
          <w:noProof/>
          <w:sz w:val="24"/>
          <w:szCs w:val="24"/>
        </w:rPr>
        <w:drawing>
          <wp:inline distT="0" distB="0" distL="0" distR="0" wp14:anchorId="0AC91410" wp14:editId="3A4F0D1F">
            <wp:extent cx="2743200" cy="1993392"/>
            <wp:effectExtent l="0" t="0" r="0" b="6985"/>
            <wp:docPr id="3" name="Picture 3"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7D23981E" w14:textId="4FA38C5F" w:rsidR="00C9499F" w:rsidRPr="00C8500E" w:rsidRDefault="00C9499F" w:rsidP="00C9499F">
      <w:pPr>
        <w:rPr>
          <w:rStyle w:val="Hyperlink"/>
          <w:rFonts w:cstheme="minorHAnsi"/>
          <w:sz w:val="24"/>
          <w:szCs w:val="24"/>
        </w:rPr>
      </w:pPr>
      <w:r w:rsidRPr="00C8500E">
        <w:rPr>
          <w:rFonts w:cstheme="minorHAnsi"/>
          <w:sz w:val="24"/>
          <w:szCs w:val="24"/>
        </w:rPr>
        <w:fldChar w:fldCharType="end"/>
      </w:r>
      <w:r w:rsidRPr="00C8500E">
        <w:rPr>
          <w:rFonts w:cstheme="minorHAnsi"/>
        </w:rPr>
        <w:t>Figure 2.</w:t>
      </w:r>
      <w:r w:rsidR="00CD164D">
        <w:rPr>
          <w:rFonts w:cstheme="minorHAnsi"/>
        </w:rPr>
        <w:t xml:space="preserve"> </w:t>
      </w:r>
      <w:r w:rsidRPr="00C8500E">
        <w:rPr>
          <w:rFonts w:cstheme="minorHAnsi"/>
        </w:rPr>
        <w:t>Bold </w:t>
      </w:r>
      <w:r w:rsidRPr="00C8500E">
        <w:rPr>
          <w:rFonts w:cstheme="minorHAnsi"/>
          <w:i/>
          <w:iCs/>
        </w:rPr>
        <w:t>p</w:t>
      </w:r>
      <w:r w:rsidRPr="00C8500E">
        <w:rPr>
          <w:rFonts w:cstheme="minorHAnsi"/>
        </w:rPr>
        <w:t>-value indicates a significant between-group difference, family wise error corrected </w:t>
      </w:r>
      <w:r w:rsidRPr="00C8500E">
        <w:rPr>
          <w:rFonts w:cstheme="minorHAnsi"/>
          <w:i/>
          <w:iCs/>
        </w:rPr>
        <w:t>p</w:t>
      </w:r>
      <w:r w:rsidRPr="00C8500E">
        <w:rPr>
          <w:rFonts w:cstheme="minorHAnsi"/>
        </w:rPr>
        <w:t> &lt; 0.05. </w:t>
      </w:r>
      <w:r w:rsidRPr="00C8500E">
        <w:rPr>
          <w:rFonts w:cstheme="minorHAnsi"/>
          <w:b/>
          <w:bCs/>
        </w:rPr>
        <w:t>(A)</w:t>
      </w:r>
      <w:r w:rsidRPr="00C8500E">
        <w:rPr>
          <w:rFonts w:cstheme="minorHAnsi"/>
        </w:rPr>
        <w:t> Brain maps and corresponding strip plots showing significant difference at baseline (CN &lt; MCI) in the left insula (the location of peak difference). </w:t>
      </w:r>
      <w:r w:rsidRPr="00C8500E">
        <w:rPr>
          <w:rFonts w:cstheme="minorHAnsi"/>
          <w:b/>
          <w:bCs/>
        </w:rPr>
        <w:t>(B)</w:t>
      </w:r>
      <w:r w:rsidRPr="00C8500E">
        <w:rPr>
          <w:rFonts w:cstheme="minorHAnsi"/>
        </w:rPr>
        <w:t> Demonstrates the comparison after the exercise intervention (CN = MCI). The baseline difference (shown in red) spans several brain regions including the left insula (BA 46), putamen (BA 25), inferior frontal gyrus (BA 47), and medial frontal gyrus (BA 10). There was no significant between-group difference in the left insula, or any other brain region, after the exercise intervention.</w:t>
      </w:r>
      <w:r w:rsidRPr="00C8500E">
        <w:rPr>
          <w:rFonts w:cstheme="minorHAnsi"/>
          <w:sz w:val="24"/>
          <w:szCs w:val="24"/>
        </w:rPr>
        <w:fldChar w:fldCharType="begin"/>
      </w:r>
      <w:r w:rsidRPr="00C8500E">
        <w:rPr>
          <w:rFonts w:cstheme="minorHAnsi"/>
          <w:sz w:val="24"/>
          <w:szCs w:val="24"/>
        </w:rPr>
        <w:instrText xml:space="preserve"> HYPERLINK "https://www.ncbi.nlm.nih.gov/pmc/articles/PMC6444938/figure/F3/" \t "figure" </w:instrText>
      </w:r>
      <w:r w:rsidRPr="00C8500E">
        <w:rPr>
          <w:rFonts w:cstheme="minorHAnsi"/>
          <w:sz w:val="24"/>
          <w:szCs w:val="24"/>
        </w:rPr>
        <w:fldChar w:fldCharType="separate"/>
      </w:r>
    </w:p>
    <w:p w14:paraId="598FC543" w14:textId="15BE3686" w:rsidR="00C9499F" w:rsidRPr="00C8500E" w:rsidRDefault="00C9499F" w:rsidP="00CF787C">
      <w:pPr>
        <w:spacing w:after="0"/>
        <w:rPr>
          <w:rStyle w:val="Hyperlink"/>
          <w:rFonts w:cstheme="minorHAnsi"/>
          <w:sz w:val="24"/>
          <w:szCs w:val="24"/>
        </w:rPr>
      </w:pPr>
      <w:r w:rsidRPr="00C8500E">
        <w:rPr>
          <w:rStyle w:val="Hyperlink"/>
          <w:rFonts w:cstheme="minorHAnsi"/>
          <w:noProof/>
          <w:sz w:val="24"/>
          <w:szCs w:val="24"/>
        </w:rPr>
        <w:lastRenderedPageBreak/>
        <w:drawing>
          <wp:inline distT="0" distB="0" distL="0" distR="0" wp14:anchorId="5F135E8F" wp14:editId="5215B3AD">
            <wp:extent cx="2743200" cy="3154680"/>
            <wp:effectExtent l="0" t="0" r="0" b="7620"/>
            <wp:docPr id="2" name="Picture 2"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743200" cy="3154680"/>
                    </a:xfrm>
                    <a:prstGeom prst="rect">
                      <a:avLst/>
                    </a:prstGeom>
                    <a:noFill/>
                    <a:ln>
                      <a:noFill/>
                    </a:ln>
                  </pic:spPr>
                </pic:pic>
              </a:graphicData>
            </a:graphic>
          </wp:inline>
        </w:drawing>
      </w:r>
    </w:p>
    <w:p w14:paraId="6ECD5594" w14:textId="5BFDC40D" w:rsidR="00C9499F" w:rsidRPr="00C8500E" w:rsidRDefault="00C9499F" w:rsidP="002D508B">
      <w:pPr>
        <w:rPr>
          <w:rFonts w:cstheme="minorHAnsi"/>
        </w:rPr>
      </w:pPr>
      <w:r w:rsidRPr="00C8500E">
        <w:rPr>
          <w:rFonts w:cstheme="minorHAnsi"/>
          <w:sz w:val="24"/>
          <w:szCs w:val="24"/>
        </w:rPr>
        <w:fldChar w:fldCharType="end"/>
      </w:r>
      <w:r w:rsidRPr="00C8500E">
        <w:rPr>
          <w:rFonts w:cstheme="minorHAnsi"/>
        </w:rPr>
        <w:t>Figure 3.</w:t>
      </w:r>
      <w:r w:rsidR="00CD164D">
        <w:rPr>
          <w:rFonts w:cstheme="minorHAnsi"/>
        </w:rPr>
        <w:t xml:space="preserve"> </w:t>
      </w:r>
      <w:r w:rsidRPr="00C8500E">
        <w:rPr>
          <w:rFonts w:cstheme="minorHAnsi"/>
        </w:rPr>
        <w:t>Bold </w:t>
      </w:r>
      <w:r w:rsidRPr="00C8500E">
        <w:rPr>
          <w:rFonts w:cstheme="minorHAnsi"/>
          <w:i/>
          <w:iCs/>
        </w:rPr>
        <w:t>p</w:t>
      </w:r>
      <w:r w:rsidRPr="00C8500E">
        <w:rPr>
          <w:rFonts w:cstheme="minorHAnsi"/>
        </w:rPr>
        <w:t>-values indicate significant within-group changes over time, family-wise error corrected </w:t>
      </w:r>
      <w:r w:rsidRPr="00C8500E">
        <w:rPr>
          <w:rFonts w:cstheme="minorHAnsi"/>
          <w:i/>
          <w:iCs/>
        </w:rPr>
        <w:t>p</w:t>
      </w:r>
      <w:r w:rsidRPr="00C8500E">
        <w:rPr>
          <w:rFonts w:cstheme="minorHAnsi"/>
        </w:rPr>
        <w:t> &lt; 0.05. </w:t>
      </w:r>
      <w:r w:rsidRPr="00C8500E">
        <w:rPr>
          <w:rFonts w:cstheme="minorHAnsi"/>
          <w:b/>
          <w:bCs/>
        </w:rPr>
        <w:t>(A)</w:t>
      </w:r>
      <w:r w:rsidRPr="00C8500E">
        <w:rPr>
          <w:rFonts w:cstheme="minorHAnsi"/>
        </w:rPr>
        <w:t> Brain map and corresponding strip plot show significant changes over time for CN. Red area indicates significantly increased CBF in the right anterior cingulate cortex (location of peak change), but also spans the left/right anterior cingulate cortices and the left/right superior medial gyri (BA 10). </w:t>
      </w:r>
      <w:r w:rsidRPr="00C8500E">
        <w:rPr>
          <w:rFonts w:cstheme="minorHAnsi"/>
          <w:b/>
          <w:bCs/>
        </w:rPr>
        <w:t>(B)</w:t>
      </w:r>
      <w:r w:rsidRPr="00C8500E">
        <w:rPr>
          <w:rFonts w:cstheme="minorHAnsi"/>
        </w:rPr>
        <w:t> Shows significant changes over time for MCI, with the blue area indicating decreased CBF in the left anterior cingulate cortex (location of peak change). </w:t>
      </w:r>
      <w:r w:rsidRPr="00C8500E">
        <w:rPr>
          <w:rFonts w:cstheme="minorHAnsi"/>
          <w:b/>
          <w:bCs/>
        </w:rPr>
        <w:t>(C)</w:t>
      </w:r>
      <w:r w:rsidRPr="00C8500E">
        <w:rPr>
          <w:rFonts w:cstheme="minorHAnsi"/>
        </w:rPr>
        <w:t> Also shows significant changes over time for MCI, with the blue area indicating decreased CBF in the right inferior frontal gyrus (location of peak change). Significant CBF changes in those with MCI span several brain regions including the left/right anterior cingulate cortex (BA 24), left/right middle cingulate cortex (BA 32), right inferior frontal gyrus (BA 47), right insula (BA 46), and right putamen (BA 25).</w:t>
      </w:r>
    </w:p>
    <w:p w14:paraId="56590168" w14:textId="77777777" w:rsidR="00C9499F" w:rsidRPr="00C8500E" w:rsidRDefault="00C9499F" w:rsidP="002D508B">
      <w:pPr>
        <w:pStyle w:val="Heading2"/>
        <w:rPr>
          <w:rFonts w:asciiTheme="minorHAnsi" w:hAnsiTheme="minorHAnsi" w:cstheme="minorHAnsi"/>
        </w:rPr>
      </w:pPr>
      <w:r w:rsidRPr="00C8500E">
        <w:rPr>
          <w:rFonts w:asciiTheme="minorHAnsi" w:hAnsiTheme="minorHAnsi" w:cstheme="minorHAnsi"/>
        </w:rPr>
        <w:t>Associations of within-group changes in CBF and Cognitive Performance</w:t>
      </w:r>
    </w:p>
    <w:p w14:paraId="2F97C953" w14:textId="77777777" w:rsidR="00C9499F" w:rsidRPr="00C8500E" w:rsidRDefault="00C9499F" w:rsidP="002D508B">
      <w:pPr>
        <w:rPr>
          <w:rFonts w:cstheme="minorHAnsi"/>
        </w:rPr>
      </w:pPr>
      <w:r w:rsidRPr="00C8500E">
        <w:rPr>
          <w:rFonts w:cstheme="minorHAnsi"/>
        </w:rPr>
        <w:t>Mean CBF values were extracted from the left and right anterior cingulate cortex (ACC) for MCI and CN, respectively, and the right inferior frontal gyrus (IFG) and left insula for those with MCI. After adjustment for age and education, results demonstrated partial correlations between improved COWAT performance and decreased CBF within the L insula (as defined by the voxel- wise analysis; </w:t>
      </w:r>
      <w:r w:rsidRPr="00C8500E">
        <w:rPr>
          <w:rFonts w:cstheme="minorHAnsi"/>
          <w:i/>
          <w:iCs/>
        </w:rPr>
        <w:t>r</w:t>
      </w:r>
      <w:r w:rsidRPr="00C8500E">
        <w:rPr>
          <w:rFonts w:cstheme="minorHAnsi"/>
        </w:rPr>
        <w:t> = −0.79, </w:t>
      </w:r>
      <w:r w:rsidRPr="00C8500E">
        <w:rPr>
          <w:rFonts w:cstheme="minorHAnsi"/>
          <w:i/>
          <w:iCs/>
        </w:rPr>
        <w:t>p</w:t>
      </w:r>
      <w:r w:rsidRPr="00C8500E">
        <w:rPr>
          <w:rFonts w:cstheme="minorHAnsi"/>
        </w:rPr>
        <w:t> = 0.001) and L ACC (as defined by cortical parcellation; </w:t>
      </w:r>
      <w:r w:rsidRPr="00C8500E">
        <w:rPr>
          <w:rFonts w:cstheme="minorHAnsi"/>
          <w:i/>
          <w:iCs/>
        </w:rPr>
        <w:t>r</w:t>
      </w:r>
      <w:r w:rsidRPr="00C8500E">
        <w:rPr>
          <w:rFonts w:cstheme="minorHAnsi"/>
        </w:rPr>
        <w:t> = −0.82, </w:t>
      </w:r>
      <w:r w:rsidRPr="00C8500E">
        <w:rPr>
          <w:rFonts w:cstheme="minorHAnsi"/>
          <w:i/>
          <w:iCs/>
        </w:rPr>
        <w:t>p</w:t>
      </w:r>
      <w:r w:rsidRPr="00C8500E">
        <w:rPr>
          <w:rFonts w:cstheme="minorHAnsi"/>
        </w:rPr>
        <w:t> &lt; 0.001) (</w:t>
      </w:r>
      <w:hyperlink r:id="rId98" w:tgtFrame="figure" w:history="1">
        <w:r w:rsidRPr="00C8500E">
          <w:rPr>
            <w:rStyle w:val="Hyperlink"/>
            <w:rFonts w:cstheme="minorHAnsi"/>
            <w:sz w:val="24"/>
            <w:szCs w:val="24"/>
          </w:rPr>
          <w:t>Figure 4</w:t>
        </w:r>
      </w:hyperlink>
      <w:r w:rsidRPr="00C8500E">
        <w:rPr>
          <w:rFonts w:cstheme="minorHAnsi"/>
        </w:rPr>
        <w:t>). No additional correlations were identified between changes in regional perfusion and improvements in cognitive performance for either group and there were no significant associations between systolic/diastolic blood pressure changes and within-group CBF changes over time.</w:t>
      </w:r>
    </w:p>
    <w:p w14:paraId="6D13471F" w14:textId="77777777" w:rsidR="00C9499F" w:rsidRPr="00C8500E" w:rsidRDefault="00C9499F" w:rsidP="00C9499F">
      <w:pPr>
        <w:rPr>
          <w:rStyle w:val="Hyperlink"/>
          <w:rFonts w:cstheme="minorHAnsi"/>
          <w:sz w:val="24"/>
          <w:szCs w:val="24"/>
        </w:rPr>
      </w:pPr>
      <w:r w:rsidRPr="00C8500E">
        <w:rPr>
          <w:rFonts w:cstheme="minorHAnsi"/>
          <w:sz w:val="24"/>
          <w:szCs w:val="24"/>
        </w:rPr>
        <w:fldChar w:fldCharType="begin"/>
      </w:r>
      <w:r w:rsidRPr="00C8500E">
        <w:rPr>
          <w:rFonts w:cstheme="minorHAnsi"/>
          <w:sz w:val="24"/>
          <w:szCs w:val="24"/>
        </w:rPr>
        <w:instrText xml:space="preserve"> HYPERLINK "https://www.ncbi.nlm.nih.gov/pmc/articles/PMC6444938/figure/F4/" \t "figure" </w:instrText>
      </w:r>
      <w:r w:rsidRPr="00C8500E">
        <w:rPr>
          <w:rFonts w:cstheme="minorHAnsi"/>
          <w:sz w:val="24"/>
          <w:szCs w:val="24"/>
        </w:rPr>
        <w:fldChar w:fldCharType="separate"/>
      </w:r>
    </w:p>
    <w:p w14:paraId="179C6587" w14:textId="05E32A1E" w:rsidR="00C9499F" w:rsidRPr="00C8500E" w:rsidRDefault="00C9499F" w:rsidP="00CF787C">
      <w:pPr>
        <w:spacing w:after="0"/>
        <w:rPr>
          <w:rStyle w:val="Hyperlink"/>
          <w:rFonts w:cstheme="minorHAnsi"/>
          <w:sz w:val="24"/>
          <w:szCs w:val="24"/>
        </w:rPr>
      </w:pPr>
      <w:r w:rsidRPr="00C8500E">
        <w:rPr>
          <w:rStyle w:val="Hyperlink"/>
          <w:rFonts w:cstheme="minorHAnsi"/>
          <w:noProof/>
          <w:sz w:val="24"/>
          <w:szCs w:val="24"/>
        </w:rPr>
        <w:lastRenderedPageBreak/>
        <w:drawing>
          <wp:inline distT="0" distB="0" distL="0" distR="0" wp14:anchorId="051F8F5C" wp14:editId="12B1F7FB">
            <wp:extent cx="2743200" cy="3950208"/>
            <wp:effectExtent l="0" t="0" r="0" b="0"/>
            <wp:docPr id="1" name="Picture 1"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743200" cy="3950208"/>
                    </a:xfrm>
                    <a:prstGeom prst="rect">
                      <a:avLst/>
                    </a:prstGeom>
                    <a:noFill/>
                    <a:ln>
                      <a:noFill/>
                    </a:ln>
                  </pic:spPr>
                </pic:pic>
              </a:graphicData>
            </a:graphic>
          </wp:inline>
        </w:drawing>
      </w:r>
    </w:p>
    <w:p w14:paraId="063D7D2F" w14:textId="4C9EDF6E" w:rsidR="00C9499F" w:rsidRPr="00C8500E" w:rsidRDefault="00C9499F" w:rsidP="00775D8E">
      <w:pPr>
        <w:rPr>
          <w:rFonts w:cstheme="minorHAnsi"/>
        </w:rPr>
      </w:pPr>
      <w:r w:rsidRPr="00C8500E">
        <w:rPr>
          <w:rFonts w:cstheme="minorHAnsi"/>
          <w:sz w:val="24"/>
          <w:szCs w:val="24"/>
        </w:rPr>
        <w:fldChar w:fldCharType="end"/>
      </w:r>
      <w:r w:rsidRPr="00C8500E">
        <w:rPr>
          <w:rFonts w:cstheme="minorHAnsi"/>
        </w:rPr>
        <w:t>Figure 4.</w:t>
      </w:r>
      <w:r w:rsidR="00CF787C">
        <w:rPr>
          <w:rFonts w:cstheme="minorHAnsi"/>
        </w:rPr>
        <w:t xml:space="preserve"> </w:t>
      </w:r>
      <w:r w:rsidRPr="00C8500E">
        <w:rPr>
          <w:rFonts w:cstheme="minorHAnsi"/>
        </w:rPr>
        <w:t>After adjustment for age and education, scatterplots depict the partial correlations between residualized change in COWAT performance and residualized change in CBF among individuals diagnosed with MCI. Improved COWAT performance was associated with (</w:t>
      </w:r>
      <w:r w:rsidRPr="00C8500E">
        <w:rPr>
          <w:rFonts w:cstheme="minorHAnsi"/>
          <w:b/>
          <w:bCs/>
        </w:rPr>
        <w:t>A</w:t>
      </w:r>
      <w:r w:rsidRPr="00C8500E">
        <w:rPr>
          <w:rFonts w:cstheme="minorHAnsi"/>
        </w:rPr>
        <w:t>) decreased left insula CBF and (</w:t>
      </w:r>
      <w:r w:rsidRPr="00C8500E">
        <w:rPr>
          <w:rFonts w:cstheme="minorHAnsi"/>
          <w:b/>
          <w:bCs/>
        </w:rPr>
        <w:t>B</w:t>
      </w:r>
      <w:r w:rsidRPr="00C8500E">
        <w:rPr>
          <w:rFonts w:cstheme="minorHAnsi"/>
        </w:rPr>
        <w:t>) decreased left ACC CBF among individuals with MCI. No such associations were found among CN individuals.</w:t>
      </w:r>
    </w:p>
    <w:p w14:paraId="7FF82633" w14:textId="77777777" w:rsidR="00C9499F" w:rsidRPr="00C8500E" w:rsidRDefault="00C9499F" w:rsidP="00775D8E">
      <w:pPr>
        <w:pStyle w:val="Heading1"/>
        <w:rPr>
          <w:rFonts w:asciiTheme="minorHAnsi" w:hAnsiTheme="minorHAnsi" w:cstheme="minorHAnsi"/>
        </w:rPr>
      </w:pPr>
      <w:r w:rsidRPr="00C8500E">
        <w:rPr>
          <w:rFonts w:asciiTheme="minorHAnsi" w:hAnsiTheme="minorHAnsi" w:cstheme="minorHAnsi"/>
        </w:rPr>
        <w:t>DISCUSSION</w:t>
      </w:r>
    </w:p>
    <w:p w14:paraId="6DDE6038" w14:textId="77777777" w:rsidR="00C9499F" w:rsidRPr="00C8500E" w:rsidRDefault="00C9499F" w:rsidP="00775D8E">
      <w:pPr>
        <w:pStyle w:val="Heading2"/>
        <w:rPr>
          <w:rFonts w:asciiTheme="minorHAnsi" w:hAnsiTheme="minorHAnsi" w:cstheme="minorHAnsi"/>
        </w:rPr>
      </w:pPr>
      <w:r w:rsidRPr="00C8500E">
        <w:rPr>
          <w:rFonts w:asciiTheme="minorHAnsi" w:hAnsiTheme="minorHAnsi" w:cstheme="minorHAnsi"/>
        </w:rPr>
        <w:t>Key Findings</w:t>
      </w:r>
    </w:p>
    <w:p w14:paraId="071E418D" w14:textId="77777777" w:rsidR="00C9499F" w:rsidRPr="00C8500E" w:rsidRDefault="00C9499F" w:rsidP="00775D8E">
      <w:pPr>
        <w:rPr>
          <w:rFonts w:cstheme="minorHAnsi"/>
        </w:rPr>
      </w:pPr>
      <w:r w:rsidRPr="00C8500E">
        <w:rPr>
          <w:rFonts w:cstheme="minorHAnsi"/>
        </w:rPr>
        <w:t>Although no significant interactions were found at the </w:t>
      </w:r>
      <w:r w:rsidRPr="00C8500E">
        <w:rPr>
          <w:rFonts w:cstheme="minorHAnsi"/>
          <w:i/>
          <w:iCs/>
        </w:rPr>
        <w:t>p</w:t>
      </w:r>
      <w:r w:rsidRPr="00C8500E">
        <w:rPr>
          <w:rFonts w:cstheme="minorHAnsi"/>
        </w:rPr>
        <w:t> &lt; 0.05 level, 12 weeks of exercise training significantly improved aerobic fitness (V̇O</w:t>
      </w:r>
      <w:r w:rsidRPr="00C8500E">
        <w:rPr>
          <w:rFonts w:cstheme="minorHAnsi"/>
          <w:vertAlign w:val="subscript"/>
        </w:rPr>
        <w:t>2peak</w:t>
      </w:r>
      <w:r w:rsidRPr="00C8500E">
        <w:rPr>
          <w:rFonts w:cstheme="minorHAnsi"/>
        </w:rPr>
        <w:t> increased approximately 8%), and enhanced verbal fluency (measured by the COWAT) and memory performance (measured by the RAVLT Trial 1). Additionally, </w:t>
      </w:r>
      <w:r w:rsidRPr="00C8500E">
        <w:rPr>
          <w:rFonts w:cstheme="minorHAnsi"/>
          <w:i/>
          <w:iCs/>
        </w:rPr>
        <w:t>post</w:t>
      </w:r>
      <w:r w:rsidRPr="00C8500E">
        <w:rPr>
          <w:rFonts w:cstheme="minorHAnsi"/>
        </w:rPr>
        <w:t>-</w:t>
      </w:r>
      <w:r w:rsidRPr="00C8500E">
        <w:rPr>
          <w:rFonts w:cstheme="minorHAnsi"/>
          <w:i/>
          <w:iCs/>
        </w:rPr>
        <w:t>hoc</w:t>
      </w:r>
      <w:r w:rsidRPr="00C8500E">
        <w:rPr>
          <w:rFonts w:cstheme="minorHAnsi"/>
        </w:rPr>
        <w:t> analyses revealed that exercise training was linked to directionally distinct, within-group CBF changes over time.</w:t>
      </w:r>
    </w:p>
    <w:p w14:paraId="2EC585C8" w14:textId="77777777" w:rsidR="00C9499F" w:rsidRPr="00C8500E" w:rsidRDefault="00C9499F" w:rsidP="00C7708F">
      <w:pPr>
        <w:rPr>
          <w:rFonts w:cstheme="minorHAnsi"/>
        </w:rPr>
      </w:pPr>
      <w:r w:rsidRPr="00C8500E">
        <w:rPr>
          <w:rFonts w:cstheme="minorHAnsi"/>
          <w:i/>
          <w:iCs/>
        </w:rPr>
        <w:t>post</w:t>
      </w:r>
      <w:r w:rsidRPr="00C8500E">
        <w:rPr>
          <w:rFonts w:cstheme="minorHAnsi"/>
        </w:rPr>
        <w:t>-</w:t>
      </w:r>
      <w:r w:rsidRPr="00C8500E">
        <w:rPr>
          <w:rFonts w:cstheme="minorHAnsi"/>
          <w:i/>
          <w:iCs/>
        </w:rPr>
        <w:t>hoc</w:t>
      </w:r>
      <w:r w:rsidRPr="00C8500E">
        <w:rPr>
          <w:rFonts w:cstheme="minorHAnsi"/>
        </w:rPr>
        <w:t> tests were also used to determine whether CBF changes were coupled with improved cognitive performance. In support of our hypotheses, we found that those with MCI (vs. CN) exhibited more diffuse exercise-induced changes in perfusion within the prefrontal cortex (7056 mm</w:t>
      </w:r>
      <w:r w:rsidRPr="00C8500E">
        <w:rPr>
          <w:rFonts w:cstheme="minorHAnsi"/>
          <w:vertAlign w:val="superscript"/>
        </w:rPr>
        <w:t>3</w:t>
      </w:r>
      <w:r w:rsidRPr="00C8500E">
        <w:rPr>
          <w:rFonts w:cstheme="minorHAnsi"/>
        </w:rPr>
        <w:t> vs. 3624 mm</w:t>
      </w:r>
      <w:r w:rsidRPr="00C8500E">
        <w:rPr>
          <w:rFonts w:cstheme="minorHAnsi"/>
          <w:vertAlign w:val="superscript"/>
        </w:rPr>
        <w:t>3</w:t>
      </w:r>
      <w:r w:rsidRPr="00C8500E">
        <w:rPr>
          <w:rFonts w:cstheme="minorHAnsi"/>
        </w:rPr>
        <w:t>), which were directionally dependent on cognitive status. Specifically, among those with MCI, exercise training decreased CBF in the L ACC and R IFG, while in CN, exercise increased CBF in the R ACC. Moreover, among those with MCI, decreased CBF in the L insula and L ACC was correlated with improved COWAT performance. No additional associations were identified between perfusion changes (within the R IFG or R ACC) and improvements in cognitive performance for MCI or CN. No between-group differences or within-group changes in whole-brain CBF were observed.</w:t>
      </w:r>
    </w:p>
    <w:p w14:paraId="6AAA0F0A" w14:textId="77777777" w:rsidR="00C9499F" w:rsidRPr="00C8500E" w:rsidRDefault="00C9499F" w:rsidP="00C7708F">
      <w:pPr>
        <w:rPr>
          <w:rFonts w:cstheme="minorHAnsi"/>
        </w:rPr>
      </w:pPr>
      <w:r w:rsidRPr="00C8500E">
        <w:rPr>
          <w:rFonts w:cstheme="minorHAnsi"/>
        </w:rPr>
        <w:t xml:space="preserve">In the present study, individuals with MCI demonstrated significantly elevated CBF in the L insula at baseline, but not immediately after 12 weeks of aerobic exercise. The insula is a unique and complex brain region involved in numerous functions (e.g., autonomic regulation, motor control, higher order cognitive-emotional processing) </w:t>
      </w:r>
      <w:r w:rsidRPr="00C8500E">
        <w:rPr>
          <w:rFonts w:cstheme="minorHAnsi"/>
        </w:rPr>
        <w:lastRenderedPageBreak/>
        <w:t>and is believed to be a primary component of the salience network[</w:t>
      </w:r>
      <w:hyperlink r:id="rId100" w:anchor="R69" w:history="1">
        <w:r w:rsidRPr="00C8500E">
          <w:rPr>
            <w:rStyle w:val="Hyperlink"/>
            <w:rFonts w:cstheme="minorHAnsi"/>
            <w:sz w:val="24"/>
            <w:szCs w:val="24"/>
          </w:rPr>
          <w:t>69</w:t>
        </w:r>
      </w:hyperlink>
      <w:r w:rsidRPr="00C8500E">
        <w:rPr>
          <w:rFonts w:cstheme="minorHAnsi"/>
        </w:rPr>
        <w:t>–</w:t>
      </w:r>
      <w:hyperlink r:id="rId101" w:anchor="R71" w:history="1">
        <w:r w:rsidRPr="00C8500E">
          <w:rPr>
            <w:rStyle w:val="Hyperlink"/>
            <w:rFonts w:cstheme="minorHAnsi"/>
            <w:sz w:val="24"/>
            <w:szCs w:val="24"/>
          </w:rPr>
          <w:t>71</w:t>
        </w:r>
      </w:hyperlink>
      <w:r w:rsidRPr="00C8500E">
        <w:rPr>
          <w:rFonts w:cstheme="minorHAnsi"/>
        </w:rPr>
        <w:t>]. Like the temporal and prefrontal cortices, the insula appears to be affected early along the AD continuum, with previous investigations demonstrating insular atrophy and disrupted intrinsic connectivity among individuals with MCI[</w:t>
      </w:r>
      <w:hyperlink r:id="rId102" w:anchor="R72" w:history="1">
        <w:r w:rsidRPr="00C8500E">
          <w:rPr>
            <w:rStyle w:val="Hyperlink"/>
            <w:rFonts w:cstheme="minorHAnsi"/>
            <w:sz w:val="24"/>
            <w:szCs w:val="24"/>
          </w:rPr>
          <w:t>72</w:t>
        </w:r>
      </w:hyperlink>
      <w:r w:rsidRPr="00C8500E">
        <w:rPr>
          <w:rFonts w:cstheme="minorHAnsi"/>
        </w:rPr>
        <w:t>,</w:t>
      </w:r>
      <w:hyperlink r:id="rId103" w:anchor="R73" w:history="1">
        <w:r w:rsidRPr="00C8500E">
          <w:rPr>
            <w:rStyle w:val="Hyperlink"/>
            <w:rFonts w:cstheme="minorHAnsi"/>
            <w:sz w:val="24"/>
            <w:szCs w:val="24"/>
          </w:rPr>
          <w:t>73</w:t>
        </w:r>
      </w:hyperlink>
      <w:r w:rsidRPr="00C8500E">
        <w:rPr>
          <w:rFonts w:cstheme="minorHAnsi"/>
        </w:rPr>
        <w:t>]. Our findings align with prior reports of insular hyperperfusion in individuals at increased risk of AD[</w:t>
      </w:r>
      <w:hyperlink r:id="rId104" w:anchor="R16" w:history="1">
        <w:r w:rsidRPr="00C8500E">
          <w:rPr>
            <w:rStyle w:val="Hyperlink"/>
            <w:rFonts w:cstheme="minorHAnsi"/>
            <w:sz w:val="24"/>
            <w:szCs w:val="24"/>
          </w:rPr>
          <w:t>16</w:t>
        </w:r>
      </w:hyperlink>
      <w:r w:rsidRPr="00C8500E">
        <w:rPr>
          <w:rFonts w:cstheme="minorHAnsi"/>
        </w:rPr>
        <w:t>], but also suggest exercise training may help normalize a struggling and perhaps diseased neurovascular system. While few studies have used neuroimaging to examine the effects of exercise in MCI, investigations pursuing this objective have revealed promising results. In 2015, ten Brinke et al. examined the effects of a 6- month exercise intervention (participants were randomized to either: aerobic exercise, resistance training, or balance/toning exercise) in 86 older women with MCI using structural MRI. After 6 months of exercise, those who engaged in aerobic exercise had preserved hippocampal volume compared to the balance/toning group[</w:t>
      </w:r>
      <w:hyperlink r:id="rId105" w:anchor="R36" w:history="1">
        <w:r w:rsidRPr="00C8500E">
          <w:rPr>
            <w:rStyle w:val="Hyperlink"/>
            <w:rFonts w:cstheme="minorHAnsi"/>
            <w:sz w:val="24"/>
            <w:szCs w:val="24"/>
          </w:rPr>
          <w:t>36</w:t>
        </w:r>
      </w:hyperlink>
      <w:r w:rsidRPr="00C8500E">
        <w:rPr>
          <w:rFonts w:cstheme="minorHAnsi"/>
        </w:rPr>
        <w:t>]. In 2015, Doi et al. used tri-axial accelerometry and structural MRI to identify associations between physical activity (PA) and white matter lesions/brain atrophy in 323 individuals with MCI. Findings revealed lower levels of PA were linked to more severe white matter lesions and greater levels of moderate-to-vigorous PA were related to less whole brain atrophy[</w:t>
      </w:r>
      <w:hyperlink r:id="rId106" w:anchor="R37" w:history="1">
        <w:r w:rsidRPr="00C8500E">
          <w:rPr>
            <w:rStyle w:val="Hyperlink"/>
            <w:rFonts w:cstheme="minorHAnsi"/>
            <w:sz w:val="24"/>
            <w:szCs w:val="24"/>
          </w:rPr>
          <w:t>37</w:t>
        </w:r>
      </w:hyperlink>
      <w:r w:rsidRPr="00C8500E">
        <w:rPr>
          <w:rFonts w:cstheme="minorHAnsi"/>
        </w:rPr>
        <w:t>]. Finally, using the same sample analyzed in the current study, our group has shown 12 weeks of exercise training in those with MCI leads to improvements in neural efficiency[</w:t>
      </w:r>
      <w:hyperlink r:id="rId107" w:anchor="R35" w:history="1">
        <w:r w:rsidRPr="00C8500E">
          <w:rPr>
            <w:rStyle w:val="Hyperlink"/>
            <w:rFonts w:cstheme="minorHAnsi"/>
            <w:sz w:val="24"/>
            <w:szCs w:val="24"/>
          </w:rPr>
          <w:t>35</w:t>
        </w:r>
      </w:hyperlink>
      <w:r w:rsidRPr="00C8500E">
        <w:rPr>
          <w:rFonts w:cstheme="minorHAnsi"/>
        </w:rPr>
        <w:t>], functional connectivity[</w:t>
      </w:r>
      <w:hyperlink r:id="rId108" w:anchor="R74" w:history="1">
        <w:r w:rsidRPr="00C8500E">
          <w:rPr>
            <w:rStyle w:val="Hyperlink"/>
            <w:rFonts w:cstheme="minorHAnsi"/>
            <w:sz w:val="24"/>
            <w:szCs w:val="24"/>
          </w:rPr>
          <w:t>74</w:t>
        </w:r>
      </w:hyperlink>
      <w:r w:rsidRPr="00C8500E">
        <w:rPr>
          <w:rFonts w:cstheme="minorHAnsi"/>
        </w:rPr>
        <w:t>], and cortical thickness[</w:t>
      </w:r>
      <w:hyperlink r:id="rId109" w:anchor="R34" w:history="1">
        <w:r w:rsidRPr="00C8500E">
          <w:rPr>
            <w:rStyle w:val="Hyperlink"/>
            <w:rFonts w:cstheme="minorHAnsi"/>
            <w:sz w:val="24"/>
            <w:szCs w:val="24"/>
          </w:rPr>
          <w:t>34</w:t>
        </w:r>
      </w:hyperlink>
      <w:r w:rsidRPr="00C8500E">
        <w:rPr>
          <w:rFonts w:cstheme="minorHAnsi"/>
        </w:rPr>
        <w:t>].</w:t>
      </w:r>
    </w:p>
    <w:p w14:paraId="190FD41E" w14:textId="77777777" w:rsidR="00C9499F" w:rsidRPr="00C8500E" w:rsidRDefault="00C9499F" w:rsidP="00C7708F">
      <w:pPr>
        <w:pStyle w:val="Heading2"/>
        <w:rPr>
          <w:rFonts w:asciiTheme="minorHAnsi" w:hAnsiTheme="minorHAnsi" w:cstheme="minorHAnsi"/>
        </w:rPr>
      </w:pPr>
      <w:r w:rsidRPr="00C8500E">
        <w:rPr>
          <w:rFonts w:asciiTheme="minorHAnsi" w:hAnsiTheme="minorHAnsi" w:cstheme="minorHAnsi"/>
        </w:rPr>
        <w:t>Theories and Potential Mechanisms</w:t>
      </w:r>
    </w:p>
    <w:p w14:paraId="0F494271" w14:textId="77777777" w:rsidR="00C9499F" w:rsidRPr="00C8500E" w:rsidRDefault="00C9499F" w:rsidP="00C7708F">
      <w:pPr>
        <w:rPr>
          <w:rFonts w:cstheme="minorHAnsi"/>
        </w:rPr>
      </w:pPr>
      <w:r w:rsidRPr="00C8500E">
        <w:rPr>
          <w:rFonts w:cstheme="minorHAnsi"/>
        </w:rPr>
        <w:t>Cerebrovascular disease and AD share many of the same risk factors (e.g., hypertension, hypercholesterolemia, and diabetes) and most AD cases present some signs of vascular pathology[</w:t>
      </w:r>
      <w:hyperlink r:id="rId110" w:anchor="R8" w:history="1">
        <w:r w:rsidRPr="00C8500E">
          <w:rPr>
            <w:rStyle w:val="Hyperlink"/>
            <w:rFonts w:cstheme="minorHAnsi"/>
            <w:sz w:val="24"/>
            <w:szCs w:val="24"/>
          </w:rPr>
          <w:t>8</w:t>
        </w:r>
      </w:hyperlink>
      <w:r w:rsidRPr="00C8500E">
        <w:rPr>
          <w:rFonts w:cstheme="minorHAnsi"/>
        </w:rPr>
        <w:t>,</w:t>
      </w:r>
      <w:hyperlink r:id="rId111" w:anchor="R75" w:history="1">
        <w:r w:rsidRPr="00C8500E">
          <w:rPr>
            <w:rStyle w:val="Hyperlink"/>
            <w:rFonts w:cstheme="minorHAnsi"/>
            <w:sz w:val="24"/>
            <w:szCs w:val="24"/>
          </w:rPr>
          <w:t>75</w:t>
        </w:r>
      </w:hyperlink>
      <w:r w:rsidRPr="00C8500E">
        <w:rPr>
          <w:rFonts w:cstheme="minorHAnsi"/>
        </w:rPr>
        <w:t>,</w:t>
      </w:r>
      <w:hyperlink r:id="rId112" w:anchor="R76" w:history="1">
        <w:r w:rsidRPr="00C8500E">
          <w:rPr>
            <w:rStyle w:val="Hyperlink"/>
            <w:rFonts w:cstheme="minorHAnsi"/>
            <w:sz w:val="24"/>
            <w:szCs w:val="24"/>
          </w:rPr>
          <w:t>76</w:t>
        </w:r>
      </w:hyperlink>
      <w:r w:rsidRPr="00C8500E">
        <w:rPr>
          <w:rFonts w:cstheme="minorHAnsi"/>
        </w:rPr>
        <w:t>]. Stroke and silent infarcts, including transient ischemic attacks and hypoxic events (e.g., during sleep disordered breathing) increase the risk of AD[</w:t>
      </w:r>
      <w:hyperlink r:id="rId113" w:anchor="R77" w:history="1">
        <w:r w:rsidRPr="00C8500E">
          <w:rPr>
            <w:rStyle w:val="Hyperlink"/>
            <w:rFonts w:cstheme="minorHAnsi"/>
            <w:sz w:val="24"/>
            <w:szCs w:val="24"/>
          </w:rPr>
          <w:t>77</w:t>
        </w:r>
      </w:hyperlink>
      <w:r w:rsidRPr="00C8500E">
        <w:rPr>
          <w:rFonts w:cstheme="minorHAnsi"/>
        </w:rPr>
        <w:t>–</w:t>
      </w:r>
      <w:hyperlink r:id="rId114" w:anchor="R79" w:history="1">
        <w:r w:rsidRPr="00C8500E">
          <w:rPr>
            <w:rStyle w:val="Hyperlink"/>
            <w:rFonts w:cstheme="minorHAnsi"/>
            <w:sz w:val="24"/>
            <w:szCs w:val="24"/>
          </w:rPr>
          <w:t>79</w:t>
        </w:r>
      </w:hyperlink>
      <w:r w:rsidRPr="00C8500E">
        <w:rPr>
          <w:rFonts w:cstheme="minorHAnsi"/>
        </w:rPr>
        <w:t>]. “The Two-Hit Vascular Hypothesis for Alzheimer’s Disease” postulates that vascular risk factors compromise the blood-brain barrier and reduce CBF (i.e., the first “hit”), which leads to a cascade of neurotoxic events[</w:t>
      </w:r>
      <w:hyperlink r:id="rId115" w:anchor="R7" w:history="1">
        <w:r w:rsidRPr="00C8500E">
          <w:rPr>
            <w:rStyle w:val="Hyperlink"/>
            <w:rFonts w:cstheme="minorHAnsi"/>
            <w:sz w:val="24"/>
            <w:szCs w:val="24"/>
          </w:rPr>
          <w:t>7</w:t>
        </w:r>
      </w:hyperlink>
      <w:r w:rsidRPr="00C8500E">
        <w:rPr>
          <w:rFonts w:cstheme="minorHAnsi"/>
        </w:rPr>
        <w:t>,</w:t>
      </w:r>
      <w:hyperlink r:id="rId116" w:anchor="R8" w:history="1">
        <w:r w:rsidRPr="00C8500E">
          <w:rPr>
            <w:rStyle w:val="Hyperlink"/>
            <w:rFonts w:cstheme="minorHAnsi"/>
            <w:sz w:val="24"/>
            <w:szCs w:val="24"/>
          </w:rPr>
          <w:t>8</w:t>
        </w:r>
      </w:hyperlink>
      <w:r w:rsidRPr="00C8500E">
        <w:rPr>
          <w:rFonts w:cstheme="minorHAnsi"/>
        </w:rPr>
        <w:t>]. According to this theory, microvascular damage increases arterial transit time (ATT) heterogeneity and concomitantly augments Ab deposition (i.e., the second “hit”). In cyclical fashion, increased Ab further promotes hypoperfusion and neuronal dysfunction, which stimulates the formation of NFT, ultimately accelerating neurodegenerative disease[</w:t>
      </w:r>
      <w:hyperlink r:id="rId117" w:anchor="R7" w:history="1">
        <w:r w:rsidRPr="00C8500E">
          <w:rPr>
            <w:rStyle w:val="Hyperlink"/>
            <w:rFonts w:cstheme="minorHAnsi"/>
            <w:sz w:val="24"/>
            <w:szCs w:val="24"/>
          </w:rPr>
          <w:t>7</w:t>
        </w:r>
      </w:hyperlink>
      <w:r w:rsidRPr="00C8500E">
        <w:rPr>
          <w:rFonts w:cstheme="minorHAnsi"/>
        </w:rPr>
        <w:t>,</w:t>
      </w:r>
      <w:hyperlink r:id="rId118" w:anchor="R8" w:history="1">
        <w:r w:rsidRPr="00C8500E">
          <w:rPr>
            <w:rStyle w:val="Hyperlink"/>
            <w:rFonts w:cstheme="minorHAnsi"/>
            <w:sz w:val="24"/>
            <w:szCs w:val="24"/>
          </w:rPr>
          <w:t>8</w:t>
        </w:r>
      </w:hyperlink>
      <w:r w:rsidRPr="00C8500E">
        <w:rPr>
          <w:rFonts w:cstheme="minorHAnsi"/>
        </w:rPr>
        <w:t>].</w:t>
      </w:r>
    </w:p>
    <w:p w14:paraId="08869DBB" w14:textId="77777777" w:rsidR="00C9499F" w:rsidRPr="00C8500E" w:rsidRDefault="00C9499F" w:rsidP="00C7708F">
      <w:pPr>
        <w:rPr>
          <w:rFonts w:cstheme="minorHAnsi"/>
        </w:rPr>
      </w:pPr>
      <w:r w:rsidRPr="00C8500E">
        <w:rPr>
          <w:rFonts w:cstheme="minorHAnsi"/>
        </w:rPr>
        <w:t>Although we did not measure ATT directly, our findings suggest that consistent aerobic exercise may reduce hyperperfusion (in MCI) by normalizing ATT variability. While the mechanisms remain unclear, prior research indicates that exercise decreases Aβ deposition[</w:t>
      </w:r>
      <w:hyperlink r:id="rId119" w:anchor="R80" w:history="1">
        <w:r w:rsidRPr="00C8500E">
          <w:rPr>
            <w:rStyle w:val="Hyperlink"/>
            <w:rFonts w:cstheme="minorHAnsi"/>
            <w:sz w:val="24"/>
            <w:szCs w:val="24"/>
          </w:rPr>
          <w:t>80</w:t>
        </w:r>
      </w:hyperlink>
      <w:r w:rsidRPr="00C8500E">
        <w:rPr>
          <w:rFonts w:cstheme="minorHAnsi"/>
        </w:rPr>
        <w:t>], and stimulates new cerebrovascular growth[</w:t>
      </w:r>
      <w:hyperlink r:id="rId120" w:anchor="R33" w:history="1">
        <w:r w:rsidRPr="00C8500E">
          <w:rPr>
            <w:rStyle w:val="Hyperlink"/>
            <w:rFonts w:cstheme="minorHAnsi"/>
            <w:sz w:val="24"/>
            <w:szCs w:val="24"/>
          </w:rPr>
          <w:t>33</w:t>
        </w:r>
      </w:hyperlink>
      <w:r w:rsidRPr="00C8500E">
        <w:rPr>
          <w:rFonts w:cstheme="minorHAnsi"/>
        </w:rPr>
        <w:t>], which would help normalize blood flow and oxygen availability[</w:t>
      </w:r>
      <w:hyperlink r:id="rId121" w:anchor="R19" w:history="1">
        <w:r w:rsidRPr="00C8500E">
          <w:rPr>
            <w:rStyle w:val="Hyperlink"/>
            <w:rFonts w:cstheme="minorHAnsi"/>
            <w:sz w:val="24"/>
            <w:szCs w:val="24"/>
          </w:rPr>
          <w:t>19</w:t>
        </w:r>
      </w:hyperlink>
      <w:r w:rsidRPr="00C8500E">
        <w:rPr>
          <w:rFonts w:cstheme="minorHAnsi"/>
        </w:rPr>
        <w:t>]. Additional analyses revealed no significant group-by-time interaction or main effect of time for blood pressure (measured in the scanner immediately before each scan). Moreover, we found no significant associations between systolic/diastolic blood pressure changes and within-group CBF changes over time, further indicating that the exercise-induced alterations in cerebral perfusion were likely unrelated to changes in blood pressure.</w:t>
      </w:r>
    </w:p>
    <w:p w14:paraId="2F5DB6A6" w14:textId="77777777" w:rsidR="00C9499F" w:rsidRPr="00C8500E" w:rsidRDefault="00C9499F" w:rsidP="00C7708F">
      <w:pPr>
        <w:rPr>
          <w:rFonts w:cstheme="minorHAnsi"/>
        </w:rPr>
      </w:pPr>
      <w:r w:rsidRPr="00C8500E">
        <w:rPr>
          <w:rFonts w:cstheme="minorHAnsi"/>
        </w:rPr>
        <w:t>We further propose that our previous findings of increased cortical thickness and functional connectivity within the DMN, as well as reduced activation during memory retrieval, may implicate these effects of exercise training on cerebral perfusion in MCI participants. Supporting this proposition, seminal research in animal models suggests exercise training improves brain function through a series of stepwise processes, such that exercise-altered cerebral blood volume (CBV) triggers increases in neuro- and angiogenesis and leads to an expansion of the cerebral microvasculature[</w:t>
      </w:r>
      <w:hyperlink r:id="rId122" w:anchor="R33" w:history="1">
        <w:r w:rsidRPr="00C8500E">
          <w:rPr>
            <w:rStyle w:val="Hyperlink"/>
            <w:rFonts w:cstheme="minorHAnsi"/>
            <w:sz w:val="24"/>
            <w:szCs w:val="24"/>
          </w:rPr>
          <w:t>33</w:t>
        </w:r>
      </w:hyperlink>
      <w:r w:rsidRPr="00C8500E">
        <w:rPr>
          <w:rFonts w:cstheme="minorHAnsi"/>
        </w:rPr>
        <w:t>,</w:t>
      </w:r>
      <w:hyperlink r:id="rId123" w:anchor="R81" w:history="1">
        <w:r w:rsidRPr="00C8500E">
          <w:rPr>
            <w:rStyle w:val="Hyperlink"/>
            <w:rFonts w:cstheme="minorHAnsi"/>
            <w:sz w:val="24"/>
            <w:szCs w:val="24"/>
          </w:rPr>
          <w:t>81</w:t>
        </w:r>
      </w:hyperlink>
      <w:r w:rsidRPr="00C8500E">
        <w:rPr>
          <w:rFonts w:cstheme="minorHAnsi"/>
        </w:rPr>
        <w:t>]. In humans, exercise interventions in cognitively normal older adults have demonstrated analogous improvements in cerebrovascular function, which are often accompanied by improvements in memory and executive control[</w:t>
      </w:r>
      <w:hyperlink r:id="rId124" w:anchor="R29" w:history="1">
        <w:r w:rsidRPr="00C8500E">
          <w:rPr>
            <w:rStyle w:val="Hyperlink"/>
            <w:rFonts w:cstheme="minorHAnsi"/>
            <w:sz w:val="24"/>
            <w:szCs w:val="24"/>
          </w:rPr>
          <w:t>29</w:t>
        </w:r>
      </w:hyperlink>
      <w:r w:rsidRPr="00C8500E">
        <w:rPr>
          <w:rFonts w:cstheme="minorHAnsi"/>
        </w:rPr>
        <w:t>,</w:t>
      </w:r>
      <w:hyperlink r:id="rId125" w:anchor="R31" w:history="1">
        <w:r w:rsidRPr="00C8500E">
          <w:rPr>
            <w:rStyle w:val="Hyperlink"/>
            <w:rFonts w:cstheme="minorHAnsi"/>
            <w:sz w:val="24"/>
            <w:szCs w:val="24"/>
          </w:rPr>
          <w:t>31</w:t>
        </w:r>
      </w:hyperlink>
      <w:r w:rsidRPr="00C8500E">
        <w:rPr>
          <w:rFonts w:cstheme="minorHAnsi"/>
        </w:rPr>
        <w:t>,</w:t>
      </w:r>
      <w:hyperlink r:id="rId126" w:anchor="R82" w:history="1">
        <w:r w:rsidRPr="00C8500E">
          <w:rPr>
            <w:rStyle w:val="Hyperlink"/>
            <w:rFonts w:cstheme="minorHAnsi"/>
            <w:sz w:val="24"/>
            <w:szCs w:val="24"/>
          </w:rPr>
          <w:t>82</w:t>
        </w:r>
      </w:hyperlink>
      <w:r w:rsidRPr="00C8500E">
        <w:rPr>
          <w:rFonts w:cstheme="minorHAnsi"/>
        </w:rPr>
        <w:t>].</w:t>
      </w:r>
    </w:p>
    <w:p w14:paraId="3934BC1F" w14:textId="77777777" w:rsidR="00C9499F" w:rsidRPr="00C8500E" w:rsidRDefault="00C9499F" w:rsidP="00C7708F">
      <w:pPr>
        <w:rPr>
          <w:rFonts w:cstheme="minorHAnsi"/>
        </w:rPr>
      </w:pPr>
      <w:r w:rsidRPr="00C8500E">
        <w:rPr>
          <w:rFonts w:cstheme="minorHAnsi"/>
        </w:rPr>
        <w:lastRenderedPageBreak/>
        <w:t>“The Scaffolding Theory of Aging and Cognition (STAC-r),” originally proposed in 2009, and revised in 2014, may partially explain the patterns of cerebral perfusion observed in this study[</w:t>
      </w:r>
      <w:hyperlink r:id="rId127" w:anchor="R83" w:history="1">
        <w:r w:rsidRPr="00C8500E">
          <w:rPr>
            <w:rStyle w:val="Hyperlink"/>
            <w:rFonts w:cstheme="minorHAnsi"/>
            <w:sz w:val="24"/>
            <w:szCs w:val="24"/>
          </w:rPr>
          <w:t>83</w:t>
        </w:r>
      </w:hyperlink>
      <w:r w:rsidRPr="00C8500E">
        <w:rPr>
          <w:rFonts w:cstheme="minorHAnsi"/>
        </w:rPr>
        <w:t>]. While STAC-r does not specifically address changes in CBF, it does propose a plausible relationship between neural resource depletion (e.g., vascular damage, NFT, and Aβ deposition) and compensatory scaffolding (prefrontal functional activation), which aligns well with the between-group CBF differences we identified in the L insula at baseline (MCI &gt; CN). Moreover, STAC-r recognizes exercise as a neural resource enrichment that improves brain function directly (e.g., exercise-altered cortical thickness, functional connectivity, synaptogenesis, etc.) and indirectly by facilitating complementary neuronal networks. Increased CBF in the R ACC among CN may reflect such exercise-induced neural resource enrichment, providing alternative pathways to circumvent the toxic pathology (NFT, Aβ, neuroinflammation) that likely precedes cognitive impairment.</w:t>
      </w:r>
    </w:p>
    <w:p w14:paraId="3721C57B" w14:textId="77777777" w:rsidR="00C9499F" w:rsidRPr="00C8500E" w:rsidRDefault="00C9499F" w:rsidP="00C7708F">
      <w:pPr>
        <w:pStyle w:val="Heading2"/>
        <w:rPr>
          <w:rFonts w:asciiTheme="minorHAnsi" w:hAnsiTheme="minorHAnsi" w:cstheme="minorHAnsi"/>
        </w:rPr>
      </w:pPr>
      <w:r w:rsidRPr="00C8500E">
        <w:rPr>
          <w:rFonts w:asciiTheme="minorHAnsi" w:hAnsiTheme="minorHAnsi" w:cstheme="minorHAnsi"/>
        </w:rPr>
        <w:t>Strengths and Limitations</w:t>
      </w:r>
    </w:p>
    <w:p w14:paraId="25A1DFD2" w14:textId="77777777" w:rsidR="00C9499F" w:rsidRPr="00C8500E" w:rsidRDefault="00C9499F" w:rsidP="00C7708F">
      <w:pPr>
        <w:rPr>
          <w:rFonts w:cstheme="minorHAnsi"/>
        </w:rPr>
      </w:pPr>
      <w:r w:rsidRPr="00C8500E">
        <w:rPr>
          <w:rFonts w:cstheme="minorHAnsi"/>
        </w:rPr>
        <w:t>The present study makes several valuable contributions to the existing literature. We examined older adults with normal cognition and MCI, which have been underrepresented in the exercise-related neuroimaging literature. We used perfusion-weighted MRI, which is a non-invasive and cost-effective method, accessible on most MRI systems, but seldom utilized. Our study included a battery of neuropsychological assessments, which allowed us to explore potential links between CBF changes and changes in cognition. While our sample was small and homogenous (n = 32, women = 72%, education = 16.1 ± 2.6 years), it was similar in size and composition to other investigations of this nature. And although we likely lacked the power to detect significant interactions, our within- group CBF findings suggest that exercise training may mitigate perfusion abnormalities resulting from AD pathology.</w:t>
      </w:r>
    </w:p>
    <w:p w14:paraId="4E14307D" w14:textId="77777777" w:rsidR="00C9499F" w:rsidRPr="00C8500E" w:rsidRDefault="00C9499F" w:rsidP="00C7708F">
      <w:pPr>
        <w:rPr>
          <w:rFonts w:cstheme="minorHAnsi"/>
        </w:rPr>
      </w:pPr>
      <w:r w:rsidRPr="00C8500E">
        <w:rPr>
          <w:rFonts w:cstheme="minorHAnsi"/>
        </w:rPr>
        <w:t>Constrained by contemporary imaging methods, the scanning protocol used in this study limited our FOV to the superior half of the brain, precluding the analysis of subcortical brain regions such as the hippocampus. Although our perfusion-weighted images were partial volume corrected and visually inspected for quality assurance, ASL voxels are large and inherently susceptible to partial volume effects. Finally, the lack of a non-exercise control group is a limitation of this study, warranting some caution in the interpretation of effects. Although we cannot rule out other interpretations of the findings, pretest-posttest designs are commonly used to examine intervention effects over time and it is unlikely the passage of time or other nonspecific intervention effects would be responsible[</w:t>
      </w:r>
      <w:hyperlink r:id="rId128" w:anchor="R74" w:history="1">
        <w:r w:rsidRPr="00C8500E">
          <w:rPr>
            <w:rStyle w:val="Hyperlink"/>
            <w:rFonts w:cstheme="minorHAnsi"/>
            <w:sz w:val="24"/>
            <w:szCs w:val="24"/>
          </w:rPr>
          <w:t>74</w:t>
        </w:r>
      </w:hyperlink>
      <w:r w:rsidRPr="00C8500E">
        <w:rPr>
          <w:rFonts w:cstheme="minorHAnsi"/>
        </w:rPr>
        <w:t>]. Although it is possible that improvement in verbal fluency performance could reflect a practice effect, we computed residualized change scores for our analyses, which adjusts for baseline performance, practice effects, and regression to the mean.</w:t>
      </w:r>
    </w:p>
    <w:p w14:paraId="779503E6" w14:textId="77777777" w:rsidR="00C9499F" w:rsidRPr="00C8500E" w:rsidRDefault="00C9499F" w:rsidP="00C7708F">
      <w:pPr>
        <w:pStyle w:val="Heading2"/>
        <w:rPr>
          <w:rFonts w:asciiTheme="minorHAnsi" w:hAnsiTheme="minorHAnsi" w:cstheme="minorHAnsi"/>
        </w:rPr>
      </w:pPr>
      <w:r w:rsidRPr="00C8500E">
        <w:rPr>
          <w:rFonts w:asciiTheme="minorHAnsi" w:hAnsiTheme="minorHAnsi" w:cstheme="minorHAnsi"/>
        </w:rPr>
        <w:t>Summary and Future Directions</w:t>
      </w:r>
    </w:p>
    <w:p w14:paraId="2AC37C40" w14:textId="77777777" w:rsidR="00C9499F" w:rsidRPr="00C8500E" w:rsidRDefault="00C9499F" w:rsidP="00C7708F">
      <w:pPr>
        <w:rPr>
          <w:rFonts w:cstheme="minorHAnsi"/>
        </w:rPr>
      </w:pPr>
      <w:r w:rsidRPr="00C8500E">
        <w:rPr>
          <w:rFonts w:cstheme="minorHAnsi"/>
        </w:rPr>
        <w:t>In the present study, aerobic exercise training mitigated baseline CBF differences between CN and MCI participants. Furthermore, exercise-induced decreases in CBF were linked to improved verbal fluency among those with MCI. To better understand how aerobic exercise might be used to prevent or postpone the onset of dementia, future intervention studies should evaluate other known risk factors, including poor sleep quality and sleep disordered breathing, and must target individuals with a known family history of AD. Moreover, to more appropriately measure CBF and other important parameters of cerebrovascular physiology (e.g., ATT and CBV), future ASL studies should include longer and multiple post label delay times and whole brain coverage. While participants in the current study showed fitness and cognitive improvements after just 12 weeks, we do not know how long these changes will last, or how much training might be necessary to sustain them. Therefore, high-powered, randomized controlled trials are necessary to further evaluate the potential modifying effects of CBF (and other indices of brain function) on the relationship between exercise training and cognition.</w:t>
      </w:r>
    </w:p>
    <w:p w14:paraId="3EAE330A" w14:textId="77777777" w:rsidR="00C9499F" w:rsidRPr="00C8500E" w:rsidRDefault="00C9499F" w:rsidP="00C7708F">
      <w:pPr>
        <w:pStyle w:val="Heading1"/>
        <w:rPr>
          <w:rFonts w:asciiTheme="minorHAnsi" w:hAnsiTheme="minorHAnsi" w:cstheme="minorHAnsi"/>
        </w:rPr>
      </w:pPr>
      <w:r w:rsidRPr="00C8500E">
        <w:rPr>
          <w:rFonts w:asciiTheme="minorHAnsi" w:hAnsiTheme="minorHAnsi" w:cstheme="minorHAnsi"/>
        </w:rPr>
        <w:lastRenderedPageBreak/>
        <w:t>ACKNOWLEDGEMENTS</w:t>
      </w:r>
    </w:p>
    <w:p w14:paraId="3BE8E951" w14:textId="77777777" w:rsidR="00C9499F" w:rsidRPr="00C8500E" w:rsidRDefault="00C9499F" w:rsidP="00C7708F">
      <w:pPr>
        <w:rPr>
          <w:rFonts w:cstheme="minorHAnsi"/>
        </w:rPr>
      </w:pPr>
      <w:r w:rsidRPr="00C8500E">
        <w:rPr>
          <w:rFonts w:cstheme="minorHAnsi"/>
        </w:rPr>
        <w:t>We thank the participants for their time and effort while participating in this study. We also thank Piero Antuono, Alissa Butts, Nathan Hantke, Sarah Evans, and Michael Chappell for their clinical, technical, and analytical assistance. This study was supported by the University of Wisconsin-Milwaukee Graduate School Research Growth Initiative; and the National Center for Advancing Translational Sciences, National Institutes of Health grant numbers 8UL1TR000055, 8KL2TR000056. AJA was supported during manuscript preparation by T32-</w:t>
      </w:r>
      <w:hyperlink r:id="rId129" w:history="1">
        <w:r w:rsidRPr="00C8500E">
          <w:rPr>
            <w:rStyle w:val="Hyperlink"/>
            <w:rFonts w:cstheme="minorHAnsi"/>
            <w:sz w:val="24"/>
            <w:szCs w:val="24"/>
          </w:rPr>
          <w:t>AG027668</w:t>
        </w:r>
      </w:hyperlink>
      <w:r w:rsidRPr="00C8500E">
        <w:rPr>
          <w:rFonts w:cstheme="minorHAnsi"/>
        </w:rPr>
        <w:t>. The content is solely the responsibility of the authors and does not necessarily represent the official views of the National Institutes of Health.</w:t>
      </w:r>
    </w:p>
    <w:p w14:paraId="7AD9BC30" w14:textId="77777777" w:rsidR="00C9499F" w:rsidRPr="00C8500E" w:rsidRDefault="00C9499F" w:rsidP="00C7708F">
      <w:pPr>
        <w:pStyle w:val="Heading1"/>
        <w:rPr>
          <w:rFonts w:asciiTheme="minorHAnsi" w:hAnsiTheme="minorHAnsi" w:cstheme="minorHAnsi"/>
        </w:rPr>
      </w:pPr>
      <w:r w:rsidRPr="00C8500E">
        <w:rPr>
          <w:rFonts w:asciiTheme="minorHAnsi" w:hAnsiTheme="minorHAnsi" w:cstheme="minorHAnsi"/>
        </w:rPr>
        <w:t>Footnotes</w:t>
      </w:r>
    </w:p>
    <w:p w14:paraId="0E15672A" w14:textId="77777777" w:rsidR="00C9499F" w:rsidRPr="00C8500E" w:rsidRDefault="00C9499F" w:rsidP="00C7708F">
      <w:pPr>
        <w:rPr>
          <w:rFonts w:cstheme="minorHAnsi"/>
        </w:rPr>
      </w:pPr>
      <w:r w:rsidRPr="00C8500E">
        <w:rPr>
          <w:rFonts w:cstheme="minorHAnsi"/>
        </w:rPr>
        <w:t>CONFLICT OF INTEREST/DISCLOSURE STATEMENT</w:t>
      </w:r>
    </w:p>
    <w:p w14:paraId="6623751F" w14:textId="77777777" w:rsidR="00C9499F" w:rsidRPr="00C8500E" w:rsidRDefault="00C9499F" w:rsidP="00C7708F">
      <w:pPr>
        <w:rPr>
          <w:rFonts w:cstheme="minorHAnsi"/>
        </w:rPr>
      </w:pPr>
      <w:r w:rsidRPr="00C8500E">
        <w:rPr>
          <w:rFonts w:cstheme="minorHAnsi"/>
        </w:rPr>
        <w:t>The authors have no conflicts of interest to disclose.</w:t>
      </w:r>
    </w:p>
    <w:p w14:paraId="35C53CDD" w14:textId="77777777" w:rsidR="00C9499F" w:rsidRPr="00C8500E" w:rsidRDefault="00C9499F" w:rsidP="00C7708F">
      <w:pPr>
        <w:pStyle w:val="Heading1"/>
        <w:rPr>
          <w:rFonts w:asciiTheme="minorHAnsi" w:hAnsiTheme="minorHAnsi" w:cstheme="minorHAnsi"/>
        </w:rPr>
      </w:pPr>
      <w:r w:rsidRPr="00C8500E">
        <w:rPr>
          <w:rFonts w:asciiTheme="minorHAnsi" w:hAnsiTheme="minorHAnsi" w:cstheme="minorHAnsi"/>
        </w:rPr>
        <w:t>REFERENCES</w:t>
      </w:r>
    </w:p>
    <w:p w14:paraId="6ABCCB2A" w14:textId="09FDF39E" w:rsidR="00C9499F" w:rsidRPr="00C8500E" w:rsidRDefault="00C9499F" w:rsidP="00CF787C">
      <w:pPr>
        <w:pStyle w:val="NoSpacing"/>
        <w:ind w:left="720" w:hanging="720"/>
      </w:pPr>
      <w:r w:rsidRPr="00C8500E">
        <w:t>[1] Roberts R, Knopman DS (2013) Classification and epidemiology of MCI. Clin.Geriatr. Med. 29, 753–772. </w:t>
      </w:r>
    </w:p>
    <w:p w14:paraId="67CB0523" w14:textId="6E77A27A" w:rsidR="00C9499F" w:rsidRPr="00C8500E" w:rsidRDefault="00C9499F" w:rsidP="00CF787C">
      <w:pPr>
        <w:pStyle w:val="NoSpacing"/>
        <w:ind w:left="720" w:hanging="720"/>
      </w:pPr>
      <w:r w:rsidRPr="00C8500E">
        <w:t>[2] Albert MS, DeKosky ST, Dickson D, Dubois B, Feldman HH, Fox NC, Gamst A. Holtzman DM, Jagust WJ, Petersen RC, Snyder PJ, Carrillo MC, Thies B, Phelps CH (2011) The diagnosis of mild cognitive impairment due to Alzheimer’s disease: recommendations from the National Institute on Aging-Alzheimer’s Association workgroups on diagnostic guidelines for Alzheimer’s disease. Alzheimers Dement. J. Alzheimers Assoc. 7, 270–279. </w:t>
      </w:r>
    </w:p>
    <w:p w14:paraId="72910BB8" w14:textId="7EA1175B" w:rsidR="00C9499F" w:rsidRPr="00C8500E" w:rsidRDefault="00C9499F" w:rsidP="00CF787C">
      <w:pPr>
        <w:pStyle w:val="NoSpacing"/>
        <w:ind w:left="720" w:hanging="720"/>
      </w:pPr>
      <w:r w:rsidRPr="00C8500E">
        <w:t>[3] [] (2017) 2017 Alzheimer’s disease facts and figures. Alzheimers Dement. 13,325–373. </w:t>
      </w:r>
    </w:p>
    <w:p w14:paraId="417B8349" w14:textId="0509F3C6" w:rsidR="00C9499F" w:rsidRPr="00C8500E" w:rsidRDefault="00C9499F" w:rsidP="00CF787C">
      <w:pPr>
        <w:pStyle w:val="NoSpacing"/>
        <w:ind w:left="720" w:hanging="720"/>
      </w:pPr>
      <w:r w:rsidRPr="00C8500E">
        <w:t>[4] Ewers M, Mielke MM, Hampel H (2010) Blood-based biomarkers of microvascular pathology in Alzheimer’s disease. Exp. Gerontol. 45, 75–79. </w:t>
      </w:r>
    </w:p>
    <w:p w14:paraId="3A6861A9" w14:textId="2193CD80" w:rsidR="00C9499F" w:rsidRPr="00C8500E" w:rsidRDefault="00C9499F" w:rsidP="00CF787C">
      <w:pPr>
        <w:pStyle w:val="NoSpacing"/>
        <w:ind w:left="720" w:hanging="720"/>
      </w:pPr>
      <w:r w:rsidRPr="00C8500E">
        <w:t>[5] Kelleher RJ, Soiza RL (2013) Evidence of endothelial dysfunction in the development of Alzheimer’s disease: Is Alzheimer’s a vascular disorder? Am. J. Cardiovasc. Dis. 3, 197–226. </w:t>
      </w:r>
    </w:p>
    <w:p w14:paraId="51775793" w14:textId="509B6FCF" w:rsidR="00C9499F" w:rsidRPr="00C8500E" w:rsidRDefault="00C9499F" w:rsidP="00CF787C">
      <w:pPr>
        <w:pStyle w:val="NoSpacing"/>
        <w:ind w:left="720" w:hanging="720"/>
      </w:pPr>
      <w:r w:rsidRPr="00C8500E">
        <w:t xml:space="preserve">[6] Popa-Wagner A, Buga A-M, Popescu B, Muresanu D (2015) Vascular cognitive impairment, dementia, aging and energy demand. A vicious cycle J. Neural Transm. Vienna Austria 1996 122 Suppl 1, S47–54. </w:t>
      </w:r>
    </w:p>
    <w:p w14:paraId="6A6791AB" w14:textId="3E3F7A12" w:rsidR="00C9499F" w:rsidRPr="00C8500E" w:rsidRDefault="00C9499F" w:rsidP="00CF787C">
      <w:pPr>
        <w:pStyle w:val="NoSpacing"/>
        <w:ind w:left="720" w:hanging="720"/>
      </w:pPr>
      <w:r w:rsidRPr="00C8500E">
        <w:t>[7] Wierenga CE, Hays CC, Zlatar ZZ (2014) Cerebral blood flow measured by arterial spin labeling MRI as a preclinical marker of Alzheimer’s disease. J. Alzheimers Dis. JAD 42 Suppl 4, S411–419. </w:t>
      </w:r>
    </w:p>
    <w:p w14:paraId="224C4336" w14:textId="243AE4D3" w:rsidR="00C9499F" w:rsidRPr="00C8500E" w:rsidRDefault="00C9499F" w:rsidP="00CF787C">
      <w:pPr>
        <w:pStyle w:val="NoSpacing"/>
        <w:ind w:left="720" w:hanging="720"/>
      </w:pPr>
      <w:r w:rsidRPr="00C8500E">
        <w:t>[8] Zlokovic BV (2011) Neurovascular pathways to neurodegeneration in Alzheimer’s disease and other disorders. Nat. Rev. Neurosci. 12, 723–738. </w:t>
      </w:r>
    </w:p>
    <w:p w14:paraId="62BB2C48" w14:textId="026935CB" w:rsidR="00C9499F" w:rsidRPr="00C8500E" w:rsidRDefault="00C9499F" w:rsidP="00CF787C">
      <w:pPr>
        <w:pStyle w:val="NoSpacing"/>
        <w:ind w:left="720" w:hanging="720"/>
      </w:pPr>
      <w:r w:rsidRPr="00C8500E">
        <w:t xml:space="preserve">[9] Sutton ET, Hellermann GR, Thomas T (1997) beta-amyloid-induced endothelial necrosis and inhibition of nitric oxide production. Exp. Cell Res. 230, 368–376. </w:t>
      </w:r>
    </w:p>
    <w:p w14:paraId="419EB2CD" w14:textId="194156A2" w:rsidR="00C9499F" w:rsidRPr="00C8500E" w:rsidRDefault="00C9499F" w:rsidP="00CF787C">
      <w:pPr>
        <w:pStyle w:val="NoSpacing"/>
        <w:ind w:left="720" w:hanging="720"/>
      </w:pPr>
      <w:r w:rsidRPr="00C8500E">
        <w:t xml:space="preserve">[10] Wen Y, Yang S-H, Liu R, Perez EJ, Brun-Zinkernagel AM, Koulen P, Simpkins JW (2007) Cdk5 is involved in NFT-like tauopathy induced by transient cerebral ischemia in female rats. Biochim. Biophys. Acta 1772, 473–483. </w:t>
      </w:r>
    </w:p>
    <w:p w14:paraId="003E4ADA" w14:textId="62AC9FFF" w:rsidR="00C9499F" w:rsidRPr="00C8500E" w:rsidRDefault="00C9499F" w:rsidP="00CF787C">
      <w:pPr>
        <w:pStyle w:val="NoSpacing"/>
        <w:ind w:left="720" w:hanging="720"/>
      </w:pPr>
      <w:r w:rsidRPr="00C8500E">
        <w:t xml:space="preserve">[11] Crawford F, Suo Z, Fang C, Mullan M (1998) Characteristics of the in vitro vasoactivity of beta-amyloid peptides. Exp. Neurol. 150, 159–168. </w:t>
      </w:r>
    </w:p>
    <w:p w14:paraId="70CA41A4" w14:textId="1382F067" w:rsidR="00C9499F" w:rsidRPr="00C8500E" w:rsidRDefault="00C9499F" w:rsidP="00CF787C">
      <w:pPr>
        <w:pStyle w:val="NoSpacing"/>
        <w:ind w:left="720" w:hanging="720"/>
      </w:pPr>
      <w:r w:rsidRPr="00C8500E">
        <w:t>[12] Alsop DC, Dai W, Grossman M, Detre JA (2010) Arterial Spin Labeling Blood Flow MRI: Its Role in the Early Characterization of Alzheimer’s Disease. J. Alzheimers Dis. 20, 871–880. </w:t>
      </w:r>
    </w:p>
    <w:p w14:paraId="1A45367B" w14:textId="214D4F13" w:rsidR="00C9499F" w:rsidRPr="00C8500E" w:rsidRDefault="00C9499F" w:rsidP="00CF787C">
      <w:pPr>
        <w:pStyle w:val="NoSpacing"/>
        <w:ind w:left="720" w:hanging="720"/>
      </w:pPr>
      <w:r w:rsidRPr="00C8500E">
        <w:t xml:space="preserve">[13] Alexopoulos P, Sorg C, Förschler A, Grimmer T, Skokou M, Wohlschläger A, Perneczky R, Zimmer C, Kurz A, Preibisch C (2012) Perfusion abnormalities in mild cognitive impairment and mild dementia in Alzheimer’s disease measured by pulsed arterial spin labeling MRI. Eur. Arch. Psychiatry Clin. Neurosci. 262, 69–77. </w:t>
      </w:r>
    </w:p>
    <w:p w14:paraId="6C47BEF5" w14:textId="2DDF5376" w:rsidR="00C9499F" w:rsidRPr="00C8500E" w:rsidRDefault="00C9499F" w:rsidP="00CF787C">
      <w:pPr>
        <w:pStyle w:val="NoSpacing"/>
        <w:ind w:left="720" w:hanging="720"/>
      </w:pPr>
      <w:r w:rsidRPr="00C8500E">
        <w:t>[14] Bangen KJ, Restom K, Liu TT, Wierenga CE, Jak AJ, Salmon DP, Bondi MW (2012) Assessment of Alzheimer’s Disease Risk with Functional Magnetic Resonance Imaging: An Arterial Spin Labeling Study. J. Alzheimers Dis. JAD 31, S59–S74. </w:t>
      </w:r>
    </w:p>
    <w:p w14:paraId="1775B8A3" w14:textId="6B919B40" w:rsidR="00C9499F" w:rsidRPr="00C8500E" w:rsidRDefault="00C9499F" w:rsidP="00CF787C">
      <w:pPr>
        <w:pStyle w:val="NoSpacing"/>
        <w:ind w:left="720" w:hanging="720"/>
      </w:pPr>
      <w:r w:rsidRPr="00C8500E">
        <w:lastRenderedPageBreak/>
        <w:t>[15] Dai W, Lopez OL, Carmichael OT, Becker JT, Kuller LH, Gach HM (2009) Mild Cognitive Impairment and Alzheimer Disease: Patterns of Altered Cerebral Blood Flow at MR Imaging. Radiology 250, 856–866. </w:t>
      </w:r>
    </w:p>
    <w:p w14:paraId="1A3913F8" w14:textId="4BFDC7BB" w:rsidR="00C9499F" w:rsidRPr="00C8500E" w:rsidRDefault="00C9499F" w:rsidP="00CF787C">
      <w:pPr>
        <w:pStyle w:val="NoSpacing"/>
        <w:ind w:left="720" w:hanging="720"/>
      </w:pPr>
      <w:r w:rsidRPr="00C8500E">
        <w:t xml:space="preserve">[16] Thambisetty M, Beason-Held L, </w:t>
      </w:r>
      <w:proofErr w:type="gramStart"/>
      <w:r w:rsidRPr="00C8500E">
        <w:t>An</w:t>
      </w:r>
      <w:proofErr w:type="gramEnd"/>
      <w:r w:rsidRPr="00C8500E">
        <w:t xml:space="preserve"> Y, Kraut MA, Resnick SM (2010) APOE epsilon4 genotype and longitudinal changes in cerebral blood flow in normal aging. Arch. Neurol. 67, 93–98. </w:t>
      </w:r>
    </w:p>
    <w:p w14:paraId="1ABFC0E7" w14:textId="61E436E9" w:rsidR="00C9499F" w:rsidRPr="00C8500E" w:rsidRDefault="00C9499F" w:rsidP="00CF787C">
      <w:pPr>
        <w:pStyle w:val="NoSpacing"/>
        <w:ind w:left="720" w:hanging="720"/>
      </w:pPr>
      <w:r w:rsidRPr="00C8500E">
        <w:t>[17] Wierenga CE, Clark LR, Dev SI, Shin DD, Jurick SM, Rissman RA, Liu TT, Bondi MW (2013) Interaction of age and APOE genotype on cerebral blood flow at rest. J. Alzheimers Dis. JAD 34, 921–935. </w:t>
      </w:r>
    </w:p>
    <w:p w14:paraId="49580D0C" w14:textId="0B1B6AA7" w:rsidR="00C9499F" w:rsidRPr="00C8500E" w:rsidRDefault="00C9499F" w:rsidP="00CF787C">
      <w:pPr>
        <w:pStyle w:val="NoSpacing"/>
        <w:ind w:left="720" w:hanging="720"/>
      </w:pPr>
      <w:r w:rsidRPr="00C8500E">
        <w:t>[18] Johnson SC, Schmitz TW, Moritz CH, Meyerand ME, Rowley HA, Alexander AL, Hansen KW, Gleason CE, Carlsson CM, Ries ML, Asthana S, Chen K, Reiman EM, Alexander GE (2006) Activation of brain regions vulnerable to Alzheimer’s disease: The effect of mild cognitive impairment. Neurobiol. Aging 27, 1604–1612. </w:t>
      </w:r>
    </w:p>
    <w:p w14:paraId="51F968DD" w14:textId="35D752A0" w:rsidR="00C9499F" w:rsidRPr="00C8500E" w:rsidRDefault="00C9499F" w:rsidP="00CF787C">
      <w:pPr>
        <w:pStyle w:val="NoSpacing"/>
        <w:ind w:left="720" w:hanging="720"/>
      </w:pPr>
      <w:r w:rsidRPr="00C8500E">
        <w:t>[19] </w:t>
      </w:r>
      <w:r w:rsidRPr="00C8500E">
        <w:rPr>
          <w:rFonts w:ascii="Cambria Math" w:hAnsi="Cambria Math" w:cs="Cambria Math"/>
        </w:rPr>
        <w:t>∅</w:t>
      </w:r>
      <w:r w:rsidRPr="00C8500E">
        <w:t>stergaard L, Aamand R, Gutierrez-Jimenez E, Ho Y-CL, Blicher JU, Madsen SM, Nagenthiraja K, Dalby RB, Drasbek KR, M</w:t>
      </w:r>
      <w:r w:rsidRPr="00C8500E">
        <w:rPr>
          <w:rFonts w:ascii="Cambria Math" w:hAnsi="Cambria Math" w:cs="Cambria Math"/>
        </w:rPr>
        <w:t>∅</w:t>
      </w:r>
      <w:r w:rsidRPr="00C8500E">
        <w:t xml:space="preserve">ller A, Brϰndgaard H, Mouridsen K, Jespersen SN, Jensen MS, West MJ (2013) The capillary dysfunction hypothesis of Alzheimer’s disease. Neurobiol. Aging 34, 1018–1031. </w:t>
      </w:r>
    </w:p>
    <w:p w14:paraId="6838C884" w14:textId="20898251" w:rsidR="00C9499F" w:rsidRPr="00C8500E" w:rsidRDefault="00C9499F" w:rsidP="00CF787C">
      <w:pPr>
        <w:pStyle w:val="NoSpacing"/>
        <w:ind w:left="720" w:hanging="720"/>
      </w:pPr>
      <w:r w:rsidRPr="00C8500E">
        <w:t xml:space="preserve">[20] Nunomura A, Perry G, Aliev G, Hirai K, Takeda A, Balraj EK, Jones PK, Ghanbari H, Wataya T, Shimohama S, Chiba S, Atwood CS, Petersen RB, Smith MA (2001) Oxidative damage is the earliest event in Alzheimer disease. J. Neuropathol. Exp. Neurol. 60, 759–767. </w:t>
      </w:r>
    </w:p>
    <w:p w14:paraId="65714ECF" w14:textId="56592E1F" w:rsidR="00C9499F" w:rsidRPr="00C8500E" w:rsidRDefault="00C9499F" w:rsidP="00CF787C">
      <w:pPr>
        <w:pStyle w:val="NoSpacing"/>
        <w:ind w:left="720" w:hanging="720"/>
      </w:pPr>
      <w:r w:rsidRPr="00C8500E">
        <w:t>[21] Brooks GA (2000) Exercise physiology: human bioenergetics and its applications, Mayfield Pub. </w:t>
      </w:r>
    </w:p>
    <w:p w14:paraId="46E959C1" w14:textId="364B4D27" w:rsidR="00C9499F" w:rsidRPr="00C8500E" w:rsidRDefault="00C9499F" w:rsidP="00CF787C">
      <w:pPr>
        <w:pStyle w:val="NoSpacing"/>
        <w:ind w:left="720" w:hanging="720"/>
      </w:pPr>
      <w:r w:rsidRPr="00C8500E">
        <w:t>[22] Rowell LB (1993) Human Cardiovascular Control, Oxford University Press. </w:t>
      </w:r>
    </w:p>
    <w:p w14:paraId="012512F0" w14:textId="01DBAE9C" w:rsidR="00C9499F" w:rsidRPr="00C8500E" w:rsidRDefault="00C9499F" w:rsidP="00CF787C">
      <w:pPr>
        <w:pStyle w:val="NoSpacing"/>
        <w:ind w:left="720" w:hanging="720"/>
      </w:pPr>
      <w:r w:rsidRPr="00C8500E">
        <w:t xml:space="preserve">[23] Whelton sP, Chin A, Xin X, He J (2002) Effect of aerobic exercise on blood pressure: a meta-analysis of randomized, controlled trials. Ann. Intern. Med. 136, 493–503. </w:t>
      </w:r>
    </w:p>
    <w:p w14:paraId="06544227" w14:textId="63C63730" w:rsidR="00C9499F" w:rsidRPr="00C8500E" w:rsidRDefault="00C9499F" w:rsidP="00CF787C">
      <w:pPr>
        <w:pStyle w:val="NoSpacing"/>
        <w:ind w:left="720" w:hanging="720"/>
      </w:pPr>
      <w:r w:rsidRPr="00C8500E">
        <w:t xml:space="preserve">[24] DeSouza CA, Shapiro LF, Clevenger CM, Dinenno FA, Monahan KD, Tanaka H, Seals DR (2000) Regular aerobic exercise prevents and restores age-related declines in endothelium-dependent vasodilation in healthy men. Circulation 102, 1351–1357. </w:t>
      </w:r>
    </w:p>
    <w:p w14:paraId="697A9826" w14:textId="46402633" w:rsidR="00C9499F" w:rsidRPr="00C8500E" w:rsidRDefault="00C9499F" w:rsidP="00CF787C">
      <w:pPr>
        <w:pStyle w:val="NoSpacing"/>
        <w:ind w:left="720" w:hanging="720"/>
      </w:pPr>
      <w:r w:rsidRPr="00C8500E">
        <w:t xml:space="preserve">[25] Rogers MA, King DS, Hagberg JM, Ehsani AA, Holloszy JO (1990) Effect of 10 days of physical inactivity on glucose tolerance in master athletes. J. Appl. Physiol. Bethesda Md 1985 68, 1833–1837. </w:t>
      </w:r>
    </w:p>
    <w:p w14:paraId="1F2BE82B" w14:textId="26064360" w:rsidR="00C9499F" w:rsidRPr="00C8500E" w:rsidRDefault="00C9499F" w:rsidP="00CF787C">
      <w:pPr>
        <w:pStyle w:val="NoSpacing"/>
        <w:ind w:left="720" w:hanging="720"/>
      </w:pPr>
      <w:r w:rsidRPr="00C8500E">
        <w:t xml:space="preserve">[26] Lee CD, Blair SN (2002) Cardiorespiratory fitness and stroke mortality in men. Med. Sci. Sports Exerc. 34, 592–595. </w:t>
      </w:r>
    </w:p>
    <w:p w14:paraId="72768598" w14:textId="59539357" w:rsidR="00C9499F" w:rsidRPr="00C8500E" w:rsidRDefault="00C9499F" w:rsidP="00CF787C">
      <w:pPr>
        <w:pStyle w:val="NoSpacing"/>
        <w:ind w:left="720" w:hanging="720"/>
      </w:pPr>
      <w:r w:rsidRPr="00C8500E">
        <w:t>[27] Erickson KI, Voss MW, Prakash RS, Basak C, Szabo A, Chaddock L, Kim JS, Heo S, Alves H, White SM, Wojcicki TR, Mailey E, Vieira VJ, Martin SA, Pence BD, Woods JA, McAuley E, Kramer AF (2011) Exercise training increases size of hippocampus and improves memory. Proc. Natl. Acad.Sci. U. S. A. 108, 3017–3022. </w:t>
      </w:r>
    </w:p>
    <w:p w14:paraId="47F01F77" w14:textId="764845CC" w:rsidR="00C9499F" w:rsidRPr="00C8500E" w:rsidRDefault="00C9499F" w:rsidP="00CF787C">
      <w:pPr>
        <w:pStyle w:val="NoSpacing"/>
        <w:ind w:left="720" w:hanging="720"/>
      </w:pPr>
      <w:r w:rsidRPr="00C8500E">
        <w:t>[28] Colcombe SJ, Kramer AF, Erickson KI, Scalf P, McAuley E, Cohen NJ, Webb A, Jerome GJ, Marquez DX, Elavsky S (2004) Cardiovascular fitness, cortical plasticity, and aging. Proc. Natl. Acad. Sci. U. S. A. 101, 3316–3321. </w:t>
      </w:r>
    </w:p>
    <w:p w14:paraId="61F3ECD3" w14:textId="4DAA911B" w:rsidR="00C9499F" w:rsidRPr="00C8500E" w:rsidRDefault="00C9499F" w:rsidP="00CF787C">
      <w:pPr>
        <w:pStyle w:val="NoSpacing"/>
        <w:ind w:left="720" w:hanging="720"/>
      </w:pPr>
      <w:r w:rsidRPr="00C8500E">
        <w:t>[29] Chapman SB, Aslan S, Spence JS, Defina LF, Keebler MW, Didehbani N, Lu H (2013) Shorter term aerobic exercise improves brain, cognition, and cardiovascular fitness in aging. Front. Aging Neurosci. 5, 75. </w:t>
      </w:r>
    </w:p>
    <w:p w14:paraId="65D13743" w14:textId="6398CAE3" w:rsidR="00C9499F" w:rsidRPr="00C8500E" w:rsidRDefault="00C9499F" w:rsidP="00CF787C">
      <w:pPr>
        <w:pStyle w:val="NoSpacing"/>
        <w:ind w:left="720" w:hanging="720"/>
      </w:pPr>
      <w:r w:rsidRPr="00C8500E">
        <w:t>[30] Thomas BP, Yezhuvath US, Tseng BY, Liu P, Levine BD, Zhang R, Lu H (2013) Life-long aerobic exercise preserved baseline cerebral blood flow but reduced vascular reactivity to CO2. J. Magn. Reson. Imaging JMRI 38, 1177–1183. </w:t>
      </w:r>
    </w:p>
    <w:p w14:paraId="2641F2AA" w14:textId="77AC6457" w:rsidR="00C9499F" w:rsidRPr="00C8500E" w:rsidRDefault="00C9499F" w:rsidP="00CF787C">
      <w:pPr>
        <w:pStyle w:val="NoSpacing"/>
        <w:ind w:left="720" w:hanging="720"/>
      </w:pPr>
      <w:r w:rsidRPr="00C8500E">
        <w:t>[31] Pereira AC, Huddleston DE, Brickman AM, Sosunov AA, Hen R, McKhann GM, Sloan R, Gage FH, Brown TR, Small SA (2007) An in vivo correlate of exercise-induced neurogenesis in the adult dentate gyrus. Proc. Natl. Acad. Sci. U. S. A. 104, 5638–5643. </w:t>
      </w:r>
    </w:p>
    <w:p w14:paraId="4B0717C2" w14:textId="2B9263CE" w:rsidR="00C9499F" w:rsidRPr="00C8500E" w:rsidRDefault="00C9499F" w:rsidP="00CF787C">
      <w:pPr>
        <w:pStyle w:val="NoSpacing"/>
        <w:ind w:left="720" w:hanging="720"/>
      </w:pPr>
      <w:r w:rsidRPr="00C8500E">
        <w:t xml:space="preserve">[32] Cotman CW, Berchtold NC, Christie L-A (2007) Exercise builds brain health: key roles of growth factor cascades and inflammation. Trends Neurosci. 30, 464–472. </w:t>
      </w:r>
    </w:p>
    <w:p w14:paraId="6A274990" w14:textId="2A0B959A" w:rsidR="00C9499F" w:rsidRPr="00C8500E" w:rsidRDefault="00C9499F" w:rsidP="00CF787C">
      <w:pPr>
        <w:pStyle w:val="NoSpacing"/>
        <w:ind w:left="720" w:hanging="720"/>
      </w:pPr>
      <w:r w:rsidRPr="00C8500E">
        <w:t>[33] Rhyu IJ, Bytheway JA, Kohler SJ, Lange H, Lee KJ, Boklewski J, McCormick K, Williams NI, Stanton GB, Greenough WT, Cameron JL (2010) Effects of aerobic exercise training on cognitive function and cortical vascularity in monkeys. Neuroscience 167, 1239–1248. </w:t>
      </w:r>
    </w:p>
    <w:p w14:paraId="003DFC39" w14:textId="1976FE87" w:rsidR="00C9499F" w:rsidRPr="00C8500E" w:rsidRDefault="00C9499F" w:rsidP="00CF787C">
      <w:pPr>
        <w:pStyle w:val="NoSpacing"/>
        <w:ind w:left="720" w:hanging="720"/>
      </w:pPr>
      <w:r w:rsidRPr="00C8500E">
        <w:t>[34] Reiter K, Nielson KA, Smith TJ, Weiss LR, Alfini AJ, Smith JC (2015) Improved Cardiorespiratory Fitness Is Associated with Increased Cortical Thickness in Mild Cognitive Impairment. J. Int. Neuropsychol. Soc. JINS 21, 757–767. </w:t>
      </w:r>
    </w:p>
    <w:p w14:paraId="6501C130" w14:textId="050F42C2" w:rsidR="00C9499F" w:rsidRPr="00C8500E" w:rsidRDefault="00C9499F" w:rsidP="00CF787C">
      <w:pPr>
        <w:pStyle w:val="NoSpacing"/>
        <w:ind w:left="720" w:hanging="720"/>
      </w:pPr>
      <w:r w:rsidRPr="00C8500E">
        <w:lastRenderedPageBreak/>
        <w:t>[35] Smith JC, Nielson KA, Antuono P, Lyons J-A, Hanson RJ, Butts AM, Hantke NC, Verber MD (2013) Semantic Memory fMRI and Cognitive Function After Exercise Intervention in Mild Cognitive Impairment. J. Alzheimers Dis. JAD 37, 197–215. </w:t>
      </w:r>
    </w:p>
    <w:p w14:paraId="0F5D4E45" w14:textId="3580CB6B" w:rsidR="00C9499F" w:rsidRPr="00C8500E" w:rsidRDefault="00C9499F" w:rsidP="00CF787C">
      <w:pPr>
        <w:pStyle w:val="NoSpacing"/>
        <w:ind w:left="720" w:hanging="720"/>
      </w:pPr>
      <w:r w:rsidRPr="00C8500E">
        <w:t>[36] ten Brinke LF, Bolandzadeh N, Nagamatsu LS, Hsu CL, Davis JC, Miran-Khan K, Liu-Ambrose T (2015) Aerobic exercise increases hippocampal volume in older women with probable mild cognitive impairment: a 6-month randomised controlled trial. Br. J. Sports Med. 49, 248–254. </w:t>
      </w:r>
    </w:p>
    <w:p w14:paraId="09906A49" w14:textId="29089187" w:rsidR="00C9499F" w:rsidRPr="00C8500E" w:rsidRDefault="00C9499F" w:rsidP="00CF787C">
      <w:pPr>
        <w:pStyle w:val="NoSpacing"/>
        <w:ind w:left="720" w:hanging="720"/>
      </w:pPr>
      <w:r w:rsidRPr="00C8500E">
        <w:t xml:space="preserve">[37] Doi T, Makizako H, Shimada H, Tsutsumimoto K, Hotta R, Nakakubo S, Park H, Suzuki T (2015) Objectively measured physical activity, brain atrophy, and white matter lesions in older adults with mild cognitive impairment. Exp. Gerontol. 62, 1–6. </w:t>
      </w:r>
    </w:p>
    <w:p w14:paraId="044A355C" w14:textId="48C3B0B9" w:rsidR="00C9499F" w:rsidRPr="00C8500E" w:rsidRDefault="00C9499F" w:rsidP="00CF787C">
      <w:pPr>
        <w:pStyle w:val="NoSpacing"/>
        <w:ind w:left="720" w:hanging="720"/>
      </w:pPr>
      <w:r w:rsidRPr="00C8500E">
        <w:t>[38] Nagamatsu LS, Chan A, Davis JC, Beattie BL, Graf P, Voss MW, Sharma D, Liu-Ambrose T (2013) Physical activity improves verbal and spatial memory in older adults with probable mild cognitive impairment: a 6-month randomized controlled trial. J. Aging Res. 2013, 861893. </w:t>
      </w:r>
    </w:p>
    <w:p w14:paraId="2DEDBECC" w14:textId="165F8A64" w:rsidR="00C9499F" w:rsidRPr="00C8500E" w:rsidRDefault="00C9499F" w:rsidP="00CF787C">
      <w:pPr>
        <w:pStyle w:val="NoSpacing"/>
        <w:ind w:left="720" w:hanging="720"/>
      </w:pPr>
      <w:r w:rsidRPr="00C8500E">
        <w:t>[39] Baker LD, Frank LL, Foster-Schubert K, Green PS, Wilkinson CW, McTiernan A, Plymate SR, Fishel MA, Watson GS, Cholerton BA, Duncan GE, Mehta PD, Craft S (2010) Effects of aerobic exercise on mild cognitive impairment: a controlled trial. Arch. Neurol. 67, 71–79. </w:t>
      </w:r>
    </w:p>
    <w:p w14:paraId="14BD70AD" w14:textId="6A4CE85B" w:rsidR="00C9499F" w:rsidRPr="00C8500E" w:rsidRDefault="00C9499F" w:rsidP="00CF787C">
      <w:pPr>
        <w:pStyle w:val="NoSpacing"/>
        <w:ind w:left="720" w:hanging="720"/>
      </w:pPr>
      <w:r w:rsidRPr="00C8500E">
        <w:t xml:space="preserve">[40] Tasci I, Doruk H (2012) Atrial fibrillation and the Hachinski Ischemic Scale. Arch. Neurol. 69, 1084–1085; author reply 1085. </w:t>
      </w:r>
    </w:p>
    <w:p w14:paraId="42986B26" w14:textId="237AD695" w:rsidR="00C9499F" w:rsidRPr="00C8500E" w:rsidRDefault="00C9499F" w:rsidP="00CF787C">
      <w:pPr>
        <w:pStyle w:val="NoSpacing"/>
        <w:ind w:left="720" w:hanging="720"/>
      </w:pPr>
      <w:r w:rsidRPr="00C8500E">
        <w:t>[41] DATA D (1997) Structured clinical interview for DSM-IV axis I disorders, American Psychiatric Press, Washington. </w:t>
      </w:r>
    </w:p>
    <w:p w14:paraId="6C536386" w14:textId="3A86DEB5" w:rsidR="00C9499F" w:rsidRPr="00C8500E" w:rsidRDefault="00C9499F" w:rsidP="00CF787C">
      <w:pPr>
        <w:pStyle w:val="NoSpacing"/>
        <w:ind w:left="720" w:hanging="720"/>
      </w:pPr>
      <w:r w:rsidRPr="00C8500E">
        <w:t xml:space="preserve">[42] Yesavage JA (1988) Geriatric Depression Scale. Psychopharmacol. Bull. 24, 709–711. </w:t>
      </w:r>
    </w:p>
    <w:p w14:paraId="561DF9E6" w14:textId="631A91A8" w:rsidR="00C9499F" w:rsidRPr="00C8500E" w:rsidRDefault="00C9499F" w:rsidP="00CF787C">
      <w:pPr>
        <w:pStyle w:val="NoSpacing"/>
        <w:ind w:left="720" w:hanging="720"/>
      </w:pPr>
      <w:r w:rsidRPr="00C8500E">
        <w:t xml:space="preserve">[43] Oldfield RC (1971) The assessment and analysis of handedness: the Edinburgh inventory. Neuropsychologia 9, 97–113. </w:t>
      </w:r>
    </w:p>
    <w:p w14:paraId="5708CDE3" w14:textId="0D52B3F3" w:rsidR="00C9499F" w:rsidRPr="00C8500E" w:rsidRDefault="00C9499F" w:rsidP="00CF787C">
      <w:pPr>
        <w:pStyle w:val="NoSpacing"/>
        <w:ind w:left="720" w:hanging="720"/>
      </w:pPr>
      <w:r w:rsidRPr="00C8500E">
        <w:t xml:space="preserve">[44] Lawton MP, Brody EM (1969) Assessment of older people: self-maintaining and instrumental activities of daily living. The Gerontologist 9, 179–186. </w:t>
      </w:r>
    </w:p>
    <w:p w14:paraId="07CF556F" w14:textId="38CE238E" w:rsidR="00C9499F" w:rsidRPr="00C8500E" w:rsidRDefault="00C9499F" w:rsidP="00CF787C">
      <w:pPr>
        <w:pStyle w:val="NoSpacing"/>
        <w:ind w:left="720" w:hanging="720"/>
      </w:pPr>
      <w:r w:rsidRPr="00C8500E">
        <w:t>[45] Jurica PJ, Leitten CL, Mattis S (2001) Dementia Rating Scale-2: DRS-2: Professional Manual, Psychological Assessment Resources. </w:t>
      </w:r>
    </w:p>
    <w:p w14:paraId="380D403E" w14:textId="2138B821" w:rsidR="00C9499F" w:rsidRPr="00C8500E" w:rsidRDefault="00C9499F" w:rsidP="00CF787C">
      <w:pPr>
        <w:pStyle w:val="NoSpacing"/>
        <w:ind w:left="720" w:hanging="720"/>
      </w:pPr>
      <w:r w:rsidRPr="00C8500E">
        <w:t xml:space="preserve">[46] Folstein MF, Folstein SE, McHugh PR (1975) “Mini-mental state”. A practical method for grading the cognitive state of patients for the clinician. J. Psychiatr. Res. 12, 189–198. </w:t>
      </w:r>
    </w:p>
    <w:p w14:paraId="6F6657D9" w14:textId="17FC815D" w:rsidR="00C9499F" w:rsidRPr="00C8500E" w:rsidRDefault="00C9499F" w:rsidP="00CF787C">
      <w:pPr>
        <w:pStyle w:val="NoSpacing"/>
        <w:ind w:left="720" w:hanging="720"/>
      </w:pPr>
      <w:r w:rsidRPr="00C8500E">
        <w:t>[47] Smith A (1968) The symbol-digit modalities test: a neuropsychologic test of learning and other cerebral disorders. Learn. Disord. 83–91. </w:t>
      </w:r>
    </w:p>
    <w:p w14:paraId="44450B0E" w14:textId="4CFB892D" w:rsidR="00C9499F" w:rsidRPr="00C8500E" w:rsidRDefault="00C9499F" w:rsidP="00CF787C">
      <w:pPr>
        <w:pStyle w:val="NoSpacing"/>
        <w:ind w:left="720" w:hanging="720"/>
      </w:pPr>
      <w:r w:rsidRPr="00C8500E">
        <w:t xml:space="preserve">[48] Ruff RM, Light RH, Parker SB, Levin HS (1996) Benton Controlled Oral Word Association Test: reliability and updated norms. Arch. Clin. Neuropsychol. Off. J. Natl. Acad. Neuropsychol. 11, 329–338. </w:t>
      </w:r>
    </w:p>
    <w:p w14:paraId="27C5EF3B" w14:textId="68CA6C9F" w:rsidR="00C9499F" w:rsidRPr="00C8500E" w:rsidRDefault="00C9499F" w:rsidP="00CF787C">
      <w:pPr>
        <w:pStyle w:val="NoSpacing"/>
        <w:ind w:left="720" w:hanging="720"/>
      </w:pPr>
      <w:r w:rsidRPr="00C8500E">
        <w:t xml:space="preserve">[49] Tombaugh TN, Kozak J, Rees L (1999) Normative data stratified by age and education for two measures of verbal fluency: FAS and animal naming. Arch. Clin. Neuropsychol. Off. J. Natl. Acad. Neuropsychol. 14, 167–177. </w:t>
      </w:r>
    </w:p>
    <w:p w14:paraId="6F77676C" w14:textId="38B5F178" w:rsidR="00C9499F" w:rsidRPr="00C8500E" w:rsidRDefault="00C9499F" w:rsidP="00CF787C">
      <w:pPr>
        <w:pStyle w:val="NoSpacing"/>
        <w:ind w:left="720" w:hanging="720"/>
      </w:pPr>
      <w:r w:rsidRPr="00C8500E">
        <w:t xml:space="preserve">[50] Iverson GL (2001) Interpreting change on the WAiS-III/WMS-III in clinical samples. Arch. Clin. Neuropsychol. Off. J. Natl. Acad. Neuropsychol. 16, 183–191. </w:t>
      </w:r>
    </w:p>
    <w:p w14:paraId="52C794E4" w14:textId="36FD5D0A" w:rsidR="00C9499F" w:rsidRPr="00C8500E" w:rsidRDefault="00C9499F" w:rsidP="00CF787C">
      <w:pPr>
        <w:pStyle w:val="NoSpacing"/>
        <w:ind w:left="720" w:hanging="720"/>
      </w:pPr>
      <w:r w:rsidRPr="00C8500E">
        <w:t xml:space="preserve">[51] Messinis L, Tsakona I, Malefaki S, Papathanasopoulos P (2007) Normative data and discriminant validity of Rey’s Verbal Learning Test for the Greek adult population. Arch. Clin. Neuropsychol. Off. J. Natl. Acad.Neuropsychol. 22, 739–752. </w:t>
      </w:r>
    </w:p>
    <w:p w14:paraId="4DA7D601" w14:textId="30E7174F" w:rsidR="00C9499F" w:rsidRPr="00C8500E" w:rsidRDefault="00C9499F" w:rsidP="00CF787C">
      <w:pPr>
        <w:pStyle w:val="NoSpacing"/>
        <w:ind w:left="720" w:hanging="720"/>
      </w:pPr>
      <w:r w:rsidRPr="00C8500E">
        <w:t xml:space="preserve">[52] Strath SJ, Swartz AM, Bassett DR, O’Brien WL, King GA, Ainsworth BE (2000) Evaluation of heart rate as a method for assessing moderate intensity physical activity. Med. Sci. Sports Exerc. 32, S465–470. </w:t>
      </w:r>
    </w:p>
    <w:p w14:paraId="3AC9C2C6" w14:textId="2C7600E6" w:rsidR="00C9499F" w:rsidRPr="00C8500E" w:rsidRDefault="00C9499F" w:rsidP="00CF787C">
      <w:pPr>
        <w:pStyle w:val="NoSpacing"/>
        <w:ind w:left="720" w:hanging="720"/>
      </w:pPr>
      <w:r w:rsidRPr="00C8500E">
        <w:t xml:space="preserve">[53] Wolthuis rA, Froelicher VF, Fischer J, Triebwasser JH (1977) The response of healthy men to treadmill exercise. Circulation 55, 153–157. </w:t>
      </w:r>
    </w:p>
    <w:p w14:paraId="6941FAAC" w14:textId="07EFC1C1" w:rsidR="00C9499F" w:rsidRPr="00C8500E" w:rsidRDefault="00C9499F" w:rsidP="00CF787C">
      <w:pPr>
        <w:pStyle w:val="NoSpacing"/>
        <w:ind w:left="720" w:hanging="720"/>
      </w:pPr>
      <w:r w:rsidRPr="00C8500E">
        <w:t xml:space="preserve">[54] [] (1998) American College of Sports Medicine Position Stand. Exercise and physical activity for older adults. Med. Sci. Sports Exerc. 30, 992–1008. </w:t>
      </w:r>
    </w:p>
    <w:p w14:paraId="233A8309" w14:textId="13E8C881" w:rsidR="00C9499F" w:rsidRPr="00C8500E" w:rsidRDefault="00C9499F" w:rsidP="00CF787C">
      <w:pPr>
        <w:pStyle w:val="NoSpacing"/>
        <w:ind w:left="720" w:hanging="720"/>
      </w:pPr>
      <w:r w:rsidRPr="00C8500E">
        <w:t xml:space="preserve">[55] Borg G (1990) Psychophysical scaling with applications in physical work and the perception of exertion. Scand. J. Work. Environ. Health 16 Suppl 1, 55–58. </w:t>
      </w:r>
    </w:p>
    <w:p w14:paraId="16C1AEFD" w14:textId="6460C9F6" w:rsidR="00C9499F" w:rsidRPr="00C8500E" w:rsidRDefault="00C9499F" w:rsidP="00CF787C">
      <w:pPr>
        <w:pStyle w:val="NoSpacing"/>
        <w:ind w:left="720" w:hanging="720"/>
      </w:pPr>
      <w:r w:rsidRPr="00C8500E">
        <w:t xml:space="preserve">[56] Cox RW (1996) AFNI: software for analysis and visualization of functional magnetic resonance neuroimages. Comput. Biomed. Res. Int. J. 29, 162–173. </w:t>
      </w:r>
    </w:p>
    <w:p w14:paraId="1F62D4A9" w14:textId="7030DF0C" w:rsidR="00C9499F" w:rsidRPr="00C8500E" w:rsidRDefault="00C9499F" w:rsidP="00CF787C">
      <w:pPr>
        <w:pStyle w:val="NoSpacing"/>
        <w:ind w:left="720" w:hanging="720"/>
      </w:pPr>
      <w:r w:rsidRPr="00C8500E">
        <w:lastRenderedPageBreak/>
        <w:t>[57] Chappell MA, Groves AR, Whitcher B, Woolrich MW (2009) Variational Bayesian inference for a nonlinear forward model. IEEE Trans. Signal Process. 57, 223–236. </w:t>
      </w:r>
    </w:p>
    <w:p w14:paraId="2D852C71" w14:textId="1DE9B2CB" w:rsidR="00C9499F" w:rsidRPr="00C8500E" w:rsidRDefault="00C9499F" w:rsidP="00CF787C">
      <w:pPr>
        <w:pStyle w:val="NoSpacing"/>
        <w:ind w:left="720" w:hanging="720"/>
      </w:pPr>
      <w:r w:rsidRPr="00C8500E">
        <w:t>[58] Alsop DC, Detre JA, Golay X, Günther M, Hendrikse J, Hernandez-Garcia L, Lu H, Macintosh BJ, Parkes LM, Smits M, van Osch MJP, Wang DJ, Wong EC, Zaharchuk G (2015) Recommended Implementation of Arterial Spin Labeled Perfusion MRI for Clinical Applications: A consensus of the ISMRM Perfusion Study Group and the European Consortium for ASL in Dementia. Magn. Reson. Med. 73, 102–116. </w:t>
      </w:r>
    </w:p>
    <w:p w14:paraId="6906A4BE" w14:textId="297CCAB9" w:rsidR="00C9499F" w:rsidRPr="00C8500E" w:rsidRDefault="00C9499F" w:rsidP="00CF787C">
      <w:pPr>
        <w:pStyle w:val="NoSpacing"/>
        <w:ind w:left="720" w:hanging="720"/>
      </w:pPr>
      <w:r w:rsidRPr="00C8500E">
        <w:t xml:space="preserve">[59] Chappell MA, Groves AR, Macintosh BJ, Donahue MJ, Jezzard P, Woolrich MW (2011) Partial volume correction of multiple inversion time arterial spin labeling MRI data. Magn. Reson. Med. 65, 1173–1183. </w:t>
      </w:r>
    </w:p>
    <w:p w14:paraId="3EEB07FB" w14:textId="3379DECB" w:rsidR="00C9499F" w:rsidRPr="00C8500E" w:rsidRDefault="00C9499F" w:rsidP="00CF787C">
      <w:pPr>
        <w:pStyle w:val="NoSpacing"/>
        <w:ind w:left="720" w:hanging="720"/>
      </w:pPr>
      <w:r w:rsidRPr="00C8500E">
        <w:t xml:space="preserve">[60] Buxton RB (2005) Quantifying CBF with arterial spin labeling. J. Magn. Reson. Imaging JMRI 22, 723–726. </w:t>
      </w:r>
    </w:p>
    <w:p w14:paraId="599E04CB" w14:textId="6564E570" w:rsidR="00C9499F" w:rsidRPr="00C8500E" w:rsidRDefault="00C9499F" w:rsidP="00CF787C">
      <w:pPr>
        <w:pStyle w:val="NoSpacing"/>
        <w:ind w:left="720" w:hanging="720"/>
      </w:pPr>
      <w:r w:rsidRPr="00C8500E">
        <w:t xml:space="preserve">[61] Groves AR, Chappell MA, Woolrich MW (2009) Combined spatial and non- spatial prior for inference on MRI time-series. NeuroImage 45, 795–809. </w:t>
      </w:r>
    </w:p>
    <w:p w14:paraId="1E2ACD12" w14:textId="6AC2F5C4" w:rsidR="00C9499F" w:rsidRPr="00C8500E" w:rsidRDefault="00C9499F" w:rsidP="00CF787C">
      <w:pPr>
        <w:pStyle w:val="NoSpacing"/>
        <w:ind w:left="720" w:hanging="720"/>
      </w:pPr>
      <w:r w:rsidRPr="00C8500E">
        <w:t>[62] Cox rW Glen DR (2013) Nonlinear Warping in AFNI. In Poster presented at the 19th Annual Meeting of the Organization for Human Brain Mapping, Seattle, WA. </w:t>
      </w:r>
    </w:p>
    <w:p w14:paraId="6B09DF89" w14:textId="545B589D" w:rsidR="00C9499F" w:rsidRPr="00C8500E" w:rsidRDefault="00C9499F" w:rsidP="00CF787C">
      <w:pPr>
        <w:pStyle w:val="NoSpacing"/>
        <w:ind w:left="720" w:hanging="720"/>
      </w:pPr>
      <w:r w:rsidRPr="00C8500E">
        <w:t>[63] Aslan S, Lu H (2010) On the sensitivity of ASL MRI in detecting regional differences in cerebral blood flow. Magn. Reson. Imaging 28, 928–935. </w:t>
      </w:r>
    </w:p>
    <w:p w14:paraId="74D18D37" w14:textId="4F6354E7" w:rsidR="00C9499F" w:rsidRPr="00C8500E" w:rsidRDefault="00C9499F" w:rsidP="00CF787C">
      <w:pPr>
        <w:pStyle w:val="NoSpacing"/>
        <w:ind w:left="720" w:hanging="720"/>
      </w:pPr>
      <w:r w:rsidRPr="00C8500E">
        <w:t>[64] Chen G, Saad ZS, Britton JC, Pine DS, Cox RW (2013) Linear mixed- effects modeling approach to FMRI group analysis. NeuroImage 73, 176–190. </w:t>
      </w:r>
    </w:p>
    <w:p w14:paraId="26238053" w14:textId="30BD01E7" w:rsidR="00C9499F" w:rsidRPr="00C8500E" w:rsidRDefault="00C9499F" w:rsidP="00CF787C">
      <w:pPr>
        <w:pStyle w:val="NoSpacing"/>
        <w:ind w:left="720" w:hanging="720"/>
      </w:pPr>
      <w:r w:rsidRPr="00C8500E">
        <w:t>[65] Cox RW, Chen G, Glen DR, Reynolds RC, Taylor PA (2017) FMRI Clustering in AFNI: False-Positive Rates Redux. Brain Connect. 7, 152–171. </w:t>
      </w:r>
    </w:p>
    <w:p w14:paraId="3AFEC80B" w14:textId="5DFEC88B" w:rsidR="00C9499F" w:rsidRPr="00C8500E" w:rsidRDefault="00C9499F" w:rsidP="00CF787C">
      <w:pPr>
        <w:pStyle w:val="NoSpacing"/>
        <w:ind w:left="720" w:hanging="720"/>
      </w:pPr>
      <w:r w:rsidRPr="00C8500E">
        <w:t xml:space="preserve">[66] Llabre MM, Spitzer SB, Saab PG, Ironson GH, Schneiderman N (1991) The reliability and specificity of delta versus residualized change as measures of cardiovascular reactivity to behavioral challenges. Psychophysiology 28, 701–711. </w:t>
      </w:r>
    </w:p>
    <w:p w14:paraId="5B4D2A4E" w14:textId="12605D3B" w:rsidR="00C9499F" w:rsidRPr="00C8500E" w:rsidRDefault="00C9499F" w:rsidP="00CF787C">
      <w:pPr>
        <w:pStyle w:val="NoSpacing"/>
        <w:ind w:left="720" w:hanging="720"/>
      </w:pPr>
      <w:r w:rsidRPr="00C8500E">
        <w:t xml:space="preserve">[67] Temkin nR, Heaton RK, Grant I, Dikmen SS (1999) Detecting significant change in neuropsychological test performance: a comparison of four models. J. Int. Neuropsychol. Soc. JINS 5, 357–369. </w:t>
      </w:r>
    </w:p>
    <w:p w14:paraId="3A5CEA26" w14:textId="15E56705" w:rsidR="00C9499F" w:rsidRPr="00C8500E" w:rsidRDefault="00C9499F" w:rsidP="00CF787C">
      <w:pPr>
        <w:pStyle w:val="NoSpacing"/>
        <w:ind w:left="720" w:hanging="720"/>
      </w:pPr>
      <w:r w:rsidRPr="00C8500E">
        <w:t>[68] Ader HJ (2008) Advising on Research Methods: A Consultant’s Companion, Johannes van Kessel Publishing. </w:t>
      </w:r>
    </w:p>
    <w:p w14:paraId="198F784B" w14:textId="1CADE257" w:rsidR="00C9499F" w:rsidRPr="00C8500E" w:rsidRDefault="00C9499F" w:rsidP="00CF787C">
      <w:pPr>
        <w:pStyle w:val="NoSpacing"/>
        <w:ind w:left="720" w:hanging="720"/>
      </w:pPr>
      <w:r w:rsidRPr="00C8500E">
        <w:t>[69] Menon V, Uddin LQ (2010) Saliency, switching, attention and control: a network model of insula function. Brain Struct. Funct. 214, 655–667. </w:t>
      </w:r>
    </w:p>
    <w:p w14:paraId="30068979" w14:textId="55D0EDEF" w:rsidR="00C9499F" w:rsidRPr="00C8500E" w:rsidRDefault="00C9499F" w:rsidP="00CF787C">
      <w:pPr>
        <w:pStyle w:val="NoSpacing"/>
        <w:ind w:left="720" w:hanging="720"/>
      </w:pPr>
      <w:r w:rsidRPr="00C8500E">
        <w:t>[70] Namkung H, Kim S-H, Sawa A (2017) The Insula: An Underestimated Brain Area in Clinical Neuroscience, Psychiatry, and Neurology. Trends Neurosci. 40, 200–207. </w:t>
      </w:r>
    </w:p>
    <w:p w14:paraId="05D4B197" w14:textId="4B44CADB" w:rsidR="00C9499F" w:rsidRPr="00C8500E" w:rsidRDefault="00C9499F" w:rsidP="00CF787C">
      <w:pPr>
        <w:pStyle w:val="NoSpacing"/>
        <w:ind w:left="720" w:hanging="720"/>
      </w:pPr>
      <w:r w:rsidRPr="00C8500E">
        <w:t xml:space="preserve">[71] de Morree HM, Rutten G-J, Szabo BM, Sitskoorn MM, Kop WJ (2016) Effects of Insula Resection on Autonomic Nervous System Activity. J. Neurosurg. Anesthesiol. 28, 153–158. </w:t>
      </w:r>
    </w:p>
    <w:p w14:paraId="4BAD9E09" w14:textId="29271604" w:rsidR="00C9499F" w:rsidRPr="00C8500E" w:rsidRDefault="00C9499F" w:rsidP="00CF787C">
      <w:pPr>
        <w:pStyle w:val="NoSpacing"/>
        <w:ind w:left="720" w:hanging="720"/>
      </w:pPr>
      <w:r w:rsidRPr="00C8500E">
        <w:t>[72] Misra C, Fan Y, Davatzikos C (2009) Baseline and longitudinal patterns of brain atrophy in MCI patients, and their use in prediction of short-term conversion to AD: results from ADNI. NeuroImage 44, 1415–1422. </w:t>
      </w:r>
    </w:p>
    <w:p w14:paraId="5E94913D" w14:textId="5B8464DA" w:rsidR="00C9499F" w:rsidRPr="00C8500E" w:rsidRDefault="00C9499F" w:rsidP="00CF787C">
      <w:pPr>
        <w:pStyle w:val="NoSpacing"/>
        <w:ind w:left="720" w:hanging="720"/>
      </w:pPr>
      <w:r w:rsidRPr="00C8500E">
        <w:t xml:space="preserve">[73] Gili T, Cercignani M, Serra L, Perri R, Giove F, Maraviglia B, Caltagirone C, Bozzali M (2011) Regional brain atrophy and functional disconnection across Alzheimer’s disease evolution. J. Neurol. Neurosurg. Psychiatry 82, 58–66. </w:t>
      </w:r>
    </w:p>
    <w:p w14:paraId="0494C66D" w14:textId="011DF164" w:rsidR="00C9499F" w:rsidRPr="00C8500E" w:rsidRDefault="00C9499F" w:rsidP="00CF787C">
      <w:pPr>
        <w:pStyle w:val="NoSpacing"/>
        <w:ind w:left="720" w:hanging="720"/>
      </w:pPr>
      <w:r w:rsidRPr="00C8500E">
        <w:t>[74] Chirles TJ, Reiter K, Weiss LR, Alfini AJ, Nielson KA, Smith JC (2017) Exercise Training and Functional Connectivity Changes in Mild Cognitive Impairment and Healthy Elders. J. Alzheimers Dis. JAD 57, 845–856. </w:t>
      </w:r>
    </w:p>
    <w:p w14:paraId="5A8D0156" w14:textId="74C235E8" w:rsidR="00C9499F" w:rsidRPr="00C8500E" w:rsidRDefault="00C9499F" w:rsidP="00CF787C">
      <w:pPr>
        <w:pStyle w:val="NoSpacing"/>
        <w:ind w:left="720" w:hanging="720"/>
      </w:pPr>
      <w:r w:rsidRPr="00C8500E">
        <w:t>[75] Kalaria RN (2010) Vascular basis for brain degeneration: faltering controls and risk factors for dementia. Nutr. Rev. 68 Suppl 2, S74–87. </w:t>
      </w:r>
    </w:p>
    <w:p w14:paraId="6E7933DB" w14:textId="599B0868" w:rsidR="00C9499F" w:rsidRPr="00C8500E" w:rsidRDefault="00C9499F" w:rsidP="00CF787C">
      <w:pPr>
        <w:pStyle w:val="NoSpacing"/>
        <w:ind w:left="720" w:hanging="720"/>
      </w:pPr>
      <w:r w:rsidRPr="00C8500E">
        <w:t xml:space="preserve">[76] Jellinger KA (2010) Prevalence and impact of cerebrovascular lesions in Alzheimer and lewy body diseases. Neurodegener. Dis. 7, 112–115. </w:t>
      </w:r>
    </w:p>
    <w:p w14:paraId="3AC73CD0" w14:textId="7591350D" w:rsidR="00C9499F" w:rsidRPr="00C8500E" w:rsidRDefault="00C9499F" w:rsidP="00CF787C">
      <w:pPr>
        <w:pStyle w:val="NoSpacing"/>
        <w:ind w:left="720" w:hanging="720"/>
      </w:pPr>
      <w:r w:rsidRPr="00C8500E">
        <w:t xml:space="preserve">[77] Vermeer SE, Prins ND, den Heijer T, Hofman A, Koudstaal PJ, Breteler MMB (2003) Silent brain infarcts and the risk of dementia and cognitive decline. N. Engl. J. Med. 348, 1215–1222. </w:t>
      </w:r>
    </w:p>
    <w:p w14:paraId="0874D2E7" w14:textId="5EAD2217" w:rsidR="00C9499F" w:rsidRPr="00C8500E" w:rsidRDefault="00C9499F" w:rsidP="00CF787C">
      <w:pPr>
        <w:pStyle w:val="NoSpacing"/>
        <w:ind w:left="720" w:hanging="720"/>
      </w:pPr>
      <w:r w:rsidRPr="00C8500E">
        <w:t xml:space="preserve">[78] Ruitenberg A, den Heijer T, Bakker SLM, van Swieten JC, Koudstaal PJ, Hofman A, Breteler mMb (2005) Cerebral hypoperfusion and clinical onset of dementia: the Rotterdam Study. Ann. Neurol. 57, 789–794. </w:t>
      </w:r>
    </w:p>
    <w:p w14:paraId="04CBAB82" w14:textId="3301BBA0" w:rsidR="00C9499F" w:rsidRPr="00C8500E" w:rsidRDefault="00C9499F" w:rsidP="00CF787C">
      <w:pPr>
        <w:pStyle w:val="NoSpacing"/>
        <w:ind w:left="720" w:hanging="720"/>
      </w:pPr>
      <w:r w:rsidRPr="00C8500E">
        <w:t xml:space="preserve">[79] Yaffe K, Falvey CM, Hoang T (2014) Connections between sleep and cognition in older adults. Lancet Neurol. 13, 1017–1028. </w:t>
      </w:r>
    </w:p>
    <w:p w14:paraId="147F4790" w14:textId="6487B8D9" w:rsidR="00C9499F" w:rsidRPr="00C8500E" w:rsidRDefault="00C9499F" w:rsidP="00CF787C">
      <w:pPr>
        <w:pStyle w:val="NoSpacing"/>
        <w:ind w:left="720" w:hanging="720"/>
      </w:pPr>
      <w:r w:rsidRPr="00C8500E">
        <w:lastRenderedPageBreak/>
        <w:t>[80] Kang EB, Cho JY (2014) Effects of treadmill exercise on brain insulin signaling and ß-amyloid in intracerebroventricular streptozotocin induced- memory impairment in rats. J. Exerc. Nutr. Biochem. 18, 89–96. </w:t>
      </w:r>
    </w:p>
    <w:p w14:paraId="71E90EAA" w14:textId="2F2D8F4E" w:rsidR="00C9499F" w:rsidRPr="00C8500E" w:rsidRDefault="00C9499F" w:rsidP="00CF787C">
      <w:pPr>
        <w:pStyle w:val="NoSpacing"/>
        <w:ind w:left="720" w:hanging="720"/>
      </w:pPr>
      <w:r w:rsidRPr="00C8500E">
        <w:t xml:space="preserve">[81] Ra Swain, Harris AB, Wiener EC, Dutka MV, Morris HD, Theien BE, Konda S, Engberg K, Lauterbur PC, Greenough </w:t>
      </w:r>
      <w:proofErr w:type="gramStart"/>
      <w:r w:rsidRPr="00C8500E">
        <w:t>WT(</w:t>
      </w:r>
      <w:proofErr w:type="gramEnd"/>
      <w:r w:rsidRPr="00C8500E">
        <w:t xml:space="preserve">2003) Prolonged exercise induces angiogenesis and increases cerebral blood volume in primary motor cortex of the rat. Neuroscience 117, 1037–1046. </w:t>
      </w:r>
    </w:p>
    <w:p w14:paraId="14E4882C" w14:textId="01DF6D85" w:rsidR="00C9499F" w:rsidRPr="00C8500E" w:rsidRDefault="00C9499F" w:rsidP="00CF787C">
      <w:pPr>
        <w:pStyle w:val="NoSpacing"/>
        <w:ind w:left="720" w:hanging="720"/>
      </w:pPr>
      <w:r w:rsidRPr="00C8500E">
        <w:t>[82] Burdette JH, Laurienti PJ, Espeland MA, Morgan A, Telesford Q, Vechlekar CD, Hayasaka S, Jennings JM, Katula JA, Kraft RA, Rejeski WJ (2010) Using Network Science to Evaluate Exercise-Associated Brain Changes in Older Adults. Front. Aging Neurosci. </w:t>
      </w:r>
      <w:proofErr w:type="gramStart"/>
      <w:r w:rsidRPr="00C8500E">
        <w:t>2,.</w:t>
      </w:r>
      <w:proofErr w:type="gramEnd"/>
      <w:r w:rsidRPr="00C8500E">
        <w:t> </w:t>
      </w:r>
    </w:p>
    <w:p w14:paraId="1E48AF91" w14:textId="7379340C" w:rsidR="00C9499F" w:rsidRPr="00C8500E" w:rsidRDefault="00C9499F" w:rsidP="00CF787C">
      <w:pPr>
        <w:pStyle w:val="NoSpacing"/>
        <w:ind w:left="720" w:hanging="720"/>
      </w:pPr>
      <w:r w:rsidRPr="00C8500E">
        <w:t>[83] Reuter-Lorenz PA, Park DC (2014) How does it STAC up? Revisiting the scaffolding theory of aging and cognition. Neuropsychol. Rev. 24, 355–370. </w:t>
      </w:r>
    </w:p>
    <w:p w14:paraId="0A7449DF" w14:textId="77777777" w:rsidR="00C9499F" w:rsidRPr="00C8500E" w:rsidRDefault="00C9499F" w:rsidP="00CF787C">
      <w:pPr>
        <w:pStyle w:val="NoSpacing"/>
        <w:ind w:left="720" w:hanging="720"/>
      </w:pPr>
    </w:p>
    <w:sectPr w:rsidR="00C9499F" w:rsidRPr="00C8500E"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5SlOUM8vVg2dkUqDoib1YrZeuoc8EgEWeIMEgs1pErhmzs1ORiDBbBAcHHxQ9/6M2w2AuoMPMynMcTv0VzbfGA==" w:salt="iZdjpAm/hAvR/bCkS5e7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250"/>
    <w:rsid w:val="0001248B"/>
    <w:rsid w:val="00014F38"/>
    <w:rsid w:val="000233C1"/>
    <w:rsid w:val="00024048"/>
    <w:rsid w:val="00026BC7"/>
    <w:rsid w:val="0003036D"/>
    <w:rsid w:val="00034205"/>
    <w:rsid w:val="00035704"/>
    <w:rsid w:val="00037743"/>
    <w:rsid w:val="00041C27"/>
    <w:rsid w:val="000437DE"/>
    <w:rsid w:val="00043C8E"/>
    <w:rsid w:val="00044EBA"/>
    <w:rsid w:val="0004637E"/>
    <w:rsid w:val="0004717F"/>
    <w:rsid w:val="000525F1"/>
    <w:rsid w:val="0005413F"/>
    <w:rsid w:val="00057D20"/>
    <w:rsid w:val="000606A8"/>
    <w:rsid w:val="00061102"/>
    <w:rsid w:val="00064ECB"/>
    <w:rsid w:val="000710E7"/>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6429"/>
    <w:rsid w:val="00097FBC"/>
    <w:rsid w:val="000A0975"/>
    <w:rsid w:val="000A266C"/>
    <w:rsid w:val="000A7622"/>
    <w:rsid w:val="000A7F84"/>
    <w:rsid w:val="000B1EEB"/>
    <w:rsid w:val="000B22D3"/>
    <w:rsid w:val="000B2768"/>
    <w:rsid w:val="000B3464"/>
    <w:rsid w:val="000B389E"/>
    <w:rsid w:val="000B501D"/>
    <w:rsid w:val="000B5170"/>
    <w:rsid w:val="000B7245"/>
    <w:rsid w:val="000C0E5B"/>
    <w:rsid w:val="000C6BA7"/>
    <w:rsid w:val="000D3573"/>
    <w:rsid w:val="000D40E7"/>
    <w:rsid w:val="000D4F0B"/>
    <w:rsid w:val="000D6BF2"/>
    <w:rsid w:val="000E2B81"/>
    <w:rsid w:val="000E69EF"/>
    <w:rsid w:val="000E7C46"/>
    <w:rsid w:val="000F0449"/>
    <w:rsid w:val="000F08DA"/>
    <w:rsid w:val="000F14F0"/>
    <w:rsid w:val="000F1D5E"/>
    <w:rsid w:val="000F33D0"/>
    <w:rsid w:val="00101A98"/>
    <w:rsid w:val="00104CE6"/>
    <w:rsid w:val="00107EA8"/>
    <w:rsid w:val="00110408"/>
    <w:rsid w:val="00110CDA"/>
    <w:rsid w:val="00114114"/>
    <w:rsid w:val="00117F89"/>
    <w:rsid w:val="00120313"/>
    <w:rsid w:val="001233A5"/>
    <w:rsid w:val="00123BC0"/>
    <w:rsid w:val="00123E80"/>
    <w:rsid w:val="00130F87"/>
    <w:rsid w:val="00131A15"/>
    <w:rsid w:val="00131C28"/>
    <w:rsid w:val="00134CF7"/>
    <w:rsid w:val="0014182B"/>
    <w:rsid w:val="0014490B"/>
    <w:rsid w:val="00146A5C"/>
    <w:rsid w:val="00146E50"/>
    <w:rsid w:val="00150DB6"/>
    <w:rsid w:val="00154D34"/>
    <w:rsid w:val="00160E1F"/>
    <w:rsid w:val="00161372"/>
    <w:rsid w:val="001622DB"/>
    <w:rsid w:val="00163F71"/>
    <w:rsid w:val="00164C0F"/>
    <w:rsid w:val="00173556"/>
    <w:rsid w:val="0018114F"/>
    <w:rsid w:val="00181ADF"/>
    <w:rsid w:val="00183A38"/>
    <w:rsid w:val="001854EA"/>
    <w:rsid w:val="00185C26"/>
    <w:rsid w:val="00196C7C"/>
    <w:rsid w:val="001A1C71"/>
    <w:rsid w:val="001A1DF4"/>
    <w:rsid w:val="001A34C4"/>
    <w:rsid w:val="001B6E76"/>
    <w:rsid w:val="001C1E23"/>
    <w:rsid w:val="001C3A3F"/>
    <w:rsid w:val="001D1087"/>
    <w:rsid w:val="001D2448"/>
    <w:rsid w:val="001D3ADE"/>
    <w:rsid w:val="001D58D3"/>
    <w:rsid w:val="001D776C"/>
    <w:rsid w:val="001D7BCC"/>
    <w:rsid w:val="001E18FE"/>
    <w:rsid w:val="001F4B81"/>
    <w:rsid w:val="001F70BC"/>
    <w:rsid w:val="001F7FBE"/>
    <w:rsid w:val="002016B1"/>
    <w:rsid w:val="00201875"/>
    <w:rsid w:val="00201AFD"/>
    <w:rsid w:val="00201FDC"/>
    <w:rsid w:val="002022D8"/>
    <w:rsid w:val="00206486"/>
    <w:rsid w:val="00206755"/>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782"/>
    <w:rsid w:val="002B1ED8"/>
    <w:rsid w:val="002B45EC"/>
    <w:rsid w:val="002B62C6"/>
    <w:rsid w:val="002C17A7"/>
    <w:rsid w:val="002C2DA5"/>
    <w:rsid w:val="002C4714"/>
    <w:rsid w:val="002C5F95"/>
    <w:rsid w:val="002C6160"/>
    <w:rsid w:val="002D02F2"/>
    <w:rsid w:val="002D28EA"/>
    <w:rsid w:val="002D508B"/>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27E5"/>
    <w:rsid w:val="00324290"/>
    <w:rsid w:val="00331737"/>
    <w:rsid w:val="0033243D"/>
    <w:rsid w:val="00332B2C"/>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4DD3"/>
    <w:rsid w:val="003A503E"/>
    <w:rsid w:val="003A6039"/>
    <w:rsid w:val="003B47FA"/>
    <w:rsid w:val="003B6208"/>
    <w:rsid w:val="003B7F8F"/>
    <w:rsid w:val="003C4172"/>
    <w:rsid w:val="003C437D"/>
    <w:rsid w:val="003C4456"/>
    <w:rsid w:val="003D3301"/>
    <w:rsid w:val="003D4641"/>
    <w:rsid w:val="003E05B7"/>
    <w:rsid w:val="003E0C0A"/>
    <w:rsid w:val="003E6CFF"/>
    <w:rsid w:val="003F1AAA"/>
    <w:rsid w:val="003F2DDC"/>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2BC"/>
    <w:rsid w:val="00487185"/>
    <w:rsid w:val="004873AE"/>
    <w:rsid w:val="00487718"/>
    <w:rsid w:val="00490ABE"/>
    <w:rsid w:val="004932A8"/>
    <w:rsid w:val="00497E47"/>
    <w:rsid w:val="004A0368"/>
    <w:rsid w:val="004A2715"/>
    <w:rsid w:val="004A2894"/>
    <w:rsid w:val="004A2B41"/>
    <w:rsid w:val="004A3B3E"/>
    <w:rsid w:val="004B2226"/>
    <w:rsid w:val="004B55D9"/>
    <w:rsid w:val="004B6BED"/>
    <w:rsid w:val="004B77C2"/>
    <w:rsid w:val="004C0B3D"/>
    <w:rsid w:val="004C2D7B"/>
    <w:rsid w:val="004C350E"/>
    <w:rsid w:val="004C45D2"/>
    <w:rsid w:val="004C5EEF"/>
    <w:rsid w:val="004D118A"/>
    <w:rsid w:val="004D1CB9"/>
    <w:rsid w:val="004D21C9"/>
    <w:rsid w:val="004D7B6B"/>
    <w:rsid w:val="004E34F8"/>
    <w:rsid w:val="004E3C84"/>
    <w:rsid w:val="004E528B"/>
    <w:rsid w:val="004F146C"/>
    <w:rsid w:val="004F1F3C"/>
    <w:rsid w:val="0050127C"/>
    <w:rsid w:val="0050408D"/>
    <w:rsid w:val="00504AA0"/>
    <w:rsid w:val="00504C6A"/>
    <w:rsid w:val="00510364"/>
    <w:rsid w:val="005116C9"/>
    <w:rsid w:val="00511BEE"/>
    <w:rsid w:val="005175E9"/>
    <w:rsid w:val="00520368"/>
    <w:rsid w:val="0052658A"/>
    <w:rsid w:val="00530DB9"/>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70A2"/>
    <w:rsid w:val="005B7540"/>
    <w:rsid w:val="005C00EC"/>
    <w:rsid w:val="005C15C9"/>
    <w:rsid w:val="005C30E9"/>
    <w:rsid w:val="005C663B"/>
    <w:rsid w:val="005D1ABD"/>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C00"/>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68C"/>
    <w:rsid w:val="00732FF6"/>
    <w:rsid w:val="00735393"/>
    <w:rsid w:val="00745E32"/>
    <w:rsid w:val="007466F7"/>
    <w:rsid w:val="00757D89"/>
    <w:rsid w:val="0076194B"/>
    <w:rsid w:val="00763676"/>
    <w:rsid w:val="00772776"/>
    <w:rsid w:val="00775D8E"/>
    <w:rsid w:val="00776E56"/>
    <w:rsid w:val="00781619"/>
    <w:rsid w:val="0079146B"/>
    <w:rsid w:val="00791DD5"/>
    <w:rsid w:val="00796875"/>
    <w:rsid w:val="0079756E"/>
    <w:rsid w:val="007A1233"/>
    <w:rsid w:val="007A258F"/>
    <w:rsid w:val="007A3B3A"/>
    <w:rsid w:val="007A5629"/>
    <w:rsid w:val="007B0BBA"/>
    <w:rsid w:val="007C1277"/>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28E"/>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53E"/>
    <w:rsid w:val="00850E3E"/>
    <w:rsid w:val="00864432"/>
    <w:rsid w:val="008649A3"/>
    <w:rsid w:val="0086670A"/>
    <w:rsid w:val="00870BA1"/>
    <w:rsid w:val="00873CDE"/>
    <w:rsid w:val="00874421"/>
    <w:rsid w:val="00875997"/>
    <w:rsid w:val="0087796C"/>
    <w:rsid w:val="00877F7B"/>
    <w:rsid w:val="00880932"/>
    <w:rsid w:val="008825B5"/>
    <w:rsid w:val="00885E74"/>
    <w:rsid w:val="00886B14"/>
    <w:rsid w:val="00887598"/>
    <w:rsid w:val="008927F4"/>
    <w:rsid w:val="00893B58"/>
    <w:rsid w:val="00894E4C"/>
    <w:rsid w:val="0089642A"/>
    <w:rsid w:val="008964B3"/>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07CD6"/>
    <w:rsid w:val="00911307"/>
    <w:rsid w:val="00915110"/>
    <w:rsid w:val="009151B5"/>
    <w:rsid w:val="00916ADA"/>
    <w:rsid w:val="00916C64"/>
    <w:rsid w:val="00920C6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1438"/>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03EB"/>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12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589"/>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4F8"/>
    <w:rsid w:val="00AF5947"/>
    <w:rsid w:val="00AF692A"/>
    <w:rsid w:val="00AF6963"/>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58A"/>
    <w:rsid w:val="00BA4548"/>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C737A"/>
    <w:rsid w:val="00BD01F3"/>
    <w:rsid w:val="00BD0D8D"/>
    <w:rsid w:val="00BD439F"/>
    <w:rsid w:val="00BD4F14"/>
    <w:rsid w:val="00BE2644"/>
    <w:rsid w:val="00BE42F3"/>
    <w:rsid w:val="00BE551C"/>
    <w:rsid w:val="00BF6ECD"/>
    <w:rsid w:val="00BF790B"/>
    <w:rsid w:val="00C01E67"/>
    <w:rsid w:val="00C05302"/>
    <w:rsid w:val="00C05D9E"/>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08F"/>
    <w:rsid w:val="00C7785D"/>
    <w:rsid w:val="00C77A26"/>
    <w:rsid w:val="00C8500E"/>
    <w:rsid w:val="00C85BDD"/>
    <w:rsid w:val="00C86B81"/>
    <w:rsid w:val="00C91557"/>
    <w:rsid w:val="00C92F74"/>
    <w:rsid w:val="00C9482D"/>
    <w:rsid w:val="00C9499F"/>
    <w:rsid w:val="00CA1C19"/>
    <w:rsid w:val="00CA204D"/>
    <w:rsid w:val="00CA2E14"/>
    <w:rsid w:val="00CA60CD"/>
    <w:rsid w:val="00CB10E9"/>
    <w:rsid w:val="00CB11D6"/>
    <w:rsid w:val="00CB5475"/>
    <w:rsid w:val="00CB665E"/>
    <w:rsid w:val="00CB6E09"/>
    <w:rsid w:val="00CC09A7"/>
    <w:rsid w:val="00CC0FD9"/>
    <w:rsid w:val="00CC1F8F"/>
    <w:rsid w:val="00CD139B"/>
    <w:rsid w:val="00CD164D"/>
    <w:rsid w:val="00CD5E59"/>
    <w:rsid w:val="00CD7831"/>
    <w:rsid w:val="00CE05D4"/>
    <w:rsid w:val="00CE4712"/>
    <w:rsid w:val="00CF0B37"/>
    <w:rsid w:val="00CF53EE"/>
    <w:rsid w:val="00CF787C"/>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023"/>
    <w:rsid w:val="00D87BB8"/>
    <w:rsid w:val="00D90BD9"/>
    <w:rsid w:val="00D92E8F"/>
    <w:rsid w:val="00D932C5"/>
    <w:rsid w:val="00D939A7"/>
    <w:rsid w:val="00D94446"/>
    <w:rsid w:val="00D9581C"/>
    <w:rsid w:val="00D95DCB"/>
    <w:rsid w:val="00D96228"/>
    <w:rsid w:val="00DA5459"/>
    <w:rsid w:val="00DB357A"/>
    <w:rsid w:val="00DB4233"/>
    <w:rsid w:val="00DB5097"/>
    <w:rsid w:val="00DC29DB"/>
    <w:rsid w:val="00DC4F7C"/>
    <w:rsid w:val="00DC69D8"/>
    <w:rsid w:val="00DC7134"/>
    <w:rsid w:val="00DC7C2C"/>
    <w:rsid w:val="00DD2256"/>
    <w:rsid w:val="00DD4B55"/>
    <w:rsid w:val="00DD5871"/>
    <w:rsid w:val="00DE29CC"/>
    <w:rsid w:val="00DE2F66"/>
    <w:rsid w:val="00DE3D44"/>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2FEC"/>
    <w:rsid w:val="00E95F4D"/>
    <w:rsid w:val="00E97067"/>
    <w:rsid w:val="00EA6E8E"/>
    <w:rsid w:val="00EA7978"/>
    <w:rsid w:val="00EA7D19"/>
    <w:rsid w:val="00EB7F70"/>
    <w:rsid w:val="00EC4C2A"/>
    <w:rsid w:val="00EC6764"/>
    <w:rsid w:val="00EC726F"/>
    <w:rsid w:val="00EC7743"/>
    <w:rsid w:val="00EC7B8C"/>
    <w:rsid w:val="00EC7FB7"/>
    <w:rsid w:val="00ED2540"/>
    <w:rsid w:val="00ED48A6"/>
    <w:rsid w:val="00ED521A"/>
    <w:rsid w:val="00EE1F48"/>
    <w:rsid w:val="00EE3C5A"/>
    <w:rsid w:val="00EE4E0F"/>
    <w:rsid w:val="00EE504D"/>
    <w:rsid w:val="00EE75E3"/>
    <w:rsid w:val="00EE7777"/>
    <w:rsid w:val="00EF0C86"/>
    <w:rsid w:val="00EF20E6"/>
    <w:rsid w:val="00EF2D7A"/>
    <w:rsid w:val="00EF586D"/>
    <w:rsid w:val="00F00B9A"/>
    <w:rsid w:val="00F0246E"/>
    <w:rsid w:val="00F026DB"/>
    <w:rsid w:val="00F04133"/>
    <w:rsid w:val="00F12233"/>
    <w:rsid w:val="00F12CE1"/>
    <w:rsid w:val="00F14096"/>
    <w:rsid w:val="00F14820"/>
    <w:rsid w:val="00F272D7"/>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3FB"/>
    <w:rsid w:val="00F739AD"/>
    <w:rsid w:val="00F74422"/>
    <w:rsid w:val="00F76222"/>
    <w:rsid w:val="00F83712"/>
    <w:rsid w:val="00F86BEC"/>
    <w:rsid w:val="00F9447B"/>
    <w:rsid w:val="00F944E0"/>
    <w:rsid w:val="00F95C39"/>
    <w:rsid w:val="00FA132A"/>
    <w:rsid w:val="00FA1FC3"/>
    <w:rsid w:val="00FA431A"/>
    <w:rsid w:val="00FA4BC4"/>
    <w:rsid w:val="00FA54C6"/>
    <w:rsid w:val="00FA5E0B"/>
    <w:rsid w:val="00FA7BFA"/>
    <w:rsid w:val="00FB00F5"/>
    <w:rsid w:val="00FB0527"/>
    <w:rsid w:val="00FB3A37"/>
    <w:rsid w:val="00FB635D"/>
    <w:rsid w:val="00FB6BC1"/>
    <w:rsid w:val="00FC0EED"/>
    <w:rsid w:val="00FC11D2"/>
    <w:rsid w:val="00FC1405"/>
    <w:rsid w:val="00FD0FFF"/>
    <w:rsid w:val="00FD7073"/>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C94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C949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C9499F"/>
  </w:style>
  <w:style w:type="character" w:styleId="FollowedHyperlink">
    <w:name w:val="FollowedHyperlink"/>
    <w:basedOn w:val="DefaultParagraphFont"/>
    <w:uiPriority w:val="99"/>
    <w:semiHidden/>
    <w:unhideWhenUsed/>
    <w:rsid w:val="00C9499F"/>
    <w:rPr>
      <w:color w:val="800080"/>
      <w:u w:val="single"/>
    </w:rPr>
  </w:style>
  <w:style w:type="paragraph" w:styleId="NormalWeb">
    <w:name w:val="Normal (Web)"/>
    <w:basedOn w:val="Normal"/>
    <w:uiPriority w:val="99"/>
    <w:semiHidden/>
    <w:unhideWhenUsed/>
    <w:rsid w:val="00C949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preview">
    <w:name w:val="mathjax_preview"/>
    <w:basedOn w:val="DefaultParagraphFont"/>
    <w:rsid w:val="00C9499F"/>
  </w:style>
  <w:style w:type="character" w:customStyle="1" w:styleId="mathjax">
    <w:name w:val="mathjax"/>
    <w:basedOn w:val="DefaultParagraphFont"/>
    <w:rsid w:val="00C9499F"/>
  </w:style>
  <w:style w:type="character" w:customStyle="1" w:styleId="math">
    <w:name w:val="math"/>
    <w:basedOn w:val="DefaultParagraphFont"/>
    <w:rsid w:val="00C9499F"/>
  </w:style>
  <w:style w:type="character" w:customStyle="1" w:styleId="mrow">
    <w:name w:val="mrow"/>
    <w:basedOn w:val="DefaultParagraphFont"/>
    <w:rsid w:val="00C9499F"/>
  </w:style>
  <w:style w:type="character" w:customStyle="1" w:styleId="msubsup">
    <w:name w:val="msubsup"/>
    <w:basedOn w:val="DefaultParagraphFont"/>
    <w:rsid w:val="00C9499F"/>
  </w:style>
  <w:style w:type="character" w:customStyle="1" w:styleId="mtext">
    <w:name w:val="mtext"/>
    <w:basedOn w:val="DefaultParagraphFont"/>
    <w:rsid w:val="00C9499F"/>
  </w:style>
  <w:style w:type="character" w:customStyle="1" w:styleId="mn">
    <w:name w:val="mn"/>
    <w:basedOn w:val="DefaultParagraphFont"/>
    <w:rsid w:val="00C9499F"/>
  </w:style>
  <w:style w:type="character" w:customStyle="1" w:styleId="figpopup-sensitive-area">
    <w:name w:val="figpopup-sensitive-area"/>
    <w:basedOn w:val="DefaultParagraphFont"/>
    <w:rsid w:val="00C9499F"/>
  </w:style>
  <w:style w:type="paragraph" w:customStyle="1" w:styleId="fn">
    <w:name w:val="fn"/>
    <w:basedOn w:val="Normal"/>
    <w:rsid w:val="00C949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xed-citation">
    <w:name w:val="mixed-citation"/>
    <w:basedOn w:val="DefaultParagraphFont"/>
    <w:rsid w:val="00C9499F"/>
  </w:style>
  <w:style w:type="character" w:customStyle="1" w:styleId="ref-title">
    <w:name w:val="ref-title"/>
    <w:basedOn w:val="DefaultParagraphFont"/>
    <w:rsid w:val="00C9499F"/>
  </w:style>
  <w:style w:type="character" w:customStyle="1" w:styleId="ref-journal">
    <w:name w:val="ref-journal"/>
    <w:basedOn w:val="DefaultParagraphFont"/>
    <w:rsid w:val="00C9499F"/>
  </w:style>
  <w:style w:type="character" w:customStyle="1" w:styleId="ref-vol">
    <w:name w:val="ref-vol"/>
    <w:basedOn w:val="DefaultParagraphFont"/>
    <w:rsid w:val="00C9499F"/>
  </w:style>
  <w:style w:type="character" w:customStyle="1" w:styleId="nowrap">
    <w:name w:val="nowrap"/>
    <w:basedOn w:val="DefaultParagraphFont"/>
    <w:rsid w:val="00C9499F"/>
  </w:style>
  <w:style w:type="character" w:customStyle="1" w:styleId="ref-iss">
    <w:name w:val="ref-iss"/>
    <w:basedOn w:val="DefaultParagraphFont"/>
    <w:rsid w:val="00C94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825172664">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220093863">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674262796">
      <w:bodyDiv w:val="1"/>
      <w:marLeft w:val="0"/>
      <w:marRight w:val="0"/>
      <w:marTop w:val="0"/>
      <w:marBottom w:val="0"/>
      <w:divBdr>
        <w:top w:val="none" w:sz="0" w:space="0" w:color="auto"/>
        <w:left w:val="none" w:sz="0" w:space="0" w:color="auto"/>
        <w:bottom w:val="none" w:sz="0" w:space="0" w:color="auto"/>
        <w:right w:val="none" w:sz="0" w:space="0" w:color="auto"/>
      </w:divBdr>
      <w:divsChild>
        <w:div w:id="829751945">
          <w:marLeft w:val="0"/>
          <w:marRight w:val="0"/>
          <w:marTop w:val="0"/>
          <w:marBottom w:val="0"/>
          <w:divBdr>
            <w:top w:val="none" w:sz="0" w:space="0" w:color="auto"/>
            <w:left w:val="none" w:sz="0" w:space="0" w:color="auto"/>
            <w:bottom w:val="none" w:sz="0" w:space="0" w:color="auto"/>
            <w:right w:val="none" w:sz="0" w:space="0" w:color="auto"/>
          </w:divBdr>
          <w:divsChild>
            <w:div w:id="102461396">
              <w:marLeft w:val="0"/>
              <w:marRight w:val="0"/>
              <w:marTop w:val="0"/>
              <w:marBottom w:val="0"/>
              <w:divBdr>
                <w:top w:val="none" w:sz="0" w:space="0" w:color="auto"/>
                <w:left w:val="none" w:sz="0" w:space="0" w:color="auto"/>
                <w:bottom w:val="none" w:sz="0" w:space="0" w:color="auto"/>
                <w:right w:val="none" w:sz="0" w:space="0" w:color="auto"/>
              </w:divBdr>
            </w:div>
            <w:div w:id="954286342">
              <w:marLeft w:val="0"/>
              <w:marRight w:val="0"/>
              <w:marTop w:val="0"/>
              <w:marBottom w:val="0"/>
              <w:divBdr>
                <w:top w:val="none" w:sz="0" w:space="0" w:color="auto"/>
                <w:left w:val="none" w:sz="0" w:space="0" w:color="auto"/>
                <w:bottom w:val="none" w:sz="0" w:space="0" w:color="auto"/>
                <w:right w:val="none" w:sz="0" w:space="0" w:color="auto"/>
              </w:divBdr>
            </w:div>
            <w:div w:id="801339517">
              <w:marLeft w:val="0"/>
              <w:marRight w:val="0"/>
              <w:marTop w:val="0"/>
              <w:marBottom w:val="0"/>
              <w:divBdr>
                <w:top w:val="none" w:sz="0" w:space="0" w:color="auto"/>
                <w:left w:val="none" w:sz="0" w:space="0" w:color="auto"/>
                <w:bottom w:val="none" w:sz="0" w:space="0" w:color="auto"/>
                <w:right w:val="none" w:sz="0" w:space="0" w:color="auto"/>
              </w:divBdr>
            </w:div>
            <w:div w:id="1968466430">
              <w:marLeft w:val="0"/>
              <w:marRight w:val="0"/>
              <w:marTop w:val="0"/>
              <w:marBottom w:val="0"/>
              <w:divBdr>
                <w:top w:val="none" w:sz="0" w:space="0" w:color="auto"/>
                <w:left w:val="none" w:sz="0" w:space="0" w:color="auto"/>
                <w:bottom w:val="none" w:sz="0" w:space="0" w:color="auto"/>
                <w:right w:val="none" w:sz="0" w:space="0" w:color="auto"/>
              </w:divBdr>
            </w:div>
            <w:div w:id="1472677601">
              <w:marLeft w:val="0"/>
              <w:marRight w:val="0"/>
              <w:marTop w:val="0"/>
              <w:marBottom w:val="0"/>
              <w:divBdr>
                <w:top w:val="none" w:sz="0" w:space="0" w:color="auto"/>
                <w:left w:val="none" w:sz="0" w:space="0" w:color="auto"/>
                <w:bottom w:val="none" w:sz="0" w:space="0" w:color="auto"/>
                <w:right w:val="none" w:sz="0" w:space="0" w:color="auto"/>
              </w:divBdr>
            </w:div>
          </w:divsChild>
        </w:div>
        <w:div w:id="968779809">
          <w:marLeft w:val="0"/>
          <w:marRight w:val="0"/>
          <w:marTop w:val="0"/>
          <w:marBottom w:val="0"/>
          <w:divBdr>
            <w:top w:val="none" w:sz="0" w:space="0" w:color="auto"/>
            <w:left w:val="none" w:sz="0" w:space="0" w:color="auto"/>
            <w:bottom w:val="none" w:sz="0" w:space="0" w:color="auto"/>
            <w:right w:val="none" w:sz="0" w:space="0" w:color="auto"/>
          </w:divBdr>
        </w:div>
        <w:div w:id="1525553672">
          <w:marLeft w:val="0"/>
          <w:marRight w:val="0"/>
          <w:marTop w:val="0"/>
          <w:marBottom w:val="0"/>
          <w:divBdr>
            <w:top w:val="none" w:sz="0" w:space="0" w:color="auto"/>
            <w:left w:val="none" w:sz="0" w:space="0" w:color="auto"/>
            <w:bottom w:val="none" w:sz="0" w:space="0" w:color="auto"/>
            <w:right w:val="none" w:sz="0" w:space="0" w:color="auto"/>
          </w:divBdr>
        </w:div>
        <w:div w:id="1159150492">
          <w:marLeft w:val="0"/>
          <w:marRight w:val="0"/>
          <w:marTop w:val="0"/>
          <w:marBottom w:val="0"/>
          <w:divBdr>
            <w:top w:val="none" w:sz="0" w:space="0" w:color="auto"/>
            <w:left w:val="none" w:sz="0" w:space="0" w:color="auto"/>
            <w:bottom w:val="none" w:sz="0" w:space="0" w:color="auto"/>
            <w:right w:val="none" w:sz="0" w:space="0" w:color="auto"/>
          </w:divBdr>
        </w:div>
        <w:div w:id="1768689935">
          <w:marLeft w:val="0"/>
          <w:marRight w:val="0"/>
          <w:marTop w:val="0"/>
          <w:marBottom w:val="0"/>
          <w:divBdr>
            <w:top w:val="none" w:sz="0" w:space="0" w:color="auto"/>
            <w:left w:val="none" w:sz="0" w:space="0" w:color="auto"/>
            <w:bottom w:val="none" w:sz="0" w:space="0" w:color="auto"/>
            <w:right w:val="none" w:sz="0" w:space="0" w:color="auto"/>
          </w:divBdr>
        </w:div>
        <w:div w:id="1774400063">
          <w:marLeft w:val="0"/>
          <w:marRight w:val="0"/>
          <w:marTop w:val="0"/>
          <w:marBottom w:val="0"/>
          <w:divBdr>
            <w:top w:val="none" w:sz="0" w:space="0" w:color="auto"/>
            <w:left w:val="none" w:sz="0" w:space="0" w:color="auto"/>
            <w:bottom w:val="none" w:sz="0" w:space="0" w:color="auto"/>
            <w:right w:val="none" w:sz="0" w:space="0" w:color="auto"/>
          </w:divBdr>
        </w:div>
        <w:div w:id="1007709049">
          <w:marLeft w:val="0"/>
          <w:marRight w:val="0"/>
          <w:marTop w:val="0"/>
          <w:marBottom w:val="0"/>
          <w:divBdr>
            <w:top w:val="none" w:sz="0" w:space="0" w:color="auto"/>
            <w:left w:val="none" w:sz="0" w:space="0" w:color="auto"/>
            <w:bottom w:val="none" w:sz="0" w:space="0" w:color="auto"/>
            <w:right w:val="none" w:sz="0" w:space="0" w:color="auto"/>
          </w:divBdr>
        </w:div>
        <w:div w:id="952522092">
          <w:marLeft w:val="0"/>
          <w:marRight w:val="0"/>
          <w:marTop w:val="0"/>
          <w:marBottom w:val="0"/>
          <w:divBdr>
            <w:top w:val="none" w:sz="0" w:space="0" w:color="auto"/>
            <w:left w:val="none" w:sz="0" w:space="0" w:color="auto"/>
            <w:bottom w:val="none" w:sz="0" w:space="0" w:color="auto"/>
            <w:right w:val="none" w:sz="0" w:space="0" w:color="auto"/>
          </w:divBdr>
        </w:div>
        <w:div w:id="1264417379">
          <w:marLeft w:val="0"/>
          <w:marRight w:val="0"/>
          <w:marTop w:val="0"/>
          <w:marBottom w:val="0"/>
          <w:divBdr>
            <w:top w:val="none" w:sz="0" w:space="0" w:color="auto"/>
            <w:left w:val="none" w:sz="0" w:space="0" w:color="auto"/>
            <w:bottom w:val="none" w:sz="0" w:space="0" w:color="auto"/>
            <w:right w:val="none" w:sz="0" w:space="0" w:color="auto"/>
          </w:divBdr>
          <w:divsChild>
            <w:div w:id="1086267111">
              <w:marLeft w:val="0"/>
              <w:marRight w:val="0"/>
              <w:marTop w:val="0"/>
              <w:marBottom w:val="0"/>
              <w:divBdr>
                <w:top w:val="none" w:sz="0" w:space="0" w:color="auto"/>
                <w:left w:val="none" w:sz="0" w:space="0" w:color="auto"/>
                <w:bottom w:val="none" w:sz="0" w:space="0" w:color="auto"/>
                <w:right w:val="none" w:sz="0" w:space="0" w:color="auto"/>
              </w:divBdr>
            </w:div>
            <w:div w:id="184293235">
              <w:marLeft w:val="0"/>
              <w:marRight w:val="0"/>
              <w:marTop w:val="0"/>
              <w:marBottom w:val="0"/>
              <w:divBdr>
                <w:top w:val="none" w:sz="0" w:space="0" w:color="auto"/>
                <w:left w:val="none" w:sz="0" w:space="0" w:color="auto"/>
                <w:bottom w:val="none" w:sz="0" w:space="0" w:color="auto"/>
                <w:right w:val="none" w:sz="0" w:space="0" w:color="auto"/>
              </w:divBdr>
            </w:div>
            <w:div w:id="611866220">
              <w:marLeft w:val="0"/>
              <w:marRight w:val="0"/>
              <w:marTop w:val="0"/>
              <w:marBottom w:val="0"/>
              <w:divBdr>
                <w:top w:val="none" w:sz="0" w:space="0" w:color="auto"/>
                <w:left w:val="none" w:sz="0" w:space="0" w:color="auto"/>
                <w:bottom w:val="none" w:sz="0" w:space="0" w:color="auto"/>
                <w:right w:val="none" w:sz="0" w:space="0" w:color="auto"/>
              </w:divBdr>
            </w:div>
            <w:div w:id="249854963">
              <w:marLeft w:val="0"/>
              <w:marRight w:val="0"/>
              <w:marTop w:val="0"/>
              <w:marBottom w:val="0"/>
              <w:divBdr>
                <w:top w:val="none" w:sz="0" w:space="0" w:color="auto"/>
                <w:left w:val="none" w:sz="0" w:space="0" w:color="auto"/>
                <w:bottom w:val="none" w:sz="0" w:space="0" w:color="auto"/>
                <w:right w:val="none" w:sz="0" w:space="0" w:color="auto"/>
              </w:divBdr>
            </w:div>
            <w:div w:id="318505712">
              <w:marLeft w:val="0"/>
              <w:marRight w:val="0"/>
              <w:marTop w:val="0"/>
              <w:marBottom w:val="0"/>
              <w:divBdr>
                <w:top w:val="none" w:sz="0" w:space="0" w:color="auto"/>
                <w:left w:val="none" w:sz="0" w:space="0" w:color="auto"/>
                <w:bottom w:val="none" w:sz="0" w:space="0" w:color="auto"/>
                <w:right w:val="none" w:sz="0" w:space="0" w:color="auto"/>
              </w:divBdr>
              <w:divsChild>
                <w:div w:id="58912109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52204909">
                      <w:marLeft w:val="0"/>
                      <w:marRight w:val="0"/>
                      <w:marTop w:val="0"/>
                      <w:marBottom w:val="332"/>
                      <w:divBdr>
                        <w:top w:val="none" w:sz="0" w:space="0" w:color="auto"/>
                        <w:left w:val="none" w:sz="0" w:space="0" w:color="auto"/>
                        <w:bottom w:val="none" w:sz="0" w:space="0" w:color="auto"/>
                        <w:right w:val="none" w:sz="0" w:space="0" w:color="auto"/>
                      </w:divBdr>
                    </w:div>
                    <w:div w:id="1072504218">
                      <w:marLeft w:val="0"/>
                      <w:marRight w:val="0"/>
                      <w:marTop w:val="0"/>
                      <w:marBottom w:val="0"/>
                      <w:divBdr>
                        <w:top w:val="none" w:sz="0" w:space="0" w:color="auto"/>
                        <w:left w:val="none" w:sz="0" w:space="0" w:color="auto"/>
                        <w:bottom w:val="none" w:sz="0" w:space="0" w:color="auto"/>
                        <w:right w:val="none" w:sz="0" w:space="0" w:color="auto"/>
                      </w:divBdr>
                      <w:divsChild>
                        <w:div w:id="466237472">
                          <w:marLeft w:val="0"/>
                          <w:marRight w:val="0"/>
                          <w:marTop w:val="0"/>
                          <w:marBottom w:val="0"/>
                          <w:divBdr>
                            <w:top w:val="none" w:sz="0" w:space="0" w:color="auto"/>
                            <w:left w:val="none" w:sz="0" w:space="0" w:color="auto"/>
                            <w:bottom w:val="none" w:sz="0" w:space="0" w:color="auto"/>
                            <w:right w:val="none" w:sz="0" w:space="0" w:color="auto"/>
                          </w:divBdr>
                        </w:div>
                        <w:div w:id="90452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627403">
          <w:marLeft w:val="0"/>
          <w:marRight w:val="0"/>
          <w:marTop w:val="0"/>
          <w:marBottom w:val="0"/>
          <w:divBdr>
            <w:top w:val="none" w:sz="0" w:space="0" w:color="auto"/>
            <w:left w:val="none" w:sz="0" w:space="0" w:color="auto"/>
            <w:bottom w:val="none" w:sz="0" w:space="0" w:color="auto"/>
            <w:right w:val="none" w:sz="0" w:space="0" w:color="auto"/>
          </w:divBdr>
        </w:div>
        <w:div w:id="1609850554">
          <w:marLeft w:val="0"/>
          <w:marRight w:val="0"/>
          <w:marTop w:val="0"/>
          <w:marBottom w:val="0"/>
          <w:divBdr>
            <w:top w:val="none" w:sz="0" w:space="0" w:color="auto"/>
            <w:left w:val="none" w:sz="0" w:space="0" w:color="auto"/>
            <w:bottom w:val="none" w:sz="0" w:space="0" w:color="auto"/>
            <w:right w:val="none" w:sz="0" w:space="0" w:color="auto"/>
          </w:divBdr>
          <w:divsChild>
            <w:div w:id="1622149643">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06600823">
                  <w:marLeft w:val="0"/>
                  <w:marRight w:val="0"/>
                  <w:marTop w:val="0"/>
                  <w:marBottom w:val="0"/>
                  <w:divBdr>
                    <w:top w:val="none" w:sz="0" w:space="0" w:color="auto"/>
                    <w:left w:val="none" w:sz="0" w:space="0" w:color="auto"/>
                    <w:bottom w:val="none" w:sz="0" w:space="0" w:color="auto"/>
                    <w:right w:val="none" w:sz="0" w:space="0" w:color="auto"/>
                  </w:divBdr>
                </w:div>
                <w:div w:id="693771230">
                  <w:marLeft w:val="0"/>
                  <w:marRight w:val="0"/>
                  <w:marTop w:val="0"/>
                  <w:marBottom w:val="0"/>
                  <w:divBdr>
                    <w:top w:val="none" w:sz="0" w:space="0" w:color="auto"/>
                    <w:left w:val="none" w:sz="0" w:space="0" w:color="auto"/>
                    <w:bottom w:val="none" w:sz="0" w:space="0" w:color="auto"/>
                    <w:right w:val="none" w:sz="0" w:space="0" w:color="auto"/>
                  </w:divBdr>
                </w:div>
                <w:div w:id="231473725">
                  <w:marLeft w:val="0"/>
                  <w:marRight w:val="0"/>
                  <w:marTop w:val="332"/>
                  <w:marBottom w:val="332"/>
                  <w:divBdr>
                    <w:top w:val="none" w:sz="0" w:space="0" w:color="auto"/>
                    <w:left w:val="none" w:sz="0" w:space="0" w:color="auto"/>
                    <w:bottom w:val="none" w:sz="0" w:space="0" w:color="auto"/>
                    <w:right w:val="none" w:sz="0" w:space="0" w:color="auto"/>
                  </w:divBdr>
                  <w:divsChild>
                    <w:div w:id="5439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4318">
          <w:marLeft w:val="0"/>
          <w:marRight w:val="0"/>
          <w:marTop w:val="0"/>
          <w:marBottom w:val="0"/>
          <w:divBdr>
            <w:top w:val="none" w:sz="0" w:space="0" w:color="auto"/>
            <w:left w:val="none" w:sz="0" w:space="0" w:color="auto"/>
            <w:bottom w:val="none" w:sz="0" w:space="0" w:color="auto"/>
            <w:right w:val="none" w:sz="0" w:space="0" w:color="auto"/>
          </w:divBdr>
          <w:divsChild>
            <w:div w:id="128997370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30411586">
                  <w:marLeft w:val="0"/>
                  <w:marRight w:val="0"/>
                  <w:marTop w:val="0"/>
                  <w:marBottom w:val="0"/>
                  <w:divBdr>
                    <w:top w:val="none" w:sz="0" w:space="0" w:color="auto"/>
                    <w:left w:val="none" w:sz="0" w:space="0" w:color="auto"/>
                    <w:bottom w:val="none" w:sz="0" w:space="0" w:color="auto"/>
                    <w:right w:val="none" w:sz="0" w:space="0" w:color="auto"/>
                  </w:divBdr>
                </w:div>
                <w:div w:id="50542500">
                  <w:marLeft w:val="0"/>
                  <w:marRight w:val="0"/>
                  <w:marTop w:val="0"/>
                  <w:marBottom w:val="0"/>
                  <w:divBdr>
                    <w:top w:val="none" w:sz="0" w:space="0" w:color="auto"/>
                    <w:left w:val="none" w:sz="0" w:space="0" w:color="auto"/>
                    <w:bottom w:val="none" w:sz="0" w:space="0" w:color="auto"/>
                    <w:right w:val="none" w:sz="0" w:space="0" w:color="auto"/>
                  </w:divBdr>
                </w:div>
                <w:div w:id="862551844">
                  <w:marLeft w:val="0"/>
                  <w:marRight w:val="0"/>
                  <w:marTop w:val="166"/>
                  <w:marBottom w:val="0"/>
                  <w:divBdr>
                    <w:top w:val="none" w:sz="0" w:space="0" w:color="auto"/>
                    <w:left w:val="none" w:sz="0" w:space="0" w:color="auto"/>
                    <w:bottom w:val="none" w:sz="0" w:space="0" w:color="auto"/>
                    <w:right w:val="none" w:sz="0" w:space="0" w:color="auto"/>
                  </w:divBdr>
                </w:div>
                <w:div w:id="1928994994">
                  <w:marLeft w:val="0"/>
                  <w:marRight w:val="0"/>
                  <w:marTop w:val="332"/>
                  <w:marBottom w:val="332"/>
                  <w:divBdr>
                    <w:top w:val="none" w:sz="0" w:space="0" w:color="auto"/>
                    <w:left w:val="none" w:sz="0" w:space="0" w:color="auto"/>
                    <w:bottom w:val="none" w:sz="0" w:space="0" w:color="auto"/>
                    <w:right w:val="none" w:sz="0" w:space="0" w:color="auto"/>
                  </w:divBdr>
                  <w:divsChild>
                    <w:div w:id="120274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32316">
          <w:marLeft w:val="0"/>
          <w:marRight w:val="0"/>
          <w:marTop w:val="0"/>
          <w:marBottom w:val="0"/>
          <w:divBdr>
            <w:top w:val="none" w:sz="0" w:space="0" w:color="auto"/>
            <w:left w:val="none" w:sz="0" w:space="0" w:color="auto"/>
            <w:bottom w:val="none" w:sz="0" w:space="0" w:color="auto"/>
            <w:right w:val="none" w:sz="0" w:space="0" w:color="auto"/>
          </w:divBdr>
          <w:divsChild>
            <w:div w:id="98254465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91924974">
                  <w:marLeft w:val="0"/>
                  <w:marRight w:val="0"/>
                  <w:marTop w:val="0"/>
                  <w:marBottom w:val="332"/>
                  <w:divBdr>
                    <w:top w:val="none" w:sz="0" w:space="0" w:color="auto"/>
                    <w:left w:val="none" w:sz="0" w:space="0" w:color="auto"/>
                    <w:bottom w:val="none" w:sz="0" w:space="0" w:color="auto"/>
                    <w:right w:val="none" w:sz="0" w:space="0" w:color="auto"/>
                  </w:divBdr>
                </w:div>
                <w:div w:id="1763912562">
                  <w:marLeft w:val="0"/>
                  <w:marRight w:val="0"/>
                  <w:marTop w:val="0"/>
                  <w:marBottom w:val="0"/>
                  <w:divBdr>
                    <w:top w:val="none" w:sz="0" w:space="0" w:color="auto"/>
                    <w:left w:val="none" w:sz="0" w:space="0" w:color="auto"/>
                    <w:bottom w:val="none" w:sz="0" w:space="0" w:color="auto"/>
                    <w:right w:val="none" w:sz="0" w:space="0" w:color="auto"/>
                  </w:divBdr>
                  <w:divsChild>
                    <w:div w:id="831797198">
                      <w:marLeft w:val="0"/>
                      <w:marRight w:val="0"/>
                      <w:marTop w:val="0"/>
                      <w:marBottom w:val="0"/>
                      <w:divBdr>
                        <w:top w:val="none" w:sz="0" w:space="0" w:color="auto"/>
                        <w:left w:val="none" w:sz="0" w:space="0" w:color="auto"/>
                        <w:bottom w:val="none" w:sz="0" w:space="0" w:color="auto"/>
                        <w:right w:val="none" w:sz="0" w:space="0" w:color="auto"/>
                      </w:divBdr>
                    </w:div>
                    <w:div w:id="17217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261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84195493">
                  <w:marLeft w:val="0"/>
                  <w:marRight w:val="0"/>
                  <w:marTop w:val="0"/>
                  <w:marBottom w:val="332"/>
                  <w:divBdr>
                    <w:top w:val="none" w:sz="0" w:space="0" w:color="auto"/>
                    <w:left w:val="none" w:sz="0" w:space="0" w:color="auto"/>
                    <w:bottom w:val="none" w:sz="0" w:space="0" w:color="auto"/>
                    <w:right w:val="none" w:sz="0" w:space="0" w:color="auto"/>
                  </w:divBdr>
                </w:div>
                <w:div w:id="2080517463">
                  <w:marLeft w:val="0"/>
                  <w:marRight w:val="0"/>
                  <w:marTop w:val="0"/>
                  <w:marBottom w:val="0"/>
                  <w:divBdr>
                    <w:top w:val="none" w:sz="0" w:space="0" w:color="auto"/>
                    <w:left w:val="none" w:sz="0" w:space="0" w:color="auto"/>
                    <w:bottom w:val="none" w:sz="0" w:space="0" w:color="auto"/>
                    <w:right w:val="none" w:sz="0" w:space="0" w:color="auto"/>
                  </w:divBdr>
                  <w:divsChild>
                    <w:div w:id="762527199">
                      <w:marLeft w:val="0"/>
                      <w:marRight w:val="0"/>
                      <w:marTop w:val="0"/>
                      <w:marBottom w:val="0"/>
                      <w:divBdr>
                        <w:top w:val="none" w:sz="0" w:space="0" w:color="auto"/>
                        <w:left w:val="none" w:sz="0" w:space="0" w:color="auto"/>
                        <w:bottom w:val="none" w:sz="0" w:space="0" w:color="auto"/>
                        <w:right w:val="none" w:sz="0" w:space="0" w:color="auto"/>
                      </w:divBdr>
                    </w:div>
                    <w:div w:id="101379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76766">
          <w:marLeft w:val="0"/>
          <w:marRight w:val="0"/>
          <w:marTop w:val="0"/>
          <w:marBottom w:val="0"/>
          <w:divBdr>
            <w:top w:val="none" w:sz="0" w:space="0" w:color="auto"/>
            <w:left w:val="none" w:sz="0" w:space="0" w:color="auto"/>
            <w:bottom w:val="none" w:sz="0" w:space="0" w:color="auto"/>
            <w:right w:val="none" w:sz="0" w:space="0" w:color="auto"/>
          </w:divBdr>
          <w:divsChild>
            <w:div w:id="5100572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7307952">
                  <w:marLeft w:val="0"/>
                  <w:marRight w:val="0"/>
                  <w:marTop w:val="0"/>
                  <w:marBottom w:val="332"/>
                  <w:divBdr>
                    <w:top w:val="none" w:sz="0" w:space="0" w:color="auto"/>
                    <w:left w:val="none" w:sz="0" w:space="0" w:color="auto"/>
                    <w:bottom w:val="none" w:sz="0" w:space="0" w:color="auto"/>
                    <w:right w:val="none" w:sz="0" w:space="0" w:color="auto"/>
                  </w:divBdr>
                </w:div>
                <w:div w:id="1132098781">
                  <w:marLeft w:val="0"/>
                  <w:marRight w:val="0"/>
                  <w:marTop w:val="166"/>
                  <w:marBottom w:val="0"/>
                  <w:divBdr>
                    <w:top w:val="none" w:sz="0" w:space="0" w:color="auto"/>
                    <w:left w:val="none" w:sz="0" w:space="0" w:color="auto"/>
                    <w:bottom w:val="none" w:sz="0" w:space="0" w:color="auto"/>
                    <w:right w:val="none" w:sz="0" w:space="0" w:color="auto"/>
                  </w:divBdr>
                </w:div>
                <w:div w:id="1190803440">
                  <w:marLeft w:val="0"/>
                  <w:marRight w:val="0"/>
                  <w:marTop w:val="0"/>
                  <w:marBottom w:val="0"/>
                  <w:divBdr>
                    <w:top w:val="none" w:sz="0" w:space="0" w:color="auto"/>
                    <w:left w:val="none" w:sz="0" w:space="0" w:color="auto"/>
                    <w:bottom w:val="none" w:sz="0" w:space="0" w:color="auto"/>
                    <w:right w:val="none" w:sz="0" w:space="0" w:color="auto"/>
                  </w:divBdr>
                  <w:divsChild>
                    <w:div w:id="1821146380">
                      <w:marLeft w:val="0"/>
                      <w:marRight w:val="0"/>
                      <w:marTop w:val="0"/>
                      <w:marBottom w:val="0"/>
                      <w:divBdr>
                        <w:top w:val="none" w:sz="0" w:space="0" w:color="auto"/>
                        <w:left w:val="none" w:sz="0" w:space="0" w:color="auto"/>
                        <w:bottom w:val="none" w:sz="0" w:space="0" w:color="auto"/>
                        <w:right w:val="none" w:sz="0" w:space="0" w:color="auto"/>
                      </w:divBdr>
                    </w:div>
                    <w:div w:id="168447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910570">
          <w:marLeft w:val="0"/>
          <w:marRight w:val="0"/>
          <w:marTop w:val="0"/>
          <w:marBottom w:val="0"/>
          <w:divBdr>
            <w:top w:val="none" w:sz="0" w:space="0" w:color="auto"/>
            <w:left w:val="none" w:sz="0" w:space="0" w:color="auto"/>
            <w:bottom w:val="none" w:sz="0" w:space="0" w:color="auto"/>
            <w:right w:val="none" w:sz="0" w:space="0" w:color="auto"/>
          </w:divBdr>
        </w:div>
        <w:div w:id="760612399">
          <w:marLeft w:val="0"/>
          <w:marRight w:val="0"/>
          <w:marTop w:val="0"/>
          <w:marBottom w:val="0"/>
          <w:divBdr>
            <w:top w:val="none" w:sz="0" w:space="0" w:color="auto"/>
            <w:left w:val="none" w:sz="0" w:space="0" w:color="auto"/>
            <w:bottom w:val="none" w:sz="0" w:space="0" w:color="auto"/>
            <w:right w:val="none" w:sz="0" w:space="0" w:color="auto"/>
          </w:divBdr>
        </w:div>
        <w:div w:id="1251233549">
          <w:marLeft w:val="0"/>
          <w:marRight w:val="0"/>
          <w:marTop w:val="0"/>
          <w:marBottom w:val="0"/>
          <w:divBdr>
            <w:top w:val="none" w:sz="0" w:space="0" w:color="auto"/>
            <w:left w:val="none" w:sz="0" w:space="0" w:color="auto"/>
            <w:bottom w:val="none" w:sz="0" w:space="0" w:color="auto"/>
            <w:right w:val="none" w:sz="0" w:space="0" w:color="auto"/>
          </w:divBdr>
        </w:div>
        <w:div w:id="887305718">
          <w:marLeft w:val="0"/>
          <w:marRight w:val="0"/>
          <w:marTop w:val="0"/>
          <w:marBottom w:val="0"/>
          <w:divBdr>
            <w:top w:val="none" w:sz="0" w:space="0" w:color="auto"/>
            <w:left w:val="none" w:sz="0" w:space="0" w:color="auto"/>
            <w:bottom w:val="none" w:sz="0" w:space="0" w:color="auto"/>
            <w:right w:val="none" w:sz="0" w:space="0" w:color="auto"/>
          </w:divBdr>
        </w:div>
        <w:div w:id="752241738">
          <w:marLeft w:val="0"/>
          <w:marRight w:val="0"/>
          <w:marTop w:val="0"/>
          <w:marBottom w:val="0"/>
          <w:divBdr>
            <w:top w:val="none" w:sz="0" w:space="0" w:color="auto"/>
            <w:left w:val="none" w:sz="0" w:space="0" w:color="auto"/>
            <w:bottom w:val="none" w:sz="0" w:space="0" w:color="auto"/>
            <w:right w:val="none" w:sz="0" w:space="0" w:color="auto"/>
          </w:divBdr>
        </w:div>
        <w:div w:id="340546282">
          <w:marLeft w:val="0"/>
          <w:marRight w:val="0"/>
          <w:marTop w:val="332"/>
          <w:marBottom w:val="332"/>
          <w:divBdr>
            <w:top w:val="single" w:sz="6" w:space="0" w:color="EAC3AF"/>
            <w:left w:val="single" w:sz="6" w:space="17" w:color="EAC3AF"/>
            <w:bottom w:val="single" w:sz="6" w:space="0" w:color="EAC3AF"/>
            <w:right w:val="single" w:sz="6" w:space="17" w:color="EAC3AF"/>
          </w:divBdr>
          <w:divsChild>
            <w:div w:id="1514565240">
              <w:marLeft w:val="0"/>
              <w:marRight w:val="0"/>
              <w:marTop w:val="166"/>
              <w:marBottom w:val="166"/>
              <w:divBdr>
                <w:top w:val="none" w:sz="0" w:space="0" w:color="auto"/>
                <w:left w:val="none" w:sz="0" w:space="0" w:color="auto"/>
                <w:bottom w:val="none" w:sz="0" w:space="0" w:color="auto"/>
                <w:right w:val="none" w:sz="0" w:space="0" w:color="auto"/>
              </w:divBdr>
            </w:div>
          </w:divsChild>
        </w:div>
        <w:div w:id="2001076529">
          <w:marLeft w:val="0"/>
          <w:marRight w:val="0"/>
          <w:marTop w:val="0"/>
          <w:marBottom w:val="0"/>
          <w:divBdr>
            <w:top w:val="none" w:sz="0" w:space="0" w:color="auto"/>
            <w:left w:val="none" w:sz="0" w:space="0" w:color="auto"/>
            <w:bottom w:val="none" w:sz="0" w:space="0" w:color="auto"/>
            <w:right w:val="none" w:sz="0" w:space="0" w:color="auto"/>
          </w:divBdr>
        </w:div>
        <w:div w:id="1273173483">
          <w:marLeft w:val="0"/>
          <w:marRight w:val="0"/>
          <w:marTop w:val="166"/>
          <w:marBottom w:val="166"/>
          <w:divBdr>
            <w:top w:val="none" w:sz="0" w:space="0" w:color="auto"/>
            <w:left w:val="none" w:sz="0" w:space="0" w:color="auto"/>
            <w:bottom w:val="none" w:sz="0" w:space="0" w:color="auto"/>
            <w:right w:val="none" w:sz="0" w:space="0" w:color="auto"/>
          </w:divBdr>
        </w:div>
        <w:div w:id="282423283">
          <w:marLeft w:val="0"/>
          <w:marRight w:val="0"/>
          <w:marTop w:val="0"/>
          <w:marBottom w:val="0"/>
          <w:divBdr>
            <w:top w:val="none" w:sz="0" w:space="0" w:color="auto"/>
            <w:left w:val="none" w:sz="0" w:space="0" w:color="auto"/>
            <w:bottom w:val="none" w:sz="0" w:space="0" w:color="auto"/>
            <w:right w:val="none" w:sz="0" w:space="0" w:color="auto"/>
          </w:divBdr>
          <w:divsChild>
            <w:div w:id="1779063931">
              <w:marLeft w:val="0"/>
              <w:marRight w:val="0"/>
              <w:marTop w:val="166"/>
              <w:marBottom w:val="166"/>
              <w:divBdr>
                <w:top w:val="none" w:sz="0" w:space="0" w:color="auto"/>
                <w:left w:val="none" w:sz="0" w:space="0" w:color="auto"/>
                <w:bottom w:val="none" w:sz="0" w:space="0" w:color="auto"/>
                <w:right w:val="none" w:sz="0" w:space="0" w:color="auto"/>
              </w:divBdr>
            </w:div>
            <w:div w:id="1948386960">
              <w:marLeft w:val="0"/>
              <w:marRight w:val="0"/>
              <w:marTop w:val="166"/>
              <w:marBottom w:val="166"/>
              <w:divBdr>
                <w:top w:val="none" w:sz="0" w:space="0" w:color="auto"/>
                <w:left w:val="none" w:sz="0" w:space="0" w:color="auto"/>
                <w:bottom w:val="none" w:sz="0" w:space="0" w:color="auto"/>
                <w:right w:val="none" w:sz="0" w:space="0" w:color="auto"/>
              </w:divBdr>
            </w:div>
            <w:div w:id="1099256682">
              <w:marLeft w:val="0"/>
              <w:marRight w:val="0"/>
              <w:marTop w:val="166"/>
              <w:marBottom w:val="166"/>
              <w:divBdr>
                <w:top w:val="none" w:sz="0" w:space="0" w:color="auto"/>
                <w:left w:val="none" w:sz="0" w:space="0" w:color="auto"/>
                <w:bottom w:val="none" w:sz="0" w:space="0" w:color="auto"/>
                <w:right w:val="none" w:sz="0" w:space="0" w:color="auto"/>
              </w:divBdr>
            </w:div>
            <w:div w:id="761872380">
              <w:marLeft w:val="0"/>
              <w:marRight w:val="0"/>
              <w:marTop w:val="166"/>
              <w:marBottom w:val="166"/>
              <w:divBdr>
                <w:top w:val="none" w:sz="0" w:space="0" w:color="auto"/>
                <w:left w:val="none" w:sz="0" w:space="0" w:color="auto"/>
                <w:bottom w:val="none" w:sz="0" w:space="0" w:color="auto"/>
                <w:right w:val="none" w:sz="0" w:space="0" w:color="auto"/>
              </w:divBdr>
            </w:div>
            <w:div w:id="1291740205">
              <w:marLeft w:val="0"/>
              <w:marRight w:val="0"/>
              <w:marTop w:val="166"/>
              <w:marBottom w:val="166"/>
              <w:divBdr>
                <w:top w:val="none" w:sz="0" w:space="0" w:color="auto"/>
                <w:left w:val="none" w:sz="0" w:space="0" w:color="auto"/>
                <w:bottom w:val="none" w:sz="0" w:space="0" w:color="auto"/>
                <w:right w:val="none" w:sz="0" w:space="0" w:color="auto"/>
              </w:divBdr>
            </w:div>
            <w:div w:id="656418686">
              <w:marLeft w:val="0"/>
              <w:marRight w:val="0"/>
              <w:marTop w:val="166"/>
              <w:marBottom w:val="166"/>
              <w:divBdr>
                <w:top w:val="none" w:sz="0" w:space="0" w:color="auto"/>
                <w:left w:val="none" w:sz="0" w:space="0" w:color="auto"/>
                <w:bottom w:val="none" w:sz="0" w:space="0" w:color="auto"/>
                <w:right w:val="none" w:sz="0" w:space="0" w:color="auto"/>
              </w:divBdr>
            </w:div>
            <w:div w:id="397746308">
              <w:marLeft w:val="0"/>
              <w:marRight w:val="0"/>
              <w:marTop w:val="166"/>
              <w:marBottom w:val="166"/>
              <w:divBdr>
                <w:top w:val="none" w:sz="0" w:space="0" w:color="auto"/>
                <w:left w:val="none" w:sz="0" w:space="0" w:color="auto"/>
                <w:bottom w:val="none" w:sz="0" w:space="0" w:color="auto"/>
                <w:right w:val="none" w:sz="0" w:space="0" w:color="auto"/>
              </w:divBdr>
            </w:div>
            <w:div w:id="1771585270">
              <w:marLeft w:val="0"/>
              <w:marRight w:val="0"/>
              <w:marTop w:val="166"/>
              <w:marBottom w:val="166"/>
              <w:divBdr>
                <w:top w:val="none" w:sz="0" w:space="0" w:color="auto"/>
                <w:left w:val="none" w:sz="0" w:space="0" w:color="auto"/>
                <w:bottom w:val="none" w:sz="0" w:space="0" w:color="auto"/>
                <w:right w:val="none" w:sz="0" w:space="0" w:color="auto"/>
              </w:divBdr>
            </w:div>
            <w:div w:id="106512537">
              <w:marLeft w:val="0"/>
              <w:marRight w:val="0"/>
              <w:marTop w:val="166"/>
              <w:marBottom w:val="166"/>
              <w:divBdr>
                <w:top w:val="none" w:sz="0" w:space="0" w:color="auto"/>
                <w:left w:val="none" w:sz="0" w:space="0" w:color="auto"/>
                <w:bottom w:val="none" w:sz="0" w:space="0" w:color="auto"/>
                <w:right w:val="none" w:sz="0" w:space="0" w:color="auto"/>
              </w:divBdr>
            </w:div>
            <w:div w:id="959844274">
              <w:marLeft w:val="0"/>
              <w:marRight w:val="0"/>
              <w:marTop w:val="166"/>
              <w:marBottom w:val="166"/>
              <w:divBdr>
                <w:top w:val="none" w:sz="0" w:space="0" w:color="auto"/>
                <w:left w:val="none" w:sz="0" w:space="0" w:color="auto"/>
                <w:bottom w:val="none" w:sz="0" w:space="0" w:color="auto"/>
                <w:right w:val="none" w:sz="0" w:space="0" w:color="auto"/>
              </w:divBdr>
            </w:div>
            <w:div w:id="1011759517">
              <w:marLeft w:val="0"/>
              <w:marRight w:val="0"/>
              <w:marTop w:val="166"/>
              <w:marBottom w:val="166"/>
              <w:divBdr>
                <w:top w:val="none" w:sz="0" w:space="0" w:color="auto"/>
                <w:left w:val="none" w:sz="0" w:space="0" w:color="auto"/>
                <w:bottom w:val="none" w:sz="0" w:space="0" w:color="auto"/>
                <w:right w:val="none" w:sz="0" w:space="0" w:color="auto"/>
              </w:divBdr>
            </w:div>
            <w:div w:id="1681660890">
              <w:marLeft w:val="0"/>
              <w:marRight w:val="0"/>
              <w:marTop w:val="166"/>
              <w:marBottom w:val="166"/>
              <w:divBdr>
                <w:top w:val="none" w:sz="0" w:space="0" w:color="auto"/>
                <w:left w:val="none" w:sz="0" w:space="0" w:color="auto"/>
                <w:bottom w:val="none" w:sz="0" w:space="0" w:color="auto"/>
                <w:right w:val="none" w:sz="0" w:space="0" w:color="auto"/>
              </w:divBdr>
            </w:div>
            <w:div w:id="2052067920">
              <w:marLeft w:val="0"/>
              <w:marRight w:val="0"/>
              <w:marTop w:val="166"/>
              <w:marBottom w:val="166"/>
              <w:divBdr>
                <w:top w:val="none" w:sz="0" w:space="0" w:color="auto"/>
                <w:left w:val="none" w:sz="0" w:space="0" w:color="auto"/>
                <w:bottom w:val="none" w:sz="0" w:space="0" w:color="auto"/>
                <w:right w:val="none" w:sz="0" w:space="0" w:color="auto"/>
              </w:divBdr>
            </w:div>
            <w:div w:id="438451593">
              <w:marLeft w:val="0"/>
              <w:marRight w:val="0"/>
              <w:marTop w:val="166"/>
              <w:marBottom w:val="166"/>
              <w:divBdr>
                <w:top w:val="none" w:sz="0" w:space="0" w:color="auto"/>
                <w:left w:val="none" w:sz="0" w:space="0" w:color="auto"/>
                <w:bottom w:val="none" w:sz="0" w:space="0" w:color="auto"/>
                <w:right w:val="none" w:sz="0" w:space="0" w:color="auto"/>
              </w:divBdr>
            </w:div>
            <w:div w:id="1101805541">
              <w:marLeft w:val="0"/>
              <w:marRight w:val="0"/>
              <w:marTop w:val="166"/>
              <w:marBottom w:val="166"/>
              <w:divBdr>
                <w:top w:val="none" w:sz="0" w:space="0" w:color="auto"/>
                <w:left w:val="none" w:sz="0" w:space="0" w:color="auto"/>
                <w:bottom w:val="none" w:sz="0" w:space="0" w:color="auto"/>
                <w:right w:val="none" w:sz="0" w:space="0" w:color="auto"/>
              </w:divBdr>
            </w:div>
            <w:div w:id="1679312304">
              <w:marLeft w:val="0"/>
              <w:marRight w:val="0"/>
              <w:marTop w:val="166"/>
              <w:marBottom w:val="166"/>
              <w:divBdr>
                <w:top w:val="none" w:sz="0" w:space="0" w:color="auto"/>
                <w:left w:val="none" w:sz="0" w:space="0" w:color="auto"/>
                <w:bottom w:val="none" w:sz="0" w:space="0" w:color="auto"/>
                <w:right w:val="none" w:sz="0" w:space="0" w:color="auto"/>
              </w:divBdr>
            </w:div>
            <w:div w:id="509569541">
              <w:marLeft w:val="0"/>
              <w:marRight w:val="0"/>
              <w:marTop w:val="166"/>
              <w:marBottom w:val="166"/>
              <w:divBdr>
                <w:top w:val="none" w:sz="0" w:space="0" w:color="auto"/>
                <w:left w:val="none" w:sz="0" w:space="0" w:color="auto"/>
                <w:bottom w:val="none" w:sz="0" w:space="0" w:color="auto"/>
                <w:right w:val="none" w:sz="0" w:space="0" w:color="auto"/>
              </w:divBdr>
            </w:div>
            <w:div w:id="1769543292">
              <w:marLeft w:val="0"/>
              <w:marRight w:val="0"/>
              <w:marTop w:val="166"/>
              <w:marBottom w:val="166"/>
              <w:divBdr>
                <w:top w:val="none" w:sz="0" w:space="0" w:color="auto"/>
                <w:left w:val="none" w:sz="0" w:space="0" w:color="auto"/>
                <w:bottom w:val="none" w:sz="0" w:space="0" w:color="auto"/>
                <w:right w:val="none" w:sz="0" w:space="0" w:color="auto"/>
              </w:divBdr>
            </w:div>
            <w:div w:id="429089583">
              <w:marLeft w:val="0"/>
              <w:marRight w:val="0"/>
              <w:marTop w:val="166"/>
              <w:marBottom w:val="166"/>
              <w:divBdr>
                <w:top w:val="none" w:sz="0" w:space="0" w:color="auto"/>
                <w:left w:val="none" w:sz="0" w:space="0" w:color="auto"/>
                <w:bottom w:val="none" w:sz="0" w:space="0" w:color="auto"/>
                <w:right w:val="none" w:sz="0" w:space="0" w:color="auto"/>
              </w:divBdr>
            </w:div>
            <w:div w:id="987173026">
              <w:marLeft w:val="0"/>
              <w:marRight w:val="0"/>
              <w:marTop w:val="166"/>
              <w:marBottom w:val="166"/>
              <w:divBdr>
                <w:top w:val="none" w:sz="0" w:space="0" w:color="auto"/>
                <w:left w:val="none" w:sz="0" w:space="0" w:color="auto"/>
                <w:bottom w:val="none" w:sz="0" w:space="0" w:color="auto"/>
                <w:right w:val="none" w:sz="0" w:space="0" w:color="auto"/>
              </w:divBdr>
            </w:div>
            <w:div w:id="522204019">
              <w:marLeft w:val="0"/>
              <w:marRight w:val="0"/>
              <w:marTop w:val="166"/>
              <w:marBottom w:val="166"/>
              <w:divBdr>
                <w:top w:val="none" w:sz="0" w:space="0" w:color="auto"/>
                <w:left w:val="none" w:sz="0" w:space="0" w:color="auto"/>
                <w:bottom w:val="none" w:sz="0" w:space="0" w:color="auto"/>
                <w:right w:val="none" w:sz="0" w:space="0" w:color="auto"/>
              </w:divBdr>
            </w:div>
            <w:div w:id="1755977894">
              <w:marLeft w:val="0"/>
              <w:marRight w:val="0"/>
              <w:marTop w:val="166"/>
              <w:marBottom w:val="166"/>
              <w:divBdr>
                <w:top w:val="none" w:sz="0" w:space="0" w:color="auto"/>
                <w:left w:val="none" w:sz="0" w:space="0" w:color="auto"/>
                <w:bottom w:val="none" w:sz="0" w:space="0" w:color="auto"/>
                <w:right w:val="none" w:sz="0" w:space="0" w:color="auto"/>
              </w:divBdr>
            </w:div>
            <w:div w:id="867792402">
              <w:marLeft w:val="0"/>
              <w:marRight w:val="0"/>
              <w:marTop w:val="166"/>
              <w:marBottom w:val="166"/>
              <w:divBdr>
                <w:top w:val="none" w:sz="0" w:space="0" w:color="auto"/>
                <w:left w:val="none" w:sz="0" w:space="0" w:color="auto"/>
                <w:bottom w:val="none" w:sz="0" w:space="0" w:color="auto"/>
                <w:right w:val="none" w:sz="0" w:space="0" w:color="auto"/>
              </w:divBdr>
            </w:div>
            <w:div w:id="1318803621">
              <w:marLeft w:val="0"/>
              <w:marRight w:val="0"/>
              <w:marTop w:val="166"/>
              <w:marBottom w:val="166"/>
              <w:divBdr>
                <w:top w:val="none" w:sz="0" w:space="0" w:color="auto"/>
                <w:left w:val="none" w:sz="0" w:space="0" w:color="auto"/>
                <w:bottom w:val="none" w:sz="0" w:space="0" w:color="auto"/>
                <w:right w:val="none" w:sz="0" w:space="0" w:color="auto"/>
              </w:divBdr>
            </w:div>
            <w:div w:id="1454976396">
              <w:marLeft w:val="0"/>
              <w:marRight w:val="0"/>
              <w:marTop w:val="166"/>
              <w:marBottom w:val="166"/>
              <w:divBdr>
                <w:top w:val="none" w:sz="0" w:space="0" w:color="auto"/>
                <w:left w:val="none" w:sz="0" w:space="0" w:color="auto"/>
                <w:bottom w:val="none" w:sz="0" w:space="0" w:color="auto"/>
                <w:right w:val="none" w:sz="0" w:space="0" w:color="auto"/>
              </w:divBdr>
            </w:div>
            <w:div w:id="1574853523">
              <w:marLeft w:val="0"/>
              <w:marRight w:val="0"/>
              <w:marTop w:val="166"/>
              <w:marBottom w:val="166"/>
              <w:divBdr>
                <w:top w:val="none" w:sz="0" w:space="0" w:color="auto"/>
                <w:left w:val="none" w:sz="0" w:space="0" w:color="auto"/>
                <w:bottom w:val="none" w:sz="0" w:space="0" w:color="auto"/>
                <w:right w:val="none" w:sz="0" w:space="0" w:color="auto"/>
              </w:divBdr>
            </w:div>
            <w:div w:id="968978677">
              <w:marLeft w:val="0"/>
              <w:marRight w:val="0"/>
              <w:marTop w:val="166"/>
              <w:marBottom w:val="166"/>
              <w:divBdr>
                <w:top w:val="none" w:sz="0" w:space="0" w:color="auto"/>
                <w:left w:val="none" w:sz="0" w:space="0" w:color="auto"/>
                <w:bottom w:val="none" w:sz="0" w:space="0" w:color="auto"/>
                <w:right w:val="none" w:sz="0" w:space="0" w:color="auto"/>
              </w:divBdr>
            </w:div>
            <w:div w:id="435103173">
              <w:marLeft w:val="0"/>
              <w:marRight w:val="0"/>
              <w:marTop w:val="166"/>
              <w:marBottom w:val="166"/>
              <w:divBdr>
                <w:top w:val="none" w:sz="0" w:space="0" w:color="auto"/>
                <w:left w:val="none" w:sz="0" w:space="0" w:color="auto"/>
                <w:bottom w:val="none" w:sz="0" w:space="0" w:color="auto"/>
                <w:right w:val="none" w:sz="0" w:space="0" w:color="auto"/>
              </w:divBdr>
            </w:div>
            <w:div w:id="178785438">
              <w:marLeft w:val="0"/>
              <w:marRight w:val="0"/>
              <w:marTop w:val="166"/>
              <w:marBottom w:val="166"/>
              <w:divBdr>
                <w:top w:val="none" w:sz="0" w:space="0" w:color="auto"/>
                <w:left w:val="none" w:sz="0" w:space="0" w:color="auto"/>
                <w:bottom w:val="none" w:sz="0" w:space="0" w:color="auto"/>
                <w:right w:val="none" w:sz="0" w:space="0" w:color="auto"/>
              </w:divBdr>
            </w:div>
            <w:div w:id="230390524">
              <w:marLeft w:val="0"/>
              <w:marRight w:val="0"/>
              <w:marTop w:val="166"/>
              <w:marBottom w:val="166"/>
              <w:divBdr>
                <w:top w:val="none" w:sz="0" w:space="0" w:color="auto"/>
                <w:left w:val="none" w:sz="0" w:space="0" w:color="auto"/>
                <w:bottom w:val="none" w:sz="0" w:space="0" w:color="auto"/>
                <w:right w:val="none" w:sz="0" w:space="0" w:color="auto"/>
              </w:divBdr>
            </w:div>
            <w:div w:id="1389262914">
              <w:marLeft w:val="0"/>
              <w:marRight w:val="0"/>
              <w:marTop w:val="166"/>
              <w:marBottom w:val="166"/>
              <w:divBdr>
                <w:top w:val="none" w:sz="0" w:space="0" w:color="auto"/>
                <w:left w:val="none" w:sz="0" w:space="0" w:color="auto"/>
                <w:bottom w:val="none" w:sz="0" w:space="0" w:color="auto"/>
                <w:right w:val="none" w:sz="0" w:space="0" w:color="auto"/>
              </w:divBdr>
            </w:div>
            <w:div w:id="927690690">
              <w:marLeft w:val="0"/>
              <w:marRight w:val="0"/>
              <w:marTop w:val="166"/>
              <w:marBottom w:val="166"/>
              <w:divBdr>
                <w:top w:val="none" w:sz="0" w:space="0" w:color="auto"/>
                <w:left w:val="none" w:sz="0" w:space="0" w:color="auto"/>
                <w:bottom w:val="none" w:sz="0" w:space="0" w:color="auto"/>
                <w:right w:val="none" w:sz="0" w:space="0" w:color="auto"/>
              </w:divBdr>
            </w:div>
            <w:div w:id="161160780">
              <w:marLeft w:val="0"/>
              <w:marRight w:val="0"/>
              <w:marTop w:val="166"/>
              <w:marBottom w:val="166"/>
              <w:divBdr>
                <w:top w:val="none" w:sz="0" w:space="0" w:color="auto"/>
                <w:left w:val="none" w:sz="0" w:space="0" w:color="auto"/>
                <w:bottom w:val="none" w:sz="0" w:space="0" w:color="auto"/>
                <w:right w:val="none" w:sz="0" w:space="0" w:color="auto"/>
              </w:divBdr>
            </w:div>
            <w:div w:id="1269312238">
              <w:marLeft w:val="0"/>
              <w:marRight w:val="0"/>
              <w:marTop w:val="166"/>
              <w:marBottom w:val="166"/>
              <w:divBdr>
                <w:top w:val="none" w:sz="0" w:space="0" w:color="auto"/>
                <w:left w:val="none" w:sz="0" w:space="0" w:color="auto"/>
                <w:bottom w:val="none" w:sz="0" w:space="0" w:color="auto"/>
                <w:right w:val="none" w:sz="0" w:space="0" w:color="auto"/>
              </w:divBdr>
            </w:div>
            <w:div w:id="2093965668">
              <w:marLeft w:val="0"/>
              <w:marRight w:val="0"/>
              <w:marTop w:val="166"/>
              <w:marBottom w:val="166"/>
              <w:divBdr>
                <w:top w:val="none" w:sz="0" w:space="0" w:color="auto"/>
                <w:left w:val="none" w:sz="0" w:space="0" w:color="auto"/>
                <w:bottom w:val="none" w:sz="0" w:space="0" w:color="auto"/>
                <w:right w:val="none" w:sz="0" w:space="0" w:color="auto"/>
              </w:divBdr>
            </w:div>
            <w:div w:id="1302462555">
              <w:marLeft w:val="0"/>
              <w:marRight w:val="0"/>
              <w:marTop w:val="166"/>
              <w:marBottom w:val="166"/>
              <w:divBdr>
                <w:top w:val="none" w:sz="0" w:space="0" w:color="auto"/>
                <w:left w:val="none" w:sz="0" w:space="0" w:color="auto"/>
                <w:bottom w:val="none" w:sz="0" w:space="0" w:color="auto"/>
                <w:right w:val="none" w:sz="0" w:space="0" w:color="auto"/>
              </w:divBdr>
            </w:div>
            <w:div w:id="862938609">
              <w:marLeft w:val="0"/>
              <w:marRight w:val="0"/>
              <w:marTop w:val="166"/>
              <w:marBottom w:val="166"/>
              <w:divBdr>
                <w:top w:val="none" w:sz="0" w:space="0" w:color="auto"/>
                <w:left w:val="none" w:sz="0" w:space="0" w:color="auto"/>
                <w:bottom w:val="none" w:sz="0" w:space="0" w:color="auto"/>
                <w:right w:val="none" w:sz="0" w:space="0" w:color="auto"/>
              </w:divBdr>
            </w:div>
            <w:div w:id="1770275899">
              <w:marLeft w:val="0"/>
              <w:marRight w:val="0"/>
              <w:marTop w:val="166"/>
              <w:marBottom w:val="166"/>
              <w:divBdr>
                <w:top w:val="none" w:sz="0" w:space="0" w:color="auto"/>
                <w:left w:val="none" w:sz="0" w:space="0" w:color="auto"/>
                <w:bottom w:val="none" w:sz="0" w:space="0" w:color="auto"/>
                <w:right w:val="none" w:sz="0" w:space="0" w:color="auto"/>
              </w:divBdr>
            </w:div>
            <w:div w:id="887030967">
              <w:marLeft w:val="0"/>
              <w:marRight w:val="0"/>
              <w:marTop w:val="166"/>
              <w:marBottom w:val="166"/>
              <w:divBdr>
                <w:top w:val="none" w:sz="0" w:space="0" w:color="auto"/>
                <w:left w:val="none" w:sz="0" w:space="0" w:color="auto"/>
                <w:bottom w:val="none" w:sz="0" w:space="0" w:color="auto"/>
                <w:right w:val="none" w:sz="0" w:space="0" w:color="auto"/>
              </w:divBdr>
            </w:div>
            <w:div w:id="1958560929">
              <w:marLeft w:val="0"/>
              <w:marRight w:val="0"/>
              <w:marTop w:val="166"/>
              <w:marBottom w:val="166"/>
              <w:divBdr>
                <w:top w:val="none" w:sz="0" w:space="0" w:color="auto"/>
                <w:left w:val="none" w:sz="0" w:space="0" w:color="auto"/>
                <w:bottom w:val="none" w:sz="0" w:space="0" w:color="auto"/>
                <w:right w:val="none" w:sz="0" w:space="0" w:color="auto"/>
              </w:divBdr>
            </w:div>
            <w:div w:id="1760518500">
              <w:marLeft w:val="0"/>
              <w:marRight w:val="0"/>
              <w:marTop w:val="166"/>
              <w:marBottom w:val="166"/>
              <w:divBdr>
                <w:top w:val="none" w:sz="0" w:space="0" w:color="auto"/>
                <w:left w:val="none" w:sz="0" w:space="0" w:color="auto"/>
                <w:bottom w:val="none" w:sz="0" w:space="0" w:color="auto"/>
                <w:right w:val="none" w:sz="0" w:space="0" w:color="auto"/>
              </w:divBdr>
            </w:div>
            <w:div w:id="1880969557">
              <w:marLeft w:val="0"/>
              <w:marRight w:val="0"/>
              <w:marTop w:val="166"/>
              <w:marBottom w:val="166"/>
              <w:divBdr>
                <w:top w:val="none" w:sz="0" w:space="0" w:color="auto"/>
                <w:left w:val="none" w:sz="0" w:space="0" w:color="auto"/>
                <w:bottom w:val="none" w:sz="0" w:space="0" w:color="auto"/>
                <w:right w:val="none" w:sz="0" w:space="0" w:color="auto"/>
              </w:divBdr>
            </w:div>
            <w:div w:id="1309552238">
              <w:marLeft w:val="0"/>
              <w:marRight w:val="0"/>
              <w:marTop w:val="166"/>
              <w:marBottom w:val="166"/>
              <w:divBdr>
                <w:top w:val="none" w:sz="0" w:space="0" w:color="auto"/>
                <w:left w:val="none" w:sz="0" w:space="0" w:color="auto"/>
                <w:bottom w:val="none" w:sz="0" w:space="0" w:color="auto"/>
                <w:right w:val="none" w:sz="0" w:space="0" w:color="auto"/>
              </w:divBdr>
            </w:div>
            <w:div w:id="1327394883">
              <w:marLeft w:val="0"/>
              <w:marRight w:val="0"/>
              <w:marTop w:val="166"/>
              <w:marBottom w:val="166"/>
              <w:divBdr>
                <w:top w:val="none" w:sz="0" w:space="0" w:color="auto"/>
                <w:left w:val="none" w:sz="0" w:space="0" w:color="auto"/>
                <w:bottom w:val="none" w:sz="0" w:space="0" w:color="auto"/>
                <w:right w:val="none" w:sz="0" w:space="0" w:color="auto"/>
              </w:divBdr>
            </w:div>
            <w:div w:id="1730300959">
              <w:marLeft w:val="0"/>
              <w:marRight w:val="0"/>
              <w:marTop w:val="166"/>
              <w:marBottom w:val="166"/>
              <w:divBdr>
                <w:top w:val="none" w:sz="0" w:space="0" w:color="auto"/>
                <w:left w:val="none" w:sz="0" w:space="0" w:color="auto"/>
                <w:bottom w:val="none" w:sz="0" w:space="0" w:color="auto"/>
                <w:right w:val="none" w:sz="0" w:space="0" w:color="auto"/>
              </w:divBdr>
            </w:div>
            <w:div w:id="1925455832">
              <w:marLeft w:val="0"/>
              <w:marRight w:val="0"/>
              <w:marTop w:val="166"/>
              <w:marBottom w:val="166"/>
              <w:divBdr>
                <w:top w:val="none" w:sz="0" w:space="0" w:color="auto"/>
                <w:left w:val="none" w:sz="0" w:space="0" w:color="auto"/>
                <w:bottom w:val="none" w:sz="0" w:space="0" w:color="auto"/>
                <w:right w:val="none" w:sz="0" w:space="0" w:color="auto"/>
              </w:divBdr>
            </w:div>
            <w:div w:id="716590486">
              <w:marLeft w:val="0"/>
              <w:marRight w:val="0"/>
              <w:marTop w:val="166"/>
              <w:marBottom w:val="166"/>
              <w:divBdr>
                <w:top w:val="none" w:sz="0" w:space="0" w:color="auto"/>
                <w:left w:val="none" w:sz="0" w:space="0" w:color="auto"/>
                <w:bottom w:val="none" w:sz="0" w:space="0" w:color="auto"/>
                <w:right w:val="none" w:sz="0" w:space="0" w:color="auto"/>
              </w:divBdr>
            </w:div>
            <w:div w:id="94132348">
              <w:marLeft w:val="0"/>
              <w:marRight w:val="0"/>
              <w:marTop w:val="166"/>
              <w:marBottom w:val="166"/>
              <w:divBdr>
                <w:top w:val="none" w:sz="0" w:space="0" w:color="auto"/>
                <w:left w:val="none" w:sz="0" w:space="0" w:color="auto"/>
                <w:bottom w:val="none" w:sz="0" w:space="0" w:color="auto"/>
                <w:right w:val="none" w:sz="0" w:space="0" w:color="auto"/>
              </w:divBdr>
            </w:div>
            <w:div w:id="952663929">
              <w:marLeft w:val="0"/>
              <w:marRight w:val="0"/>
              <w:marTop w:val="166"/>
              <w:marBottom w:val="166"/>
              <w:divBdr>
                <w:top w:val="none" w:sz="0" w:space="0" w:color="auto"/>
                <w:left w:val="none" w:sz="0" w:space="0" w:color="auto"/>
                <w:bottom w:val="none" w:sz="0" w:space="0" w:color="auto"/>
                <w:right w:val="none" w:sz="0" w:space="0" w:color="auto"/>
              </w:divBdr>
            </w:div>
            <w:div w:id="2091804369">
              <w:marLeft w:val="0"/>
              <w:marRight w:val="0"/>
              <w:marTop w:val="166"/>
              <w:marBottom w:val="166"/>
              <w:divBdr>
                <w:top w:val="none" w:sz="0" w:space="0" w:color="auto"/>
                <w:left w:val="none" w:sz="0" w:space="0" w:color="auto"/>
                <w:bottom w:val="none" w:sz="0" w:space="0" w:color="auto"/>
                <w:right w:val="none" w:sz="0" w:space="0" w:color="auto"/>
              </w:divBdr>
            </w:div>
            <w:div w:id="110708098">
              <w:marLeft w:val="0"/>
              <w:marRight w:val="0"/>
              <w:marTop w:val="166"/>
              <w:marBottom w:val="166"/>
              <w:divBdr>
                <w:top w:val="none" w:sz="0" w:space="0" w:color="auto"/>
                <w:left w:val="none" w:sz="0" w:space="0" w:color="auto"/>
                <w:bottom w:val="none" w:sz="0" w:space="0" w:color="auto"/>
                <w:right w:val="none" w:sz="0" w:space="0" w:color="auto"/>
              </w:divBdr>
            </w:div>
            <w:div w:id="406420839">
              <w:marLeft w:val="0"/>
              <w:marRight w:val="0"/>
              <w:marTop w:val="166"/>
              <w:marBottom w:val="166"/>
              <w:divBdr>
                <w:top w:val="none" w:sz="0" w:space="0" w:color="auto"/>
                <w:left w:val="none" w:sz="0" w:space="0" w:color="auto"/>
                <w:bottom w:val="none" w:sz="0" w:space="0" w:color="auto"/>
                <w:right w:val="none" w:sz="0" w:space="0" w:color="auto"/>
              </w:divBdr>
            </w:div>
            <w:div w:id="63336413">
              <w:marLeft w:val="0"/>
              <w:marRight w:val="0"/>
              <w:marTop w:val="166"/>
              <w:marBottom w:val="166"/>
              <w:divBdr>
                <w:top w:val="none" w:sz="0" w:space="0" w:color="auto"/>
                <w:left w:val="none" w:sz="0" w:space="0" w:color="auto"/>
                <w:bottom w:val="none" w:sz="0" w:space="0" w:color="auto"/>
                <w:right w:val="none" w:sz="0" w:space="0" w:color="auto"/>
              </w:divBdr>
            </w:div>
            <w:div w:id="531381490">
              <w:marLeft w:val="0"/>
              <w:marRight w:val="0"/>
              <w:marTop w:val="166"/>
              <w:marBottom w:val="166"/>
              <w:divBdr>
                <w:top w:val="none" w:sz="0" w:space="0" w:color="auto"/>
                <w:left w:val="none" w:sz="0" w:space="0" w:color="auto"/>
                <w:bottom w:val="none" w:sz="0" w:space="0" w:color="auto"/>
                <w:right w:val="none" w:sz="0" w:space="0" w:color="auto"/>
              </w:divBdr>
            </w:div>
            <w:div w:id="697242042">
              <w:marLeft w:val="0"/>
              <w:marRight w:val="0"/>
              <w:marTop w:val="166"/>
              <w:marBottom w:val="166"/>
              <w:divBdr>
                <w:top w:val="none" w:sz="0" w:space="0" w:color="auto"/>
                <w:left w:val="none" w:sz="0" w:space="0" w:color="auto"/>
                <w:bottom w:val="none" w:sz="0" w:space="0" w:color="auto"/>
                <w:right w:val="none" w:sz="0" w:space="0" w:color="auto"/>
              </w:divBdr>
            </w:div>
            <w:div w:id="657534543">
              <w:marLeft w:val="0"/>
              <w:marRight w:val="0"/>
              <w:marTop w:val="166"/>
              <w:marBottom w:val="166"/>
              <w:divBdr>
                <w:top w:val="none" w:sz="0" w:space="0" w:color="auto"/>
                <w:left w:val="none" w:sz="0" w:space="0" w:color="auto"/>
                <w:bottom w:val="none" w:sz="0" w:space="0" w:color="auto"/>
                <w:right w:val="none" w:sz="0" w:space="0" w:color="auto"/>
              </w:divBdr>
            </w:div>
            <w:div w:id="735670564">
              <w:marLeft w:val="0"/>
              <w:marRight w:val="0"/>
              <w:marTop w:val="166"/>
              <w:marBottom w:val="166"/>
              <w:divBdr>
                <w:top w:val="none" w:sz="0" w:space="0" w:color="auto"/>
                <w:left w:val="none" w:sz="0" w:space="0" w:color="auto"/>
                <w:bottom w:val="none" w:sz="0" w:space="0" w:color="auto"/>
                <w:right w:val="none" w:sz="0" w:space="0" w:color="auto"/>
              </w:divBdr>
            </w:div>
            <w:div w:id="160852122">
              <w:marLeft w:val="0"/>
              <w:marRight w:val="0"/>
              <w:marTop w:val="166"/>
              <w:marBottom w:val="166"/>
              <w:divBdr>
                <w:top w:val="none" w:sz="0" w:space="0" w:color="auto"/>
                <w:left w:val="none" w:sz="0" w:space="0" w:color="auto"/>
                <w:bottom w:val="none" w:sz="0" w:space="0" w:color="auto"/>
                <w:right w:val="none" w:sz="0" w:space="0" w:color="auto"/>
              </w:divBdr>
            </w:div>
            <w:div w:id="63333611">
              <w:marLeft w:val="0"/>
              <w:marRight w:val="0"/>
              <w:marTop w:val="166"/>
              <w:marBottom w:val="166"/>
              <w:divBdr>
                <w:top w:val="none" w:sz="0" w:space="0" w:color="auto"/>
                <w:left w:val="none" w:sz="0" w:space="0" w:color="auto"/>
                <w:bottom w:val="none" w:sz="0" w:space="0" w:color="auto"/>
                <w:right w:val="none" w:sz="0" w:space="0" w:color="auto"/>
              </w:divBdr>
            </w:div>
            <w:div w:id="770124604">
              <w:marLeft w:val="0"/>
              <w:marRight w:val="0"/>
              <w:marTop w:val="166"/>
              <w:marBottom w:val="166"/>
              <w:divBdr>
                <w:top w:val="none" w:sz="0" w:space="0" w:color="auto"/>
                <w:left w:val="none" w:sz="0" w:space="0" w:color="auto"/>
                <w:bottom w:val="none" w:sz="0" w:space="0" w:color="auto"/>
                <w:right w:val="none" w:sz="0" w:space="0" w:color="auto"/>
              </w:divBdr>
            </w:div>
            <w:div w:id="660280310">
              <w:marLeft w:val="0"/>
              <w:marRight w:val="0"/>
              <w:marTop w:val="166"/>
              <w:marBottom w:val="166"/>
              <w:divBdr>
                <w:top w:val="none" w:sz="0" w:space="0" w:color="auto"/>
                <w:left w:val="none" w:sz="0" w:space="0" w:color="auto"/>
                <w:bottom w:val="none" w:sz="0" w:space="0" w:color="auto"/>
                <w:right w:val="none" w:sz="0" w:space="0" w:color="auto"/>
              </w:divBdr>
            </w:div>
            <w:div w:id="1576469740">
              <w:marLeft w:val="0"/>
              <w:marRight w:val="0"/>
              <w:marTop w:val="166"/>
              <w:marBottom w:val="166"/>
              <w:divBdr>
                <w:top w:val="none" w:sz="0" w:space="0" w:color="auto"/>
                <w:left w:val="none" w:sz="0" w:space="0" w:color="auto"/>
                <w:bottom w:val="none" w:sz="0" w:space="0" w:color="auto"/>
                <w:right w:val="none" w:sz="0" w:space="0" w:color="auto"/>
              </w:divBdr>
            </w:div>
            <w:div w:id="1340543447">
              <w:marLeft w:val="0"/>
              <w:marRight w:val="0"/>
              <w:marTop w:val="166"/>
              <w:marBottom w:val="166"/>
              <w:divBdr>
                <w:top w:val="none" w:sz="0" w:space="0" w:color="auto"/>
                <w:left w:val="none" w:sz="0" w:space="0" w:color="auto"/>
                <w:bottom w:val="none" w:sz="0" w:space="0" w:color="auto"/>
                <w:right w:val="none" w:sz="0" w:space="0" w:color="auto"/>
              </w:divBdr>
            </w:div>
            <w:div w:id="1856191655">
              <w:marLeft w:val="0"/>
              <w:marRight w:val="0"/>
              <w:marTop w:val="166"/>
              <w:marBottom w:val="166"/>
              <w:divBdr>
                <w:top w:val="none" w:sz="0" w:space="0" w:color="auto"/>
                <w:left w:val="none" w:sz="0" w:space="0" w:color="auto"/>
                <w:bottom w:val="none" w:sz="0" w:space="0" w:color="auto"/>
                <w:right w:val="none" w:sz="0" w:space="0" w:color="auto"/>
              </w:divBdr>
            </w:div>
            <w:div w:id="2014456249">
              <w:marLeft w:val="0"/>
              <w:marRight w:val="0"/>
              <w:marTop w:val="166"/>
              <w:marBottom w:val="166"/>
              <w:divBdr>
                <w:top w:val="none" w:sz="0" w:space="0" w:color="auto"/>
                <w:left w:val="none" w:sz="0" w:space="0" w:color="auto"/>
                <w:bottom w:val="none" w:sz="0" w:space="0" w:color="auto"/>
                <w:right w:val="none" w:sz="0" w:space="0" w:color="auto"/>
              </w:divBdr>
            </w:div>
            <w:div w:id="741758363">
              <w:marLeft w:val="0"/>
              <w:marRight w:val="0"/>
              <w:marTop w:val="166"/>
              <w:marBottom w:val="166"/>
              <w:divBdr>
                <w:top w:val="none" w:sz="0" w:space="0" w:color="auto"/>
                <w:left w:val="none" w:sz="0" w:space="0" w:color="auto"/>
                <w:bottom w:val="none" w:sz="0" w:space="0" w:color="auto"/>
                <w:right w:val="none" w:sz="0" w:space="0" w:color="auto"/>
              </w:divBdr>
            </w:div>
            <w:div w:id="1031297630">
              <w:marLeft w:val="0"/>
              <w:marRight w:val="0"/>
              <w:marTop w:val="166"/>
              <w:marBottom w:val="166"/>
              <w:divBdr>
                <w:top w:val="none" w:sz="0" w:space="0" w:color="auto"/>
                <w:left w:val="none" w:sz="0" w:space="0" w:color="auto"/>
                <w:bottom w:val="none" w:sz="0" w:space="0" w:color="auto"/>
                <w:right w:val="none" w:sz="0" w:space="0" w:color="auto"/>
              </w:divBdr>
            </w:div>
            <w:div w:id="1888909667">
              <w:marLeft w:val="0"/>
              <w:marRight w:val="0"/>
              <w:marTop w:val="166"/>
              <w:marBottom w:val="166"/>
              <w:divBdr>
                <w:top w:val="none" w:sz="0" w:space="0" w:color="auto"/>
                <w:left w:val="none" w:sz="0" w:space="0" w:color="auto"/>
                <w:bottom w:val="none" w:sz="0" w:space="0" w:color="auto"/>
                <w:right w:val="none" w:sz="0" w:space="0" w:color="auto"/>
              </w:divBdr>
            </w:div>
            <w:div w:id="1900940044">
              <w:marLeft w:val="0"/>
              <w:marRight w:val="0"/>
              <w:marTop w:val="166"/>
              <w:marBottom w:val="166"/>
              <w:divBdr>
                <w:top w:val="none" w:sz="0" w:space="0" w:color="auto"/>
                <w:left w:val="none" w:sz="0" w:space="0" w:color="auto"/>
                <w:bottom w:val="none" w:sz="0" w:space="0" w:color="auto"/>
                <w:right w:val="none" w:sz="0" w:space="0" w:color="auto"/>
              </w:divBdr>
            </w:div>
            <w:div w:id="1529836993">
              <w:marLeft w:val="0"/>
              <w:marRight w:val="0"/>
              <w:marTop w:val="166"/>
              <w:marBottom w:val="166"/>
              <w:divBdr>
                <w:top w:val="none" w:sz="0" w:space="0" w:color="auto"/>
                <w:left w:val="none" w:sz="0" w:space="0" w:color="auto"/>
                <w:bottom w:val="none" w:sz="0" w:space="0" w:color="auto"/>
                <w:right w:val="none" w:sz="0" w:space="0" w:color="auto"/>
              </w:divBdr>
            </w:div>
            <w:div w:id="597523457">
              <w:marLeft w:val="0"/>
              <w:marRight w:val="0"/>
              <w:marTop w:val="166"/>
              <w:marBottom w:val="166"/>
              <w:divBdr>
                <w:top w:val="none" w:sz="0" w:space="0" w:color="auto"/>
                <w:left w:val="none" w:sz="0" w:space="0" w:color="auto"/>
                <w:bottom w:val="none" w:sz="0" w:space="0" w:color="auto"/>
                <w:right w:val="none" w:sz="0" w:space="0" w:color="auto"/>
              </w:divBdr>
            </w:div>
            <w:div w:id="1764033241">
              <w:marLeft w:val="0"/>
              <w:marRight w:val="0"/>
              <w:marTop w:val="166"/>
              <w:marBottom w:val="166"/>
              <w:divBdr>
                <w:top w:val="none" w:sz="0" w:space="0" w:color="auto"/>
                <w:left w:val="none" w:sz="0" w:space="0" w:color="auto"/>
                <w:bottom w:val="none" w:sz="0" w:space="0" w:color="auto"/>
                <w:right w:val="none" w:sz="0" w:space="0" w:color="auto"/>
              </w:divBdr>
            </w:div>
            <w:div w:id="1287001389">
              <w:marLeft w:val="0"/>
              <w:marRight w:val="0"/>
              <w:marTop w:val="166"/>
              <w:marBottom w:val="166"/>
              <w:divBdr>
                <w:top w:val="none" w:sz="0" w:space="0" w:color="auto"/>
                <w:left w:val="none" w:sz="0" w:space="0" w:color="auto"/>
                <w:bottom w:val="none" w:sz="0" w:space="0" w:color="auto"/>
                <w:right w:val="none" w:sz="0" w:space="0" w:color="auto"/>
              </w:divBdr>
            </w:div>
            <w:div w:id="1869370887">
              <w:marLeft w:val="0"/>
              <w:marRight w:val="0"/>
              <w:marTop w:val="166"/>
              <w:marBottom w:val="166"/>
              <w:divBdr>
                <w:top w:val="none" w:sz="0" w:space="0" w:color="auto"/>
                <w:left w:val="none" w:sz="0" w:space="0" w:color="auto"/>
                <w:bottom w:val="none" w:sz="0" w:space="0" w:color="auto"/>
                <w:right w:val="none" w:sz="0" w:space="0" w:color="auto"/>
              </w:divBdr>
            </w:div>
            <w:div w:id="2094861718">
              <w:marLeft w:val="0"/>
              <w:marRight w:val="0"/>
              <w:marTop w:val="166"/>
              <w:marBottom w:val="166"/>
              <w:divBdr>
                <w:top w:val="none" w:sz="0" w:space="0" w:color="auto"/>
                <w:left w:val="none" w:sz="0" w:space="0" w:color="auto"/>
                <w:bottom w:val="none" w:sz="0" w:space="0" w:color="auto"/>
                <w:right w:val="none" w:sz="0" w:space="0" w:color="auto"/>
              </w:divBdr>
            </w:div>
            <w:div w:id="1065566814">
              <w:marLeft w:val="0"/>
              <w:marRight w:val="0"/>
              <w:marTop w:val="166"/>
              <w:marBottom w:val="166"/>
              <w:divBdr>
                <w:top w:val="none" w:sz="0" w:space="0" w:color="auto"/>
                <w:left w:val="none" w:sz="0" w:space="0" w:color="auto"/>
                <w:bottom w:val="none" w:sz="0" w:space="0" w:color="auto"/>
                <w:right w:val="none" w:sz="0" w:space="0" w:color="auto"/>
              </w:divBdr>
            </w:div>
            <w:div w:id="840857317">
              <w:marLeft w:val="0"/>
              <w:marRight w:val="0"/>
              <w:marTop w:val="166"/>
              <w:marBottom w:val="166"/>
              <w:divBdr>
                <w:top w:val="none" w:sz="0" w:space="0" w:color="auto"/>
                <w:left w:val="none" w:sz="0" w:space="0" w:color="auto"/>
                <w:bottom w:val="none" w:sz="0" w:space="0" w:color="auto"/>
                <w:right w:val="none" w:sz="0" w:space="0" w:color="auto"/>
              </w:divBdr>
            </w:div>
            <w:div w:id="1781609209">
              <w:marLeft w:val="0"/>
              <w:marRight w:val="0"/>
              <w:marTop w:val="166"/>
              <w:marBottom w:val="166"/>
              <w:divBdr>
                <w:top w:val="none" w:sz="0" w:space="0" w:color="auto"/>
                <w:left w:val="none" w:sz="0" w:space="0" w:color="auto"/>
                <w:bottom w:val="none" w:sz="0" w:space="0" w:color="auto"/>
                <w:right w:val="none" w:sz="0" w:space="0" w:color="auto"/>
              </w:divBdr>
            </w:div>
            <w:div w:id="298150769">
              <w:marLeft w:val="0"/>
              <w:marRight w:val="0"/>
              <w:marTop w:val="166"/>
              <w:marBottom w:val="166"/>
              <w:divBdr>
                <w:top w:val="none" w:sz="0" w:space="0" w:color="auto"/>
                <w:left w:val="none" w:sz="0" w:space="0" w:color="auto"/>
                <w:bottom w:val="none" w:sz="0" w:space="0" w:color="auto"/>
                <w:right w:val="none" w:sz="0" w:space="0" w:color="auto"/>
              </w:divBdr>
            </w:div>
            <w:div w:id="1874925345">
              <w:marLeft w:val="0"/>
              <w:marRight w:val="0"/>
              <w:marTop w:val="166"/>
              <w:marBottom w:val="166"/>
              <w:divBdr>
                <w:top w:val="none" w:sz="0" w:space="0" w:color="auto"/>
                <w:left w:val="none" w:sz="0" w:space="0" w:color="auto"/>
                <w:bottom w:val="none" w:sz="0" w:space="0" w:color="auto"/>
                <w:right w:val="none" w:sz="0" w:space="0" w:color="auto"/>
              </w:divBdr>
            </w:div>
            <w:div w:id="1343240807">
              <w:marLeft w:val="0"/>
              <w:marRight w:val="0"/>
              <w:marTop w:val="166"/>
              <w:marBottom w:val="166"/>
              <w:divBdr>
                <w:top w:val="none" w:sz="0" w:space="0" w:color="auto"/>
                <w:left w:val="none" w:sz="0" w:space="0" w:color="auto"/>
                <w:bottom w:val="none" w:sz="0" w:space="0" w:color="auto"/>
                <w:right w:val="none" w:sz="0" w:space="0" w:color="auto"/>
              </w:divBdr>
            </w:div>
            <w:div w:id="737094109">
              <w:marLeft w:val="0"/>
              <w:marRight w:val="0"/>
              <w:marTop w:val="166"/>
              <w:marBottom w:val="166"/>
              <w:divBdr>
                <w:top w:val="none" w:sz="0" w:space="0" w:color="auto"/>
                <w:left w:val="none" w:sz="0" w:space="0" w:color="auto"/>
                <w:bottom w:val="none" w:sz="0" w:space="0" w:color="auto"/>
                <w:right w:val="none" w:sz="0" w:space="0" w:color="auto"/>
              </w:divBdr>
            </w:div>
            <w:div w:id="671877995">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 w:id="204721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pmc/articles/PMC6444938/" TargetMode="External"/><Relationship Id="rId21" Type="http://schemas.openxmlformats.org/officeDocument/2006/relationships/hyperlink" Target="https://www.ncbi.nlm.nih.gov/pmc/articles/PMC6444938/" TargetMode="External"/><Relationship Id="rId42" Type="http://schemas.openxmlformats.org/officeDocument/2006/relationships/hyperlink" Target="https://www.ncbi.nlm.nih.gov/pmc/articles/PMC6444938/" TargetMode="External"/><Relationship Id="rId47" Type="http://schemas.openxmlformats.org/officeDocument/2006/relationships/hyperlink" Target="https://www.ncbi.nlm.nih.gov/pmc/articles/PMC6444938/" TargetMode="External"/><Relationship Id="rId63" Type="http://schemas.openxmlformats.org/officeDocument/2006/relationships/hyperlink" Target="https://www.ncbi.nlm.nih.gov/pmc/articles/PMC6444938/" TargetMode="External"/><Relationship Id="rId68" Type="http://schemas.openxmlformats.org/officeDocument/2006/relationships/hyperlink" Target="https://www.ncbi.nlm.nih.gov/pmc/articles/PMC6444938/" TargetMode="External"/><Relationship Id="rId84" Type="http://schemas.openxmlformats.org/officeDocument/2006/relationships/hyperlink" Target="https://www.ncbi.nlm.nih.gov/pmc/articles/PMC6444938/" TargetMode="External"/><Relationship Id="rId89" Type="http://schemas.openxmlformats.org/officeDocument/2006/relationships/hyperlink" Target="https://www.ncbi.nlm.nih.gov/pmc/articles/PMC6444938/table/T1/" TargetMode="External"/><Relationship Id="rId112" Type="http://schemas.openxmlformats.org/officeDocument/2006/relationships/hyperlink" Target="https://www.ncbi.nlm.nih.gov/pmc/articles/PMC6444938/" TargetMode="External"/><Relationship Id="rId16" Type="http://schemas.openxmlformats.org/officeDocument/2006/relationships/hyperlink" Target="https://www.ncbi.nlm.nih.gov/pmc/articles/PMC6444938/" TargetMode="External"/><Relationship Id="rId107" Type="http://schemas.openxmlformats.org/officeDocument/2006/relationships/hyperlink" Target="https://www.ncbi.nlm.nih.gov/pmc/articles/PMC6444938/" TargetMode="External"/><Relationship Id="rId11" Type="http://schemas.openxmlformats.org/officeDocument/2006/relationships/hyperlink" Target="https://www.ncbi.nlm.nih.gov/pmc/articles/PMC6444938/" TargetMode="External"/><Relationship Id="rId32" Type="http://schemas.openxmlformats.org/officeDocument/2006/relationships/hyperlink" Target="https://www.ncbi.nlm.nih.gov/pmc/articles/PMC6444938/" TargetMode="External"/><Relationship Id="rId37" Type="http://schemas.openxmlformats.org/officeDocument/2006/relationships/hyperlink" Target="https://www.ncbi.nlm.nih.gov/pmc/articles/PMC6444938/" TargetMode="External"/><Relationship Id="rId53" Type="http://schemas.openxmlformats.org/officeDocument/2006/relationships/hyperlink" Target="https://www.ncbi.nlm.nih.gov/pmc/articles/PMC6444938/" TargetMode="External"/><Relationship Id="rId58" Type="http://schemas.openxmlformats.org/officeDocument/2006/relationships/hyperlink" Target="https://www.ncbi.nlm.nih.gov/pmc/articles/PMC6444938/" TargetMode="External"/><Relationship Id="rId74" Type="http://schemas.openxmlformats.org/officeDocument/2006/relationships/hyperlink" Target="https://www.ncbi.nlm.nih.gov/pmc/articles/PMC6444938/" TargetMode="External"/><Relationship Id="rId79" Type="http://schemas.openxmlformats.org/officeDocument/2006/relationships/image" Target="media/image1.jpeg"/><Relationship Id="rId102" Type="http://schemas.openxmlformats.org/officeDocument/2006/relationships/hyperlink" Target="https://www.ncbi.nlm.nih.gov/pmc/articles/PMC6444938/" TargetMode="External"/><Relationship Id="rId123" Type="http://schemas.openxmlformats.org/officeDocument/2006/relationships/hyperlink" Target="https://www.ncbi.nlm.nih.gov/pmc/articles/PMC6444938/" TargetMode="External"/><Relationship Id="rId128" Type="http://schemas.openxmlformats.org/officeDocument/2006/relationships/hyperlink" Target="https://www.ncbi.nlm.nih.gov/pmc/articles/PMC6444938/" TargetMode="External"/><Relationship Id="rId5" Type="http://schemas.openxmlformats.org/officeDocument/2006/relationships/styles" Target="styles.xml"/><Relationship Id="rId90" Type="http://schemas.openxmlformats.org/officeDocument/2006/relationships/hyperlink" Target="https://www.ncbi.nlm.nih.gov/pmc/articles/PMC6444938/table/T2/" TargetMode="External"/><Relationship Id="rId95" Type="http://schemas.openxmlformats.org/officeDocument/2006/relationships/hyperlink" Target="https://www.ncbi.nlm.nih.gov/pmc/articles/PMC6444938/figure/F3/" TargetMode="External"/><Relationship Id="rId22" Type="http://schemas.openxmlformats.org/officeDocument/2006/relationships/hyperlink" Target="https://www.ncbi.nlm.nih.gov/pmc/articles/PMC6444938/" TargetMode="External"/><Relationship Id="rId27" Type="http://schemas.openxmlformats.org/officeDocument/2006/relationships/hyperlink" Target="https://www.ncbi.nlm.nih.gov/pmc/articles/PMC6444938/" TargetMode="External"/><Relationship Id="rId43" Type="http://schemas.openxmlformats.org/officeDocument/2006/relationships/hyperlink" Target="https://www.ncbi.nlm.nih.gov/pmc/articles/PMC6444938/" TargetMode="External"/><Relationship Id="rId48" Type="http://schemas.openxmlformats.org/officeDocument/2006/relationships/hyperlink" Target="https://www.ncbi.nlm.nih.gov/pmc/articles/PMC6444938/" TargetMode="External"/><Relationship Id="rId64" Type="http://schemas.openxmlformats.org/officeDocument/2006/relationships/hyperlink" Target="https://www.ncbi.nlm.nih.gov/pmc/articles/PMC6444938/" TargetMode="External"/><Relationship Id="rId69" Type="http://schemas.openxmlformats.org/officeDocument/2006/relationships/hyperlink" Target="https://www.ncbi.nlm.nih.gov/pmc/articles/PMC6444938/" TargetMode="External"/><Relationship Id="rId113" Type="http://schemas.openxmlformats.org/officeDocument/2006/relationships/hyperlink" Target="https://www.ncbi.nlm.nih.gov/pmc/articles/PMC6444938/" TargetMode="External"/><Relationship Id="rId118" Type="http://schemas.openxmlformats.org/officeDocument/2006/relationships/hyperlink" Target="https://www.ncbi.nlm.nih.gov/pmc/articles/PMC6444938/" TargetMode="External"/><Relationship Id="rId80" Type="http://schemas.openxmlformats.org/officeDocument/2006/relationships/hyperlink" Target="https://www.ncbi.nlm.nih.gov/pmc/articles/PMC6444938/" TargetMode="External"/><Relationship Id="rId85" Type="http://schemas.openxmlformats.org/officeDocument/2006/relationships/hyperlink" Target="https://www.ncbi.nlm.nih.gov/pmc/articles/PMC6444938/" TargetMode="External"/><Relationship Id="rId12" Type="http://schemas.openxmlformats.org/officeDocument/2006/relationships/hyperlink" Target="https://www.ncbi.nlm.nih.gov/pmc/articles/PMC6444938/" TargetMode="External"/><Relationship Id="rId17" Type="http://schemas.openxmlformats.org/officeDocument/2006/relationships/hyperlink" Target="https://www.ncbi.nlm.nih.gov/pmc/articles/PMC6444938/" TargetMode="External"/><Relationship Id="rId33" Type="http://schemas.openxmlformats.org/officeDocument/2006/relationships/hyperlink" Target="https://www.ncbi.nlm.nih.gov/pmc/articles/PMC6444938/" TargetMode="External"/><Relationship Id="rId38" Type="http://schemas.openxmlformats.org/officeDocument/2006/relationships/hyperlink" Target="https://www.ncbi.nlm.nih.gov/pmc/articles/PMC6444938/" TargetMode="External"/><Relationship Id="rId59" Type="http://schemas.openxmlformats.org/officeDocument/2006/relationships/hyperlink" Target="https://www.ncbi.nlm.nih.gov/pmc/articles/PMC6444938/" TargetMode="External"/><Relationship Id="rId103" Type="http://schemas.openxmlformats.org/officeDocument/2006/relationships/hyperlink" Target="https://www.ncbi.nlm.nih.gov/pmc/articles/PMC6444938/" TargetMode="External"/><Relationship Id="rId108" Type="http://schemas.openxmlformats.org/officeDocument/2006/relationships/hyperlink" Target="https://www.ncbi.nlm.nih.gov/pmc/articles/PMC6444938/" TargetMode="External"/><Relationship Id="rId124" Type="http://schemas.openxmlformats.org/officeDocument/2006/relationships/hyperlink" Target="https://www.ncbi.nlm.nih.gov/pmc/articles/PMC6444938/" TargetMode="External"/><Relationship Id="rId129" Type="http://schemas.openxmlformats.org/officeDocument/2006/relationships/hyperlink" Target="https://www.ncbi.nlm.nih.gov/nuccore/AG027668" TargetMode="External"/><Relationship Id="rId54" Type="http://schemas.openxmlformats.org/officeDocument/2006/relationships/hyperlink" Target="https://www.ncbi.nlm.nih.gov/pmc/articles/PMC6444938/" TargetMode="External"/><Relationship Id="rId70" Type="http://schemas.openxmlformats.org/officeDocument/2006/relationships/hyperlink" Target="https://www.ncbi.nlm.nih.gov/pmc/articles/PMC6444938/" TargetMode="External"/><Relationship Id="rId75" Type="http://schemas.openxmlformats.org/officeDocument/2006/relationships/hyperlink" Target="https://www.ncbi.nlm.nih.gov/pmc/articles/PMC6444938/" TargetMode="External"/><Relationship Id="rId91" Type="http://schemas.openxmlformats.org/officeDocument/2006/relationships/hyperlink" Target="https://www.ncbi.nlm.nih.gov/pmc/articles/PMC6444938/figure/F2/" TargetMode="External"/><Relationship Id="rId9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ncbi.nlm.nih.gov/pmc/articles/PMC6444938/" TargetMode="External"/><Relationship Id="rId28" Type="http://schemas.openxmlformats.org/officeDocument/2006/relationships/hyperlink" Target="https://www.ncbi.nlm.nih.gov/pmc/articles/PMC6444938/" TargetMode="External"/><Relationship Id="rId49" Type="http://schemas.openxmlformats.org/officeDocument/2006/relationships/hyperlink" Target="https://www.ncbi.nlm.nih.gov/pmc/articles/PMC6444938/" TargetMode="External"/><Relationship Id="rId114" Type="http://schemas.openxmlformats.org/officeDocument/2006/relationships/hyperlink" Target="https://www.ncbi.nlm.nih.gov/pmc/articles/PMC6444938/" TargetMode="External"/><Relationship Id="rId119" Type="http://schemas.openxmlformats.org/officeDocument/2006/relationships/hyperlink" Target="https://www.ncbi.nlm.nih.gov/pmc/articles/PMC6444938/" TargetMode="External"/><Relationship Id="rId44" Type="http://schemas.openxmlformats.org/officeDocument/2006/relationships/hyperlink" Target="https://www.ncbi.nlm.nih.gov/pmc/articles/PMC6444938/" TargetMode="External"/><Relationship Id="rId60" Type="http://schemas.openxmlformats.org/officeDocument/2006/relationships/hyperlink" Target="https://www.ncbi.nlm.nih.gov/pmc/articles/PMC6444938/" TargetMode="External"/><Relationship Id="rId65" Type="http://schemas.openxmlformats.org/officeDocument/2006/relationships/hyperlink" Target="https://www.ncbi.nlm.nih.gov/pmc/articles/PMC6444938/" TargetMode="External"/><Relationship Id="rId81" Type="http://schemas.openxmlformats.org/officeDocument/2006/relationships/hyperlink" Target="https://www.ncbi.nlm.nih.gov/pmc/articles/PMC6444938/" TargetMode="External"/><Relationship Id="rId86" Type="http://schemas.openxmlformats.org/officeDocument/2006/relationships/hyperlink" Target="https://www.ncbi.nlm.nih.gov/pmc/articles/PMC6444938/" TargetMode="External"/><Relationship Id="rId130" Type="http://schemas.openxmlformats.org/officeDocument/2006/relationships/fontTable" Target="fontTable.xml"/><Relationship Id="rId13" Type="http://schemas.openxmlformats.org/officeDocument/2006/relationships/hyperlink" Target="https://www.ncbi.nlm.nih.gov/pmc/articles/PMC6444938/" TargetMode="External"/><Relationship Id="rId18" Type="http://schemas.openxmlformats.org/officeDocument/2006/relationships/hyperlink" Target="https://www.ncbi.nlm.nih.gov/pmc/articles/PMC6444938/" TargetMode="External"/><Relationship Id="rId39" Type="http://schemas.openxmlformats.org/officeDocument/2006/relationships/hyperlink" Target="https://www.ncbi.nlm.nih.gov/pmc/articles/PMC6444938/" TargetMode="External"/><Relationship Id="rId109" Type="http://schemas.openxmlformats.org/officeDocument/2006/relationships/hyperlink" Target="https://www.ncbi.nlm.nih.gov/pmc/articles/PMC6444938/" TargetMode="External"/><Relationship Id="rId34" Type="http://schemas.openxmlformats.org/officeDocument/2006/relationships/hyperlink" Target="https://www.ncbi.nlm.nih.gov/pmc/articles/PMC6444938/" TargetMode="External"/><Relationship Id="rId50" Type="http://schemas.openxmlformats.org/officeDocument/2006/relationships/hyperlink" Target="https://www.ncbi.nlm.nih.gov/pmc/articles/PMC6444938/" TargetMode="External"/><Relationship Id="rId55" Type="http://schemas.openxmlformats.org/officeDocument/2006/relationships/hyperlink" Target="https://www.ncbi.nlm.nih.gov/pmc/articles/PMC6444938/" TargetMode="External"/><Relationship Id="rId76" Type="http://schemas.openxmlformats.org/officeDocument/2006/relationships/hyperlink" Target="https://www.ncbi.nlm.nih.gov/pmc/articles/PMC6444938/" TargetMode="External"/><Relationship Id="rId97" Type="http://schemas.openxmlformats.org/officeDocument/2006/relationships/image" Target="media/image3.jpeg"/><Relationship Id="rId104" Type="http://schemas.openxmlformats.org/officeDocument/2006/relationships/hyperlink" Target="https://www.ncbi.nlm.nih.gov/pmc/articles/PMC6444938/" TargetMode="External"/><Relationship Id="rId120" Type="http://schemas.openxmlformats.org/officeDocument/2006/relationships/hyperlink" Target="https://www.ncbi.nlm.nih.gov/pmc/articles/PMC6444938/" TargetMode="External"/><Relationship Id="rId125" Type="http://schemas.openxmlformats.org/officeDocument/2006/relationships/hyperlink" Target="https://www.ncbi.nlm.nih.gov/pmc/articles/PMC6444938/" TargetMode="External"/><Relationship Id="rId7" Type="http://schemas.openxmlformats.org/officeDocument/2006/relationships/webSettings" Target="webSettings.xml"/><Relationship Id="rId71" Type="http://schemas.openxmlformats.org/officeDocument/2006/relationships/hyperlink" Target="https://www.ncbi.nlm.nih.gov/pmc/articles/PMC6444938/" TargetMode="External"/><Relationship Id="rId92" Type="http://schemas.openxmlformats.org/officeDocument/2006/relationships/hyperlink" Target="https://www.ncbi.nlm.nih.gov/pmc/articles/PMC6444938/figure/F3/" TargetMode="External"/><Relationship Id="rId2" Type="http://schemas.openxmlformats.org/officeDocument/2006/relationships/customXml" Target="../customXml/item2.xml"/><Relationship Id="rId29" Type="http://schemas.openxmlformats.org/officeDocument/2006/relationships/hyperlink" Target="https://www.ncbi.nlm.nih.gov/pmc/articles/PMC6444938/" TargetMode="External"/><Relationship Id="rId24" Type="http://schemas.openxmlformats.org/officeDocument/2006/relationships/hyperlink" Target="https://www.ncbi.nlm.nih.gov/pmc/articles/PMC6444938/" TargetMode="External"/><Relationship Id="rId40" Type="http://schemas.openxmlformats.org/officeDocument/2006/relationships/hyperlink" Target="https://www.ncbi.nlm.nih.gov/pmc/articles/PMC6444938/" TargetMode="External"/><Relationship Id="rId45" Type="http://schemas.openxmlformats.org/officeDocument/2006/relationships/hyperlink" Target="https://www.ncbi.nlm.nih.gov/pmc/articles/PMC6444938/" TargetMode="External"/><Relationship Id="rId66" Type="http://schemas.openxmlformats.org/officeDocument/2006/relationships/hyperlink" Target="https://www.ncbi.nlm.nih.gov/pmc/articles/PMC6444938/" TargetMode="External"/><Relationship Id="rId87" Type="http://schemas.openxmlformats.org/officeDocument/2006/relationships/hyperlink" Target="https://www.ncbi.nlm.nih.gov/pmc/articles/PMC6444938/" TargetMode="External"/><Relationship Id="rId110" Type="http://schemas.openxmlformats.org/officeDocument/2006/relationships/hyperlink" Target="https://www.ncbi.nlm.nih.gov/pmc/articles/PMC6444938/" TargetMode="External"/><Relationship Id="rId115" Type="http://schemas.openxmlformats.org/officeDocument/2006/relationships/hyperlink" Target="https://www.ncbi.nlm.nih.gov/pmc/articles/PMC6444938/" TargetMode="External"/><Relationship Id="rId131" Type="http://schemas.openxmlformats.org/officeDocument/2006/relationships/theme" Target="theme/theme1.xml"/><Relationship Id="rId61" Type="http://schemas.openxmlformats.org/officeDocument/2006/relationships/hyperlink" Target="https://www.ncbi.nlm.nih.gov/pmc/articles/PMC6444938/" TargetMode="External"/><Relationship Id="rId82" Type="http://schemas.openxmlformats.org/officeDocument/2006/relationships/hyperlink" Target="https://www.ncbi.nlm.nih.gov/pmc/articles/PMC6444938/" TargetMode="External"/><Relationship Id="rId19" Type="http://schemas.openxmlformats.org/officeDocument/2006/relationships/hyperlink" Target="https://www.ncbi.nlm.nih.gov/pmc/articles/PMC6444938/" TargetMode="External"/><Relationship Id="rId14" Type="http://schemas.openxmlformats.org/officeDocument/2006/relationships/hyperlink" Target="https://www.ncbi.nlm.nih.gov/pmc/articles/PMC6444938/" TargetMode="External"/><Relationship Id="rId30" Type="http://schemas.openxmlformats.org/officeDocument/2006/relationships/hyperlink" Target="https://www.ncbi.nlm.nih.gov/pmc/articles/PMC6444938/" TargetMode="External"/><Relationship Id="rId35" Type="http://schemas.openxmlformats.org/officeDocument/2006/relationships/hyperlink" Target="https://www.ncbi.nlm.nih.gov/pmc/articles/PMC6444938/" TargetMode="External"/><Relationship Id="rId56" Type="http://schemas.openxmlformats.org/officeDocument/2006/relationships/hyperlink" Target="https://www.ncbi.nlm.nih.gov/pmc/articles/PMC6444938/" TargetMode="External"/><Relationship Id="rId77" Type="http://schemas.openxmlformats.org/officeDocument/2006/relationships/hyperlink" Target="https://www.ncbi.nlm.nih.gov/pmc/articles/PMC6444938/" TargetMode="External"/><Relationship Id="rId100" Type="http://schemas.openxmlformats.org/officeDocument/2006/relationships/hyperlink" Target="https://www.ncbi.nlm.nih.gov/pmc/articles/PMC6444938/" TargetMode="External"/><Relationship Id="rId105" Type="http://schemas.openxmlformats.org/officeDocument/2006/relationships/hyperlink" Target="https://www.ncbi.nlm.nih.gov/pmc/articles/PMC6444938/" TargetMode="External"/><Relationship Id="rId126" Type="http://schemas.openxmlformats.org/officeDocument/2006/relationships/hyperlink" Target="https://www.ncbi.nlm.nih.gov/pmc/articles/PMC6444938/" TargetMode="External"/><Relationship Id="rId8" Type="http://schemas.openxmlformats.org/officeDocument/2006/relationships/hyperlink" Target="https://content.iospress.com/articles/journal-of-alzheimers-disease/jad180728" TargetMode="External"/><Relationship Id="rId51" Type="http://schemas.openxmlformats.org/officeDocument/2006/relationships/hyperlink" Target="https://www.ncbi.nlm.nih.gov/pmc/articles/PMC6444938/" TargetMode="External"/><Relationship Id="rId72" Type="http://schemas.openxmlformats.org/officeDocument/2006/relationships/hyperlink" Target="https://www.ncbi.nlm.nih.gov/pmc/articles/PMC6444938/" TargetMode="External"/><Relationship Id="rId93" Type="http://schemas.openxmlformats.org/officeDocument/2006/relationships/hyperlink" Target="https://www.ncbi.nlm.nih.gov/pmc/articles/PMC6444938/" TargetMode="External"/><Relationship Id="rId98" Type="http://schemas.openxmlformats.org/officeDocument/2006/relationships/hyperlink" Target="https://www.ncbi.nlm.nih.gov/pmc/articles/PMC6444938/figure/F4/" TargetMode="External"/><Relationship Id="rId121" Type="http://schemas.openxmlformats.org/officeDocument/2006/relationships/hyperlink" Target="https://www.ncbi.nlm.nih.gov/pmc/articles/PMC6444938/" TargetMode="External"/><Relationship Id="rId3" Type="http://schemas.openxmlformats.org/officeDocument/2006/relationships/customXml" Target="../customXml/item3.xml"/><Relationship Id="rId25" Type="http://schemas.openxmlformats.org/officeDocument/2006/relationships/hyperlink" Target="https://www.ncbi.nlm.nih.gov/pmc/articles/PMC6444938/" TargetMode="External"/><Relationship Id="rId46" Type="http://schemas.openxmlformats.org/officeDocument/2006/relationships/hyperlink" Target="https://www.ncbi.nlm.nih.gov/pmc/articles/PMC6444938/" TargetMode="External"/><Relationship Id="rId67" Type="http://schemas.openxmlformats.org/officeDocument/2006/relationships/hyperlink" Target="https://www.ncbi.nlm.nih.gov/pmc/articles/PMC6444938/" TargetMode="External"/><Relationship Id="rId116" Type="http://schemas.openxmlformats.org/officeDocument/2006/relationships/hyperlink" Target="https://www.ncbi.nlm.nih.gov/pmc/articles/PMC6444938/" TargetMode="External"/><Relationship Id="rId20" Type="http://schemas.openxmlformats.org/officeDocument/2006/relationships/hyperlink" Target="https://www.ncbi.nlm.nih.gov/pmc/articles/PMC6444938/" TargetMode="External"/><Relationship Id="rId41" Type="http://schemas.openxmlformats.org/officeDocument/2006/relationships/hyperlink" Target="https://www.ncbi.nlm.nih.gov/pmc/articles/PMC6444938/" TargetMode="External"/><Relationship Id="rId62" Type="http://schemas.openxmlformats.org/officeDocument/2006/relationships/hyperlink" Target="https://www.ncbi.nlm.nih.gov/pmc/articles/PMC6444938/" TargetMode="External"/><Relationship Id="rId83" Type="http://schemas.openxmlformats.org/officeDocument/2006/relationships/hyperlink" Target="https://www.ncbi.nlm.nih.gov/pmc/articles/PMC6444938/" TargetMode="External"/><Relationship Id="rId88" Type="http://schemas.openxmlformats.org/officeDocument/2006/relationships/hyperlink" Target="https://www.ncbi.nlm.nih.gov/pmc/articles/PMC6444938/" TargetMode="External"/><Relationship Id="rId111" Type="http://schemas.openxmlformats.org/officeDocument/2006/relationships/hyperlink" Target="https://www.ncbi.nlm.nih.gov/pmc/articles/PMC6444938/" TargetMode="External"/><Relationship Id="rId15" Type="http://schemas.openxmlformats.org/officeDocument/2006/relationships/hyperlink" Target="https://www.ncbi.nlm.nih.gov/pmc/articles/PMC6444938/" TargetMode="External"/><Relationship Id="rId36" Type="http://schemas.openxmlformats.org/officeDocument/2006/relationships/hyperlink" Target="https://www.ncbi.nlm.nih.gov/pmc/articles/PMC6444938/" TargetMode="External"/><Relationship Id="rId57" Type="http://schemas.openxmlformats.org/officeDocument/2006/relationships/hyperlink" Target="https://www.ncbi.nlm.nih.gov/pmc/articles/PMC6444938/" TargetMode="External"/><Relationship Id="rId106" Type="http://schemas.openxmlformats.org/officeDocument/2006/relationships/hyperlink" Target="https://www.ncbi.nlm.nih.gov/pmc/articles/PMC6444938/" TargetMode="External"/><Relationship Id="rId127" Type="http://schemas.openxmlformats.org/officeDocument/2006/relationships/hyperlink" Target="https://www.ncbi.nlm.nih.gov/pmc/articles/PMC6444938/" TargetMode="External"/><Relationship Id="rId10" Type="http://schemas.openxmlformats.org/officeDocument/2006/relationships/hyperlink" Target="https://www.ncbi.nlm.nih.gov/pmc/articles/PMC6444938/" TargetMode="External"/><Relationship Id="rId31" Type="http://schemas.openxmlformats.org/officeDocument/2006/relationships/hyperlink" Target="https://www.ncbi.nlm.nih.gov/pmc/articles/PMC6444938/" TargetMode="External"/><Relationship Id="rId52" Type="http://schemas.openxmlformats.org/officeDocument/2006/relationships/hyperlink" Target="https://www.ncbi.nlm.nih.gov/pmc/articles/PMC6444938/" TargetMode="External"/><Relationship Id="rId73" Type="http://schemas.openxmlformats.org/officeDocument/2006/relationships/hyperlink" Target="https://www.ncbi.nlm.nih.gov/pmc/articles/PMC6444938/" TargetMode="External"/><Relationship Id="rId78" Type="http://schemas.openxmlformats.org/officeDocument/2006/relationships/hyperlink" Target="https://www.ncbi.nlm.nih.gov/pmc/articles/PMC6444938/figure/F1/" TargetMode="External"/><Relationship Id="rId94" Type="http://schemas.openxmlformats.org/officeDocument/2006/relationships/hyperlink" Target="https://www.ncbi.nlm.nih.gov/pmc/articles/PMC6444938/figure/F2/" TargetMode="External"/><Relationship Id="rId99" Type="http://schemas.openxmlformats.org/officeDocument/2006/relationships/image" Target="media/image4.jpeg"/><Relationship Id="rId101" Type="http://schemas.openxmlformats.org/officeDocument/2006/relationships/hyperlink" Target="https://www.ncbi.nlm.nih.gov/pmc/articles/PMC6444938/" TargetMode="External"/><Relationship Id="rId122" Type="http://schemas.openxmlformats.org/officeDocument/2006/relationships/hyperlink" Target="https://www.ncbi.nlm.nih.gov/pmc/articles/PMC644493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ncbi.nlm.nih.gov/pmc/articles/PMC64449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C067F8-B388-4EF9-95C9-057A2AD61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2EC490-0884-4C51-AB71-8B76EE270272}">
  <ds:schemaRefs>
    <ds:schemaRef ds:uri="http://schemas.microsoft.com/sharepoint/v3/contenttype/forms"/>
  </ds:schemaRefs>
</ds:datastoreItem>
</file>

<file path=customXml/itemProps3.xml><?xml version="1.0" encoding="utf-8"?>
<ds:datastoreItem xmlns:ds="http://schemas.openxmlformats.org/officeDocument/2006/customXml" ds:itemID="{E1A9F068-8B25-4CDA-8FE2-775570CB84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9925</Words>
  <Characters>57466</Characters>
  <Application>Microsoft Office Word</Application>
  <DocSecurity>8</DocSecurity>
  <Lines>1064</Lines>
  <Paragraphs>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73</cp:revision>
  <dcterms:created xsi:type="dcterms:W3CDTF">2019-11-14T16:54:00Z</dcterms:created>
  <dcterms:modified xsi:type="dcterms:W3CDTF">2019-11-25T15:36:00Z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