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7240E"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D7240E"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D7240E">
        <w:rPr>
          <w:rFonts w:cstheme="minorHAnsi"/>
          <w:b/>
          <w:bCs/>
          <w:color w:val="316192"/>
          <w:sz w:val="28"/>
          <w:szCs w:val="26"/>
        </w:rPr>
        <w:t>Marquette University</w:t>
      </w:r>
    </w:p>
    <w:p w14:paraId="158D4B9F" w14:textId="77777777" w:rsidR="000A7622" w:rsidRPr="00D7240E" w:rsidRDefault="000A7622" w:rsidP="00D14423">
      <w:pPr>
        <w:autoSpaceDE w:val="0"/>
        <w:autoSpaceDN w:val="0"/>
        <w:adjustRightInd w:val="0"/>
        <w:rPr>
          <w:rFonts w:cstheme="minorHAnsi"/>
          <w:b/>
          <w:bCs/>
          <w:color w:val="316192"/>
          <w:sz w:val="40"/>
          <w:szCs w:val="36"/>
        </w:rPr>
      </w:pPr>
      <w:r w:rsidRPr="00D7240E">
        <w:rPr>
          <w:rFonts w:cstheme="minorHAnsi"/>
          <w:b/>
          <w:bCs/>
          <w:color w:val="316192"/>
          <w:sz w:val="40"/>
          <w:szCs w:val="36"/>
        </w:rPr>
        <w:t>e-Publications@Marquette</w:t>
      </w:r>
    </w:p>
    <w:p w14:paraId="689ACF87" w14:textId="77777777" w:rsidR="000A7622" w:rsidRPr="00D7240E" w:rsidRDefault="000A7622" w:rsidP="00D14423">
      <w:pPr>
        <w:autoSpaceDE w:val="0"/>
        <w:autoSpaceDN w:val="0"/>
        <w:adjustRightInd w:val="0"/>
        <w:rPr>
          <w:rFonts w:cstheme="minorHAnsi"/>
          <w:b/>
          <w:bCs/>
          <w:i/>
          <w:iCs/>
        </w:rPr>
      </w:pPr>
    </w:p>
    <w:p w14:paraId="161853CC" w14:textId="2773850A" w:rsidR="000A7622" w:rsidRPr="00D7240E" w:rsidRDefault="00E563F9" w:rsidP="00D14423">
      <w:pPr>
        <w:autoSpaceDE w:val="0"/>
        <w:autoSpaceDN w:val="0"/>
        <w:adjustRightInd w:val="0"/>
        <w:rPr>
          <w:rFonts w:cstheme="minorHAnsi"/>
          <w:b/>
          <w:bCs/>
          <w:i/>
          <w:iCs/>
          <w:sz w:val="32"/>
          <w:szCs w:val="32"/>
        </w:rPr>
      </w:pPr>
      <w:r w:rsidRPr="00D7240E">
        <w:rPr>
          <w:rFonts w:cstheme="minorHAnsi"/>
          <w:b/>
          <w:bCs/>
          <w:i/>
          <w:iCs/>
          <w:sz w:val="32"/>
          <w:szCs w:val="32"/>
        </w:rPr>
        <w:t xml:space="preserve">Psychology </w:t>
      </w:r>
      <w:r w:rsidR="000A7622" w:rsidRPr="00D7240E">
        <w:rPr>
          <w:rFonts w:cstheme="minorHAnsi"/>
          <w:b/>
          <w:bCs/>
          <w:i/>
          <w:iCs/>
          <w:sz w:val="32"/>
          <w:szCs w:val="32"/>
        </w:rPr>
        <w:t>Faculty Research and Publications/</w:t>
      </w:r>
      <w:r w:rsidR="009732A9" w:rsidRPr="00D7240E">
        <w:rPr>
          <w:rFonts w:cstheme="minorHAnsi"/>
          <w:b/>
          <w:bCs/>
          <w:i/>
          <w:iCs/>
          <w:sz w:val="32"/>
          <w:szCs w:val="32"/>
        </w:rPr>
        <w:t xml:space="preserve">College of </w:t>
      </w:r>
      <w:r w:rsidRPr="00D7240E">
        <w:rPr>
          <w:rFonts w:cstheme="minorHAnsi"/>
          <w:b/>
          <w:bCs/>
          <w:i/>
          <w:iCs/>
          <w:sz w:val="32"/>
          <w:szCs w:val="32"/>
        </w:rPr>
        <w:t>Arts and Sciences</w:t>
      </w:r>
    </w:p>
    <w:bookmarkEnd w:id="1"/>
    <w:p w14:paraId="3E538636" w14:textId="77777777" w:rsidR="000A7622" w:rsidRPr="00D7240E" w:rsidRDefault="000A7622" w:rsidP="00D14423">
      <w:pPr>
        <w:jc w:val="center"/>
        <w:rPr>
          <w:rFonts w:cstheme="minorHAnsi"/>
          <w:b/>
          <w:bCs/>
          <w:i/>
          <w:iCs/>
        </w:rPr>
      </w:pPr>
    </w:p>
    <w:p w14:paraId="25509BF0" w14:textId="09141815" w:rsidR="000A7622" w:rsidRPr="00D7240E" w:rsidRDefault="000A7622" w:rsidP="00D14423">
      <w:pPr>
        <w:jc w:val="center"/>
        <w:rPr>
          <w:rFonts w:cstheme="minorHAnsi"/>
          <w:sz w:val="24"/>
          <w:szCs w:val="24"/>
        </w:rPr>
      </w:pPr>
      <w:r w:rsidRPr="00D7240E">
        <w:rPr>
          <w:rFonts w:cstheme="minorHAnsi"/>
          <w:b/>
          <w:bCs/>
          <w:i/>
          <w:iCs/>
          <w:sz w:val="24"/>
          <w:szCs w:val="24"/>
        </w:rPr>
        <w:t xml:space="preserve">This paper is NOT THE PUBLISHED VERSION; </w:t>
      </w:r>
      <w:r w:rsidRPr="00D7240E">
        <w:rPr>
          <w:rFonts w:cstheme="minorHAnsi"/>
          <w:b/>
          <w:bCs/>
          <w:sz w:val="24"/>
          <w:szCs w:val="24"/>
        </w:rPr>
        <w:t xml:space="preserve">but the author’s final, peer-reviewed manuscript. </w:t>
      </w:r>
      <w:r w:rsidRPr="00D7240E">
        <w:rPr>
          <w:rFonts w:cstheme="minorHAnsi"/>
          <w:sz w:val="24"/>
          <w:szCs w:val="24"/>
        </w:rPr>
        <w:t>The published version may be accessed by following the link in th</w:t>
      </w:r>
      <w:r w:rsidR="008756EA" w:rsidRPr="00D7240E">
        <w:rPr>
          <w:rFonts w:cstheme="minorHAnsi"/>
          <w:sz w:val="24"/>
          <w:szCs w:val="24"/>
        </w:rPr>
        <w:t>e</w:t>
      </w:r>
      <w:r w:rsidRPr="00D7240E">
        <w:rPr>
          <w:rFonts w:cstheme="minorHAnsi"/>
          <w:sz w:val="24"/>
          <w:szCs w:val="24"/>
        </w:rPr>
        <w:t xml:space="preserve"> citation below.</w:t>
      </w:r>
    </w:p>
    <w:p w14:paraId="207B0342" w14:textId="77777777" w:rsidR="000A7622" w:rsidRPr="00D7240E" w:rsidRDefault="000A7622" w:rsidP="00D14423">
      <w:pPr>
        <w:jc w:val="center"/>
        <w:rPr>
          <w:rFonts w:cstheme="minorHAnsi"/>
          <w:sz w:val="24"/>
          <w:szCs w:val="24"/>
        </w:rPr>
      </w:pPr>
    </w:p>
    <w:p w14:paraId="2A38AFE1" w14:textId="4856FCDA" w:rsidR="000A7622" w:rsidRPr="00D7240E" w:rsidRDefault="00EA0EB4" w:rsidP="00D14423">
      <w:pPr>
        <w:rPr>
          <w:rFonts w:cstheme="minorHAnsi"/>
          <w:sz w:val="24"/>
          <w:szCs w:val="24"/>
        </w:rPr>
      </w:pPr>
      <w:r w:rsidRPr="00D7240E">
        <w:rPr>
          <w:rFonts w:cstheme="minorHAnsi"/>
          <w:i/>
          <w:sz w:val="24"/>
          <w:szCs w:val="24"/>
          <w:lang w:val="fr-FR"/>
        </w:rPr>
        <w:t>Sex Roles</w:t>
      </w:r>
      <w:r w:rsidR="000A7622" w:rsidRPr="00D7240E">
        <w:rPr>
          <w:rFonts w:cstheme="minorHAnsi"/>
          <w:sz w:val="24"/>
          <w:szCs w:val="24"/>
          <w:lang w:val="fr-FR"/>
        </w:rPr>
        <w:t xml:space="preserve">, Vol. </w:t>
      </w:r>
      <w:r w:rsidR="004B713B" w:rsidRPr="00D7240E">
        <w:rPr>
          <w:rFonts w:cstheme="minorHAnsi"/>
          <w:sz w:val="24"/>
          <w:szCs w:val="24"/>
          <w:lang w:val="fr-FR"/>
        </w:rPr>
        <w:t>80</w:t>
      </w:r>
      <w:r w:rsidR="000A7622" w:rsidRPr="00D7240E">
        <w:rPr>
          <w:rFonts w:cstheme="minorHAnsi"/>
          <w:sz w:val="24"/>
          <w:szCs w:val="24"/>
          <w:lang w:val="fr-FR"/>
        </w:rPr>
        <w:t xml:space="preserve">, No. </w:t>
      </w:r>
      <w:r w:rsidR="004B713B" w:rsidRPr="00D7240E">
        <w:rPr>
          <w:rFonts w:cstheme="minorHAnsi"/>
          <w:sz w:val="24"/>
          <w:szCs w:val="24"/>
          <w:lang w:val="fr-FR"/>
        </w:rPr>
        <w:t>5-6</w:t>
      </w:r>
      <w:r w:rsidR="000A7622" w:rsidRPr="00D7240E">
        <w:rPr>
          <w:rFonts w:cstheme="minorHAnsi"/>
          <w:sz w:val="24"/>
          <w:szCs w:val="24"/>
          <w:lang w:val="fr-FR"/>
        </w:rPr>
        <w:t xml:space="preserve"> (</w:t>
      </w:r>
      <w:r w:rsidR="004B713B" w:rsidRPr="00D7240E">
        <w:rPr>
          <w:rFonts w:cstheme="minorHAnsi"/>
          <w:sz w:val="24"/>
          <w:szCs w:val="24"/>
          <w:lang w:val="fr-FR"/>
        </w:rPr>
        <w:t>March 2019</w:t>
      </w:r>
      <w:r w:rsidR="000A7622" w:rsidRPr="00D7240E">
        <w:rPr>
          <w:rFonts w:cstheme="minorHAnsi"/>
          <w:sz w:val="24"/>
          <w:szCs w:val="24"/>
          <w:lang w:val="fr-FR"/>
        </w:rPr>
        <w:t xml:space="preserve">): </w:t>
      </w:r>
      <w:r w:rsidR="0033455C" w:rsidRPr="00D7240E">
        <w:rPr>
          <w:rFonts w:cstheme="minorHAnsi"/>
          <w:sz w:val="24"/>
          <w:szCs w:val="24"/>
          <w:lang w:val="fr-FR"/>
        </w:rPr>
        <w:t>362</w:t>
      </w:r>
      <w:r w:rsidR="000A7622" w:rsidRPr="00D7240E">
        <w:rPr>
          <w:rFonts w:cstheme="minorHAnsi"/>
          <w:sz w:val="24"/>
          <w:szCs w:val="24"/>
          <w:lang w:val="fr-FR"/>
        </w:rPr>
        <w:t>-</w:t>
      </w:r>
      <w:r w:rsidR="0033455C" w:rsidRPr="00D7240E">
        <w:rPr>
          <w:rFonts w:cstheme="minorHAnsi"/>
          <w:sz w:val="24"/>
          <w:szCs w:val="24"/>
          <w:lang w:val="fr-FR"/>
        </w:rPr>
        <w:t>380</w:t>
      </w:r>
      <w:r w:rsidR="000A7622" w:rsidRPr="00D7240E">
        <w:rPr>
          <w:rFonts w:cstheme="minorHAnsi"/>
          <w:sz w:val="24"/>
          <w:szCs w:val="24"/>
          <w:lang w:val="fr-FR"/>
        </w:rPr>
        <w:t xml:space="preserve">. </w:t>
      </w:r>
      <w:hyperlink r:id="rId8" w:history="1">
        <w:r w:rsidR="000A7622" w:rsidRPr="00D7240E">
          <w:rPr>
            <w:rFonts w:cstheme="minorHAnsi"/>
            <w:color w:val="0563C1" w:themeColor="hyperlink"/>
            <w:sz w:val="24"/>
            <w:szCs w:val="24"/>
            <w:u w:val="single"/>
            <w:lang w:val="fr-FR"/>
          </w:rPr>
          <w:t>DOI</w:t>
        </w:r>
      </w:hyperlink>
      <w:r w:rsidR="000A7622" w:rsidRPr="00D7240E">
        <w:rPr>
          <w:rFonts w:cstheme="minorHAnsi"/>
          <w:sz w:val="24"/>
          <w:szCs w:val="24"/>
          <w:lang w:val="fr-FR"/>
        </w:rPr>
        <w:t xml:space="preserve">. </w:t>
      </w:r>
      <w:r w:rsidR="000A7622" w:rsidRPr="00D7240E">
        <w:rPr>
          <w:rFonts w:cstheme="minorHAnsi"/>
          <w:sz w:val="24"/>
          <w:szCs w:val="24"/>
        </w:rPr>
        <w:t xml:space="preserve">This article is © </w:t>
      </w:r>
      <w:r w:rsidR="0033455C" w:rsidRPr="00D7240E">
        <w:rPr>
          <w:rFonts w:cstheme="minorHAnsi"/>
          <w:sz w:val="24"/>
          <w:szCs w:val="24"/>
        </w:rPr>
        <w:t>Springer</w:t>
      </w:r>
      <w:r w:rsidR="000A7622" w:rsidRPr="00D7240E">
        <w:rPr>
          <w:rFonts w:cstheme="minorHAnsi"/>
          <w:sz w:val="24"/>
          <w:szCs w:val="24"/>
        </w:rPr>
        <w:t xml:space="preserve"> and permission has been granted for this version to appear in </w:t>
      </w:r>
      <w:hyperlink r:id="rId9" w:history="1">
        <w:r w:rsidR="000A7622" w:rsidRPr="00D7240E">
          <w:rPr>
            <w:rFonts w:cstheme="minorHAnsi"/>
            <w:color w:val="0563C1" w:themeColor="hyperlink"/>
            <w:sz w:val="24"/>
            <w:szCs w:val="24"/>
            <w:u w:val="single"/>
          </w:rPr>
          <w:t>e-Publications@Marquette</w:t>
        </w:r>
      </w:hyperlink>
      <w:r w:rsidR="000A7622" w:rsidRPr="00D7240E">
        <w:rPr>
          <w:rFonts w:cstheme="minorHAnsi"/>
          <w:sz w:val="24"/>
          <w:szCs w:val="24"/>
        </w:rPr>
        <w:t xml:space="preserve">. </w:t>
      </w:r>
      <w:r w:rsidR="0033455C" w:rsidRPr="00D7240E">
        <w:rPr>
          <w:rFonts w:cstheme="minorHAnsi"/>
          <w:sz w:val="24"/>
          <w:szCs w:val="24"/>
        </w:rPr>
        <w:t>Springer</w:t>
      </w:r>
      <w:r w:rsidR="000A7622" w:rsidRPr="00D7240E">
        <w:rPr>
          <w:rFonts w:cstheme="minorHAnsi"/>
          <w:sz w:val="24"/>
          <w:szCs w:val="24"/>
        </w:rPr>
        <w:t xml:space="preserve"> does not grant permission for this article to be further copied/distributed or hosted elsewhere without the express permission from </w:t>
      </w:r>
      <w:r w:rsidR="0033455C" w:rsidRPr="00D7240E">
        <w:rPr>
          <w:rFonts w:cstheme="minorHAnsi"/>
          <w:sz w:val="24"/>
          <w:szCs w:val="24"/>
        </w:rPr>
        <w:t>Springer</w:t>
      </w:r>
      <w:r w:rsidR="000A7622" w:rsidRPr="00D7240E">
        <w:rPr>
          <w:rFonts w:cstheme="minorHAnsi"/>
          <w:sz w:val="24"/>
          <w:szCs w:val="24"/>
        </w:rPr>
        <w:t xml:space="preserve">. </w:t>
      </w:r>
    </w:p>
    <w:bookmarkEnd w:id="2"/>
    <w:p w14:paraId="5BC0075B" w14:textId="62EC9260" w:rsidR="000A7622" w:rsidRPr="00D7240E" w:rsidRDefault="000A7622" w:rsidP="000A7622">
      <w:pPr>
        <w:rPr>
          <w:rFonts w:cstheme="minorHAnsi"/>
        </w:rPr>
      </w:pPr>
    </w:p>
    <w:p w14:paraId="6C7DD378" w14:textId="5AEEBFF1" w:rsidR="003A54A9" w:rsidRPr="00D7240E" w:rsidRDefault="003A54A9" w:rsidP="003A54A9">
      <w:pPr>
        <w:pStyle w:val="Title"/>
        <w:rPr>
          <w:rFonts w:asciiTheme="minorHAnsi" w:hAnsiTheme="minorHAnsi" w:cstheme="minorHAnsi"/>
          <w:lang w:val="en"/>
        </w:rPr>
      </w:pPr>
      <w:r w:rsidRPr="00D7240E">
        <w:rPr>
          <w:rFonts w:asciiTheme="minorHAnsi" w:hAnsiTheme="minorHAnsi" w:cstheme="minorHAnsi"/>
          <w:lang w:val="en"/>
        </w:rPr>
        <w:t>Experiences with Benevolent Sexism: Scale Development and Associations with Women’s Well-Being</w:t>
      </w:r>
    </w:p>
    <w:p w14:paraId="14466E8C" w14:textId="77777777" w:rsidR="00D7240E" w:rsidRPr="00D7240E" w:rsidRDefault="00D7240E" w:rsidP="00D7240E">
      <w:pPr>
        <w:rPr>
          <w:rFonts w:cstheme="minorHAnsi"/>
          <w:lang w:val="en"/>
        </w:rPr>
      </w:pPr>
    </w:p>
    <w:p w14:paraId="7D83181E" w14:textId="77777777" w:rsidR="0087399C" w:rsidRPr="00D7240E" w:rsidRDefault="0087399C" w:rsidP="00FF1908">
      <w:pPr>
        <w:pStyle w:val="NoSpacing"/>
        <w:spacing w:line="259" w:lineRule="auto"/>
        <w:rPr>
          <w:rFonts w:cstheme="minorHAnsi"/>
          <w:sz w:val="32"/>
          <w:szCs w:val="32"/>
        </w:rPr>
      </w:pPr>
      <w:r w:rsidRPr="00D7240E">
        <w:rPr>
          <w:rFonts w:cstheme="minorHAnsi"/>
          <w:sz w:val="32"/>
          <w:szCs w:val="32"/>
        </w:rPr>
        <w:t>Debra L. Oswald</w:t>
      </w:r>
    </w:p>
    <w:p w14:paraId="45B7F485" w14:textId="79C12C07" w:rsidR="0087399C" w:rsidRPr="00D7240E" w:rsidRDefault="00FF1908" w:rsidP="00FF1908">
      <w:pPr>
        <w:pStyle w:val="NoSpacing"/>
        <w:spacing w:line="259" w:lineRule="auto"/>
        <w:rPr>
          <w:rFonts w:cstheme="minorHAnsi"/>
        </w:rPr>
      </w:pPr>
      <w:bookmarkStart w:id="3" w:name="_Hlk26265542"/>
      <w:r w:rsidRPr="00D7240E">
        <w:rPr>
          <w:rFonts w:cstheme="minorHAnsi"/>
        </w:rPr>
        <w:t>Department of Psychology, Marquette University, Milwaukee, USA</w:t>
      </w:r>
    </w:p>
    <w:bookmarkEnd w:id="3"/>
    <w:p w14:paraId="6CD66559" w14:textId="77777777" w:rsidR="0087399C" w:rsidRPr="00D7240E" w:rsidRDefault="0087399C" w:rsidP="00FF1908">
      <w:pPr>
        <w:pStyle w:val="NoSpacing"/>
        <w:spacing w:line="259" w:lineRule="auto"/>
        <w:rPr>
          <w:rFonts w:cstheme="minorHAnsi"/>
          <w:sz w:val="32"/>
          <w:szCs w:val="32"/>
        </w:rPr>
      </w:pPr>
      <w:r w:rsidRPr="00D7240E">
        <w:rPr>
          <w:rFonts w:cstheme="minorHAnsi"/>
          <w:sz w:val="32"/>
          <w:szCs w:val="32"/>
        </w:rPr>
        <w:t>Maha Baalbaki</w:t>
      </w:r>
    </w:p>
    <w:p w14:paraId="704F3346" w14:textId="2A9EFD17" w:rsidR="0087399C" w:rsidRPr="00D7240E" w:rsidRDefault="00FF1908" w:rsidP="00FF1908">
      <w:pPr>
        <w:pStyle w:val="NoSpacing"/>
        <w:spacing w:line="259" w:lineRule="auto"/>
        <w:rPr>
          <w:rFonts w:cstheme="minorHAnsi"/>
        </w:rPr>
      </w:pPr>
      <w:r w:rsidRPr="00D7240E">
        <w:rPr>
          <w:rFonts w:cstheme="minorHAnsi"/>
        </w:rPr>
        <w:t>Department of Psychology, Marquette University, Milwaukee, USA</w:t>
      </w:r>
    </w:p>
    <w:p w14:paraId="28B86849" w14:textId="306023D0" w:rsidR="008756EA" w:rsidRPr="00D7240E" w:rsidRDefault="0087399C" w:rsidP="00FF1908">
      <w:pPr>
        <w:pStyle w:val="NoSpacing"/>
        <w:spacing w:line="259" w:lineRule="auto"/>
        <w:rPr>
          <w:rFonts w:cstheme="minorHAnsi"/>
          <w:sz w:val="32"/>
          <w:szCs w:val="32"/>
        </w:rPr>
      </w:pPr>
      <w:r w:rsidRPr="00D7240E">
        <w:rPr>
          <w:rFonts w:cstheme="minorHAnsi"/>
          <w:sz w:val="32"/>
          <w:szCs w:val="32"/>
        </w:rPr>
        <w:t>Mackenzie Kirkman</w:t>
      </w:r>
    </w:p>
    <w:p w14:paraId="7913B3E3" w14:textId="77777777" w:rsidR="00FF1908" w:rsidRPr="00D7240E" w:rsidRDefault="00FF1908" w:rsidP="00FF1908">
      <w:pPr>
        <w:pStyle w:val="NoSpacing"/>
        <w:spacing w:line="259" w:lineRule="auto"/>
        <w:rPr>
          <w:rFonts w:cstheme="minorHAnsi"/>
        </w:rPr>
      </w:pPr>
      <w:r w:rsidRPr="00D7240E">
        <w:rPr>
          <w:rFonts w:cstheme="minorHAnsi"/>
        </w:rPr>
        <w:t>Department of Psychology, Marquette University, Milwaukee, USA</w:t>
      </w:r>
    </w:p>
    <w:p w14:paraId="734AAED6" w14:textId="77777777" w:rsidR="00FF1908" w:rsidRPr="00D7240E" w:rsidRDefault="00FF1908" w:rsidP="000A7622">
      <w:pPr>
        <w:rPr>
          <w:rFonts w:cstheme="minorHAnsi"/>
        </w:rPr>
      </w:pPr>
    </w:p>
    <w:p w14:paraId="284B0BAF" w14:textId="77777777" w:rsidR="00FA36F7" w:rsidRPr="00D7240E" w:rsidRDefault="00FA36F7" w:rsidP="00712841">
      <w:pPr>
        <w:pStyle w:val="Heading1"/>
        <w:rPr>
          <w:rFonts w:asciiTheme="minorHAnsi" w:hAnsiTheme="minorHAnsi" w:cstheme="minorHAnsi"/>
        </w:rPr>
      </w:pPr>
      <w:r w:rsidRPr="00D7240E">
        <w:rPr>
          <w:rFonts w:asciiTheme="minorHAnsi" w:hAnsiTheme="minorHAnsi" w:cstheme="minorHAnsi"/>
        </w:rPr>
        <w:t>Abstract</w:t>
      </w:r>
    </w:p>
    <w:p w14:paraId="620BF065" w14:textId="77777777" w:rsidR="00FA36F7" w:rsidRPr="00D7240E" w:rsidRDefault="00FA36F7" w:rsidP="00712841">
      <w:pPr>
        <w:rPr>
          <w:rFonts w:cstheme="minorHAnsi"/>
        </w:rPr>
      </w:pPr>
      <w:r w:rsidRPr="00D7240E">
        <w:rPr>
          <w:rFonts w:cstheme="minorHAnsi"/>
        </w:rPr>
        <w:t>Ambivalent sexism theory (Glick and Fiske </w:t>
      </w:r>
      <w:hyperlink r:id="rId10" w:anchor="CR23" w:tooltip="View reference" w:history="1">
        <w:r w:rsidRPr="00D7240E">
          <w:rPr>
            <w:rStyle w:val="Hyperlink"/>
            <w:rFonts w:eastAsiaTheme="majorEastAsia" w:cstheme="minorHAnsi"/>
            <w:color w:val="4500A7"/>
          </w:rPr>
          <w:t>1996</w:t>
        </w:r>
      </w:hyperlink>
      <w:r w:rsidRPr="00D7240E">
        <w:rPr>
          <w:rFonts w:cstheme="minorHAnsi"/>
        </w:rPr>
        <w:t>, </w:t>
      </w:r>
      <w:hyperlink r:id="rId11" w:anchor="CR24" w:tooltip="View reference" w:history="1">
        <w:r w:rsidRPr="00D7240E">
          <w:rPr>
            <w:rStyle w:val="Hyperlink"/>
            <w:rFonts w:eastAsiaTheme="majorEastAsia" w:cstheme="minorHAnsi"/>
            <w:color w:val="4500A7"/>
          </w:rPr>
          <w:t>1997</w:t>
        </w:r>
      </w:hyperlink>
      <w:r w:rsidRPr="00D7240E">
        <w:rPr>
          <w:rFonts w:cstheme="minorHAnsi"/>
        </w:rPr>
        <w:t xml:space="preserve">) suggests that sexism takes two forms: an overt hostility as well as a subtle benevolence. We examined benevolent sexist behaviors and developed a 25-item Experiences with Benevolent Sexism Scale. Exploratory factor analysis (Study 1, U.S. college sample of 489 women) and confirmatory factor analysis (Study 2, online sample of 216 women) revealed three subscales of benevolently sexist experiences: Heterosexual Intimacy, Protective Paternalism, and Complementary Gender Differences. Women reported experiencing benevolently sexist events more frequently than overtly hostile sexist events; </w:t>
      </w:r>
      <w:r w:rsidRPr="00D7240E">
        <w:rPr>
          <w:rFonts w:cstheme="minorHAnsi"/>
        </w:rPr>
        <w:lastRenderedPageBreak/>
        <w:t>however, they perceived the hostile events to be more distressing and sexist (Studies 1 and 2). Experiencing Protective Paternalism was positively associated with self-doubt and negatively associated with self-esteem (Studies 1 and 2), and psychological well-being (Study 2). However, experiencing Complementary Gender Differentiation was negatively associated with self-doubt and positively associated with self-esteem (Studies 1 and 2), psychological well-being, flourishing, and submission to authority (Study 2). Finally, women in romantic relationships reported more benevolently sexist experiences than did those not in romantic relationships and the frequency of those experiences was positively associated with perceptions of the partner’s benevolently sexist attitudes (Study 2). The results highlight that women frequently experience sexism, ranging from overtly hostile to a subtle benevolence, and the different types of benevolent sexism each have unique associations with women’s well-being.</w:t>
      </w:r>
    </w:p>
    <w:p w14:paraId="1AFF348B" w14:textId="77777777" w:rsidR="00712841" w:rsidRPr="00D7240E" w:rsidRDefault="00712841" w:rsidP="00FA36F7">
      <w:pPr>
        <w:pStyle w:val="para"/>
        <w:shd w:val="clear" w:color="auto" w:fill="FCFCFC"/>
        <w:spacing w:before="240" w:beforeAutospacing="0" w:after="288" w:afterAutospacing="0"/>
        <w:rPr>
          <w:rFonts w:asciiTheme="minorHAnsi" w:hAnsiTheme="minorHAnsi" w:cstheme="minorHAnsi"/>
          <w:color w:val="333333"/>
          <w:spacing w:val="2"/>
          <w:sz w:val="26"/>
          <w:szCs w:val="26"/>
        </w:rPr>
      </w:pPr>
    </w:p>
    <w:p w14:paraId="77097B72" w14:textId="3FB8436B" w:rsidR="00FA36F7" w:rsidRPr="00D7240E" w:rsidRDefault="00FA36F7" w:rsidP="00712841">
      <w:pPr>
        <w:rPr>
          <w:rFonts w:cstheme="minorHAnsi"/>
        </w:rPr>
      </w:pPr>
      <w:r w:rsidRPr="00D7240E">
        <w:rPr>
          <w:rFonts w:cstheme="minorHAnsi"/>
        </w:rPr>
        <w:t>Women experience a wide range of sexism in their daily lives. Sexist events are experiences that happen to a woman specifically because of her gender, ranging from daily hassles to stressful life events, and that include both chronic and acute experiences. In a daily diary study, U.S. college-aged women reported experiencing sexist incidents such as being the target of traditional gender-role stereotyping, sexual objectification, and degrading comments (Swim et al. </w:t>
      </w:r>
      <w:hyperlink r:id="rId12" w:anchor="CR62" w:tooltip="View reference" w:history="1">
        <w:r w:rsidRPr="00D7240E">
          <w:rPr>
            <w:rStyle w:val="Hyperlink"/>
            <w:rFonts w:eastAsiaTheme="majorEastAsia" w:cstheme="minorHAnsi"/>
            <w:color w:val="4500A7"/>
            <w:spacing w:val="2"/>
          </w:rPr>
          <w:t>2001</w:t>
        </w:r>
      </w:hyperlink>
      <w:r w:rsidRPr="00D7240E">
        <w:rPr>
          <w:rFonts w:cstheme="minorHAnsi"/>
        </w:rPr>
        <w:t>). Klonoff and Landrine (</w:t>
      </w:r>
      <w:hyperlink r:id="rId13" w:anchor="CR37" w:tooltip="View reference" w:history="1">
        <w:r w:rsidRPr="00D7240E">
          <w:rPr>
            <w:rStyle w:val="Hyperlink"/>
            <w:rFonts w:eastAsiaTheme="majorEastAsia" w:cstheme="minorHAnsi"/>
            <w:color w:val="4500A7"/>
            <w:spacing w:val="2"/>
          </w:rPr>
          <w:t>1995</w:t>
        </w:r>
      </w:hyperlink>
      <w:r w:rsidRPr="00D7240E">
        <w:rPr>
          <w:rFonts w:cstheme="minorHAnsi"/>
        </w:rPr>
        <w:t>) found that 99% of women reported that they have experienced at least one sexist event in their lifetime and 97% have experienced sexism in the last year. The most frequently reported events included exposure to sexually degrading jokes, being harassed, being called a sexist name, and being treated with a lack of respect. Younger women, unmarried women, and women from ethnic minority groups were more likely to report experiencing sexist events (Klonoff and Landrine </w:t>
      </w:r>
      <w:hyperlink r:id="rId14" w:anchor="CR37" w:tooltip="View reference" w:history="1">
        <w:r w:rsidRPr="00D7240E">
          <w:rPr>
            <w:rStyle w:val="Hyperlink"/>
            <w:rFonts w:eastAsiaTheme="majorEastAsia" w:cstheme="minorHAnsi"/>
            <w:color w:val="4500A7"/>
            <w:spacing w:val="2"/>
          </w:rPr>
          <w:t>1995</w:t>
        </w:r>
      </w:hyperlink>
      <w:r w:rsidRPr="00D7240E">
        <w:rPr>
          <w:rFonts w:cstheme="minorHAnsi"/>
        </w:rPr>
        <w:t>).</w:t>
      </w:r>
    </w:p>
    <w:p w14:paraId="41D1C870" w14:textId="77777777" w:rsidR="00FA36F7" w:rsidRPr="00D7240E" w:rsidRDefault="00FA36F7" w:rsidP="00712841">
      <w:pPr>
        <w:rPr>
          <w:rFonts w:cstheme="minorHAnsi"/>
        </w:rPr>
      </w:pPr>
      <w:r w:rsidRPr="00D7240E">
        <w:rPr>
          <w:rFonts w:cstheme="minorHAnsi"/>
        </w:rPr>
        <w:t>When people think about sexism they often focus on experiences such as sexual harassment, assault, and other overtly hostile acts of gender discrimination. However, psychological research suggests that sexism takes two forms: an overt hostility as well as a subtle benevolence (Glick and Fiske </w:t>
      </w:r>
      <w:hyperlink r:id="rId15" w:anchor="CR23" w:tooltip="View reference" w:history="1">
        <w:r w:rsidRPr="00D7240E">
          <w:rPr>
            <w:rStyle w:val="Hyperlink"/>
            <w:rFonts w:eastAsiaTheme="majorEastAsia" w:cstheme="minorHAnsi"/>
            <w:color w:val="4500A7"/>
            <w:spacing w:val="2"/>
          </w:rPr>
          <w:t>1996</w:t>
        </w:r>
      </w:hyperlink>
      <w:r w:rsidRPr="00D7240E">
        <w:rPr>
          <w:rFonts w:cstheme="minorHAnsi"/>
        </w:rPr>
        <w:t>, </w:t>
      </w:r>
      <w:hyperlink r:id="rId16" w:anchor="CR25" w:tooltip="View reference" w:history="1">
        <w:r w:rsidRPr="00D7240E">
          <w:rPr>
            <w:rStyle w:val="Hyperlink"/>
            <w:rFonts w:eastAsiaTheme="majorEastAsia" w:cstheme="minorHAnsi"/>
            <w:color w:val="4500A7"/>
            <w:spacing w:val="2"/>
          </w:rPr>
          <w:t>2001a</w:t>
        </w:r>
      </w:hyperlink>
      <w:r w:rsidRPr="00D7240E">
        <w:rPr>
          <w:rFonts w:cstheme="minorHAnsi"/>
        </w:rPr>
        <w:t>, </w:t>
      </w:r>
      <w:hyperlink r:id="rId17" w:anchor="CR26" w:tooltip="View reference" w:history="1">
        <w:r w:rsidRPr="00D7240E">
          <w:rPr>
            <w:rStyle w:val="Hyperlink"/>
            <w:rFonts w:eastAsiaTheme="majorEastAsia" w:cstheme="minorHAnsi"/>
            <w:color w:val="4500A7"/>
            <w:spacing w:val="2"/>
          </w:rPr>
          <w:t>b</w:t>
        </w:r>
      </w:hyperlink>
      <w:r w:rsidRPr="00D7240E">
        <w:rPr>
          <w:rFonts w:cstheme="minorHAnsi"/>
        </w:rPr>
        <w:t>). Hostile sexism reflects hostility directed toward women, especially women who threaten the status quo. In contrast, benevolent sexism reflects a belief that women are weak and in need of protection. Although on the surface benevolent sexism appears to reflect a positive attitude, it is a form of sexism that serves to restrict women to gender-traditional roles. Specifically, this “benevolence” is directed only toward women who are deemed “worthy” because they conform to the traditional gender role. Thus, it functions to restrict women in a narrowly defined, subservient, position. Glick and Fiske refer to these contrasting yet related attitudes and beliefs as benevolent sexism and hostile sexism, and together they constitute ambivalent sexism. Despite their seemingly contradictory positive/negative attitudes toward women, research has consistently found that endorsement of hostile and benevolent sexism is positively correlated (Glick and Fiske </w:t>
      </w:r>
      <w:hyperlink r:id="rId18" w:anchor="CR23" w:tooltip="View reference" w:history="1">
        <w:r w:rsidRPr="00D7240E">
          <w:rPr>
            <w:rStyle w:val="Hyperlink"/>
            <w:rFonts w:eastAsiaTheme="majorEastAsia" w:cstheme="minorHAnsi"/>
            <w:color w:val="4500A7"/>
            <w:spacing w:val="2"/>
          </w:rPr>
          <w:t>1996</w:t>
        </w:r>
      </w:hyperlink>
      <w:r w:rsidRPr="00D7240E">
        <w:rPr>
          <w:rFonts w:cstheme="minorHAnsi"/>
        </w:rPr>
        <w:t>, </w:t>
      </w:r>
      <w:hyperlink r:id="rId19" w:anchor="CR26" w:tooltip="View reference" w:history="1">
        <w:r w:rsidRPr="00D7240E">
          <w:rPr>
            <w:rStyle w:val="Hyperlink"/>
            <w:rFonts w:eastAsiaTheme="majorEastAsia" w:cstheme="minorHAnsi"/>
            <w:color w:val="4500A7"/>
            <w:spacing w:val="2"/>
          </w:rPr>
          <w:t>2001b</w:t>
        </w:r>
      </w:hyperlink>
      <w:r w:rsidRPr="00D7240E">
        <w:rPr>
          <w:rFonts w:cstheme="minorHAnsi"/>
        </w:rPr>
        <w:t>). In the United States, as well as around the world, endorsement of both hostile and benevolent sexist beliefs is correlated with gender inequality (Glick and Fiske </w:t>
      </w:r>
      <w:hyperlink r:id="rId20" w:anchor="CR26" w:tooltip="View reference" w:history="1">
        <w:r w:rsidRPr="00D7240E">
          <w:rPr>
            <w:rStyle w:val="Hyperlink"/>
            <w:rFonts w:eastAsiaTheme="majorEastAsia" w:cstheme="minorHAnsi"/>
            <w:color w:val="4500A7"/>
            <w:spacing w:val="2"/>
          </w:rPr>
          <w:t>2001b</w:t>
        </w:r>
      </w:hyperlink>
      <w:r w:rsidRPr="00D7240E">
        <w:rPr>
          <w:rFonts w:cstheme="minorHAnsi"/>
        </w:rPr>
        <w:t>). Together, these two forms of sexism serve to maintain gender inequality, albeit through two different mechanisms: either bestowing upon women benevolence to “reward” their gender-traditional behaviors or hostility to “punish” their gender non-traditional behavior.</w:t>
      </w:r>
    </w:p>
    <w:p w14:paraId="28034CA0" w14:textId="77777777" w:rsidR="00FA36F7" w:rsidRPr="00D7240E" w:rsidRDefault="00FA36F7" w:rsidP="00712841">
      <w:pPr>
        <w:rPr>
          <w:rFonts w:cstheme="minorHAnsi"/>
        </w:rPr>
      </w:pPr>
      <w:r w:rsidRPr="00D7240E">
        <w:rPr>
          <w:rFonts w:cstheme="minorHAnsi"/>
        </w:rPr>
        <w:t>A large body of research suggests that people’s endorsement of hostile and benevolent sexist beliefs is associated with negative attitudes and behaviors directed toward women in both their professional and personal lives (Lee et al. </w:t>
      </w:r>
      <w:hyperlink r:id="rId21" w:anchor="CR41" w:tooltip="View reference" w:history="1">
        <w:r w:rsidRPr="00D7240E">
          <w:rPr>
            <w:rStyle w:val="Hyperlink"/>
            <w:rFonts w:eastAsiaTheme="majorEastAsia" w:cstheme="minorHAnsi"/>
            <w:color w:val="4500A7"/>
            <w:spacing w:val="2"/>
          </w:rPr>
          <w:t>2010</w:t>
        </w:r>
      </w:hyperlink>
      <w:r w:rsidRPr="00D7240E">
        <w:rPr>
          <w:rFonts w:cstheme="minorHAnsi"/>
        </w:rPr>
        <w:t>). For example, people who endorse hostile sexist beliefs are more likely to negatively evaluate women in work settings (Masser and Abrams </w:t>
      </w:r>
      <w:hyperlink r:id="rId22" w:anchor="CR44" w:tooltip="View reference" w:history="1">
        <w:r w:rsidRPr="00D7240E">
          <w:rPr>
            <w:rStyle w:val="Hyperlink"/>
            <w:rFonts w:eastAsiaTheme="majorEastAsia" w:cstheme="minorHAnsi"/>
            <w:color w:val="4500A7"/>
            <w:spacing w:val="2"/>
          </w:rPr>
          <w:t>2004</w:t>
        </w:r>
      </w:hyperlink>
      <w:r w:rsidRPr="00D7240E">
        <w:rPr>
          <w:rFonts w:cstheme="minorHAnsi"/>
        </w:rPr>
        <w:t>; Sakalli-Ugurlu and Beydogan </w:t>
      </w:r>
      <w:hyperlink r:id="rId23" w:anchor="CR58" w:tooltip="View reference" w:history="1">
        <w:r w:rsidRPr="00D7240E">
          <w:rPr>
            <w:rStyle w:val="Hyperlink"/>
            <w:rFonts w:eastAsiaTheme="majorEastAsia" w:cstheme="minorHAnsi"/>
            <w:color w:val="4500A7"/>
            <w:spacing w:val="2"/>
          </w:rPr>
          <w:t>2002</w:t>
        </w:r>
      </w:hyperlink>
      <w:r w:rsidRPr="00D7240E">
        <w:rPr>
          <w:rFonts w:cstheme="minorHAnsi"/>
        </w:rPr>
        <w:t>); are less willing to donate to women’s organizations, particularly after exposure to sexist jokes (Ford et al. </w:t>
      </w:r>
      <w:hyperlink r:id="rId24" w:anchor="CR21" w:tooltip="View reference" w:history="1">
        <w:r w:rsidRPr="00D7240E">
          <w:rPr>
            <w:rStyle w:val="Hyperlink"/>
            <w:rFonts w:eastAsiaTheme="majorEastAsia" w:cstheme="minorHAnsi"/>
            <w:color w:val="4500A7"/>
            <w:spacing w:val="2"/>
          </w:rPr>
          <w:t>2008</w:t>
        </w:r>
      </w:hyperlink>
      <w:r w:rsidRPr="00D7240E">
        <w:rPr>
          <w:rFonts w:cstheme="minorHAnsi"/>
        </w:rPr>
        <w:t>); and are less supportive of women’s rights (Masser and Abrams </w:t>
      </w:r>
      <w:hyperlink r:id="rId25" w:anchor="CR43" w:tooltip="View reference" w:history="1">
        <w:r w:rsidRPr="00D7240E">
          <w:rPr>
            <w:rStyle w:val="Hyperlink"/>
            <w:rFonts w:eastAsiaTheme="majorEastAsia" w:cstheme="minorHAnsi"/>
            <w:color w:val="4500A7"/>
            <w:spacing w:val="2"/>
          </w:rPr>
          <w:t>1999</w:t>
        </w:r>
      </w:hyperlink>
      <w:r w:rsidRPr="00D7240E">
        <w:rPr>
          <w:rFonts w:cstheme="minorHAnsi"/>
        </w:rPr>
        <w:t>). Endorsement of hostile sexist beliefs is also associated with an increased tolerance of sexual harassment (Russell and Trigg </w:t>
      </w:r>
      <w:hyperlink r:id="rId26" w:anchor="CR57" w:tooltip="View reference" w:history="1">
        <w:r w:rsidRPr="00D7240E">
          <w:rPr>
            <w:rStyle w:val="Hyperlink"/>
            <w:rFonts w:eastAsiaTheme="majorEastAsia" w:cstheme="minorHAnsi"/>
            <w:color w:val="4500A7"/>
            <w:spacing w:val="2"/>
          </w:rPr>
          <w:t>2004</w:t>
        </w:r>
      </w:hyperlink>
      <w:r w:rsidRPr="00D7240E">
        <w:rPr>
          <w:rFonts w:cstheme="minorHAnsi"/>
        </w:rPr>
        <w:t>), greater likelihood of engaging in sexually harassing behaviors (Begany and Milburn </w:t>
      </w:r>
      <w:hyperlink r:id="rId27" w:anchor="CR9" w:tooltip="View reference" w:history="1">
        <w:r w:rsidRPr="00D7240E">
          <w:rPr>
            <w:rStyle w:val="Hyperlink"/>
            <w:rFonts w:eastAsiaTheme="majorEastAsia" w:cstheme="minorHAnsi"/>
            <w:color w:val="4500A7"/>
            <w:spacing w:val="2"/>
          </w:rPr>
          <w:t>2002</w:t>
        </w:r>
      </w:hyperlink>
      <w:r w:rsidRPr="00D7240E">
        <w:rPr>
          <w:rFonts w:cstheme="minorHAnsi"/>
        </w:rPr>
        <w:t xml:space="preserve">), and higher proclivity to commit </w:t>
      </w:r>
      <w:r w:rsidRPr="00D7240E">
        <w:rPr>
          <w:rFonts w:cstheme="minorHAnsi"/>
        </w:rPr>
        <w:lastRenderedPageBreak/>
        <w:t>acquaintance rape (Abrams et al. </w:t>
      </w:r>
      <w:hyperlink r:id="rId28" w:anchor="CR1" w:tooltip="View reference" w:history="1">
        <w:r w:rsidRPr="00D7240E">
          <w:rPr>
            <w:rStyle w:val="Hyperlink"/>
            <w:rFonts w:eastAsiaTheme="majorEastAsia" w:cstheme="minorHAnsi"/>
            <w:color w:val="4500A7"/>
            <w:spacing w:val="2"/>
          </w:rPr>
          <w:t>2003</w:t>
        </w:r>
      </w:hyperlink>
      <w:r w:rsidRPr="00D7240E">
        <w:rPr>
          <w:rFonts w:cstheme="minorHAnsi"/>
        </w:rPr>
        <w:t>). Although benevolent sexism appears to be positive on the surface, it can also limit women’s professional success (Jones et al. </w:t>
      </w:r>
      <w:hyperlink r:id="rId29" w:anchor="CR33" w:tooltip="View reference" w:history="1">
        <w:r w:rsidRPr="00D7240E">
          <w:rPr>
            <w:rStyle w:val="Hyperlink"/>
            <w:rFonts w:eastAsiaTheme="majorEastAsia" w:cstheme="minorHAnsi"/>
            <w:color w:val="4500A7"/>
            <w:spacing w:val="2"/>
          </w:rPr>
          <w:t>2014</w:t>
        </w:r>
      </w:hyperlink>
      <w:r w:rsidRPr="00D7240E">
        <w:rPr>
          <w:rFonts w:cstheme="minorHAnsi"/>
        </w:rPr>
        <w:t>; King et al. </w:t>
      </w:r>
      <w:hyperlink r:id="rId30" w:anchor="CR36" w:tooltip="View reference" w:history="1">
        <w:r w:rsidRPr="00D7240E">
          <w:rPr>
            <w:rStyle w:val="Hyperlink"/>
            <w:rFonts w:eastAsiaTheme="majorEastAsia" w:cstheme="minorHAnsi"/>
            <w:color w:val="4500A7"/>
            <w:spacing w:val="2"/>
          </w:rPr>
          <w:t>2012</w:t>
        </w:r>
      </w:hyperlink>
      <w:r w:rsidRPr="00D7240E">
        <w:rPr>
          <w:rFonts w:cstheme="minorHAnsi"/>
        </w:rPr>
        <w:t>) and is associated with female adolescents’ professional and personal future goals being more gender-traditional (Farkas and Leaper </w:t>
      </w:r>
      <w:hyperlink r:id="rId31" w:anchor="CR20" w:tooltip="View reference" w:history="1">
        <w:r w:rsidRPr="00D7240E">
          <w:rPr>
            <w:rStyle w:val="Hyperlink"/>
            <w:rFonts w:eastAsiaTheme="majorEastAsia" w:cstheme="minorHAnsi"/>
            <w:color w:val="4500A7"/>
            <w:spacing w:val="2"/>
          </w:rPr>
          <w:t>2016</w:t>
        </w:r>
      </w:hyperlink>
      <w:r w:rsidRPr="00D7240E">
        <w:rPr>
          <w:rFonts w:cstheme="minorHAnsi"/>
        </w:rPr>
        <w:t>). Endorsement of benevolently sexist beliefs is also associated with blaming women who are victims of sexual assaults (Abrams et al. </w:t>
      </w:r>
      <w:hyperlink r:id="rId32" w:anchor="CR1" w:tooltip="View reference" w:history="1">
        <w:r w:rsidRPr="00D7240E">
          <w:rPr>
            <w:rStyle w:val="Hyperlink"/>
            <w:rFonts w:eastAsiaTheme="majorEastAsia" w:cstheme="minorHAnsi"/>
            <w:color w:val="4500A7"/>
            <w:spacing w:val="2"/>
          </w:rPr>
          <w:t>2003</w:t>
        </w:r>
      </w:hyperlink>
      <w:r w:rsidRPr="00D7240E">
        <w:rPr>
          <w:rFonts w:cstheme="minorHAnsi"/>
        </w:rPr>
        <w:t>; Chapleau et al. </w:t>
      </w:r>
      <w:hyperlink r:id="rId33" w:anchor="CR13" w:tooltip="View reference" w:history="1">
        <w:r w:rsidRPr="00D7240E">
          <w:rPr>
            <w:rStyle w:val="Hyperlink"/>
            <w:rFonts w:eastAsiaTheme="majorEastAsia" w:cstheme="minorHAnsi"/>
            <w:color w:val="4500A7"/>
            <w:spacing w:val="2"/>
          </w:rPr>
          <w:t>2007</w:t>
        </w:r>
      </w:hyperlink>
      <w:r w:rsidRPr="00D7240E">
        <w:rPr>
          <w:rFonts w:cstheme="minorHAnsi"/>
        </w:rPr>
        <w:t>; LeMaire et al. </w:t>
      </w:r>
      <w:hyperlink r:id="rId34" w:anchor="CR42" w:tooltip="View reference" w:history="1">
        <w:r w:rsidRPr="00D7240E">
          <w:rPr>
            <w:rStyle w:val="Hyperlink"/>
            <w:rFonts w:eastAsiaTheme="majorEastAsia" w:cstheme="minorHAnsi"/>
            <w:color w:val="4500A7"/>
            <w:spacing w:val="2"/>
          </w:rPr>
          <w:t>2016</w:t>
        </w:r>
      </w:hyperlink>
      <w:r w:rsidRPr="00D7240E">
        <w:rPr>
          <w:rFonts w:cstheme="minorHAnsi"/>
        </w:rPr>
        <w:t>; Viki and Abrams </w:t>
      </w:r>
      <w:hyperlink r:id="rId35" w:anchor="CR65" w:tooltip="View reference" w:history="1">
        <w:r w:rsidRPr="00D7240E">
          <w:rPr>
            <w:rStyle w:val="Hyperlink"/>
            <w:rFonts w:eastAsiaTheme="majorEastAsia" w:cstheme="minorHAnsi"/>
            <w:color w:val="4500A7"/>
            <w:spacing w:val="2"/>
          </w:rPr>
          <w:t>2002</w:t>
        </w:r>
      </w:hyperlink>
      <w:r w:rsidRPr="00D7240E">
        <w:rPr>
          <w:rFonts w:cstheme="minorHAnsi"/>
        </w:rPr>
        <w:t>; Viki et al. </w:t>
      </w:r>
      <w:hyperlink r:id="rId36" w:anchor="CR67" w:tooltip="View reference" w:history="1">
        <w:r w:rsidRPr="00D7240E">
          <w:rPr>
            <w:rStyle w:val="Hyperlink"/>
            <w:rFonts w:eastAsiaTheme="majorEastAsia" w:cstheme="minorHAnsi"/>
            <w:color w:val="4500A7"/>
            <w:spacing w:val="2"/>
          </w:rPr>
          <w:t>2004</w:t>
        </w:r>
      </w:hyperlink>
      <w:r w:rsidRPr="00D7240E">
        <w:rPr>
          <w:rFonts w:cstheme="minorHAnsi"/>
        </w:rPr>
        <w:t>). Furthermore, women who endorse benevolently sexist attitudes are more likely to accept restrictions placed on their behavior by male romantic partners (Moya et al. </w:t>
      </w:r>
      <w:hyperlink r:id="rId37" w:anchor="CR49" w:tooltip="View reference" w:history="1">
        <w:r w:rsidRPr="00D7240E">
          <w:rPr>
            <w:rStyle w:val="Hyperlink"/>
            <w:rFonts w:eastAsiaTheme="majorEastAsia" w:cstheme="minorHAnsi"/>
            <w:color w:val="4500A7"/>
            <w:spacing w:val="2"/>
          </w:rPr>
          <w:t>2007</w:t>
        </w:r>
      </w:hyperlink>
      <w:r w:rsidRPr="00D7240E">
        <w:rPr>
          <w:rFonts w:cstheme="minorHAnsi"/>
        </w:rPr>
        <w:t>; Viki et al. </w:t>
      </w:r>
      <w:hyperlink r:id="rId38" w:anchor="CR66" w:tooltip="View reference" w:history="1">
        <w:r w:rsidRPr="00D7240E">
          <w:rPr>
            <w:rStyle w:val="Hyperlink"/>
            <w:rFonts w:eastAsiaTheme="majorEastAsia" w:cstheme="minorHAnsi"/>
            <w:color w:val="4500A7"/>
            <w:spacing w:val="2"/>
          </w:rPr>
          <w:t>2003</w:t>
        </w:r>
      </w:hyperlink>
      <w:r w:rsidRPr="00D7240E">
        <w:rPr>
          <w:rFonts w:cstheme="minorHAnsi"/>
        </w:rPr>
        <w:t>) and describe themselves in relational terms rather than in task-oriented terms (Barreto et al. </w:t>
      </w:r>
      <w:hyperlink r:id="rId39" w:anchor="CR5" w:tooltip="View reference" w:history="1">
        <w:r w:rsidRPr="00D7240E">
          <w:rPr>
            <w:rStyle w:val="Hyperlink"/>
            <w:rFonts w:eastAsiaTheme="majorEastAsia" w:cstheme="minorHAnsi"/>
            <w:color w:val="4500A7"/>
            <w:spacing w:val="2"/>
          </w:rPr>
          <w:t>2010</w:t>
        </w:r>
      </w:hyperlink>
      <w:r w:rsidRPr="00D7240E">
        <w:rPr>
          <w:rFonts w:cstheme="minorHAnsi"/>
        </w:rPr>
        <w:t>).</w:t>
      </w:r>
    </w:p>
    <w:p w14:paraId="219F6B19" w14:textId="77777777" w:rsidR="00FA36F7" w:rsidRPr="00D7240E" w:rsidRDefault="00FA36F7" w:rsidP="00712841">
      <w:pPr>
        <w:rPr>
          <w:rFonts w:cstheme="minorHAnsi"/>
        </w:rPr>
      </w:pPr>
      <w:r w:rsidRPr="00D7240E">
        <w:rPr>
          <w:rFonts w:cstheme="minorHAnsi"/>
        </w:rPr>
        <w:t>Prior research has examined how hostile and benevolently sexist </w:t>
      </w:r>
      <w:r w:rsidRPr="00D7240E">
        <w:rPr>
          <w:rStyle w:val="Emphasis"/>
          <w:rFonts w:cstheme="minorHAnsi"/>
          <w:color w:val="333333"/>
          <w:spacing w:val="2"/>
        </w:rPr>
        <w:t>beliefs</w:t>
      </w:r>
      <w:r w:rsidRPr="00D7240E">
        <w:rPr>
          <w:rFonts w:cstheme="minorHAnsi"/>
        </w:rPr>
        <w:t> correlate with various gendered outcomes. However, how do women’s </w:t>
      </w:r>
      <w:r w:rsidRPr="00D7240E">
        <w:rPr>
          <w:rStyle w:val="Emphasis"/>
          <w:rFonts w:cstheme="minorHAnsi"/>
          <w:color w:val="333333"/>
          <w:spacing w:val="2"/>
        </w:rPr>
        <w:t>experiences</w:t>
      </w:r>
      <w:r w:rsidRPr="00D7240E">
        <w:rPr>
          <w:rFonts w:cstheme="minorHAnsi"/>
        </w:rPr>
        <w:t> as the targets of these types of sexism impact their lives and well-being? To date, the research examining this question has largely focused on women’s experiences with overt sexism. Experiencing overt sexism takes a significant toll on women’s mental and physical well-being (Klonoff et al. </w:t>
      </w:r>
      <w:hyperlink r:id="rId40" w:anchor="CR38" w:tooltip="View reference" w:history="1">
        <w:r w:rsidRPr="00D7240E">
          <w:rPr>
            <w:rStyle w:val="Hyperlink"/>
            <w:rFonts w:eastAsiaTheme="majorEastAsia" w:cstheme="minorHAnsi"/>
            <w:color w:val="4500A7"/>
            <w:spacing w:val="2"/>
          </w:rPr>
          <w:t>2000</w:t>
        </w:r>
      </w:hyperlink>
      <w:r w:rsidRPr="00D7240E">
        <w:rPr>
          <w:rFonts w:cstheme="minorHAnsi"/>
        </w:rPr>
        <w:t>; Landrine et al. </w:t>
      </w:r>
      <w:hyperlink r:id="rId41" w:anchor="CR40" w:tooltip="View reference" w:history="1">
        <w:r w:rsidRPr="00D7240E">
          <w:rPr>
            <w:rStyle w:val="Hyperlink"/>
            <w:rFonts w:eastAsiaTheme="majorEastAsia" w:cstheme="minorHAnsi"/>
            <w:color w:val="4500A7"/>
            <w:spacing w:val="2"/>
          </w:rPr>
          <w:t>1995</w:t>
        </w:r>
      </w:hyperlink>
      <w:r w:rsidRPr="00D7240E">
        <w:rPr>
          <w:rFonts w:cstheme="minorHAnsi"/>
        </w:rPr>
        <w:t>; Moradi and Subich </w:t>
      </w:r>
      <w:hyperlink r:id="rId42" w:anchor="CR48" w:tooltip="View reference" w:history="1">
        <w:r w:rsidRPr="00D7240E">
          <w:rPr>
            <w:rStyle w:val="Hyperlink"/>
            <w:rFonts w:eastAsiaTheme="majorEastAsia" w:cstheme="minorHAnsi"/>
            <w:color w:val="4500A7"/>
            <w:spacing w:val="2"/>
          </w:rPr>
          <w:t>2002</w:t>
        </w:r>
      </w:hyperlink>
      <w:r w:rsidRPr="00D7240E">
        <w:rPr>
          <w:rFonts w:cstheme="minorHAnsi"/>
        </w:rPr>
        <w:t>). Klonoff and Landrine’s (</w:t>
      </w:r>
      <w:hyperlink r:id="rId43" w:anchor="CR37" w:tooltip="View reference" w:history="1">
        <w:r w:rsidRPr="00D7240E">
          <w:rPr>
            <w:rStyle w:val="Hyperlink"/>
            <w:rFonts w:eastAsiaTheme="majorEastAsia" w:cstheme="minorHAnsi"/>
            <w:color w:val="4500A7"/>
            <w:spacing w:val="2"/>
          </w:rPr>
          <w:t>1995</w:t>
        </w:r>
      </w:hyperlink>
      <w:r w:rsidRPr="00D7240E">
        <w:rPr>
          <w:rFonts w:cstheme="minorHAnsi"/>
        </w:rPr>
        <w:t>) study using the Schedule of Sexist Events found that the frequency of sexism experienced in the last year and over one’s lifetime correlated with a variety of mental health and well-being measures, including depression, anxiety, and somatic symptoms. Furthermore, they found that women’s experiences as the targets of sexist events accounted for gender differences in depression, anxiety, and somatic symptoms. Women’s experiences with sexism are also associated with increased anger and decreased self-esteem (Swim et al. </w:t>
      </w:r>
      <w:hyperlink r:id="rId44" w:anchor="CR62" w:tooltip="View reference" w:history="1">
        <w:r w:rsidRPr="00D7240E">
          <w:rPr>
            <w:rStyle w:val="Hyperlink"/>
            <w:rFonts w:eastAsiaTheme="majorEastAsia" w:cstheme="minorHAnsi"/>
            <w:color w:val="4500A7"/>
            <w:spacing w:val="2"/>
          </w:rPr>
          <w:t>2001</w:t>
        </w:r>
      </w:hyperlink>
      <w:r w:rsidRPr="00D7240E">
        <w:rPr>
          <w:rFonts w:cstheme="minorHAnsi"/>
        </w:rPr>
        <w:t>). These findings suggest that being the target of hostile sexist events has a pervasive, negative impact on women’s mental health.</w:t>
      </w:r>
    </w:p>
    <w:p w14:paraId="7BDC50CE" w14:textId="77777777" w:rsidR="00FA36F7" w:rsidRPr="00D7240E" w:rsidRDefault="00FA36F7" w:rsidP="00712841">
      <w:pPr>
        <w:rPr>
          <w:rFonts w:cstheme="minorHAnsi"/>
        </w:rPr>
      </w:pPr>
      <w:r w:rsidRPr="00D7240E">
        <w:rPr>
          <w:rFonts w:cstheme="minorHAnsi"/>
        </w:rPr>
        <w:t>Benevolently sexist experiences pose a unique problem for women because these types of behaviors and attitudes often appear, on the surface, to be warm in nature. Consequently, these behaviors are often difficult for women to identify and challenge as sexist (Becker et al. </w:t>
      </w:r>
      <w:hyperlink r:id="rId45" w:anchor="CR8" w:tooltip="View reference" w:history="1">
        <w:r w:rsidRPr="00D7240E">
          <w:rPr>
            <w:rStyle w:val="Hyperlink"/>
            <w:rFonts w:eastAsiaTheme="majorEastAsia" w:cstheme="minorHAnsi"/>
            <w:color w:val="4500A7"/>
            <w:spacing w:val="2"/>
          </w:rPr>
          <w:t>2011</w:t>
        </w:r>
      </w:hyperlink>
      <w:r w:rsidRPr="00D7240E">
        <w:rPr>
          <w:rFonts w:cstheme="minorHAnsi"/>
        </w:rPr>
        <w:t>; Hammond et al. </w:t>
      </w:r>
      <w:hyperlink r:id="rId46" w:anchor="CR29" w:tooltip="View reference" w:history="1">
        <w:r w:rsidRPr="00D7240E">
          <w:rPr>
            <w:rStyle w:val="Hyperlink"/>
            <w:rFonts w:eastAsiaTheme="majorEastAsia" w:cstheme="minorHAnsi"/>
            <w:color w:val="4500A7"/>
            <w:spacing w:val="2"/>
          </w:rPr>
          <w:t>2014</w:t>
        </w:r>
      </w:hyperlink>
      <w:r w:rsidRPr="00D7240E">
        <w:rPr>
          <w:rFonts w:cstheme="minorHAnsi"/>
        </w:rPr>
        <w:t>). People more easily identify overt sexism and traditional gender role beliefs as sexist than subtle types of sexism, such as benevolent sexism (Swim et al. </w:t>
      </w:r>
      <w:hyperlink r:id="rId47" w:anchor="CR63" w:tooltip="View reference" w:history="1">
        <w:r w:rsidRPr="00D7240E">
          <w:rPr>
            <w:rStyle w:val="Hyperlink"/>
            <w:rFonts w:eastAsiaTheme="majorEastAsia" w:cstheme="minorHAnsi"/>
            <w:color w:val="4500A7"/>
            <w:spacing w:val="2"/>
          </w:rPr>
          <w:t>2005</w:t>
        </w:r>
      </w:hyperlink>
      <w:r w:rsidRPr="00D7240E">
        <w:rPr>
          <w:rFonts w:cstheme="minorHAnsi"/>
        </w:rPr>
        <w:t>). In fact, some research suggests that men who espouse benevolently sexist attitudes are judged somewhat favorably (Barreto and Ellemers </w:t>
      </w:r>
      <w:hyperlink r:id="rId48" w:anchor="CR4" w:tooltip="View reference" w:history="1">
        <w:r w:rsidRPr="00D7240E">
          <w:rPr>
            <w:rStyle w:val="Hyperlink"/>
            <w:rFonts w:eastAsiaTheme="majorEastAsia" w:cstheme="minorHAnsi"/>
            <w:color w:val="4500A7"/>
            <w:spacing w:val="2"/>
          </w:rPr>
          <w:t>2005</w:t>
        </w:r>
      </w:hyperlink>
      <w:r w:rsidRPr="00D7240E">
        <w:rPr>
          <w:rFonts w:cstheme="minorHAnsi"/>
        </w:rPr>
        <w:t>; Chisango and Javangwe </w:t>
      </w:r>
      <w:hyperlink r:id="rId49" w:anchor="CR14" w:tooltip="View reference" w:history="1">
        <w:r w:rsidRPr="00D7240E">
          <w:rPr>
            <w:rStyle w:val="Hyperlink"/>
            <w:rFonts w:eastAsiaTheme="majorEastAsia" w:cstheme="minorHAnsi"/>
            <w:color w:val="4500A7"/>
            <w:spacing w:val="2"/>
          </w:rPr>
          <w:t>2012</w:t>
        </w:r>
      </w:hyperlink>
      <w:r w:rsidRPr="00D7240E">
        <w:rPr>
          <w:rFonts w:cstheme="minorHAnsi"/>
        </w:rPr>
        <w:t>; Killianski and Rudman </w:t>
      </w:r>
      <w:hyperlink r:id="rId50" w:anchor="CR35" w:tooltip="View reference" w:history="1">
        <w:r w:rsidRPr="00D7240E">
          <w:rPr>
            <w:rStyle w:val="Hyperlink"/>
            <w:rFonts w:eastAsiaTheme="majorEastAsia" w:cstheme="minorHAnsi"/>
            <w:color w:val="4500A7"/>
            <w:spacing w:val="2"/>
          </w:rPr>
          <w:t>1998</w:t>
        </w:r>
      </w:hyperlink>
      <w:r w:rsidRPr="00D7240E">
        <w:rPr>
          <w:rFonts w:cstheme="minorHAnsi"/>
        </w:rPr>
        <w:t>). Furthermore, Bosson et al. (</w:t>
      </w:r>
      <w:hyperlink r:id="rId51" w:anchor="CR10" w:tooltip="View reference" w:history="1">
        <w:r w:rsidRPr="00D7240E">
          <w:rPr>
            <w:rStyle w:val="Hyperlink"/>
            <w:rFonts w:eastAsiaTheme="majorEastAsia" w:cstheme="minorHAnsi"/>
            <w:color w:val="4500A7"/>
            <w:spacing w:val="2"/>
          </w:rPr>
          <w:t>2010</w:t>
        </w:r>
      </w:hyperlink>
      <w:r w:rsidRPr="00D7240E">
        <w:rPr>
          <w:rFonts w:cstheme="minorHAnsi"/>
        </w:rPr>
        <w:t>) found that although people overestimate the amount of distress caused by experiencing hostile sexism, they underestimate the amount of distress caused by experiencing benevolently sexist events. Similarly, people overestimate the recovery time from a hostile sexist event but underestimate the recovery time from benevolent sexism. However, laboratory research has found that women who are experimentally exposed to patronizing behaviors perform worse in stereotypically masculine domains (Gervais and Vescio </w:t>
      </w:r>
      <w:hyperlink r:id="rId52" w:anchor="CR22" w:tooltip="View reference" w:history="1">
        <w:r w:rsidRPr="00D7240E">
          <w:rPr>
            <w:rStyle w:val="Hyperlink"/>
            <w:rFonts w:eastAsiaTheme="majorEastAsia" w:cstheme="minorHAnsi"/>
            <w:color w:val="4500A7"/>
            <w:spacing w:val="2"/>
          </w:rPr>
          <w:t>2012</w:t>
        </w:r>
      </w:hyperlink>
      <w:r w:rsidRPr="00D7240E">
        <w:rPr>
          <w:rFonts w:cstheme="minorHAnsi"/>
        </w:rPr>
        <w:t>), are more likely to define themselves in terms of relationships rather than task-oriented characteristics (Barreto et al. </w:t>
      </w:r>
      <w:hyperlink r:id="rId53" w:anchor="CR5" w:tooltip="View reference" w:history="1">
        <w:r w:rsidRPr="00D7240E">
          <w:rPr>
            <w:rStyle w:val="Hyperlink"/>
            <w:rFonts w:eastAsiaTheme="majorEastAsia" w:cstheme="minorHAnsi"/>
            <w:color w:val="4500A7"/>
            <w:spacing w:val="2"/>
          </w:rPr>
          <w:t>2010</w:t>
        </w:r>
      </w:hyperlink>
      <w:r w:rsidRPr="00D7240E">
        <w:rPr>
          <w:rFonts w:cstheme="minorHAnsi"/>
        </w:rPr>
        <w:t>), and report more autobiographical memories of incompetence (Dumont et al. </w:t>
      </w:r>
      <w:hyperlink r:id="rId54" w:anchor="CR19" w:tooltip="View reference" w:history="1">
        <w:r w:rsidRPr="00D7240E">
          <w:rPr>
            <w:rStyle w:val="Hyperlink"/>
            <w:rFonts w:eastAsiaTheme="majorEastAsia" w:cstheme="minorHAnsi"/>
            <w:color w:val="4500A7"/>
            <w:spacing w:val="2"/>
          </w:rPr>
          <w:t>2010</w:t>
        </w:r>
      </w:hyperlink>
      <w:r w:rsidRPr="00D7240E">
        <w:rPr>
          <w:rFonts w:cstheme="minorHAnsi"/>
        </w:rPr>
        <w:t>). Women who witness a staged act of benevolent sexism also report higher levels of body surveillance and shame (Shepherd et al. </w:t>
      </w:r>
      <w:hyperlink r:id="rId55" w:anchor="CR59" w:tooltip="View reference" w:history="1">
        <w:r w:rsidRPr="00D7240E">
          <w:rPr>
            <w:rStyle w:val="Hyperlink"/>
            <w:rFonts w:eastAsiaTheme="majorEastAsia" w:cstheme="minorHAnsi"/>
            <w:color w:val="4500A7"/>
            <w:spacing w:val="2"/>
          </w:rPr>
          <w:t>2011</w:t>
        </w:r>
      </w:hyperlink>
      <w:r w:rsidRPr="00D7240E">
        <w:rPr>
          <w:rFonts w:cstheme="minorHAnsi"/>
        </w:rPr>
        <w:t>).</w:t>
      </w:r>
    </w:p>
    <w:p w14:paraId="4E14EDEA" w14:textId="77777777" w:rsidR="00FA36F7" w:rsidRPr="00D7240E" w:rsidRDefault="00FA36F7" w:rsidP="00712841">
      <w:pPr>
        <w:rPr>
          <w:rFonts w:cstheme="minorHAnsi"/>
        </w:rPr>
      </w:pPr>
      <w:r w:rsidRPr="00D7240E">
        <w:rPr>
          <w:rFonts w:cstheme="minorHAnsi"/>
        </w:rPr>
        <w:t>Yet to be examined are women’s everyday experiences as the target of benevolent sexism and how these experiences are associated with their self-concept and well-being. According to ambivalent sexism theory (Glick and Fiske </w:t>
      </w:r>
      <w:hyperlink r:id="rId56" w:anchor="CR23" w:tooltip="View reference" w:history="1">
        <w:r w:rsidRPr="00D7240E">
          <w:rPr>
            <w:rStyle w:val="Hyperlink"/>
            <w:rFonts w:eastAsiaTheme="majorEastAsia" w:cstheme="minorHAnsi"/>
            <w:color w:val="4500A7"/>
            <w:spacing w:val="2"/>
          </w:rPr>
          <w:t>1996</w:t>
        </w:r>
      </w:hyperlink>
      <w:r w:rsidRPr="00D7240E">
        <w:rPr>
          <w:rFonts w:cstheme="minorHAnsi"/>
        </w:rPr>
        <w:t>, </w:t>
      </w:r>
      <w:hyperlink r:id="rId57" w:anchor="CR26" w:tooltip="View reference" w:history="1">
        <w:r w:rsidRPr="00D7240E">
          <w:rPr>
            <w:rStyle w:val="Hyperlink"/>
            <w:rFonts w:eastAsiaTheme="majorEastAsia" w:cstheme="minorHAnsi"/>
            <w:color w:val="4500A7"/>
            <w:spacing w:val="2"/>
          </w:rPr>
          <w:t>2001b</w:t>
        </w:r>
      </w:hyperlink>
      <w:r w:rsidRPr="00D7240E">
        <w:rPr>
          <w:rFonts w:cstheme="minorHAnsi"/>
        </w:rPr>
        <w:t>), benevolent sexism consists of three interrelated subcomponents: protective paternalism, complementary gender differentiation, and heterosexual intimacy. </w:t>
      </w:r>
      <w:r w:rsidRPr="00D7240E">
        <w:rPr>
          <w:rStyle w:val="Emphasis"/>
          <w:rFonts w:cstheme="minorHAnsi"/>
          <w:color w:val="333333"/>
          <w:spacing w:val="2"/>
        </w:rPr>
        <w:t>Protective paternalism</w:t>
      </w:r>
      <w:r w:rsidRPr="00D7240E">
        <w:rPr>
          <w:rFonts w:cstheme="minorHAnsi"/>
        </w:rPr>
        <w:t> refers to attitudes and behaviors that “justify patriarchy by viewing women as not being fully competent adults, legitimizing the need for a superordinate male figure” (Glick and Fiske </w:t>
      </w:r>
      <w:hyperlink r:id="rId58" w:anchor="CR23" w:tooltip="View reference" w:history="1">
        <w:r w:rsidRPr="00D7240E">
          <w:rPr>
            <w:rStyle w:val="Hyperlink"/>
            <w:rFonts w:eastAsiaTheme="majorEastAsia" w:cstheme="minorHAnsi"/>
            <w:color w:val="4500A7"/>
            <w:spacing w:val="2"/>
          </w:rPr>
          <w:t>1996</w:t>
        </w:r>
      </w:hyperlink>
      <w:r w:rsidRPr="00D7240E">
        <w:rPr>
          <w:rFonts w:cstheme="minorHAnsi"/>
        </w:rPr>
        <w:t>, p. 493) who serves as a protector. However, they note that “…protective paternalism may coexist with its dominative counterpart because men are dyadically dependent on women (because of heterosexual reproduction) as wives, mothers, and romantic objects; thus, women are to be loved, cherished and protected (their ‘weakness’ require that men fulfil the protector-and-provider role)” (p. 493). In the Ambivalent Sexism Inventory (Glick and Fiske </w:t>
      </w:r>
      <w:hyperlink r:id="rId59" w:anchor="CR23" w:tooltip="View reference" w:history="1">
        <w:r w:rsidRPr="00D7240E">
          <w:rPr>
            <w:rStyle w:val="Hyperlink"/>
            <w:rFonts w:eastAsiaTheme="majorEastAsia" w:cstheme="minorHAnsi"/>
            <w:color w:val="4500A7"/>
            <w:spacing w:val="2"/>
          </w:rPr>
          <w:t>1996</w:t>
        </w:r>
      </w:hyperlink>
      <w:r w:rsidRPr="00D7240E">
        <w:rPr>
          <w:rFonts w:cstheme="minorHAnsi"/>
        </w:rPr>
        <w:t xml:space="preserve">) this </w:t>
      </w:r>
      <w:r w:rsidRPr="00D7240E">
        <w:rPr>
          <w:rFonts w:cstheme="minorHAnsi"/>
        </w:rPr>
        <w:lastRenderedPageBreak/>
        <w:t>component of benevolent sexism is measured with items that suggest that in a disaster women should be rescued before men, “Women should be cherished and protected by men,” and that “A good woman should be set on a pedestal by her man” (Glick and Fiske </w:t>
      </w:r>
      <w:hyperlink r:id="rId60" w:anchor="CR23" w:tooltip="View reference" w:history="1">
        <w:r w:rsidRPr="00D7240E">
          <w:rPr>
            <w:rStyle w:val="Hyperlink"/>
            <w:rFonts w:eastAsiaTheme="majorEastAsia" w:cstheme="minorHAnsi"/>
            <w:color w:val="4500A7"/>
            <w:spacing w:val="2"/>
          </w:rPr>
          <w:t>1996</w:t>
        </w:r>
      </w:hyperlink>
      <w:r w:rsidRPr="00D7240E">
        <w:rPr>
          <w:rFonts w:cstheme="minorHAnsi"/>
        </w:rPr>
        <w:t>, p. 512). Furthermore, men should be willing to “sacrifice their own well-being in order to provide financially for the women in their lives” (p. 512).</w:t>
      </w:r>
    </w:p>
    <w:p w14:paraId="13F8063F" w14:textId="77777777" w:rsidR="00FA36F7" w:rsidRPr="00D7240E" w:rsidRDefault="00FA36F7" w:rsidP="00712841">
      <w:pPr>
        <w:rPr>
          <w:rFonts w:cstheme="minorHAnsi"/>
        </w:rPr>
      </w:pPr>
      <w:r w:rsidRPr="00D7240E">
        <w:rPr>
          <w:rFonts w:cstheme="minorHAnsi"/>
        </w:rPr>
        <w:t>The protective paternalism attitude might be manifested in a variety of behaviors. For example, men who are high in benevolent sexism have been found to provide women with more dependency-oriented support (Hammond and Overall </w:t>
      </w:r>
      <w:hyperlink r:id="rId61" w:anchor="CR27" w:tooltip="View reference" w:history="1">
        <w:r w:rsidRPr="00D7240E">
          <w:rPr>
            <w:rStyle w:val="Hyperlink"/>
            <w:rFonts w:eastAsiaTheme="majorEastAsia" w:cstheme="minorHAnsi"/>
            <w:color w:val="4500A7"/>
            <w:spacing w:val="2"/>
          </w:rPr>
          <w:t>2015</w:t>
        </w:r>
      </w:hyperlink>
      <w:r w:rsidRPr="00D7240E">
        <w:rPr>
          <w:rFonts w:cstheme="minorHAnsi"/>
        </w:rPr>
        <w:t>; Shnabel et al. </w:t>
      </w:r>
      <w:hyperlink r:id="rId62" w:anchor="CR60" w:tooltip="View reference" w:history="1">
        <w:r w:rsidRPr="00D7240E">
          <w:rPr>
            <w:rStyle w:val="Hyperlink"/>
            <w:rFonts w:eastAsiaTheme="majorEastAsia" w:cstheme="minorHAnsi"/>
            <w:color w:val="4500A7"/>
            <w:spacing w:val="2"/>
          </w:rPr>
          <w:t>2016</w:t>
        </w:r>
      </w:hyperlink>
      <w:r w:rsidRPr="00D7240E">
        <w:rPr>
          <w:rFonts w:cstheme="minorHAnsi"/>
        </w:rPr>
        <w:t>). Dependency-oriented behaviors include “directing or dictating the discussion and the recipient’s goal-related plans; neglecting the recipients own abilities” (Hammond and Overall </w:t>
      </w:r>
      <w:hyperlink r:id="rId63" w:anchor="CR27" w:tooltip="View reference" w:history="1">
        <w:r w:rsidRPr="00D7240E">
          <w:rPr>
            <w:rStyle w:val="Hyperlink"/>
            <w:rFonts w:eastAsiaTheme="majorEastAsia" w:cstheme="minorHAnsi"/>
            <w:color w:val="4500A7"/>
            <w:spacing w:val="2"/>
          </w:rPr>
          <w:t>2015</w:t>
        </w:r>
      </w:hyperlink>
      <w:r w:rsidRPr="00D7240E">
        <w:rPr>
          <w:rFonts w:cstheme="minorHAnsi"/>
        </w:rPr>
        <w:t>, p. 1182). This results in the recipient’s dependency on the helper and undermines the recipients goal-related competence. These types of behaviors could include men telling women what to do, doubting their ability to make good decisions, questioning their expertise, or unnecessarily doing things for women. Other protective paternalistic behaviors could include restricting a women’s behaviors because a situation is perceived as not being safe or offering protection (such as being offered a male escort) when it is not wanted or needed under the guise of “safety” (Moya et al. </w:t>
      </w:r>
      <w:hyperlink r:id="rId64" w:anchor="CR49" w:tooltip="View reference" w:history="1">
        <w:r w:rsidRPr="00D7240E">
          <w:rPr>
            <w:rStyle w:val="Hyperlink"/>
            <w:rFonts w:eastAsiaTheme="majorEastAsia" w:cstheme="minorHAnsi"/>
            <w:color w:val="4500A7"/>
            <w:spacing w:val="2"/>
          </w:rPr>
          <w:t>2007</w:t>
        </w:r>
      </w:hyperlink>
      <w:r w:rsidRPr="00D7240E">
        <w:rPr>
          <w:rFonts w:cstheme="minorHAnsi"/>
        </w:rPr>
        <w:t>). Women may also be encouraged to look for a romantic partner who is willing to be the financial provider and protector who will “love and cherish” them.</w:t>
      </w:r>
    </w:p>
    <w:p w14:paraId="2D14695E" w14:textId="77777777" w:rsidR="00FA36F7" w:rsidRPr="00D7240E" w:rsidRDefault="00FA36F7" w:rsidP="00712841">
      <w:pPr>
        <w:rPr>
          <w:rFonts w:cstheme="minorHAnsi"/>
        </w:rPr>
      </w:pPr>
      <w:r w:rsidRPr="00D7240E">
        <w:rPr>
          <w:rFonts w:cstheme="minorHAnsi"/>
        </w:rPr>
        <w:t>The second component of benevolent sexism, </w:t>
      </w:r>
      <w:r w:rsidRPr="00D7240E">
        <w:rPr>
          <w:rStyle w:val="Emphasis"/>
          <w:rFonts w:cstheme="minorHAnsi"/>
          <w:color w:val="333333"/>
          <w:spacing w:val="2"/>
        </w:rPr>
        <w:t>complementary gender differentiation</w:t>
      </w:r>
      <w:r w:rsidRPr="00D7240E">
        <w:rPr>
          <w:rFonts w:cstheme="minorHAnsi"/>
        </w:rPr>
        <w:t>, refers to beliefs that men and women have traits that complement each other and further justifies the traditional division of social roles where women work inside the home and men work outside the home (Glick and Fiske </w:t>
      </w:r>
      <w:hyperlink r:id="rId65" w:anchor="CR23" w:tooltip="View reference" w:history="1">
        <w:r w:rsidRPr="00D7240E">
          <w:rPr>
            <w:rStyle w:val="Hyperlink"/>
            <w:rFonts w:eastAsiaTheme="majorEastAsia" w:cstheme="minorHAnsi"/>
            <w:color w:val="4500A7"/>
            <w:spacing w:val="2"/>
          </w:rPr>
          <w:t>1996</w:t>
        </w:r>
      </w:hyperlink>
      <w:r w:rsidRPr="00D7240E">
        <w:rPr>
          <w:rFonts w:cstheme="minorHAnsi"/>
        </w:rPr>
        <w:t>). Often these traits are portrayed as favorable, such as women being viewed as having desirable traits of morality or purity. In the Ambivalent Sexism Inventory this component is measured with items that highlight and praise women’s “purity,” “superior moral sensibility,” and “refined sense of culture and good taste” that men do not have (Glick and Fiske </w:t>
      </w:r>
      <w:hyperlink r:id="rId66" w:anchor="CR23" w:tooltip="View reference" w:history="1">
        <w:r w:rsidRPr="00D7240E">
          <w:rPr>
            <w:rStyle w:val="Hyperlink"/>
            <w:rFonts w:eastAsiaTheme="majorEastAsia" w:cstheme="minorHAnsi"/>
            <w:color w:val="4500A7"/>
            <w:spacing w:val="2"/>
          </w:rPr>
          <w:t>1996</w:t>
        </w:r>
      </w:hyperlink>
      <w:r w:rsidRPr="00D7240E">
        <w:rPr>
          <w:rFonts w:cstheme="minorHAnsi"/>
        </w:rPr>
        <w:t>, p. 512). We propose that women’s experiences with complementary gender differentiation should have a favorable sentiment where they are encouraged and praised for engaging in gender traditional behaviors expected of a “good woman,” such as being moral and displaying purity. Women may be expected to, and praised for, engaging in traditional household labor and childcare (Silvan-Ferrero and Bustillos Lopez </w:t>
      </w:r>
      <w:hyperlink r:id="rId67" w:anchor="CR61" w:tooltip="View reference" w:history="1">
        <w:r w:rsidRPr="00D7240E">
          <w:rPr>
            <w:rStyle w:val="Hyperlink"/>
            <w:rFonts w:eastAsiaTheme="majorEastAsia" w:cstheme="minorHAnsi"/>
            <w:color w:val="4500A7"/>
            <w:spacing w:val="2"/>
          </w:rPr>
          <w:t>2007</w:t>
        </w:r>
      </w:hyperlink>
      <w:r w:rsidRPr="00D7240E">
        <w:rPr>
          <w:rFonts w:cstheme="minorHAnsi"/>
        </w:rPr>
        <w:t>). Women may also have experiences where people underestimate or negate their skills and traits that are traditionally associated with a more masculine role, such as agentic traits and physical strength or athleticism.</w:t>
      </w:r>
    </w:p>
    <w:p w14:paraId="031B03C2" w14:textId="77777777" w:rsidR="00FA36F7" w:rsidRPr="00D7240E" w:rsidRDefault="00FA36F7" w:rsidP="00712841">
      <w:pPr>
        <w:rPr>
          <w:rFonts w:cstheme="minorHAnsi"/>
        </w:rPr>
      </w:pPr>
      <w:r w:rsidRPr="00D7240E">
        <w:rPr>
          <w:rFonts w:cstheme="minorHAnsi"/>
        </w:rPr>
        <w:t>The third component of benevolent sexism, </w:t>
      </w:r>
      <w:r w:rsidRPr="00D7240E">
        <w:rPr>
          <w:rStyle w:val="Emphasis"/>
          <w:rFonts w:cstheme="minorHAnsi"/>
          <w:color w:val="333333"/>
          <w:spacing w:val="2"/>
        </w:rPr>
        <w:t>heterosexual intimacy</w:t>
      </w:r>
      <w:r w:rsidRPr="00D7240E">
        <w:rPr>
          <w:rFonts w:cstheme="minorHAnsi"/>
        </w:rPr>
        <w:t>, reflects men’s desire for intimacy and sexual reproduction with women (Glick and Fiske </w:t>
      </w:r>
      <w:hyperlink r:id="rId68" w:anchor="CR23" w:tooltip="View reference" w:history="1">
        <w:r w:rsidRPr="00D7240E">
          <w:rPr>
            <w:rStyle w:val="Hyperlink"/>
            <w:rFonts w:eastAsiaTheme="majorEastAsia" w:cstheme="minorHAnsi"/>
            <w:color w:val="4500A7"/>
            <w:spacing w:val="2"/>
          </w:rPr>
          <w:t>1996</w:t>
        </w:r>
      </w:hyperlink>
      <w:r w:rsidRPr="00D7240E">
        <w:rPr>
          <w:rFonts w:cstheme="minorHAnsi"/>
        </w:rPr>
        <w:t>). Heterosexual intimacy romanticizes women as objects of affection and as valued romantic partners. This component was measured in the Ambivalent Sexism Inventory (Glick and Fiske </w:t>
      </w:r>
      <w:hyperlink r:id="rId69" w:anchor="CR23" w:tooltip="View reference" w:history="1">
        <w:r w:rsidRPr="00D7240E">
          <w:rPr>
            <w:rStyle w:val="Hyperlink"/>
            <w:rFonts w:eastAsiaTheme="majorEastAsia" w:cstheme="minorHAnsi"/>
            <w:color w:val="4500A7"/>
            <w:spacing w:val="2"/>
          </w:rPr>
          <w:t>1996</w:t>
        </w:r>
      </w:hyperlink>
      <w:r w:rsidRPr="00D7240E">
        <w:rPr>
          <w:rFonts w:cstheme="minorHAnsi"/>
        </w:rPr>
        <w:t>) with items that highlight a man’s need for a woman to complete him, that involvement in a romantic relationship is necessary to be happy in life, and that every man should have a “woman whom he adores” (p. 512). Women’s experiences with this type of benevolent sexism might include being adored and cherished by a male partner, but also feeling an expectation that they fulfill the partner’s intimacy and relationships needs, whether that be through physical, emotional, or sexual intimacy. Indeed, when women interact with a male partner who is high in benevolent sexism they tend to engage in greater relationship-oriented support such as communicating commitment to the relationship, providing affection and emotional support to the partner, supporting the partner’s goals, and putting primary emphasis on the partner’s success (Hammond and Overall </w:t>
      </w:r>
      <w:hyperlink r:id="rId70" w:anchor="CR27" w:tooltip="View reference" w:history="1">
        <w:r w:rsidRPr="00D7240E">
          <w:rPr>
            <w:rStyle w:val="Hyperlink"/>
            <w:rFonts w:eastAsiaTheme="majorEastAsia" w:cstheme="minorHAnsi"/>
            <w:color w:val="4500A7"/>
            <w:spacing w:val="2"/>
          </w:rPr>
          <w:t>2015</w:t>
        </w:r>
      </w:hyperlink>
      <w:r w:rsidRPr="00D7240E">
        <w:rPr>
          <w:rFonts w:cstheme="minorHAnsi"/>
        </w:rPr>
        <w:t>).</w:t>
      </w:r>
    </w:p>
    <w:p w14:paraId="3E6BDD54" w14:textId="77777777" w:rsidR="00FA36F7" w:rsidRPr="00D7240E" w:rsidRDefault="00FA36F7" w:rsidP="00712841">
      <w:pPr>
        <w:rPr>
          <w:rFonts w:cstheme="minorHAnsi"/>
        </w:rPr>
      </w:pPr>
      <w:r w:rsidRPr="00D7240E">
        <w:rPr>
          <w:rFonts w:cstheme="minorHAnsi"/>
        </w:rPr>
        <w:t>In sum, women may experience benevolent sexism as manifested in a variety of ways. The first goal of the current project is to develop and validate a new measure of Experiences with Benevolent Sexism. This new measure is designed to focus on women’s experiences across the three subcomponents of benevolent sexism as outlined in ambivalent sexism theory (Glick and Fiske </w:t>
      </w:r>
      <w:hyperlink r:id="rId71" w:anchor="CR24" w:tooltip="View reference" w:history="1">
        <w:r w:rsidRPr="00D7240E">
          <w:rPr>
            <w:rStyle w:val="Hyperlink"/>
            <w:rFonts w:eastAsiaTheme="majorEastAsia" w:cstheme="minorHAnsi"/>
            <w:color w:val="4500A7"/>
            <w:spacing w:val="2"/>
          </w:rPr>
          <w:t>1997</w:t>
        </w:r>
      </w:hyperlink>
      <w:r w:rsidRPr="00D7240E">
        <w:rPr>
          <w:rFonts w:cstheme="minorHAnsi"/>
        </w:rPr>
        <w:t xml:space="preserve">). Second, we seek to examine the frequency that women experience benevolent sexism and the degree to which they view these experiences as sexist and distressing. Third, we seek to test the relationship between women’s experiences as targets of benevolent and </w:t>
      </w:r>
      <w:r w:rsidRPr="00D7240E">
        <w:rPr>
          <w:rFonts w:cstheme="minorHAnsi"/>
        </w:rPr>
        <w:lastRenderedPageBreak/>
        <w:t>hostile sexism with various measures of self-concept. These goals are tested in two samples: U.S. college-age women (Study 1) and an online sample of women (Study 2).</w:t>
      </w:r>
    </w:p>
    <w:p w14:paraId="4B16ADAB" w14:textId="77777777" w:rsidR="00FA36F7" w:rsidRPr="00D7240E" w:rsidRDefault="00FA36F7" w:rsidP="00712841">
      <w:pPr>
        <w:rPr>
          <w:rFonts w:cstheme="minorHAnsi"/>
        </w:rPr>
      </w:pPr>
      <w:r w:rsidRPr="00D7240E">
        <w:rPr>
          <w:rFonts w:cstheme="minorHAnsi"/>
        </w:rPr>
        <w:t>To develop a potential pool of items for the new measure of Experiences with Benevolent Sexism, we took multiple steps. We examined the items measuring benevolently sexist attitudes on the Ambivalent Sexism Inventory (Glick and Fiske </w:t>
      </w:r>
      <w:hyperlink r:id="rId72" w:anchor="CR23" w:tooltip="View reference" w:history="1">
        <w:r w:rsidRPr="00D7240E">
          <w:rPr>
            <w:rStyle w:val="Hyperlink"/>
            <w:rFonts w:eastAsiaTheme="majorEastAsia" w:cstheme="minorHAnsi"/>
            <w:color w:val="4500A7"/>
            <w:spacing w:val="2"/>
          </w:rPr>
          <w:t>1996</w:t>
        </w:r>
      </w:hyperlink>
      <w:r w:rsidRPr="00D7240E">
        <w:rPr>
          <w:rFonts w:cstheme="minorHAnsi"/>
        </w:rPr>
        <w:t>) and wrote new items, when possible, to reflect an experience rather than an attitude. Items from the Chivalry Scale (Viki et al. </w:t>
      </w:r>
      <w:hyperlink r:id="rId73" w:anchor="CR66" w:tooltip="View reference" w:history="1">
        <w:r w:rsidRPr="00D7240E">
          <w:rPr>
            <w:rStyle w:val="Hyperlink"/>
            <w:rFonts w:eastAsiaTheme="majorEastAsia" w:cstheme="minorHAnsi"/>
            <w:color w:val="4500A7"/>
            <w:spacing w:val="2"/>
          </w:rPr>
          <w:t>2003</w:t>
        </w:r>
      </w:hyperlink>
      <w:r w:rsidRPr="00D7240E">
        <w:rPr>
          <w:rFonts w:cstheme="minorHAnsi"/>
        </w:rPr>
        <w:t>) that had been revised by Oswald et al. (</w:t>
      </w:r>
      <w:hyperlink r:id="rId74" w:anchor="CR52" w:tooltip="View reference" w:history="1">
        <w:r w:rsidRPr="00D7240E">
          <w:rPr>
            <w:rStyle w:val="Hyperlink"/>
            <w:rFonts w:eastAsiaTheme="majorEastAsia" w:cstheme="minorHAnsi"/>
            <w:color w:val="4500A7"/>
            <w:spacing w:val="2"/>
          </w:rPr>
          <w:t>2012</w:t>
        </w:r>
      </w:hyperlink>
      <w:r w:rsidRPr="00D7240E">
        <w:rPr>
          <w:rFonts w:cstheme="minorHAnsi"/>
        </w:rPr>
        <w:t>) as a preliminary measure of benevolent sexism were also included in the pool of potential items.</w:t>
      </w:r>
    </w:p>
    <w:p w14:paraId="401154E9" w14:textId="77777777" w:rsidR="00FA36F7" w:rsidRPr="00D7240E" w:rsidRDefault="00FA36F7" w:rsidP="00712841">
      <w:pPr>
        <w:rPr>
          <w:rFonts w:cstheme="minorHAnsi"/>
        </w:rPr>
      </w:pPr>
      <w:r w:rsidRPr="00D7240E">
        <w:rPr>
          <w:rFonts w:cstheme="minorHAnsi"/>
        </w:rPr>
        <w:t>To ensure that the items reflected the range of women’s experiences with benevolent sexism, items were also based on essays from a separate study (Baalbaki and Oswald </w:t>
      </w:r>
      <w:hyperlink r:id="rId75" w:anchor="CR3" w:tooltip="View reference" w:history="1">
        <w:r w:rsidRPr="00D7240E">
          <w:rPr>
            <w:rStyle w:val="Hyperlink"/>
            <w:rFonts w:eastAsiaTheme="majorEastAsia" w:cstheme="minorHAnsi"/>
            <w:color w:val="4500A7"/>
            <w:spacing w:val="2"/>
          </w:rPr>
          <w:t>2017</w:t>
        </w:r>
      </w:hyperlink>
      <w:r w:rsidRPr="00D7240E">
        <w:rPr>
          <w:rFonts w:cstheme="minorHAnsi"/>
        </w:rPr>
        <w:t>). In that study, 120 college-aged U.S. women (</w:t>
      </w:r>
      <w:r w:rsidRPr="00D7240E">
        <w:rPr>
          <w:rStyle w:val="Emphasis"/>
          <w:rFonts w:cstheme="minorHAnsi"/>
          <w:color w:val="333333"/>
          <w:spacing w:val="2"/>
        </w:rPr>
        <w:t>M</w:t>
      </w:r>
      <w:r w:rsidRPr="00D7240E">
        <w:rPr>
          <w:rFonts w:cstheme="minorHAnsi"/>
          <w:vertAlign w:val="subscript"/>
        </w:rPr>
        <w:t>age</w:t>
      </w:r>
      <w:r w:rsidRPr="00D7240E">
        <w:rPr>
          <w:rFonts w:cstheme="minorHAnsi"/>
        </w:rPr>
        <w:t> = 19.02, </w:t>
      </w:r>
      <w:r w:rsidRPr="00D7240E">
        <w:rPr>
          <w:rStyle w:val="Emphasis"/>
          <w:rFonts w:cstheme="minorHAnsi"/>
          <w:color w:val="333333"/>
          <w:spacing w:val="2"/>
        </w:rPr>
        <w:t>SD</w:t>
      </w:r>
      <w:r w:rsidRPr="00D7240E">
        <w:rPr>
          <w:rFonts w:cstheme="minorHAnsi"/>
        </w:rPr>
        <w:t> = 1.41, range = 18–29, 83% Caucasian) wrote essays describing a situation in which they, or a woman they observed, was treated unfairly or differently because of her gender. Two coders read the essays and coded them for type of sexism as well as the overall theme of the event. Essays were first coded as describing hostile sexism (</w:t>
      </w:r>
      <w:r w:rsidRPr="00D7240E">
        <w:rPr>
          <w:rStyle w:val="Emphasis"/>
          <w:rFonts w:cstheme="minorHAnsi"/>
          <w:color w:val="333333"/>
          <w:spacing w:val="2"/>
        </w:rPr>
        <w:t>n</w:t>
      </w:r>
      <w:r w:rsidRPr="00D7240E">
        <w:rPr>
          <w:rFonts w:cstheme="minorHAnsi"/>
        </w:rPr>
        <w:t> = 80, 66.7%) or benevolent sexism (</w:t>
      </w:r>
      <w:r w:rsidRPr="00D7240E">
        <w:rPr>
          <w:rStyle w:val="Emphasis"/>
          <w:rFonts w:cstheme="minorHAnsi"/>
          <w:color w:val="333333"/>
          <w:spacing w:val="2"/>
        </w:rPr>
        <w:t>n</w:t>
      </w:r>
      <w:r w:rsidRPr="00D7240E">
        <w:rPr>
          <w:rFonts w:cstheme="minorHAnsi"/>
        </w:rPr>
        <w:t> = 30, 25%) (κ = .94) based on Glick and Fiske’s ambivalent sexism theory. The benevolent sexist experiences were further coded by subtype (κ = .89); 8 (6.7%) were coded as protective paternalism, 11 (9.2%) and were coded as complementary gender differentiation, 9 (7.5%) were coded as heterosexual intimacy, and two were coded as benevolent sexism but not clearly identified into a subcategory. Essays were also identified as conveying a central theme based on participants’ responses rather than on themes imposed by the researchers. The experiences were identified as occurring in the context of sports (</w:t>
      </w:r>
      <w:r w:rsidRPr="00D7240E">
        <w:rPr>
          <w:rStyle w:val="Emphasis"/>
          <w:rFonts w:cstheme="minorHAnsi"/>
          <w:color w:val="333333"/>
          <w:spacing w:val="2"/>
        </w:rPr>
        <w:t>n</w:t>
      </w:r>
      <w:r w:rsidRPr="00D7240E">
        <w:rPr>
          <w:rFonts w:cstheme="minorHAnsi"/>
        </w:rPr>
        <w:t> = 7, 23.3%), academics (</w:t>
      </w:r>
      <w:r w:rsidRPr="00D7240E">
        <w:rPr>
          <w:rStyle w:val="Emphasis"/>
          <w:rFonts w:cstheme="minorHAnsi"/>
          <w:color w:val="333333"/>
          <w:spacing w:val="2"/>
        </w:rPr>
        <w:t>n</w:t>
      </w:r>
      <w:r w:rsidRPr="00D7240E">
        <w:rPr>
          <w:rFonts w:cstheme="minorHAnsi"/>
        </w:rPr>
        <w:t> = 1, 3.3%), work (</w:t>
      </w:r>
      <w:r w:rsidRPr="00D7240E">
        <w:rPr>
          <w:rStyle w:val="Emphasis"/>
          <w:rFonts w:cstheme="minorHAnsi"/>
          <w:color w:val="333333"/>
          <w:spacing w:val="2"/>
        </w:rPr>
        <w:t>n</w:t>
      </w:r>
      <w:r w:rsidRPr="00D7240E">
        <w:rPr>
          <w:rFonts w:cstheme="minorHAnsi"/>
        </w:rPr>
        <w:t> = 5, 16.7%), interpersonal relationships (</w:t>
      </w:r>
      <w:r w:rsidRPr="00D7240E">
        <w:rPr>
          <w:rStyle w:val="Emphasis"/>
          <w:rFonts w:cstheme="minorHAnsi"/>
          <w:color w:val="333333"/>
          <w:spacing w:val="2"/>
        </w:rPr>
        <w:t>n</w:t>
      </w:r>
      <w:r w:rsidRPr="00D7240E">
        <w:rPr>
          <w:rFonts w:cstheme="minorHAnsi"/>
        </w:rPr>
        <w:t> = 11, 36.7%), and other (</w:t>
      </w:r>
      <w:r w:rsidRPr="00D7240E">
        <w:rPr>
          <w:rStyle w:val="Emphasis"/>
          <w:rFonts w:cstheme="minorHAnsi"/>
          <w:color w:val="333333"/>
          <w:spacing w:val="2"/>
        </w:rPr>
        <w:t>n</w:t>
      </w:r>
      <w:r w:rsidRPr="00D7240E">
        <w:rPr>
          <w:rFonts w:cstheme="minorHAnsi"/>
        </w:rPr>
        <w:t> = 6, 20%) (coding κ = .92). Based on these essays, we wrote potential scale items to convey experiences across the different benevolent sexism subcomponents and thematic areas.</w:t>
      </w:r>
    </w:p>
    <w:p w14:paraId="73F335AC" w14:textId="77777777" w:rsidR="00FA36F7" w:rsidRPr="00D7240E" w:rsidRDefault="00FA36F7" w:rsidP="00712841">
      <w:pPr>
        <w:rPr>
          <w:rFonts w:cstheme="minorHAnsi"/>
        </w:rPr>
      </w:pPr>
      <w:r w:rsidRPr="00D7240E">
        <w:rPr>
          <w:rFonts w:cstheme="minorHAnsi"/>
        </w:rPr>
        <w:t>Fully 64 items were written for preliminary consideration in the new scale. To narrow the pool of potential items to include only the best items, we took the following steps. First, three researchers (the first author and two researchers not affiliated with the study but who have published research on ambivalent sexism) reviewed all items and selected the ones that they felt best captured the three subcomponents of benevolent sexism. Of these, 51 items were selected by at least one reviewer and were further examined. This set of items was further reduced by eliminating redundant items and items that had severely skewed distributions (based on Study 1). These items had low variability in responses because they were either highly specific situations that few women ever experienced or were so general that everyone had the experience. This process resulted in 28 items that were included in the exploratory factor analysis.</w:t>
      </w:r>
    </w:p>
    <w:p w14:paraId="545F0F2E" w14:textId="77777777" w:rsidR="00FA36F7" w:rsidRPr="00D7240E" w:rsidRDefault="00FA36F7" w:rsidP="00712841">
      <w:pPr>
        <w:pStyle w:val="Heading1"/>
        <w:rPr>
          <w:rFonts w:asciiTheme="minorHAnsi" w:hAnsiTheme="minorHAnsi" w:cstheme="minorHAnsi"/>
          <w:sz w:val="36"/>
          <w:szCs w:val="36"/>
        </w:rPr>
      </w:pPr>
      <w:r w:rsidRPr="00D7240E">
        <w:rPr>
          <w:rFonts w:asciiTheme="minorHAnsi" w:hAnsiTheme="minorHAnsi" w:cstheme="minorHAnsi"/>
        </w:rPr>
        <w:t>Study 1</w:t>
      </w:r>
    </w:p>
    <w:p w14:paraId="5DD62FC0" w14:textId="77777777" w:rsidR="00FA36F7" w:rsidRPr="00D7240E" w:rsidRDefault="00FA36F7" w:rsidP="00712841">
      <w:pPr>
        <w:rPr>
          <w:rFonts w:cstheme="minorHAnsi"/>
        </w:rPr>
      </w:pPr>
      <w:r w:rsidRPr="00D7240E">
        <w:rPr>
          <w:rFonts w:cstheme="minorHAnsi"/>
        </w:rPr>
        <w:t>The primary goal of our first study is to develop and test the new Experiences with Benevolent Sexism Scale. We expect to see three factors emerge, consistent with the three subcomponents of benevolent sexism. In exploratory analyses, we also compared the frequency, perceived distress, and rated sexism of these different types of benevolently sexist experiences.</w:t>
      </w:r>
    </w:p>
    <w:p w14:paraId="7CF2C2FF" w14:textId="77777777" w:rsidR="00FA36F7" w:rsidRPr="00D7240E" w:rsidRDefault="00FA36F7" w:rsidP="00712841">
      <w:pPr>
        <w:rPr>
          <w:rFonts w:cstheme="minorHAnsi"/>
        </w:rPr>
      </w:pPr>
      <w:r w:rsidRPr="00D7240E">
        <w:rPr>
          <w:rFonts w:cstheme="minorHAnsi"/>
        </w:rPr>
        <w:t>Second, we compared women’s experiences with benevolent sexism and hostile sexism. We hypothesize that women will report experiencing benevolently sexist events more frequently than they experience hostile sexist events. However, women will rate their distress and perceived sexism of the benevolently sexist experiences lower than they rate the hostile sexist experiences. This set of hypotheses represents the idea that although experiencing benevolent sexism is common, it is more difficult to recognize as sexist because of the seemingly positive and subtle nature of the events.</w:t>
      </w:r>
    </w:p>
    <w:p w14:paraId="082FA035" w14:textId="77777777" w:rsidR="00FA36F7" w:rsidRPr="00D7240E" w:rsidRDefault="00FA36F7" w:rsidP="00712841">
      <w:pPr>
        <w:rPr>
          <w:rFonts w:cstheme="minorHAnsi"/>
        </w:rPr>
      </w:pPr>
      <w:r w:rsidRPr="00D7240E">
        <w:rPr>
          <w:rFonts w:cstheme="minorHAnsi"/>
        </w:rPr>
        <w:t>Our third goal is to provide preliminary correlational evidence of how experiencing both hostile and benevolent sexism is associated with women’s well-being. In the first study, we focus on women’s self-esteem and self-</w:t>
      </w:r>
      <w:r w:rsidRPr="00D7240E">
        <w:rPr>
          <w:rFonts w:cstheme="minorHAnsi"/>
        </w:rPr>
        <w:lastRenderedPageBreak/>
        <w:t>doubt. We chose to examine these two variables because self-esteem is a central component of a person’s self-narrative and because laboratory evidence suggests that benevolent sexism serves to undercut young women’s feelings of self-worth while increasing self-doubt (Dumont et al. </w:t>
      </w:r>
      <w:hyperlink r:id="rId76" w:anchor="CR19" w:tooltip="View reference" w:history="1">
        <w:r w:rsidRPr="00D7240E">
          <w:rPr>
            <w:rStyle w:val="Hyperlink"/>
            <w:rFonts w:eastAsiaTheme="majorEastAsia" w:cstheme="minorHAnsi"/>
            <w:color w:val="4500A7"/>
            <w:spacing w:val="2"/>
          </w:rPr>
          <w:t>2010</w:t>
        </w:r>
      </w:hyperlink>
      <w:r w:rsidRPr="00D7240E">
        <w:rPr>
          <w:rFonts w:cstheme="minorHAnsi"/>
        </w:rPr>
        <w:t>; Hammond and Overall </w:t>
      </w:r>
      <w:hyperlink r:id="rId77" w:anchor="CR27" w:tooltip="View reference" w:history="1">
        <w:r w:rsidRPr="00D7240E">
          <w:rPr>
            <w:rStyle w:val="Hyperlink"/>
            <w:rFonts w:eastAsiaTheme="majorEastAsia" w:cstheme="minorHAnsi"/>
            <w:color w:val="4500A7"/>
            <w:spacing w:val="2"/>
          </w:rPr>
          <w:t>2015</w:t>
        </w:r>
      </w:hyperlink>
      <w:r w:rsidRPr="00D7240E">
        <w:rPr>
          <w:rFonts w:cstheme="minorHAnsi"/>
        </w:rPr>
        <w:t>). We hypothesize that experiences with both hostile and benevolent sexism will be independently associated with decreased self-esteem and increased self-doubt.</w:t>
      </w:r>
    </w:p>
    <w:p w14:paraId="2621D691" w14:textId="77777777" w:rsidR="00FA36F7" w:rsidRPr="00D7240E" w:rsidRDefault="00FA36F7" w:rsidP="00712841">
      <w:pPr>
        <w:pStyle w:val="Heading2"/>
        <w:rPr>
          <w:rFonts w:asciiTheme="minorHAnsi" w:hAnsiTheme="minorHAnsi" w:cstheme="minorHAnsi"/>
          <w:sz w:val="27"/>
          <w:szCs w:val="27"/>
        </w:rPr>
      </w:pPr>
      <w:r w:rsidRPr="00D7240E">
        <w:rPr>
          <w:rFonts w:asciiTheme="minorHAnsi" w:hAnsiTheme="minorHAnsi" w:cstheme="minorHAnsi"/>
        </w:rPr>
        <w:t>Method</w:t>
      </w:r>
    </w:p>
    <w:p w14:paraId="7B312CD3" w14:textId="77777777" w:rsidR="00FA36F7" w:rsidRPr="00D7240E" w:rsidRDefault="00FA36F7" w:rsidP="00712841">
      <w:pPr>
        <w:pStyle w:val="Heading3"/>
        <w:rPr>
          <w:rFonts w:asciiTheme="minorHAnsi" w:hAnsiTheme="minorHAnsi" w:cstheme="minorHAnsi"/>
          <w:b/>
          <w:bCs/>
        </w:rPr>
      </w:pPr>
      <w:r w:rsidRPr="00D7240E">
        <w:rPr>
          <w:rFonts w:asciiTheme="minorHAnsi" w:hAnsiTheme="minorHAnsi" w:cstheme="minorHAnsi"/>
        </w:rPr>
        <w:t>Participants</w:t>
      </w:r>
    </w:p>
    <w:p w14:paraId="289184AD" w14:textId="77777777" w:rsidR="00FA36F7" w:rsidRPr="00D7240E" w:rsidRDefault="00FA36F7" w:rsidP="00712841">
      <w:pPr>
        <w:rPr>
          <w:rFonts w:cstheme="minorHAnsi"/>
        </w:rPr>
      </w:pPr>
      <w:r w:rsidRPr="00D7240E">
        <w:rPr>
          <w:rFonts w:cstheme="minorHAnsi"/>
        </w:rPr>
        <w:t>Fully 489 U.S. women participated in the study. Of these, 78% (</w:t>
      </w:r>
      <w:r w:rsidRPr="00D7240E">
        <w:rPr>
          <w:rStyle w:val="Emphasis"/>
          <w:rFonts w:cstheme="minorHAnsi"/>
          <w:color w:val="333333"/>
          <w:spacing w:val="2"/>
        </w:rPr>
        <w:t>n</w:t>
      </w:r>
      <w:r w:rsidRPr="00D7240E">
        <w:rPr>
          <w:rFonts w:cstheme="minorHAnsi"/>
        </w:rPr>
        <w:t> = 381) identified being White, 4.5% (</w:t>
      </w:r>
      <w:r w:rsidRPr="00D7240E">
        <w:rPr>
          <w:rStyle w:val="Emphasis"/>
          <w:rFonts w:cstheme="minorHAnsi"/>
          <w:color w:val="333333"/>
          <w:spacing w:val="2"/>
        </w:rPr>
        <w:t>n</w:t>
      </w:r>
      <w:r w:rsidRPr="00D7240E">
        <w:rPr>
          <w:rFonts w:cstheme="minorHAnsi"/>
        </w:rPr>
        <w:t> = 22) as African American, 10.2% (</w:t>
      </w:r>
      <w:r w:rsidRPr="00D7240E">
        <w:rPr>
          <w:rStyle w:val="Emphasis"/>
          <w:rFonts w:cstheme="minorHAnsi"/>
          <w:color w:val="333333"/>
          <w:spacing w:val="2"/>
        </w:rPr>
        <w:t>n</w:t>
      </w:r>
      <w:r w:rsidRPr="00D7240E">
        <w:rPr>
          <w:rFonts w:cstheme="minorHAnsi"/>
        </w:rPr>
        <w:t> = 50) as Latina, 10.4% (</w:t>
      </w:r>
      <w:r w:rsidRPr="00D7240E">
        <w:rPr>
          <w:rStyle w:val="Emphasis"/>
          <w:rFonts w:cstheme="minorHAnsi"/>
          <w:color w:val="333333"/>
          <w:spacing w:val="2"/>
        </w:rPr>
        <w:t>n</w:t>
      </w:r>
      <w:r w:rsidRPr="00D7240E">
        <w:rPr>
          <w:rFonts w:cstheme="minorHAnsi"/>
        </w:rPr>
        <w:t> = 51) as Asian American, and 10.8% (</w:t>
      </w:r>
      <w:r w:rsidRPr="00D7240E">
        <w:rPr>
          <w:rStyle w:val="Emphasis"/>
          <w:rFonts w:cstheme="minorHAnsi"/>
          <w:color w:val="333333"/>
          <w:spacing w:val="2"/>
        </w:rPr>
        <w:t>n</w:t>
      </w:r>
      <w:r w:rsidRPr="00D7240E">
        <w:rPr>
          <w:rFonts w:cstheme="minorHAnsi"/>
        </w:rPr>
        <w:t> = 53) indicated another ethnicity. Individuals could check multiple ethnicities as appropriate. Participants were asked to indicate their sexual orientation on a scale of 1 (</w:t>
      </w:r>
      <w:r w:rsidRPr="00D7240E">
        <w:rPr>
          <w:rStyle w:val="Emphasis"/>
          <w:rFonts w:cstheme="minorHAnsi"/>
          <w:color w:val="333333"/>
          <w:spacing w:val="2"/>
        </w:rPr>
        <w:t>completely heterosexual</w:t>
      </w:r>
      <w:r w:rsidRPr="00D7240E">
        <w:rPr>
          <w:rFonts w:cstheme="minorHAnsi"/>
        </w:rPr>
        <w:t>) to 7 (</w:t>
      </w:r>
      <w:r w:rsidRPr="00D7240E">
        <w:rPr>
          <w:rStyle w:val="Emphasis"/>
          <w:rFonts w:cstheme="minorHAnsi"/>
          <w:color w:val="333333"/>
          <w:spacing w:val="2"/>
        </w:rPr>
        <w:t>completely homosexual</w:t>
      </w:r>
      <w:r w:rsidRPr="00D7240E">
        <w:rPr>
          <w:rFonts w:cstheme="minorHAnsi"/>
        </w:rPr>
        <w:t>). The majority indicated they were heterosexual (78.5% </w:t>
      </w:r>
      <w:r w:rsidRPr="00D7240E">
        <w:rPr>
          <w:rStyle w:val="Emphasis"/>
          <w:rFonts w:cstheme="minorHAnsi"/>
          <w:color w:val="333333"/>
          <w:spacing w:val="2"/>
        </w:rPr>
        <w:t>n</w:t>
      </w:r>
      <w:r w:rsidRPr="00D7240E">
        <w:rPr>
          <w:rFonts w:cstheme="minorHAnsi"/>
        </w:rPr>
        <w:t> = 384), 9 (1.8%) indicated a completely lesbian orientation, and the rest indicated an orientation ranging in between (with the majority, </w:t>
      </w:r>
      <w:r w:rsidRPr="00D7240E">
        <w:rPr>
          <w:rStyle w:val="Emphasis"/>
          <w:rFonts w:cstheme="minorHAnsi"/>
          <w:color w:val="333333"/>
          <w:spacing w:val="2"/>
        </w:rPr>
        <w:t>n</w:t>
      </w:r>
      <w:r w:rsidRPr="00D7240E">
        <w:rPr>
          <w:rFonts w:cstheme="minorHAnsi"/>
        </w:rPr>
        <w:t> = 86, responding with 2–4). Their mean age was 19 (</w:t>
      </w:r>
      <w:r w:rsidRPr="00D7240E">
        <w:rPr>
          <w:rStyle w:val="Emphasis"/>
          <w:rFonts w:cstheme="minorHAnsi"/>
          <w:color w:val="333333"/>
          <w:spacing w:val="2"/>
        </w:rPr>
        <w:t>SD</w:t>
      </w:r>
      <w:r w:rsidRPr="00D7240E">
        <w:rPr>
          <w:rFonts w:cstheme="minorHAnsi"/>
        </w:rPr>
        <w:t> = 1.07) and ranged from 18 to 23 years-old.</w:t>
      </w:r>
    </w:p>
    <w:p w14:paraId="719BBB95" w14:textId="77777777" w:rsidR="00FA36F7" w:rsidRPr="00D7240E" w:rsidRDefault="00FA36F7" w:rsidP="00712841">
      <w:pPr>
        <w:pStyle w:val="Heading3"/>
        <w:rPr>
          <w:rFonts w:asciiTheme="minorHAnsi" w:hAnsiTheme="minorHAnsi" w:cstheme="minorHAnsi"/>
        </w:rPr>
      </w:pPr>
      <w:r w:rsidRPr="00D7240E">
        <w:rPr>
          <w:rFonts w:asciiTheme="minorHAnsi" w:hAnsiTheme="minorHAnsi" w:cstheme="minorHAnsi"/>
        </w:rPr>
        <w:t>Experiences with Benevolent Sexism</w:t>
      </w:r>
    </w:p>
    <w:p w14:paraId="7E78420E" w14:textId="77777777" w:rsidR="00FA36F7" w:rsidRPr="00D7240E" w:rsidRDefault="00FA36F7" w:rsidP="00712841">
      <w:pPr>
        <w:rPr>
          <w:rFonts w:cstheme="minorHAnsi"/>
        </w:rPr>
      </w:pPr>
      <w:r w:rsidRPr="00D7240E">
        <w:rPr>
          <w:rFonts w:cstheme="minorHAnsi"/>
        </w:rPr>
        <w:t>Participants completed the newly developed items to measure experiences with benevolent sexism. The items were assessed on the same scale as the Schedule of Sexist Events (Klonoff and Landrine </w:t>
      </w:r>
      <w:hyperlink r:id="rId78" w:anchor="CR37" w:tooltip="View reference" w:history="1">
        <w:r w:rsidRPr="00D7240E">
          <w:rPr>
            <w:rStyle w:val="Hyperlink"/>
            <w:rFonts w:eastAsiaTheme="majorEastAsia" w:cstheme="minorHAnsi"/>
            <w:color w:val="4500A7"/>
            <w:spacing w:val="2"/>
          </w:rPr>
          <w:t>1995</w:t>
        </w:r>
      </w:hyperlink>
      <w:r w:rsidRPr="00D7240E">
        <w:rPr>
          <w:rFonts w:cstheme="minorHAnsi"/>
        </w:rPr>
        <w:t>), ranging from 1 (</w:t>
      </w:r>
      <w:r w:rsidRPr="00D7240E">
        <w:rPr>
          <w:rStyle w:val="Emphasis"/>
          <w:rFonts w:cstheme="minorHAnsi"/>
          <w:color w:val="333333"/>
          <w:spacing w:val="2"/>
        </w:rPr>
        <w:t>the event never happened</w:t>
      </w:r>
      <w:r w:rsidRPr="00D7240E">
        <w:rPr>
          <w:rFonts w:cstheme="minorHAnsi"/>
        </w:rPr>
        <w:t>) to 6 (</w:t>
      </w:r>
      <w:r w:rsidRPr="00D7240E">
        <w:rPr>
          <w:rStyle w:val="Emphasis"/>
          <w:rFonts w:cstheme="minorHAnsi"/>
          <w:color w:val="333333"/>
          <w:spacing w:val="2"/>
        </w:rPr>
        <w:t>the event happened almost all of [&gt;70%] the time</w:t>
      </w:r>
      <w:r w:rsidRPr="00D7240E">
        <w:rPr>
          <w:rFonts w:cstheme="minorHAnsi"/>
        </w:rPr>
        <w:t>). The instructions used were the same as in the Schedule of Sexist Events and indicated that participants should rate the extent to which the behaviors occurred specifically because of their gender. Participants completed the items for frequency of experiences in the last year and across their lifetime, as well as appraised the stress associated with the experience, using a scale from 1 (</w:t>
      </w:r>
      <w:r w:rsidRPr="00D7240E">
        <w:rPr>
          <w:rStyle w:val="Emphasis"/>
          <w:rFonts w:cstheme="minorHAnsi"/>
          <w:color w:val="333333"/>
          <w:spacing w:val="2"/>
        </w:rPr>
        <w:t>not at all stressful</w:t>
      </w:r>
      <w:r w:rsidRPr="00D7240E">
        <w:rPr>
          <w:rFonts w:cstheme="minorHAnsi"/>
        </w:rPr>
        <w:t>) to 6 (</w:t>
      </w:r>
      <w:r w:rsidRPr="00D7240E">
        <w:rPr>
          <w:rStyle w:val="Emphasis"/>
          <w:rFonts w:cstheme="minorHAnsi"/>
          <w:color w:val="333333"/>
          <w:spacing w:val="2"/>
        </w:rPr>
        <w:t>very stressful</w:t>
      </w:r>
      <w:r w:rsidRPr="00D7240E">
        <w:rPr>
          <w:rFonts w:cstheme="minorHAnsi"/>
        </w:rPr>
        <w:t>). Participants also rated how sexist they believed the event to be from 1 (</w:t>
      </w:r>
      <w:r w:rsidRPr="00D7240E">
        <w:rPr>
          <w:rStyle w:val="Emphasis"/>
          <w:rFonts w:cstheme="minorHAnsi"/>
          <w:color w:val="333333"/>
          <w:spacing w:val="2"/>
        </w:rPr>
        <w:t>not at all sexist</w:t>
      </w:r>
      <w:r w:rsidRPr="00D7240E">
        <w:rPr>
          <w:rFonts w:cstheme="minorHAnsi"/>
        </w:rPr>
        <w:t>) to 6 (</w:t>
      </w:r>
      <w:r w:rsidRPr="00D7240E">
        <w:rPr>
          <w:rStyle w:val="Emphasis"/>
          <w:rFonts w:cstheme="minorHAnsi"/>
          <w:color w:val="333333"/>
          <w:spacing w:val="2"/>
        </w:rPr>
        <w:t>very sexist</w:t>
      </w:r>
      <w:r w:rsidRPr="00D7240E">
        <w:rPr>
          <w:rFonts w:cstheme="minorHAnsi"/>
        </w:rPr>
        <w:t>). The entire pool of developed items was included in data collection, but based on the selection criteria (described previously), 28 items were selected to be included in the factor analysis and subsequent analyses.</w:t>
      </w:r>
    </w:p>
    <w:p w14:paraId="668B07E6" w14:textId="77777777" w:rsidR="00FA36F7" w:rsidRPr="00D7240E" w:rsidRDefault="00FA36F7" w:rsidP="00712841">
      <w:pPr>
        <w:pStyle w:val="Heading3"/>
        <w:rPr>
          <w:rFonts w:asciiTheme="minorHAnsi" w:hAnsiTheme="minorHAnsi" w:cstheme="minorHAnsi"/>
        </w:rPr>
      </w:pPr>
      <w:r w:rsidRPr="00D7240E">
        <w:rPr>
          <w:rFonts w:asciiTheme="minorHAnsi" w:hAnsiTheme="minorHAnsi" w:cstheme="minorHAnsi"/>
        </w:rPr>
        <w:t>Schedule of Sexist Events</w:t>
      </w:r>
    </w:p>
    <w:p w14:paraId="7EBAE349" w14:textId="77777777" w:rsidR="00FA36F7" w:rsidRPr="00D7240E" w:rsidRDefault="00FA36F7" w:rsidP="00712841">
      <w:pPr>
        <w:rPr>
          <w:rFonts w:cstheme="minorHAnsi"/>
        </w:rPr>
      </w:pPr>
      <w:r w:rsidRPr="00D7240E">
        <w:rPr>
          <w:rFonts w:cstheme="minorHAnsi"/>
        </w:rPr>
        <w:t>Experiences with overt/hostile sexism were assessed with the Schedule of Sexist Events (Klonoff and Landrine </w:t>
      </w:r>
      <w:hyperlink r:id="rId79" w:anchor="CR37" w:tooltip="View reference" w:history="1">
        <w:r w:rsidRPr="00D7240E">
          <w:rPr>
            <w:rStyle w:val="Hyperlink"/>
            <w:rFonts w:eastAsiaTheme="majorEastAsia" w:cstheme="minorHAnsi"/>
            <w:color w:val="4500A7"/>
            <w:spacing w:val="2"/>
          </w:rPr>
          <w:t>1995</w:t>
        </w:r>
      </w:hyperlink>
      <w:r w:rsidRPr="00D7240E">
        <w:rPr>
          <w:rFonts w:cstheme="minorHAnsi"/>
        </w:rPr>
        <w:t>; Matteson and Moradi </w:t>
      </w:r>
      <w:hyperlink r:id="rId80" w:anchor="CR45" w:tooltip="View reference" w:history="1">
        <w:r w:rsidRPr="00D7240E">
          <w:rPr>
            <w:rStyle w:val="Hyperlink"/>
            <w:rFonts w:eastAsiaTheme="majorEastAsia" w:cstheme="minorHAnsi"/>
            <w:color w:val="4500A7"/>
            <w:spacing w:val="2"/>
          </w:rPr>
          <w:t>2005</w:t>
        </w:r>
      </w:hyperlink>
      <w:r w:rsidRPr="00D7240E">
        <w:rPr>
          <w:rFonts w:cstheme="minorHAnsi"/>
        </w:rPr>
        <w:t>). This scale includes 20 items reflecting overt and hostile forms of sexism such as intimate/personal sexist events (e.g., “being called derogatory names”; “hearing sexist jokes”; “being made fun of, pushed, shoved hit or threatened with harm”), unfair treatment at work/school (“denied a raise, promotion tenure or other such thing at work”), and unfair treatment in relationships with the events occurring because of their gender. Participants completed the Schedule of Sexist Events three times to assess (a) recent-last year and (b) lifetime frequencies, both rated on a scale of 1 (</w:t>
      </w:r>
      <w:r w:rsidRPr="00D7240E">
        <w:rPr>
          <w:rStyle w:val="Emphasis"/>
          <w:rFonts w:cstheme="minorHAnsi"/>
          <w:color w:val="333333"/>
          <w:spacing w:val="2"/>
        </w:rPr>
        <w:t>the event never happened</w:t>
      </w:r>
      <w:r w:rsidRPr="00D7240E">
        <w:rPr>
          <w:rFonts w:cstheme="minorHAnsi"/>
        </w:rPr>
        <w:t>) to 6 (</w:t>
      </w:r>
      <w:r w:rsidRPr="00D7240E">
        <w:rPr>
          <w:rStyle w:val="Emphasis"/>
          <w:rFonts w:cstheme="minorHAnsi"/>
          <w:color w:val="333333"/>
          <w:spacing w:val="2"/>
        </w:rPr>
        <w:t>the event happened almost all of [&gt;70%] the time</w:t>
      </w:r>
      <w:r w:rsidRPr="00D7240E">
        <w:rPr>
          <w:rFonts w:cstheme="minorHAnsi"/>
        </w:rPr>
        <w:t>), and the (c) stressfulness of the experience on a scale of 1 (</w:t>
      </w:r>
      <w:r w:rsidRPr="00D7240E">
        <w:rPr>
          <w:rStyle w:val="Emphasis"/>
          <w:rFonts w:cstheme="minorHAnsi"/>
          <w:color w:val="333333"/>
          <w:spacing w:val="2"/>
        </w:rPr>
        <w:t>not at all stressful</w:t>
      </w:r>
      <w:r w:rsidRPr="00D7240E">
        <w:rPr>
          <w:rFonts w:cstheme="minorHAnsi"/>
        </w:rPr>
        <w:t>) to 6 (</w:t>
      </w:r>
      <w:r w:rsidRPr="00D7240E">
        <w:rPr>
          <w:rStyle w:val="Emphasis"/>
          <w:rFonts w:cstheme="minorHAnsi"/>
          <w:color w:val="333333"/>
          <w:spacing w:val="2"/>
        </w:rPr>
        <w:t>very stressful</w:t>
      </w:r>
      <w:r w:rsidRPr="00D7240E">
        <w:rPr>
          <w:rFonts w:cstheme="minorHAnsi"/>
        </w:rPr>
        <w:t>). Participants in the current study were also asked to rate how sexist they perceived each behavior from 1 (</w:t>
      </w:r>
      <w:r w:rsidRPr="00D7240E">
        <w:rPr>
          <w:rStyle w:val="Emphasis"/>
          <w:rFonts w:cstheme="minorHAnsi"/>
          <w:color w:val="333333"/>
          <w:spacing w:val="2"/>
        </w:rPr>
        <w:t>not at all sexist</w:t>
      </w:r>
      <w:r w:rsidRPr="00D7240E">
        <w:rPr>
          <w:rFonts w:cstheme="minorHAnsi"/>
        </w:rPr>
        <w:t>) to 6 (</w:t>
      </w:r>
      <w:r w:rsidRPr="00D7240E">
        <w:rPr>
          <w:rStyle w:val="Emphasis"/>
          <w:rFonts w:cstheme="minorHAnsi"/>
          <w:color w:val="333333"/>
          <w:spacing w:val="2"/>
        </w:rPr>
        <w:t>very sexist</w:t>
      </w:r>
      <w:r w:rsidRPr="00D7240E">
        <w:rPr>
          <w:rFonts w:cstheme="minorHAnsi"/>
        </w:rPr>
        <w:t>). The validity of the Schedule of Sexist Events has been supported by its correlation with other measures of major stressors and daily hassles (Klonoff and Landrine </w:t>
      </w:r>
      <w:hyperlink r:id="rId81" w:anchor="CR37" w:tooltip="View reference" w:history="1">
        <w:r w:rsidRPr="00D7240E">
          <w:rPr>
            <w:rStyle w:val="Hyperlink"/>
            <w:rFonts w:eastAsiaTheme="majorEastAsia" w:cstheme="minorHAnsi"/>
            <w:color w:val="4500A7"/>
            <w:spacing w:val="2"/>
          </w:rPr>
          <w:t>1995</w:t>
        </w:r>
      </w:hyperlink>
      <w:r w:rsidRPr="00D7240E">
        <w:rPr>
          <w:rFonts w:cstheme="minorHAnsi"/>
        </w:rPr>
        <w:t>). For the current study, mean scores were computed such that higher numbers indicated increased frequency, distress, and perception of sexism. The Cronbach alphas for the original scale were .90 for Recent-last year, .92 for Lifetime, and .93 for Appraisal (Klonoff and Landrine </w:t>
      </w:r>
      <w:hyperlink r:id="rId82" w:anchor="CR37" w:tooltip="View reference" w:history="1">
        <w:r w:rsidRPr="00D7240E">
          <w:rPr>
            <w:rStyle w:val="Hyperlink"/>
            <w:rFonts w:eastAsiaTheme="majorEastAsia" w:cstheme="minorHAnsi"/>
            <w:color w:val="4500A7"/>
            <w:spacing w:val="2"/>
          </w:rPr>
          <w:t>1995</w:t>
        </w:r>
      </w:hyperlink>
      <w:r w:rsidRPr="00D7240E">
        <w:rPr>
          <w:rFonts w:cstheme="minorHAnsi"/>
        </w:rPr>
        <w:t>; Landrine and Klonoff </w:t>
      </w:r>
      <w:hyperlink r:id="rId83" w:anchor="CR39" w:tooltip="View reference" w:history="1">
        <w:r w:rsidRPr="00D7240E">
          <w:rPr>
            <w:rStyle w:val="Hyperlink"/>
            <w:rFonts w:eastAsiaTheme="majorEastAsia" w:cstheme="minorHAnsi"/>
            <w:color w:val="4500A7"/>
            <w:spacing w:val="2"/>
          </w:rPr>
          <w:t>1997</w:t>
        </w:r>
      </w:hyperlink>
      <w:r w:rsidRPr="00D7240E">
        <w:rPr>
          <w:rFonts w:cstheme="minorHAnsi"/>
        </w:rPr>
        <w:t>). The Cronbach alphas in the current study were .91 for the Recent-last year, .91 for the Lifetime, .89 for the Appraisal, and .91 for the Sexist versions.</w:t>
      </w:r>
    </w:p>
    <w:p w14:paraId="62AE5477" w14:textId="77777777" w:rsidR="00FA36F7" w:rsidRPr="00D7240E" w:rsidRDefault="00FA36F7" w:rsidP="0019401F">
      <w:pPr>
        <w:pStyle w:val="Heading3"/>
        <w:rPr>
          <w:rFonts w:asciiTheme="minorHAnsi" w:hAnsiTheme="minorHAnsi" w:cstheme="minorHAnsi"/>
        </w:rPr>
      </w:pPr>
      <w:r w:rsidRPr="00D7240E">
        <w:rPr>
          <w:rFonts w:asciiTheme="minorHAnsi" w:hAnsiTheme="minorHAnsi" w:cstheme="minorHAnsi"/>
        </w:rPr>
        <w:lastRenderedPageBreak/>
        <w:t>Self-Esteem</w:t>
      </w:r>
    </w:p>
    <w:p w14:paraId="54EB3744" w14:textId="77777777" w:rsidR="00FA36F7" w:rsidRPr="00D7240E" w:rsidRDefault="00FA36F7" w:rsidP="0019401F">
      <w:pPr>
        <w:rPr>
          <w:rFonts w:cstheme="minorHAnsi"/>
        </w:rPr>
      </w:pPr>
      <w:r w:rsidRPr="00D7240E">
        <w:rPr>
          <w:rFonts w:cstheme="minorHAnsi"/>
        </w:rPr>
        <w:t>Rosenberg’s (</w:t>
      </w:r>
      <w:hyperlink r:id="rId84" w:anchor="CR55" w:tooltip="View reference" w:history="1">
        <w:r w:rsidRPr="00D7240E">
          <w:rPr>
            <w:rStyle w:val="Hyperlink"/>
            <w:rFonts w:eastAsiaTheme="majorEastAsia" w:cstheme="minorHAnsi"/>
            <w:color w:val="4500A7"/>
            <w:spacing w:val="2"/>
          </w:rPr>
          <w:t>1965</w:t>
        </w:r>
      </w:hyperlink>
      <w:r w:rsidRPr="00D7240E">
        <w:rPr>
          <w:rFonts w:cstheme="minorHAnsi"/>
        </w:rPr>
        <w:t>) self-esteem measure was used to assess global self-esteem. This is a 10-item measure (e.g., “On the whole, I am satisfied with myself”) with participants reporting agreement to the items on a scale of 1 (</w:t>
      </w:r>
      <w:r w:rsidRPr="00D7240E">
        <w:rPr>
          <w:rStyle w:val="Emphasis"/>
          <w:rFonts w:cstheme="minorHAnsi"/>
          <w:color w:val="333333"/>
          <w:spacing w:val="2"/>
        </w:rPr>
        <w:t>strongly disagree</w:t>
      </w:r>
      <w:r w:rsidRPr="00D7240E">
        <w:rPr>
          <w:rFonts w:cstheme="minorHAnsi"/>
        </w:rPr>
        <w:t>) to 4 (</w:t>
      </w:r>
      <w:r w:rsidRPr="00D7240E">
        <w:rPr>
          <w:rStyle w:val="Emphasis"/>
          <w:rFonts w:cstheme="minorHAnsi"/>
          <w:color w:val="333333"/>
          <w:spacing w:val="2"/>
        </w:rPr>
        <w:t>strongly agree</w:t>
      </w:r>
      <w:r w:rsidRPr="00D7240E">
        <w:rPr>
          <w:rFonts w:cstheme="minorHAnsi"/>
        </w:rPr>
        <w:t>). Items are averaged, and higher scores indicate higher levels of global self-esteem. It has been shown to be valid through positive correlations with other measures of self-esteem and negative correlations with anxiety and depression. In past research, the Cronbach alpha is generally above .80 and has been reported as .88 among U.S. college students and .91 in internet samples representative of the U.S. population (Rosenberg </w:t>
      </w:r>
      <w:hyperlink r:id="rId85" w:anchor="CR55" w:tooltip="View reference" w:history="1">
        <w:r w:rsidRPr="00D7240E">
          <w:rPr>
            <w:rStyle w:val="Hyperlink"/>
            <w:rFonts w:eastAsiaTheme="majorEastAsia" w:cstheme="minorHAnsi"/>
            <w:color w:val="4500A7"/>
            <w:spacing w:val="2"/>
          </w:rPr>
          <w:t>1965</w:t>
        </w:r>
      </w:hyperlink>
      <w:r w:rsidRPr="00D7240E">
        <w:rPr>
          <w:rFonts w:cstheme="minorHAnsi"/>
        </w:rPr>
        <w:t>; see Donnellan et al. </w:t>
      </w:r>
      <w:hyperlink r:id="rId86" w:anchor="CR18" w:tooltip="View reference" w:history="1">
        <w:r w:rsidRPr="00D7240E">
          <w:rPr>
            <w:rStyle w:val="Hyperlink"/>
            <w:rFonts w:eastAsiaTheme="majorEastAsia" w:cstheme="minorHAnsi"/>
            <w:color w:val="4500A7"/>
            <w:spacing w:val="2"/>
          </w:rPr>
          <w:t>2015</w:t>
        </w:r>
      </w:hyperlink>
      <w:r w:rsidRPr="00D7240E">
        <w:rPr>
          <w:rFonts w:cstheme="minorHAnsi"/>
        </w:rPr>
        <w:t> for a review). The Cronbach alpha in the current study was .89.</w:t>
      </w:r>
    </w:p>
    <w:p w14:paraId="5EB403F8" w14:textId="77777777" w:rsidR="00FA36F7" w:rsidRPr="00D7240E" w:rsidRDefault="00FA36F7" w:rsidP="0019401F">
      <w:pPr>
        <w:pStyle w:val="Heading3"/>
        <w:rPr>
          <w:rFonts w:asciiTheme="minorHAnsi" w:hAnsiTheme="minorHAnsi" w:cstheme="minorHAnsi"/>
        </w:rPr>
      </w:pPr>
      <w:r w:rsidRPr="00D7240E">
        <w:rPr>
          <w:rFonts w:asciiTheme="minorHAnsi" w:hAnsiTheme="minorHAnsi" w:cstheme="minorHAnsi"/>
        </w:rPr>
        <w:t>Self-Doubt</w:t>
      </w:r>
    </w:p>
    <w:p w14:paraId="3B0919E2" w14:textId="77777777" w:rsidR="00FA36F7" w:rsidRPr="00D7240E" w:rsidRDefault="00FA36F7" w:rsidP="0019401F">
      <w:pPr>
        <w:rPr>
          <w:rFonts w:cstheme="minorHAnsi"/>
        </w:rPr>
      </w:pPr>
      <w:r w:rsidRPr="00D7240E">
        <w:rPr>
          <w:rFonts w:cstheme="minorHAnsi"/>
        </w:rPr>
        <w:t>Self-doubt was assessed with two measures. From the Subjective Overachievement Scale (Oleson et al. </w:t>
      </w:r>
      <w:hyperlink r:id="rId87" w:anchor="CR51" w:tooltip="View reference" w:history="1">
        <w:r w:rsidRPr="00D7240E">
          <w:rPr>
            <w:rStyle w:val="Hyperlink"/>
            <w:rFonts w:eastAsiaTheme="majorEastAsia" w:cstheme="minorHAnsi"/>
            <w:color w:val="4500A7"/>
            <w:spacing w:val="2"/>
          </w:rPr>
          <w:t>2000</w:t>
        </w:r>
      </w:hyperlink>
      <w:r w:rsidRPr="00D7240E">
        <w:rPr>
          <w:rFonts w:cstheme="minorHAnsi"/>
        </w:rPr>
        <w:t>) we used the Self-Doubt subscale that consists of eight items on a scale of 1 (</w:t>
      </w:r>
      <w:r w:rsidRPr="00D7240E">
        <w:rPr>
          <w:rStyle w:val="Emphasis"/>
          <w:rFonts w:cstheme="minorHAnsi"/>
          <w:color w:val="333333"/>
          <w:spacing w:val="2"/>
        </w:rPr>
        <w:t>disagree very much</w:t>
      </w:r>
      <w:r w:rsidRPr="00D7240E">
        <w:rPr>
          <w:rFonts w:cstheme="minorHAnsi"/>
        </w:rPr>
        <w:t>) to 6 (</w:t>
      </w:r>
      <w:r w:rsidRPr="00D7240E">
        <w:rPr>
          <w:rStyle w:val="Emphasis"/>
          <w:rFonts w:cstheme="minorHAnsi"/>
          <w:color w:val="333333"/>
          <w:spacing w:val="2"/>
        </w:rPr>
        <w:t>agree very much</w:t>
      </w:r>
      <w:r w:rsidRPr="00D7240E">
        <w:rPr>
          <w:rFonts w:cstheme="minorHAnsi"/>
        </w:rPr>
        <w:t>). This measure of self-doubt was designed “to capture a general sense of feeling uncertain about one’s competence” (Oleson et al. </w:t>
      </w:r>
      <w:hyperlink r:id="rId88" w:anchor="CR51" w:tooltip="View reference" w:history="1">
        <w:r w:rsidRPr="00D7240E">
          <w:rPr>
            <w:rStyle w:val="Hyperlink"/>
            <w:rFonts w:eastAsiaTheme="majorEastAsia" w:cstheme="minorHAnsi"/>
            <w:color w:val="4500A7"/>
            <w:spacing w:val="2"/>
          </w:rPr>
          <w:t>2000</w:t>
        </w:r>
      </w:hyperlink>
      <w:r w:rsidRPr="00D7240E">
        <w:rPr>
          <w:rFonts w:cstheme="minorHAnsi"/>
        </w:rPr>
        <w:t>, p. 500) and includes items such as “I sometimes find myself wondering if I have the ability to succeed at important activities” and “As I begin an important activity, I usually feel confident in the likely outcome” (reverse scored). It is related to measures of negative affect and concerns about competency, and initial validation resulted in a Cronbach alpha of .82–.83 (Oleson et al. </w:t>
      </w:r>
      <w:hyperlink r:id="rId89" w:anchor="CR51" w:tooltip="View reference" w:history="1">
        <w:r w:rsidRPr="00D7240E">
          <w:rPr>
            <w:rStyle w:val="Hyperlink"/>
            <w:rFonts w:eastAsiaTheme="majorEastAsia" w:cstheme="minorHAnsi"/>
            <w:color w:val="4500A7"/>
            <w:spacing w:val="2"/>
          </w:rPr>
          <w:t>2000</w:t>
        </w:r>
      </w:hyperlink>
      <w:r w:rsidRPr="00D7240E">
        <w:rPr>
          <w:rFonts w:cstheme="minorHAnsi"/>
        </w:rPr>
        <w:t>). The Cronbach alpha for the current study was .85.</w:t>
      </w:r>
    </w:p>
    <w:p w14:paraId="6732D64E" w14:textId="77777777" w:rsidR="00FA36F7" w:rsidRPr="00D7240E" w:rsidRDefault="00FA36F7" w:rsidP="0019401F">
      <w:pPr>
        <w:rPr>
          <w:rFonts w:cstheme="minorHAnsi"/>
        </w:rPr>
      </w:pPr>
      <w:r w:rsidRPr="00D7240E">
        <w:rPr>
          <w:rFonts w:cstheme="minorHAnsi"/>
        </w:rPr>
        <w:t>The Judgmental Self-Doubt Scale, which consists of 19-items, assesses the belief that a person trusts (or mistrusts) her ability to make good judgements (e.g., “I have difficulty making decisions”; “I often don’t trust myself to make the right decision”) (Mirels et al. </w:t>
      </w:r>
      <w:hyperlink r:id="rId90" w:anchor="CR47" w:tooltip="View reference" w:history="1">
        <w:r w:rsidRPr="00D7240E">
          <w:rPr>
            <w:rStyle w:val="Hyperlink"/>
            <w:rFonts w:eastAsiaTheme="majorEastAsia" w:cstheme="minorHAnsi"/>
            <w:color w:val="4500A7"/>
            <w:spacing w:val="2"/>
          </w:rPr>
          <w:t>2002</w:t>
        </w:r>
      </w:hyperlink>
      <w:r w:rsidRPr="00D7240E">
        <w:rPr>
          <w:rFonts w:cstheme="minorHAnsi"/>
        </w:rPr>
        <w:t>). The items were measured on a scale of 1 (</w:t>
      </w:r>
      <w:r w:rsidRPr="00D7240E">
        <w:rPr>
          <w:rStyle w:val="Emphasis"/>
          <w:rFonts w:cstheme="minorHAnsi"/>
          <w:color w:val="333333"/>
          <w:spacing w:val="2"/>
        </w:rPr>
        <w:t>strongly disagree</w:t>
      </w:r>
      <w:r w:rsidRPr="00D7240E">
        <w:rPr>
          <w:rFonts w:cstheme="minorHAnsi"/>
        </w:rPr>
        <w:t>) to 6 (</w:t>
      </w:r>
      <w:r w:rsidRPr="00D7240E">
        <w:rPr>
          <w:rStyle w:val="Emphasis"/>
          <w:rFonts w:cstheme="minorHAnsi"/>
          <w:color w:val="333333"/>
          <w:spacing w:val="2"/>
        </w:rPr>
        <w:t>strongly agree</w:t>
      </w:r>
      <w:r w:rsidRPr="00D7240E">
        <w:rPr>
          <w:rFonts w:cstheme="minorHAnsi"/>
        </w:rPr>
        <w:t>). The scale previously has been shown to have good internal consistency (α = .92), positive correlations with anxiety and depression, and negative correlations with self-esteem. The Cronbach alpha for the current study was .94.</w:t>
      </w:r>
    </w:p>
    <w:p w14:paraId="24545B0F" w14:textId="77777777" w:rsidR="00FA36F7" w:rsidRPr="00D7240E" w:rsidRDefault="00FA36F7" w:rsidP="0019401F">
      <w:pPr>
        <w:pStyle w:val="Heading3"/>
        <w:rPr>
          <w:rFonts w:asciiTheme="minorHAnsi" w:hAnsiTheme="minorHAnsi" w:cstheme="minorHAnsi"/>
        </w:rPr>
      </w:pPr>
      <w:r w:rsidRPr="00D7240E">
        <w:rPr>
          <w:rFonts w:asciiTheme="minorHAnsi" w:hAnsiTheme="minorHAnsi" w:cstheme="minorHAnsi"/>
        </w:rPr>
        <w:t>Procedure</w:t>
      </w:r>
    </w:p>
    <w:p w14:paraId="5336176E" w14:textId="77777777" w:rsidR="00FA36F7" w:rsidRPr="00D7240E" w:rsidRDefault="00FA36F7" w:rsidP="0019401F">
      <w:pPr>
        <w:rPr>
          <w:rFonts w:cstheme="minorHAnsi"/>
        </w:rPr>
      </w:pPr>
      <w:r w:rsidRPr="00D7240E">
        <w:rPr>
          <w:rFonts w:cstheme="minorHAnsi"/>
        </w:rPr>
        <w:t>Participants were recruited from a psychology department subject pool at a midsized, U.S. Midwestern, private Catholic university. At recruitment participants were naïve to the study topic, although the recruitment information indicated that only women could participate in the study. During informed consent, participants were informed that the study was about women’s life experiences. Participants completed the measures in a private testing room on a computer. Participants first completed the Schedule of Sexist Events and the newly developed experiences with benevolent sexism items (counterbalanced in the order presented). All other measures were presented randomly, except for the demographics which were always presented last. All participants completed the entire study and were retained for data analysis. Upon completion of the study, participants were debriefed, given their participation cards, and thanked.</w:t>
      </w:r>
    </w:p>
    <w:p w14:paraId="5D2DADA7" w14:textId="77777777" w:rsidR="00FA36F7" w:rsidRPr="00D7240E" w:rsidRDefault="00FA36F7" w:rsidP="00C9755E">
      <w:pPr>
        <w:pStyle w:val="Heading2"/>
        <w:rPr>
          <w:rFonts w:asciiTheme="minorHAnsi" w:hAnsiTheme="minorHAnsi" w:cstheme="minorHAnsi"/>
          <w:sz w:val="27"/>
          <w:szCs w:val="27"/>
        </w:rPr>
      </w:pPr>
      <w:r w:rsidRPr="00D7240E">
        <w:rPr>
          <w:rFonts w:asciiTheme="minorHAnsi" w:hAnsiTheme="minorHAnsi" w:cstheme="minorHAnsi"/>
        </w:rPr>
        <w:t>Results</w:t>
      </w:r>
    </w:p>
    <w:p w14:paraId="3C6BBF94" w14:textId="77777777" w:rsidR="00FA36F7" w:rsidRPr="00D7240E" w:rsidRDefault="00FA36F7" w:rsidP="00C9755E">
      <w:pPr>
        <w:pStyle w:val="Heading3"/>
        <w:rPr>
          <w:rFonts w:asciiTheme="minorHAnsi" w:hAnsiTheme="minorHAnsi" w:cstheme="minorHAnsi"/>
          <w:b/>
          <w:bCs/>
        </w:rPr>
      </w:pPr>
      <w:r w:rsidRPr="00D7240E">
        <w:rPr>
          <w:rFonts w:asciiTheme="minorHAnsi" w:hAnsiTheme="minorHAnsi" w:cstheme="minorHAnsi"/>
        </w:rPr>
        <w:t>Exploratory Factor Analysis (EFA)</w:t>
      </w:r>
    </w:p>
    <w:p w14:paraId="0CA1576D" w14:textId="77777777" w:rsidR="00FA36F7" w:rsidRPr="00D7240E" w:rsidRDefault="00FA36F7" w:rsidP="00C9755E">
      <w:pPr>
        <w:rPr>
          <w:rFonts w:cstheme="minorHAnsi"/>
        </w:rPr>
      </w:pPr>
      <w:r w:rsidRPr="00D7240E">
        <w:rPr>
          <w:rFonts w:cstheme="minorHAnsi"/>
        </w:rPr>
        <w:t>To examine the scale structure, we conducted an exploratory factor analysis with a promax rotation on the 28 items from the “lifetime” version. We chose the lifetime version of the items for the analyses because the distribution of the items was more normal and showed greater variability than the “last year” version. However, given the strong correlation between the two versions, the results are similar regardless of the version of the scale used in the analyses. To determine the number of components extracted, we conducted a parallel analysis on 500 random samples, examined the scree plot, and considered the interpretability of the components. The scree plot and parallel analysis both indicated three factors. The first three factors were examined and all were interpretable and theoretically meaningful.</w:t>
      </w:r>
    </w:p>
    <w:p w14:paraId="24A3AF17" w14:textId="77777777" w:rsidR="00FA36F7" w:rsidRPr="00D7240E" w:rsidRDefault="00FA36F7" w:rsidP="00C9755E">
      <w:pPr>
        <w:rPr>
          <w:rFonts w:cstheme="minorHAnsi"/>
        </w:rPr>
      </w:pPr>
      <w:r w:rsidRPr="00D7240E">
        <w:rPr>
          <w:rFonts w:cstheme="minorHAnsi"/>
        </w:rPr>
        <w:lastRenderedPageBreak/>
        <w:t>A second EFA was conducted requesting a three–factor solution. Two items (both regarding women’s athletic ability and participation) were removed from the analyses because they cross-loaded on two factors. A third item (about people opening doors for women when unnecessary), which did not load onto any factor with a loading of greater than .32, was also removed. A final factor analysis requesting a three-factor solution was conducted (see Table </w:t>
      </w:r>
      <w:hyperlink r:id="rId91" w:anchor="Tab1" w:history="1">
        <w:r w:rsidRPr="00D7240E">
          <w:rPr>
            <w:rStyle w:val="Hyperlink"/>
            <w:rFonts w:cstheme="minorHAnsi"/>
            <w:color w:val="4500A7"/>
            <w:spacing w:val="2"/>
          </w:rPr>
          <w:t>1</w:t>
        </w:r>
      </w:hyperlink>
      <w:r w:rsidRPr="00D7240E">
        <w:rPr>
          <w:rFonts w:cstheme="minorHAnsi"/>
        </w:rPr>
        <w:t>a). All items loaded onto one factor with a loading greater than .32. The KMO measure of sampling adequacy was .91 and Bartlett’s test of Sphericity was χ</w:t>
      </w:r>
      <w:r w:rsidRPr="00D7240E">
        <w:rPr>
          <w:rFonts w:cstheme="minorHAnsi"/>
          <w:vertAlign w:val="superscript"/>
        </w:rPr>
        <w:t>2</w:t>
      </w:r>
      <w:r w:rsidRPr="00D7240E">
        <w:rPr>
          <w:rFonts w:cstheme="minorHAnsi"/>
        </w:rPr>
        <w:t>(300) = 3126.34, </w:t>
      </w:r>
      <w:r w:rsidRPr="00D7240E">
        <w:rPr>
          <w:rStyle w:val="Emphasis"/>
          <w:rFonts w:cstheme="minorHAnsi"/>
          <w:color w:val="333333"/>
          <w:spacing w:val="2"/>
        </w:rPr>
        <w:t>p</w:t>
      </w:r>
      <w:r w:rsidRPr="00D7240E">
        <w:rPr>
          <w:rFonts w:cstheme="minorHAnsi"/>
        </w:rPr>
        <w:t> &lt; .001.</w:t>
      </w:r>
    </w:p>
    <w:p w14:paraId="060E34B9" w14:textId="3B2F483C" w:rsidR="00FA36F7" w:rsidRPr="00D7240E" w:rsidRDefault="00FA36F7" w:rsidP="00D7240E">
      <w:pPr>
        <w:pStyle w:val="Heading3"/>
        <w:rPr>
          <w:rFonts w:asciiTheme="minorHAnsi" w:hAnsiTheme="minorHAnsi" w:cstheme="minorHAnsi"/>
          <w:lang w:val="en"/>
        </w:rPr>
      </w:pPr>
      <w:r w:rsidRPr="00D7240E">
        <w:rPr>
          <w:rStyle w:val="captionnumber"/>
          <w:rFonts w:asciiTheme="minorHAnsi" w:hAnsiTheme="minorHAnsi" w:cstheme="minorHAnsi"/>
        </w:rPr>
        <w:t>Table 1</w:t>
      </w:r>
      <w:r w:rsidR="00D7240E">
        <w:rPr>
          <w:rStyle w:val="captionnumber"/>
          <w:rFonts w:asciiTheme="minorHAnsi" w:hAnsiTheme="minorHAnsi" w:cstheme="minorHAnsi"/>
        </w:rPr>
        <w:t xml:space="preserve"> </w:t>
      </w:r>
      <w:r w:rsidRPr="00D7240E">
        <w:rPr>
          <w:rFonts w:asciiTheme="minorHAnsi" w:hAnsiTheme="minorHAnsi" w:cstheme="minorHAnsi"/>
          <w:lang w:val="en"/>
        </w:rPr>
        <w:t>Factor analyses of last year experiences with benevolently sexist events, Studies 1 and 2</w:t>
      </w:r>
    </w:p>
    <w:tbl>
      <w:tblPr>
        <w:tblStyle w:val="TableGrid"/>
        <w:tblW w:w="0" w:type="auto"/>
        <w:tblLook w:val="04A0" w:firstRow="1" w:lastRow="0" w:firstColumn="1" w:lastColumn="0" w:noHBand="0" w:noVBand="1"/>
      </w:tblPr>
      <w:tblGrid>
        <w:gridCol w:w="6977"/>
        <w:gridCol w:w="873"/>
        <w:gridCol w:w="671"/>
        <w:gridCol w:w="671"/>
        <w:gridCol w:w="878"/>
      </w:tblGrid>
      <w:tr w:rsidR="00D7240E" w:rsidRPr="00D7240E" w14:paraId="43E6D4CF" w14:textId="77777777" w:rsidTr="00AB0541">
        <w:tc>
          <w:tcPr>
            <w:tcW w:w="0" w:type="auto"/>
            <w:hideMark/>
          </w:tcPr>
          <w:p w14:paraId="6A0955C7" w14:textId="77777777" w:rsidR="00D7240E" w:rsidRPr="00D7240E" w:rsidRDefault="00D7240E" w:rsidP="00D7240E">
            <w:pPr>
              <w:pStyle w:val="NoSpacing"/>
              <w:rPr>
                <w:sz w:val="20"/>
                <w:szCs w:val="20"/>
              </w:rPr>
            </w:pPr>
            <w:r w:rsidRPr="00D7240E">
              <w:rPr>
                <w:sz w:val="20"/>
                <w:szCs w:val="20"/>
              </w:rPr>
              <w:t>Item</w:t>
            </w:r>
          </w:p>
        </w:tc>
        <w:tc>
          <w:tcPr>
            <w:tcW w:w="0" w:type="auto"/>
            <w:hideMark/>
          </w:tcPr>
          <w:p w14:paraId="4402188C" w14:textId="77777777" w:rsidR="00D7240E" w:rsidRPr="00D7240E" w:rsidRDefault="00D7240E" w:rsidP="00D7240E">
            <w:pPr>
              <w:pStyle w:val="NoSpacing"/>
              <w:rPr>
                <w:sz w:val="20"/>
                <w:szCs w:val="20"/>
              </w:rPr>
            </w:pPr>
            <w:r w:rsidRPr="00D7240E">
              <w:rPr>
                <w:sz w:val="20"/>
                <w:szCs w:val="20"/>
              </w:rPr>
              <w:t>(a) Study 1</w:t>
            </w:r>
          </w:p>
        </w:tc>
        <w:tc>
          <w:tcPr>
            <w:tcW w:w="0" w:type="auto"/>
          </w:tcPr>
          <w:p w14:paraId="1F7479AB" w14:textId="77777777" w:rsidR="00D7240E" w:rsidRPr="00D7240E" w:rsidRDefault="00D7240E" w:rsidP="00D7240E">
            <w:pPr>
              <w:pStyle w:val="NoSpacing"/>
              <w:rPr>
                <w:sz w:val="20"/>
                <w:szCs w:val="20"/>
              </w:rPr>
            </w:pPr>
          </w:p>
        </w:tc>
        <w:tc>
          <w:tcPr>
            <w:tcW w:w="0" w:type="auto"/>
          </w:tcPr>
          <w:p w14:paraId="032C9275" w14:textId="4B2ACCDD" w:rsidR="00D7240E" w:rsidRPr="00D7240E" w:rsidRDefault="00D7240E" w:rsidP="00D7240E">
            <w:pPr>
              <w:pStyle w:val="NoSpacing"/>
              <w:rPr>
                <w:sz w:val="20"/>
                <w:szCs w:val="20"/>
              </w:rPr>
            </w:pPr>
          </w:p>
        </w:tc>
        <w:tc>
          <w:tcPr>
            <w:tcW w:w="0" w:type="auto"/>
            <w:hideMark/>
          </w:tcPr>
          <w:p w14:paraId="5FFB39D7" w14:textId="77777777" w:rsidR="00D7240E" w:rsidRPr="00D7240E" w:rsidRDefault="00D7240E" w:rsidP="00D7240E">
            <w:pPr>
              <w:pStyle w:val="NoSpacing"/>
              <w:rPr>
                <w:sz w:val="20"/>
                <w:szCs w:val="20"/>
              </w:rPr>
            </w:pPr>
            <w:r w:rsidRPr="00D7240E">
              <w:rPr>
                <w:sz w:val="20"/>
                <w:szCs w:val="20"/>
              </w:rPr>
              <w:t>(b) Study 2</w:t>
            </w:r>
          </w:p>
        </w:tc>
      </w:tr>
      <w:tr w:rsidR="00FA36F7" w:rsidRPr="00D7240E" w14:paraId="475C2EBB" w14:textId="77777777" w:rsidTr="00C9755E">
        <w:tc>
          <w:tcPr>
            <w:tcW w:w="0" w:type="auto"/>
            <w:hideMark/>
          </w:tcPr>
          <w:p w14:paraId="097EE2AB" w14:textId="77777777" w:rsidR="00FA36F7" w:rsidRPr="00D7240E" w:rsidRDefault="00FA36F7" w:rsidP="00D7240E">
            <w:pPr>
              <w:pStyle w:val="NoSpacing"/>
              <w:rPr>
                <w:sz w:val="20"/>
                <w:szCs w:val="20"/>
              </w:rPr>
            </w:pPr>
          </w:p>
        </w:tc>
        <w:tc>
          <w:tcPr>
            <w:tcW w:w="0" w:type="auto"/>
            <w:hideMark/>
          </w:tcPr>
          <w:p w14:paraId="63CA68F3" w14:textId="77777777" w:rsidR="00FA36F7" w:rsidRPr="00D7240E" w:rsidRDefault="00FA36F7" w:rsidP="00D7240E">
            <w:pPr>
              <w:pStyle w:val="NoSpacing"/>
              <w:rPr>
                <w:sz w:val="20"/>
                <w:szCs w:val="20"/>
              </w:rPr>
            </w:pPr>
            <w:r w:rsidRPr="00D7240E">
              <w:rPr>
                <w:sz w:val="20"/>
                <w:szCs w:val="20"/>
              </w:rPr>
              <w:t>HI</w:t>
            </w:r>
          </w:p>
        </w:tc>
        <w:tc>
          <w:tcPr>
            <w:tcW w:w="0" w:type="auto"/>
            <w:hideMark/>
          </w:tcPr>
          <w:p w14:paraId="67292045" w14:textId="77777777" w:rsidR="00FA36F7" w:rsidRPr="00D7240E" w:rsidRDefault="00FA36F7" w:rsidP="00D7240E">
            <w:pPr>
              <w:pStyle w:val="NoSpacing"/>
              <w:rPr>
                <w:sz w:val="20"/>
                <w:szCs w:val="20"/>
              </w:rPr>
            </w:pPr>
            <w:r w:rsidRPr="00D7240E">
              <w:rPr>
                <w:sz w:val="20"/>
                <w:szCs w:val="20"/>
              </w:rPr>
              <w:t>CGD</w:t>
            </w:r>
          </w:p>
        </w:tc>
        <w:tc>
          <w:tcPr>
            <w:tcW w:w="0" w:type="auto"/>
            <w:hideMark/>
          </w:tcPr>
          <w:p w14:paraId="2FC7E9C8" w14:textId="77777777" w:rsidR="00FA36F7" w:rsidRPr="00D7240E" w:rsidRDefault="00FA36F7" w:rsidP="00D7240E">
            <w:pPr>
              <w:pStyle w:val="NoSpacing"/>
              <w:rPr>
                <w:sz w:val="20"/>
                <w:szCs w:val="20"/>
              </w:rPr>
            </w:pPr>
            <w:r w:rsidRPr="00D7240E">
              <w:rPr>
                <w:sz w:val="20"/>
                <w:szCs w:val="20"/>
              </w:rPr>
              <w:t>PP</w:t>
            </w:r>
          </w:p>
        </w:tc>
        <w:tc>
          <w:tcPr>
            <w:tcW w:w="0" w:type="auto"/>
            <w:hideMark/>
          </w:tcPr>
          <w:p w14:paraId="23607B05" w14:textId="77777777" w:rsidR="00FA36F7" w:rsidRPr="00D7240E" w:rsidRDefault="00FA36F7" w:rsidP="00D7240E">
            <w:pPr>
              <w:pStyle w:val="NoSpacing"/>
              <w:rPr>
                <w:sz w:val="20"/>
                <w:szCs w:val="20"/>
              </w:rPr>
            </w:pPr>
            <w:r w:rsidRPr="00D7240E">
              <w:rPr>
                <w:sz w:val="20"/>
                <w:szCs w:val="20"/>
              </w:rPr>
              <w:t>CFA</w:t>
            </w:r>
          </w:p>
        </w:tc>
      </w:tr>
      <w:tr w:rsidR="00D7240E" w:rsidRPr="00D7240E" w14:paraId="33A41B36" w14:textId="77777777" w:rsidTr="00C9755E">
        <w:tc>
          <w:tcPr>
            <w:tcW w:w="0" w:type="auto"/>
          </w:tcPr>
          <w:p w14:paraId="781D4859" w14:textId="58DBA4E3" w:rsidR="00D7240E" w:rsidRPr="00D7240E" w:rsidRDefault="00D7240E" w:rsidP="00D7240E">
            <w:pPr>
              <w:pStyle w:val="NoSpacing"/>
              <w:rPr>
                <w:color w:val="666666"/>
                <w:sz w:val="20"/>
                <w:szCs w:val="20"/>
              </w:rPr>
            </w:pPr>
            <w:r w:rsidRPr="00D7240E">
              <w:rPr>
                <w:color w:val="666666"/>
                <w:sz w:val="20"/>
                <w:szCs w:val="20"/>
              </w:rPr>
              <w:t>(a) Heterosexual Intimacy (HI)</w:t>
            </w:r>
          </w:p>
        </w:tc>
        <w:tc>
          <w:tcPr>
            <w:tcW w:w="0" w:type="auto"/>
          </w:tcPr>
          <w:p w14:paraId="166D6F67" w14:textId="77777777" w:rsidR="00D7240E" w:rsidRPr="00D7240E" w:rsidRDefault="00D7240E" w:rsidP="00D7240E">
            <w:pPr>
              <w:pStyle w:val="NoSpacing"/>
              <w:rPr>
                <w:color w:val="666666"/>
                <w:sz w:val="20"/>
                <w:szCs w:val="20"/>
              </w:rPr>
            </w:pPr>
          </w:p>
        </w:tc>
        <w:tc>
          <w:tcPr>
            <w:tcW w:w="0" w:type="auto"/>
          </w:tcPr>
          <w:p w14:paraId="7F5779A3" w14:textId="77777777" w:rsidR="00D7240E" w:rsidRPr="00D7240E" w:rsidRDefault="00D7240E" w:rsidP="00D7240E">
            <w:pPr>
              <w:pStyle w:val="NoSpacing"/>
              <w:rPr>
                <w:color w:val="666666"/>
                <w:sz w:val="20"/>
                <w:szCs w:val="20"/>
              </w:rPr>
            </w:pPr>
          </w:p>
        </w:tc>
        <w:tc>
          <w:tcPr>
            <w:tcW w:w="0" w:type="auto"/>
          </w:tcPr>
          <w:p w14:paraId="59E25D65" w14:textId="77777777" w:rsidR="00D7240E" w:rsidRPr="00D7240E" w:rsidRDefault="00D7240E" w:rsidP="00D7240E">
            <w:pPr>
              <w:pStyle w:val="NoSpacing"/>
              <w:rPr>
                <w:color w:val="666666"/>
                <w:sz w:val="20"/>
                <w:szCs w:val="20"/>
              </w:rPr>
            </w:pPr>
          </w:p>
        </w:tc>
        <w:tc>
          <w:tcPr>
            <w:tcW w:w="0" w:type="auto"/>
          </w:tcPr>
          <w:p w14:paraId="5C25DD35" w14:textId="77777777" w:rsidR="00D7240E" w:rsidRPr="00D7240E" w:rsidRDefault="00D7240E" w:rsidP="00D7240E">
            <w:pPr>
              <w:pStyle w:val="NoSpacing"/>
              <w:rPr>
                <w:color w:val="666666"/>
                <w:sz w:val="20"/>
                <w:szCs w:val="20"/>
              </w:rPr>
            </w:pPr>
          </w:p>
        </w:tc>
      </w:tr>
      <w:tr w:rsidR="00FA36F7" w:rsidRPr="00D7240E" w14:paraId="667D4EC5" w14:textId="77777777" w:rsidTr="00C9755E">
        <w:tc>
          <w:tcPr>
            <w:tcW w:w="0" w:type="auto"/>
            <w:hideMark/>
          </w:tcPr>
          <w:p w14:paraId="211180BA"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You have been put on a pedestal by your romantic partner?</w:t>
            </w:r>
          </w:p>
        </w:tc>
        <w:tc>
          <w:tcPr>
            <w:tcW w:w="0" w:type="auto"/>
            <w:hideMark/>
          </w:tcPr>
          <w:p w14:paraId="37842255" w14:textId="77777777" w:rsidR="00FA36F7" w:rsidRPr="00D7240E" w:rsidRDefault="00FA36F7" w:rsidP="00D7240E">
            <w:pPr>
              <w:pStyle w:val="NoSpacing"/>
              <w:rPr>
                <w:color w:val="666666"/>
                <w:sz w:val="20"/>
                <w:szCs w:val="20"/>
              </w:rPr>
            </w:pPr>
            <w:r w:rsidRPr="00D7240E">
              <w:rPr>
                <w:color w:val="666666"/>
                <w:sz w:val="20"/>
                <w:szCs w:val="20"/>
              </w:rPr>
              <w:t>.73</w:t>
            </w:r>
          </w:p>
        </w:tc>
        <w:tc>
          <w:tcPr>
            <w:tcW w:w="0" w:type="auto"/>
            <w:hideMark/>
          </w:tcPr>
          <w:p w14:paraId="6325EAA6" w14:textId="77777777" w:rsidR="00FA36F7" w:rsidRPr="00D7240E" w:rsidRDefault="00FA36F7" w:rsidP="00D7240E">
            <w:pPr>
              <w:pStyle w:val="NoSpacing"/>
              <w:rPr>
                <w:color w:val="666666"/>
                <w:sz w:val="20"/>
                <w:szCs w:val="20"/>
              </w:rPr>
            </w:pPr>
            <w:r w:rsidRPr="00D7240E">
              <w:rPr>
                <w:color w:val="666666"/>
                <w:sz w:val="20"/>
                <w:szCs w:val="20"/>
              </w:rPr>
              <w:t>.04</w:t>
            </w:r>
          </w:p>
        </w:tc>
        <w:tc>
          <w:tcPr>
            <w:tcW w:w="0" w:type="auto"/>
            <w:hideMark/>
          </w:tcPr>
          <w:p w14:paraId="40A7BEFE" w14:textId="77777777" w:rsidR="00FA36F7" w:rsidRPr="00D7240E" w:rsidRDefault="00FA36F7" w:rsidP="00D7240E">
            <w:pPr>
              <w:pStyle w:val="NoSpacing"/>
              <w:rPr>
                <w:color w:val="666666"/>
                <w:sz w:val="20"/>
                <w:szCs w:val="20"/>
              </w:rPr>
            </w:pPr>
            <w:r w:rsidRPr="00D7240E">
              <w:rPr>
                <w:color w:val="666666"/>
                <w:sz w:val="20"/>
                <w:szCs w:val="20"/>
              </w:rPr>
              <w:t>−.10</w:t>
            </w:r>
          </w:p>
        </w:tc>
        <w:tc>
          <w:tcPr>
            <w:tcW w:w="0" w:type="auto"/>
            <w:hideMark/>
          </w:tcPr>
          <w:p w14:paraId="7E56E432" w14:textId="77777777" w:rsidR="00FA36F7" w:rsidRPr="00D7240E" w:rsidRDefault="00FA36F7" w:rsidP="00D7240E">
            <w:pPr>
              <w:pStyle w:val="NoSpacing"/>
              <w:rPr>
                <w:color w:val="666666"/>
                <w:sz w:val="20"/>
                <w:szCs w:val="20"/>
              </w:rPr>
            </w:pPr>
            <w:r w:rsidRPr="00D7240E">
              <w:rPr>
                <w:color w:val="666666"/>
                <w:sz w:val="20"/>
                <w:szCs w:val="20"/>
              </w:rPr>
              <w:t>.41</w:t>
            </w:r>
          </w:p>
        </w:tc>
      </w:tr>
      <w:tr w:rsidR="00FA36F7" w:rsidRPr="00D7240E" w14:paraId="5D33B936" w14:textId="77777777" w:rsidTr="00C9755E">
        <w:tc>
          <w:tcPr>
            <w:tcW w:w="0" w:type="auto"/>
            <w:hideMark/>
          </w:tcPr>
          <w:p w14:paraId="7043B81A"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You have been told that your love “completes” your partner?</w:t>
            </w:r>
          </w:p>
        </w:tc>
        <w:tc>
          <w:tcPr>
            <w:tcW w:w="0" w:type="auto"/>
            <w:hideMark/>
          </w:tcPr>
          <w:p w14:paraId="70FAA3CB" w14:textId="77777777" w:rsidR="00FA36F7" w:rsidRPr="00D7240E" w:rsidRDefault="00FA36F7" w:rsidP="00D7240E">
            <w:pPr>
              <w:pStyle w:val="NoSpacing"/>
              <w:rPr>
                <w:color w:val="666666"/>
                <w:sz w:val="20"/>
                <w:szCs w:val="20"/>
              </w:rPr>
            </w:pPr>
            <w:r w:rsidRPr="00D7240E">
              <w:rPr>
                <w:color w:val="666666"/>
                <w:sz w:val="20"/>
                <w:szCs w:val="20"/>
              </w:rPr>
              <w:t>.70</w:t>
            </w:r>
          </w:p>
        </w:tc>
        <w:tc>
          <w:tcPr>
            <w:tcW w:w="0" w:type="auto"/>
            <w:hideMark/>
          </w:tcPr>
          <w:p w14:paraId="5A6AA7BE" w14:textId="77777777" w:rsidR="00FA36F7" w:rsidRPr="00D7240E" w:rsidRDefault="00FA36F7" w:rsidP="00D7240E">
            <w:pPr>
              <w:pStyle w:val="NoSpacing"/>
              <w:rPr>
                <w:color w:val="666666"/>
                <w:sz w:val="20"/>
                <w:szCs w:val="20"/>
              </w:rPr>
            </w:pPr>
            <w:r w:rsidRPr="00D7240E">
              <w:rPr>
                <w:color w:val="666666"/>
                <w:sz w:val="20"/>
                <w:szCs w:val="20"/>
              </w:rPr>
              <w:t>−.02</w:t>
            </w:r>
          </w:p>
        </w:tc>
        <w:tc>
          <w:tcPr>
            <w:tcW w:w="0" w:type="auto"/>
            <w:hideMark/>
          </w:tcPr>
          <w:p w14:paraId="48B20DBF" w14:textId="77777777" w:rsidR="00FA36F7" w:rsidRPr="00D7240E" w:rsidRDefault="00FA36F7" w:rsidP="00D7240E">
            <w:pPr>
              <w:pStyle w:val="NoSpacing"/>
              <w:rPr>
                <w:color w:val="666666"/>
                <w:sz w:val="20"/>
                <w:szCs w:val="20"/>
              </w:rPr>
            </w:pPr>
            <w:r w:rsidRPr="00D7240E">
              <w:rPr>
                <w:color w:val="666666"/>
                <w:sz w:val="20"/>
                <w:szCs w:val="20"/>
              </w:rPr>
              <w:t>−.07</w:t>
            </w:r>
          </w:p>
        </w:tc>
        <w:tc>
          <w:tcPr>
            <w:tcW w:w="0" w:type="auto"/>
            <w:hideMark/>
          </w:tcPr>
          <w:p w14:paraId="71C63D8A" w14:textId="77777777" w:rsidR="00FA36F7" w:rsidRPr="00D7240E" w:rsidRDefault="00FA36F7" w:rsidP="00D7240E">
            <w:pPr>
              <w:pStyle w:val="NoSpacing"/>
              <w:rPr>
                <w:color w:val="666666"/>
                <w:sz w:val="20"/>
                <w:szCs w:val="20"/>
              </w:rPr>
            </w:pPr>
            <w:r w:rsidRPr="00D7240E">
              <w:rPr>
                <w:color w:val="666666"/>
                <w:sz w:val="20"/>
                <w:szCs w:val="20"/>
              </w:rPr>
              <w:t>.46</w:t>
            </w:r>
          </w:p>
        </w:tc>
      </w:tr>
      <w:tr w:rsidR="00FA36F7" w:rsidRPr="00D7240E" w14:paraId="3CA0BE38" w14:textId="77777777" w:rsidTr="00C9755E">
        <w:tc>
          <w:tcPr>
            <w:tcW w:w="0" w:type="auto"/>
            <w:hideMark/>
          </w:tcPr>
          <w:p w14:paraId="245543FB"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Romantic partners praised your ability to take care of their emotional needs?</w:t>
            </w:r>
          </w:p>
        </w:tc>
        <w:tc>
          <w:tcPr>
            <w:tcW w:w="0" w:type="auto"/>
            <w:hideMark/>
          </w:tcPr>
          <w:p w14:paraId="761DB538" w14:textId="77777777" w:rsidR="00FA36F7" w:rsidRPr="00D7240E" w:rsidRDefault="00FA36F7" w:rsidP="00D7240E">
            <w:pPr>
              <w:pStyle w:val="NoSpacing"/>
              <w:rPr>
                <w:color w:val="666666"/>
                <w:sz w:val="20"/>
                <w:szCs w:val="20"/>
              </w:rPr>
            </w:pPr>
            <w:r w:rsidRPr="00D7240E">
              <w:rPr>
                <w:color w:val="666666"/>
                <w:sz w:val="20"/>
                <w:szCs w:val="20"/>
              </w:rPr>
              <w:t>.65</w:t>
            </w:r>
          </w:p>
        </w:tc>
        <w:tc>
          <w:tcPr>
            <w:tcW w:w="0" w:type="auto"/>
            <w:hideMark/>
          </w:tcPr>
          <w:p w14:paraId="6CBE18A8" w14:textId="77777777" w:rsidR="00FA36F7" w:rsidRPr="00D7240E" w:rsidRDefault="00FA36F7" w:rsidP="00D7240E">
            <w:pPr>
              <w:pStyle w:val="NoSpacing"/>
              <w:rPr>
                <w:color w:val="666666"/>
                <w:sz w:val="20"/>
                <w:szCs w:val="20"/>
              </w:rPr>
            </w:pPr>
            <w:r w:rsidRPr="00D7240E">
              <w:rPr>
                <w:color w:val="666666"/>
                <w:sz w:val="20"/>
                <w:szCs w:val="20"/>
              </w:rPr>
              <w:t>.26</w:t>
            </w:r>
          </w:p>
        </w:tc>
        <w:tc>
          <w:tcPr>
            <w:tcW w:w="0" w:type="auto"/>
            <w:hideMark/>
          </w:tcPr>
          <w:p w14:paraId="53C4D3D9" w14:textId="77777777" w:rsidR="00FA36F7" w:rsidRPr="00D7240E" w:rsidRDefault="00FA36F7" w:rsidP="00D7240E">
            <w:pPr>
              <w:pStyle w:val="NoSpacing"/>
              <w:rPr>
                <w:color w:val="666666"/>
                <w:sz w:val="20"/>
                <w:szCs w:val="20"/>
              </w:rPr>
            </w:pPr>
            <w:r w:rsidRPr="00D7240E">
              <w:rPr>
                <w:color w:val="666666"/>
                <w:sz w:val="20"/>
                <w:szCs w:val="20"/>
              </w:rPr>
              <w:t>−.22</w:t>
            </w:r>
          </w:p>
        </w:tc>
        <w:tc>
          <w:tcPr>
            <w:tcW w:w="0" w:type="auto"/>
            <w:hideMark/>
          </w:tcPr>
          <w:p w14:paraId="41001E8C" w14:textId="77777777" w:rsidR="00FA36F7" w:rsidRPr="00D7240E" w:rsidRDefault="00FA36F7" w:rsidP="00D7240E">
            <w:pPr>
              <w:pStyle w:val="NoSpacing"/>
              <w:rPr>
                <w:color w:val="666666"/>
                <w:sz w:val="20"/>
                <w:szCs w:val="20"/>
              </w:rPr>
            </w:pPr>
            <w:r w:rsidRPr="00D7240E">
              <w:rPr>
                <w:color w:val="666666"/>
                <w:sz w:val="20"/>
                <w:szCs w:val="20"/>
              </w:rPr>
              <w:t>.45</w:t>
            </w:r>
          </w:p>
        </w:tc>
      </w:tr>
      <w:tr w:rsidR="00FA36F7" w:rsidRPr="00D7240E" w14:paraId="6B0ABACD" w14:textId="77777777" w:rsidTr="00C9755E">
        <w:tc>
          <w:tcPr>
            <w:tcW w:w="0" w:type="auto"/>
            <w:hideMark/>
          </w:tcPr>
          <w:p w14:paraId="7DAE509E"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Romantic partners expected you to please them through physical intimacy?</w:t>
            </w:r>
          </w:p>
        </w:tc>
        <w:tc>
          <w:tcPr>
            <w:tcW w:w="0" w:type="auto"/>
            <w:hideMark/>
          </w:tcPr>
          <w:p w14:paraId="2357BB48" w14:textId="77777777" w:rsidR="00FA36F7" w:rsidRPr="00D7240E" w:rsidRDefault="00FA36F7" w:rsidP="00D7240E">
            <w:pPr>
              <w:pStyle w:val="NoSpacing"/>
              <w:rPr>
                <w:color w:val="666666"/>
                <w:sz w:val="20"/>
                <w:szCs w:val="20"/>
              </w:rPr>
            </w:pPr>
            <w:r w:rsidRPr="00D7240E">
              <w:rPr>
                <w:color w:val="666666"/>
                <w:sz w:val="20"/>
                <w:szCs w:val="20"/>
              </w:rPr>
              <w:t>.56</w:t>
            </w:r>
          </w:p>
        </w:tc>
        <w:tc>
          <w:tcPr>
            <w:tcW w:w="0" w:type="auto"/>
            <w:hideMark/>
          </w:tcPr>
          <w:p w14:paraId="77B872A0" w14:textId="77777777" w:rsidR="00FA36F7" w:rsidRPr="00D7240E" w:rsidRDefault="00FA36F7" w:rsidP="00D7240E">
            <w:pPr>
              <w:pStyle w:val="NoSpacing"/>
              <w:rPr>
                <w:color w:val="666666"/>
                <w:sz w:val="20"/>
                <w:szCs w:val="20"/>
              </w:rPr>
            </w:pPr>
            <w:r w:rsidRPr="00D7240E">
              <w:rPr>
                <w:color w:val="666666"/>
                <w:sz w:val="20"/>
                <w:szCs w:val="20"/>
              </w:rPr>
              <w:t>−.09</w:t>
            </w:r>
          </w:p>
        </w:tc>
        <w:tc>
          <w:tcPr>
            <w:tcW w:w="0" w:type="auto"/>
            <w:hideMark/>
          </w:tcPr>
          <w:p w14:paraId="7A124A2D" w14:textId="77777777" w:rsidR="00FA36F7" w:rsidRPr="00D7240E" w:rsidRDefault="00FA36F7" w:rsidP="00D7240E">
            <w:pPr>
              <w:pStyle w:val="NoSpacing"/>
              <w:rPr>
                <w:color w:val="666666"/>
                <w:sz w:val="20"/>
                <w:szCs w:val="20"/>
              </w:rPr>
            </w:pPr>
            <w:r w:rsidRPr="00D7240E">
              <w:rPr>
                <w:color w:val="666666"/>
                <w:sz w:val="20"/>
                <w:szCs w:val="20"/>
              </w:rPr>
              <w:t>.10</w:t>
            </w:r>
          </w:p>
        </w:tc>
        <w:tc>
          <w:tcPr>
            <w:tcW w:w="0" w:type="auto"/>
            <w:hideMark/>
          </w:tcPr>
          <w:p w14:paraId="2AB48979" w14:textId="77777777" w:rsidR="00FA36F7" w:rsidRPr="00D7240E" w:rsidRDefault="00FA36F7" w:rsidP="00D7240E">
            <w:pPr>
              <w:pStyle w:val="NoSpacing"/>
              <w:rPr>
                <w:color w:val="666666"/>
                <w:sz w:val="20"/>
                <w:szCs w:val="20"/>
              </w:rPr>
            </w:pPr>
            <w:r w:rsidRPr="00D7240E">
              <w:rPr>
                <w:color w:val="666666"/>
                <w:sz w:val="20"/>
                <w:szCs w:val="20"/>
              </w:rPr>
              <w:t>.44</w:t>
            </w:r>
          </w:p>
        </w:tc>
      </w:tr>
      <w:tr w:rsidR="00FA36F7" w:rsidRPr="00D7240E" w14:paraId="2D473E8D" w14:textId="77777777" w:rsidTr="00C9755E">
        <w:tc>
          <w:tcPr>
            <w:tcW w:w="0" w:type="auto"/>
            <w:hideMark/>
          </w:tcPr>
          <w:p w14:paraId="15AD2E21"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You have been made to feel that you “owed” a date something after being taken out to an expensive restaurant or event?</w:t>
            </w:r>
          </w:p>
        </w:tc>
        <w:tc>
          <w:tcPr>
            <w:tcW w:w="0" w:type="auto"/>
            <w:hideMark/>
          </w:tcPr>
          <w:p w14:paraId="2FCF71F2" w14:textId="77777777" w:rsidR="00FA36F7" w:rsidRPr="00D7240E" w:rsidRDefault="00FA36F7" w:rsidP="00D7240E">
            <w:pPr>
              <w:pStyle w:val="NoSpacing"/>
              <w:rPr>
                <w:color w:val="666666"/>
                <w:sz w:val="20"/>
                <w:szCs w:val="20"/>
              </w:rPr>
            </w:pPr>
            <w:r w:rsidRPr="00D7240E">
              <w:rPr>
                <w:color w:val="666666"/>
                <w:sz w:val="20"/>
                <w:szCs w:val="20"/>
              </w:rPr>
              <w:t>.48</w:t>
            </w:r>
          </w:p>
        </w:tc>
        <w:tc>
          <w:tcPr>
            <w:tcW w:w="0" w:type="auto"/>
            <w:hideMark/>
          </w:tcPr>
          <w:p w14:paraId="44530F1B" w14:textId="77777777" w:rsidR="00FA36F7" w:rsidRPr="00D7240E" w:rsidRDefault="00FA36F7" w:rsidP="00D7240E">
            <w:pPr>
              <w:pStyle w:val="NoSpacing"/>
              <w:rPr>
                <w:color w:val="666666"/>
                <w:sz w:val="20"/>
                <w:szCs w:val="20"/>
              </w:rPr>
            </w:pPr>
            <w:r w:rsidRPr="00D7240E">
              <w:rPr>
                <w:color w:val="666666"/>
                <w:sz w:val="20"/>
                <w:szCs w:val="20"/>
              </w:rPr>
              <w:t>−.12</w:t>
            </w:r>
          </w:p>
        </w:tc>
        <w:tc>
          <w:tcPr>
            <w:tcW w:w="0" w:type="auto"/>
            <w:hideMark/>
          </w:tcPr>
          <w:p w14:paraId="41774F82" w14:textId="77777777" w:rsidR="00FA36F7" w:rsidRPr="00D7240E" w:rsidRDefault="00FA36F7" w:rsidP="00D7240E">
            <w:pPr>
              <w:pStyle w:val="NoSpacing"/>
              <w:rPr>
                <w:color w:val="666666"/>
                <w:sz w:val="20"/>
                <w:szCs w:val="20"/>
              </w:rPr>
            </w:pPr>
            <w:r w:rsidRPr="00D7240E">
              <w:rPr>
                <w:color w:val="666666"/>
                <w:sz w:val="20"/>
                <w:szCs w:val="20"/>
              </w:rPr>
              <w:t>.27</w:t>
            </w:r>
          </w:p>
        </w:tc>
        <w:tc>
          <w:tcPr>
            <w:tcW w:w="0" w:type="auto"/>
            <w:hideMark/>
          </w:tcPr>
          <w:p w14:paraId="1931F9C2" w14:textId="77777777" w:rsidR="00FA36F7" w:rsidRPr="00D7240E" w:rsidRDefault="00FA36F7" w:rsidP="00D7240E">
            <w:pPr>
              <w:pStyle w:val="NoSpacing"/>
              <w:rPr>
                <w:color w:val="666666"/>
                <w:sz w:val="20"/>
                <w:szCs w:val="20"/>
              </w:rPr>
            </w:pPr>
            <w:r w:rsidRPr="00D7240E">
              <w:rPr>
                <w:color w:val="666666"/>
                <w:sz w:val="20"/>
                <w:szCs w:val="20"/>
              </w:rPr>
              <w:t>.61</w:t>
            </w:r>
          </w:p>
        </w:tc>
      </w:tr>
      <w:tr w:rsidR="00FA36F7" w:rsidRPr="00D7240E" w14:paraId="1C56117D" w14:textId="77777777" w:rsidTr="00C9755E">
        <w:tc>
          <w:tcPr>
            <w:tcW w:w="0" w:type="auto"/>
            <w:hideMark/>
          </w:tcPr>
          <w:p w14:paraId="21376E1B"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You experienced your date act in a way that protected you from being harassed by other people?</w:t>
            </w:r>
          </w:p>
        </w:tc>
        <w:tc>
          <w:tcPr>
            <w:tcW w:w="0" w:type="auto"/>
            <w:hideMark/>
          </w:tcPr>
          <w:p w14:paraId="6687D534" w14:textId="77777777" w:rsidR="00FA36F7" w:rsidRPr="00D7240E" w:rsidRDefault="00FA36F7" w:rsidP="00D7240E">
            <w:pPr>
              <w:pStyle w:val="NoSpacing"/>
              <w:rPr>
                <w:color w:val="666666"/>
                <w:sz w:val="20"/>
                <w:szCs w:val="20"/>
              </w:rPr>
            </w:pPr>
            <w:r w:rsidRPr="00D7240E">
              <w:rPr>
                <w:color w:val="666666"/>
                <w:sz w:val="20"/>
                <w:szCs w:val="20"/>
              </w:rPr>
              <w:t>.44</w:t>
            </w:r>
          </w:p>
        </w:tc>
        <w:tc>
          <w:tcPr>
            <w:tcW w:w="0" w:type="auto"/>
            <w:hideMark/>
          </w:tcPr>
          <w:p w14:paraId="040B0C1A" w14:textId="77777777" w:rsidR="00FA36F7" w:rsidRPr="00D7240E" w:rsidRDefault="00FA36F7" w:rsidP="00D7240E">
            <w:pPr>
              <w:pStyle w:val="NoSpacing"/>
              <w:rPr>
                <w:color w:val="666666"/>
                <w:sz w:val="20"/>
                <w:szCs w:val="20"/>
              </w:rPr>
            </w:pPr>
            <w:r w:rsidRPr="00D7240E">
              <w:rPr>
                <w:color w:val="666666"/>
                <w:sz w:val="20"/>
                <w:szCs w:val="20"/>
              </w:rPr>
              <w:t>.16</w:t>
            </w:r>
          </w:p>
        </w:tc>
        <w:tc>
          <w:tcPr>
            <w:tcW w:w="0" w:type="auto"/>
            <w:hideMark/>
          </w:tcPr>
          <w:p w14:paraId="36DBFD9D" w14:textId="77777777" w:rsidR="00FA36F7" w:rsidRPr="00D7240E" w:rsidRDefault="00FA36F7" w:rsidP="00D7240E">
            <w:pPr>
              <w:pStyle w:val="NoSpacing"/>
              <w:rPr>
                <w:color w:val="666666"/>
                <w:sz w:val="20"/>
                <w:szCs w:val="20"/>
              </w:rPr>
            </w:pPr>
            <w:r w:rsidRPr="00D7240E">
              <w:rPr>
                <w:color w:val="666666"/>
                <w:sz w:val="20"/>
                <w:szCs w:val="20"/>
              </w:rPr>
              <w:t>.04</w:t>
            </w:r>
          </w:p>
        </w:tc>
        <w:tc>
          <w:tcPr>
            <w:tcW w:w="0" w:type="auto"/>
            <w:hideMark/>
          </w:tcPr>
          <w:p w14:paraId="309D4468" w14:textId="77777777" w:rsidR="00FA36F7" w:rsidRPr="00D7240E" w:rsidRDefault="00FA36F7" w:rsidP="00D7240E">
            <w:pPr>
              <w:pStyle w:val="NoSpacing"/>
              <w:rPr>
                <w:color w:val="666666"/>
                <w:sz w:val="20"/>
                <w:szCs w:val="20"/>
              </w:rPr>
            </w:pPr>
            <w:r w:rsidRPr="00D7240E">
              <w:rPr>
                <w:color w:val="666666"/>
                <w:sz w:val="20"/>
                <w:szCs w:val="20"/>
              </w:rPr>
              <w:t>.75</w:t>
            </w:r>
          </w:p>
        </w:tc>
      </w:tr>
      <w:tr w:rsidR="00FA36F7" w:rsidRPr="00D7240E" w14:paraId="492B0D65" w14:textId="77777777" w:rsidTr="00C9755E">
        <w:tc>
          <w:tcPr>
            <w:tcW w:w="0" w:type="auto"/>
            <w:hideMark/>
          </w:tcPr>
          <w:p w14:paraId="2CE9BBBB"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You have been on a date and your date makes the decision where to go for dinner?</w:t>
            </w:r>
          </w:p>
        </w:tc>
        <w:tc>
          <w:tcPr>
            <w:tcW w:w="0" w:type="auto"/>
            <w:hideMark/>
          </w:tcPr>
          <w:p w14:paraId="1DD3CE2D" w14:textId="77777777" w:rsidR="00FA36F7" w:rsidRPr="00D7240E" w:rsidRDefault="00FA36F7" w:rsidP="00D7240E">
            <w:pPr>
              <w:pStyle w:val="NoSpacing"/>
              <w:rPr>
                <w:color w:val="666666"/>
                <w:sz w:val="20"/>
                <w:szCs w:val="20"/>
              </w:rPr>
            </w:pPr>
            <w:r w:rsidRPr="00D7240E">
              <w:rPr>
                <w:color w:val="666666"/>
                <w:sz w:val="20"/>
                <w:szCs w:val="20"/>
              </w:rPr>
              <w:t>.42</w:t>
            </w:r>
          </w:p>
        </w:tc>
        <w:tc>
          <w:tcPr>
            <w:tcW w:w="0" w:type="auto"/>
            <w:hideMark/>
          </w:tcPr>
          <w:p w14:paraId="619954A2" w14:textId="77777777" w:rsidR="00FA36F7" w:rsidRPr="00D7240E" w:rsidRDefault="00FA36F7" w:rsidP="00D7240E">
            <w:pPr>
              <w:pStyle w:val="NoSpacing"/>
              <w:rPr>
                <w:color w:val="666666"/>
                <w:sz w:val="20"/>
                <w:szCs w:val="20"/>
              </w:rPr>
            </w:pPr>
            <w:r w:rsidRPr="00D7240E">
              <w:rPr>
                <w:color w:val="666666"/>
                <w:sz w:val="20"/>
                <w:szCs w:val="20"/>
              </w:rPr>
              <w:t>−.19</w:t>
            </w:r>
          </w:p>
        </w:tc>
        <w:tc>
          <w:tcPr>
            <w:tcW w:w="0" w:type="auto"/>
            <w:hideMark/>
          </w:tcPr>
          <w:p w14:paraId="5250C535" w14:textId="77777777" w:rsidR="00FA36F7" w:rsidRPr="00D7240E" w:rsidRDefault="00FA36F7" w:rsidP="00D7240E">
            <w:pPr>
              <w:pStyle w:val="NoSpacing"/>
              <w:rPr>
                <w:color w:val="666666"/>
                <w:sz w:val="20"/>
                <w:szCs w:val="20"/>
              </w:rPr>
            </w:pPr>
            <w:r w:rsidRPr="00D7240E">
              <w:rPr>
                <w:color w:val="666666"/>
                <w:sz w:val="20"/>
                <w:szCs w:val="20"/>
              </w:rPr>
              <w:t>.21</w:t>
            </w:r>
          </w:p>
        </w:tc>
        <w:tc>
          <w:tcPr>
            <w:tcW w:w="0" w:type="auto"/>
            <w:hideMark/>
          </w:tcPr>
          <w:p w14:paraId="7FAA73D7" w14:textId="77777777" w:rsidR="00FA36F7" w:rsidRPr="00D7240E" w:rsidRDefault="00FA36F7" w:rsidP="00D7240E">
            <w:pPr>
              <w:pStyle w:val="NoSpacing"/>
              <w:rPr>
                <w:color w:val="666666"/>
                <w:sz w:val="20"/>
                <w:szCs w:val="20"/>
              </w:rPr>
            </w:pPr>
            <w:r w:rsidRPr="00D7240E">
              <w:rPr>
                <w:color w:val="666666"/>
                <w:sz w:val="20"/>
                <w:szCs w:val="20"/>
              </w:rPr>
              <w:t>.53</w:t>
            </w:r>
          </w:p>
        </w:tc>
      </w:tr>
      <w:tr w:rsidR="00FA36F7" w:rsidRPr="00D7240E" w14:paraId="042486E9" w14:textId="77777777" w:rsidTr="00C9755E">
        <w:tc>
          <w:tcPr>
            <w:tcW w:w="0" w:type="auto"/>
            <w:hideMark/>
          </w:tcPr>
          <w:p w14:paraId="13ADB323"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Others assumed that you will sacrifice your needs if it benefits your romantic partner in some way?</w:t>
            </w:r>
          </w:p>
        </w:tc>
        <w:tc>
          <w:tcPr>
            <w:tcW w:w="0" w:type="auto"/>
            <w:hideMark/>
          </w:tcPr>
          <w:p w14:paraId="09BDF838" w14:textId="77777777" w:rsidR="00FA36F7" w:rsidRPr="00D7240E" w:rsidRDefault="00FA36F7" w:rsidP="00D7240E">
            <w:pPr>
              <w:pStyle w:val="NoSpacing"/>
              <w:rPr>
                <w:color w:val="666666"/>
                <w:sz w:val="20"/>
                <w:szCs w:val="20"/>
              </w:rPr>
            </w:pPr>
            <w:r w:rsidRPr="00D7240E">
              <w:rPr>
                <w:color w:val="666666"/>
                <w:sz w:val="20"/>
                <w:szCs w:val="20"/>
              </w:rPr>
              <w:t>.35</w:t>
            </w:r>
          </w:p>
        </w:tc>
        <w:tc>
          <w:tcPr>
            <w:tcW w:w="0" w:type="auto"/>
            <w:hideMark/>
          </w:tcPr>
          <w:p w14:paraId="57E84027" w14:textId="77777777" w:rsidR="00FA36F7" w:rsidRPr="00D7240E" w:rsidRDefault="00FA36F7" w:rsidP="00D7240E">
            <w:pPr>
              <w:pStyle w:val="NoSpacing"/>
              <w:rPr>
                <w:color w:val="666666"/>
                <w:sz w:val="20"/>
                <w:szCs w:val="20"/>
              </w:rPr>
            </w:pPr>
            <w:r w:rsidRPr="00D7240E">
              <w:rPr>
                <w:color w:val="666666"/>
                <w:sz w:val="20"/>
                <w:szCs w:val="20"/>
              </w:rPr>
              <w:t>.08</w:t>
            </w:r>
          </w:p>
        </w:tc>
        <w:tc>
          <w:tcPr>
            <w:tcW w:w="0" w:type="auto"/>
            <w:hideMark/>
          </w:tcPr>
          <w:p w14:paraId="03F200C6" w14:textId="77777777" w:rsidR="00FA36F7" w:rsidRPr="00D7240E" w:rsidRDefault="00FA36F7" w:rsidP="00D7240E">
            <w:pPr>
              <w:pStyle w:val="NoSpacing"/>
              <w:rPr>
                <w:color w:val="666666"/>
                <w:sz w:val="20"/>
                <w:szCs w:val="20"/>
              </w:rPr>
            </w:pPr>
            <w:r w:rsidRPr="00D7240E">
              <w:rPr>
                <w:color w:val="666666"/>
                <w:sz w:val="20"/>
                <w:szCs w:val="20"/>
              </w:rPr>
              <w:t>.29</w:t>
            </w:r>
          </w:p>
        </w:tc>
        <w:tc>
          <w:tcPr>
            <w:tcW w:w="0" w:type="auto"/>
            <w:hideMark/>
          </w:tcPr>
          <w:p w14:paraId="76144EEB" w14:textId="77777777" w:rsidR="00FA36F7" w:rsidRPr="00D7240E" w:rsidRDefault="00FA36F7" w:rsidP="00D7240E">
            <w:pPr>
              <w:pStyle w:val="NoSpacing"/>
              <w:rPr>
                <w:color w:val="666666"/>
                <w:sz w:val="20"/>
                <w:szCs w:val="20"/>
              </w:rPr>
            </w:pPr>
            <w:r w:rsidRPr="00D7240E">
              <w:rPr>
                <w:color w:val="666666"/>
                <w:sz w:val="20"/>
                <w:szCs w:val="20"/>
              </w:rPr>
              <w:t>.71</w:t>
            </w:r>
          </w:p>
        </w:tc>
      </w:tr>
      <w:tr w:rsidR="00FA36F7" w:rsidRPr="00D7240E" w14:paraId="3E6103AB" w14:textId="77777777" w:rsidTr="00C9755E">
        <w:tc>
          <w:tcPr>
            <w:tcW w:w="0" w:type="auto"/>
            <w:hideMark/>
          </w:tcPr>
          <w:p w14:paraId="08583DBD"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 xml:space="preserve">Your date asked you out, rather than you </w:t>
            </w:r>
            <w:proofErr w:type="gramStart"/>
            <w:r w:rsidRPr="00D7240E">
              <w:rPr>
                <w:color w:val="666666"/>
                <w:sz w:val="20"/>
                <w:szCs w:val="20"/>
              </w:rPr>
              <w:t>asking</w:t>
            </w:r>
            <w:proofErr w:type="gramEnd"/>
            <w:r w:rsidRPr="00D7240E">
              <w:rPr>
                <w:color w:val="666666"/>
                <w:sz w:val="20"/>
                <w:szCs w:val="20"/>
              </w:rPr>
              <w:t xml:space="preserve"> out your date?</w:t>
            </w:r>
          </w:p>
        </w:tc>
        <w:tc>
          <w:tcPr>
            <w:tcW w:w="0" w:type="auto"/>
            <w:hideMark/>
          </w:tcPr>
          <w:p w14:paraId="3C452BC4" w14:textId="77777777" w:rsidR="00FA36F7" w:rsidRPr="00D7240E" w:rsidRDefault="00FA36F7" w:rsidP="00D7240E">
            <w:pPr>
              <w:pStyle w:val="NoSpacing"/>
              <w:rPr>
                <w:color w:val="666666"/>
                <w:sz w:val="20"/>
                <w:szCs w:val="20"/>
              </w:rPr>
            </w:pPr>
            <w:r w:rsidRPr="00D7240E">
              <w:rPr>
                <w:color w:val="666666"/>
                <w:sz w:val="20"/>
                <w:szCs w:val="20"/>
              </w:rPr>
              <w:t>.33</w:t>
            </w:r>
          </w:p>
        </w:tc>
        <w:tc>
          <w:tcPr>
            <w:tcW w:w="0" w:type="auto"/>
            <w:hideMark/>
          </w:tcPr>
          <w:p w14:paraId="44ACC935" w14:textId="77777777" w:rsidR="00FA36F7" w:rsidRPr="00D7240E" w:rsidRDefault="00FA36F7" w:rsidP="00D7240E">
            <w:pPr>
              <w:pStyle w:val="NoSpacing"/>
              <w:rPr>
                <w:color w:val="666666"/>
                <w:sz w:val="20"/>
                <w:szCs w:val="20"/>
              </w:rPr>
            </w:pPr>
            <w:r w:rsidRPr="00D7240E">
              <w:rPr>
                <w:color w:val="666666"/>
                <w:sz w:val="20"/>
                <w:szCs w:val="20"/>
              </w:rPr>
              <w:t>.003</w:t>
            </w:r>
          </w:p>
        </w:tc>
        <w:tc>
          <w:tcPr>
            <w:tcW w:w="0" w:type="auto"/>
            <w:hideMark/>
          </w:tcPr>
          <w:p w14:paraId="33AFC947" w14:textId="77777777" w:rsidR="00FA36F7" w:rsidRPr="00D7240E" w:rsidRDefault="00FA36F7" w:rsidP="00D7240E">
            <w:pPr>
              <w:pStyle w:val="NoSpacing"/>
              <w:rPr>
                <w:color w:val="666666"/>
                <w:sz w:val="20"/>
                <w:szCs w:val="20"/>
              </w:rPr>
            </w:pPr>
            <w:r w:rsidRPr="00D7240E">
              <w:rPr>
                <w:color w:val="666666"/>
                <w:sz w:val="20"/>
                <w:szCs w:val="20"/>
              </w:rPr>
              <w:t>.11</w:t>
            </w:r>
          </w:p>
        </w:tc>
        <w:tc>
          <w:tcPr>
            <w:tcW w:w="0" w:type="auto"/>
            <w:hideMark/>
          </w:tcPr>
          <w:p w14:paraId="79C96628" w14:textId="77777777" w:rsidR="00FA36F7" w:rsidRPr="00D7240E" w:rsidRDefault="00FA36F7" w:rsidP="00D7240E">
            <w:pPr>
              <w:pStyle w:val="NoSpacing"/>
              <w:rPr>
                <w:color w:val="666666"/>
                <w:sz w:val="20"/>
                <w:szCs w:val="20"/>
              </w:rPr>
            </w:pPr>
            <w:r w:rsidRPr="00D7240E">
              <w:rPr>
                <w:color w:val="666666"/>
                <w:sz w:val="20"/>
                <w:szCs w:val="20"/>
              </w:rPr>
              <w:t>.40</w:t>
            </w:r>
          </w:p>
        </w:tc>
      </w:tr>
      <w:tr w:rsidR="00FA36F7" w:rsidRPr="00D7240E" w14:paraId="6F4FB9BA" w14:textId="77777777" w:rsidTr="00C9755E">
        <w:tc>
          <w:tcPr>
            <w:tcW w:w="0" w:type="auto"/>
            <w:hideMark/>
          </w:tcPr>
          <w:p w14:paraId="2AD689C5"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Others provided you with financial support (e.g., assist with bills, pay for vacation, buy drinks, pay for dates, etc.)?</w:t>
            </w:r>
          </w:p>
        </w:tc>
        <w:tc>
          <w:tcPr>
            <w:tcW w:w="0" w:type="auto"/>
            <w:hideMark/>
          </w:tcPr>
          <w:p w14:paraId="03700B75" w14:textId="77777777" w:rsidR="00FA36F7" w:rsidRPr="00D7240E" w:rsidRDefault="00FA36F7" w:rsidP="00D7240E">
            <w:pPr>
              <w:pStyle w:val="NoSpacing"/>
              <w:rPr>
                <w:color w:val="666666"/>
                <w:sz w:val="20"/>
                <w:szCs w:val="20"/>
              </w:rPr>
            </w:pPr>
            <w:r w:rsidRPr="00D7240E">
              <w:rPr>
                <w:color w:val="666666"/>
                <w:sz w:val="20"/>
                <w:szCs w:val="20"/>
              </w:rPr>
              <w:t>.32</w:t>
            </w:r>
          </w:p>
        </w:tc>
        <w:tc>
          <w:tcPr>
            <w:tcW w:w="0" w:type="auto"/>
            <w:hideMark/>
          </w:tcPr>
          <w:p w14:paraId="7C744684" w14:textId="77777777" w:rsidR="00FA36F7" w:rsidRPr="00D7240E" w:rsidRDefault="00FA36F7" w:rsidP="00D7240E">
            <w:pPr>
              <w:pStyle w:val="NoSpacing"/>
              <w:rPr>
                <w:color w:val="666666"/>
                <w:sz w:val="20"/>
                <w:szCs w:val="20"/>
              </w:rPr>
            </w:pPr>
            <w:r w:rsidRPr="00D7240E">
              <w:rPr>
                <w:color w:val="666666"/>
                <w:sz w:val="20"/>
                <w:szCs w:val="20"/>
              </w:rPr>
              <w:t>−.001</w:t>
            </w:r>
          </w:p>
        </w:tc>
        <w:tc>
          <w:tcPr>
            <w:tcW w:w="0" w:type="auto"/>
            <w:hideMark/>
          </w:tcPr>
          <w:p w14:paraId="13C22CF1" w14:textId="77777777" w:rsidR="00FA36F7" w:rsidRPr="00D7240E" w:rsidRDefault="00FA36F7" w:rsidP="00D7240E">
            <w:pPr>
              <w:pStyle w:val="NoSpacing"/>
              <w:rPr>
                <w:color w:val="666666"/>
                <w:sz w:val="20"/>
                <w:szCs w:val="20"/>
              </w:rPr>
            </w:pPr>
            <w:r w:rsidRPr="00D7240E">
              <w:rPr>
                <w:color w:val="666666"/>
                <w:sz w:val="20"/>
                <w:szCs w:val="20"/>
              </w:rPr>
              <w:t>.16</w:t>
            </w:r>
          </w:p>
        </w:tc>
        <w:tc>
          <w:tcPr>
            <w:tcW w:w="0" w:type="auto"/>
            <w:hideMark/>
          </w:tcPr>
          <w:p w14:paraId="1B42DE1D" w14:textId="77777777" w:rsidR="00FA36F7" w:rsidRPr="00D7240E" w:rsidRDefault="00FA36F7" w:rsidP="00D7240E">
            <w:pPr>
              <w:pStyle w:val="NoSpacing"/>
              <w:rPr>
                <w:color w:val="666666"/>
                <w:sz w:val="20"/>
                <w:szCs w:val="20"/>
              </w:rPr>
            </w:pPr>
            <w:r w:rsidRPr="00D7240E">
              <w:rPr>
                <w:color w:val="666666"/>
                <w:sz w:val="20"/>
                <w:szCs w:val="20"/>
              </w:rPr>
              <w:t>.54</w:t>
            </w:r>
          </w:p>
        </w:tc>
      </w:tr>
      <w:tr w:rsidR="00D7240E" w:rsidRPr="00D7240E" w14:paraId="71484D6E" w14:textId="77777777" w:rsidTr="00C9755E">
        <w:tc>
          <w:tcPr>
            <w:tcW w:w="0" w:type="auto"/>
          </w:tcPr>
          <w:p w14:paraId="3581BF81" w14:textId="3C508143" w:rsidR="00D7240E" w:rsidRPr="00D7240E" w:rsidRDefault="00D7240E" w:rsidP="00D7240E">
            <w:pPr>
              <w:pStyle w:val="NoSpacing"/>
              <w:rPr>
                <w:color w:val="666666"/>
                <w:sz w:val="20"/>
                <w:szCs w:val="20"/>
              </w:rPr>
            </w:pPr>
            <w:r w:rsidRPr="00D7240E">
              <w:rPr>
                <w:color w:val="666666"/>
                <w:sz w:val="20"/>
                <w:szCs w:val="20"/>
              </w:rPr>
              <w:t>(b) Complementary Gender Differentiation (CGD)</w:t>
            </w:r>
          </w:p>
        </w:tc>
        <w:tc>
          <w:tcPr>
            <w:tcW w:w="0" w:type="auto"/>
          </w:tcPr>
          <w:p w14:paraId="4D9C978C" w14:textId="77777777" w:rsidR="00D7240E" w:rsidRPr="00D7240E" w:rsidRDefault="00D7240E" w:rsidP="00D7240E">
            <w:pPr>
              <w:pStyle w:val="NoSpacing"/>
              <w:rPr>
                <w:color w:val="666666"/>
                <w:sz w:val="20"/>
                <w:szCs w:val="20"/>
              </w:rPr>
            </w:pPr>
          </w:p>
        </w:tc>
        <w:tc>
          <w:tcPr>
            <w:tcW w:w="0" w:type="auto"/>
          </w:tcPr>
          <w:p w14:paraId="0B6EADFB" w14:textId="77777777" w:rsidR="00D7240E" w:rsidRPr="00D7240E" w:rsidRDefault="00D7240E" w:rsidP="00D7240E">
            <w:pPr>
              <w:pStyle w:val="NoSpacing"/>
              <w:rPr>
                <w:color w:val="666666"/>
                <w:sz w:val="20"/>
                <w:szCs w:val="20"/>
              </w:rPr>
            </w:pPr>
          </w:p>
        </w:tc>
        <w:tc>
          <w:tcPr>
            <w:tcW w:w="0" w:type="auto"/>
          </w:tcPr>
          <w:p w14:paraId="30151AAD" w14:textId="77777777" w:rsidR="00D7240E" w:rsidRPr="00D7240E" w:rsidRDefault="00D7240E" w:rsidP="00D7240E">
            <w:pPr>
              <w:pStyle w:val="NoSpacing"/>
              <w:rPr>
                <w:color w:val="666666"/>
                <w:sz w:val="20"/>
                <w:szCs w:val="20"/>
              </w:rPr>
            </w:pPr>
          </w:p>
        </w:tc>
        <w:tc>
          <w:tcPr>
            <w:tcW w:w="0" w:type="auto"/>
          </w:tcPr>
          <w:p w14:paraId="34AD23EF" w14:textId="77777777" w:rsidR="00D7240E" w:rsidRPr="00D7240E" w:rsidRDefault="00D7240E" w:rsidP="00D7240E">
            <w:pPr>
              <w:pStyle w:val="NoSpacing"/>
              <w:rPr>
                <w:color w:val="666666"/>
                <w:sz w:val="20"/>
                <w:szCs w:val="20"/>
              </w:rPr>
            </w:pPr>
          </w:p>
        </w:tc>
      </w:tr>
      <w:tr w:rsidR="00FA36F7" w:rsidRPr="00D7240E" w14:paraId="3928C5D8" w14:textId="77777777" w:rsidTr="00C9755E">
        <w:tc>
          <w:tcPr>
            <w:tcW w:w="0" w:type="auto"/>
            <w:hideMark/>
          </w:tcPr>
          <w:p w14:paraId="75FE3269"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People assumed that you will interrupt your career or educational plans to take care of family needs (such as a sick family member or provide childcare)?</w:t>
            </w:r>
          </w:p>
        </w:tc>
        <w:tc>
          <w:tcPr>
            <w:tcW w:w="0" w:type="auto"/>
            <w:hideMark/>
          </w:tcPr>
          <w:p w14:paraId="33E0E90C" w14:textId="77777777" w:rsidR="00FA36F7" w:rsidRPr="00D7240E" w:rsidRDefault="00FA36F7" w:rsidP="00D7240E">
            <w:pPr>
              <w:pStyle w:val="NoSpacing"/>
              <w:rPr>
                <w:color w:val="666666"/>
                <w:sz w:val="20"/>
                <w:szCs w:val="20"/>
              </w:rPr>
            </w:pPr>
            <w:r w:rsidRPr="00D7240E">
              <w:rPr>
                <w:color w:val="666666"/>
                <w:sz w:val="20"/>
                <w:szCs w:val="20"/>
              </w:rPr>
              <w:t>−.19</w:t>
            </w:r>
          </w:p>
        </w:tc>
        <w:tc>
          <w:tcPr>
            <w:tcW w:w="0" w:type="auto"/>
            <w:hideMark/>
          </w:tcPr>
          <w:p w14:paraId="5659316C" w14:textId="77777777" w:rsidR="00FA36F7" w:rsidRPr="00D7240E" w:rsidRDefault="00FA36F7" w:rsidP="00D7240E">
            <w:pPr>
              <w:pStyle w:val="NoSpacing"/>
              <w:rPr>
                <w:color w:val="666666"/>
                <w:sz w:val="20"/>
                <w:szCs w:val="20"/>
              </w:rPr>
            </w:pPr>
            <w:r w:rsidRPr="00D7240E">
              <w:rPr>
                <w:color w:val="666666"/>
                <w:sz w:val="20"/>
                <w:szCs w:val="20"/>
              </w:rPr>
              <w:t>.74</w:t>
            </w:r>
          </w:p>
        </w:tc>
        <w:tc>
          <w:tcPr>
            <w:tcW w:w="0" w:type="auto"/>
            <w:hideMark/>
          </w:tcPr>
          <w:p w14:paraId="36C9E1B0" w14:textId="77777777" w:rsidR="00FA36F7" w:rsidRPr="00D7240E" w:rsidRDefault="00FA36F7" w:rsidP="00D7240E">
            <w:pPr>
              <w:pStyle w:val="NoSpacing"/>
              <w:rPr>
                <w:color w:val="666666"/>
                <w:sz w:val="20"/>
                <w:szCs w:val="20"/>
              </w:rPr>
            </w:pPr>
            <w:r w:rsidRPr="00D7240E">
              <w:rPr>
                <w:color w:val="666666"/>
                <w:sz w:val="20"/>
                <w:szCs w:val="20"/>
              </w:rPr>
              <w:t>.13</w:t>
            </w:r>
          </w:p>
        </w:tc>
        <w:tc>
          <w:tcPr>
            <w:tcW w:w="0" w:type="auto"/>
            <w:hideMark/>
          </w:tcPr>
          <w:p w14:paraId="79E3F487" w14:textId="77777777" w:rsidR="00FA36F7" w:rsidRPr="00D7240E" w:rsidRDefault="00FA36F7" w:rsidP="00D7240E">
            <w:pPr>
              <w:pStyle w:val="NoSpacing"/>
              <w:rPr>
                <w:color w:val="666666"/>
                <w:sz w:val="20"/>
                <w:szCs w:val="20"/>
              </w:rPr>
            </w:pPr>
            <w:r w:rsidRPr="00D7240E">
              <w:rPr>
                <w:color w:val="666666"/>
                <w:sz w:val="20"/>
                <w:szCs w:val="20"/>
              </w:rPr>
              <w:t>.66</w:t>
            </w:r>
          </w:p>
        </w:tc>
      </w:tr>
      <w:tr w:rsidR="00FA36F7" w:rsidRPr="00D7240E" w14:paraId="3012F12F" w14:textId="77777777" w:rsidTr="00C9755E">
        <w:tc>
          <w:tcPr>
            <w:tcW w:w="0" w:type="auto"/>
            <w:hideMark/>
          </w:tcPr>
          <w:p w14:paraId="6C3AD166"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You been told that you are (or will be) a good mother because you are so caring?</w:t>
            </w:r>
          </w:p>
        </w:tc>
        <w:tc>
          <w:tcPr>
            <w:tcW w:w="0" w:type="auto"/>
            <w:hideMark/>
          </w:tcPr>
          <w:p w14:paraId="27801F68" w14:textId="77777777" w:rsidR="00FA36F7" w:rsidRPr="00D7240E" w:rsidRDefault="00FA36F7" w:rsidP="00D7240E">
            <w:pPr>
              <w:pStyle w:val="NoSpacing"/>
              <w:rPr>
                <w:color w:val="666666"/>
                <w:sz w:val="20"/>
                <w:szCs w:val="20"/>
              </w:rPr>
            </w:pPr>
            <w:r w:rsidRPr="00D7240E">
              <w:rPr>
                <w:color w:val="666666"/>
                <w:sz w:val="20"/>
                <w:szCs w:val="20"/>
              </w:rPr>
              <w:t>.12</w:t>
            </w:r>
          </w:p>
        </w:tc>
        <w:tc>
          <w:tcPr>
            <w:tcW w:w="0" w:type="auto"/>
            <w:hideMark/>
          </w:tcPr>
          <w:p w14:paraId="79419B3D" w14:textId="77777777" w:rsidR="00FA36F7" w:rsidRPr="00D7240E" w:rsidRDefault="00FA36F7" w:rsidP="00D7240E">
            <w:pPr>
              <w:pStyle w:val="NoSpacing"/>
              <w:rPr>
                <w:color w:val="666666"/>
                <w:sz w:val="20"/>
                <w:szCs w:val="20"/>
              </w:rPr>
            </w:pPr>
            <w:r w:rsidRPr="00D7240E">
              <w:rPr>
                <w:color w:val="666666"/>
                <w:sz w:val="20"/>
                <w:szCs w:val="20"/>
              </w:rPr>
              <w:t>.64</w:t>
            </w:r>
          </w:p>
        </w:tc>
        <w:tc>
          <w:tcPr>
            <w:tcW w:w="0" w:type="auto"/>
            <w:hideMark/>
          </w:tcPr>
          <w:p w14:paraId="64ED77C8" w14:textId="77777777" w:rsidR="00FA36F7" w:rsidRPr="00D7240E" w:rsidRDefault="00FA36F7" w:rsidP="00D7240E">
            <w:pPr>
              <w:pStyle w:val="NoSpacing"/>
              <w:rPr>
                <w:color w:val="666666"/>
                <w:sz w:val="20"/>
                <w:szCs w:val="20"/>
              </w:rPr>
            </w:pPr>
            <w:r w:rsidRPr="00D7240E">
              <w:rPr>
                <w:color w:val="666666"/>
                <w:sz w:val="20"/>
                <w:szCs w:val="20"/>
              </w:rPr>
              <w:t>−.18</w:t>
            </w:r>
          </w:p>
        </w:tc>
        <w:tc>
          <w:tcPr>
            <w:tcW w:w="0" w:type="auto"/>
            <w:hideMark/>
          </w:tcPr>
          <w:p w14:paraId="051920FB" w14:textId="77777777" w:rsidR="00FA36F7" w:rsidRPr="00D7240E" w:rsidRDefault="00FA36F7" w:rsidP="00D7240E">
            <w:pPr>
              <w:pStyle w:val="NoSpacing"/>
              <w:rPr>
                <w:color w:val="666666"/>
                <w:sz w:val="20"/>
                <w:szCs w:val="20"/>
              </w:rPr>
            </w:pPr>
            <w:r w:rsidRPr="00D7240E">
              <w:rPr>
                <w:color w:val="666666"/>
                <w:sz w:val="20"/>
                <w:szCs w:val="20"/>
              </w:rPr>
              <w:t>.50</w:t>
            </w:r>
          </w:p>
        </w:tc>
      </w:tr>
      <w:tr w:rsidR="00FA36F7" w:rsidRPr="00D7240E" w14:paraId="40DD63AB" w14:textId="77777777" w:rsidTr="00C9755E">
        <w:tc>
          <w:tcPr>
            <w:tcW w:w="0" w:type="auto"/>
            <w:hideMark/>
          </w:tcPr>
          <w:p w14:paraId="61BB7429"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You have been advised to consider a career or job that allows the time to also be a good mother?</w:t>
            </w:r>
          </w:p>
        </w:tc>
        <w:tc>
          <w:tcPr>
            <w:tcW w:w="0" w:type="auto"/>
            <w:hideMark/>
          </w:tcPr>
          <w:p w14:paraId="6F642BCC" w14:textId="77777777" w:rsidR="00FA36F7" w:rsidRPr="00D7240E" w:rsidRDefault="00FA36F7" w:rsidP="00D7240E">
            <w:pPr>
              <w:pStyle w:val="NoSpacing"/>
              <w:rPr>
                <w:color w:val="666666"/>
                <w:sz w:val="20"/>
                <w:szCs w:val="20"/>
              </w:rPr>
            </w:pPr>
            <w:r w:rsidRPr="00D7240E">
              <w:rPr>
                <w:color w:val="666666"/>
                <w:sz w:val="20"/>
                <w:szCs w:val="20"/>
              </w:rPr>
              <w:t>−.11</w:t>
            </w:r>
          </w:p>
        </w:tc>
        <w:tc>
          <w:tcPr>
            <w:tcW w:w="0" w:type="auto"/>
            <w:hideMark/>
          </w:tcPr>
          <w:p w14:paraId="70F12851" w14:textId="77777777" w:rsidR="00FA36F7" w:rsidRPr="00D7240E" w:rsidRDefault="00FA36F7" w:rsidP="00D7240E">
            <w:pPr>
              <w:pStyle w:val="NoSpacing"/>
              <w:rPr>
                <w:color w:val="666666"/>
                <w:sz w:val="20"/>
                <w:szCs w:val="20"/>
              </w:rPr>
            </w:pPr>
            <w:r w:rsidRPr="00D7240E">
              <w:rPr>
                <w:color w:val="666666"/>
                <w:sz w:val="20"/>
                <w:szCs w:val="20"/>
              </w:rPr>
              <w:t>.62</w:t>
            </w:r>
          </w:p>
        </w:tc>
        <w:tc>
          <w:tcPr>
            <w:tcW w:w="0" w:type="auto"/>
            <w:hideMark/>
          </w:tcPr>
          <w:p w14:paraId="6EA4AB53" w14:textId="77777777" w:rsidR="00FA36F7" w:rsidRPr="00D7240E" w:rsidRDefault="00FA36F7" w:rsidP="00D7240E">
            <w:pPr>
              <w:pStyle w:val="NoSpacing"/>
              <w:rPr>
                <w:color w:val="666666"/>
                <w:sz w:val="20"/>
                <w:szCs w:val="20"/>
              </w:rPr>
            </w:pPr>
            <w:r w:rsidRPr="00D7240E">
              <w:rPr>
                <w:color w:val="666666"/>
                <w:sz w:val="20"/>
                <w:szCs w:val="20"/>
              </w:rPr>
              <w:t>.09</w:t>
            </w:r>
          </w:p>
        </w:tc>
        <w:tc>
          <w:tcPr>
            <w:tcW w:w="0" w:type="auto"/>
            <w:hideMark/>
          </w:tcPr>
          <w:p w14:paraId="3E4D91C1" w14:textId="77777777" w:rsidR="00FA36F7" w:rsidRPr="00D7240E" w:rsidRDefault="00FA36F7" w:rsidP="00D7240E">
            <w:pPr>
              <w:pStyle w:val="NoSpacing"/>
              <w:rPr>
                <w:color w:val="666666"/>
                <w:sz w:val="20"/>
                <w:szCs w:val="20"/>
              </w:rPr>
            </w:pPr>
            <w:r w:rsidRPr="00D7240E">
              <w:rPr>
                <w:color w:val="666666"/>
                <w:sz w:val="20"/>
                <w:szCs w:val="20"/>
              </w:rPr>
              <w:t>.44</w:t>
            </w:r>
          </w:p>
        </w:tc>
      </w:tr>
      <w:tr w:rsidR="00FA36F7" w:rsidRPr="00D7240E" w14:paraId="03146292" w14:textId="77777777" w:rsidTr="00C9755E">
        <w:tc>
          <w:tcPr>
            <w:tcW w:w="0" w:type="auto"/>
            <w:hideMark/>
          </w:tcPr>
          <w:p w14:paraId="084566B3"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You have been praised for performing domestic tasks, such as cooking, cleaning, and taking care of small children?</w:t>
            </w:r>
          </w:p>
        </w:tc>
        <w:tc>
          <w:tcPr>
            <w:tcW w:w="0" w:type="auto"/>
            <w:hideMark/>
          </w:tcPr>
          <w:p w14:paraId="698190C1" w14:textId="77777777" w:rsidR="00FA36F7" w:rsidRPr="00D7240E" w:rsidRDefault="00FA36F7" w:rsidP="00D7240E">
            <w:pPr>
              <w:pStyle w:val="NoSpacing"/>
              <w:rPr>
                <w:color w:val="666666"/>
                <w:sz w:val="20"/>
                <w:szCs w:val="20"/>
              </w:rPr>
            </w:pPr>
            <w:r w:rsidRPr="00D7240E">
              <w:rPr>
                <w:color w:val="666666"/>
                <w:sz w:val="20"/>
                <w:szCs w:val="20"/>
              </w:rPr>
              <w:t>.07</w:t>
            </w:r>
          </w:p>
        </w:tc>
        <w:tc>
          <w:tcPr>
            <w:tcW w:w="0" w:type="auto"/>
            <w:hideMark/>
          </w:tcPr>
          <w:p w14:paraId="2A9B3101" w14:textId="77777777" w:rsidR="00FA36F7" w:rsidRPr="00D7240E" w:rsidRDefault="00FA36F7" w:rsidP="00D7240E">
            <w:pPr>
              <w:pStyle w:val="NoSpacing"/>
              <w:rPr>
                <w:color w:val="666666"/>
                <w:sz w:val="20"/>
                <w:szCs w:val="20"/>
              </w:rPr>
            </w:pPr>
            <w:r w:rsidRPr="00D7240E">
              <w:rPr>
                <w:color w:val="666666"/>
                <w:sz w:val="20"/>
                <w:szCs w:val="20"/>
              </w:rPr>
              <w:t>.55</w:t>
            </w:r>
          </w:p>
        </w:tc>
        <w:tc>
          <w:tcPr>
            <w:tcW w:w="0" w:type="auto"/>
            <w:hideMark/>
          </w:tcPr>
          <w:p w14:paraId="1EB3B4A1" w14:textId="77777777" w:rsidR="00FA36F7" w:rsidRPr="00D7240E" w:rsidRDefault="00FA36F7" w:rsidP="00D7240E">
            <w:pPr>
              <w:pStyle w:val="NoSpacing"/>
              <w:rPr>
                <w:color w:val="666666"/>
                <w:sz w:val="20"/>
                <w:szCs w:val="20"/>
              </w:rPr>
            </w:pPr>
            <w:r w:rsidRPr="00D7240E">
              <w:rPr>
                <w:color w:val="666666"/>
                <w:sz w:val="20"/>
                <w:szCs w:val="20"/>
              </w:rPr>
              <w:t>.07</w:t>
            </w:r>
          </w:p>
        </w:tc>
        <w:tc>
          <w:tcPr>
            <w:tcW w:w="0" w:type="auto"/>
            <w:hideMark/>
          </w:tcPr>
          <w:p w14:paraId="6F253FFB" w14:textId="77777777" w:rsidR="00FA36F7" w:rsidRPr="00D7240E" w:rsidRDefault="00FA36F7" w:rsidP="00D7240E">
            <w:pPr>
              <w:pStyle w:val="NoSpacing"/>
              <w:rPr>
                <w:color w:val="666666"/>
                <w:sz w:val="20"/>
                <w:szCs w:val="20"/>
              </w:rPr>
            </w:pPr>
            <w:r w:rsidRPr="00D7240E">
              <w:rPr>
                <w:color w:val="666666"/>
                <w:sz w:val="20"/>
                <w:szCs w:val="20"/>
              </w:rPr>
              <w:t>.47</w:t>
            </w:r>
          </w:p>
        </w:tc>
      </w:tr>
      <w:tr w:rsidR="00FA36F7" w:rsidRPr="00D7240E" w14:paraId="1B3AB599" w14:textId="77777777" w:rsidTr="00C9755E">
        <w:tc>
          <w:tcPr>
            <w:tcW w:w="0" w:type="auto"/>
            <w:hideMark/>
          </w:tcPr>
          <w:p w14:paraId="40161B2F"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People have expected you to display “purity” in your behaviors?</w:t>
            </w:r>
          </w:p>
        </w:tc>
        <w:tc>
          <w:tcPr>
            <w:tcW w:w="0" w:type="auto"/>
            <w:hideMark/>
          </w:tcPr>
          <w:p w14:paraId="2B1DB0FF" w14:textId="77777777" w:rsidR="00FA36F7" w:rsidRPr="00D7240E" w:rsidRDefault="00FA36F7" w:rsidP="00D7240E">
            <w:pPr>
              <w:pStyle w:val="NoSpacing"/>
              <w:rPr>
                <w:color w:val="666666"/>
                <w:sz w:val="20"/>
                <w:szCs w:val="20"/>
              </w:rPr>
            </w:pPr>
            <w:r w:rsidRPr="00D7240E">
              <w:rPr>
                <w:color w:val="666666"/>
                <w:sz w:val="20"/>
                <w:szCs w:val="20"/>
              </w:rPr>
              <w:t>.06</w:t>
            </w:r>
          </w:p>
        </w:tc>
        <w:tc>
          <w:tcPr>
            <w:tcW w:w="0" w:type="auto"/>
            <w:hideMark/>
          </w:tcPr>
          <w:p w14:paraId="2D1BE5BA" w14:textId="77777777" w:rsidR="00FA36F7" w:rsidRPr="00D7240E" w:rsidRDefault="00FA36F7" w:rsidP="00D7240E">
            <w:pPr>
              <w:pStyle w:val="NoSpacing"/>
              <w:rPr>
                <w:color w:val="666666"/>
                <w:sz w:val="20"/>
                <w:szCs w:val="20"/>
              </w:rPr>
            </w:pPr>
            <w:r w:rsidRPr="00D7240E">
              <w:rPr>
                <w:color w:val="666666"/>
                <w:sz w:val="20"/>
                <w:szCs w:val="20"/>
              </w:rPr>
              <w:t>.53</w:t>
            </w:r>
          </w:p>
        </w:tc>
        <w:tc>
          <w:tcPr>
            <w:tcW w:w="0" w:type="auto"/>
            <w:hideMark/>
          </w:tcPr>
          <w:p w14:paraId="2248E82A" w14:textId="77777777" w:rsidR="00FA36F7" w:rsidRPr="00D7240E" w:rsidRDefault="00FA36F7" w:rsidP="00D7240E">
            <w:pPr>
              <w:pStyle w:val="NoSpacing"/>
              <w:rPr>
                <w:color w:val="666666"/>
                <w:sz w:val="20"/>
                <w:szCs w:val="20"/>
              </w:rPr>
            </w:pPr>
            <w:r w:rsidRPr="00D7240E">
              <w:rPr>
                <w:color w:val="666666"/>
                <w:sz w:val="20"/>
                <w:szCs w:val="20"/>
              </w:rPr>
              <w:t>−.003</w:t>
            </w:r>
          </w:p>
        </w:tc>
        <w:tc>
          <w:tcPr>
            <w:tcW w:w="0" w:type="auto"/>
            <w:hideMark/>
          </w:tcPr>
          <w:p w14:paraId="61FF53B2" w14:textId="77777777" w:rsidR="00FA36F7" w:rsidRPr="00D7240E" w:rsidRDefault="00FA36F7" w:rsidP="00D7240E">
            <w:pPr>
              <w:pStyle w:val="NoSpacing"/>
              <w:rPr>
                <w:color w:val="666666"/>
                <w:sz w:val="20"/>
                <w:szCs w:val="20"/>
              </w:rPr>
            </w:pPr>
            <w:r w:rsidRPr="00D7240E">
              <w:rPr>
                <w:color w:val="666666"/>
                <w:sz w:val="20"/>
                <w:szCs w:val="20"/>
              </w:rPr>
              <w:t>.74</w:t>
            </w:r>
          </w:p>
        </w:tc>
      </w:tr>
      <w:tr w:rsidR="00FA36F7" w:rsidRPr="00D7240E" w14:paraId="5E4CDA86" w14:textId="77777777" w:rsidTr="00C9755E">
        <w:tc>
          <w:tcPr>
            <w:tcW w:w="0" w:type="auto"/>
            <w:hideMark/>
          </w:tcPr>
          <w:p w14:paraId="36557192"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People have assumed that you have strong “morals” simply because you are a woman?</w:t>
            </w:r>
          </w:p>
        </w:tc>
        <w:tc>
          <w:tcPr>
            <w:tcW w:w="0" w:type="auto"/>
            <w:hideMark/>
          </w:tcPr>
          <w:p w14:paraId="06F2B05B" w14:textId="77777777" w:rsidR="00FA36F7" w:rsidRPr="00D7240E" w:rsidRDefault="00FA36F7" w:rsidP="00D7240E">
            <w:pPr>
              <w:pStyle w:val="NoSpacing"/>
              <w:rPr>
                <w:color w:val="666666"/>
                <w:sz w:val="20"/>
                <w:szCs w:val="20"/>
              </w:rPr>
            </w:pPr>
            <w:r w:rsidRPr="00D7240E">
              <w:rPr>
                <w:color w:val="666666"/>
                <w:sz w:val="20"/>
                <w:szCs w:val="20"/>
              </w:rPr>
              <w:t>.03</w:t>
            </w:r>
          </w:p>
        </w:tc>
        <w:tc>
          <w:tcPr>
            <w:tcW w:w="0" w:type="auto"/>
            <w:hideMark/>
          </w:tcPr>
          <w:p w14:paraId="27643D05" w14:textId="77777777" w:rsidR="00FA36F7" w:rsidRPr="00D7240E" w:rsidRDefault="00FA36F7" w:rsidP="00D7240E">
            <w:pPr>
              <w:pStyle w:val="NoSpacing"/>
              <w:rPr>
                <w:color w:val="666666"/>
                <w:sz w:val="20"/>
                <w:szCs w:val="20"/>
              </w:rPr>
            </w:pPr>
            <w:r w:rsidRPr="00D7240E">
              <w:rPr>
                <w:color w:val="666666"/>
                <w:sz w:val="20"/>
                <w:szCs w:val="20"/>
              </w:rPr>
              <w:t>.49</w:t>
            </w:r>
          </w:p>
        </w:tc>
        <w:tc>
          <w:tcPr>
            <w:tcW w:w="0" w:type="auto"/>
            <w:hideMark/>
          </w:tcPr>
          <w:p w14:paraId="4B85B7DE" w14:textId="77777777" w:rsidR="00FA36F7" w:rsidRPr="00D7240E" w:rsidRDefault="00FA36F7" w:rsidP="00D7240E">
            <w:pPr>
              <w:pStyle w:val="NoSpacing"/>
              <w:rPr>
                <w:color w:val="666666"/>
                <w:sz w:val="20"/>
                <w:szCs w:val="20"/>
              </w:rPr>
            </w:pPr>
            <w:r w:rsidRPr="00D7240E">
              <w:rPr>
                <w:color w:val="666666"/>
                <w:sz w:val="20"/>
                <w:szCs w:val="20"/>
              </w:rPr>
              <w:t>.004</w:t>
            </w:r>
          </w:p>
        </w:tc>
        <w:tc>
          <w:tcPr>
            <w:tcW w:w="0" w:type="auto"/>
            <w:hideMark/>
          </w:tcPr>
          <w:p w14:paraId="63EB8B53" w14:textId="77777777" w:rsidR="00FA36F7" w:rsidRPr="00D7240E" w:rsidRDefault="00FA36F7" w:rsidP="00D7240E">
            <w:pPr>
              <w:pStyle w:val="NoSpacing"/>
              <w:rPr>
                <w:color w:val="666666"/>
                <w:sz w:val="20"/>
                <w:szCs w:val="20"/>
              </w:rPr>
            </w:pPr>
            <w:r w:rsidRPr="00D7240E">
              <w:rPr>
                <w:color w:val="666666"/>
                <w:sz w:val="20"/>
                <w:szCs w:val="20"/>
              </w:rPr>
              <w:t>.71</w:t>
            </w:r>
          </w:p>
        </w:tc>
      </w:tr>
      <w:tr w:rsidR="00FA36F7" w:rsidRPr="00D7240E" w14:paraId="198EAD32" w14:textId="77777777" w:rsidTr="00C9755E">
        <w:tc>
          <w:tcPr>
            <w:tcW w:w="0" w:type="auto"/>
            <w:hideMark/>
          </w:tcPr>
          <w:p w14:paraId="45682BAF"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You have been informed that as a woman, you have a more refine sense of culture and tastes than do men?</w:t>
            </w:r>
          </w:p>
        </w:tc>
        <w:tc>
          <w:tcPr>
            <w:tcW w:w="0" w:type="auto"/>
            <w:hideMark/>
          </w:tcPr>
          <w:p w14:paraId="4860ACB8" w14:textId="77777777" w:rsidR="00FA36F7" w:rsidRPr="00D7240E" w:rsidRDefault="00FA36F7" w:rsidP="00D7240E">
            <w:pPr>
              <w:pStyle w:val="NoSpacing"/>
              <w:rPr>
                <w:color w:val="666666"/>
                <w:sz w:val="20"/>
                <w:szCs w:val="20"/>
              </w:rPr>
            </w:pPr>
            <w:r w:rsidRPr="00D7240E">
              <w:rPr>
                <w:color w:val="666666"/>
                <w:sz w:val="20"/>
                <w:szCs w:val="20"/>
              </w:rPr>
              <w:t>−.008</w:t>
            </w:r>
          </w:p>
        </w:tc>
        <w:tc>
          <w:tcPr>
            <w:tcW w:w="0" w:type="auto"/>
            <w:hideMark/>
          </w:tcPr>
          <w:p w14:paraId="3FCEE802" w14:textId="77777777" w:rsidR="00FA36F7" w:rsidRPr="00D7240E" w:rsidRDefault="00FA36F7" w:rsidP="00D7240E">
            <w:pPr>
              <w:pStyle w:val="NoSpacing"/>
              <w:rPr>
                <w:color w:val="666666"/>
                <w:sz w:val="20"/>
                <w:szCs w:val="20"/>
              </w:rPr>
            </w:pPr>
            <w:r w:rsidRPr="00D7240E">
              <w:rPr>
                <w:color w:val="666666"/>
                <w:sz w:val="20"/>
                <w:szCs w:val="20"/>
              </w:rPr>
              <w:t>.41</w:t>
            </w:r>
          </w:p>
        </w:tc>
        <w:tc>
          <w:tcPr>
            <w:tcW w:w="0" w:type="auto"/>
            <w:hideMark/>
          </w:tcPr>
          <w:p w14:paraId="7FA77468" w14:textId="77777777" w:rsidR="00FA36F7" w:rsidRPr="00D7240E" w:rsidRDefault="00FA36F7" w:rsidP="00D7240E">
            <w:pPr>
              <w:pStyle w:val="NoSpacing"/>
              <w:rPr>
                <w:color w:val="666666"/>
                <w:sz w:val="20"/>
                <w:szCs w:val="20"/>
              </w:rPr>
            </w:pPr>
            <w:r w:rsidRPr="00D7240E">
              <w:rPr>
                <w:color w:val="666666"/>
                <w:sz w:val="20"/>
                <w:szCs w:val="20"/>
              </w:rPr>
              <w:t>.08</w:t>
            </w:r>
          </w:p>
        </w:tc>
        <w:tc>
          <w:tcPr>
            <w:tcW w:w="0" w:type="auto"/>
            <w:hideMark/>
          </w:tcPr>
          <w:p w14:paraId="5629B842" w14:textId="77777777" w:rsidR="00FA36F7" w:rsidRPr="00D7240E" w:rsidRDefault="00FA36F7" w:rsidP="00D7240E">
            <w:pPr>
              <w:pStyle w:val="NoSpacing"/>
              <w:rPr>
                <w:color w:val="666666"/>
                <w:sz w:val="20"/>
                <w:szCs w:val="20"/>
              </w:rPr>
            </w:pPr>
            <w:r w:rsidRPr="00D7240E">
              <w:rPr>
                <w:color w:val="666666"/>
                <w:sz w:val="20"/>
                <w:szCs w:val="20"/>
              </w:rPr>
              <w:t>.60</w:t>
            </w:r>
          </w:p>
        </w:tc>
      </w:tr>
      <w:tr w:rsidR="0015424E" w:rsidRPr="00D7240E" w14:paraId="7D39211A" w14:textId="77777777" w:rsidTr="00C9755E">
        <w:tc>
          <w:tcPr>
            <w:tcW w:w="0" w:type="auto"/>
          </w:tcPr>
          <w:p w14:paraId="37777B12" w14:textId="229C6EE0" w:rsidR="0015424E" w:rsidRPr="00D7240E" w:rsidRDefault="0015424E" w:rsidP="00D7240E">
            <w:pPr>
              <w:pStyle w:val="NoSpacing"/>
              <w:rPr>
                <w:color w:val="666666"/>
                <w:sz w:val="20"/>
                <w:szCs w:val="20"/>
              </w:rPr>
            </w:pPr>
            <w:r w:rsidRPr="0015424E">
              <w:rPr>
                <w:color w:val="666666"/>
                <w:sz w:val="20"/>
                <w:szCs w:val="20"/>
              </w:rPr>
              <w:t>(c) Protective Paternalism (PP)</w:t>
            </w:r>
          </w:p>
        </w:tc>
        <w:tc>
          <w:tcPr>
            <w:tcW w:w="0" w:type="auto"/>
          </w:tcPr>
          <w:p w14:paraId="7DB935C1" w14:textId="77777777" w:rsidR="0015424E" w:rsidRPr="00D7240E" w:rsidRDefault="0015424E" w:rsidP="00D7240E">
            <w:pPr>
              <w:pStyle w:val="NoSpacing"/>
              <w:rPr>
                <w:color w:val="666666"/>
                <w:sz w:val="20"/>
                <w:szCs w:val="20"/>
              </w:rPr>
            </w:pPr>
          </w:p>
        </w:tc>
        <w:tc>
          <w:tcPr>
            <w:tcW w:w="0" w:type="auto"/>
          </w:tcPr>
          <w:p w14:paraId="4550339C" w14:textId="77777777" w:rsidR="0015424E" w:rsidRPr="00D7240E" w:rsidRDefault="0015424E" w:rsidP="00D7240E">
            <w:pPr>
              <w:pStyle w:val="NoSpacing"/>
              <w:rPr>
                <w:color w:val="666666"/>
                <w:sz w:val="20"/>
                <w:szCs w:val="20"/>
              </w:rPr>
            </w:pPr>
          </w:p>
        </w:tc>
        <w:tc>
          <w:tcPr>
            <w:tcW w:w="0" w:type="auto"/>
          </w:tcPr>
          <w:p w14:paraId="30D8C34F" w14:textId="77777777" w:rsidR="0015424E" w:rsidRPr="00D7240E" w:rsidRDefault="0015424E" w:rsidP="00D7240E">
            <w:pPr>
              <w:pStyle w:val="NoSpacing"/>
              <w:rPr>
                <w:color w:val="666666"/>
                <w:sz w:val="20"/>
                <w:szCs w:val="20"/>
              </w:rPr>
            </w:pPr>
          </w:p>
        </w:tc>
        <w:tc>
          <w:tcPr>
            <w:tcW w:w="0" w:type="auto"/>
          </w:tcPr>
          <w:p w14:paraId="06C98D29" w14:textId="77777777" w:rsidR="0015424E" w:rsidRPr="00D7240E" w:rsidRDefault="0015424E" w:rsidP="00D7240E">
            <w:pPr>
              <w:pStyle w:val="NoSpacing"/>
              <w:rPr>
                <w:color w:val="666666"/>
                <w:sz w:val="20"/>
                <w:szCs w:val="20"/>
              </w:rPr>
            </w:pPr>
          </w:p>
        </w:tc>
      </w:tr>
      <w:tr w:rsidR="00FA36F7" w:rsidRPr="00D7240E" w14:paraId="650065C9" w14:textId="77777777" w:rsidTr="00C9755E">
        <w:tc>
          <w:tcPr>
            <w:tcW w:w="0" w:type="auto"/>
            <w:hideMark/>
          </w:tcPr>
          <w:p w14:paraId="07462FF3"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People questioned your ability to handle situations by yourself?</w:t>
            </w:r>
          </w:p>
        </w:tc>
        <w:tc>
          <w:tcPr>
            <w:tcW w:w="0" w:type="auto"/>
            <w:hideMark/>
          </w:tcPr>
          <w:p w14:paraId="2AAA3074" w14:textId="77777777" w:rsidR="00FA36F7" w:rsidRPr="00D7240E" w:rsidRDefault="00FA36F7" w:rsidP="00D7240E">
            <w:pPr>
              <w:pStyle w:val="NoSpacing"/>
              <w:rPr>
                <w:color w:val="666666"/>
                <w:sz w:val="20"/>
                <w:szCs w:val="20"/>
              </w:rPr>
            </w:pPr>
            <w:r w:rsidRPr="00D7240E">
              <w:rPr>
                <w:color w:val="666666"/>
                <w:sz w:val="20"/>
                <w:szCs w:val="20"/>
              </w:rPr>
              <w:t>−.001</w:t>
            </w:r>
          </w:p>
        </w:tc>
        <w:tc>
          <w:tcPr>
            <w:tcW w:w="0" w:type="auto"/>
            <w:hideMark/>
          </w:tcPr>
          <w:p w14:paraId="5E11AE4D" w14:textId="77777777" w:rsidR="00FA36F7" w:rsidRPr="00D7240E" w:rsidRDefault="00FA36F7" w:rsidP="00D7240E">
            <w:pPr>
              <w:pStyle w:val="NoSpacing"/>
              <w:rPr>
                <w:color w:val="666666"/>
                <w:sz w:val="20"/>
                <w:szCs w:val="20"/>
              </w:rPr>
            </w:pPr>
            <w:r w:rsidRPr="00D7240E">
              <w:rPr>
                <w:color w:val="666666"/>
                <w:sz w:val="20"/>
                <w:szCs w:val="20"/>
              </w:rPr>
              <w:t>−.07</w:t>
            </w:r>
          </w:p>
        </w:tc>
        <w:tc>
          <w:tcPr>
            <w:tcW w:w="0" w:type="auto"/>
            <w:hideMark/>
          </w:tcPr>
          <w:p w14:paraId="6758A9D8" w14:textId="77777777" w:rsidR="00FA36F7" w:rsidRPr="00D7240E" w:rsidRDefault="00FA36F7" w:rsidP="00D7240E">
            <w:pPr>
              <w:pStyle w:val="NoSpacing"/>
              <w:rPr>
                <w:color w:val="666666"/>
                <w:sz w:val="20"/>
                <w:szCs w:val="20"/>
              </w:rPr>
            </w:pPr>
            <w:r w:rsidRPr="00D7240E">
              <w:rPr>
                <w:color w:val="666666"/>
                <w:sz w:val="20"/>
                <w:szCs w:val="20"/>
              </w:rPr>
              <w:t>.70</w:t>
            </w:r>
          </w:p>
        </w:tc>
        <w:tc>
          <w:tcPr>
            <w:tcW w:w="0" w:type="auto"/>
            <w:hideMark/>
          </w:tcPr>
          <w:p w14:paraId="4F78B68F" w14:textId="77777777" w:rsidR="00FA36F7" w:rsidRPr="00D7240E" w:rsidRDefault="00FA36F7" w:rsidP="00D7240E">
            <w:pPr>
              <w:pStyle w:val="NoSpacing"/>
              <w:rPr>
                <w:color w:val="666666"/>
                <w:sz w:val="20"/>
                <w:szCs w:val="20"/>
              </w:rPr>
            </w:pPr>
            <w:r w:rsidRPr="00D7240E">
              <w:rPr>
                <w:color w:val="666666"/>
                <w:sz w:val="20"/>
                <w:szCs w:val="20"/>
              </w:rPr>
              <w:t>.63</w:t>
            </w:r>
          </w:p>
        </w:tc>
      </w:tr>
      <w:tr w:rsidR="00FA36F7" w:rsidRPr="00D7240E" w14:paraId="3585F8D8" w14:textId="77777777" w:rsidTr="00C9755E">
        <w:tc>
          <w:tcPr>
            <w:tcW w:w="0" w:type="auto"/>
            <w:hideMark/>
          </w:tcPr>
          <w:p w14:paraId="5B4DC80E"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A man felt the need to explain a topic to you that you were already very knowledgeable about?</w:t>
            </w:r>
          </w:p>
        </w:tc>
        <w:tc>
          <w:tcPr>
            <w:tcW w:w="0" w:type="auto"/>
            <w:hideMark/>
          </w:tcPr>
          <w:p w14:paraId="52009A7A" w14:textId="77777777" w:rsidR="00FA36F7" w:rsidRPr="00D7240E" w:rsidRDefault="00FA36F7" w:rsidP="00D7240E">
            <w:pPr>
              <w:pStyle w:val="NoSpacing"/>
              <w:rPr>
                <w:color w:val="666666"/>
                <w:sz w:val="20"/>
                <w:szCs w:val="20"/>
              </w:rPr>
            </w:pPr>
            <w:r w:rsidRPr="00D7240E">
              <w:rPr>
                <w:color w:val="666666"/>
                <w:sz w:val="20"/>
                <w:szCs w:val="20"/>
              </w:rPr>
              <w:t>−.03</w:t>
            </w:r>
          </w:p>
        </w:tc>
        <w:tc>
          <w:tcPr>
            <w:tcW w:w="0" w:type="auto"/>
            <w:hideMark/>
          </w:tcPr>
          <w:p w14:paraId="7C33088B" w14:textId="77777777" w:rsidR="00FA36F7" w:rsidRPr="00D7240E" w:rsidRDefault="00FA36F7" w:rsidP="00D7240E">
            <w:pPr>
              <w:pStyle w:val="NoSpacing"/>
              <w:rPr>
                <w:color w:val="666666"/>
                <w:sz w:val="20"/>
                <w:szCs w:val="20"/>
              </w:rPr>
            </w:pPr>
            <w:r w:rsidRPr="00D7240E">
              <w:rPr>
                <w:color w:val="666666"/>
                <w:sz w:val="20"/>
                <w:szCs w:val="20"/>
              </w:rPr>
              <w:t>−.008</w:t>
            </w:r>
          </w:p>
        </w:tc>
        <w:tc>
          <w:tcPr>
            <w:tcW w:w="0" w:type="auto"/>
            <w:hideMark/>
          </w:tcPr>
          <w:p w14:paraId="4CDBAE9D" w14:textId="77777777" w:rsidR="00FA36F7" w:rsidRPr="00D7240E" w:rsidRDefault="00FA36F7" w:rsidP="00D7240E">
            <w:pPr>
              <w:pStyle w:val="NoSpacing"/>
              <w:rPr>
                <w:color w:val="666666"/>
                <w:sz w:val="20"/>
                <w:szCs w:val="20"/>
              </w:rPr>
            </w:pPr>
            <w:r w:rsidRPr="00D7240E">
              <w:rPr>
                <w:color w:val="666666"/>
                <w:sz w:val="20"/>
                <w:szCs w:val="20"/>
              </w:rPr>
              <w:t>.66</w:t>
            </w:r>
          </w:p>
        </w:tc>
        <w:tc>
          <w:tcPr>
            <w:tcW w:w="0" w:type="auto"/>
            <w:hideMark/>
          </w:tcPr>
          <w:p w14:paraId="22C68917" w14:textId="77777777" w:rsidR="00FA36F7" w:rsidRPr="00D7240E" w:rsidRDefault="00FA36F7" w:rsidP="00D7240E">
            <w:pPr>
              <w:pStyle w:val="NoSpacing"/>
              <w:rPr>
                <w:color w:val="666666"/>
                <w:sz w:val="20"/>
                <w:szCs w:val="20"/>
              </w:rPr>
            </w:pPr>
            <w:r w:rsidRPr="00D7240E">
              <w:rPr>
                <w:color w:val="666666"/>
                <w:sz w:val="20"/>
                <w:szCs w:val="20"/>
              </w:rPr>
              <w:t>.67</w:t>
            </w:r>
          </w:p>
        </w:tc>
      </w:tr>
      <w:tr w:rsidR="00FA36F7" w:rsidRPr="00D7240E" w14:paraId="598B23AC" w14:textId="77777777" w:rsidTr="00C9755E">
        <w:tc>
          <w:tcPr>
            <w:tcW w:w="0" w:type="auto"/>
            <w:hideMark/>
          </w:tcPr>
          <w:p w14:paraId="6FA846DD"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A man felt the need to tell you how you should run your life, do your job, etc.?</w:t>
            </w:r>
          </w:p>
        </w:tc>
        <w:tc>
          <w:tcPr>
            <w:tcW w:w="0" w:type="auto"/>
            <w:hideMark/>
          </w:tcPr>
          <w:p w14:paraId="25B388AB" w14:textId="77777777" w:rsidR="00FA36F7" w:rsidRPr="00D7240E" w:rsidRDefault="00FA36F7" w:rsidP="00D7240E">
            <w:pPr>
              <w:pStyle w:val="NoSpacing"/>
              <w:rPr>
                <w:color w:val="666666"/>
                <w:sz w:val="20"/>
                <w:szCs w:val="20"/>
              </w:rPr>
            </w:pPr>
            <w:r w:rsidRPr="00D7240E">
              <w:rPr>
                <w:color w:val="666666"/>
                <w:sz w:val="20"/>
                <w:szCs w:val="20"/>
              </w:rPr>
              <w:t>.08</w:t>
            </w:r>
          </w:p>
        </w:tc>
        <w:tc>
          <w:tcPr>
            <w:tcW w:w="0" w:type="auto"/>
            <w:hideMark/>
          </w:tcPr>
          <w:p w14:paraId="738ECFAD" w14:textId="77777777" w:rsidR="00FA36F7" w:rsidRPr="00D7240E" w:rsidRDefault="00FA36F7" w:rsidP="00D7240E">
            <w:pPr>
              <w:pStyle w:val="NoSpacing"/>
              <w:rPr>
                <w:color w:val="666666"/>
                <w:sz w:val="20"/>
                <w:szCs w:val="20"/>
              </w:rPr>
            </w:pPr>
            <w:r w:rsidRPr="00D7240E">
              <w:rPr>
                <w:color w:val="666666"/>
                <w:sz w:val="20"/>
                <w:szCs w:val="20"/>
              </w:rPr>
              <w:t>.04</w:t>
            </w:r>
          </w:p>
        </w:tc>
        <w:tc>
          <w:tcPr>
            <w:tcW w:w="0" w:type="auto"/>
            <w:hideMark/>
          </w:tcPr>
          <w:p w14:paraId="48C20B98" w14:textId="77777777" w:rsidR="00FA36F7" w:rsidRPr="00D7240E" w:rsidRDefault="00FA36F7" w:rsidP="00D7240E">
            <w:pPr>
              <w:pStyle w:val="NoSpacing"/>
              <w:rPr>
                <w:color w:val="666666"/>
                <w:sz w:val="20"/>
                <w:szCs w:val="20"/>
              </w:rPr>
            </w:pPr>
            <w:r w:rsidRPr="00D7240E">
              <w:rPr>
                <w:color w:val="666666"/>
                <w:sz w:val="20"/>
                <w:szCs w:val="20"/>
              </w:rPr>
              <w:t>.57</w:t>
            </w:r>
          </w:p>
        </w:tc>
        <w:tc>
          <w:tcPr>
            <w:tcW w:w="0" w:type="auto"/>
            <w:hideMark/>
          </w:tcPr>
          <w:p w14:paraId="5743A7D9" w14:textId="77777777" w:rsidR="00FA36F7" w:rsidRPr="00D7240E" w:rsidRDefault="00FA36F7" w:rsidP="00D7240E">
            <w:pPr>
              <w:pStyle w:val="NoSpacing"/>
              <w:rPr>
                <w:color w:val="666666"/>
                <w:sz w:val="20"/>
                <w:szCs w:val="20"/>
              </w:rPr>
            </w:pPr>
            <w:r w:rsidRPr="00D7240E">
              <w:rPr>
                <w:color w:val="666666"/>
                <w:sz w:val="20"/>
                <w:szCs w:val="20"/>
              </w:rPr>
              <w:t>.60</w:t>
            </w:r>
          </w:p>
        </w:tc>
      </w:tr>
      <w:tr w:rsidR="00FA36F7" w:rsidRPr="00D7240E" w14:paraId="4DBF2FA3" w14:textId="77777777" w:rsidTr="00C9755E">
        <w:tc>
          <w:tcPr>
            <w:tcW w:w="0" w:type="auto"/>
            <w:hideMark/>
          </w:tcPr>
          <w:p w14:paraId="49E45048"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You have been prohibited from doing something because others (such as parents or romantic partners) thought that you might get hurt?</w:t>
            </w:r>
          </w:p>
        </w:tc>
        <w:tc>
          <w:tcPr>
            <w:tcW w:w="0" w:type="auto"/>
            <w:hideMark/>
          </w:tcPr>
          <w:p w14:paraId="56E8A8FB" w14:textId="77777777" w:rsidR="00FA36F7" w:rsidRPr="00D7240E" w:rsidRDefault="00FA36F7" w:rsidP="00D7240E">
            <w:pPr>
              <w:pStyle w:val="NoSpacing"/>
              <w:rPr>
                <w:color w:val="666666"/>
                <w:sz w:val="20"/>
                <w:szCs w:val="20"/>
              </w:rPr>
            </w:pPr>
            <w:r w:rsidRPr="00D7240E">
              <w:rPr>
                <w:color w:val="666666"/>
                <w:sz w:val="20"/>
                <w:szCs w:val="20"/>
              </w:rPr>
              <w:t>.05</w:t>
            </w:r>
          </w:p>
        </w:tc>
        <w:tc>
          <w:tcPr>
            <w:tcW w:w="0" w:type="auto"/>
            <w:hideMark/>
          </w:tcPr>
          <w:p w14:paraId="36A78252" w14:textId="77777777" w:rsidR="00FA36F7" w:rsidRPr="00D7240E" w:rsidRDefault="00FA36F7" w:rsidP="00D7240E">
            <w:pPr>
              <w:pStyle w:val="NoSpacing"/>
              <w:rPr>
                <w:color w:val="666666"/>
                <w:sz w:val="20"/>
                <w:szCs w:val="20"/>
              </w:rPr>
            </w:pPr>
            <w:r w:rsidRPr="00D7240E">
              <w:rPr>
                <w:color w:val="666666"/>
                <w:sz w:val="20"/>
                <w:szCs w:val="20"/>
              </w:rPr>
              <w:t>.14</w:t>
            </w:r>
          </w:p>
        </w:tc>
        <w:tc>
          <w:tcPr>
            <w:tcW w:w="0" w:type="auto"/>
            <w:hideMark/>
          </w:tcPr>
          <w:p w14:paraId="533F5529" w14:textId="77777777" w:rsidR="00FA36F7" w:rsidRPr="00D7240E" w:rsidRDefault="00FA36F7" w:rsidP="00D7240E">
            <w:pPr>
              <w:pStyle w:val="NoSpacing"/>
              <w:rPr>
                <w:color w:val="666666"/>
                <w:sz w:val="20"/>
                <w:szCs w:val="20"/>
              </w:rPr>
            </w:pPr>
            <w:r w:rsidRPr="00D7240E">
              <w:rPr>
                <w:color w:val="666666"/>
                <w:sz w:val="20"/>
                <w:szCs w:val="20"/>
              </w:rPr>
              <w:t>.50</w:t>
            </w:r>
          </w:p>
        </w:tc>
        <w:tc>
          <w:tcPr>
            <w:tcW w:w="0" w:type="auto"/>
            <w:hideMark/>
          </w:tcPr>
          <w:p w14:paraId="3FB2E9C6" w14:textId="77777777" w:rsidR="00FA36F7" w:rsidRPr="00D7240E" w:rsidRDefault="00FA36F7" w:rsidP="00D7240E">
            <w:pPr>
              <w:pStyle w:val="NoSpacing"/>
              <w:rPr>
                <w:color w:val="666666"/>
                <w:sz w:val="20"/>
                <w:szCs w:val="20"/>
              </w:rPr>
            </w:pPr>
            <w:r w:rsidRPr="00D7240E">
              <w:rPr>
                <w:color w:val="666666"/>
                <w:sz w:val="20"/>
                <w:szCs w:val="20"/>
              </w:rPr>
              <w:t>.67</w:t>
            </w:r>
          </w:p>
        </w:tc>
      </w:tr>
      <w:tr w:rsidR="00FA36F7" w:rsidRPr="00D7240E" w14:paraId="0ADC0F87" w14:textId="77777777" w:rsidTr="00C9755E">
        <w:tc>
          <w:tcPr>
            <w:tcW w:w="0" w:type="auto"/>
            <w:hideMark/>
          </w:tcPr>
          <w:p w14:paraId="3A9370D5"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Men insisted on lifting or carrying heavy things for you, even when you didn’t ask or need the help?</w:t>
            </w:r>
          </w:p>
        </w:tc>
        <w:tc>
          <w:tcPr>
            <w:tcW w:w="0" w:type="auto"/>
            <w:hideMark/>
          </w:tcPr>
          <w:p w14:paraId="455C7571" w14:textId="77777777" w:rsidR="00FA36F7" w:rsidRPr="00D7240E" w:rsidRDefault="00FA36F7" w:rsidP="00D7240E">
            <w:pPr>
              <w:pStyle w:val="NoSpacing"/>
              <w:rPr>
                <w:color w:val="666666"/>
                <w:sz w:val="20"/>
                <w:szCs w:val="20"/>
              </w:rPr>
            </w:pPr>
            <w:r w:rsidRPr="00D7240E">
              <w:rPr>
                <w:color w:val="666666"/>
                <w:sz w:val="20"/>
                <w:szCs w:val="20"/>
              </w:rPr>
              <w:t>.21</w:t>
            </w:r>
          </w:p>
        </w:tc>
        <w:tc>
          <w:tcPr>
            <w:tcW w:w="0" w:type="auto"/>
            <w:hideMark/>
          </w:tcPr>
          <w:p w14:paraId="071256A2" w14:textId="77777777" w:rsidR="00FA36F7" w:rsidRPr="00D7240E" w:rsidRDefault="00FA36F7" w:rsidP="00D7240E">
            <w:pPr>
              <w:pStyle w:val="NoSpacing"/>
              <w:rPr>
                <w:color w:val="666666"/>
                <w:sz w:val="20"/>
                <w:szCs w:val="20"/>
              </w:rPr>
            </w:pPr>
            <w:r w:rsidRPr="00D7240E">
              <w:rPr>
                <w:color w:val="666666"/>
                <w:sz w:val="20"/>
                <w:szCs w:val="20"/>
              </w:rPr>
              <w:t>.007</w:t>
            </w:r>
          </w:p>
        </w:tc>
        <w:tc>
          <w:tcPr>
            <w:tcW w:w="0" w:type="auto"/>
            <w:hideMark/>
          </w:tcPr>
          <w:p w14:paraId="65922B83" w14:textId="77777777" w:rsidR="00FA36F7" w:rsidRPr="00D7240E" w:rsidRDefault="00FA36F7" w:rsidP="00D7240E">
            <w:pPr>
              <w:pStyle w:val="NoSpacing"/>
              <w:rPr>
                <w:color w:val="666666"/>
                <w:sz w:val="20"/>
                <w:szCs w:val="20"/>
              </w:rPr>
            </w:pPr>
            <w:r w:rsidRPr="00D7240E">
              <w:rPr>
                <w:color w:val="666666"/>
                <w:sz w:val="20"/>
                <w:szCs w:val="20"/>
              </w:rPr>
              <w:t>.48</w:t>
            </w:r>
          </w:p>
        </w:tc>
        <w:tc>
          <w:tcPr>
            <w:tcW w:w="0" w:type="auto"/>
            <w:hideMark/>
          </w:tcPr>
          <w:p w14:paraId="339C364E" w14:textId="77777777" w:rsidR="00FA36F7" w:rsidRPr="00D7240E" w:rsidRDefault="00FA36F7" w:rsidP="00D7240E">
            <w:pPr>
              <w:pStyle w:val="NoSpacing"/>
              <w:rPr>
                <w:color w:val="666666"/>
                <w:sz w:val="20"/>
                <w:szCs w:val="20"/>
              </w:rPr>
            </w:pPr>
            <w:r w:rsidRPr="00D7240E">
              <w:rPr>
                <w:color w:val="666666"/>
                <w:sz w:val="20"/>
                <w:szCs w:val="20"/>
              </w:rPr>
              <w:t>.46</w:t>
            </w:r>
          </w:p>
        </w:tc>
      </w:tr>
      <w:tr w:rsidR="00FA36F7" w:rsidRPr="00D7240E" w14:paraId="29AD91D3" w14:textId="77777777" w:rsidTr="00C9755E">
        <w:tc>
          <w:tcPr>
            <w:tcW w:w="0" w:type="auto"/>
            <w:hideMark/>
          </w:tcPr>
          <w:p w14:paraId="374C6292"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People reminded you to look for a romantic partner who can provide financially?</w:t>
            </w:r>
          </w:p>
        </w:tc>
        <w:tc>
          <w:tcPr>
            <w:tcW w:w="0" w:type="auto"/>
            <w:hideMark/>
          </w:tcPr>
          <w:p w14:paraId="086E3B2E" w14:textId="77777777" w:rsidR="00FA36F7" w:rsidRPr="00D7240E" w:rsidRDefault="00FA36F7" w:rsidP="00D7240E">
            <w:pPr>
              <w:pStyle w:val="NoSpacing"/>
              <w:rPr>
                <w:color w:val="666666"/>
                <w:sz w:val="20"/>
                <w:szCs w:val="20"/>
              </w:rPr>
            </w:pPr>
            <w:r w:rsidRPr="00D7240E">
              <w:rPr>
                <w:color w:val="666666"/>
                <w:sz w:val="20"/>
                <w:szCs w:val="20"/>
              </w:rPr>
              <w:t>−.009</w:t>
            </w:r>
          </w:p>
        </w:tc>
        <w:tc>
          <w:tcPr>
            <w:tcW w:w="0" w:type="auto"/>
            <w:hideMark/>
          </w:tcPr>
          <w:p w14:paraId="07E119C6" w14:textId="77777777" w:rsidR="00FA36F7" w:rsidRPr="00D7240E" w:rsidRDefault="00FA36F7" w:rsidP="00D7240E">
            <w:pPr>
              <w:pStyle w:val="NoSpacing"/>
              <w:rPr>
                <w:color w:val="666666"/>
                <w:sz w:val="20"/>
                <w:szCs w:val="20"/>
              </w:rPr>
            </w:pPr>
            <w:r w:rsidRPr="00D7240E">
              <w:rPr>
                <w:color w:val="666666"/>
                <w:sz w:val="20"/>
                <w:szCs w:val="20"/>
              </w:rPr>
              <w:t>.29</w:t>
            </w:r>
          </w:p>
        </w:tc>
        <w:tc>
          <w:tcPr>
            <w:tcW w:w="0" w:type="auto"/>
            <w:hideMark/>
          </w:tcPr>
          <w:p w14:paraId="61A66E09" w14:textId="77777777" w:rsidR="00FA36F7" w:rsidRPr="00D7240E" w:rsidRDefault="00FA36F7" w:rsidP="00D7240E">
            <w:pPr>
              <w:pStyle w:val="NoSpacing"/>
              <w:rPr>
                <w:color w:val="666666"/>
                <w:sz w:val="20"/>
                <w:szCs w:val="20"/>
              </w:rPr>
            </w:pPr>
            <w:r w:rsidRPr="00D7240E">
              <w:rPr>
                <w:color w:val="666666"/>
                <w:sz w:val="20"/>
                <w:szCs w:val="20"/>
              </w:rPr>
              <w:t>.39</w:t>
            </w:r>
          </w:p>
        </w:tc>
        <w:tc>
          <w:tcPr>
            <w:tcW w:w="0" w:type="auto"/>
            <w:hideMark/>
          </w:tcPr>
          <w:p w14:paraId="48D83672" w14:textId="77777777" w:rsidR="00FA36F7" w:rsidRPr="00D7240E" w:rsidRDefault="00FA36F7" w:rsidP="00D7240E">
            <w:pPr>
              <w:pStyle w:val="NoSpacing"/>
              <w:rPr>
                <w:color w:val="666666"/>
                <w:sz w:val="20"/>
                <w:szCs w:val="20"/>
              </w:rPr>
            </w:pPr>
            <w:r w:rsidRPr="00D7240E">
              <w:rPr>
                <w:color w:val="666666"/>
                <w:sz w:val="20"/>
                <w:szCs w:val="20"/>
              </w:rPr>
              <w:t>.60</w:t>
            </w:r>
          </w:p>
        </w:tc>
      </w:tr>
      <w:tr w:rsidR="00FA36F7" w:rsidRPr="00D7240E" w14:paraId="01B54966" w14:textId="77777777" w:rsidTr="00C9755E">
        <w:tc>
          <w:tcPr>
            <w:tcW w:w="0" w:type="auto"/>
            <w:hideMark/>
          </w:tcPr>
          <w:p w14:paraId="02C02066"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People said that you need to be protected or have a “protector” in your life?</w:t>
            </w:r>
          </w:p>
        </w:tc>
        <w:tc>
          <w:tcPr>
            <w:tcW w:w="0" w:type="auto"/>
            <w:hideMark/>
          </w:tcPr>
          <w:p w14:paraId="1FA7AD3E" w14:textId="77777777" w:rsidR="00FA36F7" w:rsidRPr="00D7240E" w:rsidRDefault="00FA36F7" w:rsidP="00D7240E">
            <w:pPr>
              <w:pStyle w:val="NoSpacing"/>
              <w:rPr>
                <w:color w:val="666666"/>
                <w:sz w:val="20"/>
                <w:szCs w:val="20"/>
              </w:rPr>
            </w:pPr>
            <w:r w:rsidRPr="00D7240E">
              <w:rPr>
                <w:color w:val="666666"/>
                <w:sz w:val="20"/>
                <w:szCs w:val="20"/>
              </w:rPr>
              <w:t>.05</w:t>
            </w:r>
          </w:p>
        </w:tc>
        <w:tc>
          <w:tcPr>
            <w:tcW w:w="0" w:type="auto"/>
            <w:hideMark/>
          </w:tcPr>
          <w:p w14:paraId="7EADE23D" w14:textId="77777777" w:rsidR="00FA36F7" w:rsidRPr="00D7240E" w:rsidRDefault="00FA36F7" w:rsidP="00D7240E">
            <w:pPr>
              <w:pStyle w:val="NoSpacing"/>
              <w:rPr>
                <w:color w:val="666666"/>
                <w:sz w:val="20"/>
                <w:szCs w:val="20"/>
              </w:rPr>
            </w:pPr>
            <w:r w:rsidRPr="00D7240E">
              <w:rPr>
                <w:color w:val="666666"/>
                <w:sz w:val="20"/>
                <w:szCs w:val="20"/>
              </w:rPr>
              <w:t>.32</w:t>
            </w:r>
          </w:p>
        </w:tc>
        <w:tc>
          <w:tcPr>
            <w:tcW w:w="0" w:type="auto"/>
            <w:hideMark/>
          </w:tcPr>
          <w:p w14:paraId="6FCD3046" w14:textId="77777777" w:rsidR="00FA36F7" w:rsidRPr="00D7240E" w:rsidRDefault="00FA36F7" w:rsidP="00D7240E">
            <w:pPr>
              <w:pStyle w:val="NoSpacing"/>
              <w:rPr>
                <w:color w:val="666666"/>
                <w:sz w:val="20"/>
                <w:szCs w:val="20"/>
              </w:rPr>
            </w:pPr>
            <w:r w:rsidRPr="00D7240E">
              <w:rPr>
                <w:color w:val="666666"/>
                <w:sz w:val="20"/>
                <w:szCs w:val="20"/>
              </w:rPr>
              <w:t>.37</w:t>
            </w:r>
          </w:p>
        </w:tc>
        <w:tc>
          <w:tcPr>
            <w:tcW w:w="0" w:type="auto"/>
            <w:hideMark/>
          </w:tcPr>
          <w:p w14:paraId="2DC1DFD9" w14:textId="77777777" w:rsidR="00FA36F7" w:rsidRPr="00D7240E" w:rsidRDefault="00FA36F7" w:rsidP="00D7240E">
            <w:pPr>
              <w:pStyle w:val="NoSpacing"/>
              <w:rPr>
                <w:color w:val="666666"/>
                <w:sz w:val="20"/>
                <w:szCs w:val="20"/>
              </w:rPr>
            </w:pPr>
            <w:r w:rsidRPr="00D7240E">
              <w:rPr>
                <w:color w:val="666666"/>
                <w:sz w:val="20"/>
                <w:szCs w:val="20"/>
              </w:rPr>
              <w:t>.78</w:t>
            </w:r>
          </w:p>
        </w:tc>
      </w:tr>
      <w:tr w:rsidR="00FA36F7" w:rsidRPr="00D7240E" w14:paraId="32880DFD" w14:textId="77777777" w:rsidTr="00C9755E">
        <w:tc>
          <w:tcPr>
            <w:tcW w:w="0" w:type="auto"/>
            <w:hideMark/>
          </w:tcPr>
          <w:p w14:paraId="22CD7F0F" w14:textId="77777777" w:rsidR="00FA36F7" w:rsidRPr="00D7240E" w:rsidRDefault="00FA36F7" w:rsidP="00D7240E">
            <w:pPr>
              <w:pStyle w:val="NoSpacing"/>
              <w:rPr>
                <w:color w:val="666666"/>
                <w:sz w:val="20"/>
                <w:szCs w:val="20"/>
              </w:rPr>
            </w:pPr>
            <w:r w:rsidRPr="00D7240E">
              <w:rPr>
                <w:color w:val="666666"/>
                <w:sz w:val="20"/>
                <w:szCs w:val="20"/>
              </w:rPr>
              <w:t> </w:t>
            </w:r>
            <w:r w:rsidRPr="00D7240E">
              <w:rPr>
                <w:color w:val="666666"/>
                <w:sz w:val="20"/>
                <w:szCs w:val="20"/>
              </w:rPr>
              <w:t>You have been offered an escort, even though you didn’t feel it was necessary, when walking alone at night?</w:t>
            </w:r>
          </w:p>
        </w:tc>
        <w:tc>
          <w:tcPr>
            <w:tcW w:w="0" w:type="auto"/>
            <w:hideMark/>
          </w:tcPr>
          <w:p w14:paraId="40903459" w14:textId="77777777" w:rsidR="00FA36F7" w:rsidRPr="00D7240E" w:rsidRDefault="00FA36F7" w:rsidP="00D7240E">
            <w:pPr>
              <w:pStyle w:val="NoSpacing"/>
              <w:rPr>
                <w:color w:val="666666"/>
                <w:sz w:val="20"/>
                <w:szCs w:val="20"/>
              </w:rPr>
            </w:pPr>
            <w:r w:rsidRPr="00D7240E">
              <w:rPr>
                <w:color w:val="666666"/>
                <w:sz w:val="20"/>
                <w:szCs w:val="20"/>
              </w:rPr>
              <w:t>−.03</w:t>
            </w:r>
          </w:p>
        </w:tc>
        <w:tc>
          <w:tcPr>
            <w:tcW w:w="0" w:type="auto"/>
            <w:hideMark/>
          </w:tcPr>
          <w:p w14:paraId="77351943" w14:textId="77777777" w:rsidR="00FA36F7" w:rsidRPr="00D7240E" w:rsidRDefault="00FA36F7" w:rsidP="00D7240E">
            <w:pPr>
              <w:pStyle w:val="NoSpacing"/>
              <w:rPr>
                <w:color w:val="666666"/>
                <w:sz w:val="20"/>
                <w:szCs w:val="20"/>
              </w:rPr>
            </w:pPr>
            <w:r w:rsidRPr="00D7240E">
              <w:rPr>
                <w:color w:val="666666"/>
                <w:sz w:val="20"/>
                <w:szCs w:val="20"/>
              </w:rPr>
              <w:t>.18</w:t>
            </w:r>
          </w:p>
        </w:tc>
        <w:tc>
          <w:tcPr>
            <w:tcW w:w="0" w:type="auto"/>
            <w:hideMark/>
          </w:tcPr>
          <w:p w14:paraId="4B1724DD" w14:textId="77777777" w:rsidR="00FA36F7" w:rsidRPr="00D7240E" w:rsidRDefault="00FA36F7" w:rsidP="00D7240E">
            <w:pPr>
              <w:pStyle w:val="NoSpacing"/>
              <w:rPr>
                <w:color w:val="666666"/>
                <w:sz w:val="20"/>
                <w:szCs w:val="20"/>
              </w:rPr>
            </w:pPr>
            <w:r w:rsidRPr="00D7240E">
              <w:rPr>
                <w:color w:val="666666"/>
                <w:sz w:val="20"/>
                <w:szCs w:val="20"/>
              </w:rPr>
              <w:t>.36</w:t>
            </w:r>
          </w:p>
        </w:tc>
        <w:tc>
          <w:tcPr>
            <w:tcW w:w="0" w:type="auto"/>
            <w:hideMark/>
          </w:tcPr>
          <w:p w14:paraId="51EE0023" w14:textId="77777777" w:rsidR="00FA36F7" w:rsidRPr="00D7240E" w:rsidRDefault="00FA36F7" w:rsidP="00D7240E">
            <w:pPr>
              <w:pStyle w:val="NoSpacing"/>
              <w:rPr>
                <w:color w:val="666666"/>
                <w:sz w:val="20"/>
                <w:szCs w:val="20"/>
              </w:rPr>
            </w:pPr>
            <w:r w:rsidRPr="00D7240E">
              <w:rPr>
                <w:color w:val="666666"/>
                <w:sz w:val="20"/>
                <w:szCs w:val="20"/>
              </w:rPr>
              <w:t>.64</w:t>
            </w:r>
          </w:p>
        </w:tc>
      </w:tr>
    </w:tbl>
    <w:p w14:paraId="288D837F" w14:textId="77777777" w:rsidR="00FA36F7" w:rsidRPr="00D7240E" w:rsidRDefault="00FA36F7" w:rsidP="00F25900">
      <w:pPr>
        <w:pStyle w:val="NoSpacing"/>
      </w:pPr>
      <w:r w:rsidRPr="00D7240E">
        <w:lastRenderedPageBreak/>
        <w:t>The factor loadings for Study 1 are from an Exploratory Factor Analysis (EFA); for Study 2, from a Confirmatory Factor Analysis (CFA)</w:t>
      </w:r>
    </w:p>
    <w:p w14:paraId="57FA57C8" w14:textId="77777777" w:rsidR="00FA36F7" w:rsidRPr="00D7240E" w:rsidRDefault="00FA36F7" w:rsidP="00F25900">
      <w:pPr>
        <w:pStyle w:val="NoSpacing"/>
      </w:pPr>
      <w:r w:rsidRPr="00D7240E">
        <w:t>HI, Heterosexual Intimacy; CGD, Complementary Gender Differentiation; PP, Protective Paternalism</w:t>
      </w:r>
    </w:p>
    <w:p w14:paraId="5748CB44" w14:textId="77777777" w:rsidR="0015424E" w:rsidRDefault="0015424E" w:rsidP="00C9755E">
      <w:pPr>
        <w:rPr>
          <w:rFonts w:cstheme="minorHAnsi"/>
          <w:spacing w:val="2"/>
        </w:rPr>
      </w:pPr>
    </w:p>
    <w:p w14:paraId="3A0679C9" w14:textId="2BDCF8FD" w:rsidR="00FA36F7" w:rsidRPr="00D7240E" w:rsidRDefault="00FA36F7" w:rsidP="00C9755E">
      <w:pPr>
        <w:rPr>
          <w:rFonts w:cstheme="minorHAnsi"/>
          <w:spacing w:val="2"/>
        </w:rPr>
      </w:pPr>
      <w:r w:rsidRPr="00D7240E">
        <w:rPr>
          <w:rFonts w:cstheme="minorHAnsi"/>
          <w:spacing w:val="2"/>
        </w:rPr>
        <w:t>The first factor consisted of ten items and had an initial eigenvalue of 7.55 (rotation sums of square loading total = 5.20). These items were consistent with the Heterosexual Intimacy subcomponent of benevolent sexism and so the factor was labelled such. These items all pertained to experiences in the context of a romantic relationship including items such as romantic partners expecting and praising them for their ability to take care of their needs, being told their love completes their partner, and being put on a romantic pedestal by their romantic partner. As highlighted by ambivalent sexism theory (Glick and Fiske </w:t>
      </w:r>
      <w:hyperlink r:id="rId92" w:anchor="CR23" w:tooltip="View reference" w:history="1">
        <w:r w:rsidRPr="00D7240E">
          <w:rPr>
            <w:rStyle w:val="Hyperlink"/>
            <w:rFonts w:eastAsiaTheme="majorEastAsia" w:cstheme="minorHAnsi"/>
            <w:color w:val="4500A7"/>
            <w:spacing w:val="2"/>
          </w:rPr>
          <w:t>1996</w:t>
        </w:r>
      </w:hyperlink>
      <w:r w:rsidRPr="00D7240E">
        <w:rPr>
          <w:rFonts w:cstheme="minorHAnsi"/>
          <w:spacing w:val="2"/>
        </w:rPr>
        <w:t>), these experiences appear on the surface to romanticize men’s need for women as romantic partners, yet they also promote the idea that the man is in charge of the relationship and the woman in return must fulfill the partner’s needs or owes him something in return for the adoration. The Cronbach alpha for this factor was .81.</w:t>
      </w:r>
    </w:p>
    <w:p w14:paraId="257ADD9A" w14:textId="77777777" w:rsidR="00FA36F7" w:rsidRPr="00D7240E" w:rsidRDefault="00FA36F7" w:rsidP="00C9755E">
      <w:pPr>
        <w:rPr>
          <w:rFonts w:cstheme="minorHAnsi"/>
          <w:spacing w:val="2"/>
        </w:rPr>
      </w:pPr>
      <w:r w:rsidRPr="00D7240E">
        <w:rPr>
          <w:rFonts w:cstheme="minorHAnsi"/>
          <w:spacing w:val="2"/>
        </w:rPr>
        <w:t>The second factor consisted of seven items and had an initial eigenvalue of 1.82 (rotation sums of square loading total = 5.40). These experiences are consistent with the Complementary Gender Differentiation aspect of benevolent sexism (Glick and Fiske </w:t>
      </w:r>
      <w:hyperlink r:id="rId93" w:anchor="CR23" w:tooltip="View reference" w:history="1">
        <w:r w:rsidRPr="00D7240E">
          <w:rPr>
            <w:rStyle w:val="Hyperlink"/>
            <w:rFonts w:eastAsiaTheme="majorEastAsia" w:cstheme="minorHAnsi"/>
            <w:color w:val="4500A7"/>
            <w:spacing w:val="2"/>
          </w:rPr>
          <w:t>1996</w:t>
        </w:r>
      </w:hyperlink>
      <w:r w:rsidRPr="00D7240E">
        <w:rPr>
          <w:rFonts w:cstheme="minorHAnsi"/>
          <w:spacing w:val="2"/>
        </w:rPr>
        <w:t>), and the factor was given that label. The items on this component consisted of desired traits (“purity in behaviors,” morality, and cultured) for a “good woman.” Items on this subscale also included experiences that assumed women’s most important role, and goal, is motherhood, and they should be willing to sacrifice career or education to focus on motherhood. This set of items has a subjectively positive feel to them and highlights the ways in which women are expected to complement men, although these traits can also be used to justify women’s submissive, supportive role to men. The Cronbach alpha was .79.</w:t>
      </w:r>
    </w:p>
    <w:p w14:paraId="75941EA8" w14:textId="77777777" w:rsidR="00FA36F7" w:rsidRPr="00D7240E" w:rsidRDefault="00FA36F7" w:rsidP="00C9755E">
      <w:pPr>
        <w:rPr>
          <w:rFonts w:cstheme="minorHAnsi"/>
          <w:spacing w:val="2"/>
        </w:rPr>
      </w:pPr>
      <w:r w:rsidRPr="00D7240E">
        <w:rPr>
          <w:rFonts w:cstheme="minorHAnsi"/>
          <w:spacing w:val="2"/>
        </w:rPr>
        <w:t>The third factor consisted of eight items and had an initial eigenvalue of 1.40 (rotation sums of square loading total = 5.42). This subscale was labelled “Protective Paternalism.” The items on this component all referred to experiences where women were told they needed to be protected, were helped when it was not needed or requested, or had someone question their ability to make decisions about their life. These items are theoretically consistent with the protective paternalism aspect of benevolent sexism (Glick and Fiske </w:t>
      </w:r>
      <w:hyperlink r:id="rId94" w:anchor="CR23" w:tooltip="View reference" w:history="1">
        <w:r w:rsidRPr="00D7240E">
          <w:rPr>
            <w:rStyle w:val="Hyperlink"/>
            <w:rFonts w:eastAsiaTheme="majorEastAsia" w:cstheme="minorHAnsi"/>
            <w:color w:val="4500A7"/>
            <w:spacing w:val="2"/>
          </w:rPr>
          <w:t>1996</w:t>
        </w:r>
      </w:hyperlink>
      <w:r w:rsidRPr="00D7240E">
        <w:rPr>
          <w:rFonts w:cstheme="minorHAnsi"/>
          <w:spacing w:val="2"/>
        </w:rPr>
        <w:t>). The Cronbach alpha was .84.</w:t>
      </w:r>
    </w:p>
    <w:p w14:paraId="4E68F855" w14:textId="77777777" w:rsidR="00FA36F7" w:rsidRPr="00D7240E" w:rsidRDefault="00FA36F7" w:rsidP="00C9755E">
      <w:pPr>
        <w:rPr>
          <w:rFonts w:cstheme="minorHAnsi"/>
          <w:spacing w:val="2"/>
        </w:rPr>
      </w:pPr>
      <w:r w:rsidRPr="00D7240E">
        <w:rPr>
          <w:rFonts w:cstheme="minorHAnsi"/>
          <w:spacing w:val="2"/>
        </w:rPr>
        <w:t>Given the substantial sample size of women who indicated their sexual orientation as anything other than completely heterosexual (</w:t>
      </w:r>
      <w:r w:rsidRPr="00D7240E">
        <w:rPr>
          <w:rStyle w:val="Emphasis"/>
          <w:rFonts w:cstheme="minorHAnsi"/>
          <w:color w:val="333333"/>
          <w:spacing w:val="2"/>
        </w:rPr>
        <w:t>n</w:t>
      </w:r>
      <w:r w:rsidRPr="00D7240E">
        <w:rPr>
          <w:rFonts w:cstheme="minorHAnsi"/>
          <w:spacing w:val="2"/>
        </w:rPr>
        <w:t> = 105), we ran the EFA again to confirm that the scale structure was stable when examining only heterosexual women (</w:t>
      </w:r>
      <w:r w:rsidRPr="00D7240E">
        <w:rPr>
          <w:rStyle w:val="Emphasis"/>
          <w:rFonts w:cstheme="minorHAnsi"/>
          <w:color w:val="333333"/>
          <w:spacing w:val="2"/>
        </w:rPr>
        <w:t>n</w:t>
      </w:r>
      <w:r w:rsidRPr="00D7240E">
        <w:rPr>
          <w:rFonts w:cstheme="minorHAnsi"/>
          <w:spacing w:val="2"/>
        </w:rPr>
        <w:t> = 384). The scale still displayed a three-factor solution, and all items remained on the factors as with the entire sample.</w:t>
      </w:r>
    </w:p>
    <w:p w14:paraId="2C0BC4E6" w14:textId="77777777" w:rsidR="00FA36F7" w:rsidRPr="00D7240E" w:rsidRDefault="00FA36F7" w:rsidP="00C9755E">
      <w:pPr>
        <w:rPr>
          <w:rFonts w:cstheme="minorHAnsi"/>
          <w:spacing w:val="2"/>
        </w:rPr>
      </w:pPr>
      <w:r w:rsidRPr="00D7240E">
        <w:rPr>
          <w:rFonts w:cstheme="minorHAnsi"/>
          <w:spacing w:val="2"/>
        </w:rPr>
        <w:t>Frequency of lifetime experience subscale scores were computed by taking the mean of the items that fell on the respective scales. As we expected, the three subscales were positively correlated (see Table </w:t>
      </w:r>
      <w:hyperlink r:id="rId95" w:anchor="Tab2" w:history="1">
        <w:r w:rsidRPr="00D7240E">
          <w:rPr>
            <w:rStyle w:val="Hyperlink"/>
            <w:rFonts w:cstheme="minorHAnsi"/>
            <w:color w:val="4500A7"/>
            <w:spacing w:val="2"/>
          </w:rPr>
          <w:t>2</w:t>
        </w:r>
      </w:hyperlink>
      <w:r w:rsidRPr="00D7240E">
        <w:rPr>
          <w:rFonts w:cstheme="minorHAnsi"/>
          <w:spacing w:val="2"/>
        </w:rPr>
        <w:t>). Subscale scores were also computed by taking the mean of the items that fell on the respective components for the last-year (Cronbach alphas: Complementary Gender Differentiation = .79, Protective Paternalism = .83 and Heterosexual Intimacy = .81), sexist, and distress versions of the scale. The scores for the last year subscales were very highly correlated with the scores for their counterpart’s lifetime version (all </w:t>
      </w:r>
      <w:r w:rsidRPr="00D7240E">
        <w:rPr>
          <w:rStyle w:val="Emphasis"/>
          <w:rFonts w:cstheme="minorHAnsi"/>
          <w:color w:val="333333"/>
          <w:spacing w:val="2"/>
        </w:rPr>
        <w:t>r</w:t>
      </w:r>
      <w:r w:rsidRPr="00D7240E">
        <w:rPr>
          <w:rFonts w:cstheme="minorHAnsi"/>
          <w:spacing w:val="2"/>
        </w:rPr>
        <w:t>s &gt; .90). Given the near perfect correlation between the scores for the year and lifetime experiences, we do not further report analyses with the last-year version.</w:t>
      </w:r>
    </w:p>
    <w:p w14:paraId="43B548E6" w14:textId="77777777" w:rsidR="00927C4D" w:rsidRDefault="00927C4D">
      <w:pPr>
        <w:rPr>
          <w:rStyle w:val="captionnumber"/>
          <w:rFonts w:eastAsiaTheme="majorEastAsia" w:cstheme="minorHAnsi"/>
          <w:color w:val="0D0D0D" w:themeColor="text1" w:themeTint="F2"/>
          <w:sz w:val="24"/>
          <w:szCs w:val="24"/>
        </w:rPr>
      </w:pPr>
      <w:r>
        <w:rPr>
          <w:rStyle w:val="captionnumber"/>
          <w:rFonts w:cstheme="minorHAnsi"/>
        </w:rPr>
        <w:br w:type="page"/>
      </w:r>
    </w:p>
    <w:p w14:paraId="7FB102FA" w14:textId="59704935" w:rsidR="00FA36F7" w:rsidRPr="00D7240E" w:rsidRDefault="00FA36F7" w:rsidP="00F25900">
      <w:pPr>
        <w:pStyle w:val="Heading3"/>
        <w:rPr>
          <w:rFonts w:asciiTheme="minorHAnsi" w:hAnsiTheme="minorHAnsi" w:cstheme="minorHAnsi"/>
          <w:lang w:val="en"/>
        </w:rPr>
      </w:pPr>
      <w:r w:rsidRPr="00D7240E">
        <w:rPr>
          <w:rStyle w:val="captionnumber"/>
          <w:rFonts w:asciiTheme="minorHAnsi" w:hAnsiTheme="minorHAnsi" w:cstheme="minorHAnsi"/>
        </w:rPr>
        <w:lastRenderedPageBreak/>
        <w:t>Table 2</w:t>
      </w:r>
      <w:r w:rsidR="00F25900">
        <w:rPr>
          <w:rStyle w:val="captionnumber"/>
          <w:rFonts w:asciiTheme="minorHAnsi" w:hAnsiTheme="minorHAnsi" w:cstheme="minorHAnsi"/>
        </w:rPr>
        <w:t xml:space="preserve"> </w:t>
      </w:r>
      <w:r w:rsidRPr="00D7240E">
        <w:rPr>
          <w:rFonts w:asciiTheme="minorHAnsi" w:hAnsiTheme="minorHAnsi" w:cstheme="minorHAnsi"/>
          <w:lang w:val="en"/>
        </w:rPr>
        <w:t>Correlations between lifetime benevolent sexist experience subscale scores, Studies 1 and 2</w:t>
      </w:r>
    </w:p>
    <w:tbl>
      <w:tblPr>
        <w:tblStyle w:val="TableGrid"/>
        <w:tblW w:w="0" w:type="auto"/>
        <w:tblLook w:val="04A0" w:firstRow="1" w:lastRow="0" w:firstColumn="1" w:lastColumn="0" w:noHBand="0" w:noVBand="1"/>
      </w:tblPr>
      <w:tblGrid>
        <w:gridCol w:w="3912"/>
        <w:gridCol w:w="1437"/>
        <w:gridCol w:w="759"/>
        <w:gridCol w:w="759"/>
      </w:tblGrid>
      <w:tr w:rsidR="00F25900" w:rsidRPr="00D7240E" w14:paraId="67C931A7" w14:textId="77777777" w:rsidTr="00F25900">
        <w:tc>
          <w:tcPr>
            <w:tcW w:w="0" w:type="auto"/>
            <w:hideMark/>
          </w:tcPr>
          <w:p w14:paraId="44CC2136" w14:textId="77777777" w:rsidR="00F25900" w:rsidRPr="00D7240E" w:rsidRDefault="00F25900">
            <w:pPr>
              <w:rPr>
                <w:rFonts w:cstheme="minorHAnsi"/>
                <w:b/>
                <w:bCs/>
                <w:color w:val="333333"/>
                <w:sz w:val="24"/>
                <w:szCs w:val="24"/>
              </w:rPr>
            </w:pPr>
            <w:r w:rsidRPr="00D7240E">
              <w:rPr>
                <w:rFonts w:cstheme="minorHAnsi"/>
                <w:b/>
                <w:bCs/>
                <w:color w:val="333333"/>
              </w:rPr>
              <w:t> </w:t>
            </w:r>
          </w:p>
        </w:tc>
        <w:tc>
          <w:tcPr>
            <w:tcW w:w="0" w:type="auto"/>
            <w:hideMark/>
          </w:tcPr>
          <w:p w14:paraId="104D7586" w14:textId="77777777" w:rsidR="00F25900" w:rsidRPr="00D7240E" w:rsidRDefault="00F25900">
            <w:pPr>
              <w:pStyle w:val="simplepara"/>
              <w:spacing w:before="0" w:beforeAutospacing="0" w:after="0" w:afterAutospacing="0"/>
              <w:textAlignment w:val="top"/>
              <w:rPr>
                <w:rFonts w:asciiTheme="minorHAnsi" w:hAnsiTheme="minorHAnsi" w:cstheme="minorHAnsi"/>
                <w:b/>
                <w:bCs/>
                <w:color w:val="333333"/>
              </w:rPr>
            </w:pPr>
            <w:r w:rsidRPr="00D7240E">
              <w:rPr>
                <w:rFonts w:asciiTheme="minorHAnsi" w:hAnsiTheme="minorHAnsi" w:cstheme="minorHAnsi"/>
                <w:b/>
                <w:bCs/>
                <w:color w:val="333333"/>
              </w:rPr>
              <w:t>Correlations</w:t>
            </w:r>
          </w:p>
        </w:tc>
        <w:tc>
          <w:tcPr>
            <w:tcW w:w="0" w:type="auto"/>
          </w:tcPr>
          <w:p w14:paraId="06A25440" w14:textId="77777777" w:rsidR="00F25900" w:rsidRPr="00D7240E" w:rsidRDefault="00F25900">
            <w:pPr>
              <w:pStyle w:val="simplepara"/>
              <w:spacing w:before="0" w:beforeAutospacing="0" w:after="0" w:afterAutospacing="0"/>
              <w:textAlignment w:val="top"/>
              <w:rPr>
                <w:rFonts w:asciiTheme="minorHAnsi" w:hAnsiTheme="minorHAnsi" w:cstheme="minorHAnsi"/>
                <w:b/>
                <w:bCs/>
                <w:color w:val="333333"/>
              </w:rPr>
            </w:pPr>
          </w:p>
        </w:tc>
        <w:tc>
          <w:tcPr>
            <w:tcW w:w="0" w:type="auto"/>
          </w:tcPr>
          <w:p w14:paraId="66230023" w14:textId="08431370" w:rsidR="00F25900" w:rsidRPr="00D7240E" w:rsidRDefault="00F25900">
            <w:pPr>
              <w:pStyle w:val="simplepara"/>
              <w:spacing w:before="0" w:beforeAutospacing="0" w:after="0" w:afterAutospacing="0"/>
              <w:textAlignment w:val="top"/>
              <w:rPr>
                <w:rFonts w:asciiTheme="minorHAnsi" w:hAnsiTheme="minorHAnsi" w:cstheme="minorHAnsi"/>
                <w:b/>
                <w:bCs/>
                <w:color w:val="333333"/>
              </w:rPr>
            </w:pPr>
          </w:p>
        </w:tc>
      </w:tr>
      <w:tr w:rsidR="00FA36F7" w:rsidRPr="00D7240E" w14:paraId="1CE58620" w14:textId="77777777" w:rsidTr="00F25900">
        <w:tc>
          <w:tcPr>
            <w:tcW w:w="0" w:type="auto"/>
            <w:hideMark/>
          </w:tcPr>
          <w:p w14:paraId="2C82C5EF" w14:textId="77777777" w:rsidR="00FA36F7" w:rsidRPr="00D7240E" w:rsidRDefault="00FA36F7">
            <w:pPr>
              <w:rPr>
                <w:rFonts w:cstheme="minorHAnsi"/>
                <w:b/>
                <w:bCs/>
                <w:color w:val="333333"/>
                <w:sz w:val="24"/>
                <w:szCs w:val="24"/>
              </w:rPr>
            </w:pPr>
          </w:p>
        </w:tc>
        <w:tc>
          <w:tcPr>
            <w:tcW w:w="0" w:type="auto"/>
            <w:hideMark/>
          </w:tcPr>
          <w:p w14:paraId="2FF03BBD" w14:textId="77777777" w:rsidR="00FA36F7" w:rsidRPr="00D7240E" w:rsidRDefault="00FA36F7">
            <w:pPr>
              <w:pStyle w:val="simplepara"/>
              <w:spacing w:before="0" w:beforeAutospacing="0" w:after="0" w:afterAutospacing="0"/>
              <w:textAlignment w:val="top"/>
              <w:rPr>
                <w:rFonts w:asciiTheme="minorHAnsi" w:hAnsiTheme="minorHAnsi" w:cstheme="minorHAnsi"/>
                <w:b/>
                <w:bCs/>
                <w:color w:val="333333"/>
              </w:rPr>
            </w:pPr>
            <w:r w:rsidRPr="00D7240E">
              <w:rPr>
                <w:rFonts w:asciiTheme="minorHAnsi" w:hAnsiTheme="minorHAnsi" w:cstheme="minorHAnsi"/>
                <w:b/>
                <w:bCs/>
                <w:color w:val="333333"/>
              </w:rPr>
              <w:t>1</w:t>
            </w:r>
          </w:p>
        </w:tc>
        <w:tc>
          <w:tcPr>
            <w:tcW w:w="0" w:type="auto"/>
            <w:hideMark/>
          </w:tcPr>
          <w:p w14:paraId="2E309A4D" w14:textId="77777777" w:rsidR="00FA36F7" w:rsidRPr="00D7240E" w:rsidRDefault="00FA36F7">
            <w:pPr>
              <w:pStyle w:val="simplepara"/>
              <w:spacing w:before="0" w:beforeAutospacing="0" w:after="0" w:afterAutospacing="0"/>
              <w:textAlignment w:val="top"/>
              <w:rPr>
                <w:rFonts w:asciiTheme="minorHAnsi" w:hAnsiTheme="minorHAnsi" w:cstheme="minorHAnsi"/>
                <w:b/>
                <w:bCs/>
                <w:color w:val="333333"/>
              </w:rPr>
            </w:pPr>
            <w:r w:rsidRPr="00D7240E">
              <w:rPr>
                <w:rFonts w:asciiTheme="minorHAnsi" w:hAnsiTheme="minorHAnsi" w:cstheme="minorHAnsi"/>
                <w:b/>
                <w:bCs/>
                <w:color w:val="333333"/>
              </w:rPr>
              <w:t>2</w:t>
            </w:r>
          </w:p>
        </w:tc>
        <w:tc>
          <w:tcPr>
            <w:tcW w:w="0" w:type="auto"/>
            <w:hideMark/>
          </w:tcPr>
          <w:p w14:paraId="199C513E" w14:textId="77777777" w:rsidR="00FA36F7" w:rsidRPr="00D7240E" w:rsidRDefault="00FA36F7">
            <w:pPr>
              <w:pStyle w:val="simplepara"/>
              <w:spacing w:before="0" w:beforeAutospacing="0" w:after="0" w:afterAutospacing="0"/>
              <w:textAlignment w:val="top"/>
              <w:rPr>
                <w:rFonts w:asciiTheme="minorHAnsi" w:hAnsiTheme="minorHAnsi" w:cstheme="minorHAnsi"/>
                <w:b/>
                <w:bCs/>
                <w:color w:val="333333"/>
              </w:rPr>
            </w:pPr>
            <w:r w:rsidRPr="00D7240E">
              <w:rPr>
                <w:rFonts w:asciiTheme="minorHAnsi" w:hAnsiTheme="minorHAnsi" w:cstheme="minorHAnsi"/>
                <w:b/>
                <w:bCs/>
                <w:color w:val="333333"/>
              </w:rPr>
              <w:t>3</w:t>
            </w:r>
          </w:p>
        </w:tc>
      </w:tr>
      <w:tr w:rsidR="00FA36F7" w:rsidRPr="00D7240E" w14:paraId="32EEA036" w14:textId="77777777" w:rsidTr="00F25900">
        <w:tc>
          <w:tcPr>
            <w:tcW w:w="0" w:type="auto"/>
            <w:hideMark/>
          </w:tcPr>
          <w:p w14:paraId="2C5741DB"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1. Heterosexual intimacy</w:t>
            </w:r>
          </w:p>
        </w:tc>
        <w:tc>
          <w:tcPr>
            <w:tcW w:w="0" w:type="auto"/>
            <w:hideMark/>
          </w:tcPr>
          <w:p w14:paraId="2A864C4C"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w:t>
            </w:r>
          </w:p>
        </w:tc>
        <w:tc>
          <w:tcPr>
            <w:tcW w:w="0" w:type="auto"/>
            <w:hideMark/>
          </w:tcPr>
          <w:p w14:paraId="7D29BC00"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.58**</w:t>
            </w:r>
          </w:p>
        </w:tc>
        <w:tc>
          <w:tcPr>
            <w:tcW w:w="0" w:type="auto"/>
            <w:hideMark/>
          </w:tcPr>
          <w:p w14:paraId="451E3546"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.49**</w:t>
            </w:r>
          </w:p>
        </w:tc>
      </w:tr>
      <w:tr w:rsidR="00FA36F7" w:rsidRPr="00D7240E" w14:paraId="3A4F4CF8" w14:textId="77777777" w:rsidTr="00F25900">
        <w:tc>
          <w:tcPr>
            <w:tcW w:w="0" w:type="auto"/>
            <w:hideMark/>
          </w:tcPr>
          <w:p w14:paraId="07851309"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2. Protective paternalism</w:t>
            </w:r>
          </w:p>
        </w:tc>
        <w:tc>
          <w:tcPr>
            <w:tcW w:w="0" w:type="auto"/>
            <w:hideMark/>
          </w:tcPr>
          <w:p w14:paraId="1737E476"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.73**</w:t>
            </w:r>
          </w:p>
        </w:tc>
        <w:tc>
          <w:tcPr>
            <w:tcW w:w="0" w:type="auto"/>
            <w:hideMark/>
          </w:tcPr>
          <w:p w14:paraId="56445271"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w:t>
            </w:r>
          </w:p>
        </w:tc>
        <w:tc>
          <w:tcPr>
            <w:tcW w:w="0" w:type="auto"/>
            <w:hideMark/>
          </w:tcPr>
          <w:p w14:paraId="161B8F25"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.61**</w:t>
            </w:r>
          </w:p>
        </w:tc>
      </w:tr>
      <w:tr w:rsidR="00FA36F7" w:rsidRPr="00D7240E" w14:paraId="3246F8A9" w14:textId="77777777" w:rsidTr="00F25900">
        <w:tc>
          <w:tcPr>
            <w:tcW w:w="0" w:type="auto"/>
            <w:hideMark/>
          </w:tcPr>
          <w:p w14:paraId="0F48875C"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3. Complementary gender differences</w:t>
            </w:r>
          </w:p>
        </w:tc>
        <w:tc>
          <w:tcPr>
            <w:tcW w:w="0" w:type="auto"/>
            <w:hideMark/>
          </w:tcPr>
          <w:p w14:paraId="6C7D8FEA"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.72**</w:t>
            </w:r>
          </w:p>
        </w:tc>
        <w:tc>
          <w:tcPr>
            <w:tcW w:w="0" w:type="auto"/>
            <w:hideMark/>
          </w:tcPr>
          <w:p w14:paraId="2806E664"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.66**</w:t>
            </w:r>
          </w:p>
        </w:tc>
        <w:tc>
          <w:tcPr>
            <w:tcW w:w="0" w:type="auto"/>
            <w:hideMark/>
          </w:tcPr>
          <w:p w14:paraId="2BC150D6" w14:textId="77777777" w:rsidR="00FA36F7" w:rsidRPr="00D7240E" w:rsidRDefault="00FA36F7">
            <w:pPr>
              <w:pStyle w:val="simplepara"/>
              <w:spacing w:before="0" w:beforeAutospacing="0" w:after="0" w:afterAutospacing="0"/>
              <w:rPr>
                <w:rFonts w:asciiTheme="minorHAnsi" w:hAnsiTheme="minorHAnsi" w:cstheme="minorHAnsi"/>
                <w:color w:val="666666"/>
              </w:rPr>
            </w:pPr>
            <w:r w:rsidRPr="00D7240E">
              <w:rPr>
                <w:rFonts w:asciiTheme="minorHAnsi" w:hAnsiTheme="minorHAnsi" w:cstheme="minorHAnsi"/>
                <w:color w:val="666666"/>
              </w:rPr>
              <w:t>–</w:t>
            </w:r>
          </w:p>
        </w:tc>
      </w:tr>
    </w:tbl>
    <w:p w14:paraId="67BE39D8" w14:textId="77777777" w:rsidR="00FA36F7" w:rsidRPr="00D7240E" w:rsidRDefault="00FA36F7" w:rsidP="00F25900">
      <w:pPr>
        <w:pStyle w:val="NoSpacing"/>
      </w:pPr>
      <w:r w:rsidRPr="00D7240E">
        <w:t>Results for Study 1 are reported above the diagonal; for Study 2, below</w:t>
      </w:r>
    </w:p>
    <w:p w14:paraId="07BDF421" w14:textId="3F87E8D6" w:rsidR="00FA36F7" w:rsidRDefault="00FA36F7" w:rsidP="00F25900">
      <w:pPr>
        <w:pStyle w:val="NoSpacing"/>
      </w:pPr>
      <w:r w:rsidRPr="00D7240E">
        <w:t>*</w:t>
      </w:r>
      <w:r w:rsidRPr="00D7240E">
        <w:rPr>
          <w:rStyle w:val="Emphasis"/>
          <w:rFonts w:cstheme="minorHAnsi"/>
          <w:color w:val="333333"/>
          <w:spacing w:val="1"/>
        </w:rPr>
        <w:t>p</w:t>
      </w:r>
      <w:r w:rsidRPr="00D7240E">
        <w:t> &lt; .05. **</w:t>
      </w:r>
      <w:r w:rsidRPr="00D7240E">
        <w:rPr>
          <w:rStyle w:val="Emphasis"/>
          <w:rFonts w:cstheme="minorHAnsi"/>
          <w:color w:val="333333"/>
          <w:spacing w:val="1"/>
        </w:rPr>
        <w:t>p</w:t>
      </w:r>
      <w:r w:rsidRPr="00D7240E">
        <w:t> &lt; .01</w:t>
      </w:r>
    </w:p>
    <w:p w14:paraId="5BFC2F3D" w14:textId="77777777" w:rsidR="00F25900" w:rsidRPr="00D7240E" w:rsidRDefault="00F25900" w:rsidP="00C9755E">
      <w:pPr>
        <w:rPr>
          <w:rFonts w:cstheme="minorHAnsi"/>
        </w:rPr>
      </w:pPr>
    </w:p>
    <w:p w14:paraId="1D4B559B" w14:textId="77777777" w:rsidR="00FA36F7" w:rsidRPr="00D7240E" w:rsidRDefault="00FA36F7" w:rsidP="00F25900">
      <w:pPr>
        <w:pStyle w:val="Heading2"/>
      </w:pPr>
      <w:r w:rsidRPr="00D7240E">
        <w:t>Experiences with Benevolent Sexism</w:t>
      </w:r>
    </w:p>
    <w:p w14:paraId="6E1FD6F3" w14:textId="77777777" w:rsidR="00FA36F7" w:rsidRPr="00D7240E" w:rsidRDefault="00FA36F7" w:rsidP="00C9755E">
      <w:pPr>
        <w:rPr>
          <w:rFonts w:cstheme="minorHAnsi"/>
          <w:spacing w:val="2"/>
        </w:rPr>
      </w:pPr>
      <w:r w:rsidRPr="00D7240E">
        <w:rPr>
          <w:rFonts w:cstheme="minorHAnsi"/>
          <w:spacing w:val="2"/>
        </w:rPr>
        <w:t>Three repeated measures ANOVAs with Bonferroni-corrected post hoc tests were computed for young women’s benevolently sexist experiences in the lifetime, perception of distress, and ratings of sexism (see Table </w:t>
      </w:r>
      <w:hyperlink r:id="rId96" w:anchor="Tab3" w:history="1">
        <w:r w:rsidRPr="00D7240E">
          <w:rPr>
            <w:rStyle w:val="Hyperlink"/>
            <w:rFonts w:cstheme="minorHAnsi"/>
            <w:color w:val="4500A7"/>
            <w:spacing w:val="2"/>
          </w:rPr>
          <w:t>3</w:t>
        </w:r>
      </w:hyperlink>
      <w:r w:rsidRPr="00D7240E">
        <w:rPr>
          <w:rFonts w:cstheme="minorHAnsi"/>
          <w:spacing w:val="2"/>
        </w:rPr>
        <w:t>a). For frequency of experiences in the lifetime, women reported experiencing Complementary Gender Differentiation most frequently followed by Protective Paternalism, and Heterosexual Intimacy was experienced least frequently, </w:t>
      </w:r>
      <w:r w:rsidRPr="00D7240E">
        <w:rPr>
          <w:rStyle w:val="Emphasis"/>
          <w:rFonts w:cstheme="minorHAnsi"/>
          <w:color w:val="333333"/>
          <w:spacing w:val="2"/>
        </w:rPr>
        <w:t>F</w:t>
      </w:r>
      <w:r w:rsidRPr="00D7240E">
        <w:rPr>
          <w:rFonts w:cstheme="minorHAnsi"/>
          <w:spacing w:val="2"/>
        </w:rPr>
        <w:t>(2, 976) = 107.57, </w:t>
      </w:r>
      <w:r w:rsidRPr="00D7240E">
        <w:rPr>
          <w:rStyle w:val="Emphasis"/>
          <w:rFonts w:cstheme="minorHAnsi"/>
          <w:color w:val="333333"/>
          <w:spacing w:val="2"/>
        </w:rPr>
        <w:t>p</w:t>
      </w:r>
      <w:r w:rsidRPr="00D7240E">
        <w:rPr>
          <w:rFonts w:cstheme="minorHAnsi"/>
          <w:spacing w:val="2"/>
        </w:rPr>
        <w:t> &lt; .01, ɳp</w:t>
      </w:r>
      <w:r w:rsidRPr="00D7240E">
        <w:rPr>
          <w:rFonts w:cstheme="minorHAnsi"/>
          <w:spacing w:val="2"/>
          <w:vertAlign w:val="superscript"/>
        </w:rPr>
        <w:t>2</w:t>
      </w:r>
      <w:r w:rsidRPr="00D7240E">
        <w:rPr>
          <w:rFonts w:cstheme="minorHAnsi"/>
          <w:spacing w:val="2"/>
        </w:rPr>
        <w:t> = .18. Regarding distress, women reported feeling the most distress from Protective Paternalism, followed by Heterosexual Intimacy, and the least distress from Complementary Gender Differentiation experiences, </w:t>
      </w:r>
      <w:r w:rsidRPr="00D7240E">
        <w:rPr>
          <w:rStyle w:val="Emphasis"/>
          <w:rFonts w:cstheme="minorHAnsi"/>
          <w:color w:val="333333"/>
          <w:spacing w:val="2"/>
        </w:rPr>
        <w:t>F</w:t>
      </w:r>
      <w:r w:rsidRPr="00D7240E">
        <w:rPr>
          <w:rFonts w:cstheme="minorHAnsi"/>
          <w:spacing w:val="2"/>
        </w:rPr>
        <w:t>(2, 976) = 60.29, </w:t>
      </w:r>
      <w:r w:rsidRPr="00D7240E">
        <w:rPr>
          <w:rStyle w:val="Emphasis"/>
          <w:rFonts w:cstheme="minorHAnsi"/>
          <w:color w:val="333333"/>
          <w:spacing w:val="2"/>
        </w:rPr>
        <w:t>p</w:t>
      </w:r>
      <w:r w:rsidRPr="00D7240E">
        <w:rPr>
          <w:rFonts w:cstheme="minorHAnsi"/>
          <w:spacing w:val="2"/>
        </w:rPr>
        <w:t> &lt; .001, ɳp</w:t>
      </w:r>
      <w:r w:rsidRPr="00D7240E">
        <w:rPr>
          <w:rFonts w:cstheme="minorHAnsi"/>
          <w:spacing w:val="2"/>
          <w:vertAlign w:val="superscript"/>
        </w:rPr>
        <w:t>2</w:t>
      </w:r>
      <w:r w:rsidRPr="00D7240E">
        <w:rPr>
          <w:rFonts w:cstheme="minorHAnsi"/>
          <w:spacing w:val="2"/>
        </w:rPr>
        <w:t> = .25. Finally, for ratings of perceived sexism, women rated Protective Paternalism as the most sexist followed by Complementary Gender Differentiation and Heterosexual Intimacy experiences, </w:t>
      </w:r>
      <w:r w:rsidRPr="00D7240E">
        <w:rPr>
          <w:rStyle w:val="Emphasis"/>
          <w:rFonts w:cstheme="minorHAnsi"/>
          <w:color w:val="333333"/>
          <w:spacing w:val="2"/>
        </w:rPr>
        <w:t>F</w:t>
      </w:r>
      <w:r w:rsidRPr="00D7240E">
        <w:rPr>
          <w:rFonts w:cstheme="minorHAnsi"/>
          <w:spacing w:val="2"/>
        </w:rPr>
        <w:t>(2, 976) = 51.75, </w:t>
      </w:r>
      <w:r w:rsidRPr="00D7240E">
        <w:rPr>
          <w:rStyle w:val="Emphasis"/>
          <w:rFonts w:cstheme="minorHAnsi"/>
          <w:color w:val="333333"/>
          <w:spacing w:val="2"/>
        </w:rPr>
        <w:t>p</w:t>
      </w:r>
      <w:r w:rsidRPr="00D7240E">
        <w:rPr>
          <w:rFonts w:cstheme="minorHAnsi"/>
          <w:spacing w:val="2"/>
        </w:rPr>
        <w:t> &lt; .01, ɳp</w:t>
      </w:r>
      <w:r w:rsidRPr="00D7240E">
        <w:rPr>
          <w:rFonts w:cstheme="minorHAnsi"/>
          <w:spacing w:val="2"/>
          <w:vertAlign w:val="superscript"/>
        </w:rPr>
        <w:t>2</w:t>
      </w:r>
      <w:r w:rsidRPr="00D7240E">
        <w:rPr>
          <w:rFonts w:cstheme="minorHAnsi"/>
          <w:spacing w:val="2"/>
        </w:rPr>
        <w:t> = .10.</w:t>
      </w:r>
    </w:p>
    <w:p w14:paraId="716A63D8" w14:textId="36E3C403" w:rsidR="00FA36F7" w:rsidRPr="00D7240E" w:rsidRDefault="00FA36F7" w:rsidP="00F25900">
      <w:pPr>
        <w:pStyle w:val="Heading3"/>
        <w:rPr>
          <w:rFonts w:asciiTheme="minorHAnsi" w:hAnsiTheme="minorHAnsi" w:cstheme="minorHAnsi"/>
          <w:lang w:val="en"/>
        </w:rPr>
      </w:pPr>
      <w:r w:rsidRPr="00D7240E">
        <w:rPr>
          <w:rStyle w:val="captionnumber"/>
          <w:rFonts w:asciiTheme="minorHAnsi" w:hAnsiTheme="minorHAnsi" w:cstheme="minorHAnsi"/>
        </w:rPr>
        <w:t>Table 3</w:t>
      </w:r>
      <w:r w:rsidR="00F25900">
        <w:rPr>
          <w:rStyle w:val="captionnumber"/>
          <w:rFonts w:asciiTheme="minorHAnsi" w:hAnsiTheme="minorHAnsi" w:cstheme="minorHAnsi"/>
        </w:rPr>
        <w:t xml:space="preserve"> </w:t>
      </w:r>
      <w:r w:rsidRPr="00D7240E">
        <w:rPr>
          <w:rFonts w:asciiTheme="minorHAnsi" w:hAnsiTheme="minorHAnsi" w:cstheme="minorHAnsi"/>
          <w:lang w:val="en"/>
        </w:rPr>
        <w:t>Mean differences between benevolent sexism subscales for lifetime frequency, ratings of distress, and ratings of sexism</w:t>
      </w:r>
    </w:p>
    <w:tbl>
      <w:tblPr>
        <w:tblStyle w:val="TableGrid"/>
        <w:tblW w:w="5000" w:type="pct"/>
        <w:tblLook w:val="04A0" w:firstRow="1" w:lastRow="0" w:firstColumn="1" w:lastColumn="0" w:noHBand="0" w:noVBand="1"/>
      </w:tblPr>
      <w:tblGrid>
        <w:gridCol w:w="1240"/>
        <w:gridCol w:w="3994"/>
        <w:gridCol w:w="2401"/>
        <w:gridCol w:w="2435"/>
      </w:tblGrid>
      <w:tr w:rsidR="00FA36F7" w:rsidRPr="00D7240E" w14:paraId="0D87AED4" w14:textId="77777777" w:rsidTr="00F25900">
        <w:tc>
          <w:tcPr>
            <w:tcW w:w="616" w:type="pct"/>
            <w:hideMark/>
          </w:tcPr>
          <w:p w14:paraId="19855380" w14:textId="77777777" w:rsidR="00FA36F7" w:rsidRPr="00D7240E" w:rsidRDefault="00FA36F7" w:rsidP="00F25900">
            <w:pPr>
              <w:pStyle w:val="NoSpacing"/>
              <w:rPr>
                <w:sz w:val="24"/>
                <w:szCs w:val="24"/>
              </w:rPr>
            </w:pPr>
            <w:r w:rsidRPr="00D7240E">
              <w:t> </w:t>
            </w:r>
          </w:p>
        </w:tc>
        <w:tc>
          <w:tcPr>
            <w:tcW w:w="1983" w:type="pct"/>
            <w:hideMark/>
          </w:tcPr>
          <w:p w14:paraId="2AE11D0F" w14:textId="77777777" w:rsidR="00FA36F7" w:rsidRPr="00D7240E" w:rsidRDefault="00FA36F7" w:rsidP="00F25900">
            <w:pPr>
              <w:pStyle w:val="NoSpacing"/>
            </w:pPr>
            <w:r w:rsidRPr="00D7240E">
              <w:t>Complementary gender differentiation</w:t>
            </w:r>
          </w:p>
        </w:tc>
        <w:tc>
          <w:tcPr>
            <w:tcW w:w="1192" w:type="pct"/>
            <w:hideMark/>
          </w:tcPr>
          <w:p w14:paraId="19248DD6" w14:textId="77777777" w:rsidR="00FA36F7" w:rsidRPr="00D7240E" w:rsidRDefault="00FA36F7" w:rsidP="00F25900">
            <w:pPr>
              <w:pStyle w:val="NoSpacing"/>
            </w:pPr>
            <w:r w:rsidRPr="00D7240E">
              <w:t>Heterosexual intimacy</w:t>
            </w:r>
          </w:p>
        </w:tc>
        <w:tc>
          <w:tcPr>
            <w:tcW w:w="1209" w:type="pct"/>
            <w:hideMark/>
          </w:tcPr>
          <w:p w14:paraId="2A6205DD" w14:textId="77777777" w:rsidR="00FA36F7" w:rsidRPr="00D7240E" w:rsidRDefault="00FA36F7" w:rsidP="00F25900">
            <w:pPr>
              <w:pStyle w:val="NoSpacing"/>
            </w:pPr>
            <w:r w:rsidRPr="00D7240E">
              <w:t>Protective paternalism</w:t>
            </w:r>
          </w:p>
        </w:tc>
      </w:tr>
      <w:tr w:rsidR="00F25900" w:rsidRPr="00D7240E" w14:paraId="744F24FA" w14:textId="77777777" w:rsidTr="00F25900">
        <w:tc>
          <w:tcPr>
            <w:tcW w:w="616" w:type="pct"/>
          </w:tcPr>
          <w:p w14:paraId="6053B874" w14:textId="7C7B8602" w:rsidR="00F25900" w:rsidRPr="00D7240E" w:rsidRDefault="00F25900" w:rsidP="00F25900">
            <w:pPr>
              <w:pStyle w:val="NoSpacing"/>
              <w:rPr>
                <w:color w:val="666666"/>
              </w:rPr>
            </w:pPr>
            <w:r w:rsidRPr="00F25900">
              <w:rPr>
                <w:color w:val="666666"/>
              </w:rPr>
              <w:t>(a) Study 1</w:t>
            </w:r>
          </w:p>
        </w:tc>
        <w:tc>
          <w:tcPr>
            <w:tcW w:w="1983" w:type="pct"/>
          </w:tcPr>
          <w:p w14:paraId="06D83687" w14:textId="77777777" w:rsidR="00F25900" w:rsidRPr="00D7240E" w:rsidRDefault="00F25900" w:rsidP="00F25900">
            <w:pPr>
              <w:pStyle w:val="NoSpacing"/>
              <w:rPr>
                <w:color w:val="666666"/>
              </w:rPr>
            </w:pPr>
          </w:p>
        </w:tc>
        <w:tc>
          <w:tcPr>
            <w:tcW w:w="1192" w:type="pct"/>
          </w:tcPr>
          <w:p w14:paraId="2FB07A3D" w14:textId="77777777" w:rsidR="00F25900" w:rsidRPr="00D7240E" w:rsidRDefault="00F25900" w:rsidP="00F25900">
            <w:pPr>
              <w:pStyle w:val="NoSpacing"/>
              <w:rPr>
                <w:color w:val="666666"/>
              </w:rPr>
            </w:pPr>
          </w:p>
        </w:tc>
        <w:tc>
          <w:tcPr>
            <w:tcW w:w="1209" w:type="pct"/>
          </w:tcPr>
          <w:p w14:paraId="204E3B8C" w14:textId="77777777" w:rsidR="00F25900" w:rsidRPr="00D7240E" w:rsidRDefault="00F25900" w:rsidP="00F25900">
            <w:pPr>
              <w:pStyle w:val="NoSpacing"/>
              <w:rPr>
                <w:color w:val="666666"/>
              </w:rPr>
            </w:pPr>
          </w:p>
        </w:tc>
      </w:tr>
      <w:tr w:rsidR="00FA36F7" w:rsidRPr="00D7240E" w14:paraId="22A954E5" w14:textId="77777777" w:rsidTr="00F25900">
        <w:tc>
          <w:tcPr>
            <w:tcW w:w="616" w:type="pct"/>
            <w:hideMark/>
          </w:tcPr>
          <w:p w14:paraId="6EB3320D" w14:textId="77777777" w:rsidR="00FA36F7" w:rsidRPr="00D7240E" w:rsidRDefault="00FA36F7" w:rsidP="00F25900">
            <w:pPr>
              <w:pStyle w:val="NoSpacing"/>
              <w:rPr>
                <w:color w:val="666666"/>
              </w:rPr>
            </w:pPr>
            <w:r w:rsidRPr="00D7240E">
              <w:rPr>
                <w:color w:val="666666"/>
              </w:rPr>
              <w:t> </w:t>
            </w:r>
            <w:r w:rsidRPr="00D7240E">
              <w:rPr>
                <w:color w:val="666666"/>
              </w:rPr>
              <w:t>Lifetime</w:t>
            </w:r>
          </w:p>
        </w:tc>
        <w:tc>
          <w:tcPr>
            <w:tcW w:w="1983" w:type="pct"/>
            <w:hideMark/>
          </w:tcPr>
          <w:p w14:paraId="6B94174E" w14:textId="77777777" w:rsidR="00FA36F7" w:rsidRPr="00D7240E" w:rsidRDefault="00FA36F7" w:rsidP="00F25900">
            <w:pPr>
              <w:pStyle w:val="NoSpacing"/>
              <w:rPr>
                <w:color w:val="666666"/>
              </w:rPr>
            </w:pPr>
            <w:r w:rsidRPr="00D7240E">
              <w:rPr>
                <w:color w:val="666666"/>
              </w:rPr>
              <w:t>3.59 (.</w:t>
            </w:r>
            <w:proofErr w:type="gramStart"/>
            <w:r w:rsidRPr="00D7240E">
              <w:rPr>
                <w:color w:val="666666"/>
              </w:rPr>
              <w:t>97)</w:t>
            </w:r>
            <w:r w:rsidRPr="00D7240E">
              <w:rPr>
                <w:color w:val="666666"/>
                <w:sz w:val="18"/>
                <w:szCs w:val="18"/>
                <w:vertAlign w:val="subscript"/>
              </w:rPr>
              <w:t>a</w:t>
            </w:r>
            <w:proofErr w:type="gramEnd"/>
          </w:p>
        </w:tc>
        <w:tc>
          <w:tcPr>
            <w:tcW w:w="1192" w:type="pct"/>
            <w:hideMark/>
          </w:tcPr>
          <w:p w14:paraId="2B4EEB78" w14:textId="77777777" w:rsidR="00FA36F7" w:rsidRPr="00D7240E" w:rsidRDefault="00FA36F7" w:rsidP="00F25900">
            <w:pPr>
              <w:pStyle w:val="NoSpacing"/>
              <w:rPr>
                <w:color w:val="666666"/>
              </w:rPr>
            </w:pPr>
            <w:r w:rsidRPr="00D7240E">
              <w:rPr>
                <w:color w:val="666666"/>
              </w:rPr>
              <w:t>2.99 (.</w:t>
            </w:r>
            <w:proofErr w:type="gramStart"/>
            <w:r w:rsidRPr="00D7240E">
              <w:rPr>
                <w:color w:val="666666"/>
              </w:rPr>
              <w:t>97)</w:t>
            </w:r>
            <w:r w:rsidRPr="00D7240E">
              <w:rPr>
                <w:color w:val="666666"/>
                <w:sz w:val="18"/>
                <w:szCs w:val="18"/>
                <w:vertAlign w:val="subscript"/>
              </w:rPr>
              <w:t>b</w:t>
            </w:r>
            <w:proofErr w:type="gramEnd"/>
          </w:p>
        </w:tc>
        <w:tc>
          <w:tcPr>
            <w:tcW w:w="1209" w:type="pct"/>
            <w:hideMark/>
          </w:tcPr>
          <w:p w14:paraId="0DAC363C" w14:textId="77777777" w:rsidR="00FA36F7" w:rsidRPr="00D7240E" w:rsidRDefault="00FA36F7" w:rsidP="00F25900">
            <w:pPr>
              <w:pStyle w:val="NoSpacing"/>
              <w:rPr>
                <w:color w:val="666666"/>
              </w:rPr>
            </w:pPr>
            <w:r w:rsidRPr="00D7240E">
              <w:rPr>
                <w:color w:val="666666"/>
              </w:rPr>
              <w:t>3.30 (.</w:t>
            </w:r>
            <w:proofErr w:type="gramStart"/>
            <w:r w:rsidRPr="00D7240E">
              <w:rPr>
                <w:color w:val="666666"/>
              </w:rPr>
              <w:t>97)</w:t>
            </w:r>
            <w:r w:rsidRPr="00D7240E">
              <w:rPr>
                <w:color w:val="666666"/>
                <w:sz w:val="18"/>
                <w:szCs w:val="18"/>
                <w:vertAlign w:val="subscript"/>
              </w:rPr>
              <w:t>c</w:t>
            </w:r>
            <w:proofErr w:type="gramEnd"/>
          </w:p>
        </w:tc>
      </w:tr>
      <w:tr w:rsidR="00FA36F7" w:rsidRPr="00D7240E" w14:paraId="27DB5ACB" w14:textId="77777777" w:rsidTr="00F25900">
        <w:tc>
          <w:tcPr>
            <w:tcW w:w="616" w:type="pct"/>
            <w:hideMark/>
          </w:tcPr>
          <w:p w14:paraId="552A9867" w14:textId="77777777" w:rsidR="00FA36F7" w:rsidRPr="00D7240E" w:rsidRDefault="00FA36F7" w:rsidP="00F25900">
            <w:pPr>
              <w:pStyle w:val="NoSpacing"/>
              <w:rPr>
                <w:color w:val="666666"/>
              </w:rPr>
            </w:pPr>
            <w:r w:rsidRPr="00D7240E">
              <w:rPr>
                <w:color w:val="666666"/>
              </w:rPr>
              <w:t> </w:t>
            </w:r>
            <w:r w:rsidRPr="00D7240E">
              <w:rPr>
                <w:color w:val="666666"/>
              </w:rPr>
              <w:t>Distress</w:t>
            </w:r>
          </w:p>
        </w:tc>
        <w:tc>
          <w:tcPr>
            <w:tcW w:w="1983" w:type="pct"/>
            <w:hideMark/>
          </w:tcPr>
          <w:p w14:paraId="5E257EA2" w14:textId="77777777" w:rsidR="00FA36F7" w:rsidRPr="00D7240E" w:rsidRDefault="00FA36F7" w:rsidP="00F25900">
            <w:pPr>
              <w:pStyle w:val="NoSpacing"/>
              <w:rPr>
                <w:color w:val="666666"/>
              </w:rPr>
            </w:pPr>
            <w:r w:rsidRPr="00D7240E">
              <w:rPr>
                <w:color w:val="666666"/>
              </w:rPr>
              <w:t>2.81 (.</w:t>
            </w:r>
            <w:proofErr w:type="gramStart"/>
            <w:r w:rsidRPr="00D7240E">
              <w:rPr>
                <w:color w:val="666666"/>
              </w:rPr>
              <w:t>77)</w:t>
            </w:r>
            <w:r w:rsidRPr="00D7240E">
              <w:rPr>
                <w:color w:val="666666"/>
                <w:sz w:val="18"/>
                <w:szCs w:val="18"/>
                <w:vertAlign w:val="subscript"/>
              </w:rPr>
              <w:t>a</w:t>
            </w:r>
            <w:proofErr w:type="gramEnd"/>
          </w:p>
        </w:tc>
        <w:tc>
          <w:tcPr>
            <w:tcW w:w="1192" w:type="pct"/>
            <w:hideMark/>
          </w:tcPr>
          <w:p w14:paraId="5F77F72C" w14:textId="77777777" w:rsidR="00FA36F7" w:rsidRPr="00D7240E" w:rsidRDefault="00FA36F7" w:rsidP="00F25900">
            <w:pPr>
              <w:pStyle w:val="NoSpacing"/>
              <w:rPr>
                <w:color w:val="666666"/>
              </w:rPr>
            </w:pPr>
            <w:r w:rsidRPr="00D7240E">
              <w:rPr>
                <w:color w:val="666666"/>
              </w:rPr>
              <w:t>3.02 (.</w:t>
            </w:r>
            <w:proofErr w:type="gramStart"/>
            <w:r w:rsidRPr="00D7240E">
              <w:rPr>
                <w:color w:val="666666"/>
              </w:rPr>
              <w:t>97)</w:t>
            </w:r>
            <w:r w:rsidRPr="00D7240E">
              <w:rPr>
                <w:color w:val="666666"/>
                <w:sz w:val="18"/>
                <w:szCs w:val="18"/>
                <w:vertAlign w:val="subscript"/>
              </w:rPr>
              <w:t>b</w:t>
            </w:r>
            <w:proofErr w:type="gramEnd"/>
          </w:p>
        </w:tc>
        <w:tc>
          <w:tcPr>
            <w:tcW w:w="1209" w:type="pct"/>
            <w:hideMark/>
          </w:tcPr>
          <w:p w14:paraId="18524986" w14:textId="77777777" w:rsidR="00FA36F7" w:rsidRPr="00D7240E" w:rsidRDefault="00FA36F7" w:rsidP="00F25900">
            <w:pPr>
              <w:pStyle w:val="NoSpacing"/>
              <w:rPr>
                <w:color w:val="666666"/>
              </w:rPr>
            </w:pPr>
            <w:r w:rsidRPr="00D7240E">
              <w:rPr>
                <w:color w:val="666666"/>
              </w:rPr>
              <w:t>3.26 (.</w:t>
            </w:r>
            <w:proofErr w:type="gramStart"/>
            <w:r w:rsidRPr="00D7240E">
              <w:rPr>
                <w:color w:val="666666"/>
              </w:rPr>
              <w:t>80)</w:t>
            </w:r>
            <w:r w:rsidRPr="00D7240E">
              <w:rPr>
                <w:color w:val="666666"/>
                <w:sz w:val="18"/>
                <w:szCs w:val="18"/>
                <w:vertAlign w:val="subscript"/>
              </w:rPr>
              <w:t>c</w:t>
            </w:r>
            <w:proofErr w:type="gramEnd"/>
          </w:p>
        </w:tc>
      </w:tr>
      <w:tr w:rsidR="00FA36F7" w:rsidRPr="00D7240E" w14:paraId="61EF5402" w14:textId="77777777" w:rsidTr="00F25900">
        <w:tc>
          <w:tcPr>
            <w:tcW w:w="616" w:type="pct"/>
            <w:hideMark/>
          </w:tcPr>
          <w:p w14:paraId="2536F1AB" w14:textId="77777777" w:rsidR="00FA36F7" w:rsidRPr="00D7240E" w:rsidRDefault="00FA36F7" w:rsidP="00F25900">
            <w:pPr>
              <w:pStyle w:val="NoSpacing"/>
              <w:rPr>
                <w:color w:val="666666"/>
              </w:rPr>
            </w:pPr>
            <w:r w:rsidRPr="00D7240E">
              <w:rPr>
                <w:color w:val="666666"/>
              </w:rPr>
              <w:t> </w:t>
            </w:r>
            <w:r w:rsidRPr="00D7240E">
              <w:rPr>
                <w:color w:val="666666"/>
              </w:rPr>
              <w:t>Sexism</w:t>
            </w:r>
          </w:p>
        </w:tc>
        <w:tc>
          <w:tcPr>
            <w:tcW w:w="1983" w:type="pct"/>
            <w:hideMark/>
          </w:tcPr>
          <w:p w14:paraId="47E1F161" w14:textId="77777777" w:rsidR="00FA36F7" w:rsidRPr="00D7240E" w:rsidRDefault="00FA36F7" w:rsidP="00F25900">
            <w:pPr>
              <w:pStyle w:val="NoSpacing"/>
              <w:rPr>
                <w:color w:val="666666"/>
              </w:rPr>
            </w:pPr>
            <w:r w:rsidRPr="00D7240E">
              <w:rPr>
                <w:color w:val="666666"/>
              </w:rPr>
              <w:t>3.30 (.</w:t>
            </w:r>
            <w:proofErr w:type="gramStart"/>
            <w:r w:rsidRPr="00D7240E">
              <w:rPr>
                <w:color w:val="666666"/>
              </w:rPr>
              <w:t>81)</w:t>
            </w:r>
            <w:r w:rsidRPr="00D7240E">
              <w:rPr>
                <w:color w:val="666666"/>
                <w:sz w:val="18"/>
                <w:szCs w:val="18"/>
                <w:vertAlign w:val="subscript"/>
              </w:rPr>
              <w:t>a</w:t>
            </w:r>
            <w:proofErr w:type="gramEnd"/>
          </w:p>
        </w:tc>
        <w:tc>
          <w:tcPr>
            <w:tcW w:w="1192" w:type="pct"/>
            <w:hideMark/>
          </w:tcPr>
          <w:p w14:paraId="41F60249" w14:textId="77777777" w:rsidR="00FA36F7" w:rsidRPr="00D7240E" w:rsidRDefault="00FA36F7" w:rsidP="00F25900">
            <w:pPr>
              <w:pStyle w:val="NoSpacing"/>
              <w:rPr>
                <w:color w:val="666666"/>
              </w:rPr>
            </w:pPr>
            <w:r w:rsidRPr="00D7240E">
              <w:rPr>
                <w:color w:val="666666"/>
              </w:rPr>
              <w:t>3.03 (.</w:t>
            </w:r>
            <w:proofErr w:type="gramStart"/>
            <w:r w:rsidRPr="00D7240E">
              <w:rPr>
                <w:color w:val="666666"/>
              </w:rPr>
              <w:t>99)</w:t>
            </w:r>
            <w:r w:rsidRPr="00D7240E">
              <w:rPr>
                <w:color w:val="666666"/>
                <w:sz w:val="18"/>
                <w:szCs w:val="18"/>
                <w:vertAlign w:val="subscript"/>
              </w:rPr>
              <w:t>b</w:t>
            </w:r>
            <w:proofErr w:type="gramEnd"/>
          </w:p>
        </w:tc>
        <w:tc>
          <w:tcPr>
            <w:tcW w:w="1209" w:type="pct"/>
            <w:hideMark/>
          </w:tcPr>
          <w:p w14:paraId="15C28184" w14:textId="77777777" w:rsidR="00FA36F7" w:rsidRPr="00D7240E" w:rsidRDefault="00FA36F7" w:rsidP="00F25900">
            <w:pPr>
              <w:pStyle w:val="NoSpacing"/>
              <w:rPr>
                <w:color w:val="666666"/>
              </w:rPr>
            </w:pPr>
            <w:r w:rsidRPr="00D7240E">
              <w:rPr>
                <w:color w:val="666666"/>
              </w:rPr>
              <w:t>3.41 (.</w:t>
            </w:r>
            <w:proofErr w:type="gramStart"/>
            <w:r w:rsidRPr="00D7240E">
              <w:rPr>
                <w:color w:val="666666"/>
              </w:rPr>
              <w:t>87)</w:t>
            </w:r>
            <w:r w:rsidRPr="00D7240E">
              <w:rPr>
                <w:color w:val="666666"/>
                <w:sz w:val="18"/>
                <w:szCs w:val="18"/>
                <w:vertAlign w:val="subscript"/>
              </w:rPr>
              <w:t>c</w:t>
            </w:r>
            <w:proofErr w:type="gramEnd"/>
          </w:p>
        </w:tc>
      </w:tr>
      <w:tr w:rsidR="00F25900" w:rsidRPr="00D7240E" w14:paraId="23D27B3B" w14:textId="77777777" w:rsidTr="00F25900">
        <w:tc>
          <w:tcPr>
            <w:tcW w:w="616" w:type="pct"/>
          </w:tcPr>
          <w:p w14:paraId="2961108F" w14:textId="2B928A1C" w:rsidR="00F25900" w:rsidRPr="00D7240E" w:rsidRDefault="00F25900" w:rsidP="00F25900">
            <w:pPr>
              <w:pStyle w:val="NoSpacing"/>
              <w:rPr>
                <w:color w:val="666666"/>
              </w:rPr>
            </w:pPr>
            <w:r w:rsidRPr="00F25900">
              <w:rPr>
                <w:color w:val="666666"/>
              </w:rPr>
              <w:t>(b) Study 2</w:t>
            </w:r>
          </w:p>
        </w:tc>
        <w:tc>
          <w:tcPr>
            <w:tcW w:w="1983" w:type="pct"/>
          </w:tcPr>
          <w:p w14:paraId="0BC50F2D" w14:textId="77777777" w:rsidR="00F25900" w:rsidRPr="00D7240E" w:rsidRDefault="00F25900" w:rsidP="00F25900">
            <w:pPr>
              <w:pStyle w:val="NoSpacing"/>
              <w:rPr>
                <w:color w:val="666666"/>
              </w:rPr>
            </w:pPr>
          </w:p>
        </w:tc>
        <w:tc>
          <w:tcPr>
            <w:tcW w:w="1192" w:type="pct"/>
          </w:tcPr>
          <w:p w14:paraId="21E3E0EE" w14:textId="77777777" w:rsidR="00F25900" w:rsidRPr="00D7240E" w:rsidRDefault="00F25900" w:rsidP="00F25900">
            <w:pPr>
              <w:pStyle w:val="NoSpacing"/>
              <w:rPr>
                <w:color w:val="666666"/>
              </w:rPr>
            </w:pPr>
          </w:p>
        </w:tc>
        <w:tc>
          <w:tcPr>
            <w:tcW w:w="1209" w:type="pct"/>
          </w:tcPr>
          <w:p w14:paraId="3E38CB0D" w14:textId="77777777" w:rsidR="00F25900" w:rsidRPr="00D7240E" w:rsidRDefault="00F25900" w:rsidP="00F25900">
            <w:pPr>
              <w:pStyle w:val="NoSpacing"/>
              <w:rPr>
                <w:color w:val="666666"/>
              </w:rPr>
            </w:pPr>
          </w:p>
        </w:tc>
      </w:tr>
      <w:tr w:rsidR="00FA36F7" w:rsidRPr="00D7240E" w14:paraId="474265D6" w14:textId="77777777" w:rsidTr="00F25900">
        <w:tc>
          <w:tcPr>
            <w:tcW w:w="616" w:type="pct"/>
            <w:hideMark/>
          </w:tcPr>
          <w:p w14:paraId="050369CA" w14:textId="77777777" w:rsidR="00FA36F7" w:rsidRPr="00D7240E" w:rsidRDefault="00FA36F7" w:rsidP="00F25900">
            <w:pPr>
              <w:pStyle w:val="NoSpacing"/>
              <w:rPr>
                <w:color w:val="666666"/>
              </w:rPr>
            </w:pPr>
            <w:r w:rsidRPr="00D7240E">
              <w:rPr>
                <w:color w:val="666666"/>
              </w:rPr>
              <w:t> </w:t>
            </w:r>
            <w:r w:rsidRPr="00D7240E">
              <w:rPr>
                <w:color w:val="666666"/>
              </w:rPr>
              <w:t>Lifetime</w:t>
            </w:r>
          </w:p>
        </w:tc>
        <w:tc>
          <w:tcPr>
            <w:tcW w:w="1983" w:type="pct"/>
            <w:hideMark/>
          </w:tcPr>
          <w:p w14:paraId="6EFE1FBB" w14:textId="77777777" w:rsidR="00FA36F7" w:rsidRPr="00D7240E" w:rsidRDefault="00FA36F7" w:rsidP="00F25900">
            <w:pPr>
              <w:pStyle w:val="NoSpacing"/>
              <w:rPr>
                <w:color w:val="666666"/>
              </w:rPr>
            </w:pPr>
            <w:r w:rsidRPr="00D7240E">
              <w:rPr>
                <w:color w:val="666666"/>
              </w:rPr>
              <w:t>3.06 (</w:t>
            </w:r>
            <w:proofErr w:type="gramStart"/>
            <w:r w:rsidRPr="00D7240E">
              <w:rPr>
                <w:color w:val="666666"/>
              </w:rPr>
              <w:t>1.21)</w:t>
            </w:r>
            <w:r w:rsidRPr="00D7240E">
              <w:rPr>
                <w:color w:val="666666"/>
                <w:sz w:val="18"/>
                <w:szCs w:val="18"/>
                <w:vertAlign w:val="subscript"/>
              </w:rPr>
              <w:t>a</w:t>
            </w:r>
            <w:proofErr w:type="gramEnd"/>
          </w:p>
        </w:tc>
        <w:tc>
          <w:tcPr>
            <w:tcW w:w="1192" w:type="pct"/>
            <w:hideMark/>
          </w:tcPr>
          <w:p w14:paraId="26142F5D" w14:textId="77777777" w:rsidR="00FA36F7" w:rsidRPr="00D7240E" w:rsidRDefault="00FA36F7" w:rsidP="00F25900">
            <w:pPr>
              <w:pStyle w:val="NoSpacing"/>
              <w:rPr>
                <w:color w:val="666666"/>
              </w:rPr>
            </w:pPr>
            <w:r w:rsidRPr="00D7240E">
              <w:rPr>
                <w:color w:val="666666"/>
              </w:rPr>
              <w:t>3.09 (</w:t>
            </w:r>
            <w:proofErr w:type="gramStart"/>
            <w:r w:rsidRPr="00D7240E">
              <w:rPr>
                <w:color w:val="666666"/>
              </w:rPr>
              <w:t>1.06)</w:t>
            </w:r>
            <w:r w:rsidRPr="00D7240E">
              <w:rPr>
                <w:color w:val="666666"/>
                <w:sz w:val="18"/>
                <w:szCs w:val="18"/>
                <w:vertAlign w:val="subscript"/>
              </w:rPr>
              <w:t>a</w:t>
            </w:r>
            <w:proofErr w:type="gramEnd"/>
          </w:p>
        </w:tc>
        <w:tc>
          <w:tcPr>
            <w:tcW w:w="1209" w:type="pct"/>
            <w:hideMark/>
          </w:tcPr>
          <w:p w14:paraId="6F69C1F2" w14:textId="77777777" w:rsidR="00FA36F7" w:rsidRPr="00D7240E" w:rsidRDefault="00FA36F7" w:rsidP="00F25900">
            <w:pPr>
              <w:pStyle w:val="NoSpacing"/>
              <w:rPr>
                <w:color w:val="666666"/>
              </w:rPr>
            </w:pPr>
            <w:r w:rsidRPr="00D7240E">
              <w:rPr>
                <w:color w:val="666666"/>
              </w:rPr>
              <w:t>3.07 (</w:t>
            </w:r>
            <w:proofErr w:type="gramStart"/>
            <w:r w:rsidRPr="00D7240E">
              <w:rPr>
                <w:color w:val="666666"/>
              </w:rPr>
              <w:t>1.16)</w:t>
            </w:r>
            <w:r w:rsidRPr="00D7240E">
              <w:rPr>
                <w:color w:val="666666"/>
                <w:sz w:val="18"/>
                <w:szCs w:val="18"/>
                <w:vertAlign w:val="subscript"/>
              </w:rPr>
              <w:t>a</w:t>
            </w:r>
            <w:proofErr w:type="gramEnd"/>
          </w:p>
        </w:tc>
      </w:tr>
      <w:tr w:rsidR="00FA36F7" w:rsidRPr="00D7240E" w14:paraId="13F4EB7F" w14:textId="77777777" w:rsidTr="00F25900">
        <w:tc>
          <w:tcPr>
            <w:tcW w:w="616" w:type="pct"/>
            <w:hideMark/>
          </w:tcPr>
          <w:p w14:paraId="5949A592" w14:textId="77777777" w:rsidR="00FA36F7" w:rsidRPr="00D7240E" w:rsidRDefault="00FA36F7" w:rsidP="00F25900">
            <w:pPr>
              <w:pStyle w:val="NoSpacing"/>
              <w:rPr>
                <w:color w:val="666666"/>
              </w:rPr>
            </w:pPr>
            <w:r w:rsidRPr="00D7240E">
              <w:rPr>
                <w:color w:val="666666"/>
              </w:rPr>
              <w:t> </w:t>
            </w:r>
            <w:r w:rsidRPr="00D7240E">
              <w:rPr>
                <w:color w:val="666666"/>
              </w:rPr>
              <w:t>Distress</w:t>
            </w:r>
          </w:p>
        </w:tc>
        <w:tc>
          <w:tcPr>
            <w:tcW w:w="1983" w:type="pct"/>
            <w:hideMark/>
          </w:tcPr>
          <w:p w14:paraId="7961C247" w14:textId="77777777" w:rsidR="00FA36F7" w:rsidRPr="00D7240E" w:rsidRDefault="00FA36F7" w:rsidP="00F25900">
            <w:pPr>
              <w:pStyle w:val="NoSpacing"/>
              <w:rPr>
                <w:color w:val="666666"/>
              </w:rPr>
            </w:pPr>
            <w:r w:rsidRPr="00D7240E">
              <w:rPr>
                <w:color w:val="666666"/>
              </w:rPr>
              <w:t>1.86 (</w:t>
            </w:r>
            <w:proofErr w:type="gramStart"/>
            <w:r w:rsidRPr="00D7240E">
              <w:rPr>
                <w:color w:val="666666"/>
              </w:rPr>
              <w:t>1.06)</w:t>
            </w:r>
            <w:r w:rsidRPr="00D7240E">
              <w:rPr>
                <w:color w:val="666666"/>
                <w:sz w:val="18"/>
                <w:szCs w:val="18"/>
                <w:vertAlign w:val="subscript"/>
              </w:rPr>
              <w:t>a</w:t>
            </w:r>
            <w:proofErr w:type="gramEnd"/>
          </w:p>
        </w:tc>
        <w:tc>
          <w:tcPr>
            <w:tcW w:w="1192" w:type="pct"/>
            <w:hideMark/>
          </w:tcPr>
          <w:p w14:paraId="366721BE" w14:textId="77777777" w:rsidR="00FA36F7" w:rsidRPr="00D7240E" w:rsidRDefault="00FA36F7" w:rsidP="00F25900">
            <w:pPr>
              <w:pStyle w:val="NoSpacing"/>
              <w:rPr>
                <w:color w:val="666666"/>
              </w:rPr>
            </w:pPr>
            <w:r w:rsidRPr="00D7240E">
              <w:rPr>
                <w:color w:val="666666"/>
              </w:rPr>
              <w:t>1.87 (.</w:t>
            </w:r>
            <w:proofErr w:type="gramStart"/>
            <w:r w:rsidRPr="00D7240E">
              <w:rPr>
                <w:color w:val="666666"/>
              </w:rPr>
              <w:t>94)</w:t>
            </w:r>
            <w:r w:rsidRPr="00D7240E">
              <w:rPr>
                <w:color w:val="666666"/>
                <w:sz w:val="18"/>
                <w:szCs w:val="18"/>
                <w:vertAlign w:val="subscript"/>
              </w:rPr>
              <w:t>a</w:t>
            </w:r>
            <w:proofErr w:type="gramEnd"/>
          </w:p>
        </w:tc>
        <w:tc>
          <w:tcPr>
            <w:tcW w:w="1209" w:type="pct"/>
            <w:hideMark/>
          </w:tcPr>
          <w:p w14:paraId="2D864AEB" w14:textId="77777777" w:rsidR="00FA36F7" w:rsidRPr="00D7240E" w:rsidRDefault="00FA36F7" w:rsidP="00F25900">
            <w:pPr>
              <w:pStyle w:val="NoSpacing"/>
              <w:rPr>
                <w:color w:val="666666"/>
              </w:rPr>
            </w:pPr>
            <w:r w:rsidRPr="00D7240E">
              <w:rPr>
                <w:color w:val="666666"/>
              </w:rPr>
              <w:t>2.24 (</w:t>
            </w:r>
            <w:proofErr w:type="gramStart"/>
            <w:r w:rsidRPr="00D7240E">
              <w:rPr>
                <w:color w:val="666666"/>
              </w:rPr>
              <w:t>1.12)</w:t>
            </w:r>
            <w:r w:rsidRPr="00D7240E">
              <w:rPr>
                <w:color w:val="666666"/>
                <w:sz w:val="18"/>
                <w:szCs w:val="18"/>
                <w:vertAlign w:val="subscript"/>
              </w:rPr>
              <w:t>b</w:t>
            </w:r>
            <w:proofErr w:type="gramEnd"/>
          </w:p>
        </w:tc>
      </w:tr>
      <w:tr w:rsidR="00FA36F7" w:rsidRPr="00D7240E" w14:paraId="1D4EBA82" w14:textId="77777777" w:rsidTr="00F25900">
        <w:tc>
          <w:tcPr>
            <w:tcW w:w="616" w:type="pct"/>
            <w:hideMark/>
          </w:tcPr>
          <w:p w14:paraId="35FB1D9C" w14:textId="77777777" w:rsidR="00FA36F7" w:rsidRPr="00D7240E" w:rsidRDefault="00FA36F7" w:rsidP="00F25900">
            <w:pPr>
              <w:pStyle w:val="NoSpacing"/>
              <w:rPr>
                <w:color w:val="666666"/>
              </w:rPr>
            </w:pPr>
            <w:r w:rsidRPr="00D7240E">
              <w:rPr>
                <w:color w:val="666666"/>
              </w:rPr>
              <w:t> </w:t>
            </w:r>
            <w:r w:rsidRPr="00D7240E">
              <w:rPr>
                <w:color w:val="666666"/>
              </w:rPr>
              <w:t>Sexism</w:t>
            </w:r>
          </w:p>
        </w:tc>
        <w:tc>
          <w:tcPr>
            <w:tcW w:w="1983" w:type="pct"/>
            <w:hideMark/>
          </w:tcPr>
          <w:p w14:paraId="7DABC588" w14:textId="77777777" w:rsidR="00FA36F7" w:rsidRPr="00D7240E" w:rsidRDefault="00FA36F7" w:rsidP="00F25900">
            <w:pPr>
              <w:pStyle w:val="NoSpacing"/>
              <w:rPr>
                <w:color w:val="666666"/>
              </w:rPr>
            </w:pPr>
            <w:r w:rsidRPr="00D7240E">
              <w:rPr>
                <w:color w:val="666666"/>
              </w:rPr>
              <w:t>2.18 (</w:t>
            </w:r>
            <w:proofErr w:type="gramStart"/>
            <w:r w:rsidRPr="00D7240E">
              <w:rPr>
                <w:color w:val="666666"/>
              </w:rPr>
              <w:t>1.31)</w:t>
            </w:r>
            <w:r w:rsidRPr="00D7240E">
              <w:rPr>
                <w:color w:val="666666"/>
                <w:sz w:val="18"/>
                <w:szCs w:val="18"/>
                <w:vertAlign w:val="subscript"/>
              </w:rPr>
              <w:t>a</w:t>
            </w:r>
            <w:proofErr w:type="gramEnd"/>
          </w:p>
        </w:tc>
        <w:tc>
          <w:tcPr>
            <w:tcW w:w="1192" w:type="pct"/>
            <w:hideMark/>
          </w:tcPr>
          <w:p w14:paraId="41C5E6C5" w14:textId="77777777" w:rsidR="00FA36F7" w:rsidRPr="00D7240E" w:rsidRDefault="00FA36F7" w:rsidP="00F25900">
            <w:pPr>
              <w:pStyle w:val="NoSpacing"/>
              <w:rPr>
                <w:color w:val="666666"/>
              </w:rPr>
            </w:pPr>
            <w:r w:rsidRPr="00D7240E">
              <w:rPr>
                <w:color w:val="666666"/>
              </w:rPr>
              <w:t>1.95 (</w:t>
            </w:r>
            <w:proofErr w:type="gramStart"/>
            <w:r w:rsidRPr="00D7240E">
              <w:rPr>
                <w:color w:val="666666"/>
              </w:rPr>
              <w:t>1.03)</w:t>
            </w:r>
            <w:r w:rsidRPr="00D7240E">
              <w:rPr>
                <w:color w:val="666666"/>
                <w:sz w:val="18"/>
                <w:szCs w:val="18"/>
                <w:vertAlign w:val="subscript"/>
              </w:rPr>
              <w:t>b</w:t>
            </w:r>
            <w:proofErr w:type="gramEnd"/>
          </w:p>
        </w:tc>
        <w:tc>
          <w:tcPr>
            <w:tcW w:w="1209" w:type="pct"/>
            <w:hideMark/>
          </w:tcPr>
          <w:p w14:paraId="6032F0DA" w14:textId="77777777" w:rsidR="00FA36F7" w:rsidRPr="00D7240E" w:rsidRDefault="00FA36F7" w:rsidP="00F25900">
            <w:pPr>
              <w:pStyle w:val="NoSpacing"/>
              <w:rPr>
                <w:color w:val="666666"/>
              </w:rPr>
            </w:pPr>
            <w:r w:rsidRPr="00D7240E">
              <w:rPr>
                <w:color w:val="666666"/>
              </w:rPr>
              <w:t>2.56 (</w:t>
            </w:r>
            <w:proofErr w:type="gramStart"/>
            <w:r w:rsidRPr="00D7240E">
              <w:rPr>
                <w:color w:val="666666"/>
              </w:rPr>
              <w:t>1.31)</w:t>
            </w:r>
            <w:r w:rsidRPr="00D7240E">
              <w:rPr>
                <w:color w:val="666666"/>
                <w:sz w:val="18"/>
                <w:szCs w:val="18"/>
                <w:vertAlign w:val="subscript"/>
              </w:rPr>
              <w:t>c</w:t>
            </w:r>
            <w:proofErr w:type="gramEnd"/>
          </w:p>
        </w:tc>
      </w:tr>
    </w:tbl>
    <w:p w14:paraId="7055C27F" w14:textId="77777777" w:rsidR="00FA36F7" w:rsidRPr="00D7240E" w:rsidRDefault="00FA36F7" w:rsidP="003808D3">
      <w:pPr>
        <w:rPr>
          <w:rFonts w:cstheme="minorHAnsi"/>
        </w:rPr>
      </w:pPr>
      <w:r w:rsidRPr="00D7240E">
        <w:rPr>
          <w:rFonts w:cstheme="minorHAnsi"/>
        </w:rPr>
        <w:t>Different subscripts across each row indicate significant differences, </w:t>
      </w:r>
      <w:r w:rsidRPr="00D7240E">
        <w:rPr>
          <w:rStyle w:val="Emphasis"/>
          <w:rFonts w:cstheme="minorHAnsi"/>
          <w:color w:val="333333"/>
          <w:spacing w:val="1"/>
        </w:rPr>
        <w:t>p</w:t>
      </w:r>
      <w:r w:rsidRPr="00D7240E">
        <w:rPr>
          <w:rFonts w:cstheme="minorHAnsi"/>
        </w:rPr>
        <w:t> &lt; .05 (with a Bonferroni correction)</w:t>
      </w:r>
    </w:p>
    <w:p w14:paraId="251387F6" w14:textId="77777777" w:rsidR="00FA36F7" w:rsidRPr="00D7240E" w:rsidRDefault="00FA36F7" w:rsidP="003808D3">
      <w:pPr>
        <w:rPr>
          <w:rFonts w:cstheme="minorHAnsi"/>
          <w:spacing w:val="2"/>
        </w:rPr>
      </w:pPr>
      <w:r w:rsidRPr="00D7240E">
        <w:rPr>
          <w:rFonts w:cstheme="minorHAnsi"/>
          <w:spacing w:val="2"/>
        </w:rPr>
        <w:t>We also compared women who indicated they were heterosexual to all other women for their reported frequency, distress, and perceived sexism ratings. None of these comparisons was significant.</w:t>
      </w:r>
    </w:p>
    <w:p w14:paraId="7953ABB9" w14:textId="77777777" w:rsidR="00FA36F7" w:rsidRPr="00D7240E" w:rsidRDefault="00FA36F7" w:rsidP="003808D3">
      <w:pPr>
        <w:pStyle w:val="Heading3"/>
        <w:rPr>
          <w:rFonts w:asciiTheme="minorHAnsi" w:hAnsiTheme="minorHAnsi" w:cstheme="minorHAnsi"/>
        </w:rPr>
      </w:pPr>
      <w:r w:rsidRPr="00D7240E">
        <w:rPr>
          <w:rFonts w:asciiTheme="minorHAnsi" w:hAnsiTheme="minorHAnsi" w:cstheme="minorHAnsi"/>
        </w:rPr>
        <w:t>Comparison of Experiences with Hostile and Benevolently Sexist Events</w:t>
      </w:r>
    </w:p>
    <w:p w14:paraId="19EFE3BA" w14:textId="77777777" w:rsidR="00FA36F7" w:rsidRPr="00D7240E" w:rsidRDefault="00FA36F7" w:rsidP="003808D3">
      <w:pPr>
        <w:rPr>
          <w:rFonts w:cstheme="minorHAnsi"/>
        </w:rPr>
      </w:pPr>
      <w:r w:rsidRPr="00D7240E">
        <w:rPr>
          <w:rFonts w:cstheme="minorHAnsi"/>
        </w:rPr>
        <w:t>To compare young women’s experiences with hostile and benevolent sexism, we computed total scores for the Schedule of Sexist Events, Experiences with Benevolent Sexism, and assessment of distress and perceived sexism (for both hostile and benevolent scales). Paired </w:t>
      </w:r>
      <w:r w:rsidRPr="00D7240E">
        <w:rPr>
          <w:rStyle w:val="Emphasis"/>
          <w:rFonts w:cstheme="minorHAnsi"/>
          <w:color w:val="333333"/>
          <w:spacing w:val="2"/>
        </w:rPr>
        <w:t>t</w:t>
      </w:r>
      <w:r w:rsidRPr="00D7240E">
        <w:rPr>
          <w:rFonts w:cstheme="minorHAnsi"/>
        </w:rPr>
        <w:t>-tests indicated that, in their lifetime, women reported experiencing more benevolently sexist events (</w:t>
      </w:r>
      <w:r w:rsidRPr="00D7240E">
        <w:rPr>
          <w:rStyle w:val="Emphasis"/>
          <w:rFonts w:cstheme="minorHAnsi"/>
          <w:color w:val="333333"/>
          <w:spacing w:val="2"/>
        </w:rPr>
        <w:t>M</w:t>
      </w:r>
      <w:r w:rsidRPr="00D7240E">
        <w:rPr>
          <w:rFonts w:cstheme="minorHAnsi"/>
        </w:rPr>
        <w:t> = 3.25, </w:t>
      </w:r>
      <w:r w:rsidRPr="00D7240E">
        <w:rPr>
          <w:rStyle w:val="Emphasis"/>
          <w:rFonts w:cstheme="minorHAnsi"/>
          <w:color w:val="333333"/>
          <w:spacing w:val="2"/>
        </w:rPr>
        <w:t>SD</w:t>
      </w:r>
      <w:r w:rsidRPr="00D7240E">
        <w:rPr>
          <w:rFonts w:cstheme="minorHAnsi"/>
        </w:rPr>
        <w:t> = .81) than hostile sexist events (</w:t>
      </w:r>
      <w:r w:rsidRPr="00D7240E">
        <w:rPr>
          <w:rStyle w:val="Emphasis"/>
          <w:rFonts w:cstheme="minorHAnsi"/>
          <w:color w:val="333333"/>
          <w:spacing w:val="2"/>
        </w:rPr>
        <w:t>M</w:t>
      </w:r>
      <w:r w:rsidRPr="00D7240E">
        <w:rPr>
          <w:rFonts w:cstheme="minorHAnsi"/>
        </w:rPr>
        <w:t> = 2.55, </w:t>
      </w:r>
      <w:r w:rsidRPr="00D7240E">
        <w:rPr>
          <w:rStyle w:val="Emphasis"/>
          <w:rFonts w:cstheme="minorHAnsi"/>
          <w:color w:val="333333"/>
          <w:spacing w:val="2"/>
        </w:rPr>
        <w:t>SD</w:t>
      </w:r>
      <w:r w:rsidRPr="00D7240E">
        <w:rPr>
          <w:rFonts w:cstheme="minorHAnsi"/>
        </w:rPr>
        <w:t> = .70), </w:t>
      </w:r>
      <w:r w:rsidRPr="00D7240E">
        <w:rPr>
          <w:rStyle w:val="Emphasis"/>
          <w:rFonts w:cstheme="minorHAnsi"/>
          <w:color w:val="333333"/>
          <w:spacing w:val="2"/>
        </w:rPr>
        <w:t>t</w:t>
      </w:r>
      <w:r w:rsidRPr="00D7240E">
        <w:rPr>
          <w:rFonts w:cstheme="minorHAnsi"/>
        </w:rPr>
        <w:t>(488) = 24.22, </w:t>
      </w:r>
      <w:r w:rsidRPr="00D7240E">
        <w:rPr>
          <w:rStyle w:val="Emphasis"/>
          <w:rFonts w:cstheme="minorHAnsi"/>
          <w:color w:val="333333"/>
          <w:spacing w:val="2"/>
        </w:rPr>
        <w:t>p</w:t>
      </w:r>
      <w:r w:rsidRPr="00D7240E">
        <w:rPr>
          <w:rFonts w:cstheme="minorHAnsi"/>
        </w:rPr>
        <w:t> &lt; .01, Cohen’s </w:t>
      </w:r>
      <w:r w:rsidRPr="00D7240E">
        <w:rPr>
          <w:rStyle w:val="Emphasis"/>
          <w:rFonts w:cstheme="minorHAnsi"/>
          <w:color w:val="333333"/>
          <w:spacing w:val="2"/>
        </w:rPr>
        <w:t>d</w:t>
      </w:r>
      <w:r w:rsidRPr="00D7240E">
        <w:rPr>
          <w:rFonts w:cstheme="minorHAnsi"/>
        </w:rPr>
        <w:t> = 1.08. However, participants reported that the hostile events from the Schedule of Sexist Events (</w:t>
      </w:r>
      <w:r w:rsidRPr="00D7240E">
        <w:rPr>
          <w:rStyle w:val="Emphasis"/>
          <w:rFonts w:cstheme="minorHAnsi"/>
          <w:color w:val="333333"/>
          <w:spacing w:val="2"/>
        </w:rPr>
        <w:t>M</w:t>
      </w:r>
      <w:r w:rsidRPr="00D7240E">
        <w:rPr>
          <w:rFonts w:cstheme="minorHAnsi"/>
        </w:rPr>
        <w:t> = 4.04, </w:t>
      </w:r>
      <w:r w:rsidRPr="00D7240E">
        <w:rPr>
          <w:rStyle w:val="Emphasis"/>
          <w:rFonts w:cstheme="minorHAnsi"/>
          <w:color w:val="333333"/>
          <w:spacing w:val="2"/>
        </w:rPr>
        <w:t>SD</w:t>
      </w:r>
      <w:r w:rsidRPr="00D7240E">
        <w:rPr>
          <w:rFonts w:cstheme="minorHAnsi"/>
        </w:rPr>
        <w:t> = .73) were more distressing than their experiences with benevolent sexism (</w:t>
      </w:r>
      <w:r w:rsidRPr="00D7240E">
        <w:rPr>
          <w:rStyle w:val="Emphasis"/>
          <w:rFonts w:cstheme="minorHAnsi"/>
          <w:color w:val="333333"/>
          <w:spacing w:val="2"/>
        </w:rPr>
        <w:t>M</w:t>
      </w:r>
      <w:r w:rsidRPr="00D7240E">
        <w:rPr>
          <w:rFonts w:cstheme="minorHAnsi"/>
        </w:rPr>
        <w:t> = 3.05, </w:t>
      </w:r>
      <w:r w:rsidRPr="00D7240E">
        <w:rPr>
          <w:rStyle w:val="Emphasis"/>
          <w:rFonts w:cstheme="minorHAnsi"/>
          <w:color w:val="333333"/>
          <w:spacing w:val="2"/>
        </w:rPr>
        <w:t>SD</w:t>
      </w:r>
      <w:r w:rsidRPr="00D7240E">
        <w:rPr>
          <w:rFonts w:cstheme="minorHAnsi"/>
        </w:rPr>
        <w:t> = .69), </w:t>
      </w:r>
      <w:r w:rsidRPr="00D7240E">
        <w:rPr>
          <w:rStyle w:val="Emphasis"/>
          <w:rFonts w:cstheme="minorHAnsi"/>
          <w:color w:val="333333"/>
          <w:spacing w:val="2"/>
        </w:rPr>
        <w:t>t</w:t>
      </w:r>
      <w:r w:rsidRPr="00D7240E">
        <w:rPr>
          <w:rFonts w:cstheme="minorHAnsi"/>
        </w:rPr>
        <w:t>(488) = −30.98, </w:t>
      </w:r>
      <w:r w:rsidRPr="00D7240E">
        <w:rPr>
          <w:rStyle w:val="Emphasis"/>
          <w:rFonts w:cstheme="minorHAnsi"/>
          <w:color w:val="333333"/>
          <w:spacing w:val="2"/>
        </w:rPr>
        <w:t>p</w:t>
      </w:r>
      <w:r w:rsidRPr="00D7240E">
        <w:rPr>
          <w:rFonts w:cstheme="minorHAnsi"/>
        </w:rPr>
        <w:t> &lt; .01, Cohen’s </w:t>
      </w:r>
      <w:r w:rsidRPr="00D7240E">
        <w:rPr>
          <w:rStyle w:val="Emphasis"/>
          <w:rFonts w:cstheme="minorHAnsi"/>
          <w:color w:val="333333"/>
          <w:spacing w:val="2"/>
        </w:rPr>
        <w:t>d</w:t>
      </w:r>
      <w:r w:rsidRPr="00D7240E">
        <w:rPr>
          <w:rFonts w:cstheme="minorHAnsi"/>
        </w:rPr>
        <w:t> = 1.40. Participants also perceived the hostile events from the Schedule of Sexist Events (</w:t>
      </w:r>
      <w:r w:rsidRPr="00D7240E">
        <w:rPr>
          <w:rStyle w:val="Emphasis"/>
          <w:rFonts w:cstheme="minorHAnsi"/>
          <w:color w:val="333333"/>
          <w:spacing w:val="2"/>
        </w:rPr>
        <w:t>M</w:t>
      </w:r>
      <w:r w:rsidRPr="00D7240E">
        <w:rPr>
          <w:rFonts w:cstheme="minorHAnsi"/>
        </w:rPr>
        <w:t> = 4.34, </w:t>
      </w:r>
      <w:r w:rsidRPr="00D7240E">
        <w:rPr>
          <w:rStyle w:val="Emphasis"/>
          <w:rFonts w:cstheme="minorHAnsi"/>
          <w:color w:val="333333"/>
          <w:spacing w:val="2"/>
        </w:rPr>
        <w:t>SD</w:t>
      </w:r>
      <w:r w:rsidRPr="00D7240E">
        <w:rPr>
          <w:rFonts w:cstheme="minorHAnsi"/>
        </w:rPr>
        <w:t> = .70) as more sexist than their experiences with benevolent sexism (</w:t>
      </w:r>
      <w:r w:rsidRPr="00D7240E">
        <w:rPr>
          <w:rStyle w:val="Emphasis"/>
          <w:rFonts w:cstheme="minorHAnsi"/>
          <w:color w:val="333333"/>
          <w:spacing w:val="2"/>
        </w:rPr>
        <w:t>M</w:t>
      </w:r>
      <w:r w:rsidRPr="00D7240E">
        <w:rPr>
          <w:rFonts w:cstheme="minorHAnsi"/>
        </w:rPr>
        <w:t> = 3.23, </w:t>
      </w:r>
      <w:r w:rsidRPr="00D7240E">
        <w:rPr>
          <w:rStyle w:val="Emphasis"/>
          <w:rFonts w:cstheme="minorHAnsi"/>
          <w:color w:val="333333"/>
          <w:spacing w:val="2"/>
        </w:rPr>
        <w:t>SD</w:t>
      </w:r>
      <w:r w:rsidRPr="00D7240E">
        <w:rPr>
          <w:rFonts w:cstheme="minorHAnsi"/>
        </w:rPr>
        <w:t> = .76), </w:t>
      </w:r>
      <w:r w:rsidRPr="00D7240E">
        <w:rPr>
          <w:rStyle w:val="Emphasis"/>
          <w:rFonts w:cstheme="minorHAnsi"/>
          <w:color w:val="333333"/>
          <w:spacing w:val="2"/>
        </w:rPr>
        <w:t>t</w:t>
      </w:r>
      <w:r w:rsidRPr="00D7240E">
        <w:rPr>
          <w:rFonts w:cstheme="minorHAnsi"/>
        </w:rPr>
        <w:t>(488) = −35.89, </w:t>
      </w:r>
      <w:r w:rsidRPr="00D7240E">
        <w:rPr>
          <w:rStyle w:val="Emphasis"/>
          <w:rFonts w:cstheme="minorHAnsi"/>
          <w:color w:val="333333"/>
          <w:spacing w:val="2"/>
        </w:rPr>
        <w:t>p</w:t>
      </w:r>
      <w:r w:rsidRPr="00D7240E">
        <w:rPr>
          <w:rFonts w:cstheme="minorHAnsi"/>
        </w:rPr>
        <w:t> &lt; .01, Cohen’s </w:t>
      </w:r>
      <w:r w:rsidRPr="00D7240E">
        <w:rPr>
          <w:rStyle w:val="Emphasis"/>
          <w:rFonts w:cstheme="minorHAnsi"/>
          <w:color w:val="333333"/>
          <w:spacing w:val="2"/>
        </w:rPr>
        <w:t>d</w:t>
      </w:r>
      <w:r w:rsidRPr="00D7240E">
        <w:rPr>
          <w:rFonts w:cstheme="minorHAnsi"/>
        </w:rPr>
        <w:t> = 1.63.</w:t>
      </w:r>
    </w:p>
    <w:p w14:paraId="23001271" w14:textId="77777777" w:rsidR="00FA36F7" w:rsidRPr="00D7240E" w:rsidRDefault="00FA36F7" w:rsidP="00CA5DDD">
      <w:pPr>
        <w:pStyle w:val="Heading3"/>
        <w:rPr>
          <w:rFonts w:asciiTheme="minorHAnsi" w:hAnsiTheme="minorHAnsi" w:cstheme="minorHAnsi"/>
        </w:rPr>
      </w:pPr>
      <w:r w:rsidRPr="00D7240E">
        <w:rPr>
          <w:rFonts w:asciiTheme="minorHAnsi" w:hAnsiTheme="minorHAnsi" w:cstheme="minorHAnsi"/>
        </w:rPr>
        <w:lastRenderedPageBreak/>
        <w:t>Associations between Experiences with Benevolent and Hostile Sexism and Self-Concept</w:t>
      </w:r>
    </w:p>
    <w:p w14:paraId="54D0318C" w14:textId="77777777" w:rsidR="00FA36F7" w:rsidRPr="00D7240E" w:rsidRDefault="00FA36F7" w:rsidP="00CA5DDD">
      <w:pPr>
        <w:rPr>
          <w:rFonts w:cstheme="minorHAnsi"/>
        </w:rPr>
      </w:pPr>
      <w:r w:rsidRPr="00D7240E">
        <w:rPr>
          <w:rFonts w:cstheme="minorHAnsi"/>
        </w:rPr>
        <w:t>Correlations between the Experiences with Benevolent Sexism subscales and the self-concept measures are presented in Table </w:t>
      </w:r>
      <w:hyperlink r:id="rId97" w:anchor="Tab4" w:history="1">
        <w:r w:rsidRPr="00D7240E">
          <w:rPr>
            <w:rStyle w:val="Hyperlink"/>
            <w:rFonts w:cstheme="minorHAnsi"/>
            <w:color w:val="4500A7"/>
            <w:spacing w:val="2"/>
          </w:rPr>
          <w:t>4</w:t>
        </w:r>
      </w:hyperlink>
      <w:r w:rsidRPr="00D7240E">
        <w:rPr>
          <w:rFonts w:cstheme="minorHAnsi"/>
        </w:rPr>
        <w:t>a. Multiple regressions were computed to predict self-esteem and self-doubt using the three Experiences with Benevolent Sexism subscales and the Schedule of Sexist Events included as predictors (see Table </w:t>
      </w:r>
      <w:hyperlink r:id="rId98" w:anchor="Tab5" w:history="1">
        <w:r w:rsidRPr="00D7240E">
          <w:rPr>
            <w:rStyle w:val="Hyperlink"/>
            <w:rFonts w:cstheme="minorHAnsi"/>
            <w:color w:val="4500A7"/>
            <w:spacing w:val="2"/>
          </w:rPr>
          <w:t>5</w:t>
        </w:r>
      </w:hyperlink>
      <w:r w:rsidRPr="00D7240E">
        <w:rPr>
          <w:rFonts w:cstheme="minorHAnsi"/>
        </w:rPr>
        <w:t>a). We used the total score for the Schedule of Sexist Events because we were interested in seeing if experiences with benevolent sexism predicted self-esteem and self-doubt above and beyond the hostile sexist experiences. We also initially included sexual orientation as a variable (and interactions between the sexual orientation and benevolent sexism subscales) in the regression models. The sexual orientation variable and interaction terms were nonsignificant and so were removed from the final analyses presented here.</w:t>
      </w:r>
    </w:p>
    <w:p w14:paraId="564DE48B" w14:textId="115B6E73" w:rsidR="00FA36F7" w:rsidRPr="00D7240E" w:rsidRDefault="00FA36F7" w:rsidP="001D7F6C">
      <w:pPr>
        <w:pStyle w:val="Heading3"/>
        <w:rPr>
          <w:rFonts w:asciiTheme="minorHAnsi" w:hAnsiTheme="minorHAnsi" w:cstheme="minorHAnsi"/>
          <w:lang w:val="en"/>
        </w:rPr>
      </w:pPr>
      <w:r w:rsidRPr="00D7240E">
        <w:rPr>
          <w:rStyle w:val="captionnumber"/>
          <w:rFonts w:asciiTheme="minorHAnsi" w:hAnsiTheme="minorHAnsi" w:cstheme="minorHAnsi"/>
        </w:rPr>
        <w:t>Table 4</w:t>
      </w:r>
      <w:r w:rsidR="001D7F6C">
        <w:rPr>
          <w:rStyle w:val="captionnumber"/>
          <w:rFonts w:asciiTheme="minorHAnsi" w:hAnsiTheme="minorHAnsi" w:cstheme="minorHAnsi"/>
        </w:rPr>
        <w:t xml:space="preserve"> </w:t>
      </w:r>
      <w:r w:rsidRPr="00D7240E">
        <w:rPr>
          <w:rFonts w:asciiTheme="minorHAnsi" w:hAnsiTheme="minorHAnsi" w:cstheme="minorHAnsi"/>
          <w:lang w:val="en"/>
        </w:rPr>
        <w:t>Correlations between experiences with sexism and self-concept</w:t>
      </w:r>
    </w:p>
    <w:tbl>
      <w:tblPr>
        <w:tblStyle w:val="TableGrid"/>
        <w:tblW w:w="0" w:type="auto"/>
        <w:tblLook w:val="04A0" w:firstRow="1" w:lastRow="0" w:firstColumn="1" w:lastColumn="0" w:noHBand="0" w:noVBand="1"/>
      </w:tblPr>
      <w:tblGrid>
        <w:gridCol w:w="2695"/>
        <w:gridCol w:w="1260"/>
        <w:gridCol w:w="1043"/>
        <w:gridCol w:w="1117"/>
        <w:gridCol w:w="1343"/>
        <w:gridCol w:w="1302"/>
        <w:gridCol w:w="1310"/>
      </w:tblGrid>
      <w:tr w:rsidR="00B767AE" w:rsidRPr="001D7F6C" w14:paraId="404DD4B8" w14:textId="77777777" w:rsidTr="00B767AE">
        <w:tc>
          <w:tcPr>
            <w:tcW w:w="2695" w:type="dxa"/>
            <w:hideMark/>
          </w:tcPr>
          <w:p w14:paraId="05458FD3" w14:textId="77777777" w:rsidR="001D7F6C" w:rsidRPr="001D7F6C" w:rsidRDefault="001D7F6C" w:rsidP="001D7F6C">
            <w:pPr>
              <w:pStyle w:val="NoSpacing"/>
              <w:rPr>
                <w:sz w:val="20"/>
                <w:szCs w:val="20"/>
              </w:rPr>
            </w:pPr>
            <w:r w:rsidRPr="001D7F6C">
              <w:rPr>
                <w:sz w:val="20"/>
                <w:szCs w:val="20"/>
              </w:rPr>
              <w:t> </w:t>
            </w:r>
          </w:p>
        </w:tc>
        <w:tc>
          <w:tcPr>
            <w:tcW w:w="1260" w:type="dxa"/>
            <w:hideMark/>
          </w:tcPr>
          <w:p w14:paraId="37D58563" w14:textId="77777777" w:rsidR="001D7F6C" w:rsidRPr="001D7F6C" w:rsidRDefault="001D7F6C" w:rsidP="001D7F6C">
            <w:pPr>
              <w:pStyle w:val="NoSpacing"/>
              <w:rPr>
                <w:sz w:val="20"/>
                <w:szCs w:val="20"/>
              </w:rPr>
            </w:pPr>
            <w:r w:rsidRPr="001D7F6C">
              <w:rPr>
                <w:sz w:val="20"/>
                <w:szCs w:val="20"/>
              </w:rPr>
              <w:t>Correlations</w:t>
            </w:r>
          </w:p>
        </w:tc>
        <w:tc>
          <w:tcPr>
            <w:tcW w:w="1043" w:type="dxa"/>
          </w:tcPr>
          <w:p w14:paraId="156AFD5C" w14:textId="77777777" w:rsidR="001D7F6C" w:rsidRPr="001D7F6C" w:rsidRDefault="001D7F6C" w:rsidP="001D7F6C">
            <w:pPr>
              <w:pStyle w:val="NoSpacing"/>
              <w:rPr>
                <w:sz w:val="20"/>
                <w:szCs w:val="20"/>
              </w:rPr>
            </w:pPr>
          </w:p>
        </w:tc>
        <w:tc>
          <w:tcPr>
            <w:tcW w:w="1117" w:type="dxa"/>
          </w:tcPr>
          <w:p w14:paraId="44867675" w14:textId="77777777" w:rsidR="001D7F6C" w:rsidRPr="001D7F6C" w:rsidRDefault="001D7F6C" w:rsidP="001D7F6C">
            <w:pPr>
              <w:pStyle w:val="NoSpacing"/>
              <w:rPr>
                <w:sz w:val="20"/>
                <w:szCs w:val="20"/>
              </w:rPr>
            </w:pPr>
          </w:p>
        </w:tc>
        <w:tc>
          <w:tcPr>
            <w:tcW w:w="1343" w:type="dxa"/>
          </w:tcPr>
          <w:p w14:paraId="757B3DA4" w14:textId="77777777" w:rsidR="001D7F6C" w:rsidRPr="001D7F6C" w:rsidRDefault="001D7F6C" w:rsidP="001D7F6C">
            <w:pPr>
              <w:pStyle w:val="NoSpacing"/>
              <w:rPr>
                <w:sz w:val="20"/>
                <w:szCs w:val="20"/>
              </w:rPr>
            </w:pPr>
          </w:p>
        </w:tc>
        <w:tc>
          <w:tcPr>
            <w:tcW w:w="1302" w:type="dxa"/>
          </w:tcPr>
          <w:p w14:paraId="13F8C64D" w14:textId="77777777" w:rsidR="001D7F6C" w:rsidRPr="001D7F6C" w:rsidRDefault="001D7F6C" w:rsidP="001D7F6C">
            <w:pPr>
              <w:pStyle w:val="NoSpacing"/>
              <w:rPr>
                <w:sz w:val="20"/>
                <w:szCs w:val="20"/>
              </w:rPr>
            </w:pPr>
          </w:p>
        </w:tc>
        <w:tc>
          <w:tcPr>
            <w:tcW w:w="1310" w:type="dxa"/>
          </w:tcPr>
          <w:p w14:paraId="58AB57A2" w14:textId="765862DC" w:rsidR="001D7F6C" w:rsidRPr="001D7F6C" w:rsidRDefault="001D7F6C" w:rsidP="001D7F6C">
            <w:pPr>
              <w:pStyle w:val="NoSpacing"/>
              <w:rPr>
                <w:sz w:val="20"/>
                <w:szCs w:val="20"/>
              </w:rPr>
            </w:pPr>
          </w:p>
        </w:tc>
      </w:tr>
      <w:tr w:rsidR="001D7F6C" w:rsidRPr="001D7F6C" w14:paraId="6E0AD715" w14:textId="77777777" w:rsidTr="00B767AE">
        <w:tc>
          <w:tcPr>
            <w:tcW w:w="2695" w:type="dxa"/>
            <w:hideMark/>
          </w:tcPr>
          <w:p w14:paraId="04E65BC8" w14:textId="77777777" w:rsidR="00FA36F7" w:rsidRPr="001D7F6C" w:rsidRDefault="00FA36F7" w:rsidP="001D7F6C">
            <w:pPr>
              <w:pStyle w:val="NoSpacing"/>
              <w:rPr>
                <w:sz w:val="20"/>
                <w:szCs w:val="20"/>
              </w:rPr>
            </w:pPr>
          </w:p>
        </w:tc>
        <w:tc>
          <w:tcPr>
            <w:tcW w:w="1260" w:type="dxa"/>
            <w:hideMark/>
          </w:tcPr>
          <w:p w14:paraId="145BBF55" w14:textId="77777777" w:rsidR="00FA36F7" w:rsidRPr="001D7F6C" w:rsidRDefault="00FA36F7" w:rsidP="001D7F6C">
            <w:pPr>
              <w:pStyle w:val="NoSpacing"/>
              <w:rPr>
                <w:sz w:val="20"/>
                <w:szCs w:val="20"/>
              </w:rPr>
            </w:pPr>
            <w:r w:rsidRPr="001D7F6C">
              <w:rPr>
                <w:sz w:val="20"/>
                <w:szCs w:val="20"/>
              </w:rPr>
              <w:t>Self-esteem</w:t>
            </w:r>
          </w:p>
        </w:tc>
        <w:tc>
          <w:tcPr>
            <w:tcW w:w="1043" w:type="dxa"/>
            <w:hideMark/>
          </w:tcPr>
          <w:p w14:paraId="1EC7D1C9" w14:textId="77777777" w:rsidR="00FA36F7" w:rsidRPr="001D7F6C" w:rsidRDefault="00FA36F7" w:rsidP="001D7F6C">
            <w:pPr>
              <w:pStyle w:val="NoSpacing"/>
              <w:rPr>
                <w:sz w:val="20"/>
                <w:szCs w:val="20"/>
              </w:rPr>
            </w:pPr>
            <w:r w:rsidRPr="001D7F6C">
              <w:rPr>
                <w:sz w:val="20"/>
                <w:szCs w:val="20"/>
              </w:rPr>
              <w:t>Self-doubt</w:t>
            </w:r>
          </w:p>
        </w:tc>
        <w:tc>
          <w:tcPr>
            <w:tcW w:w="1117" w:type="dxa"/>
            <w:hideMark/>
          </w:tcPr>
          <w:p w14:paraId="72C7BE72" w14:textId="77777777" w:rsidR="00FA36F7" w:rsidRPr="001D7F6C" w:rsidRDefault="00FA36F7" w:rsidP="001D7F6C">
            <w:pPr>
              <w:pStyle w:val="NoSpacing"/>
              <w:rPr>
                <w:sz w:val="20"/>
                <w:szCs w:val="20"/>
              </w:rPr>
            </w:pPr>
            <w:r w:rsidRPr="001D7F6C">
              <w:rPr>
                <w:sz w:val="20"/>
                <w:szCs w:val="20"/>
              </w:rPr>
              <w:t>Judgement self-doubt</w:t>
            </w:r>
          </w:p>
        </w:tc>
        <w:tc>
          <w:tcPr>
            <w:tcW w:w="1343" w:type="dxa"/>
            <w:hideMark/>
          </w:tcPr>
          <w:p w14:paraId="73E1FE9E" w14:textId="77777777" w:rsidR="00FA36F7" w:rsidRPr="001D7F6C" w:rsidRDefault="00FA36F7" w:rsidP="001D7F6C">
            <w:pPr>
              <w:pStyle w:val="NoSpacing"/>
              <w:rPr>
                <w:sz w:val="20"/>
                <w:szCs w:val="20"/>
              </w:rPr>
            </w:pPr>
            <w:r w:rsidRPr="001D7F6C">
              <w:rPr>
                <w:sz w:val="20"/>
                <w:szCs w:val="20"/>
              </w:rPr>
              <w:t>Psychological well-being</w:t>
            </w:r>
          </w:p>
        </w:tc>
        <w:tc>
          <w:tcPr>
            <w:tcW w:w="1302" w:type="dxa"/>
            <w:hideMark/>
          </w:tcPr>
          <w:p w14:paraId="3FF1E01F" w14:textId="77777777" w:rsidR="00FA36F7" w:rsidRPr="001D7F6C" w:rsidRDefault="00FA36F7" w:rsidP="001D7F6C">
            <w:pPr>
              <w:pStyle w:val="NoSpacing"/>
              <w:rPr>
                <w:sz w:val="20"/>
                <w:szCs w:val="20"/>
              </w:rPr>
            </w:pPr>
            <w:r w:rsidRPr="001D7F6C">
              <w:rPr>
                <w:sz w:val="20"/>
                <w:szCs w:val="20"/>
              </w:rPr>
              <w:t>Psychological flourishing</w:t>
            </w:r>
          </w:p>
        </w:tc>
        <w:tc>
          <w:tcPr>
            <w:tcW w:w="1310" w:type="dxa"/>
            <w:hideMark/>
          </w:tcPr>
          <w:p w14:paraId="3D2FCE51" w14:textId="77777777" w:rsidR="00FA36F7" w:rsidRPr="001D7F6C" w:rsidRDefault="00FA36F7" w:rsidP="001D7F6C">
            <w:pPr>
              <w:pStyle w:val="NoSpacing"/>
              <w:rPr>
                <w:sz w:val="20"/>
                <w:szCs w:val="20"/>
              </w:rPr>
            </w:pPr>
            <w:r w:rsidRPr="001D7F6C">
              <w:rPr>
                <w:sz w:val="20"/>
                <w:szCs w:val="20"/>
              </w:rPr>
              <w:t>Authoritarian behavior inventory</w:t>
            </w:r>
          </w:p>
        </w:tc>
      </w:tr>
      <w:tr w:rsidR="001D7F6C" w:rsidRPr="001D7F6C" w14:paraId="251488E0" w14:textId="77777777" w:rsidTr="00B767AE">
        <w:tc>
          <w:tcPr>
            <w:tcW w:w="2695" w:type="dxa"/>
          </w:tcPr>
          <w:p w14:paraId="09534616" w14:textId="75D333A2" w:rsidR="001D7F6C" w:rsidRPr="001D7F6C" w:rsidRDefault="001D7F6C" w:rsidP="001D7F6C">
            <w:pPr>
              <w:pStyle w:val="NoSpacing"/>
              <w:rPr>
                <w:color w:val="666666"/>
                <w:sz w:val="20"/>
                <w:szCs w:val="20"/>
              </w:rPr>
            </w:pPr>
            <w:r w:rsidRPr="001D7F6C">
              <w:rPr>
                <w:color w:val="666666"/>
                <w:sz w:val="20"/>
                <w:szCs w:val="20"/>
              </w:rPr>
              <w:t>(a) Study 1</w:t>
            </w:r>
          </w:p>
        </w:tc>
        <w:tc>
          <w:tcPr>
            <w:tcW w:w="1260" w:type="dxa"/>
          </w:tcPr>
          <w:p w14:paraId="5AB4752F" w14:textId="77777777" w:rsidR="001D7F6C" w:rsidRPr="001D7F6C" w:rsidRDefault="001D7F6C" w:rsidP="001D7F6C">
            <w:pPr>
              <w:pStyle w:val="NoSpacing"/>
              <w:rPr>
                <w:color w:val="666666"/>
                <w:sz w:val="20"/>
                <w:szCs w:val="20"/>
              </w:rPr>
            </w:pPr>
          </w:p>
        </w:tc>
        <w:tc>
          <w:tcPr>
            <w:tcW w:w="1043" w:type="dxa"/>
          </w:tcPr>
          <w:p w14:paraId="580078F2" w14:textId="77777777" w:rsidR="001D7F6C" w:rsidRPr="001D7F6C" w:rsidRDefault="001D7F6C" w:rsidP="001D7F6C">
            <w:pPr>
              <w:pStyle w:val="NoSpacing"/>
              <w:rPr>
                <w:color w:val="666666"/>
                <w:sz w:val="20"/>
                <w:szCs w:val="20"/>
              </w:rPr>
            </w:pPr>
          </w:p>
        </w:tc>
        <w:tc>
          <w:tcPr>
            <w:tcW w:w="1117" w:type="dxa"/>
          </w:tcPr>
          <w:p w14:paraId="252CB2D5" w14:textId="77777777" w:rsidR="001D7F6C" w:rsidRPr="001D7F6C" w:rsidRDefault="001D7F6C" w:rsidP="001D7F6C">
            <w:pPr>
              <w:pStyle w:val="NoSpacing"/>
              <w:rPr>
                <w:color w:val="666666"/>
                <w:sz w:val="20"/>
                <w:szCs w:val="20"/>
              </w:rPr>
            </w:pPr>
          </w:p>
        </w:tc>
        <w:tc>
          <w:tcPr>
            <w:tcW w:w="1343" w:type="dxa"/>
          </w:tcPr>
          <w:p w14:paraId="3ED563D4" w14:textId="77777777" w:rsidR="001D7F6C" w:rsidRPr="001D7F6C" w:rsidRDefault="001D7F6C" w:rsidP="001D7F6C">
            <w:pPr>
              <w:pStyle w:val="NoSpacing"/>
              <w:rPr>
                <w:color w:val="666666"/>
                <w:sz w:val="20"/>
                <w:szCs w:val="20"/>
              </w:rPr>
            </w:pPr>
          </w:p>
        </w:tc>
        <w:tc>
          <w:tcPr>
            <w:tcW w:w="1302" w:type="dxa"/>
          </w:tcPr>
          <w:p w14:paraId="1B639CAD" w14:textId="77777777" w:rsidR="001D7F6C" w:rsidRPr="001D7F6C" w:rsidRDefault="001D7F6C" w:rsidP="001D7F6C">
            <w:pPr>
              <w:pStyle w:val="NoSpacing"/>
              <w:rPr>
                <w:color w:val="666666"/>
                <w:sz w:val="20"/>
                <w:szCs w:val="20"/>
              </w:rPr>
            </w:pPr>
          </w:p>
        </w:tc>
        <w:tc>
          <w:tcPr>
            <w:tcW w:w="1310" w:type="dxa"/>
          </w:tcPr>
          <w:p w14:paraId="577E5876" w14:textId="77777777" w:rsidR="001D7F6C" w:rsidRPr="001D7F6C" w:rsidRDefault="001D7F6C" w:rsidP="001D7F6C">
            <w:pPr>
              <w:pStyle w:val="NoSpacing"/>
              <w:rPr>
                <w:color w:val="666666"/>
                <w:sz w:val="20"/>
                <w:szCs w:val="20"/>
              </w:rPr>
            </w:pPr>
          </w:p>
        </w:tc>
      </w:tr>
      <w:tr w:rsidR="001D7F6C" w:rsidRPr="001D7F6C" w14:paraId="4A28DD85" w14:textId="77777777" w:rsidTr="00B767AE">
        <w:tc>
          <w:tcPr>
            <w:tcW w:w="2695" w:type="dxa"/>
            <w:hideMark/>
          </w:tcPr>
          <w:p w14:paraId="6AB35623" w14:textId="77777777" w:rsidR="00FA36F7" w:rsidRPr="001D7F6C" w:rsidRDefault="00FA36F7" w:rsidP="001D7F6C">
            <w:pPr>
              <w:pStyle w:val="NoSpacing"/>
              <w:rPr>
                <w:color w:val="666666"/>
                <w:sz w:val="20"/>
                <w:szCs w:val="20"/>
              </w:rPr>
            </w:pPr>
            <w:r w:rsidRPr="001D7F6C">
              <w:rPr>
                <w:color w:val="666666"/>
                <w:sz w:val="20"/>
                <w:szCs w:val="20"/>
              </w:rPr>
              <w:t> </w:t>
            </w:r>
            <w:r w:rsidRPr="001D7F6C">
              <w:rPr>
                <w:color w:val="666666"/>
                <w:sz w:val="20"/>
                <w:szCs w:val="20"/>
              </w:rPr>
              <w:t>Complementary gender differentiation</w:t>
            </w:r>
          </w:p>
        </w:tc>
        <w:tc>
          <w:tcPr>
            <w:tcW w:w="1260" w:type="dxa"/>
            <w:hideMark/>
          </w:tcPr>
          <w:p w14:paraId="7CFC76EB" w14:textId="77777777" w:rsidR="00FA36F7" w:rsidRPr="001D7F6C" w:rsidRDefault="00FA36F7" w:rsidP="001D7F6C">
            <w:pPr>
              <w:pStyle w:val="NoSpacing"/>
              <w:rPr>
                <w:color w:val="666666"/>
                <w:sz w:val="20"/>
                <w:szCs w:val="20"/>
              </w:rPr>
            </w:pPr>
            <w:r w:rsidRPr="001D7F6C">
              <w:rPr>
                <w:color w:val="666666"/>
                <w:sz w:val="20"/>
                <w:szCs w:val="20"/>
              </w:rPr>
              <w:t>−.01</w:t>
            </w:r>
          </w:p>
        </w:tc>
        <w:tc>
          <w:tcPr>
            <w:tcW w:w="1043" w:type="dxa"/>
            <w:hideMark/>
          </w:tcPr>
          <w:p w14:paraId="7C6B1F63" w14:textId="77777777" w:rsidR="00FA36F7" w:rsidRPr="001D7F6C" w:rsidRDefault="00FA36F7" w:rsidP="001D7F6C">
            <w:pPr>
              <w:pStyle w:val="NoSpacing"/>
              <w:rPr>
                <w:color w:val="666666"/>
                <w:sz w:val="20"/>
                <w:szCs w:val="20"/>
              </w:rPr>
            </w:pPr>
            <w:r w:rsidRPr="001D7F6C">
              <w:rPr>
                <w:color w:val="666666"/>
                <w:sz w:val="20"/>
                <w:szCs w:val="20"/>
              </w:rPr>
              <w:t>.04</w:t>
            </w:r>
          </w:p>
        </w:tc>
        <w:tc>
          <w:tcPr>
            <w:tcW w:w="1117" w:type="dxa"/>
            <w:hideMark/>
          </w:tcPr>
          <w:p w14:paraId="34A00949" w14:textId="77777777" w:rsidR="00FA36F7" w:rsidRPr="001D7F6C" w:rsidRDefault="00FA36F7" w:rsidP="001D7F6C">
            <w:pPr>
              <w:pStyle w:val="NoSpacing"/>
              <w:rPr>
                <w:color w:val="666666"/>
                <w:sz w:val="20"/>
                <w:szCs w:val="20"/>
              </w:rPr>
            </w:pPr>
            <w:r w:rsidRPr="001D7F6C">
              <w:rPr>
                <w:color w:val="666666"/>
                <w:sz w:val="20"/>
                <w:szCs w:val="20"/>
              </w:rPr>
              <w:t>−.02</w:t>
            </w:r>
          </w:p>
        </w:tc>
        <w:tc>
          <w:tcPr>
            <w:tcW w:w="1343" w:type="dxa"/>
            <w:hideMark/>
          </w:tcPr>
          <w:p w14:paraId="7A90F3C8" w14:textId="77777777" w:rsidR="00FA36F7" w:rsidRPr="001D7F6C" w:rsidRDefault="00FA36F7" w:rsidP="001D7F6C">
            <w:pPr>
              <w:pStyle w:val="NoSpacing"/>
              <w:rPr>
                <w:color w:val="666666"/>
                <w:sz w:val="20"/>
                <w:szCs w:val="20"/>
              </w:rPr>
            </w:pPr>
            <w:r w:rsidRPr="001D7F6C">
              <w:rPr>
                <w:color w:val="666666"/>
                <w:sz w:val="20"/>
                <w:szCs w:val="20"/>
              </w:rPr>
              <w:t> </w:t>
            </w:r>
          </w:p>
        </w:tc>
        <w:tc>
          <w:tcPr>
            <w:tcW w:w="1302" w:type="dxa"/>
            <w:hideMark/>
          </w:tcPr>
          <w:p w14:paraId="25E53DB0" w14:textId="77777777" w:rsidR="00FA36F7" w:rsidRPr="001D7F6C" w:rsidRDefault="00FA36F7" w:rsidP="001D7F6C">
            <w:pPr>
              <w:pStyle w:val="NoSpacing"/>
              <w:rPr>
                <w:color w:val="666666"/>
                <w:sz w:val="20"/>
                <w:szCs w:val="20"/>
              </w:rPr>
            </w:pPr>
            <w:r w:rsidRPr="001D7F6C">
              <w:rPr>
                <w:color w:val="666666"/>
                <w:sz w:val="20"/>
                <w:szCs w:val="20"/>
              </w:rPr>
              <w:t> </w:t>
            </w:r>
          </w:p>
        </w:tc>
        <w:tc>
          <w:tcPr>
            <w:tcW w:w="1310" w:type="dxa"/>
            <w:hideMark/>
          </w:tcPr>
          <w:p w14:paraId="667C507E" w14:textId="77777777" w:rsidR="00FA36F7" w:rsidRPr="001D7F6C" w:rsidRDefault="00FA36F7" w:rsidP="001D7F6C">
            <w:pPr>
              <w:pStyle w:val="NoSpacing"/>
              <w:rPr>
                <w:color w:val="666666"/>
                <w:sz w:val="20"/>
                <w:szCs w:val="20"/>
              </w:rPr>
            </w:pPr>
            <w:r w:rsidRPr="001D7F6C">
              <w:rPr>
                <w:color w:val="666666"/>
                <w:sz w:val="20"/>
                <w:szCs w:val="20"/>
              </w:rPr>
              <w:t> </w:t>
            </w:r>
          </w:p>
        </w:tc>
      </w:tr>
      <w:tr w:rsidR="001D7F6C" w:rsidRPr="001D7F6C" w14:paraId="08CED3D9" w14:textId="77777777" w:rsidTr="00B767AE">
        <w:tc>
          <w:tcPr>
            <w:tcW w:w="2695" w:type="dxa"/>
            <w:hideMark/>
          </w:tcPr>
          <w:p w14:paraId="1CC718CD" w14:textId="77777777" w:rsidR="00FA36F7" w:rsidRPr="001D7F6C" w:rsidRDefault="00FA36F7" w:rsidP="001D7F6C">
            <w:pPr>
              <w:pStyle w:val="NoSpacing"/>
              <w:rPr>
                <w:color w:val="666666"/>
                <w:sz w:val="20"/>
                <w:szCs w:val="20"/>
              </w:rPr>
            </w:pPr>
            <w:r w:rsidRPr="001D7F6C">
              <w:rPr>
                <w:color w:val="666666"/>
                <w:sz w:val="20"/>
                <w:szCs w:val="20"/>
              </w:rPr>
              <w:t> </w:t>
            </w:r>
            <w:r w:rsidRPr="001D7F6C">
              <w:rPr>
                <w:color w:val="666666"/>
                <w:sz w:val="20"/>
                <w:szCs w:val="20"/>
              </w:rPr>
              <w:t>Heterosexual intimacy</w:t>
            </w:r>
          </w:p>
        </w:tc>
        <w:tc>
          <w:tcPr>
            <w:tcW w:w="1260" w:type="dxa"/>
            <w:hideMark/>
          </w:tcPr>
          <w:p w14:paraId="1D0F3004" w14:textId="77777777" w:rsidR="00FA36F7" w:rsidRPr="001D7F6C" w:rsidRDefault="00FA36F7" w:rsidP="001D7F6C">
            <w:pPr>
              <w:pStyle w:val="NoSpacing"/>
              <w:rPr>
                <w:color w:val="666666"/>
                <w:sz w:val="20"/>
                <w:szCs w:val="20"/>
              </w:rPr>
            </w:pPr>
            <w:r w:rsidRPr="001D7F6C">
              <w:rPr>
                <w:color w:val="666666"/>
                <w:sz w:val="20"/>
                <w:szCs w:val="20"/>
              </w:rPr>
              <w:t>−.07</w:t>
            </w:r>
          </w:p>
        </w:tc>
        <w:tc>
          <w:tcPr>
            <w:tcW w:w="1043" w:type="dxa"/>
            <w:hideMark/>
          </w:tcPr>
          <w:p w14:paraId="6AB1BE20" w14:textId="77777777" w:rsidR="00FA36F7" w:rsidRPr="001D7F6C" w:rsidRDefault="00FA36F7" w:rsidP="001D7F6C">
            <w:pPr>
              <w:pStyle w:val="NoSpacing"/>
              <w:rPr>
                <w:color w:val="666666"/>
                <w:sz w:val="20"/>
                <w:szCs w:val="20"/>
              </w:rPr>
            </w:pPr>
            <w:r w:rsidRPr="001D7F6C">
              <w:rPr>
                <w:color w:val="666666"/>
                <w:sz w:val="20"/>
                <w:szCs w:val="20"/>
              </w:rPr>
              <w:t>.07</w:t>
            </w:r>
          </w:p>
        </w:tc>
        <w:tc>
          <w:tcPr>
            <w:tcW w:w="1117" w:type="dxa"/>
            <w:hideMark/>
          </w:tcPr>
          <w:p w14:paraId="3FD7C610" w14:textId="77777777" w:rsidR="00FA36F7" w:rsidRPr="001D7F6C" w:rsidRDefault="00FA36F7" w:rsidP="001D7F6C">
            <w:pPr>
              <w:pStyle w:val="NoSpacing"/>
              <w:rPr>
                <w:color w:val="666666"/>
                <w:sz w:val="20"/>
                <w:szCs w:val="20"/>
              </w:rPr>
            </w:pPr>
            <w:r w:rsidRPr="001D7F6C">
              <w:rPr>
                <w:color w:val="666666"/>
                <w:sz w:val="20"/>
                <w:szCs w:val="20"/>
              </w:rPr>
              <w:t>.04</w:t>
            </w:r>
          </w:p>
        </w:tc>
        <w:tc>
          <w:tcPr>
            <w:tcW w:w="1343" w:type="dxa"/>
            <w:hideMark/>
          </w:tcPr>
          <w:p w14:paraId="53D637FE" w14:textId="77777777" w:rsidR="00FA36F7" w:rsidRPr="001D7F6C" w:rsidRDefault="00FA36F7" w:rsidP="001D7F6C">
            <w:pPr>
              <w:pStyle w:val="NoSpacing"/>
              <w:rPr>
                <w:color w:val="666666"/>
                <w:sz w:val="20"/>
                <w:szCs w:val="20"/>
              </w:rPr>
            </w:pPr>
            <w:r w:rsidRPr="001D7F6C">
              <w:rPr>
                <w:color w:val="666666"/>
                <w:sz w:val="20"/>
                <w:szCs w:val="20"/>
              </w:rPr>
              <w:t> </w:t>
            </w:r>
          </w:p>
        </w:tc>
        <w:tc>
          <w:tcPr>
            <w:tcW w:w="1302" w:type="dxa"/>
            <w:hideMark/>
          </w:tcPr>
          <w:p w14:paraId="5C2EDF7E" w14:textId="77777777" w:rsidR="00FA36F7" w:rsidRPr="001D7F6C" w:rsidRDefault="00FA36F7" w:rsidP="001D7F6C">
            <w:pPr>
              <w:pStyle w:val="NoSpacing"/>
              <w:rPr>
                <w:color w:val="666666"/>
                <w:sz w:val="20"/>
                <w:szCs w:val="20"/>
              </w:rPr>
            </w:pPr>
            <w:r w:rsidRPr="001D7F6C">
              <w:rPr>
                <w:color w:val="666666"/>
                <w:sz w:val="20"/>
                <w:szCs w:val="20"/>
              </w:rPr>
              <w:t> </w:t>
            </w:r>
          </w:p>
        </w:tc>
        <w:tc>
          <w:tcPr>
            <w:tcW w:w="1310" w:type="dxa"/>
            <w:hideMark/>
          </w:tcPr>
          <w:p w14:paraId="0D40C4E9" w14:textId="77777777" w:rsidR="00FA36F7" w:rsidRPr="001D7F6C" w:rsidRDefault="00FA36F7" w:rsidP="001D7F6C">
            <w:pPr>
              <w:pStyle w:val="NoSpacing"/>
              <w:rPr>
                <w:color w:val="666666"/>
                <w:sz w:val="20"/>
                <w:szCs w:val="20"/>
              </w:rPr>
            </w:pPr>
            <w:r w:rsidRPr="001D7F6C">
              <w:rPr>
                <w:color w:val="666666"/>
                <w:sz w:val="20"/>
                <w:szCs w:val="20"/>
              </w:rPr>
              <w:t> </w:t>
            </w:r>
          </w:p>
        </w:tc>
      </w:tr>
      <w:tr w:rsidR="001D7F6C" w:rsidRPr="001D7F6C" w14:paraId="6DA76EB9" w14:textId="77777777" w:rsidTr="00B767AE">
        <w:tc>
          <w:tcPr>
            <w:tcW w:w="2695" w:type="dxa"/>
            <w:hideMark/>
          </w:tcPr>
          <w:p w14:paraId="01A1DDF7" w14:textId="77777777" w:rsidR="00FA36F7" w:rsidRPr="001D7F6C" w:rsidRDefault="00FA36F7" w:rsidP="001D7F6C">
            <w:pPr>
              <w:pStyle w:val="NoSpacing"/>
              <w:rPr>
                <w:color w:val="666666"/>
                <w:sz w:val="20"/>
                <w:szCs w:val="20"/>
              </w:rPr>
            </w:pPr>
            <w:r w:rsidRPr="001D7F6C">
              <w:rPr>
                <w:color w:val="666666"/>
                <w:sz w:val="20"/>
                <w:szCs w:val="20"/>
              </w:rPr>
              <w:t> </w:t>
            </w:r>
            <w:r w:rsidRPr="001D7F6C">
              <w:rPr>
                <w:color w:val="666666"/>
                <w:sz w:val="20"/>
                <w:szCs w:val="20"/>
              </w:rPr>
              <w:t>Protective paternalism</w:t>
            </w:r>
          </w:p>
        </w:tc>
        <w:tc>
          <w:tcPr>
            <w:tcW w:w="1260" w:type="dxa"/>
            <w:hideMark/>
          </w:tcPr>
          <w:p w14:paraId="39CCEDB3" w14:textId="77777777" w:rsidR="00FA36F7" w:rsidRPr="001D7F6C" w:rsidRDefault="00FA36F7" w:rsidP="001D7F6C">
            <w:pPr>
              <w:pStyle w:val="NoSpacing"/>
              <w:rPr>
                <w:color w:val="666666"/>
                <w:sz w:val="20"/>
                <w:szCs w:val="20"/>
              </w:rPr>
            </w:pPr>
            <w:r w:rsidRPr="001D7F6C">
              <w:rPr>
                <w:color w:val="666666"/>
                <w:sz w:val="20"/>
                <w:szCs w:val="20"/>
              </w:rPr>
              <w:t>−.13**</w:t>
            </w:r>
          </w:p>
        </w:tc>
        <w:tc>
          <w:tcPr>
            <w:tcW w:w="1043" w:type="dxa"/>
            <w:hideMark/>
          </w:tcPr>
          <w:p w14:paraId="05C7C2E0" w14:textId="77777777" w:rsidR="00FA36F7" w:rsidRPr="001D7F6C" w:rsidRDefault="00FA36F7" w:rsidP="001D7F6C">
            <w:pPr>
              <w:pStyle w:val="NoSpacing"/>
              <w:rPr>
                <w:color w:val="666666"/>
                <w:sz w:val="20"/>
                <w:szCs w:val="20"/>
              </w:rPr>
            </w:pPr>
            <w:r w:rsidRPr="001D7F6C">
              <w:rPr>
                <w:color w:val="666666"/>
                <w:sz w:val="20"/>
                <w:szCs w:val="20"/>
              </w:rPr>
              <w:t>.16**</w:t>
            </w:r>
          </w:p>
        </w:tc>
        <w:tc>
          <w:tcPr>
            <w:tcW w:w="1117" w:type="dxa"/>
            <w:hideMark/>
          </w:tcPr>
          <w:p w14:paraId="5B8BB7F5" w14:textId="77777777" w:rsidR="00FA36F7" w:rsidRPr="001D7F6C" w:rsidRDefault="00FA36F7" w:rsidP="001D7F6C">
            <w:pPr>
              <w:pStyle w:val="NoSpacing"/>
              <w:rPr>
                <w:color w:val="666666"/>
                <w:sz w:val="20"/>
                <w:szCs w:val="20"/>
              </w:rPr>
            </w:pPr>
            <w:r w:rsidRPr="001D7F6C">
              <w:rPr>
                <w:color w:val="666666"/>
                <w:sz w:val="20"/>
                <w:szCs w:val="20"/>
              </w:rPr>
              <w:t>.12*</w:t>
            </w:r>
          </w:p>
        </w:tc>
        <w:tc>
          <w:tcPr>
            <w:tcW w:w="1343" w:type="dxa"/>
            <w:hideMark/>
          </w:tcPr>
          <w:p w14:paraId="1A1D0EC5" w14:textId="77777777" w:rsidR="00FA36F7" w:rsidRPr="001D7F6C" w:rsidRDefault="00FA36F7" w:rsidP="001D7F6C">
            <w:pPr>
              <w:pStyle w:val="NoSpacing"/>
              <w:rPr>
                <w:color w:val="666666"/>
                <w:sz w:val="20"/>
                <w:szCs w:val="20"/>
              </w:rPr>
            </w:pPr>
            <w:r w:rsidRPr="001D7F6C">
              <w:rPr>
                <w:color w:val="666666"/>
                <w:sz w:val="20"/>
                <w:szCs w:val="20"/>
              </w:rPr>
              <w:t> </w:t>
            </w:r>
          </w:p>
        </w:tc>
        <w:tc>
          <w:tcPr>
            <w:tcW w:w="1302" w:type="dxa"/>
            <w:hideMark/>
          </w:tcPr>
          <w:p w14:paraId="67CC4A18" w14:textId="77777777" w:rsidR="00FA36F7" w:rsidRPr="001D7F6C" w:rsidRDefault="00FA36F7" w:rsidP="001D7F6C">
            <w:pPr>
              <w:pStyle w:val="NoSpacing"/>
              <w:rPr>
                <w:color w:val="666666"/>
                <w:sz w:val="20"/>
                <w:szCs w:val="20"/>
              </w:rPr>
            </w:pPr>
            <w:r w:rsidRPr="001D7F6C">
              <w:rPr>
                <w:color w:val="666666"/>
                <w:sz w:val="20"/>
                <w:szCs w:val="20"/>
              </w:rPr>
              <w:t> </w:t>
            </w:r>
          </w:p>
        </w:tc>
        <w:tc>
          <w:tcPr>
            <w:tcW w:w="1310" w:type="dxa"/>
            <w:hideMark/>
          </w:tcPr>
          <w:p w14:paraId="23437335" w14:textId="77777777" w:rsidR="00FA36F7" w:rsidRPr="001D7F6C" w:rsidRDefault="00FA36F7" w:rsidP="001D7F6C">
            <w:pPr>
              <w:pStyle w:val="NoSpacing"/>
              <w:rPr>
                <w:color w:val="666666"/>
                <w:sz w:val="20"/>
                <w:szCs w:val="20"/>
              </w:rPr>
            </w:pPr>
            <w:r w:rsidRPr="001D7F6C">
              <w:rPr>
                <w:color w:val="666666"/>
                <w:sz w:val="20"/>
                <w:szCs w:val="20"/>
              </w:rPr>
              <w:t> </w:t>
            </w:r>
          </w:p>
        </w:tc>
      </w:tr>
      <w:tr w:rsidR="001D7F6C" w:rsidRPr="001D7F6C" w14:paraId="04EBB541" w14:textId="77777777" w:rsidTr="00B767AE">
        <w:tc>
          <w:tcPr>
            <w:tcW w:w="2695" w:type="dxa"/>
            <w:hideMark/>
          </w:tcPr>
          <w:p w14:paraId="4B4FB16F" w14:textId="77777777" w:rsidR="00FA36F7" w:rsidRPr="001D7F6C" w:rsidRDefault="00FA36F7" w:rsidP="001D7F6C">
            <w:pPr>
              <w:pStyle w:val="NoSpacing"/>
              <w:rPr>
                <w:color w:val="666666"/>
                <w:sz w:val="20"/>
                <w:szCs w:val="20"/>
              </w:rPr>
            </w:pPr>
            <w:r w:rsidRPr="001D7F6C">
              <w:rPr>
                <w:color w:val="666666"/>
                <w:sz w:val="20"/>
                <w:szCs w:val="20"/>
              </w:rPr>
              <w:t> </w:t>
            </w:r>
            <w:r w:rsidRPr="001D7F6C">
              <w:rPr>
                <w:color w:val="666666"/>
                <w:sz w:val="20"/>
                <w:szCs w:val="20"/>
              </w:rPr>
              <w:t>Schedule of sexist events</w:t>
            </w:r>
          </w:p>
        </w:tc>
        <w:tc>
          <w:tcPr>
            <w:tcW w:w="1260" w:type="dxa"/>
            <w:hideMark/>
          </w:tcPr>
          <w:p w14:paraId="4B56BD79" w14:textId="77777777" w:rsidR="00FA36F7" w:rsidRPr="001D7F6C" w:rsidRDefault="00FA36F7" w:rsidP="001D7F6C">
            <w:pPr>
              <w:pStyle w:val="NoSpacing"/>
              <w:rPr>
                <w:color w:val="666666"/>
                <w:sz w:val="20"/>
                <w:szCs w:val="20"/>
              </w:rPr>
            </w:pPr>
            <w:r w:rsidRPr="001D7F6C">
              <w:rPr>
                <w:color w:val="666666"/>
                <w:sz w:val="20"/>
                <w:szCs w:val="20"/>
              </w:rPr>
              <w:t>−.14**</w:t>
            </w:r>
          </w:p>
        </w:tc>
        <w:tc>
          <w:tcPr>
            <w:tcW w:w="1043" w:type="dxa"/>
            <w:hideMark/>
          </w:tcPr>
          <w:p w14:paraId="59AFB61A" w14:textId="77777777" w:rsidR="00FA36F7" w:rsidRPr="001D7F6C" w:rsidRDefault="00FA36F7" w:rsidP="001D7F6C">
            <w:pPr>
              <w:pStyle w:val="NoSpacing"/>
              <w:rPr>
                <w:color w:val="666666"/>
                <w:sz w:val="20"/>
                <w:szCs w:val="20"/>
              </w:rPr>
            </w:pPr>
            <w:r w:rsidRPr="001D7F6C">
              <w:rPr>
                <w:color w:val="666666"/>
                <w:sz w:val="20"/>
                <w:szCs w:val="20"/>
              </w:rPr>
              <w:t>.18**</w:t>
            </w:r>
          </w:p>
        </w:tc>
        <w:tc>
          <w:tcPr>
            <w:tcW w:w="1117" w:type="dxa"/>
            <w:hideMark/>
          </w:tcPr>
          <w:p w14:paraId="44E9F9E8" w14:textId="77777777" w:rsidR="00FA36F7" w:rsidRPr="001D7F6C" w:rsidRDefault="00FA36F7" w:rsidP="001D7F6C">
            <w:pPr>
              <w:pStyle w:val="NoSpacing"/>
              <w:rPr>
                <w:color w:val="666666"/>
                <w:sz w:val="20"/>
                <w:szCs w:val="20"/>
              </w:rPr>
            </w:pPr>
            <w:r w:rsidRPr="001D7F6C">
              <w:rPr>
                <w:color w:val="666666"/>
                <w:sz w:val="20"/>
                <w:szCs w:val="20"/>
              </w:rPr>
              <w:t>.04</w:t>
            </w:r>
          </w:p>
        </w:tc>
        <w:tc>
          <w:tcPr>
            <w:tcW w:w="1343" w:type="dxa"/>
            <w:hideMark/>
          </w:tcPr>
          <w:p w14:paraId="5F2519CA" w14:textId="77777777" w:rsidR="00FA36F7" w:rsidRPr="001D7F6C" w:rsidRDefault="00FA36F7" w:rsidP="001D7F6C">
            <w:pPr>
              <w:pStyle w:val="NoSpacing"/>
              <w:rPr>
                <w:color w:val="666666"/>
                <w:sz w:val="20"/>
                <w:szCs w:val="20"/>
              </w:rPr>
            </w:pPr>
            <w:r w:rsidRPr="001D7F6C">
              <w:rPr>
                <w:color w:val="666666"/>
                <w:sz w:val="20"/>
                <w:szCs w:val="20"/>
              </w:rPr>
              <w:t> </w:t>
            </w:r>
          </w:p>
        </w:tc>
        <w:tc>
          <w:tcPr>
            <w:tcW w:w="1302" w:type="dxa"/>
            <w:hideMark/>
          </w:tcPr>
          <w:p w14:paraId="2D5B326D" w14:textId="77777777" w:rsidR="00FA36F7" w:rsidRPr="001D7F6C" w:rsidRDefault="00FA36F7" w:rsidP="001D7F6C">
            <w:pPr>
              <w:pStyle w:val="NoSpacing"/>
              <w:rPr>
                <w:color w:val="666666"/>
                <w:sz w:val="20"/>
                <w:szCs w:val="20"/>
              </w:rPr>
            </w:pPr>
            <w:r w:rsidRPr="001D7F6C">
              <w:rPr>
                <w:color w:val="666666"/>
                <w:sz w:val="20"/>
                <w:szCs w:val="20"/>
              </w:rPr>
              <w:t> </w:t>
            </w:r>
          </w:p>
        </w:tc>
        <w:tc>
          <w:tcPr>
            <w:tcW w:w="1310" w:type="dxa"/>
            <w:hideMark/>
          </w:tcPr>
          <w:p w14:paraId="1EAA437C" w14:textId="77777777" w:rsidR="00FA36F7" w:rsidRPr="001D7F6C" w:rsidRDefault="00FA36F7" w:rsidP="001D7F6C">
            <w:pPr>
              <w:pStyle w:val="NoSpacing"/>
              <w:rPr>
                <w:color w:val="666666"/>
                <w:sz w:val="20"/>
                <w:szCs w:val="20"/>
              </w:rPr>
            </w:pPr>
            <w:r w:rsidRPr="001D7F6C">
              <w:rPr>
                <w:color w:val="666666"/>
                <w:sz w:val="20"/>
                <w:szCs w:val="20"/>
              </w:rPr>
              <w:t> </w:t>
            </w:r>
          </w:p>
        </w:tc>
      </w:tr>
      <w:tr w:rsidR="00B767AE" w:rsidRPr="001D7F6C" w14:paraId="38E31F9F" w14:textId="77777777" w:rsidTr="00B767AE">
        <w:tc>
          <w:tcPr>
            <w:tcW w:w="2695" w:type="dxa"/>
          </w:tcPr>
          <w:p w14:paraId="4B90E3FB" w14:textId="791D2A7E" w:rsidR="00B767AE" w:rsidRPr="001D7F6C" w:rsidRDefault="00B767AE" w:rsidP="001D7F6C">
            <w:pPr>
              <w:pStyle w:val="NoSpacing"/>
              <w:rPr>
                <w:color w:val="666666"/>
                <w:sz w:val="20"/>
                <w:szCs w:val="20"/>
              </w:rPr>
            </w:pPr>
            <w:r w:rsidRPr="00B767AE">
              <w:rPr>
                <w:color w:val="666666"/>
                <w:sz w:val="20"/>
                <w:szCs w:val="20"/>
              </w:rPr>
              <w:t>(b) Study 2</w:t>
            </w:r>
          </w:p>
        </w:tc>
        <w:tc>
          <w:tcPr>
            <w:tcW w:w="1260" w:type="dxa"/>
          </w:tcPr>
          <w:p w14:paraId="1086EAA7" w14:textId="77777777" w:rsidR="00B767AE" w:rsidRPr="001D7F6C" w:rsidRDefault="00B767AE" w:rsidP="001D7F6C">
            <w:pPr>
              <w:pStyle w:val="NoSpacing"/>
              <w:rPr>
                <w:color w:val="666666"/>
                <w:sz w:val="20"/>
                <w:szCs w:val="20"/>
              </w:rPr>
            </w:pPr>
          </w:p>
        </w:tc>
        <w:tc>
          <w:tcPr>
            <w:tcW w:w="1043" w:type="dxa"/>
          </w:tcPr>
          <w:p w14:paraId="22E4D3AC" w14:textId="77777777" w:rsidR="00B767AE" w:rsidRPr="001D7F6C" w:rsidRDefault="00B767AE" w:rsidP="001D7F6C">
            <w:pPr>
              <w:pStyle w:val="NoSpacing"/>
              <w:rPr>
                <w:color w:val="666666"/>
                <w:sz w:val="20"/>
                <w:szCs w:val="20"/>
              </w:rPr>
            </w:pPr>
          </w:p>
        </w:tc>
        <w:tc>
          <w:tcPr>
            <w:tcW w:w="1117" w:type="dxa"/>
          </w:tcPr>
          <w:p w14:paraId="3F994081" w14:textId="77777777" w:rsidR="00B767AE" w:rsidRPr="001D7F6C" w:rsidRDefault="00B767AE" w:rsidP="001D7F6C">
            <w:pPr>
              <w:pStyle w:val="NoSpacing"/>
              <w:rPr>
                <w:color w:val="666666"/>
                <w:sz w:val="20"/>
                <w:szCs w:val="20"/>
              </w:rPr>
            </w:pPr>
          </w:p>
        </w:tc>
        <w:tc>
          <w:tcPr>
            <w:tcW w:w="1343" w:type="dxa"/>
          </w:tcPr>
          <w:p w14:paraId="754C7897" w14:textId="77777777" w:rsidR="00B767AE" w:rsidRPr="001D7F6C" w:rsidRDefault="00B767AE" w:rsidP="001D7F6C">
            <w:pPr>
              <w:pStyle w:val="NoSpacing"/>
              <w:rPr>
                <w:color w:val="666666"/>
                <w:sz w:val="20"/>
                <w:szCs w:val="20"/>
              </w:rPr>
            </w:pPr>
          </w:p>
        </w:tc>
        <w:tc>
          <w:tcPr>
            <w:tcW w:w="1302" w:type="dxa"/>
          </w:tcPr>
          <w:p w14:paraId="11BB2FFF" w14:textId="77777777" w:rsidR="00B767AE" w:rsidRPr="001D7F6C" w:rsidRDefault="00B767AE" w:rsidP="001D7F6C">
            <w:pPr>
              <w:pStyle w:val="NoSpacing"/>
              <w:rPr>
                <w:color w:val="666666"/>
                <w:sz w:val="20"/>
                <w:szCs w:val="20"/>
              </w:rPr>
            </w:pPr>
          </w:p>
        </w:tc>
        <w:tc>
          <w:tcPr>
            <w:tcW w:w="1310" w:type="dxa"/>
          </w:tcPr>
          <w:p w14:paraId="552CF5EB" w14:textId="77777777" w:rsidR="00B767AE" w:rsidRPr="001D7F6C" w:rsidRDefault="00B767AE" w:rsidP="001D7F6C">
            <w:pPr>
              <w:pStyle w:val="NoSpacing"/>
              <w:rPr>
                <w:color w:val="666666"/>
                <w:sz w:val="20"/>
                <w:szCs w:val="20"/>
              </w:rPr>
            </w:pPr>
          </w:p>
        </w:tc>
      </w:tr>
      <w:tr w:rsidR="001D7F6C" w:rsidRPr="001D7F6C" w14:paraId="6CE9A543" w14:textId="77777777" w:rsidTr="00B767AE">
        <w:tc>
          <w:tcPr>
            <w:tcW w:w="2695" w:type="dxa"/>
            <w:hideMark/>
          </w:tcPr>
          <w:p w14:paraId="034CE406" w14:textId="77777777" w:rsidR="00FA36F7" w:rsidRPr="001D7F6C" w:rsidRDefault="00FA36F7" w:rsidP="001D7F6C">
            <w:pPr>
              <w:pStyle w:val="NoSpacing"/>
              <w:rPr>
                <w:color w:val="666666"/>
                <w:sz w:val="20"/>
                <w:szCs w:val="20"/>
              </w:rPr>
            </w:pPr>
            <w:r w:rsidRPr="001D7F6C">
              <w:rPr>
                <w:color w:val="666666"/>
                <w:sz w:val="20"/>
                <w:szCs w:val="20"/>
              </w:rPr>
              <w:t> </w:t>
            </w:r>
            <w:r w:rsidRPr="001D7F6C">
              <w:rPr>
                <w:color w:val="666666"/>
                <w:sz w:val="20"/>
                <w:szCs w:val="20"/>
              </w:rPr>
              <w:t>Complementary gender differentiation</w:t>
            </w:r>
          </w:p>
        </w:tc>
        <w:tc>
          <w:tcPr>
            <w:tcW w:w="1260" w:type="dxa"/>
            <w:hideMark/>
          </w:tcPr>
          <w:p w14:paraId="37D46E1B" w14:textId="77777777" w:rsidR="00FA36F7" w:rsidRPr="001D7F6C" w:rsidRDefault="00FA36F7" w:rsidP="001D7F6C">
            <w:pPr>
              <w:pStyle w:val="NoSpacing"/>
              <w:rPr>
                <w:color w:val="666666"/>
                <w:sz w:val="20"/>
                <w:szCs w:val="20"/>
              </w:rPr>
            </w:pPr>
            <w:r w:rsidRPr="001D7F6C">
              <w:rPr>
                <w:color w:val="666666"/>
                <w:sz w:val="20"/>
                <w:szCs w:val="20"/>
              </w:rPr>
              <w:t>.06</w:t>
            </w:r>
          </w:p>
        </w:tc>
        <w:tc>
          <w:tcPr>
            <w:tcW w:w="1043" w:type="dxa"/>
            <w:hideMark/>
          </w:tcPr>
          <w:p w14:paraId="6B90D6ED" w14:textId="77777777" w:rsidR="00FA36F7" w:rsidRPr="001D7F6C" w:rsidRDefault="00FA36F7" w:rsidP="001D7F6C">
            <w:pPr>
              <w:pStyle w:val="NoSpacing"/>
              <w:rPr>
                <w:color w:val="666666"/>
                <w:sz w:val="20"/>
                <w:szCs w:val="20"/>
              </w:rPr>
            </w:pPr>
            <w:r w:rsidRPr="001D7F6C">
              <w:rPr>
                <w:color w:val="666666"/>
                <w:sz w:val="20"/>
                <w:szCs w:val="20"/>
              </w:rPr>
              <w:t>−.04</w:t>
            </w:r>
          </w:p>
        </w:tc>
        <w:tc>
          <w:tcPr>
            <w:tcW w:w="1117" w:type="dxa"/>
            <w:hideMark/>
          </w:tcPr>
          <w:p w14:paraId="2E924021" w14:textId="77777777" w:rsidR="00FA36F7" w:rsidRPr="001D7F6C" w:rsidRDefault="00FA36F7" w:rsidP="001D7F6C">
            <w:pPr>
              <w:pStyle w:val="NoSpacing"/>
              <w:rPr>
                <w:color w:val="666666"/>
                <w:sz w:val="20"/>
                <w:szCs w:val="20"/>
              </w:rPr>
            </w:pPr>
            <w:r w:rsidRPr="001D7F6C">
              <w:rPr>
                <w:color w:val="666666"/>
                <w:sz w:val="20"/>
                <w:szCs w:val="20"/>
              </w:rPr>
              <w:t>−.03</w:t>
            </w:r>
          </w:p>
        </w:tc>
        <w:tc>
          <w:tcPr>
            <w:tcW w:w="1343" w:type="dxa"/>
            <w:hideMark/>
          </w:tcPr>
          <w:p w14:paraId="3BB2F98C" w14:textId="77777777" w:rsidR="00FA36F7" w:rsidRPr="001D7F6C" w:rsidRDefault="00FA36F7" w:rsidP="001D7F6C">
            <w:pPr>
              <w:pStyle w:val="NoSpacing"/>
              <w:rPr>
                <w:color w:val="666666"/>
                <w:sz w:val="20"/>
                <w:szCs w:val="20"/>
              </w:rPr>
            </w:pPr>
            <w:r w:rsidRPr="001D7F6C">
              <w:rPr>
                <w:color w:val="666666"/>
                <w:sz w:val="20"/>
                <w:szCs w:val="20"/>
              </w:rPr>
              <w:t>.06</w:t>
            </w:r>
          </w:p>
        </w:tc>
        <w:tc>
          <w:tcPr>
            <w:tcW w:w="1302" w:type="dxa"/>
            <w:hideMark/>
          </w:tcPr>
          <w:p w14:paraId="5C1C353E" w14:textId="77777777" w:rsidR="00FA36F7" w:rsidRPr="001D7F6C" w:rsidRDefault="00FA36F7" w:rsidP="001D7F6C">
            <w:pPr>
              <w:pStyle w:val="NoSpacing"/>
              <w:rPr>
                <w:color w:val="666666"/>
                <w:sz w:val="20"/>
                <w:szCs w:val="20"/>
              </w:rPr>
            </w:pPr>
            <w:r w:rsidRPr="001D7F6C">
              <w:rPr>
                <w:color w:val="666666"/>
                <w:sz w:val="20"/>
                <w:szCs w:val="20"/>
              </w:rPr>
              <w:t>.14*</w:t>
            </w:r>
          </w:p>
        </w:tc>
        <w:tc>
          <w:tcPr>
            <w:tcW w:w="1310" w:type="dxa"/>
            <w:hideMark/>
          </w:tcPr>
          <w:p w14:paraId="41336D01" w14:textId="77777777" w:rsidR="00FA36F7" w:rsidRPr="001D7F6C" w:rsidRDefault="00FA36F7" w:rsidP="001D7F6C">
            <w:pPr>
              <w:pStyle w:val="NoSpacing"/>
              <w:rPr>
                <w:color w:val="666666"/>
                <w:sz w:val="20"/>
                <w:szCs w:val="20"/>
              </w:rPr>
            </w:pPr>
            <w:r w:rsidRPr="001D7F6C">
              <w:rPr>
                <w:color w:val="666666"/>
                <w:sz w:val="20"/>
                <w:szCs w:val="20"/>
              </w:rPr>
              <w:t>.10</w:t>
            </w:r>
          </w:p>
        </w:tc>
      </w:tr>
      <w:tr w:rsidR="001D7F6C" w:rsidRPr="001D7F6C" w14:paraId="700EF278" w14:textId="77777777" w:rsidTr="00B767AE">
        <w:tc>
          <w:tcPr>
            <w:tcW w:w="2695" w:type="dxa"/>
            <w:hideMark/>
          </w:tcPr>
          <w:p w14:paraId="5A75FCBD" w14:textId="77777777" w:rsidR="00FA36F7" w:rsidRPr="001D7F6C" w:rsidRDefault="00FA36F7" w:rsidP="001D7F6C">
            <w:pPr>
              <w:pStyle w:val="NoSpacing"/>
              <w:rPr>
                <w:color w:val="666666"/>
                <w:sz w:val="20"/>
                <w:szCs w:val="20"/>
              </w:rPr>
            </w:pPr>
            <w:r w:rsidRPr="001D7F6C">
              <w:rPr>
                <w:color w:val="666666"/>
                <w:sz w:val="20"/>
                <w:szCs w:val="20"/>
              </w:rPr>
              <w:t> </w:t>
            </w:r>
            <w:r w:rsidRPr="001D7F6C">
              <w:rPr>
                <w:color w:val="666666"/>
                <w:sz w:val="20"/>
                <w:szCs w:val="20"/>
              </w:rPr>
              <w:t>Heterosexual intimacy</w:t>
            </w:r>
          </w:p>
        </w:tc>
        <w:tc>
          <w:tcPr>
            <w:tcW w:w="1260" w:type="dxa"/>
            <w:hideMark/>
          </w:tcPr>
          <w:p w14:paraId="7B6DD32C" w14:textId="77777777" w:rsidR="00FA36F7" w:rsidRPr="001D7F6C" w:rsidRDefault="00FA36F7" w:rsidP="001D7F6C">
            <w:pPr>
              <w:pStyle w:val="NoSpacing"/>
              <w:rPr>
                <w:color w:val="666666"/>
                <w:sz w:val="20"/>
                <w:szCs w:val="20"/>
              </w:rPr>
            </w:pPr>
            <w:r w:rsidRPr="001D7F6C">
              <w:rPr>
                <w:color w:val="666666"/>
                <w:sz w:val="20"/>
                <w:szCs w:val="20"/>
              </w:rPr>
              <w:t>−.07</w:t>
            </w:r>
          </w:p>
        </w:tc>
        <w:tc>
          <w:tcPr>
            <w:tcW w:w="1043" w:type="dxa"/>
            <w:hideMark/>
          </w:tcPr>
          <w:p w14:paraId="3F4B2A22" w14:textId="77777777" w:rsidR="00FA36F7" w:rsidRPr="001D7F6C" w:rsidRDefault="00FA36F7" w:rsidP="001D7F6C">
            <w:pPr>
              <w:pStyle w:val="NoSpacing"/>
              <w:rPr>
                <w:color w:val="666666"/>
                <w:sz w:val="20"/>
                <w:szCs w:val="20"/>
              </w:rPr>
            </w:pPr>
            <w:r w:rsidRPr="001D7F6C">
              <w:rPr>
                <w:color w:val="666666"/>
                <w:sz w:val="20"/>
                <w:szCs w:val="20"/>
              </w:rPr>
              <w:t>.08</w:t>
            </w:r>
          </w:p>
        </w:tc>
        <w:tc>
          <w:tcPr>
            <w:tcW w:w="1117" w:type="dxa"/>
            <w:hideMark/>
          </w:tcPr>
          <w:p w14:paraId="419C2A9A" w14:textId="77777777" w:rsidR="00FA36F7" w:rsidRPr="001D7F6C" w:rsidRDefault="00FA36F7" w:rsidP="001D7F6C">
            <w:pPr>
              <w:pStyle w:val="NoSpacing"/>
              <w:rPr>
                <w:color w:val="666666"/>
                <w:sz w:val="20"/>
                <w:szCs w:val="20"/>
              </w:rPr>
            </w:pPr>
            <w:r w:rsidRPr="001D7F6C">
              <w:rPr>
                <w:color w:val="666666"/>
                <w:sz w:val="20"/>
                <w:szCs w:val="20"/>
              </w:rPr>
              <w:t>.07</w:t>
            </w:r>
          </w:p>
        </w:tc>
        <w:tc>
          <w:tcPr>
            <w:tcW w:w="1343" w:type="dxa"/>
            <w:hideMark/>
          </w:tcPr>
          <w:p w14:paraId="1F1B1E07" w14:textId="77777777" w:rsidR="00FA36F7" w:rsidRPr="001D7F6C" w:rsidRDefault="00FA36F7" w:rsidP="001D7F6C">
            <w:pPr>
              <w:pStyle w:val="NoSpacing"/>
              <w:rPr>
                <w:color w:val="666666"/>
                <w:sz w:val="20"/>
                <w:szCs w:val="20"/>
              </w:rPr>
            </w:pPr>
            <w:r w:rsidRPr="001D7F6C">
              <w:rPr>
                <w:color w:val="666666"/>
                <w:sz w:val="20"/>
                <w:szCs w:val="20"/>
              </w:rPr>
              <w:t>−.02</w:t>
            </w:r>
          </w:p>
        </w:tc>
        <w:tc>
          <w:tcPr>
            <w:tcW w:w="1302" w:type="dxa"/>
            <w:hideMark/>
          </w:tcPr>
          <w:p w14:paraId="6E5BC257" w14:textId="77777777" w:rsidR="00FA36F7" w:rsidRPr="001D7F6C" w:rsidRDefault="00FA36F7" w:rsidP="001D7F6C">
            <w:pPr>
              <w:pStyle w:val="NoSpacing"/>
              <w:rPr>
                <w:color w:val="666666"/>
                <w:sz w:val="20"/>
                <w:szCs w:val="20"/>
              </w:rPr>
            </w:pPr>
            <w:r w:rsidRPr="001D7F6C">
              <w:rPr>
                <w:color w:val="666666"/>
                <w:sz w:val="20"/>
                <w:szCs w:val="20"/>
              </w:rPr>
              <w:t>.02</w:t>
            </w:r>
          </w:p>
        </w:tc>
        <w:tc>
          <w:tcPr>
            <w:tcW w:w="1310" w:type="dxa"/>
            <w:hideMark/>
          </w:tcPr>
          <w:p w14:paraId="513B6E9A" w14:textId="77777777" w:rsidR="00FA36F7" w:rsidRPr="001D7F6C" w:rsidRDefault="00FA36F7" w:rsidP="001D7F6C">
            <w:pPr>
              <w:pStyle w:val="NoSpacing"/>
              <w:rPr>
                <w:color w:val="666666"/>
                <w:sz w:val="20"/>
                <w:szCs w:val="20"/>
              </w:rPr>
            </w:pPr>
            <w:r w:rsidRPr="001D7F6C">
              <w:rPr>
                <w:color w:val="666666"/>
                <w:sz w:val="20"/>
                <w:szCs w:val="20"/>
              </w:rPr>
              <w:t>−.06</w:t>
            </w:r>
          </w:p>
        </w:tc>
      </w:tr>
      <w:tr w:rsidR="001D7F6C" w:rsidRPr="001D7F6C" w14:paraId="1CC40E86" w14:textId="77777777" w:rsidTr="00B767AE">
        <w:tc>
          <w:tcPr>
            <w:tcW w:w="2695" w:type="dxa"/>
            <w:hideMark/>
          </w:tcPr>
          <w:p w14:paraId="0878CE59" w14:textId="77777777" w:rsidR="00FA36F7" w:rsidRPr="001D7F6C" w:rsidRDefault="00FA36F7" w:rsidP="001D7F6C">
            <w:pPr>
              <w:pStyle w:val="NoSpacing"/>
              <w:rPr>
                <w:color w:val="666666"/>
                <w:sz w:val="20"/>
                <w:szCs w:val="20"/>
              </w:rPr>
            </w:pPr>
            <w:r w:rsidRPr="001D7F6C">
              <w:rPr>
                <w:color w:val="666666"/>
                <w:sz w:val="20"/>
                <w:szCs w:val="20"/>
              </w:rPr>
              <w:t> </w:t>
            </w:r>
            <w:r w:rsidRPr="001D7F6C">
              <w:rPr>
                <w:color w:val="666666"/>
                <w:sz w:val="20"/>
                <w:szCs w:val="20"/>
              </w:rPr>
              <w:t>Protective paternalism</w:t>
            </w:r>
          </w:p>
        </w:tc>
        <w:tc>
          <w:tcPr>
            <w:tcW w:w="1260" w:type="dxa"/>
            <w:hideMark/>
          </w:tcPr>
          <w:p w14:paraId="1D90DD6A" w14:textId="77777777" w:rsidR="00FA36F7" w:rsidRPr="001D7F6C" w:rsidRDefault="00FA36F7" w:rsidP="001D7F6C">
            <w:pPr>
              <w:pStyle w:val="NoSpacing"/>
              <w:rPr>
                <w:color w:val="666666"/>
                <w:sz w:val="20"/>
                <w:szCs w:val="20"/>
              </w:rPr>
            </w:pPr>
            <w:r w:rsidRPr="001D7F6C">
              <w:rPr>
                <w:color w:val="666666"/>
                <w:sz w:val="20"/>
                <w:szCs w:val="20"/>
              </w:rPr>
              <w:t>−.15*</w:t>
            </w:r>
          </w:p>
        </w:tc>
        <w:tc>
          <w:tcPr>
            <w:tcW w:w="1043" w:type="dxa"/>
            <w:hideMark/>
          </w:tcPr>
          <w:p w14:paraId="598ADE02" w14:textId="77777777" w:rsidR="00FA36F7" w:rsidRPr="001D7F6C" w:rsidRDefault="00FA36F7" w:rsidP="001D7F6C">
            <w:pPr>
              <w:pStyle w:val="NoSpacing"/>
              <w:rPr>
                <w:color w:val="666666"/>
                <w:sz w:val="20"/>
                <w:szCs w:val="20"/>
              </w:rPr>
            </w:pPr>
            <w:r w:rsidRPr="001D7F6C">
              <w:rPr>
                <w:color w:val="666666"/>
                <w:sz w:val="20"/>
                <w:szCs w:val="20"/>
              </w:rPr>
              <w:t>.18**</w:t>
            </w:r>
          </w:p>
        </w:tc>
        <w:tc>
          <w:tcPr>
            <w:tcW w:w="1117" w:type="dxa"/>
            <w:hideMark/>
          </w:tcPr>
          <w:p w14:paraId="3F73DCE6" w14:textId="77777777" w:rsidR="00FA36F7" w:rsidRPr="001D7F6C" w:rsidRDefault="00FA36F7" w:rsidP="001D7F6C">
            <w:pPr>
              <w:pStyle w:val="NoSpacing"/>
              <w:rPr>
                <w:color w:val="666666"/>
                <w:sz w:val="20"/>
                <w:szCs w:val="20"/>
              </w:rPr>
            </w:pPr>
            <w:r w:rsidRPr="001D7F6C">
              <w:rPr>
                <w:color w:val="666666"/>
                <w:sz w:val="20"/>
                <w:szCs w:val="20"/>
              </w:rPr>
              <w:t>.12</w:t>
            </w:r>
          </w:p>
        </w:tc>
        <w:tc>
          <w:tcPr>
            <w:tcW w:w="1343" w:type="dxa"/>
            <w:hideMark/>
          </w:tcPr>
          <w:p w14:paraId="5AEE4C27" w14:textId="77777777" w:rsidR="00FA36F7" w:rsidRPr="001D7F6C" w:rsidRDefault="00FA36F7" w:rsidP="001D7F6C">
            <w:pPr>
              <w:pStyle w:val="NoSpacing"/>
              <w:rPr>
                <w:color w:val="666666"/>
                <w:sz w:val="20"/>
                <w:szCs w:val="20"/>
              </w:rPr>
            </w:pPr>
            <w:r w:rsidRPr="001D7F6C">
              <w:rPr>
                <w:color w:val="666666"/>
                <w:sz w:val="20"/>
                <w:szCs w:val="20"/>
              </w:rPr>
              <w:t>−.15*</w:t>
            </w:r>
          </w:p>
        </w:tc>
        <w:tc>
          <w:tcPr>
            <w:tcW w:w="1302" w:type="dxa"/>
            <w:hideMark/>
          </w:tcPr>
          <w:p w14:paraId="02EC63E4" w14:textId="77777777" w:rsidR="00FA36F7" w:rsidRPr="001D7F6C" w:rsidRDefault="00FA36F7" w:rsidP="001D7F6C">
            <w:pPr>
              <w:pStyle w:val="NoSpacing"/>
              <w:rPr>
                <w:color w:val="666666"/>
                <w:sz w:val="20"/>
                <w:szCs w:val="20"/>
              </w:rPr>
            </w:pPr>
            <w:r w:rsidRPr="001D7F6C">
              <w:rPr>
                <w:color w:val="666666"/>
                <w:sz w:val="20"/>
                <w:szCs w:val="20"/>
              </w:rPr>
              <w:t>−.07</w:t>
            </w:r>
          </w:p>
        </w:tc>
        <w:tc>
          <w:tcPr>
            <w:tcW w:w="1310" w:type="dxa"/>
            <w:hideMark/>
          </w:tcPr>
          <w:p w14:paraId="41C0CEA3" w14:textId="77777777" w:rsidR="00FA36F7" w:rsidRPr="001D7F6C" w:rsidRDefault="00FA36F7" w:rsidP="001D7F6C">
            <w:pPr>
              <w:pStyle w:val="NoSpacing"/>
              <w:rPr>
                <w:color w:val="666666"/>
                <w:sz w:val="20"/>
                <w:szCs w:val="20"/>
              </w:rPr>
            </w:pPr>
            <w:r w:rsidRPr="001D7F6C">
              <w:rPr>
                <w:color w:val="666666"/>
                <w:sz w:val="20"/>
                <w:szCs w:val="20"/>
              </w:rPr>
              <w:t>−.16*</w:t>
            </w:r>
          </w:p>
        </w:tc>
      </w:tr>
      <w:tr w:rsidR="001D7F6C" w:rsidRPr="001D7F6C" w14:paraId="456F7EBC" w14:textId="77777777" w:rsidTr="00B767AE">
        <w:tc>
          <w:tcPr>
            <w:tcW w:w="2695" w:type="dxa"/>
            <w:hideMark/>
          </w:tcPr>
          <w:p w14:paraId="286DE3DA" w14:textId="77777777" w:rsidR="00FA36F7" w:rsidRPr="001D7F6C" w:rsidRDefault="00FA36F7" w:rsidP="001D7F6C">
            <w:pPr>
              <w:pStyle w:val="NoSpacing"/>
              <w:rPr>
                <w:color w:val="666666"/>
                <w:sz w:val="20"/>
                <w:szCs w:val="20"/>
              </w:rPr>
            </w:pPr>
            <w:r w:rsidRPr="001D7F6C">
              <w:rPr>
                <w:color w:val="666666"/>
                <w:sz w:val="20"/>
                <w:szCs w:val="20"/>
              </w:rPr>
              <w:t> </w:t>
            </w:r>
            <w:r w:rsidRPr="001D7F6C">
              <w:rPr>
                <w:color w:val="666666"/>
                <w:sz w:val="20"/>
                <w:szCs w:val="20"/>
              </w:rPr>
              <w:t>Schedule of sexist events</w:t>
            </w:r>
          </w:p>
        </w:tc>
        <w:tc>
          <w:tcPr>
            <w:tcW w:w="1260" w:type="dxa"/>
            <w:hideMark/>
          </w:tcPr>
          <w:p w14:paraId="1ACAEC60" w14:textId="77777777" w:rsidR="00FA36F7" w:rsidRPr="001D7F6C" w:rsidRDefault="00FA36F7" w:rsidP="001D7F6C">
            <w:pPr>
              <w:pStyle w:val="NoSpacing"/>
              <w:rPr>
                <w:color w:val="666666"/>
                <w:sz w:val="20"/>
                <w:szCs w:val="20"/>
              </w:rPr>
            </w:pPr>
            <w:r w:rsidRPr="001D7F6C">
              <w:rPr>
                <w:color w:val="666666"/>
                <w:sz w:val="20"/>
                <w:szCs w:val="20"/>
              </w:rPr>
              <w:t>−.23**</w:t>
            </w:r>
          </w:p>
        </w:tc>
        <w:tc>
          <w:tcPr>
            <w:tcW w:w="1043" w:type="dxa"/>
            <w:hideMark/>
          </w:tcPr>
          <w:p w14:paraId="75DAF1F8" w14:textId="77777777" w:rsidR="00FA36F7" w:rsidRPr="001D7F6C" w:rsidRDefault="00FA36F7" w:rsidP="001D7F6C">
            <w:pPr>
              <w:pStyle w:val="NoSpacing"/>
              <w:rPr>
                <w:color w:val="666666"/>
                <w:sz w:val="20"/>
                <w:szCs w:val="20"/>
              </w:rPr>
            </w:pPr>
            <w:r w:rsidRPr="001D7F6C">
              <w:rPr>
                <w:color w:val="666666"/>
                <w:sz w:val="20"/>
                <w:szCs w:val="20"/>
              </w:rPr>
              <w:t>.20**</w:t>
            </w:r>
          </w:p>
        </w:tc>
        <w:tc>
          <w:tcPr>
            <w:tcW w:w="1117" w:type="dxa"/>
            <w:hideMark/>
          </w:tcPr>
          <w:p w14:paraId="6B81A1CA" w14:textId="77777777" w:rsidR="00FA36F7" w:rsidRPr="001D7F6C" w:rsidRDefault="00FA36F7" w:rsidP="001D7F6C">
            <w:pPr>
              <w:pStyle w:val="NoSpacing"/>
              <w:rPr>
                <w:color w:val="666666"/>
                <w:sz w:val="20"/>
                <w:szCs w:val="20"/>
              </w:rPr>
            </w:pPr>
            <w:r w:rsidRPr="001D7F6C">
              <w:rPr>
                <w:color w:val="666666"/>
                <w:sz w:val="20"/>
                <w:szCs w:val="20"/>
              </w:rPr>
              <w:t>.16*</w:t>
            </w:r>
          </w:p>
        </w:tc>
        <w:tc>
          <w:tcPr>
            <w:tcW w:w="1343" w:type="dxa"/>
            <w:hideMark/>
          </w:tcPr>
          <w:p w14:paraId="6728B565" w14:textId="77777777" w:rsidR="00FA36F7" w:rsidRPr="001D7F6C" w:rsidRDefault="00FA36F7" w:rsidP="001D7F6C">
            <w:pPr>
              <w:pStyle w:val="NoSpacing"/>
              <w:rPr>
                <w:color w:val="666666"/>
                <w:sz w:val="20"/>
                <w:szCs w:val="20"/>
              </w:rPr>
            </w:pPr>
            <w:r w:rsidRPr="001D7F6C">
              <w:rPr>
                <w:color w:val="666666"/>
                <w:sz w:val="20"/>
                <w:szCs w:val="20"/>
              </w:rPr>
              <w:t>−.26**</w:t>
            </w:r>
          </w:p>
        </w:tc>
        <w:tc>
          <w:tcPr>
            <w:tcW w:w="1302" w:type="dxa"/>
            <w:hideMark/>
          </w:tcPr>
          <w:p w14:paraId="1FC3DD01" w14:textId="77777777" w:rsidR="00FA36F7" w:rsidRPr="001D7F6C" w:rsidRDefault="00FA36F7" w:rsidP="001D7F6C">
            <w:pPr>
              <w:pStyle w:val="NoSpacing"/>
              <w:rPr>
                <w:color w:val="666666"/>
                <w:sz w:val="20"/>
                <w:szCs w:val="20"/>
              </w:rPr>
            </w:pPr>
            <w:r w:rsidRPr="001D7F6C">
              <w:rPr>
                <w:color w:val="666666"/>
                <w:sz w:val="20"/>
                <w:szCs w:val="20"/>
              </w:rPr>
              <w:t>−.20**</w:t>
            </w:r>
          </w:p>
        </w:tc>
        <w:tc>
          <w:tcPr>
            <w:tcW w:w="1310" w:type="dxa"/>
            <w:hideMark/>
          </w:tcPr>
          <w:p w14:paraId="380225C3" w14:textId="77777777" w:rsidR="00FA36F7" w:rsidRPr="001D7F6C" w:rsidRDefault="00FA36F7" w:rsidP="001D7F6C">
            <w:pPr>
              <w:pStyle w:val="NoSpacing"/>
              <w:rPr>
                <w:color w:val="666666"/>
                <w:sz w:val="20"/>
                <w:szCs w:val="20"/>
              </w:rPr>
            </w:pPr>
            <w:r w:rsidRPr="001D7F6C">
              <w:rPr>
                <w:color w:val="666666"/>
                <w:sz w:val="20"/>
                <w:szCs w:val="20"/>
              </w:rPr>
              <w:t>−.41**</w:t>
            </w:r>
          </w:p>
        </w:tc>
      </w:tr>
    </w:tbl>
    <w:p w14:paraId="615DC46B" w14:textId="77777777" w:rsidR="00FA36F7" w:rsidRPr="00D7240E" w:rsidRDefault="00FA36F7" w:rsidP="001246D5">
      <w:pPr>
        <w:rPr>
          <w:rFonts w:cstheme="minorHAnsi"/>
        </w:rPr>
      </w:pPr>
      <w:r w:rsidRPr="00D7240E">
        <w:rPr>
          <w:rFonts w:cstheme="minorHAnsi"/>
        </w:rPr>
        <w:t>*</w:t>
      </w:r>
      <w:r w:rsidRPr="00D7240E">
        <w:rPr>
          <w:rStyle w:val="Emphasis"/>
          <w:rFonts w:cstheme="minorHAnsi"/>
          <w:color w:val="333333"/>
          <w:spacing w:val="1"/>
        </w:rPr>
        <w:t>p</w:t>
      </w:r>
      <w:r w:rsidRPr="00D7240E">
        <w:rPr>
          <w:rFonts w:cstheme="minorHAnsi"/>
        </w:rPr>
        <w:t> &lt; .05. **</w:t>
      </w:r>
      <w:r w:rsidRPr="00D7240E">
        <w:rPr>
          <w:rStyle w:val="Emphasis"/>
          <w:rFonts w:cstheme="minorHAnsi"/>
          <w:color w:val="333333"/>
          <w:spacing w:val="1"/>
        </w:rPr>
        <w:t>p</w:t>
      </w:r>
      <w:r w:rsidRPr="00D7240E">
        <w:rPr>
          <w:rFonts w:cstheme="minorHAnsi"/>
        </w:rPr>
        <w:t> &lt; .01</w:t>
      </w:r>
    </w:p>
    <w:p w14:paraId="26F8109E" w14:textId="108814B0" w:rsidR="00FA36F7" w:rsidRPr="00D7240E" w:rsidRDefault="00FA36F7" w:rsidP="00B767AE">
      <w:pPr>
        <w:pStyle w:val="Heading3"/>
        <w:rPr>
          <w:rFonts w:asciiTheme="minorHAnsi" w:hAnsiTheme="minorHAnsi" w:cstheme="minorHAnsi"/>
          <w:lang w:val="en"/>
        </w:rPr>
      </w:pPr>
      <w:r w:rsidRPr="00D7240E">
        <w:rPr>
          <w:rStyle w:val="captionnumber"/>
          <w:rFonts w:asciiTheme="minorHAnsi" w:hAnsiTheme="minorHAnsi" w:cstheme="minorHAnsi"/>
        </w:rPr>
        <w:t>Table 5</w:t>
      </w:r>
      <w:r w:rsidR="00B767AE">
        <w:rPr>
          <w:rStyle w:val="captionnumber"/>
          <w:rFonts w:asciiTheme="minorHAnsi" w:hAnsiTheme="minorHAnsi" w:cstheme="minorHAnsi"/>
        </w:rPr>
        <w:t xml:space="preserve"> </w:t>
      </w:r>
      <w:r w:rsidRPr="00D7240E">
        <w:rPr>
          <w:rFonts w:asciiTheme="minorHAnsi" w:hAnsiTheme="minorHAnsi" w:cstheme="minorHAnsi"/>
          <w:lang w:val="en"/>
        </w:rPr>
        <w:t>Regressions for lifetime experiences with sexism</w:t>
      </w:r>
    </w:p>
    <w:tbl>
      <w:tblPr>
        <w:tblStyle w:val="TableGrid"/>
        <w:tblW w:w="0" w:type="auto"/>
        <w:tblLook w:val="04A0" w:firstRow="1" w:lastRow="0" w:firstColumn="1" w:lastColumn="0" w:noHBand="0" w:noVBand="1"/>
      </w:tblPr>
      <w:tblGrid>
        <w:gridCol w:w="2785"/>
        <w:gridCol w:w="900"/>
        <w:gridCol w:w="862"/>
        <w:gridCol w:w="1208"/>
        <w:gridCol w:w="1440"/>
        <w:gridCol w:w="1440"/>
        <w:gridCol w:w="1435"/>
      </w:tblGrid>
      <w:tr w:rsidR="00FA36F7" w:rsidRPr="00D7240E" w14:paraId="49006E8F" w14:textId="77777777" w:rsidTr="00B767AE">
        <w:tc>
          <w:tcPr>
            <w:tcW w:w="2785" w:type="dxa"/>
            <w:hideMark/>
          </w:tcPr>
          <w:p w14:paraId="15A24B67" w14:textId="77777777" w:rsidR="00FA36F7" w:rsidRPr="00D7240E" w:rsidRDefault="00FA36F7" w:rsidP="00B767AE">
            <w:pPr>
              <w:pStyle w:val="NoSpacing"/>
              <w:rPr>
                <w:sz w:val="24"/>
                <w:szCs w:val="24"/>
              </w:rPr>
            </w:pPr>
            <w:r w:rsidRPr="00D7240E">
              <w:t> </w:t>
            </w:r>
          </w:p>
        </w:tc>
        <w:tc>
          <w:tcPr>
            <w:tcW w:w="900" w:type="dxa"/>
            <w:hideMark/>
          </w:tcPr>
          <w:p w14:paraId="0E336545" w14:textId="77777777" w:rsidR="00FA36F7" w:rsidRPr="00D7240E" w:rsidRDefault="00FA36F7" w:rsidP="00B767AE">
            <w:pPr>
              <w:pStyle w:val="NoSpacing"/>
            </w:pPr>
            <w:r w:rsidRPr="00D7240E">
              <w:t>Self-esteem β</w:t>
            </w:r>
          </w:p>
        </w:tc>
        <w:tc>
          <w:tcPr>
            <w:tcW w:w="862" w:type="dxa"/>
            <w:hideMark/>
          </w:tcPr>
          <w:p w14:paraId="64C0BA0B" w14:textId="77777777" w:rsidR="00FA36F7" w:rsidRPr="00D7240E" w:rsidRDefault="00FA36F7" w:rsidP="00B767AE">
            <w:pPr>
              <w:pStyle w:val="NoSpacing"/>
            </w:pPr>
            <w:r w:rsidRPr="00D7240E">
              <w:t>Self-doubt β</w:t>
            </w:r>
          </w:p>
        </w:tc>
        <w:tc>
          <w:tcPr>
            <w:tcW w:w="1208" w:type="dxa"/>
            <w:hideMark/>
          </w:tcPr>
          <w:p w14:paraId="50AE17C1" w14:textId="77777777" w:rsidR="00FA36F7" w:rsidRPr="00D7240E" w:rsidRDefault="00FA36F7" w:rsidP="00B767AE">
            <w:pPr>
              <w:pStyle w:val="NoSpacing"/>
            </w:pPr>
            <w:r w:rsidRPr="00D7240E">
              <w:t>Judgement self-doubt β</w:t>
            </w:r>
          </w:p>
        </w:tc>
        <w:tc>
          <w:tcPr>
            <w:tcW w:w="1440" w:type="dxa"/>
            <w:hideMark/>
          </w:tcPr>
          <w:p w14:paraId="41D22633" w14:textId="77777777" w:rsidR="00FA36F7" w:rsidRPr="00D7240E" w:rsidRDefault="00FA36F7" w:rsidP="00B767AE">
            <w:pPr>
              <w:pStyle w:val="NoSpacing"/>
            </w:pPr>
            <w:r w:rsidRPr="00D7240E">
              <w:t>Psychological well-being β</w:t>
            </w:r>
          </w:p>
        </w:tc>
        <w:tc>
          <w:tcPr>
            <w:tcW w:w="1440" w:type="dxa"/>
            <w:hideMark/>
          </w:tcPr>
          <w:p w14:paraId="36103943" w14:textId="77777777" w:rsidR="00FA36F7" w:rsidRPr="00D7240E" w:rsidRDefault="00FA36F7" w:rsidP="00B767AE">
            <w:pPr>
              <w:pStyle w:val="NoSpacing"/>
            </w:pPr>
            <w:r w:rsidRPr="00D7240E">
              <w:t>Psychological flourishing β</w:t>
            </w:r>
          </w:p>
        </w:tc>
        <w:tc>
          <w:tcPr>
            <w:tcW w:w="1435" w:type="dxa"/>
            <w:hideMark/>
          </w:tcPr>
          <w:p w14:paraId="277184CD" w14:textId="77777777" w:rsidR="00FA36F7" w:rsidRPr="00D7240E" w:rsidRDefault="00FA36F7" w:rsidP="00B767AE">
            <w:pPr>
              <w:pStyle w:val="NoSpacing"/>
            </w:pPr>
            <w:r w:rsidRPr="00D7240E">
              <w:t>Authoritarian behavior inventory β</w:t>
            </w:r>
          </w:p>
        </w:tc>
      </w:tr>
      <w:tr w:rsidR="00B767AE" w:rsidRPr="00D7240E" w14:paraId="3F6878E3" w14:textId="77777777" w:rsidTr="00B767AE">
        <w:tc>
          <w:tcPr>
            <w:tcW w:w="2785" w:type="dxa"/>
          </w:tcPr>
          <w:p w14:paraId="09574506" w14:textId="25C20137" w:rsidR="00B767AE" w:rsidRPr="00D7240E" w:rsidRDefault="00B767AE" w:rsidP="00B767AE">
            <w:pPr>
              <w:pStyle w:val="NoSpacing"/>
              <w:rPr>
                <w:color w:val="666666"/>
              </w:rPr>
            </w:pPr>
            <w:r w:rsidRPr="00B767AE">
              <w:rPr>
                <w:color w:val="666666"/>
              </w:rPr>
              <w:t>(a) Study 1</w:t>
            </w:r>
          </w:p>
        </w:tc>
        <w:tc>
          <w:tcPr>
            <w:tcW w:w="900" w:type="dxa"/>
          </w:tcPr>
          <w:p w14:paraId="73FFA854" w14:textId="77777777" w:rsidR="00B767AE" w:rsidRPr="00D7240E" w:rsidRDefault="00B767AE" w:rsidP="00B767AE">
            <w:pPr>
              <w:pStyle w:val="NoSpacing"/>
              <w:rPr>
                <w:color w:val="666666"/>
              </w:rPr>
            </w:pPr>
          </w:p>
        </w:tc>
        <w:tc>
          <w:tcPr>
            <w:tcW w:w="862" w:type="dxa"/>
          </w:tcPr>
          <w:p w14:paraId="31E9A4B7" w14:textId="77777777" w:rsidR="00B767AE" w:rsidRPr="00D7240E" w:rsidRDefault="00B767AE" w:rsidP="00B767AE">
            <w:pPr>
              <w:pStyle w:val="NoSpacing"/>
              <w:rPr>
                <w:color w:val="666666"/>
              </w:rPr>
            </w:pPr>
          </w:p>
        </w:tc>
        <w:tc>
          <w:tcPr>
            <w:tcW w:w="1208" w:type="dxa"/>
          </w:tcPr>
          <w:p w14:paraId="6B60C03E" w14:textId="77777777" w:rsidR="00B767AE" w:rsidRPr="00D7240E" w:rsidRDefault="00B767AE" w:rsidP="00B767AE">
            <w:pPr>
              <w:pStyle w:val="NoSpacing"/>
              <w:rPr>
                <w:color w:val="666666"/>
              </w:rPr>
            </w:pPr>
          </w:p>
        </w:tc>
        <w:tc>
          <w:tcPr>
            <w:tcW w:w="1440" w:type="dxa"/>
          </w:tcPr>
          <w:p w14:paraId="79BBFA77" w14:textId="77777777" w:rsidR="00B767AE" w:rsidRPr="00D7240E" w:rsidRDefault="00B767AE" w:rsidP="00B767AE">
            <w:pPr>
              <w:pStyle w:val="NoSpacing"/>
              <w:rPr>
                <w:color w:val="666666"/>
              </w:rPr>
            </w:pPr>
          </w:p>
        </w:tc>
        <w:tc>
          <w:tcPr>
            <w:tcW w:w="1440" w:type="dxa"/>
          </w:tcPr>
          <w:p w14:paraId="3B848F75" w14:textId="77777777" w:rsidR="00B767AE" w:rsidRPr="00D7240E" w:rsidRDefault="00B767AE" w:rsidP="00B767AE">
            <w:pPr>
              <w:pStyle w:val="NoSpacing"/>
              <w:rPr>
                <w:color w:val="666666"/>
              </w:rPr>
            </w:pPr>
          </w:p>
        </w:tc>
        <w:tc>
          <w:tcPr>
            <w:tcW w:w="1435" w:type="dxa"/>
          </w:tcPr>
          <w:p w14:paraId="67804874" w14:textId="77777777" w:rsidR="00B767AE" w:rsidRPr="00D7240E" w:rsidRDefault="00B767AE" w:rsidP="00B767AE">
            <w:pPr>
              <w:pStyle w:val="NoSpacing"/>
              <w:rPr>
                <w:color w:val="666666"/>
              </w:rPr>
            </w:pPr>
          </w:p>
        </w:tc>
      </w:tr>
      <w:tr w:rsidR="00FA36F7" w:rsidRPr="00D7240E" w14:paraId="32431AC7" w14:textId="77777777" w:rsidTr="00B767AE">
        <w:tc>
          <w:tcPr>
            <w:tcW w:w="2785" w:type="dxa"/>
            <w:hideMark/>
          </w:tcPr>
          <w:p w14:paraId="0A8F0AE4" w14:textId="77777777" w:rsidR="00FA36F7" w:rsidRPr="00D7240E" w:rsidRDefault="00FA36F7" w:rsidP="00B767AE">
            <w:pPr>
              <w:pStyle w:val="NoSpacing"/>
              <w:rPr>
                <w:color w:val="666666"/>
              </w:rPr>
            </w:pPr>
            <w:r w:rsidRPr="00D7240E">
              <w:rPr>
                <w:color w:val="666666"/>
              </w:rPr>
              <w:t> </w:t>
            </w:r>
            <w:r w:rsidRPr="00D7240E">
              <w:rPr>
                <w:color w:val="666666"/>
              </w:rPr>
              <w:t>Complementary gender differentiation</w:t>
            </w:r>
          </w:p>
        </w:tc>
        <w:tc>
          <w:tcPr>
            <w:tcW w:w="900" w:type="dxa"/>
            <w:hideMark/>
          </w:tcPr>
          <w:p w14:paraId="2CA1760A" w14:textId="77777777" w:rsidR="00FA36F7" w:rsidRPr="00D7240E" w:rsidRDefault="00FA36F7" w:rsidP="00B767AE">
            <w:pPr>
              <w:pStyle w:val="NoSpacing"/>
              <w:rPr>
                <w:color w:val="666666"/>
              </w:rPr>
            </w:pPr>
            <w:r w:rsidRPr="00D7240E">
              <w:rPr>
                <w:color w:val="666666"/>
              </w:rPr>
              <w:t>.14*</w:t>
            </w:r>
          </w:p>
        </w:tc>
        <w:tc>
          <w:tcPr>
            <w:tcW w:w="862" w:type="dxa"/>
            <w:hideMark/>
          </w:tcPr>
          <w:p w14:paraId="493A33BA" w14:textId="77777777" w:rsidR="00FA36F7" w:rsidRPr="00D7240E" w:rsidRDefault="00FA36F7" w:rsidP="00B767AE">
            <w:pPr>
              <w:pStyle w:val="NoSpacing"/>
              <w:rPr>
                <w:color w:val="666666"/>
              </w:rPr>
            </w:pPr>
            <w:r w:rsidRPr="00D7240E">
              <w:rPr>
                <w:color w:val="666666"/>
              </w:rPr>
              <w:t>−.13*</w:t>
            </w:r>
          </w:p>
        </w:tc>
        <w:tc>
          <w:tcPr>
            <w:tcW w:w="1208" w:type="dxa"/>
            <w:hideMark/>
          </w:tcPr>
          <w:p w14:paraId="58DF3518" w14:textId="77777777" w:rsidR="00FA36F7" w:rsidRPr="00D7240E" w:rsidRDefault="00FA36F7" w:rsidP="00B767AE">
            <w:pPr>
              <w:pStyle w:val="NoSpacing"/>
              <w:rPr>
                <w:color w:val="666666"/>
              </w:rPr>
            </w:pPr>
            <w:r w:rsidRPr="00D7240E">
              <w:rPr>
                <w:color w:val="666666"/>
              </w:rPr>
              <w:t>−.14*</w:t>
            </w:r>
          </w:p>
        </w:tc>
        <w:tc>
          <w:tcPr>
            <w:tcW w:w="1440" w:type="dxa"/>
            <w:hideMark/>
          </w:tcPr>
          <w:p w14:paraId="0604C159" w14:textId="77777777" w:rsidR="00FA36F7" w:rsidRPr="00D7240E" w:rsidRDefault="00FA36F7" w:rsidP="00B767AE">
            <w:pPr>
              <w:pStyle w:val="NoSpacing"/>
              <w:rPr>
                <w:color w:val="666666"/>
              </w:rPr>
            </w:pPr>
            <w:r w:rsidRPr="00D7240E">
              <w:rPr>
                <w:color w:val="666666"/>
              </w:rPr>
              <w:t> </w:t>
            </w:r>
          </w:p>
        </w:tc>
        <w:tc>
          <w:tcPr>
            <w:tcW w:w="1440" w:type="dxa"/>
            <w:hideMark/>
          </w:tcPr>
          <w:p w14:paraId="7F7A2ED2" w14:textId="77777777" w:rsidR="00FA36F7" w:rsidRPr="00D7240E" w:rsidRDefault="00FA36F7" w:rsidP="00B767AE">
            <w:pPr>
              <w:pStyle w:val="NoSpacing"/>
              <w:rPr>
                <w:color w:val="666666"/>
              </w:rPr>
            </w:pPr>
            <w:r w:rsidRPr="00D7240E">
              <w:rPr>
                <w:color w:val="666666"/>
              </w:rPr>
              <w:t> </w:t>
            </w:r>
          </w:p>
        </w:tc>
        <w:tc>
          <w:tcPr>
            <w:tcW w:w="1435" w:type="dxa"/>
            <w:hideMark/>
          </w:tcPr>
          <w:p w14:paraId="0D633709" w14:textId="77777777" w:rsidR="00FA36F7" w:rsidRPr="00D7240E" w:rsidRDefault="00FA36F7" w:rsidP="00B767AE">
            <w:pPr>
              <w:pStyle w:val="NoSpacing"/>
              <w:rPr>
                <w:color w:val="666666"/>
              </w:rPr>
            </w:pPr>
            <w:r w:rsidRPr="00D7240E">
              <w:rPr>
                <w:color w:val="666666"/>
              </w:rPr>
              <w:t> </w:t>
            </w:r>
          </w:p>
        </w:tc>
      </w:tr>
      <w:tr w:rsidR="00FA36F7" w:rsidRPr="00D7240E" w14:paraId="174ECC32" w14:textId="77777777" w:rsidTr="00B767AE">
        <w:tc>
          <w:tcPr>
            <w:tcW w:w="2785" w:type="dxa"/>
            <w:hideMark/>
          </w:tcPr>
          <w:p w14:paraId="53671B35" w14:textId="77777777" w:rsidR="00FA36F7" w:rsidRPr="00D7240E" w:rsidRDefault="00FA36F7" w:rsidP="00B767AE">
            <w:pPr>
              <w:pStyle w:val="NoSpacing"/>
              <w:rPr>
                <w:color w:val="666666"/>
              </w:rPr>
            </w:pPr>
            <w:r w:rsidRPr="00D7240E">
              <w:rPr>
                <w:color w:val="666666"/>
              </w:rPr>
              <w:t> </w:t>
            </w:r>
            <w:r w:rsidRPr="00D7240E">
              <w:rPr>
                <w:color w:val="666666"/>
              </w:rPr>
              <w:t>Heterosexual intimacy</w:t>
            </w:r>
          </w:p>
        </w:tc>
        <w:tc>
          <w:tcPr>
            <w:tcW w:w="900" w:type="dxa"/>
            <w:hideMark/>
          </w:tcPr>
          <w:p w14:paraId="358BB511" w14:textId="77777777" w:rsidR="00FA36F7" w:rsidRPr="00D7240E" w:rsidRDefault="00FA36F7" w:rsidP="00B767AE">
            <w:pPr>
              <w:pStyle w:val="NoSpacing"/>
              <w:rPr>
                <w:color w:val="666666"/>
              </w:rPr>
            </w:pPr>
            <w:r w:rsidRPr="00D7240E">
              <w:rPr>
                <w:color w:val="666666"/>
              </w:rPr>
              <w:t>−.002</w:t>
            </w:r>
          </w:p>
        </w:tc>
        <w:tc>
          <w:tcPr>
            <w:tcW w:w="862" w:type="dxa"/>
            <w:hideMark/>
          </w:tcPr>
          <w:p w14:paraId="4BAE2DD5" w14:textId="77777777" w:rsidR="00FA36F7" w:rsidRPr="00D7240E" w:rsidRDefault="00FA36F7" w:rsidP="00B767AE">
            <w:pPr>
              <w:pStyle w:val="NoSpacing"/>
              <w:rPr>
                <w:color w:val="666666"/>
              </w:rPr>
            </w:pPr>
            <w:r w:rsidRPr="00D7240E">
              <w:rPr>
                <w:color w:val="666666"/>
              </w:rPr>
              <w:t>−.04</w:t>
            </w:r>
          </w:p>
        </w:tc>
        <w:tc>
          <w:tcPr>
            <w:tcW w:w="1208" w:type="dxa"/>
            <w:hideMark/>
          </w:tcPr>
          <w:p w14:paraId="74212A5A" w14:textId="77777777" w:rsidR="00FA36F7" w:rsidRPr="00D7240E" w:rsidRDefault="00FA36F7" w:rsidP="00B767AE">
            <w:pPr>
              <w:pStyle w:val="NoSpacing"/>
              <w:rPr>
                <w:color w:val="666666"/>
              </w:rPr>
            </w:pPr>
            <w:r w:rsidRPr="00D7240E">
              <w:rPr>
                <w:color w:val="666666"/>
              </w:rPr>
              <w:t>−.02</w:t>
            </w:r>
          </w:p>
        </w:tc>
        <w:tc>
          <w:tcPr>
            <w:tcW w:w="1440" w:type="dxa"/>
            <w:hideMark/>
          </w:tcPr>
          <w:p w14:paraId="3762C711" w14:textId="77777777" w:rsidR="00FA36F7" w:rsidRPr="00D7240E" w:rsidRDefault="00FA36F7" w:rsidP="00B767AE">
            <w:pPr>
              <w:pStyle w:val="NoSpacing"/>
              <w:rPr>
                <w:color w:val="666666"/>
              </w:rPr>
            </w:pPr>
            <w:r w:rsidRPr="00D7240E">
              <w:rPr>
                <w:color w:val="666666"/>
              </w:rPr>
              <w:t> </w:t>
            </w:r>
          </w:p>
        </w:tc>
        <w:tc>
          <w:tcPr>
            <w:tcW w:w="1440" w:type="dxa"/>
            <w:hideMark/>
          </w:tcPr>
          <w:p w14:paraId="637BA121" w14:textId="77777777" w:rsidR="00FA36F7" w:rsidRPr="00D7240E" w:rsidRDefault="00FA36F7" w:rsidP="00B767AE">
            <w:pPr>
              <w:pStyle w:val="NoSpacing"/>
              <w:rPr>
                <w:color w:val="666666"/>
              </w:rPr>
            </w:pPr>
            <w:r w:rsidRPr="00D7240E">
              <w:rPr>
                <w:color w:val="666666"/>
              </w:rPr>
              <w:t> </w:t>
            </w:r>
          </w:p>
        </w:tc>
        <w:tc>
          <w:tcPr>
            <w:tcW w:w="1435" w:type="dxa"/>
            <w:hideMark/>
          </w:tcPr>
          <w:p w14:paraId="18E1538B" w14:textId="77777777" w:rsidR="00FA36F7" w:rsidRPr="00D7240E" w:rsidRDefault="00FA36F7" w:rsidP="00B767AE">
            <w:pPr>
              <w:pStyle w:val="NoSpacing"/>
              <w:rPr>
                <w:color w:val="666666"/>
              </w:rPr>
            </w:pPr>
            <w:r w:rsidRPr="00D7240E">
              <w:rPr>
                <w:color w:val="666666"/>
              </w:rPr>
              <w:t> </w:t>
            </w:r>
          </w:p>
        </w:tc>
      </w:tr>
      <w:tr w:rsidR="00FA36F7" w:rsidRPr="00D7240E" w14:paraId="133FFC2E" w14:textId="77777777" w:rsidTr="00B767AE">
        <w:tc>
          <w:tcPr>
            <w:tcW w:w="2785" w:type="dxa"/>
            <w:hideMark/>
          </w:tcPr>
          <w:p w14:paraId="44FC65B1" w14:textId="77777777" w:rsidR="00FA36F7" w:rsidRPr="00D7240E" w:rsidRDefault="00FA36F7" w:rsidP="00B767AE">
            <w:pPr>
              <w:pStyle w:val="NoSpacing"/>
              <w:rPr>
                <w:color w:val="666666"/>
              </w:rPr>
            </w:pPr>
            <w:r w:rsidRPr="00D7240E">
              <w:rPr>
                <w:color w:val="666666"/>
              </w:rPr>
              <w:t> </w:t>
            </w:r>
            <w:r w:rsidRPr="00D7240E">
              <w:rPr>
                <w:color w:val="666666"/>
              </w:rPr>
              <w:t>Protective paternalism</w:t>
            </w:r>
          </w:p>
        </w:tc>
        <w:tc>
          <w:tcPr>
            <w:tcW w:w="900" w:type="dxa"/>
            <w:hideMark/>
          </w:tcPr>
          <w:p w14:paraId="21D614BD" w14:textId="77777777" w:rsidR="00FA36F7" w:rsidRPr="00D7240E" w:rsidRDefault="00FA36F7" w:rsidP="00B767AE">
            <w:pPr>
              <w:pStyle w:val="NoSpacing"/>
              <w:rPr>
                <w:color w:val="666666"/>
              </w:rPr>
            </w:pPr>
            <w:r w:rsidRPr="00D7240E">
              <w:rPr>
                <w:color w:val="666666"/>
              </w:rPr>
              <w:t>−.13</w:t>
            </w:r>
          </w:p>
        </w:tc>
        <w:tc>
          <w:tcPr>
            <w:tcW w:w="862" w:type="dxa"/>
            <w:hideMark/>
          </w:tcPr>
          <w:p w14:paraId="2CE65D8B" w14:textId="77777777" w:rsidR="00FA36F7" w:rsidRPr="00D7240E" w:rsidRDefault="00FA36F7" w:rsidP="00B767AE">
            <w:pPr>
              <w:pStyle w:val="NoSpacing"/>
              <w:rPr>
                <w:color w:val="666666"/>
              </w:rPr>
            </w:pPr>
            <w:r w:rsidRPr="00D7240E">
              <w:rPr>
                <w:color w:val="666666"/>
              </w:rPr>
              <w:t>.15*</w:t>
            </w:r>
          </w:p>
        </w:tc>
        <w:tc>
          <w:tcPr>
            <w:tcW w:w="1208" w:type="dxa"/>
            <w:hideMark/>
          </w:tcPr>
          <w:p w14:paraId="1C9F70E5" w14:textId="77777777" w:rsidR="00FA36F7" w:rsidRPr="00D7240E" w:rsidRDefault="00FA36F7" w:rsidP="00B767AE">
            <w:pPr>
              <w:pStyle w:val="NoSpacing"/>
              <w:rPr>
                <w:color w:val="666666"/>
              </w:rPr>
            </w:pPr>
            <w:r w:rsidRPr="00D7240E">
              <w:rPr>
                <w:color w:val="666666"/>
              </w:rPr>
              <w:t>.23**</w:t>
            </w:r>
          </w:p>
        </w:tc>
        <w:tc>
          <w:tcPr>
            <w:tcW w:w="1440" w:type="dxa"/>
            <w:hideMark/>
          </w:tcPr>
          <w:p w14:paraId="2BBABB0A" w14:textId="77777777" w:rsidR="00FA36F7" w:rsidRPr="00D7240E" w:rsidRDefault="00FA36F7" w:rsidP="00B767AE">
            <w:pPr>
              <w:pStyle w:val="NoSpacing"/>
              <w:rPr>
                <w:color w:val="666666"/>
              </w:rPr>
            </w:pPr>
            <w:r w:rsidRPr="00D7240E">
              <w:rPr>
                <w:color w:val="666666"/>
              </w:rPr>
              <w:t> </w:t>
            </w:r>
          </w:p>
        </w:tc>
        <w:tc>
          <w:tcPr>
            <w:tcW w:w="1440" w:type="dxa"/>
            <w:hideMark/>
          </w:tcPr>
          <w:p w14:paraId="35A62ACD" w14:textId="77777777" w:rsidR="00FA36F7" w:rsidRPr="00D7240E" w:rsidRDefault="00FA36F7" w:rsidP="00B767AE">
            <w:pPr>
              <w:pStyle w:val="NoSpacing"/>
              <w:rPr>
                <w:color w:val="666666"/>
              </w:rPr>
            </w:pPr>
            <w:r w:rsidRPr="00D7240E">
              <w:rPr>
                <w:color w:val="666666"/>
              </w:rPr>
              <w:t> </w:t>
            </w:r>
          </w:p>
        </w:tc>
        <w:tc>
          <w:tcPr>
            <w:tcW w:w="1435" w:type="dxa"/>
            <w:hideMark/>
          </w:tcPr>
          <w:p w14:paraId="42C4CED8" w14:textId="77777777" w:rsidR="00FA36F7" w:rsidRPr="00D7240E" w:rsidRDefault="00FA36F7" w:rsidP="00B767AE">
            <w:pPr>
              <w:pStyle w:val="NoSpacing"/>
              <w:rPr>
                <w:color w:val="666666"/>
              </w:rPr>
            </w:pPr>
            <w:r w:rsidRPr="00D7240E">
              <w:rPr>
                <w:color w:val="666666"/>
              </w:rPr>
              <w:t> </w:t>
            </w:r>
          </w:p>
        </w:tc>
      </w:tr>
      <w:tr w:rsidR="00FA36F7" w:rsidRPr="00D7240E" w14:paraId="180C3109" w14:textId="77777777" w:rsidTr="00B767AE">
        <w:tc>
          <w:tcPr>
            <w:tcW w:w="2785" w:type="dxa"/>
            <w:hideMark/>
          </w:tcPr>
          <w:p w14:paraId="18BA1DAC" w14:textId="77777777" w:rsidR="00FA36F7" w:rsidRPr="00D7240E" w:rsidRDefault="00FA36F7" w:rsidP="00B767AE">
            <w:pPr>
              <w:pStyle w:val="NoSpacing"/>
              <w:rPr>
                <w:color w:val="666666"/>
              </w:rPr>
            </w:pPr>
            <w:r w:rsidRPr="00D7240E">
              <w:rPr>
                <w:color w:val="666666"/>
              </w:rPr>
              <w:t> </w:t>
            </w:r>
            <w:r w:rsidRPr="00D7240E">
              <w:rPr>
                <w:color w:val="666666"/>
              </w:rPr>
              <w:t>Schedule of sexist events</w:t>
            </w:r>
          </w:p>
        </w:tc>
        <w:tc>
          <w:tcPr>
            <w:tcW w:w="900" w:type="dxa"/>
            <w:hideMark/>
          </w:tcPr>
          <w:p w14:paraId="3711025D" w14:textId="77777777" w:rsidR="00FA36F7" w:rsidRPr="00D7240E" w:rsidRDefault="00FA36F7" w:rsidP="00B767AE">
            <w:pPr>
              <w:pStyle w:val="NoSpacing"/>
              <w:rPr>
                <w:color w:val="666666"/>
              </w:rPr>
            </w:pPr>
            <w:r w:rsidRPr="00D7240E">
              <w:rPr>
                <w:color w:val="666666"/>
              </w:rPr>
              <w:t>−.12*</w:t>
            </w:r>
          </w:p>
        </w:tc>
        <w:tc>
          <w:tcPr>
            <w:tcW w:w="862" w:type="dxa"/>
            <w:hideMark/>
          </w:tcPr>
          <w:p w14:paraId="22946A13" w14:textId="77777777" w:rsidR="00FA36F7" w:rsidRPr="00D7240E" w:rsidRDefault="00FA36F7" w:rsidP="00B767AE">
            <w:pPr>
              <w:pStyle w:val="NoSpacing"/>
              <w:rPr>
                <w:color w:val="666666"/>
              </w:rPr>
            </w:pPr>
            <w:r w:rsidRPr="00D7240E">
              <w:rPr>
                <w:color w:val="666666"/>
              </w:rPr>
              <w:t>.16**</w:t>
            </w:r>
          </w:p>
        </w:tc>
        <w:tc>
          <w:tcPr>
            <w:tcW w:w="1208" w:type="dxa"/>
            <w:hideMark/>
          </w:tcPr>
          <w:p w14:paraId="32B62EE6" w14:textId="77777777" w:rsidR="00FA36F7" w:rsidRPr="00D7240E" w:rsidRDefault="00FA36F7" w:rsidP="00B767AE">
            <w:pPr>
              <w:pStyle w:val="NoSpacing"/>
              <w:rPr>
                <w:color w:val="666666"/>
              </w:rPr>
            </w:pPr>
            <w:r w:rsidRPr="00D7240E">
              <w:rPr>
                <w:color w:val="666666"/>
              </w:rPr>
              <w:t>−.03</w:t>
            </w:r>
          </w:p>
        </w:tc>
        <w:tc>
          <w:tcPr>
            <w:tcW w:w="1440" w:type="dxa"/>
            <w:hideMark/>
          </w:tcPr>
          <w:p w14:paraId="1231F8C9" w14:textId="77777777" w:rsidR="00FA36F7" w:rsidRPr="00D7240E" w:rsidRDefault="00FA36F7" w:rsidP="00B767AE">
            <w:pPr>
              <w:pStyle w:val="NoSpacing"/>
              <w:rPr>
                <w:color w:val="666666"/>
              </w:rPr>
            </w:pPr>
            <w:r w:rsidRPr="00D7240E">
              <w:rPr>
                <w:color w:val="666666"/>
              </w:rPr>
              <w:t> </w:t>
            </w:r>
          </w:p>
        </w:tc>
        <w:tc>
          <w:tcPr>
            <w:tcW w:w="1440" w:type="dxa"/>
            <w:hideMark/>
          </w:tcPr>
          <w:p w14:paraId="2221F895" w14:textId="77777777" w:rsidR="00FA36F7" w:rsidRPr="00D7240E" w:rsidRDefault="00FA36F7" w:rsidP="00B767AE">
            <w:pPr>
              <w:pStyle w:val="NoSpacing"/>
              <w:rPr>
                <w:color w:val="666666"/>
              </w:rPr>
            </w:pPr>
            <w:r w:rsidRPr="00D7240E">
              <w:rPr>
                <w:color w:val="666666"/>
              </w:rPr>
              <w:t> </w:t>
            </w:r>
          </w:p>
        </w:tc>
        <w:tc>
          <w:tcPr>
            <w:tcW w:w="1435" w:type="dxa"/>
            <w:hideMark/>
          </w:tcPr>
          <w:p w14:paraId="0C4A4380" w14:textId="77777777" w:rsidR="00FA36F7" w:rsidRPr="00D7240E" w:rsidRDefault="00FA36F7" w:rsidP="00B767AE">
            <w:pPr>
              <w:pStyle w:val="NoSpacing"/>
              <w:rPr>
                <w:color w:val="666666"/>
              </w:rPr>
            </w:pPr>
            <w:r w:rsidRPr="00D7240E">
              <w:rPr>
                <w:color w:val="666666"/>
              </w:rPr>
              <w:t> </w:t>
            </w:r>
          </w:p>
        </w:tc>
      </w:tr>
      <w:tr w:rsidR="00B767AE" w:rsidRPr="00D7240E" w14:paraId="7383FE3C" w14:textId="77777777" w:rsidTr="00B767AE">
        <w:tc>
          <w:tcPr>
            <w:tcW w:w="2785" w:type="dxa"/>
          </w:tcPr>
          <w:p w14:paraId="2C218E35" w14:textId="7B1D5771" w:rsidR="00B767AE" w:rsidRPr="00D7240E" w:rsidRDefault="00B767AE" w:rsidP="00B767AE">
            <w:pPr>
              <w:pStyle w:val="NoSpacing"/>
              <w:rPr>
                <w:color w:val="666666"/>
              </w:rPr>
            </w:pPr>
            <w:r w:rsidRPr="00B767AE">
              <w:rPr>
                <w:color w:val="666666"/>
              </w:rPr>
              <w:t>(b) Study 2</w:t>
            </w:r>
          </w:p>
        </w:tc>
        <w:tc>
          <w:tcPr>
            <w:tcW w:w="900" w:type="dxa"/>
          </w:tcPr>
          <w:p w14:paraId="1E593F74" w14:textId="77777777" w:rsidR="00B767AE" w:rsidRPr="00D7240E" w:rsidRDefault="00B767AE" w:rsidP="00B767AE">
            <w:pPr>
              <w:pStyle w:val="NoSpacing"/>
              <w:rPr>
                <w:color w:val="666666"/>
              </w:rPr>
            </w:pPr>
          </w:p>
        </w:tc>
        <w:tc>
          <w:tcPr>
            <w:tcW w:w="862" w:type="dxa"/>
          </w:tcPr>
          <w:p w14:paraId="60E40175" w14:textId="77777777" w:rsidR="00B767AE" w:rsidRPr="00D7240E" w:rsidRDefault="00B767AE" w:rsidP="00B767AE">
            <w:pPr>
              <w:pStyle w:val="NoSpacing"/>
              <w:rPr>
                <w:color w:val="666666"/>
              </w:rPr>
            </w:pPr>
          </w:p>
        </w:tc>
        <w:tc>
          <w:tcPr>
            <w:tcW w:w="1208" w:type="dxa"/>
          </w:tcPr>
          <w:p w14:paraId="2618C7D0" w14:textId="77777777" w:rsidR="00B767AE" w:rsidRPr="00D7240E" w:rsidRDefault="00B767AE" w:rsidP="00B767AE">
            <w:pPr>
              <w:pStyle w:val="NoSpacing"/>
              <w:rPr>
                <w:color w:val="666666"/>
              </w:rPr>
            </w:pPr>
          </w:p>
        </w:tc>
        <w:tc>
          <w:tcPr>
            <w:tcW w:w="1440" w:type="dxa"/>
          </w:tcPr>
          <w:p w14:paraId="1FB63607" w14:textId="77777777" w:rsidR="00B767AE" w:rsidRPr="00D7240E" w:rsidRDefault="00B767AE" w:rsidP="00B767AE">
            <w:pPr>
              <w:pStyle w:val="NoSpacing"/>
              <w:rPr>
                <w:color w:val="666666"/>
              </w:rPr>
            </w:pPr>
          </w:p>
        </w:tc>
        <w:tc>
          <w:tcPr>
            <w:tcW w:w="1440" w:type="dxa"/>
          </w:tcPr>
          <w:p w14:paraId="2C437E9D" w14:textId="77777777" w:rsidR="00B767AE" w:rsidRPr="00D7240E" w:rsidRDefault="00B767AE" w:rsidP="00B767AE">
            <w:pPr>
              <w:pStyle w:val="NoSpacing"/>
              <w:rPr>
                <w:color w:val="666666"/>
              </w:rPr>
            </w:pPr>
          </w:p>
        </w:tc>
        <w:tc>
          <w:tcPr>
            <w:tcW w:w="1435" w:type="dxa"/>
          </w:tcPr>
          <w:p w14:paraId="345D1F3C" w14:textId="77777777" w:rsidR="00B767AE" w:rsidRPr="00D7240E" w:rsidRDefault="00B767AE" w:rsidP="00B767AE">
            <w:pPr>
              <w:pStyle w:val="NoSpacing"/>
              <w:rPr>
                <w:color w:val="666666"/>
              </w:rPr>
            </w:pPr>
          </w:p>
        </w:tc>
      </w:tr>
      <w:tr w:rsidR="00FA36F7" w:rsidRPr="00D7240E" w14:paraId="26544BC6" w14:textId="77777777" w:rsidTr="00B767AE">
        <w:tc>
          <w:tcPr>
            <w:tcW w:w="2785" w:type="dxa"/>
            <w:hideMark/>
          </w:tcPr>
          <w:p w14:paraId="2B6272FE" w14:textId="77777777" w:rsidR="00FA36F7" w:rsidRPr="00D7240E" w:rsidRDefault="00FA36F7" w:rsidP="00B767AE">
            <w:pPr>
              <w:pStyle w:val="NoSpacing"/>
              <w:rPr>
                <w:color w:val="666666"/>
              </w:rPr>
            </w:pPr>
            <w:r w:rsidRPr="00D7240E">
              <w:rPr>
                <w:color w:val="666666"/>
              </w:rPr>
              <w:t> </w:t>
            </w:r>
            <w:r w:rsidRPr="00D7240E">
              <w:rPr>
                <w:color w:val="666666"/>
              </w:rPr>
              <w:t>Complementary gender differentiation</w:t>
            </w:r>
          </w:p>
        </w:tc>
        <w:tc>
          <w:tcPr>
            <w:tcW w:w="900" w:type="dxa"/>
            <w:hideMark/>
          </w:tcPr>
          <w:p w14:paraId="7AE23BD5" w14:textId="77777777" w:rsidR="00FA36F7" w:rsidRPr="00D7240E" w:rsidRDefault="00FA36F7" w:rsidP="00B767AE">
            <w:pPr>
              <w:pStyle w:val="NoSpacing"/>
              <w:rPr>
                <w:color w:val="666666"/>
              </w:rPr>
            </w:pPr>
            <w:r w:rsidRPr="00D7240E">
              <w:rPr>
                <w:color w:val="666666"/>
              </w:rPr>
              <w:t>.32**</w:t>
            </w:r>
          </w:p>
        </w:tc>
        <w:tc>
          <w:tcPr>
            <w:tcW w:w="862" w:type="dxa"/>
            <w:hideMark/>
          </w:tcPr>
          <w:p w14:paraId="541E581C" w14:textId="77777777" w:rsidR="00FA36F7" w:rsidRPr="00D7240E" w:rsidRDefault="00FA36F7" w:rsidP="00B767AE">
            <w:pPr>
              <w:pStyle w:val="NoSpacing"/>
              <w:rPr>
                <w:color w:val="666666"/>
              </w:rPr>
            </w:pPr>
            <w:r w:rsidRPr="00D7240E">
              <w:rPr>
                <w:color w:val="666666"/>
              </w:rPr>
              <w:t>−.30**</w:t>
            </w:r>
          </w:p>
        </w:tc>
        <w:tc>
          <w:tcPr>
            <w:tcW w:w="1208" w:type="dxa"/>
            <w:hideMark/>
          </w:tcPr>
          <w:p w14:paraId="2B26FC38" w14:textId="77777777" w:rsidR="00FA36F7" w:rsidRPr="00D7240E" w:rsidRDefault="00FA36F7" w:rsidP="00B767AE">
            <w:pPr>
              <w:pStyle w:val="NoSpacing"/>
              <w:rPr>
                <w:color w:val="666666"/>
              </w:rPr>
            </w:pPr>
            <w:r w:rsidRPr="00D7240E">
              <w:rPr>
                <w:color w:val="666666"/>
              </w:rPr>
              <w:t>−.23*</w:t>
            </w:r>
          </w:p>
        </w:tc>
        <w:tc>
          <w:tcPr>
            <w:tcW w:w="1440" w:type="dxa"/>
            <w:hideMark/>
          </w:tcPr>
          <w:p w14:paraId="11A6C637" w14:textId="77777777" w:rsidR="00FA36F7" w:rsidRPr="00D7240E" w:rsidRDefault="00FA36F7" w:rsidP="00B767AE">
            <w:pPr>
              <w:pStyle w:val="NoSpacing"/>
              <w:rPr>
                <w:color w:val="666666"/>
              </w:rPr>
            </w:pPr>
            <w:r w:rsidRPr="00D7240E">
              <w:rPr>
                <w:color w:val="666666"/>
              </w:rPr>
              <w:t>.25*</w:t>
            </w:r>
          </w:p>
        </w:tc>
        <w:tc>
          <w:tcPr>
            <w:tcW w:w="1440" w:type="dxa"/>
            <w:hideMark/>
          </w:tcPr>
          <w:p w14:paraId="460EE59A" w14:textId="77777777" w:rsidR="00FA36F7" w:rsidRPr="00D7240E" w:rsidRDefault="00FA36F7" w:rsidP="00B767AE">
            <w:pPr>
              <w:pStyle w:val="NoSpacing"/>
              <w:rPr>
                <w:color w:val="666666"/>
              </w:rPr>
            </w:pPr>
            <w:r w:rsidRPr="00D7240E">
              <w:rPr>
                <w:color w:val="666666"/>
              </w:rPr>
              <w:t>.34**</w:t>
            </w:r>
          </w:p>
        </w:tc>
        <w:tc>
          <w:tcPr>
            <w:tcW w:w="1435" w:type="dxa"/>
            <w:hideMark/>
          </w:tcPr>
          <w:p w14:paraId="448B1292" w14:textId="77777777" w:rsidR="00FA36F7" w:rsidRPr="00D7240E" w:rsidRDefault="00FA36F7" w:rsidP="00B767AE">
            <w:pPr>
              <w:pStyle w:val="NoSpacing"/>
              <w:rPr>
                <w:color w:val="666666"/>
              </w:rPr>
            </w:pPr>
            <w:r w:rsidRPr="00D7240E">
              <w:rPr>
                <w:color w:val="666666"/>
              </w:rPr>
              <w:t>.35**</w:t>
            </w:r>
          </w:p>
        </w:tc>
      </w:tr>
      <w:tr w:rsidR="00FA36F7" w:rsidRPr="00D7240E" w14:paraId="190FD389" w14:textId="77777777" w:rsidTr="00B767AE">
        <w:tc>
          <w:tcPr>
            <w:tcW w:w="2785" w:type="dxa"/>
            <w:hideMark/>
          </w:tcPr>
          <w:p w14:paraId="0AEBB184" w14:textId="77777777" w:rsidR="00FA36F7" w:rsidRPr="00D7240E" w:rsidRDefault="00FA36F7" w:rsidP="00B767AE">
            <w:pPr>
              <w:pStyle w:val="NoSpacing"/>
              <w:rPr>
                <w:color w:val="666666"/>
              </w:rPr>
            </w:pPr>
            <w:r w:rsidRPr="00D7240E">
              <w:rPr>
                <w:color w:val="666666"/>
              </w:rPr>
              <w:t> </w:t>
            </w:r>
            <w:r w:rsidRPr="00D7240E">
              <w:rPr>
                <w:color w:val="666666"/>
              </w:rPr>
              <w:t>Heterosexual intimacy</w:t>
            </w:r>
          </w:p>
        </w:tc>
        <w:tc>
          <w:tcPr>
            <w:tcW w:w="900" w:type="dxa"/>
            <w:hideMark/>
          </w:tcPr>
          <w:p w14:paraId="0F05CC7A" w14:textId="77777777" w:rsidR="00FA36F7" w:rsidRPr="00D7240E" w:rsidRDefault="00FA36F7" w:rsidP="00B767AE">
            <w:pPr>
              <w:pStyle w:val="NoSpacing"/>
              <w:rPr>
                <w:color w:val="666666"/>
              </w:rPr>
            </w:pPr>
            <w:r w:rsidRPr="00D7240E">
              <w:rPr>
                <w:color w:val="666666"/>
              </w:rPr>
              <w:t>−.02</w:t>
            </w:r>
          </w:p>
        </w:tc>
        <w:tc>
          <w:tcPr>
            <w:tcW w:w="862" w:type="dxa"/>
            <w:hideMark/>
          </w:tcPr>
          <w:p w14:paraId="6C822EA6" w14:textId="77777777" w:rsidR="00FA36F7" w:rsidRPr="00D7240E" w:rsidRDefault="00FA36F7" w:rsidP="00B767AE">
            <w:pPr>
              <w:pStyle w:val="NoSpacing"/>
              <w:rPr>
                <w:color w:val="666666"/>
              </w:rPr>
            </w:pPr>
            <w:r w:rsidRPr="00D7240E">
              <w:rPr>
                <w:color w:val="666666"/>
              </w:rPr>
              <w:t>.006</w:t>
            </w:r>
          </w:p>
        </w:tc>
        <w:tc>
          <w:tcPr>
            <w:tcW w:w="1208" w:type="dxa"/>
            <w:hideMark/>
          </w:tcPr>
          <w:p w14:paraId="59447756" w14:textId="77777777" w:rsidR="00FA36F7" w:rsidRPr="00D7240E" w:rsidRDefault="00FA36F7" w:rsidP="00B767AE">
            <w:pPr>
              <w:pStyle w:val="NoSpacing"/>
              <w:rPr>
                <w:color w:val="666666"/>
              </w:rPr>
            </w:pPr>
            <w:r w:rsidRPr="00D7240E">
              <w:rPr>
                <w:color w:val="666666"/>
              </w:rPr>
              <w:t>.04</w:t>
            </w:r>
          </w:p>
        </w:tc>
        <w:tc>
          <w:tcPr>
            <w:tcW w:w="1440" w:type="dxa"/>
            <w:hideMark/>
          </w:tcPr>
          <w:p w14:paraId="32A300C6" w14:textId="77777777" w:rsidR="00FA36F7" w:rsidRPr="00D7240E" w:rsidRDefault="00FA36F7" w:rsidP="00B767AE">
            <w:pPr>
              <w:pStyle w:val="NoSpacing"/>
              <w:rPr>
                <w:color w:val="666666"/>
              </w:rPr>
            </w:pPr>
            <w:r w:rsidRPr="00D7240E">
              <w:rPr>
                <w:color w:val="666666"/>
              </w:rPr>
              <w:t>.10</w:t>
            </w:r>
          </w:p>
        </w:tc>
        <w:tc>
          <w:tcPr>
            <w:tcW w:w="1440" w:type="dxa"/>
            <w:hideMark/>
          </w:tcPr>
          <w:p w14:paraId="3261804D" w14:textId="77777777" w:rsidR="00FA36F7" w:rsidRPr="00D7240E" w:rsidRDefault="00FA36F7" w:rsidP="00B767AE">
            <w:pPr>
              <w:pStyle w:val="NoSpacing"/>
              <w:rPr>
                <w:color w:val="666666"/>
              </w:rPr>
            </w:pPr>
            <w:r w:rsidRPr="00D7240E">
              <w:rPr>
                <w:color w:val="666666"/>
              </w:rPr>
              <w:t>.007</w:t>
            </w:r>
          </w:p>
        </w:tc>
        <w:tc>
          <w:tcPr>
            <w:tcW w:w="1435" w:type="dxa"/>
            <w:hideMark/>
          </w:tcPr>
          <w:p w14:paraId="6183D1AD" w14:textId="77777777" w:rsidR="00FA36F7" w:rsidRPr="00D7240E" w:rsidRDefault="00FA36F7" w:rsidP="00B767AE">
            <w:pPr>
              <w:pStyle w:val="NoSpacing"/>
              <w:rPr>
                <w:color w:val="666666"/>
              </w:rPr>
            </w:pPr>
            <w:r w:rsidRPr="00D7240E">
              <w:rPr>
                <w:color w:val="666666"/>
              </w:rPr>
              <w:t>−.07</w:t>
            </w:r>
          </w:p>
        </w:tc>
      </w:tr>
      <w:tr w:rsidR="00FA36F7" w:rsidRPr="00D7240E" w14:paraId="2AF0C631" w14:textId="77777777" w:rsidTr="00B767AE">
        <w:tc>
          <w:tcPr>
            <w:tcW w:w="2785" w:type="dxa"/>
            <w:hideMark/>
          </w:tcPr>
          <w:p w14:paraId="0F32E1A6" w14:textId="77777777" w:rsidR="00FA36F7" w:rsidRPr="00D7240E" w:rsidRDefault="00FA36F7" w:rsidP="00B767AE">
            <w:pPr>
              <w:pStyle w:val="NoSpacing"/>
              <w:rPr>
                <w:color w:val="666666"/>
              </w:rPr>
            </w:pPr>
            <w:r w:rsidRPr="00D7240E">
              <w:rPr>
                <w:color w:val="666666"/>
              </w:rPr>
              <w:t> </w:t>
            </w:r>
            <w:r w:rsidRPr="00D7240E">
              <w:rPr>
                <w:color w:val="666666"/>
              </w:rPr>
              <w:t>Protective paternalism</w:t>
            </w:r>
          </w:p>
        </w:tc>
        <w:tc>
          <w:tcPr>
            <w:tcW w:w="900" w:type="dxa"/>
            <w:hideMark/>
          </w:tcPr>
          <w:p w14:paraId="2E075D98" w14:textId="77777777" w:rsidR="00FA36F7" w:rsidRPr="00D7240E" w:rsidRDefault="00FA36F7" w:rsidP="00B767AE">
            <w:pPr>
              <w:pStyle w:val="NoSpacing"/>
              <w:rPr>
                <w:color w:val="666666"/>
              </w:rPr>
            </w:pPr>
            <w:r w:rsidRPr="00D7240E">
              <w:rPr>
                <w:color w:val="666666"/>
              </w:rPr>
              <w:t>−.27*</w:t>
            </w:r>
          </w:p>
        </w:tc>
        <w:tc>
          <w:tcPr>
            <w:tcW w:w="862" w:type="dxa"/>
            <w:hideMark/>
          </w:tcPr>
          <w:p w14:paraId="6B9E6436" w14:textId="77777777" w:rsidR="00FA36F7" w:rsidRPr="00D7240E" w:rsidRDefault="00FA36F7" w:rsidP="00B767AE">
            <w:pPr>
              <w:pStyle w:val="NoSpacing"/>
              <w:rPr>
                <w:color w:val="666666"/>
              </w:rPr>
            </w:pPr>
            <w:r w:rsidRPr="00D7240E">
              <w:rPr>
                <w:color w:val="666666"/>
              </w:rPr>
              <w:t>.30**</w:t>
            </w:r>
          </w:p>
        </w:tc>
        <w:tc>
          <w:tcPr>
            <w:tcW w:w="1208" w:type="dxa"/>
            <w:hideMark/>
          </w:tcPr>
          <w:p w14:paraId="36775D36" w14:textId="77777777" w:rsidR="00FA36F7" w:rsidRPr="00D7240E" w:rsidRDefault="00FA36F7" w:rsidP="00B767AE">
            <w:pPr>
              <w:pStyle w:val="NoSpacing"/>
              <w:rPr>
                <w:color w:val="666666"/>
              </w:rPr>
            </w:pPr>
            <w:r w:rsidRPr="00D7240E">
              <w:rPr>
                <w:color w:val="666666"/>
              </w:rPr>
              <w:t>.18</w:t>
            </w:r>
          </w:p>
        </w:tc>
        <w:tc>
          <w:tcPr>
            <w:tcW w:w="1440" w:type="dxa"/>
            <w:hideMark/>
          </w:tcPr>
          <w:p w14:paraId="1C3FA22F" w14:textId="77777777" w:rsidR="00FA36F7" w:rsidRPr="00D7240E" w:rsidRDefault="00FA36F7" w:rsidP="00B767AE">
            <w:pPr>
              <w:pStyle w:val="NoSpacing"/>
              <w:rPr>
                <w:color w:val="666666"/>
              </w:rPr>
            </w:pPr>
            <w:r w:rsidRPr="00D7240E">
              <w:rPr>
                <w:color w:val="666666"/>
              </w:rPr>
              <w:t>−.27*</w:t>
            </w:r>
          </w:p>
        </w:tc>
        <w:tc>
          <w:tcPr>
            <w:tcW w:w="1440" w:type="dxa"/>
            <w:hideMark/>
          </w:tcPr>
          <w:p w14:paraId="503D9614" w14:textId="77777777" w:rsidR="00FA36F7" w:rsidRPr="00D7240E" w:rsidRDefault="00FA36F7" w:rsidP="00B767AE">
            <w:pPr>
              <w:pStyle w:val="NoSpacing"/>
              <w:rPr>
                <w:color w:val="666666"/>
              </w:rPr>
            </w:pPr>
            <w:r w:rsidRPr="00D7240E">
              <w:rPr>
                <w:color w:val="666666"/>
              </w:rPr>
              <w:t>−.20</w:t>
            </w:r>
          </w:p>
        </w:tc>
        <w:tc>
          <w:tcPr>
            <w:tcW w:w="1435" w:type="dxa"/>
            <w:hideMark/>
          </w:tcPr>
          <w:p w14:paraId="65B34F29" w14:textId="77777777" w:rsidR="00FA36F7" w:rsidRPr="00D7240E" w:rsidRDefault="00FA36F7" w:rsidP="00B767AE">
            <w:pPr>
              <w:pStyle w:val="NoSpacing"/>
              <w:rPr>
                <w:color w:val="666666"/>
              </w:rPr>
            </w:pPr>
            <w:r w:rsidRPr="00D7240E">
              <w:rPr>
                <w:color w:val="666666"/>
              </w:rPr>
              <w:t>−.10</w:t>
            </w:r>
          </w:p>
        </w:tc>
      </w:tr>
      <w:tr w:rsidR="00FA36F7" w:rsidRPr="00D7240E" w14:paraId="1F9AC048" w14:textId="77777777" w:rsidTr="00B767AE">
        <w:tc>
          <w:tcPr>
            <w:tcW w:w="2785" w:type="dxa"/>
            <w:hideMark/>
          </w:tcPr>
          <w:p w14:paraId="71F007A9" w14:textId="77777777" w:rsidR="00FA36F7" w:rsidRPr="00D7240E" w:rsidRDefault="00FA36F7" w:rsidP="00B767AE">
            <w:pPr>
              <w:pStyle w:val="NoSpacing"/>
              <w:rPr>
                <w:color w:val="666666"/>
              </w:rPr>
            </w:pPr>
            <w:r w:rsidRPr="00D7240E">
              <w:rPr>
                <w:color w:val="666666"/>
              </w:rPr>
              <w:t> </w:t>
            </w:r>
            <w:r w:rsidRPr="00D7240E">
              <w:rPr>
                <w:color w:val="666666"/>
              </w:rPr>
              <w:t>Schedule of sexist events</w:t>
            </w:r>
          </w:p>
        </w:tc>
        <w:tc>
          <w:tcPr>
            <w:tcW w:w="900" w:type="dxa"/>
            <w:hideMark/>
          </w:tcPr>
          <w:p w14:paraId="2062D1A3" w14:textId="77777777" w:rsidR="00FA36F7" w:rsidRPr="00D7240E" w:rsidRDefault="00FA36F7" w:rsidP="00B767AE">
            <w:pPr>
              <w:pStyle w:val="NoSpacing"/>
              <w:rPr>
                <w:color w:val="666666"/>
              </w:rPr>
            </w:pPr>
            <w:r w:rsidRPr="00D7240E">
              <w:rPr>
                <w:color w:val="666666"/>
              </w:rPr>
              <w:t>−.18*</w:t>
            </w:r>
          </w:p>
        </w:tc>
        <w:tc>
          <w:tcPr>
            <w:tcW w:w="862" w:type="dxa"/>
            <w:hideMark/>
          </w:tcPr>
          <w:p w14:paraId="0A111BC8" w14:textId="77777777" w:rsidR="00FA36F7" w:rsidRPr="00D7240E" w:rsidRDefault="00FA36F7" w:rsidP="00B767AE">
            <w:pPr>
              <w:pStyle w:val="NoSpacing"/>
              <w:rPr>
                <w:color w:val="666666"/>
              </w:rPr>
            </w:pPr>
            <w:r w:rsidRPr="00D7240E">
              <w:rPr>
                <w:color w:val="666666"/>
              </w:rPr>
              <w:t>.13</w:t>
            </w:r>
          </w:p>
        </w:tc>
        <w:tc>
          <w:tcPr>
            <w:tcW w:w="1208" w:type="dxa"/>
            <w:hideMark/>
          </w:tcPr>
          <w:p w14:paraId="4D6378A9" w14:textId="77777777" w:rsidR="00FA36F7" w:rsidRPr="00D7240E" w:rsidRDefault="00FA36F7" w:rsidP="00B767AE">
            <w:pPr>
              <w:pStyle w:val="NoSpacing"/>
              <w:rPr>
                <w:color w:val="666666"/>
              </w:rPr>
            </w:pPr>
            <w:r w:rsidRPr="00D7240E">
              <w:rPr>
                <w:color w:val="666666"/>
              </w:rPr>
              <w:t>.12</w:t>
            </w:r>
          </w:p>
        </w:tc>
        <w:tc>
          <w:tcPr>
            <w:tcW w:w="1440" w:type="dxa"/>
            <w:hideMark/>
          </w:tcPr>
          <w:p w14:paraId="7C18BD4A" w14:textId="77777777" w:rsidR="00FA36F7" w:rsidRPr="00D7240E" w:rsidRDefault="00FA36F7" w:rsidP="00B767AE">
            <w:pPr>
              <w:pStyle w:val="NoSpacing"/>
              <w:rPr>
                <w:color w:val="666666"/>
              </w:rPr>
            </w:pPr>
            <w:r w:rsidRPr="00D7240E">
              <w:rPr>
                <w:color w:val="666666"/>
              </w:rPr>
              <w:t>−.23*</w:t>
            </w:r>
          </w:p>
        </w:tc>
        <w:tc>
          <w:tcPr>
            <w:tcW w:w="1440" w:type="dxa"/>
            <w:hideMark/>
          </w:tcPr>
          <w:p w14:paraId="5C22AE2D" w14:textId="77777777" w:rsidR="00FA36F7" w:rsidRPr="00D7240E" w:rsidRDefault="00FA36F7" w:rsidP="00B767AE">
            <w:pPr>
              <w:pStyle w:val="NoSpacing"/>
              <w:rPr>
                <w:color w:val="666666"/>
              </w:rPr>
            </w:pPr>
            <w:r w:rsidRPr="00D7240E">
              <w:rPr>
                <w:color w:val="666666"/>
              </w:rPr>
              <w:t>−.20*</w:t>
            </w:r>
          </w:p>
        </w:tc>
        <w:tc>
          <w:tcPr>
            <w:tcW w:w="1435" w:type="dxa"/>
            <w:hideMark/>
          </w:tcPr>
          <w:p w14:paraId="3980DC93" w14:textId="77777777" w:rsidR="00FA36F7" w:rsidRPr="00D7240E" w:rsidRDefault="00FA36F7" w:rsidP="00B767AE">
            <w:pPr>
              <w:pStyle w:val="NoSpacing"/>
              <w:rPr>
                <w:color w:val="666666"/>
              </w:rPr>
            </w:pPr>
            <w:r w:rsidRPr="00D7240E">
              <w:rPr>
                <w:color w:val="666666"/>
              </w:rPr>
              <w:t>−.44**</w:t>
            </w:r>
          </w:p>
        </w:tc>
      </w:tr>
    </w:tbl>
    <w:p w14:paraId="0ECF4B92" w14:textId="77777777" w:rsidR="00FA36F7" w:rsidRPr="00D7240E" w:rsidRDefault="00FA36F7" w:rsidP="00EC2C89">
      <w:pPr>
        <w:rPr>
          <w:rFonts w:cstheme="minorHAnsi"/>
        </w:rPr>
      </w:pPr>
      <w:r w:rsidRPr="00D7240E">
        <w:rPr>
          <w:rFonts w:cstheme="minorHAnsi"/>
        </w:rPr>
        <w:t>*</w:t>
      </w:r>
      <w:r w:rsidRPr="00D7240E">
        <w:rPr>
          <w:rStyle w:val="Emphasis"/>
          <w:rFonts w:cstheme="minorHAnsi"/>
          <w:color w:val="333333"/>
          <w:spacing w:val="1"/>
        </w:rPr>
        <w:t>p</w:t>
      </w:r>
      <w:r w:rsidRPr="00D7240E">
        <w:rPr>
          <w:rFonts w:cstheme="minorHAnsi"/>
        </w:rPr>
        <w:t> &lt; .05. **</w:t>
      </w:r>
      <w:r w:rsidRPr="00D7240E">
        <w:rPr>
          <w:rStyle w:val="Emphasis"/>
          <w:rFonts w:cstheme="minorHAnsi"/>
          <w:color w:val="333333"/>
          <w:spacing w:val="1"/>
        </w:rPr>
        <w:t>p</w:t>
      </w:r>
      <w:r w:rsidRPr="00D7240E">
        <w:rPr>
          <w:rFonts w:cstheme="minorHAnsi"/>
        </w:rPr>
        <w:t> &lt; .01</w:t>
      </w:r>
    </w:p>
    <w:p w14:paraId="4192E978" w14:textId="77777777" w:rsidR="00FA36F7" w:rsidRPr="00D7240E" w:rsidRDefault="00FA36F7" w:rsidP="00EC2C89">
      <w:pPr>
        <w:rPr>
          <w:rFonts w:cstheme="minorHAnsi"/>
          <w:color w:val="333333"/>
          <w:spacing w:val="2"/>
        </w:rPr>
      </w:pPr>
      <w:r w:rsidRPr="00D7240E">
        <w:rPr>
          <w:rFonts w:cstheme="minorHAnsi"/>
          <w:color w:val="333333"/>
          <w:spacing w:val="2"/>
        </w:rPr>
        <w:t>For self-esteem, the regression model was statistically significant, </w:t>
      </w:r>
      <w:r w:rsidRPr="00D7240E">
        <w:rPr>
          <w:rStyle w:val="Emphasis"/>
          <w:rFonts w:cstheme="minorHAnsi"/>
          <w:color w:val="333333"/>
          <w:spacing w:val="2"/>
        </w:rPr>
        <w:t>F</w:t>
      </w:r>
      <w:r w:rsidRPr="00D7240E">
        <w:rPr>
          <w:rFonts w:cstheme="minorHAnsi"/>
          <w:color w:val="333333"/>
          <w:spacing w:val="2"/>
        </w:rPr>
        <w:t>(4, 484) = 4.06, </w:t>
      </w:r>
      <w:r w:rsidRPr="00D7240E">
        <w:rPr>
          <w:rStyle w:val="Emphasis"/>
          <w:rFonts w:cstheme="minorHAnsi"/>
          <w:color w:val="333333"/>
          <w:spacing w:val="2"/>
        </w:rPr>
        <w:t>p</w:t>
      </w:r>
      <w:r w:rsidRPr="00D7240E">
        <w:rPr>
          <w:rFonts w:cstheme="minorHAnsi"/>
          <w:color w:val="333333"/>
          <w:spacing w:val="2"/>
        </w:rPr>
        <w:t> &lt; .01, </w:t>
      </w:r>
      <w:r w:rsidRPr="00D7240E">
        <w:rPr>
          <w:rStyle w:val="Emphasis"/>
          <w:rFonts w:cstheme="minorHAnsi"/>
          <w:color w:val="333333"/>
          <w:spacing w:val="2"/>
        </w:rPr>
        <w:t>R</w:t>
      </w:r>
      <w:r w:rsidRPr="00D7240E">
        <w:rPr>
          <w:rFonts w:cstheme="minorHAnsi"/>
          <w:color w:val="333333"/>
          <w:spacing w:val="2"/>
          <w:vertAlign w:val="superscript"/>
        </w:rPr>
        <w:t>2</w:t>
      </w:r>
      <w:r w:rsidRPr="00D7240E">
        <w:rPr>
          <w:rFonts w:cstheme="minorHAnsi"/>
          <w:color w:val="333333"/>
          <w:spacing w:val="2"/>
        </w:rPr>
        <w:t> = .03, with the Schedule of Sexist Events (β = −.12, </w:t>
      </w:r>
      <w:r w:rsidRPr="00D7240E">
        <w:rPr>
          <w:rStyle w:val="Emphasis"/>
          <w:rFonts w:cstheme="minorHAnsi"/>
          <w:color w:val="333333"/>
          <w:spacing w:val="2"/>
        </w:rPr>
        <w:t>p =</w:t>
      </w:r>
      <w:r w:rsidRPr="00D7240E">
        <w:rPr>
          <w:rFonts w:cstheme="minorHAnsi"/>
          <w:color w:val="333333"/>
          <w:spacing w:val="2"/>
        </w:rPr>
        <w:t> .048) negatively associated with self-esteem and Complementary Gender Differentiation (β = .14, </w:t>
      </w:r>
      <w:r w:rsidRPr="00D7240E">
        <w:rPr>
          <w:rStyle w:val="Emphasis"/>
          <w:rFonts w:cstheme="minorHAnsi"/>
          <w:color w:val="333333"/>
          <w:spacing w:val="2"/>
        </w:rPr>
        <w:t>p =</w:t>
      </w:r>
      <w:r w:rsidRPr="00D7240E">
        <w:rPr>
          <w:rFonts w:cstheme="minorHAnsi"/>
          <w:color w:val="333333"/>
          <w:spacing w:val="2"/>
        </w:rPr>
        <w:t> .02) was positively associated with self-esteem. Protective Paternalism (β = −.13, </w:t>
      </w:r>
      <w:r w:rsidRPr="00D7240E">
        <w:rPr>
          <w:rStyle w:val="Emphasis"/>
          <w:rFonts w:cstheme="minorHAnsi"/>
          <w:color w:val="333333"/>
          <w:spacing w:val="2"/>
        </w:rPr>
        <w:t>p</w:t>
      </w:r>
      <w:r w:rsidRPr="00D7240E">
        <w:rPr>
          <w:rFonts w:cstheme="minorHAnsi"/>
          <w:color w:val="333333"/>
          <w:spacing w:val="2"/>
        </w:rPr>
        <w:t> = .05) and Heterosexual Intimacy (β = −.002, </w:t>
      </w:r>
      <w:r w:rsidRPr="00D7240E">
        <w:rPr>
          <w:rStyle w:val="Emphasis"/>
          <w:rFonts w:cstheme="minorHAnsi"/>
          <w:color w:val="333333"/>
          <w:spacing w:val="2"/>
        </w:rPr>
        <w:t>p =</w:t>
      </w:r>
      <w:r w:rsidRPr="00D7240E">
        <w:rPr>
          <w:rFonts w:cstheme="minorHAnsi"/>
          <w:color w:val="333333"/>
          <w:spacing w:val="2"/>
        </w:rPr>
        <w:t> .97) were not significant predictors.</w:t>
      </w:r>
    </w:p>
    <w:p w14:paraId="3C137ABC" w14:textId="77777777" w:rsidR="00FA36F7" w:rsidRPr="00D7240E" w:rsidRDefault="00FA36F7" w:rsidP="00EC2C89">
      <w:pPr>
        <w:rPr>
          <w:rFonts w:cstheme="minorHAnsi"/>
          <w:color w:val="333333"/>
          <w:spacing w:val="2"/>
        </w:rPr>
      </w:pPr>
      <w:r w:rsidRPr="00D7240E">
        <w:rPr>
          <w:rFonts w:cstheme="minorHAnsi"/>
          <w:color w:val="333333"/>
          <w:spacing w:val="2"/>
        </w:rPr>
        <w:lastRenderedPageBreak/>
        <w:t>For self-doubt, the regression model was statistically significant, </w:t>
      </w:r>
      <w:r w:rsidRPr="00D7240E">
        <w:rPr>
          <w:rStyle w:val="Emphasis"/>
          <w:rFonts w:cstheme="minorHAnsi"/>
          <w:color w:val="333333"/>
          <w:spacing w:val="2"/>
        </w:rPr>
        <w:t>F</w:t>
      </w:r>
      <w:r w:rsidRPr="00D7240E">
        <w:rPr>
          <w:rFonts w:cstheme="minorHAnsi"/>
          <w:color w:val="333333"/>
          <w:spacing w:val="2"/>
        </w:rPr>
        <w:t>(4, 484) = 5.92, </w:t>
      </w:r>
      <w:r w:rsidRPr="00D7240E">
        <w:rPr>
          <w:rStyle w:val="Emphasis"/>
          <w:rFonts w:cstheme="minorHAnsi"/>
          <w:color w:val="333333"/>
          <w:spacing w:val="2"/>
        </w:rPr>
        <w:t>p</w:t>
      </w:r>
      <w:r w:rsidRPr="00D7240E">
        <w:rPr>
          <w:rFonts w:cstheme="minorHAnsi"/>
          <w:color w:val="333333"/>
          <w:spacing w:val="2"/>
        </w:rPr>
        <w:t> &lt; .01, </w:t>
      </w:r>
      <w:r w:rsidRPr="00D7240E">
        <w:rPr>
          <w:rStyle w:val="Emphasis"/>
          <w:rFonts w:cstheme="minorHAnsi"/>
          <w:color w:val="333333"/>
          <w:spacing w:val="2"/>
        </w:rPr>
        <w:t>R</w:t>
      </w:r>
      <w:r w:rsidRPr="00D7240E">
        <w:rPr>
          <w:rFonts w:cstheme="minorHAnsi"/>
          <w:color w:val="333333"/>
          <w:spacing w:val="2"/>
          <w:vertAlign w:val="superscript"/>
        </w:rPr>
        <w:t>2</w:t>
      </w:r>
      <w:r w:rsidRPr="00D7240E">
        <w:rPr>
          <w:rFonts w:cstheme="minorHAnsi"/>
          <w:color w:val="333333"/>
          <w:spacing w:val="2"/>
        </w:rPr>
        <w:t> = .05, with the Schedule of Sexist Events (β = .16, </w:t>
      </w:r>
      <w:r w:rsidRPr="00D7240E">
        <w:rPr>
          <w:rStyle w:val="Emphasis"/>
          <w:rFonts w:cstheme="minorHAnsi"/>
          <w:color w:val="333333"/>
          <w:spacing w:val="2"/>
        </w:rPr>
        <w:t>p &lt;</w:t>
      </w:r>
      <w:r w:rsidRPr="00D7240E">
        <w:rPr>
          <w:rFonts w:cstheme="minorHAnsi"/>
          <w:color w:val="333333"/>
          <w:spacing w:val="2"/>
        </w:rPr>
        <w:t> .01) and Protective Paternalism (β = .15, </w:t>
      </w:r>
      <w:r w:rsidRPr="00D7240E">
        <w:rPr>
          <w:rStyle w:val="Emphasis"/>
          <w:rFonts w:cstheme="minorHAnsi"/>
          <w:color w:val="333333"/>
          <w:spacing w:val="2"/>
        </w:rPr>
        <w:t>p =</w:t>
      </w:r>
      <w:r w:rsidRPr="00D7240E">
        <w:rPr>
          <w:rFonts w:cstheme="minorHAnsi"/>
          <w:color w:val="333333"/>
          <w:spacing w:val="2"/>
        </w:rPr>
        <w:t> .02) both positively associated with self-doubt and Complementary Gender Differentiation (β = −.13, </w:t>
      </w:r>
      <w:r w:rsidRPr="00D7240E">
        <w:rPr>
          <w:rStyle w:val="Emphasis"/>
          <w:rFonts w:cstheme="minorHAnsi"/>
          <w:color w:val="333333"/>
          <w:spacing w:val="2"/>
        </w:rPr>
        <w:t>p =</w:t>
      </w:r>
      <w:r w:rsidRPr="00D7240E">
        <w:rPr>
          <w:rFonts w:cstheme="minorHAnsi"/>
          <w:color w:val="333333"/>
          <w:spacing w:val="2"/>
        </w:rPr>
        <w:t> .03) negatively associated. Heterosexual Intimacy (β = −.04, </w:t>
      </w:r>
      <w:r w:rsidRPr="00D7240E">
        <w:rPr>
          <w:rStyle w:val="Emphasis"/>
          <w:rFonts w:cstheme="minorHAnsi"/>
          <w:color w:val="333333"/>
          <w:spacing w:val="2"/>
        </w:rPr>
        <w:t>p =</w:t>
      </w:r>
      <w:r w:rsidRPr="00D7240E">
        <w:rPr>
          <w:rFonts w:cstheme="minorHAnsi"/>
          <w:color w:val="333333"/>
          <w:spacing w:val="2"/>
        </w:rPr>
        <w:t> .51) was not a significant predictor.</w:t>
      </w:r>
    </w:p>
    <w:p w14:paraId="5258457A" w14:textId="77777777" w:rsidR="00FA36F7" w:rsidRPr="00D7240E" w:rsidRDefault="00FA36F7" w:rsidP="00EC2C89">
      <w:pPr>
        <w:rPr>
          <w:rFonts w:cstheme="minorHAnsi"/>
          <w:color w:val="333333"/>
          <w:spacing w:val="2"/>
        </w:rPr>
      </w:pPr>
      <w:r w:rsidRPr="00D7240E">
        <w:rPr>
          <w:rFonts w:cstheme="minorHAnsi"/>
          <w:color w:val="333333"/>
          <w:spacing w:val="2"/>
        </w:rPr>
        <w:t>For judgmental self-doubt, the regression model was statistically significant, </w:t>
      </w:r>
      <w:r w:rsidRPr="00D7240E">
        <w:rPr>
          <w:rStyle w:val="Emphasis"/>
          <w:rFonts w:cstheme="minorHAnsi"/>
          <w:color w:val="333333"/>
          <w:spacing w:val="2"/>
        </w:rPr>
        <w:t>F</w:t>
      </w:r>
      <w:r w:rsidRPr="00D7240E">
        <w:rPr>
          <w:rFonts w:cstheme="minorHAnsi"/>
          <w:color w:val="333333"/>
          <w:spacing w:val="2"/>
        </w:rPr>
        <w:t>(4, 484) = 3.46, </w:t>
      </w:r>
      <w:r w:rsidRPr="00D7240E">
        <w:rPr>
          <w:rStyle w:val="Emphasis"/>
          <w:rFonts w:cstheme="minorHAnsi"/>
          <w:color w:val="333333"/>
          <w:spacing w:val="2"/>
        </w:rPr>
        <w:t>p</w:t>
      </w:r>
      <w:r w:rsidRPr="00D7240E">
        <w:rPr>
          <w:rFonts w:cstheme="minorHAnsi"/>
          <w:color w:val="333333"/>
          <w:spacing w:val="2"/>
        </w:rPr>
        <w:t> = .01, </w:t>
      </w:r>
      <w:r w:rsidRPr="00D7240E">
        <w:rPr>
          <w:rStyle w:val="Emphasis"/>
          <w:rFonts w:cstheme="minorHAnsi"/>
          <w:color w:val="333333"/>
          <w:spacing w:val="2"/>
        </w:rPr>
        <w:t>R</w:t>
      </w:r>
      <w:r w:rsidRPr="00D7240E">
        <w:rPr>
          <w:rFonts w:cstheme="minorHAnsi"/>
          <w:color w:val="333333"/>
          <w:spacing w:val="2"/>
          <w:vertAlign w:val="superscript"/>
        </w:rPr>
        <w:t>2</w:t>
      </w:r>
      <w:r w:rsidRPr="00D7240E">
        <w:rPr>
          <w:rFonts w:cstheme="minorHAnsi"/>
          <w:color w:val="333333"/>
          <w:spacing w:val="2"/>
        </w:rPr>
        <w:t> = .03, with Protective Paternalism (β = .23, </w:t>
      </w:r>
      <w:r w:rsidRPr="00D7240E">
        <w:rPr>
          <w:rStyle w:val="Emphasis"/>
          <w:rFonts w:cstheme="minorHAnsi"/>
          <w:color w:val="333333"/>
          <w:spacing w:val="2"/>
        </w:rPr>
        <w:t>p &lt;</w:t>
      </w:r>
      <w:r w:rsidRPr="00D7240E">
        <w:rPr>
          <w:rFonts w:cstheme="minorHAnsi"/>
          <w:color w:val="333333"/>
          <w:spacing w:val="2"/>
        </w:rPr>
        <w:t> .01) positively and Complementary Gender Differentiation (β = −.14, </w:t>
      </w:r>
      <w:r w:rsidRPr="00D7240E">
        <w:rPr>
          <w:rStyle w:val="Emphasis"/>
          <w:rFonts w:cstheme="minorHAnsi"/>
          <w:color w:val="333333"/>
          <w:spacing w:val="2"/>
        </w:rPr>
        <w:t>p</w:t>
      </w:r>
      <w:r w:rsidRPr="00D7240E">
        <w:rPr>
          <w:rFonts w:cstheme="minorHAnsi"/>
          <w:color w:val="333333"/>
          <w:spacing w:val="2"/>
        </w:rPr>
        <w:t> = .02) negatively associated with self-doubt. Heterosexual Intimacy (β = .02, </w:t>
      </w:r>
      <w:r w:rsidRPr="00D7240E">
        <w:rPr>
          <w:rStyle w:val="Emphasis"/>
          <w:rFonts w:cstheme="minorHAnsi"/>
          <w:color w:val="333333"/>
          <w:spacing w:val="2"/>
        </w:rPr>
        <w:t>p =</w:t>
      </w:r>
      <w:r w:rsidRPr="00D7240E">
        <w:rPr>
          <w:rFonts w:cstheme="minorHAnsi"/>
          <w:color w:val="333333"/>
          <w:spacing w:val="2"/>
        </w:rPr>
        <w:t> .76) and the Schedule of Sexist Events (β = −.03, </w:t>
      </w:r>
      <w:r w:rsidRPr="00D7240E">
        <w:rPr>
          <w:rStyle w:val="Emphasis"/>
          <w:rFonts w:cstheme="minorHAnsi"/>
          <w:color w:val="333333"/>
          <w:spacing w:val="2"/>
        </w:rPr>
        <w:t>p =</w:t>
      </w:r>
      <w:r w:rsidRPr="00D7240E">
        <w:rPr>
          <w:rFonts w:cstheme="minorHAnsi"/>
          <w:color w:val="333333"/>
          <w:spacing w:val="2"/>
        </w:rPr>
        <w:t> .67) were not significant predictors.</w:t>
      </w:r>
    </w:p>
    <w:p w14:paraId="1F6E4897" w14:textId="77777777" w:rsidR="00FA36F7" w:rsidRPr="00D7240E" w:rsidRDefault="00FA36F7" w:rsidP="00EC2C89">
      <w:pPr>
        <w:pStyle w:val="Heading2"/>
        <w:rPr>
          <w:rFonts w:asciiTheme="minorHAnsi" w:hAnsiTheme="minorHAnsi" w:cstheme="minorHAnsi"/>
          <w:sz w:val="27"/>
          <w:szCs w:val="27"/>
        </w:rPr>
      </w:pPr>
      <w:r w:rsidRPr="00D7240E">
        <w:rPr>
          <w:rFonts w:asciiTheme="minorHAnsi" w:hAnsiTheme="minorHAnsi" w:cstheme="minorHAnsi"/>
        </w:rPr>
        <w:t>Discussion</w:t>
      </w:r>
    </w:p>
    <w:p w14:paraId="64E39894" w14:textId="77777777" w:rsidR="00FA36F7" w:rsidRPr="00D7240E" w:rsidRDefault="00FA36F7" w:rsidP="00EC2C89">
      <w:pPr>
        <w:rPr>
          <w:rFonts w:cstheme="minorHAnsi"/>
        </w:rPr>
      </w:pPr>
      <w:r w:rsidRPr="00D7240E">
        <w:rPr>
          <w:rFonts w:cstheme="minorHAnsi"/>
        </w:rPr>
        <w:t>In this first study we sought to develop and provide initial validity tests of a measure of women’s benevolently sexist experiences that is consistent with the three components of benevolent sexism (Heterosexual Intimacy, Complementary Gender Differentiation, and Protective Paternalism) as outlined by ambivalent sexism theory (Glick and Fiske </w:t>
      </w:r>
      <w:hyperlink r:id="rId99" w:anchor="CR23" w:tooltip="View reference" w:history="1">
        <w:r w:rsidRPr="00D7240E">
          <w:rPr>
            <w:rStyle w:val="Hyperlink"/>
            <w:rFonts w:eastAsiaTheme="majorEastAsia" w:cstheme="minorHAnsi"/>
            <w:color w:val="4500A7"/>
            <w:spacing w:val="2"/>
          </w:rPr>
          <w:t>1996</w:t>
        </w:r>
      </w:hyperlink>
      <w:r w:rsidRPr="00D7240E">
        <w:rPr>
          <w:rFonts w:cstheme="minorHAnsi"/>
        </w:rPr>
        <w:t>). The three subscales derived from the exploratory factor analysis demonstrate adequate reliability and are positively inter-correlated. Women report experiencing benevolently sexist events more frequently, but as less sexist and distressing, than overtly hostile sexist events. This is consistent with research suggesting that women often fail to identify these behaviors as stemming from sexism (Barreto and Ellemers </w:t>
      </w:r>
      <w:hyperlink r:id="rId100" w:anchor="CR4" w:tooltip="View reference" w:history="1">
        <w:r w:rsidRPr="00D7240E">
          <w:rPr>
            <w:rStyle w:val="Hyperlink"/>
            <w:rFonts w:eastAsiaTheme="majorEastAsia" w:cstheme="minorHAnsi"/>
            <w:color w:val="4500A7"/>
            <w:spacing w:val="2"/>
          </w:rPr>
          <w:t>2005</w:t>
        </w:r>
      </w:hyperlink>
      <w:r w:rsidRPr="00D7240E">
        <w:rPr>
          <w:rFonts w:cstheme="minorHAnsi"/>
        </w:rPr>
        <w:t>; Killianski and Rudman </w:t>
      </w:r>
      <w:hyperlink r:id="rId101" w:anchor="CR35" w:tooltip="View reference" w:history="1">
        <w:r w:rsidRPr="00D7240E">
          <w:rPr>
            <w:rStyle w:val="Hyperlink"/>
            <w:rFonts w:eastAsiaTheme="majorEastAsia" w:cstheme="minorHAnsi"/>
            <w:color w:val="4500A7"/>
            <w:spacing w:val="2"/>
          </w:rPr>
          <w:t>1998</w:t>
        </w:r>
      </w:hyperlink>
      <w:r w:rsidRPr="00D7240E">
        <w:rPr>
          <w:rFonts w:cstheme="minorHAnsi"/>
        </w:rPr>
        <w:t>) and underestimate the amount of distress resulting from benevolently sexist experiences (Bosson et al. </w:t>
      </w:r>
      <w:hyperlink r:id="rId102" w:anchor="CR10" w:tooltip="View reference" w:history="1">
        <w:r w:rsidRPr="00D7240E">
          <w:rPr>
            <w:rStyle w:val="Hyperlink"/>
            <w:rFonts w:eastAsiaTheme="majorEastAsia" w:cstheme="minorHAnsi"/>
            <w:color w:val="4500A7"/>
            <w:spacing w:val="2"/>
          </w:rPr>
          <w:t>2010</w:t>
        </w:r>
      </w:hyperlink>
      <w:r w:rsidRPr="00D7240E">
        <w:rPr>
          <w:rFonts w:cstheme="minorHAnsi"/>
        </w:rPr>
        <w:t>).</w:t>
      </w:r>
    </w:p>
    <w:p w14:paraId="0A6149CC" w14:textId="77777777" w:rsidR="00FA36F7" w:rsidRPr="00D7240E" w:rsidRDefault="00FA36F7" w:rsidP="00EC2C89">
      <w:pPr>
        <w:rPr>
          <w:rFonts w:cstheme="minorHAnsi"/>
        </w:rPr>
      </w:pPr>
      <w:r w:rsidRPr="00D7240E">
        <w:rPr>
          <w:rFonts w:cstheme="minorHAnsi"/>
        </w:rPr>
        <w:t>Consistent with previous research, experiencing the overtly sexist behaviors on the Schedule of Sexist Events (e.g., Klonoff and Landrine </w:t>
      </w:r>
      <w:hyperlink r:id="rId103" w:anchor="CR37" w:tooltip="View reference" w:history="1">
        <w:r w:rsidRPr="00D7240E">
          <w:rPr>
            <w:rStyle w:val="Hyperlink"/>
            <w:rFonts w:eastAsiaTheme="majorEastAsia" w:cstheme="minorHAnsi"/>
            <w:color w:val="4500A7"/>
            <w:spacing w:val="2"/>
          </w:rPr>
          <w:t>1995</w:t>
        </w:r>
      </w:hyperlink>
      <w:r w:rsidRPr="00D7240E">
        <w:rPr>
          <w:rFonts w:cstheme="minorHAnsi"/>
        </w:rPr>
        <w:t>) is negatively associated with self-esteem and positively associated with self-doubt. A similar pattern was found for Protective Paternalism, which is consistent with experimental research that protective paternalism is associated with negative outcomes for women, including doubting one’s skills and feelings of incompetence (Dumont et al. </w:t>
      </w:r>
      <w:hyperlink r:id="rId104" w:anchor="CR19" w:tooltip="View reference" w:history="1">
        <w:r w:rsidRPr="00D7240E">
          <w:rPr>
            <w:rStyle w:val="Hyperlink"/>
            <w:rFonts w:eastAsiaTheme="majorEastAsia" w:cstheme="minorHAnsi"/>
            <w:color w:val="4500A7"/>
            <w:spacing w:val="2"/>
          </w:rPr>
          <w:t>2010</w:t>
        </w:r>
      </w:hyperlink>
      <w:r w:rsidRPr="00D7240E">
        <w:rPr>
          <w:rFonts w:cstheme="minorHAnsi"/>
        </w:rPr>
        <w:t>; Gervais and Vescio </w:t>
      </w:r>
      <w:hyperlink r:id="rId105" w:anchor="CR22" w:tooltip="View reference" w:history="1">
        <w:r w:rsidRPr="00D7240E">
          <w:rPr>
            <w:rStyle w:val="Hyperlink"/>
            <w:rFonts w:eastAsiaTheme="majorEastAsia" w:cstheme="minorHAnsi"/>
            <w:color w:val="4500A7"/>
            <w:spacing w:val="2"/>
          </w:rPr>
          <w:t>2012</w:t>
        </w:r>
      </w:hyperlink>
      <w:r w:rsidRPr="00D7240E">
        <w:rPr>
          <w:rFonts w:cstheme="minorHAnsi"/>
        </w:rPr>
        <w:t>; Shepherd et al. </w:t>
      </w:r>
      <w:hyperlink r:id="rId106" w:anchor="CR59" w:tooltip="View reference" w:history="1">
        <w:r w:rsidRPr="00D7240E">
          <w:rPr>
            <w:rStyle w:val="Hyperlink"/>
            <w:rFonts w:eastAsiaTheme="majorEastAsia" w:cstheme="minorHAnsi"/>
            <w:color w:val="4500A7"/>
            <w:spacing w:val="2"/>
          </w:rPr>
          <w:t>2011</w:t>
        </w:r>
      </w:hyperlink>
      <w:r w:rsidRPr="00D7240E">
        <w:rPr>
          <w:rFonts w:cstheme="minorHAnsi"/>
        </w:rPr>
        <w:t>). In contrast, whereas Complementary Gender Differentiation is not associated with self-doubt in the zero order-correlations, it is negatively associated with self-doubt and positively associated with self-esteem in the regressions. This finding is surprising to the extent that one would expect experiencing sexism to take a toll on women’s self-concept. However, we suspect this is because Complementary Gender Differentiation experiences consist of being praised and rewarded for engaging in gender-stereotyped behaviors. For women who meet these cultural expectations and receive that praise (even if these expectations are perceived as sexist) these experiences may serve to boost one’s self-esteem and decrease self-doubt. Finally, Heterosexual Intimacy experiences are reported as being experienced least frequently and perceived as the least sexist of the three subtypes, and they did not correlate with self-esteem or self-doubt.</w:t>
      </w:r>
    </w:p>
    <w:p w14:paraId="5158DD64" w14:textId="77777777" w:rsidR="00FA36F7" w:rsidRPr="00D7240E" w:rsidRDefault="00FA36F7" w:rsidP="00D74D60">
      <w:pPr>
        <w:pStyle w:val="Heading1"/>
        <w:rPr>
          <w:rFonts w:asciiTheme="minorHAnsi" w:hAnsiTheme="minorHAnsi" w:cstheme="minorHAnsi"/>
          <w:sz w:val="36"/>
          <w:szCs w:val="36"/>
        </w:rPr>
      </w:pPr>
      <w:r w:rsidRPr="00D7240E">
        <w:rPr>
          <w:rFonts w:asciiTheme="minorHAnsi" w:hAnsiTheme="minorHAnsi" w:cstheme="minorHAnsi"/>
        </w:rPr>
        <w:t>Study 2</w:t>
      </w:r>
    </w:p>
    <w:p w14:paraId="59322DB4" w14:textId="77777777" w:rsidR="00FA36F7" w:rsidRPr="00D7240E" w:rsidRDefault="00FA36F7" w:rsidP="00D74D60">
      <w:pPr>
        <w:rPr>
          <w:rFonts w:cstheme="minorHAnsi"/>
        </w:rPr>
      </w:pPr>
      <w:r w:rsidRPr="00D7240E">
        <w:rPr>
          <w:rFonts w:cstheme="minorHAnsi"/>
        </w:rPr>
        <w:t>Our first study provided initial support for the new measure of women’s experiences with benevolent sexism. However, the study was conducted on a relatively homogeneous group of young women on a private university campus. The first goal of Study 2 is to confirm the factor structure of the scale using a more diverse sample collected online using MTurk. MTurk is an online crowdsourcing service where anonymous workers complete online surveys for monetary compensation. Samples acquired through MTurk are more diverse than college samples and still produce reliable high-quality data (Buhrmester et al. </w:t>
      </w:r>
      <w:hyperlink r:id="rId107" w:anchor="CR12" w:tooltip="View reference" w:history="1">
        <w:r w:rsidRPr="00D7240E">
          <w:rPr>
            <w:rStyle w:val="Hyperlink"/>
            <w:rFonts w:eastAsiaTheme="majorEastAsia" w:cstheme="minorHAnsi"/>
            <w:color w:val="4500A7"/>
            <w:spacing w:val="2"/>
          </w:rPr>
          <w:t>2011</w:t>
        </w:r>
      </w:hyperlink>
      <w:r w:rsidRPr="00D7240E">
        <w:rPr>
          <w:rFonts w:cstheme="minorHAnsi"/>
        </w:rPr>
        <w:t>).</w:t>
      </w:r>
    </w:p>
    <w:p w14:paraId="75102D33" w14:textId="77777777" w:rsidR="00FA36F7" w:rsidRPr="00D7240E" w:rsidRDefault="00FA36F7" w:rsidP="00D74D60">
      <w:pPr>
        <w:rPr>
          <w:rFonts w:cstheme="minorHAnsi"/>
        </w:rPr>
      </w:pPr>
      <w:r w:rsidRPr="00D7240E">
        <w:rPr>
          <w:rFonts w:cstheme="minorHAnsi"/>
        </w:rPr>
        <w:t xml:space="preserve">The second goal is to replicate the findings from Study 1. Consistent with those study findings, we hypothesize that women will report experiencing benevolent sexism more frequently than hostile sexism. However, they will rate hostile sexism as more distressing and sexist. We also measured women’s self-doubt and self-esteem and expect to replicate the results that frequency of experiences with Protective Paternalism and the Schedule of </w:t>
      </w:r>
      <w:r w:rsidRPr="00D7240E">
        <w:rPr>
          <w:rFonts w:cstheme="minorHAnsi"/>
        </w:rPr>
        <w:lastRenderedPageBreak/>
        <w:t>Sexist Events will be positively associated with self-doubt measures and negatively with self-esteem. However, experiences with Complementary Gender Differentiation will be negatively associated with self-doubt and positively associated with self-esteem.</w:t>
      </w:r>
    </w:p>
    <w:p w14:paraId="08A3036E" w14:textId="77777777" w:rsidR="00FA36F7" w:rsidRPr="00D7240E" w:rsidRDefault="00FA36F7" w:rsidP="00D74D60">
      <w:pPr>
        <w:rPr>
          <w:rFonts w:cstheme="minorHAnsi"/>
        </w:rPr>
      </w:pPr>
      <w:r w:rsidRPr="00D7240E">
        <w:rPr>
          <w:rFonts w:cstheme="minorHAnsi"/>
        </w:rPr>
        <w:t>Third, we provide further validation of the new scale by examining how Experiences with Benevolent Sexism are associated with women’s mental well-being. Well-being was measured with two scales: Psychological Well-being (Cummins et al. </w:t>
      </w:r>
      <w:hyperlink r:id="rId108" w:anchor="CR16" w:tooltip="View reference" w:history="1">
        <w:r w:rsidRPr="00D7240E">
          <w:rPr>
            <w:rStyle w:val="Hyperlink"/>
            <w:rFonts w:eastAsiaTheme="majorEastAsia" w:cstheme="minorHAnsi"/>
            <w:color w:val="4500A7"/>
            <w:spacing w:val="2"/>
          </w:rPr>
          <w:t>2003</w:t>
        </w:r>
      </w:hyperlink>
      <w:r w:rsidRPr="00D7240E">
        <w:rPr>
          <w:rFonts w:cstheme="minorHAnsi"/>
        </w:rPr>
        <w:t>), which measures satisfaction in domains such as health and relationships, and the Psychological Flourishing Scale (Diener et al. </w:t>
      </w:r>
      <w:hyperlink r:id="rId109" w:anchor="CR17" w:tooltip="View reference" w:history="1">
        <w:r w:rsidRPr="00D7240E">
          <w:rPr>
            <w:rStyle w:val="Hyperlink"/>
            <w:rFonts w:eastAsiaTheme="majorEastAsia" w:cstheme="minorHAnsi"/>
            <w:color w:val="4500A7"/>
            <w:spacing w:val="2"/>
          </w:rPr>
          <w:t>2010</w:t>
        </w:r>
      </w:hyperlink>
      <w:r w:rsidRPr="00D7240E">
        <w:rPr>
          <w:rFonts w:cstheme="minorHAnsi"/>
        </w:rPr>
        <w:t>), which assesses function in different life areas. Previous research has found that experiencing gender-based discrimination and sexist events is negatively associated with a wide range of mental health indicators (Landrine et al. </w:t>
      </w:r>
      <w:hyperlink r:id="rId110" w:anchor="CR40" w:tooltip="View reference" w:history="1">
        <w:r w:rsidRPr="00D7240E">
          <w:rPr>
            <w:rStyle w:val="Hyperlink"/>
            <w:rFonts w:eastAsiaTheme="majorEastAsia" w:cstheme="minorHAnsi"/>
            <w:color w:val="4500A7"/>
            <w:spacing w:val="2"/>
          </w:rPr>
          <w:t>1995</w:t>
        </w:r>
      </w:hyperlink>
      <w:r w:rsidRPr="00D7240E">
        <w:rPr>
          <w:rFonts w:cstheme="minorHAnsi"/>
        </w:rPr>
        <w:t>; Moradi and Subich </w:t>
      </w:r>
      <w:hyperlink r:id="rId111" w:anchor="CR48" w:tooltip="View reference" w:history="1">
        <w:r w:rsidRPr="00D7240E">
          <w:rPr>
            <w:rStyle w:val="Hyperlink"/>
            <w:rFonts w:eastAsiaTheme="majorEastAsia" w:cstheme="minorHAnsi"/>
            <w:color w:val="4500A7"/>
            <w:spacing w:val="2"/>
          </w:rPr>
          <w:t>2002</w:t>
        </w:r>
      </w:hyperlink>
      <w:r w:rsidRPr="00D7240E">
        <w:rPr>
          <w:rFonts w:cstheme="minorHAnsi"/>
        </w:rPr>
        <w:t>). Thus, we hypothesize that the Schedule of Sexist Events will be negatively associated with Psychological Well-being and Flourishing. Given the findings in Study 1, we hypothesize that frequency of experiences with Protective Paternalism will also be negatively associated with Psychological Well-being and Flourishing. However, Complementary Gender Differentiation is expected to have a positive association with Psychological Well-being and Flourishing, similar to the results from Study 1 regarding self-esteem and self-doubt. We made no hypotheses regarding the associations between Heterosexual Intimacy and well-being.</w:t>
      </w:r>
    </w:p>
    <w:p w14:paraId="70C736D9" w14:textId="77777777" w:rsidR="00FA36F7" w:rsidRPr="00D7240E" w:rsidRDefault="00FA36F7" w:rsidP="00D74D60">
      <w:pPr>
        <w:rPr>
          <w:rFonts w:cstheme="minorHAnsi"/>
        </w:rPr>
      </w:pPr>
      <w:r w:rsidRPr="00D7240E">
        <w:rPr>
          <w:rFonts w:cstheme="minorHAnsi"/>
        </w:rPr>
        <w:t>Theoretically, benevolent sexism is bestowed upon women who “stay in their place” in gender traditional roles (Glick and Fiske </w:t>
      </w:r>
      <w:hyperlink r:id="rId112" w:anchor="CR23" w:tooltip="View reference" w:history="1">
        <w:r w:rsidRPr="00D7240E">
          <w:rPr>
            <w:rStyle w:val="Hyperlink"/>
            <w:rFonts w:eastAsiaTheme="majorEastAsia" w:cstheme="minorHAnsi"/>
            <w:color w:val="4500A7"/>
            <w:spacing w:val="2"/>
          </w:rPr>
          <w:t>1996</w:t>
        </w:r>
      </w:hyperlink>
      <w:r w:rsidRPr="00D7240E">
        <w:rPr>
          <w:rFonts w:cstheme="minorHAnsi"/>
        </w:rPr>
        <w:t>). In experimental research, women who are exposed to benevolently sexist attitudes are more likely to justify the current gender status quo (Jost and Kay </w:t>
      </w:r>
      <w:hyperlink r:id="rId113" w:anchor="CR34" w:tooltip="View reference" w:history="1">
        <w:r w:rsidRPr="00D7240E">
          <w:rPr>
            <w:rStyle w:val="Hyperlink"/>
            <w:rFonts w:eastAsiaTheme="majorEastAsia" w:cstheme="minorHAnsi"/>
            <w:color w:val="4500A7"/>
            <w:spacing w:val="2"/>
          </w:rPr>
          <w:t>2005</w:t>
        </w:r>
      </w:hyperlink>
      <w:r w:rsidRPr="00D7240E">
        <w:rPr>
          <w:rFonts w:cstheme="minorHAnsi"/>
        </w:rPr>
        <w:t>). However, women who are exposed to hostile sexist attitudes are more likely to challenge the status quo (Becker and Wright </w:t>
      </w:r>
      <w:hyperlink r:id="rId114" w:anchor="CR7" w:tooltip="View reference" w:history="1">
        <w:r w:rsidRPr="00D7240E">
          <w:rPr>
            <w:rStyle w:val="Hyperlink"/>
            <w:rFonts w:eastAsiaTheme="majorEastAsia" w:cstheme="minorHAnsi"/>
            <w:color w:val="4500A7"/>
            <w:spacing w:val="2"/>
          </w:rPr>
          <w:t>2011</w:t>
        </w:r>
      </w:hyperlink>
      <w:r w:rsidRPr="00D7240E">
        <w:rPr>
          <w:rFonts w:cstheme="minorHAnsi"/>
        </w:rPr>
        <w:t>). Therefore, we hypothesize that experiencing all forms of benevolent sexism should be positively associated with showing deference to traditional authority figures. However, the Schedule of Sexist Events, which measures overt sexist experiences, should be negatively associated with showing deference to authority figures.</w:t>
      </w:r>
    </w:p>
    <w:p w14:paraId="25902343" w14:textId="77777777" w:rsidR="00FA36F7" w:rsidRPr="00D7240E" w:rsidRDefault="00FA36F7" w:rsidP="00D74D60">
      <w:pPr>
        <w:rPr>
          <w:rFonts w:cstheme="minorHAnsi"/>
        </w:rPr>
      </w:pPr>
      <w:r w:rsidRPr="00D7240E">
        <w:rPr>
          <w:rFonts w:cstheme="minorHAnsi"/>
        </w:rPr>
        <w:t>Finally, benevolent sexism often occurs within the context of romantic relationships (Hammond et al. </w:t>
      </w:r>
      <w:hyperlink r:id="rId115" w:anchor="CR30" w:tooltip="View reference" w:history="1">
        <w:r w:rsidRPr="00D7240E">
          <w:rPr>
            <w:rStyle w:val="Hyperlink"/>
            <w:rFonts w:eastAsiaTheme="majorEastAsia" w:cstheme="minorHAnsi"/>
            <w:color w:val="4500A7"/>
            <w:spacing w:val="2"/>
          </w:rPr>
          <w:t>2016</w:t>
        </w:r>
      </w:hyperlink>
      <w:r w:rsidRPr="00D7240E">
        <w:rPr>
          <w:rFonts w:cstheme="minorHAnsi"/>
        </w:rPr>
        <w:t>; Rudman and Glick </w:t>
      </w:r>
      <w:hyperlink r:id="rId116" w:anchor="CR56" w:tooltip="View reference" w:history="1">
        <w:r w:rsidRPr="00D7240E">
          <w:rPr>
            <w:rStyle w:val="Hyperlink"/>
            <w:rFonts w:eastAsiaTheme="majorEastAsia" w:cstheme="minorHAnsi"/>
            <w:color w:val="4500A7"/>
            <w:spacing w:val="2"/>
          </w:rPr>
          <w:t>2008</w:t>
        </w:r>
      </w:hyperlink>
      <w:r w:rsidRPr="00D7240E">
        <w:rPr>
          <w:rFonts w:cstheme="minorHAnsi"/>
        </w:rPr>
        <w:t>). Hammond et al. (</w:t>
      </w:r>
      <w:hyperlink r:id="rId117" w:anchor="CR30" w:tooltip="View reference" w:history="1">
        <w:r w:rsidRPr="00D7240E">
          <w:rPr>
            <w:rStyle w:val="Hyperlink"/>
            <w:rFonts w:eastAsiaTheme="majorEastAsia" w:cstheme="minorHAnsi"/>
            <w:color w:val="4500A7"/>
            <w:spacing w:val="2"/>
          </w:rPr>
          <w:t>2016</w:t>
        </w:r>
      </w:hyperlink>
      <w:r w:rsidRPr="00D7240E">
        <w:rPr>
          <w:rFonts w:cstheme="minorHAnsi"/>
        </w:rPr>
        <w:t>) found that women who perceive their male partner to be high in benevolent sexism are more likely to personally endorse benevolently sexist attitudes and to perceive increased relationship regard and security from the male partner. Furthermore, men with strong benevolently sexist attitudes are more likely to provide female partners with dependency-oriented help (Hammond and Overall </w:t>
      </w:r>
      <w:hyperlink r:id="rId118" w:anchor="CR27" w:tooltip="View reference" w:history="1">
        <w:r w:rsidRPr="00D7240E">
          <w:rPr>
            <w:rStyle w:val="Hyperlink"/>
            <w:rFonts w:eastAsiaTheme="majorEastAsia" w:cstheme="minorHAnsi"/>
            <w:color w:val="4500A7"/>
            <w:spacing w:val="2"/>
          </w:rPr>
          <w:t>2015</w:t>
        </w:r>
      </w:hyperlink>
      <w:r w:rsidRPr="00D7240E">
        <w:rPr>
          <w:rFonts w:cstheme="minorHAnsi"/>
        </w:rPr>
        <w:t>; Shnabel et al. </w:t>
      </w:r>
      <w:hyperlink r:id="rId119" w:anchor="CR60" w:tooltip="View reference" w:history="1">
        <w:r w:rsidRPr="00D7240E">
          <w:rPr>
            <w:rStyle w:val="Hyperlink"/>
            <w:rFonts w:eastAsiaTheme="majorEastAsia" w:cstheme="minorHAnsi"/>
            <w:color w:val="4500A7"/>
            <w:spacing w:val="2"/>
          </w:rPr>
          <w:t>2016</w:t>
        </w:r>
      </w:hyperlink>
      <w:r w:rsidRPr="00D7240E">
        <w:rPr>
          <w:rFonts w:cstheme="minorHAnsi"/>
        </w:rPr>
        <w:t>). Building on this research, we sought to provide a preliminary examination of how experiences with benevolent sexism might function in relationships. We hypothesize that women who are currently in a romantic relationship will report experiencing more of all three types of benevolently sexist events than those not in a relationship. Furthermore, female participants who are in a romantic relationship were asked to report on their partner’s hostile and benevolently sexist attitudes. We hypothesize that perception of the partner’s benevolently sexist beliefs (while controlling for hostile sexist attitudes) will be positively associated with women’s reports of the frequency of their experiences with all three types of benevolent sexism.</w:t>
      </w:r>
    </w:p>
    <w:p w14:paraId="25A581B5" w14:textId="77777777" w:rsidR="00FA36F7" w:rsidRPr="00D7240E" w:rsidRDefault="00FA36F7" w:rsidP="009948F6">
      <w:pPr>
        <w:pStyle w:val="Heading2"/>
        <w:rPr>
          <w:rFonts w:asciiTheme="minorHAnsi" w:hAnsiTheme="minorHAnsi" w:cstheme="minorHAnsi"/>
          <w:sz w:val="27"/>
          <w:szCs w:val="27"/>
        </w:rPr>
      </w:pPr>
      <w:r w:rsidRPr="00D7240E">
        <w:rPr>
          <w:rFonts w:asciiTheme="minorHAnsi" w:hAnsiTheme="minorHAnsi" w:cstheme="minorHAnsi"/>
        </w:rPr>
        <w:t>Method</w:t>
      </w:r>
    </w:p>
    <w:p w14:paraId="596DB15A" w14:textId="77777777" w:rsidR="00FA36F7" w:rsidRPr="00D7240E" w:rsidRDefault="00FA36F7" w:rsidP="009948F6">
      <w:pPr>
        <w:pStyle w:val="Heading3"/>
        <w:rPr>
          <w:rFonts w:asciiTheme="minorHAnsi" w:hAnsiTheme="minorHAnsi" w:cstheme="minorHAnsi"/>
          <w:b/>
          <w:bCs/>
        </w:rPr>
      </w:pPr>
      <w:r w:rsidRPr="00D7240E">
        <w:rPr>
          <w:rFonts w:asciiTheme="minorHAnsi" w:hAnsiTheme="minorHAnsi" w:cstheme="minorHAnsi"/>
        </w:rPr>
        <w:t>Participants</w:t>
      </w:r>
    </w:p>
    <w:p w14:paraId="6039B72A" w14:textId="77777777" w:rsidR="00FA36F7" w:rsidRPr="00D7240E" w:rsidRDefault="00FA36F7" w:rsidP="009948F6">
      <w:pPr>
        <w:rPr>
          <w:rFonts w:cstheme="minorHAnsi"/>
        </w:rPr>
      </w:pPr>
      <w:r w:rsidRPr="00D7240E">
        <w:rPr>
          <w:rFonts w:cstheme="minorHAnsi"/>
        </w:rPr>
        <w:t>Fully 216 U.S. women completed the survey online and are included in the analyses. Regarding ethnicity, 172 (79.6%) identified as being White, 14 (6.5%) as African American, 16 (7.4%) as Latina, 17 (7.9%) as Asian American, and 13 (6%) indicated another ethnicity. Individuals could check all ethnicities that applied. The majority indicated they were heterosexual (86%, </w:t>
      </w:r>
      <w:r w:rsidRPr="00D7240E">
        <w:rPr>
          <w:rStyle w:val="Emphasis"/>
          <w:rFonts w:cstheme="minorHAnsi"/>
          <w:color w:val="333333"/>
          <w:spacing w:val="2"/>
        </w:rPr>
        <w:t>n</w:t>
      </w:r>
      <w:r w:rsidRPr="00D7240E">
        <w:rPr>
          <w:rFonts w:cstheme="minorHAnsi"/>
        </w:rPr>
        <w:t> = 186). The mean age of participants was 36.38 (</w:t>
      </w:r>
      <w:r w:rsidRPr="00D7240E">
        <w:rPr>
          <w:rStyle w:val="Emphasis"/>
          <w:rFonts w:cstheme="minorHAnsi"/>
          <w:color w:val="333333"/>
          <w:spacing w:val="2"/>
        </w:rPr>
        <w:t>SD</w:t>
      </w:r>
      <w:r w:rsidRPr="00D7240E">
        <w:rPr>
          <w:rFonts w:cstheme="minorHAnsi"/>
        </w:rPr>
        <w:t> = 11.54, </w:t>
      </w:r>
      <w:r w:rsidRPr="00D7240E">
        <w:rPr>
          <w:rStyle w:val="Emphasis"/>
          <w:rFonts w:cstheme="minorHAnsi"/>
          <w:color w:val="333333"/>
          <w:spacing w:val="2"/>
        </w:rPr>
        <w:t>Mdn</w:t>
      </w:r>
      <w:r w:rsidRPr="00D7240E">
        <w:rPr>
          <w:rFonts w:cstheme="minorHAnsi"/>
        </w:rPr>
        <w:t> = 34) and ranged from 21 to 77 years-old.</w:t>
      </w:r>
    </w:p>
    <w:p w14:paraId="2134AE8F" w14:textId="77777777" w:rsidR="00FA36F7" w:rsidRPr="00D7240E" w:rsidRDefault="00FA36F7" w:rsidP="008A6321">
      <w:pPr>
        <w:pStyle w:val="Heading3"/>
        <w:rPr>
          <w:rFonts w:asciiTheme="minorHAnsi" w:hAnsiTheme="minorHAnsi" w:cstheme="minorHAnsi"/>
        </w:rPr>
      </w:pPr>
      <w:r w:rsidRPr="00D7240E">
        <w:rPr>
          <w:rFonts w:asciiTheme="minorHAnsi" w:hAnsiTheme="minorHAnsi" w:cstheme="minorHAnsi"/>
        </w:rPr>
        <w:lastRenderedPageBreak/>
        <w:t>Experiences with Benevolent Sexism</w:t>
      </w:r>
    </w:p>
    <w:p w14:paraId="7D1977CA" w14:textId="77777777" w:rsidR="00FA36F7" w:rsidRPr="00D7240E" w:rsidRDefault="00FA36F7" w:rsidP="008A6321">
      <w:pPr>
        <w:rPr>
          <w:rFonts w:cstheme="minorHAnsi"/>
        </w:rPr>
      </w:pPr>
      <w:r w:rsidRPr="00D7240E">
        <w:rPr>
          <w:rFonts w:cstheme="minorHAnsi"/>
        </w:rPr>
        <w:t>The newly developed 25-item Experiences with Benevolent Sexism Scale was used to assess the experiences women have had with benevolent sexism. The items were measured on the same scale and were presented in alternating order across the three subscales. Each item was again rated for frequency experienced in the last year, lifetime, perceived distress, and perceived sexism.</w:t>
      </w:r>
    </w:p>
    <w:p w14:paraId="55158A66" w14:textId="77777777" w:rsidR="00FA36F7" w:rsidRPr="00D7240E" w:rsidRDefault="00FA36F7" w:rsidP="008A6321">
      <w:pPr>
        <w:pStyle w:val="Heading3"/>
        <w:rPr>
          <w:rFonts w:asciiTheme="minorHAnsi" w:hAnsiTheme="minorHAnsi" w:cstheme="minorHAnsi"/>
        </w:rPr>
      </w:pPr>
      <w:r w:rsidRPr="00D7240E">
        <w:rPr>
          <w:rFonts w:asciiTheme="minorHAnsi" w:hAnsiTheme="minorHAnsi" w:cstheme="minorHAnsi"/>
        </w:rPr>
        <w:t>Self-Doubt, Self-Esteem, and Sexist Events</w:t>
      </w:r>
    </w:p>
    <w:p w14:paraId="366B5B60" w14:textId="77777777" w:rsidR="00FA36F7" w:rsidRPr="00D7240E" w:rsidRDefault="00FA36F7" w:rsidP="008A6321">
      <w:pPr>
        <w:rPr>
          <w:rFonts w:cstheme="minorHAnsi"/>
          <w:color w:val="333333"/>
          <w:spacing w:val="2"/>
        </w:rPr>
      </w:pPr>
      <w:r w:rsidRPr="00D7240E">
        <w:rPr>
          <w:rFonts w:cstheme="minorHAnsi"/>
          <w:color w:val="333333"/>
          <w:spacing w:val="2"/>
        </w:rPr>
        <w:t>The Judgmental Self-Doubt (Mirels et al. </w:t>
      </w:r>
      <w:hyperlink r:id="rId120" w:anchor="CR47" w:tooltip="View reference" w:history="1">
        <w:r w:rsidRPr="00D7240E">
          <w:rPr>
            <w:rStyle w:val="Hyperlink"/>
            <w:rFonts w:eastAsiaTheme="majorEastAsia" w:cstheme="minorHAnsi"/>
            <w:color w:val="4500A7"/>
            <w:spacing w:val="2"/>
          </w:rPr>
          <w:t>2002</w:t>
        </w:r>
      </w:hyperlink>
      <w:r w:rsidRPr="00D7240E">
        <w:rPr>
          <w:rFonts w:cstheme="minorHAnsi"/>
          <w:color w:val="333333"/>
          <w:spacing w:val="2"/>
        </w:rPr>
        <w:t>) and Self-Doubt (Oleson et al. </w:t>
      </w:r>
      <w:hyperlink r:id="rId121" w:anchor="CR51" w:tooltip="View reference" w:history="1">
        <w:r w:rsidRPr="00D7240E">
          <w:rPr>
            <w:rStyle w:val="Hyperlink"/>
            <w:rFonts w:eastAsiaTheme="majorEastAsia" w:cstheme="minorHAnsi"/>
            <w:color w:val="4500A7"/>
            <w:spacing w:val="2"/>
          </w:rPr>
          <w:t>2000</w:t>
        </w:r>
      </w:hyperlink>
      <w:r w:rsidRPr="00D7240E">
        <w:rPr>
          <w:rFonts w:cstheme="minorHAnsi"/>
          <w:color w:val="333333"/>
          <w:spacing w:val="2"/>
        </w:rPr>
        <w:t>) scales used in Study 1 were again used in Study 2. The Cronbach alpha in the current study for Self-doubt was .92 and for Judgmental Self-doubt was .97. Rosenberg’s (</w:t>
      </w:r>
      <w:hyperlink r:id="rId122" w:anchor="CR55" w:tooltip="View reference" w:history="1">
        <w:r w:rsidRPr="00D7240E">
          <w:rPr>
            <w:rStyle w:val="Hyperlink"/>
            <w:rFonts w:eastAsiaTheme="majorEastAsia" w:cstheme="minorHAnsi"/>
            <w:color w:val="4500A7"/>
            <w:spacing w:val="2"/>
          </w:rPr>
          <w:t>1965</w:t>
        </w:r>
      </w:hyperlink>
      <w:r w:rsidRPr="00D7240E">
        <w:rPr>
          <w:rFonts w:cstheme="minorHAnsi"/>
          <w:color w:val="333333"/>
          <w:spacing w:val="2"/>
        </w:rPr>
        <w:t>) self-esteem measure was again used to assess global self-esteem. The Cronbach alpha in the current study was .94. The Schedule of Sexist Events was used again to assess women’s experiences with sexism (Klonoff and Landrine </w:t>
      </w:r>
      <w:hyperlink r:id="rId123" w:anchor="CR37" w:tooltip="View reference" w:history="1">
        <w:r w:rsidRPr="00D7240E">
          <w:rPr>
            <w:rStyle w:val="Hyperlink"/>
            <w:rFonts w:eastAsiaTheme="majorEastAsia" w:cstheme="minorHAnsi"/>
            <w:color w:val="4500A7"/>
            <w:spacing w:val="2"/>
          </w:rPr>
          <w:t>1995</w:t>
        </w:r>
      </w:hyperlink>
      <w:r w:rsidRPr="00D7240E">
        <w:rPr>
          <w:rFonts w:cstheme="minorHAnsi"/>
          <w:color w:val="333333"/>
          <w:spacing w:val="2"/>
        </w:rPr>
        <w:t>). The current study Cronbach alphas for lifetime, year, distress, and sexist subscales were .94, .93, .94, and .95, respectively.</w:t>
      </w:r>
    </w:p>
    <w:p w14:paraId="4F9D3011" w14:textId="77777777" w:rsidR="00FA36F7" w:rsidRPr="00D7240E" w:rsidRDefault="00FA36F7" w:rsidP="008A6321">
      <w:pPr>
        <w:pStyle w:val="Heading3"/>
        <w:rPr>
          <w:rFonts w:asciiTheme="minorHAnsi" w:hAnsiTheme="minorHAnsi" w:cstheme="minorHAnsi"/>
        </w:rPr>
      </w:pPr>
      <w:r w:rsidRPr="00D7240E">
        <w:rPr>
          <w:rFonts w:asciiTheme="minorHAnsi" w:hAnsiTheme="minorHAnsi" w:cstheme="minorHAnsi"/>
        </w:rPr>
        <w:t>Personal Well-Being Index</w:t>
      </w:r>
    </w:p>
    <w:p w14:paraId="5C49CCDF" w14:textId="77777777" w:rsidR="00FA36F7" w:rsidRPr="00D7240E" w:rsidRDefault="00FA36F7" w:rsidP="008A6321">
      <w:pPr>
        <w:rPr>
          <w:rFonts w:cstheme="minorHAnsi"/>
        </w:rPr>
      </w:pPr>
      <w:r w:rsidRPr="00D7240E">
        <w:rPr>
          <w:rFonts w:cstheme="minorHAnsi"/>
        </w:rPr>
        <w:t>The Personal Well-being Index assesses perceived life satisfaction in domains such as one’s health, interpersonal relationships, and perceived safety (Cummins et al. </w:t>
      </w:r>
      <w:hyperlink r:id="rId124" w:anchor="CR16" w:tooltip="View reference" w:history="1">
        <w:r w:rsidRPr="00D7240E">
          <w:rPr>
            <w:rStyle w:val="Hyperlink"/>
            <w:rFonts w:eastAsiaTheme="majorEastAsia" w:cstheme="minorHAnsi"/>
            <w:color w:val="4500A7"/>
            <w:spacing w:val="2"/>
          </w:rPr>
          <w:t>2003</w:t>
        </w:r>
      </w:hyperlink>
      <w:r w:rsidRPr="00D7240E">
        <w:rPr>
          <w:rFonts w:cstheme="minorHAnsi"/>
        </w:rPr>
        <w:t>). Participants responded to nine items on a scale of 0 (</w:t>
      </w:r>
      <w:r w:rsidRPr="00D7240E">
        <w:rPr>
          <w:rStyle w:val="Emphasis"/>
          <w:rFonts w:cstheme="minorHAnsi"/>
          <w:color w:val="333333"/>
          <w:spacing w:val="2"/>
        </w:rPr>
        <w:t>Completely Dissatisfied</w:t>
      </w:r>
      <w:r w:rsidRPr="00D7240E">
        <w:rPr>
          <w:rFonts w:cstheme="minorHAnsi"/>
        </w:rPr>
        <w:t>) to 10 (</w:t>
      </w:r>
      <w:r w:rsidRPr="00D7240E">
        <w:rPr>
          <w:rStyle w:val="Emphasis"/>
          <w:rFonts w:cstheme="minorHAnsi"/>
          <w:color w:val="333333"/>
          <w:spacing w:val="2"/>
        </w:rPr>
        <w:t>Completely Satisfied</w:t>
      </w:r>
      <w:r w:rsidRPr="00D7240E">
        <w:rPr>
          <w:rFonts w:cstheme="minorHAnsi"/>
        </w:rPr>
        <w:t>). The items are averaged and higher scores indicate greater satisfaction. It includes items like “How satisfied are you with your standard of living?” The measure’s user manual reports a Cronbach’s alpha of between .70 and .85. In the current study the Cronbach alpha was .89.</w:t>
      </w:r>
    </w:p>
    <w:p w14:paraId="164578E8" w14:textId="77777777" w:rsidR="00FA36F7" w:rsidRPr="00D7240E" w:rsidRDefault="00FA36F7" w:rsidP="008A6321">
      <w:pPr>
        <w:pStyle w:val="Heading3"/>
        <w:rPr>
          <w:rFonts w:asciiTheme="minorHAnsi" w:hAnsiTheme="minorHAnsi" w:cstheme="minorHAnsi"/>
        </w:rPr>
      </w:pPr>
      <w:r w:rsidRPr="00D7240E">
        <w:rPr>
          <w:rFonts w:asciiTheme="minorHAnsi" w:hAnsiTheme="minorHAnsi" w:cstheme="minorHAnsi"/>
        </w:rPr>
        <w:t>Psychological Flourishing Scale</w:t>
      </w:r>
    </w:p>
    <w:p w14:paraId="023C135C" w14:textId="77777777" w:rsidR="00FA36F7" w:rsidRPr="00D7240E" w:rsidRDefault="00FA36F7" w:rsidP="008A6321">
      <w:pPr>
        <w:rPr>
          <w:rFonts w:cstheme="minorHAnsi"/>
        </w:rPr>
      </w:pPr>
      <w:r w:rsidRPr="00D7240E">
        <w:rPr>
          <w:rFonts w:cstheme="minorHAnsi"/>
        </w:rPr>
        <w:t>The Psychological Flourishing Scale assesses different areas of functioning (Diener et al. </w:t>
      </w:r>
      <w:hyperlink r:id="rId125" w:anchor="CR17" w:tooltip="View reference" w:history="1">
        <w:r w:rsidRPr="00D7240E">
          <w:rPr>
            <w:rStyle w:val="Hyperlink"/>
            <w:rFonts w:eastAsiaTheme="majorEastAsia" w:cstheme="minorHAnsi"/>
            <w:color w:val="4500A7"/>
            <w:spacing w:val="2"/>
          </w:rPr>
          <w:t>2010</w:t>
        </w:r>
      </w:hyperlink>
      <w:r w:rsidRPr="00D7240E">
        <w:rPr>
          <w:rFonts w:cstheme="minorHAnsi"/>
        </w:rPr>
        <w:t>). Items include “I am optimistic about the future” and “I lead a purposeful and meaningful life.” Participants responded to the eight items on a scale of 1 (</w:t>
      </w:r>
      <w:r w:rsidRPr="00D7240E">
        <w:rPr>
          <w:rStyle w:val="Emphasis"/>
          <w:rFonts w:cstheme="minorHAnsi"/>
          <w:color w:val="333333"/>
          <w:spacing w:val="2"/>
        </w:rPr>
        <w:t>Strongly Disagree</w:t>
      </w:r>
      <w:r w:rsidRPr="00D7240E">
        <w:rPr>
          <w:rFonts w:cstheme="minorHAnsi"/>
        </w:rPr>
        <w:t>) to 7 (</w:t>
      </w:r>
      <w:r w:rsidRPr="00D7240E">
        <w:rPr>
          <w:rStyle w:val="Emphasis"/>
          <w:rFonts w:cstheme="minorHAnsi"/>
          <w:color w:val="333333"/>
          <w:spacing w:val="2"/>
        </w:rPr>
        <w:t>Strongly Agree</w:t>
      </w:r>
      <w:r w:rsidRPr="00D7240E">
        <w:rPr>
          <w:rFonts w:cstheme="minorHAnsi"/>
        </w:rPr>
        <w:t>). Items are averaged and higher scores indicate greater flourishing. It has been shown to be valid though positive correlations with other measures of well-being, such as Ryff’s competency/mastery scale and the Satisfaction with Life Scale (Diener et al. </w:t>
      </w:r>
      <w:hyperlink r:id="rId126" w:anchor="CR17" w:tooltip="View reference" w:history="1">
        <w:r w:rsidRPr="00D7240E">
          <w:rPr>
            <w:rStyle w:val="Hyperlink"/>
            <w:rFonts w:eastAsiaTheme="majorEastAsia" w:cstheme="minorHAnsi"/>
            <w:color w:val="4500A7"/>
            <w:spacing w:val="2"/>
          </w:rPr>
          <w:t>2010</w:t>
        </w:r>
      </w:hyperlink>
      <w:r w:rsidRPr="00D7240E">
        <w:rPr>
          <w:rFonts w:cstheme="minorHAnsi"/>
        </w:rPr>
        <w:t>). The Cronbach alpha for the original scale was .87. The Cronbach alpha in the current study was .92.</w:t>
      </w:r>
    </w:p>
    <w:p w14:paraId="55BF50F1" w14:textId="77777777" w:rsidR="00FA36F7" w:rsidRPr="00D7240E" w:rsidRDefault="00FA36F7" w:rsidP="008A6321">
      <w:pPr>
        <w:pStyle w:val="Heading3"/>
        <w:rPr>
          <w:rFonts w:asciiTheme="minorHAnsi" w:hAnsiTheme="minorHAnsi" w:cstheme="minorHAnsi"/>
        </w:rPr>
      </w:pPr>
      <w:r w:rsidRPr="00D7240E">
        <w:rPr>
          <w:rFonts w:asciiTheme="minorHAnsi" w:hAnsiTheme="minorHAnsi" w:cstheme="minorHAnsi"/>
        </w:rPr>
        <w:t>Authority Behavior Inventory</w:t>
      </w:r>
    </w:p>
    <w:p w14:paraId="279100F3" w14:textId="77777777" w:rsidR="00FA36F7" w:rsidRPr="00D7240E" w:rsidRDefault="00FA36F7" w:rsidP="008A6321">
      <w:pPr>
        <w:rPr>
          <w:rFonts w:cstheme="minorHAnsi"/>
        </w:rPr>
      </w:pPr>
      <w:r w:rsidRPr="00D7240E">
        <w:rPr>
          <w:rFonts w:cstheme="minorHAnsi"/>
        </w:rPr>
        <w:t>The Authority Behavior Inventory (Rigby </w:t>
      </w:r>
      <w:hyperlink r:id="rId127" w:anchor="CR54" w:tooltip="View reference" w:history="1">
        <w:r w:rsidRPr="00D7240E">
          <w:rPr>
            <w:rStyle w:val="Hyperlink"/>
            <w:rFonts w:eastAsiaTheme="majorEastAsia" w:cstheme="minorHAnsi"/>
            <w:color w:val="4500A7"/>
            <w:spacing w:val="2"/>
          </w:rPr>
          <w:t>1987</w:t>
        </w:r>
      </w:hyperlink>
      <w:r w:rsidRPr="00D7240E">
        <w:rPr>
          <w:rFonts w:cstheme="minorHAnsi"/>
        </w:rPr>
        <w:t>) assesses acceptance and deference to authority figures. The 24-items are rated on a scale of 1 (</w:t>
      </w:r>
      <w:r w:rsidRPr="00D7240E">
        <w:rPr>
          <w:rStyle w:val="Emphasis"/>
          <w:rFonts w:cstheme="minorHAnsi"/>
          <w:color w:val="333333"/>
          <w:spacing w:val="2"/>
        </w:rPr>
        <w:t>never</w:t>
      </w:r>
      <w:r w:rsidRPr="00D7240E">
        <w:rPr>
          <w:rFonts w:cstheme="minorHAnsi"/>
        </w:rPr>
        <w:t>) to 5 (</w:t>
      </w:r>
      <w:r w:rsidRPr="00D7240E">
        <w:rPr>
          <w:rStyle w:val="Emphasis"/>
          <w:rFonts w:cstheme="minorHAnsi"/>
          <w:color w:val="333333"/>
          <w:spacing w:val="2"/>
        </w:rPr>
        <w:t>very frequently</w:t>
      </w:r>
      <w:r w:rsidRPr="00D7240E">
        <w:rPr>
          <w:rFonts w:cstheme="minorHAnsi"/>
        </w:rPr>
        <w:t>). Items are averaged and higher scores indicate more deference to authority. It includes items such as “Do you listen attentively to what older people say about how you should behave?” and “When a person in authority whom you trust tells you to do something, do you do it, even though you can’t see the reason for it?” Validity for the scale was supported with correlations to other measures of authority, and the Cronbach alphas ranged from .76 to .90 (Rigby </w:t>
      </w:r>
      <w:hyperlink r:id="rId128" w:anchor="CR54" w:tooltip="View reference" w:history="1">
        <w:r w:rsidRPr="00D7240E">
          <w:rPr>
            <w:rStyle w:val="Hyperlink"/>
            <w:rFonts w:eastAsiaTheme="majorEastAsia" w:cstheme="minorHAnsi"/>
            <w:color w:val="4500A7"/>
            <w:spacing w:val="2"/>
          </w:rPr>
          <w:t>1987</w:t>
        </w:r>
      </w:hyperlink>
      <w:r w:rsidRPr="00D7240E">
        <w:rPr>
          <w:rFonts w:cstheme="minorHAnsi"/>
        </w:rPr>
        <w:t>). In the current study the Cronbach alpha was .75.</w:t>
      </w:r>
    </w:p>
    <w:p w14:paraId="00DE3B21" w14:textId="77777777" w:rsidR="00FA36F7" w:rsidRPr="00D7240E" w:rsidRDefault="00FA36F7" w:rsidP="008A6321">
      <w:pPr>
        <w:pStyle w:val="Heading3"/>
        <w:rPr>
          <w:rFonts w:asciiTheme="minorHAnsi" w:hAnsiTheme="minorHAnsi" w:cstheme="minorHAnsi"/>
        </w:rPr>
      </w:pPr>
      <w:r w:rsidRPr="00D7240E">
        <w:rPr>
          <w:rFonts w:asciiTheme="minorHAnsi" w:hAnsiTheme="minorHAnsi" w:cstheme="minorHAnsi"/>
        </w:rPr>
        <w:t>Ambivalent Sexism Inventory</w:t>
      </w:r>
    </w:p>
    <w:p w14:paraId="688F1416" w14:textId="77777777" w:rsidR="00FA36F7" w:rsidRPr="00D7240E" w:rsidRDefault="00FA36F7" w:rsidP="008A6321">
      <w:pPr>
        <w:rPr>
          <w:rFonts w:cstheme="minorHAnsi"/>
          <w:color w:val="333333"/>
          <w:spacing w:val="2"/>
        </w:rPr>
      </w:pPr>
      <w:r w:rsidRPr="00D7240E">
        <w:rPr>
          <w:rFonts w:cstheme="minorHAnsi"/>
          <w:color w:val="333333"/>
          <w:spacing w:val="2"/>
        </w:rPr>
        <w:t>The Ambivalent Sexism Inventory assesses endorsement of sexist attitudes (Glick and Fiske </w:t>
      </w:r>
      <w:hyperlink r:id="rId129" w:anchor="CR23" w:tooltip="View reference" w:history="1">
        <w:r w:rsidRPr="00D7240E">
          <w:rPr>
            <w:rStyle w:val="Hyperlink"/>
            <w:rFonts w:eastAsiaTheme="majorEastAsia" w:cstheme="minorHAnsi"/>
            <w:color w:val="4500A7"/>
            <w:spacing w:val="2"/>
          </w:rPr>
          <w:t>1996</w:t>
        </w:r>
      </w:hyperlink>
      <w:r w:rsidRPr="00D7240E">
        <w:rPr>
          <w:rFonts w:cstheme="minorHAnsi"/>
          <w:color w:val="333333"/>
          <w:spacing w:val="2"/>
        </w:rPr>
        <w:t>, </w:t>
      </w:r>
      <w:hyperlink r:id="rId130" w:anchor="CR24" w:tooltip="View reference" w:history="1">
        <w:r w:rsidRPr="00D7240E">
          <w:rPr>
            <w:rStyle w:val="Hyperlink"/>
            <w:rFonts w:eastAsiaTheme="majorEastAsia" w:cstheme="minorHAnsi"/>
            <w:color w:val="4500A7"/>
            <w:spacing w:val="2"/>
          </w:rPr>
          <w:t>1997</w:t>
        </w:r>
      </w:hyperlink>
      <w:r w:rsidRPr="00D7240E">
        <w:rPr>
          <w:rFonts w:cstheme="minorHAnsi"/>
          <w:color w:val="333333"/>
          <w:spacing w:val="2"/>
        </w:rPr>
        <w:t>). It consists of two subscales: hostile (“Women seek to gain power by getting control over men”) and benevolent sexism (“A good woman should be set on a pedestal by her man”). Eleven items contribute to each subscale on a scale of 0 (</w:t>
      </w:r>
      <w:r w:rsidRPr="00D7240E">
        <w:rPr>
          <w:rStyle w:val="Emphasis"/>
          <w:rFonts w:cstheme="minorHAnsi"/>
          <w:color w:val="333333"/>
          <w:spacing w:val="2"/>
        </w:rPr>
        <w:t>Strongly Disagree</w:t>
      </w:r>
      <w:r w:rsidRPr="00D7240E">
        <w:rPr>
          <w:rFonts w:cstheme="minorHAnsi"/>
          <w:color w:val="333333"/>
          <w:spacing w:val="2"/>
        </w:rPr>
        <w:t>) to 5 (</w:t>
      </w:r>
      <w:r w:rsidRPr="00D7240E">
        <w:rPr>
          <w:rStyle w:val="Emphasis"/>
          <w:rFonts w:cstheme="minorHAnsi"/>
          <w:color w:val="333333"/>
          <w:spacing w:val="2"/>
        </w:rPr>
        <w:t>Strongly Agree</w:t>
      </w:r>
      <w:r w:rsidRPr="00D7240E">
        <w:rPr>
          <w:rFonts w:cstheme="minorHAnsi"/>
          <w:color w:val="333333"/>
          <w:spacing w:val="2"/>
        </w:rPr>
        <w:t>). Items are averaged; higher scores indicate greater endorsement of sexist beliefs. The Cronbach alpha for the original scale development ranged from .80 to .92 for hostile sexism and .73 to .85 for benevolent sexism. The current study asked participants to respond to the items as they believed their partners would respond: 0 (</w:t>
      </w:r>
      <w:r w:rsidRPr="00D7240E">
        <w:rPr>
          <w:rStyle w:val="Emphasis"/>
          <w:rFonts w:cstheme="minorHAnsi"/>
          <w:color w:val="333333"/>
          <w:spacing w:val="2"/>
        </w:rPr>
        <w:t>Partner Would Strongly Disagree</w:t>
      </w:r>
      <w:r w:rsidRPr="00D7240E">
        <w:rPr>
          <w:rFonts w:cstheme="minorHAnsi"/>
          <w:color w:val="333333"/>
          <w:spacing w:val="2"/>
        </w:rPr>
        <w:t>) to 5 (</w:t>
      </w:r>
      <w:r w:rsidRPr="00D7240E">
        <w:rPr>
          <w:rStyle w:val="Emphasis"/>
          <w:rFonts w:cstheme="minorHAnsi"/>
          <w:color w:val="333333"/>
          <w:spacing w:val="2"/>
        </w:rPr>
        <w:t>Partner Would Strongly Agree</w:t>
      </w:r>
      <w:r w:rsidRPr="00D7240E">
        <w:rPr>
          <w:rFonts w:cstheme="minorHAnsi"/>
          <w:color w:val="333333"/>
          <w:spacing w:val="2"/>
        </w:rPr>
        <w:t>). Previous research found that women’s reports of their partner’s ambivalently sexist attitudes were positively correlated with the partner’s self-reports of their beliefs (Hammond et al. </w:t>
      </w:r>
      <w:hyperlink r:id="rId131" w:anchor="CR30" w:tooltip="View reference" w:history="1">
        <w:r w:rsidRPr="00D7240E">
          <w:rPr>
            <w:rStyle w:val="Hyperlink"/>
            <w:rFonts w:eastAsiaTheme="majorEastAsia" w:cstheme="minorHAnsi"/>
            <w:color w:val="4500A7"/>
            <w:spacing w:val="2"/>
          </w:rPr>
          <w:t>2016</w:t>
        </w:r>
      </w:hyperlink>
      <w:r w:rsidRPr="00D7240E">
        <w:rPr>
          <w:rFonts w:cstheme="minorHAnsi"/>
          <w:color w:val="333333"/>
          <w:spacing w:val="2"/>
        </w:rPr>
        <w:t xml:space="preserve">). The </w:t>
      </w:r>
      <w:r w:rsidRPr="00D7240E">
        <w:rPr>
          <w:rFonts w:cstheme="minorHAnsi"/>
          <w:color w:val="333333"/>
          <w:spacing w:val="2"/>
        </w:rPr>
        <w:lastRenderedPageBreak/>
        <w:t>Cronbach alpha for the current study was .93 for perceived hostile sexism and .84 for perceived benevolent sexism.</w:t>
      </w:r>
    </w:p>
    <w:p w14:paraId="54028B8D" w14:textId="77777777" w:rsidR="00FA36F7" w:rsidRPr="00D7240E" w:rsidRDefault="00FA36F7" w:rsidP="008A6321">
      <w:pPr>
        <w:pStyle w:val="Heading3"/>
        <w:rPr>
          <w:rFonts w:asciiTheme="minorHAnsi" w:hAnsiTheme="minorHAnsi" w:cstheme="minorHAnsi"/>
        </w:rPr>
      </w:pPr>
      <w:r w:rsidRPr="00D7240E">
        <w:rPr>
          <w:rFonts w:asciiTheme="minorHAnsi" w:hAnsiTheme="minorHAnsi" w:cstheme="minorHAnsi"/>
        </w:rPr>
        <w:t>Procedure</w:t>
      </w:r>
    </w:p>
    <w:p w14:paraId="00B07353" w14:textId="77777777" w:rsidR="00FA36F7" w:rsidRPr="00D7240E" w:rsidRDefault="00FA36F7" w:rsidP="00D74669">
      <w:pPr>
        <w:rPr>
          <w:rFonts w:cstheme="minorHAnsi"/>
        </w:rPr>
      </w:pPr>
      <w:r w:rsidRPr="00D7240E">
        <w:rPr>
          <w:rFonts w:cstheme="minorHAnsi"/>
        </w:rPr>
        <w:t>Women were recruited to participate in the survey through MTurk Prime and offered $1 for their participation. All surveys were completed online at a time and location of the participant’s choice. One validity check item was randomly presented in the surveys. This question instructed participants to select a specific answer, and all participants correctly answered this question. Surveys were presented randomly via Qualtrics except for the participant’s report of their romantic partner’s ambivalent sexism. Participants were first asked if they were currently in a romantic relationship that was ongoing for at least 4 months. If yes, they indicated the relationship status (married, dating, etc.) and then completed the ambivalent sexism survey for perceptions of partner’s beliefs. This survey was completed right before the demographics at the end of the study to ensure that participants only reported on their perceptions of their partner’s beliefs for that one survey. Demographic items were completed last.</w:t>
      </w:r>
    </w:p>
    <w:p w14:paraId="0C44D521" w14:textId="77777777" w:rsidR="00FA36F7" w:rsidRPr="00D7240E" w:rsidRDefault="00FA36F7" w:rsidP="00D74669">
      <w:pPr>
        <w:rPr>
          <w:rFonts w:cstheme="minorHAnsi"/>
        </w:rPr>
      </w:pPr>
      <w:r w:rsidRPr="00D7240E">
        <w:rPr>
          <w:rFonts w:cstheme="minorHAnsi"/>
        </w:rPr>
        <w:t>The mean completion time for the study was 28.38 min (</w:t>
      </w:r>
      <w:r w:rsidRPr="00D7240E">
        <w:rPr>
          <w:rStyle w:val="Emphasis"/>
          <w:rFonts w:cstheme="minorHAnsi"/>
          <w:color w:val="333333"/>
          <w:spacing w:val="2"/>
        </w:rPr>
        <w:t>SD</w:t>
      </w:r>
      <w:r w:rsidRPr="00D7240E">
        <w:rPr>
          <w:rFonts w:cstheme="minorHAnsi"/>
        </w:rPr>
        <w:t> = 36.96, </w:t>
      </w:r>
      <w:r w:rsidRPr="00D7240E">
        <w:rPr>
          <w:rStyle w:val="Emphasis"/>
          <w:rFonts w:cstheme="minorHAnsi"/>
          <w:color w:val="333333"/>
          <w:spacing w:val="2"/>
        </w:rPr>
        <w:t>Mdn</w:t>
      </w:r>
      <w:r w:rsidRPr="00D7240E">
        <w:rPr>
          <w:rFonts w:cstheme="minorHAnsi"/>
        </w:rPr>
        <w:t> = 24.07 min). Four participants were removed from the dataset due to unreasonably fast completion time (defined as less than one third of the median completion time). Five participants were removed because the MTurk gender consistency measure (provided by MTurk) indicated that across other survey assignments they did not consistently indicate their gender was female. Three people were removed because they had excessive missing data. This resulted in the final reported sample of 216 participants.</w:t>
      </w:r>
    </w:p>
    <w:p w14:paraId="47B0F947" w14:textId="77777777" w:rsidR="00FA36F7" w:rsidRPr="00D7240E" w:rsidRDefault="00FA36F7" w:rsidP="00D74669">
      <w:pPr>
        <w:pStyle w:val="Heading2"/>
        <w:rPr>
          <w:rFonts w:asciiTheme="minorHAnsi" w:hAnsiTheme="minorHAnsi" w:cstheme="minorHAnsi"/>
          <w:sz w:val="27"/>
          <w:szCs w:val="27"/>
        </w:rPr>
      </w:pPr>
      <w:r w:rsidRPr="00D7240E">
        <w:rPr>
          <w:rFonts w:asciiTheme="minorHAnsi" w:hAnsiTheme="minorHAnsi" w:cstheme="minorHAnsi"/>
        </w:rPr>
        <w:t>Results</w:t>
      </w:r>
    </w:p>
    <w:p w14:paraId="6B57F72A" w14:textId="77777777" w:rsidR="00FA36F7" w:rsidRPr="00D7240E" w:rsidRDefault="00FA36F7" w:rsidP="00D74669">
      <w:pPr>
        <w:pStyle w:val="Heading3"/>
        <w:rPr>
          <w:rFonts w:asciiTheme="minorHAnsi" w:hAnsiTheme="minorHAnsi" w:cstheme="minorHAnsi"/>
          <w:b/>
          <w:bCs/>
        </w:rPr>
      </w:pPr>
      <w:r w:rsidRPr="00D7240E">
        <w:rPr>
          <w:rFonts w:asciiTheme="minorHAnsi" w:hAnsiTheme="minorHAnsi" w:cstheme="minorHAnsi"/>
        </w:rPr>
        <w:t>Confirmatory Factor Analysis</w:t>
      </w:r>
    </w:p>
    <w:p w14:paraId="28B1EAAA" w14:textId="77777777" w:rsidR="00FA36F7" w:rsidRPr="00D7240E" w:rsidRDefault="00FA36F7" w:rsidP="00D74669">
      <w:pPr>
        <w:rPr>
          <w:rFonts w:cstheme="minorHAnsi"/>
        </w:rPr>
      </w:pPr>
      <w:r w:rsidRPr="00D7240E">
        <w:rPr>
          <w:rFonts w:cstheme="minorHAnsi"/>
        </w:rPr>
        <w:t>We conducted a confirmatory factor analysis using AMOS v.22 to confirm the scale model fit with the items completed for experiences in the lifetime because examination of the item distributions indicated that they were more normally distributed than the last-year items. The model was specified with three latent variables, with the observed variables identified in the previous study. The latent variables were allowed to correlate. For identification purposes, the path of one measured variable for each latent variable was set to one (Arbuckle and Wothke </w:t>
      </w:r>
      <w:hyperlink r:id="rId132" w:anchor="CR2" w:tooltip="View reference" w:history="1">
        <w:r w:rsidRPr="00D7240E">
          <w:rPr>
            <w:rStyle w:val="Hyperlink"/>
            <w:rFonts w:eastAsiaTheme="majorEastAsia" w:cstheme="minorHAnsi"/>
            <w:color w:val="4500A7"/>
            <w:spacing w:val="2"/>
          </w:rPr>
          <w:t>1999</w:t>
        </w:r>
      </w:hyperlink>
      <w:r w:rsidRPr="00D7240E">
        <w:rPr>
          <w:rFonts w:cstheme="minorHAnsi"/>
        </w:rPr>
        <w:t>). Error terms were allowed to correlate between items that had similar structure and thematic topic (see the </w:t>
      </w:r>
      <w:hyperlink r:id="rId133" w:anchor="Sec37" w:history="1">
        <w:r w:rsidRPr="00D7240E">
          <w:rPr>
            <w:rStyle w:val="Hyperlink"/>
            <w:rFonts w:eastAsiaTheme="majorEastAsia" w:cstheme="minorHAnsi"/>
            <w:color w:val="4500A7"/>
            <w:spacing w:val="2"/>
          </w:rPr>
          <w:t>online supplement</w:t>
        </w:r>
      </w:hyperlink>
      <w:r w:rsidRPr="00D7240E">
        <w:rPr>
          <w:rFonts w:cstheme="minorHAnsi"/>
        </w:rPr>
        <w:t>).</w:t>
      </w:r>
    </w:p>
    <w:p w14:paraId="4C843E85" w14:textId="77777777" w:rsidR="00FA36F7" w:rsidRPr="00D7240E" w:rsidRDefault="00FA36F7" w:rsidP="00D74669">
      <w:pPr>
        <w:rPr>
          <w:rFonts w:cstheme="minorHAnsi"/>
        </w:rPr>
      </w:pPr>
      <w:r w:rsidRPr="00D7240E">
        <w:rPr>
          <w:rFonts w:cstheme="minorHAnsi"/>
        </w:rPr>
        <w:t>In interpreting the model, we examined the item estimates, root mean square error of approximation (RMSEA), χ</w:t>
      </w:r>
      <w:r w:rsidRPr="00D7240E">
        <w:rPr>
          <w:rFonts w:cstheme="minorHAnsi"/>
          <w:vertAlign w:val="superscript"/>
        </w:rPr>
        <w:t>2</w:t>
      </w:r>
      <w:r w:rsidRPr="00D7240E">
        <w:rPr>
          <w:rFonts w:cstheme="minorHAnsi"/>
        </w:rPr>
        <w:t>, and overall fit index. As recommended, we also looked at the χ</w:t>
      </w:r>
      <w:r w:rsidRPr="00D7240E">
        <w:rPr>
          <w:rFonts w:cstheme="minorHAnsi"/>
          <w:vertAlign w:val="superscript"/>
        </w:rPr>
        <w:t>2</w:t>
      </w:r>
      <w:r w:rsidRPr="00D7240E">
        <w:rPr>
          <w:rFonts w:cstheme="minorHAnsi"/>
        </w:rPr>
        <w:t> to degrees of freedom ratio, where it has been suggested that a ratio of either 2 to 1 or 3 to 1 indicates an acceptable fit (Arbuckle and Wothke </w:t>
      </w:r>
      <w:hyperlink r:id="rId134" w:anchor="CR2" w:tooltip="View reference" w:history="1">
        <w:r w:rsidRPr="00D7240E">
          <w:rPr>
            <w:rStyle w:val="Hyperlink"/>
            <w:rFonts w:eastAsiaTheme="majorEastAsia" w:cstheme="minorHAnsi"/>
            <w:color w:val="4500A7"/>
            <w:spacing w:val="2"/>
          </w:rPr>
          <w:t>1999</w:t>
        </w:r>
      </w:hyperlink>
      <w:r w:rsidRPr="00D7240E">
        <w:rPr>
          <w:rFonts w:cstheme="minorHAnsi"/>
        </w:rPr>
        <w:t>; Ullman </w:t>
      </w:r>
      <w:hyperlink r:id="rId135" w:anchor="CR64" w:tooltip="View reference" w:history="1">
        <w:r w:rsidRPr="00D7240E">
          <w:rPr>
            <w:rStyle w:val="Hyperlink"/>
            <w:rFonts w:eastAsiaTheme="majorEastAsia" w:cstheme="minorHAnsi"/>
            <w:color w:val="4500A7"/>
            <w:spacing w:val="2"/>
          </w:rPr>
          <w:t>1996</w:t>
        </w:r>
      </w:hyperlink>
      <w:r w:rsidRPr="00D7240E">
        <w:rPr>
          <w:rFonts w:cstheme="minorHAnsi"/>
        </w:rPr>
        <w:t>). We considered the following general guidelines that an RMSEA less than .05 indicates a “good fit” and less than .08 indicates an “acceptable fit,” (McDonald and Ho </w:t>
      </w:r>
      <w:hyperlink r:id="rId136" w:anchor="CR46" w:tooltip="View reference" w:history="1">
        <w:r w:rsidRPr="00D7240E">
          <w:rPr>
            <w:rStyle w:val="Hyperlink"/>
            <w:rFonts w:eastAsiaTheme="majorEastAsia" w:cstheme="minorHAnsi"/>
            <w:color w:val="4500A7"/>
            <w:spacing w:val="2"/>
          </w:rPr>
          <w:t>2002</w:t>
        </w:r>
      </w:hyperlink>
      <w:r w:rsidRPr="00D7240E">
        <w:rPr>
          <w:rFonts w:cstheme="minorHAnsi"/>
        </w:rPr>
        <w:t>) and goodness of fit statistics should generally be larger than .90 (Hu and Bentler </w:t>
      </w:r>
      <w:hyperlink r:id="rId137" w:anchor="CR32" w:tooltip="View reference" w:history="1">
        <w:r w:rsidRPr="00D7240E">
          <w:rPr>
            <w:rStyle w:val="Hyperlink"/>
            <w:rFonts w:eastAsiaTheme="majorEastAsia" w:cstheme="minorHAnsi"/>
            <w:color w:val="4500A7"/>
            <w:spacing w:val="2"/>
          </w:rPr>
          <w:t>1999</w:t>
        </w:r>
      </w:hyperlink>
      <w:r w:rsidRPr="00D7240E">
        <w:rPr>
          <w:rFonts w:cstheme="minorHAnsi"/>
        </w:rPr>
        <w:t>; McDonald and Ho </w:t>
      </w:r>
      <w:hyperlink r:id="rId138" w:anchor="CR46" w:tooltip="View reference" w:history="1">
        <w:r w:rsidRPr="00D7240E">
          <w:rPr>
            <w:rStyle w:val="Hyperlink"/>
            <w:rFonts w:eastAsiaTheme="majorEastAsia" w:cstheme="minorHAnsi"/>
            <w:color w:val="4500A7"/>
            <w:spacing w:val="2"/>
          </w:rPr>
          <w:t>2002</w:t>
        </w:r>
      </w:hyperlink>
      <w:r w:rsidRPr="00D7240E">
        <w:rPr>
          <w:rFonts w:cstheme="minorHAnsi"/>
        </w:rPr>
        <w:t>).</w:t>
      </w:r>
    </w:p>
    <w:p w14:paraId="085F4817" w14:textId="77777777" w:rsidR="00FA36F7" w:rsidRPr="00D7240E" w:rsidRDefault="00FA36F7" w:rsidP="00D74669">
      <w:pPr>
        <w:rPr>
          <w:rFonts w:cstheme="minorHAnsi"/>
        </w:rPr>
      </w:pPr>
      <w:r w:rsidRPr="00D7240E">
        <w:rPr>
          <w:rFonts w:cstheme="minorHAnsi"/>
        </w:rPr>
        <w:t>The model resulted in a χ</w:t>
      </w:r>
      <w:r w:rsidRPr="00D7240E">
        <w:rPr>
          <w:rFonts w:cstheme="minorHAnsi"/>
          <w:vertAlign w:val="superscript"/>
        </w:rPr>
        <w:t>2</w:t>
      </w:r>
      <w:r w:rsidRPr="00D7240E">
        <w:rPr>
          <w:rFonts w:cstheme="minorHAnsi"/>
        </w:rPr>
        <w:t>(257) = 435.77, </w:t>
      </w:r>
      <w:r w:rsidRPr="00D7240E">
        <w:rPr>
          <w:rStyle w:val="Emphasis"/>
          <w:rFonts w:cstheme="minorHAnsi"/>
          <w:color w:val="333333"/>
          <w:spacing w:val="2"/>
        </w:rPr>
        <w:t>p</w:t>
      </w:r>
      <w:r w:rsidRPr="00D7240E">
        <w:rPr>
          <w:rFonts w:cstheme="minorHAnsi"/>
        </w:rPr>
        <w:t> &lt; .01, χ </w:t>
      </w:r>
      <w:r w:rsidRPr="00D7240E">
        <w:rPr>
          <w:rFonts w:cstheme="minorHAnsi"/>
          <w:vertAlign w:val="superscript"/>
        </w:rPr>
        <w:t>2</w:t>
      </w:r>
      <w:r w:rsidRPr="00D7240E">
        <w:rPr>
          <w:rFonts w:cstheme="minorHAnsi"/>
        </w:rPr>
        <w:t> /df ratio = 1.70, CFI = .91, and RMSEA = .057 with a 90% CI [.048, .066]. All items had statistically significant parameters on the designated factor, </w:t>
      </w:r>
      <w:r w:rsidRPr="00D7240E">
        <w:rPr>
          <w:rStyle w:val="Emphasis"/>
          <w:rFonts w:cstheme="minorHAnsi"/>
          <w:color w:val="333333"/>
          <w:spacing w:val="2"/>
        </w:rPr>
        <w:t>p</w:t>
      </w:r>
      <w:r w:rsidRPr="00D7240E">
        <w:rPr>
          <w:rFonts w:cstheme="minorHAnsi"/>
        </w:rPr>
        <w:t> &lt; .01 (see Table </w:t>
      </w:r>
      <w:hyperlink r:id="rId139" w:anchor="Tab1" w:history="1">
        <w:r w:rsidRPr="00D7240E">
          <w:rPr>
            <w:rStyle w:val="Hyperlink"/>
            <w:rFonts w:eastAsiaTheme="majorEastAsia" w:cstheme="minorHAnsi"/>
            <w:color w:val="4500A7"/>
            <w:spacing w:val="2"/>
          </w:rPr>
          <w:t>1</w:t>
        </w:r>
      </w:hyperlink>
      <w:r w:rsidRPr="00D7240E">
        <w:rPr>
          <w:rFonts w:cstheme="minorHAnsi"/>
        </w:rPr>
        <w:t>b), indicating that the items were designated onto the correct factors. The Chi Square to df ratio, relatively small residuals, and fit index suggest that the three-factor structure was an adequate approximation of the data. Cronbach coefficient alphas suggest internal reliability in the subscales: Heterosexual Intimacy = .82, Protective Paternalism = .85, and Complementary Gender Differentiation = .81. The subscales were again positively intercorrelated (see Table </w:t>
      </w:r>
      <w:hyperlink r:id="rId140" w:anchor="Tab2" w:history="1">
        <w:r w:rsidRPr="00D7240E">
          <w:rPr>
            <w:rStyle w:val="Hyperlink"/>
            <w:rFonts w:eastAsiaTheme="majorEastAsia" w:cstheme="minorHAnsi"/>
            <w:color w:val="4500A7"/>
            <w:spacing w:val="2"/>
          </w:rPr>
          <w:t>2</w:t>
        </w:r>
      </w:hyperlink>
      <w:r w:rsidRPr="00D7240E">
        <w:rPr>
          <w:rFonts w:cstheme="minorHAnsi"/>
        </w:rPr>
        <w:t>). The reports for lifetime and last year experiences were highly correlated (</w:t>
      </w:r>
      <w:r w:rsidRPr="00D7240E">
        <w:rPr>
          <w:rStyle w:val="Emphasis"/>
          <w:rFonts w:cstheme="minorHAnsi"/>
          <w:color w:val="333333"/>
          <w:spacing w:val="2"/>
        </w:rPr>
        <w:t>r</w:t>
      </w:r>
      <w:r w:rsidRPr="00D7240E">
        <w:rPr>
          <w:rFonts w:cstheme="minorHAnsi"/>
        </w:rPr>
        <w:t>s &gt; .73).</w:t>
      </w:r>
    </w:p>
    <w:p w14:paraId="4A5D50AE" w14:textId="77777777" w:rsidR="00FA36F7" w:rsidRPr="00D7240E" w:rsidRDefault="00FA36F7" w:rsidP="00D74669">
      <w:pPr>
        <w:pStyle w:val="Heading3"/>
        <w:rPr>
          <w:rFonts w:asciiTheme="minorHAnsi" w:hAnsiTheme="minorHAnsi" w:cstheme="minorHAnsi"/>
        </w:rPr>
      </w:pPr>
      <w:r w:rsidRPr="00D7240E">
        <w:rPr>
          <w:rFonts w:asciiTheme="minorHAnsi" w:hAnsiTheme="minorHAnsi" w:cstheme="minorHAnsi"/>
        </w:rPr>
        <w:lastRenderedPageBreak/>
        <w:t>Experiences with Sexism</w:t>
      </w:r>
    </w:p>
    <w:p w14:paraId="78ECF122" w14:textId="77777777" w:rsidR="00FA36F7" w:rsidRPr="00D7240E" w:rsidRDefault="00FA36F7" w:rsidP="00D74669">
      <w:pPr>
        <w:rPr>
          <w:rFonts w:cstheme="minorHAnsi"/>
        </w:rPr>
      </w:pPr>
      <w:r w:rsidRPr="00D7240E">
        <w:rPr>
          <w:rFonts w:cstheme="minorHAnsi"/>
        </w:rPr>
        <w:t>The repeated-measures ANOVA comparing women’s lifetime frequency of experiencing the three types of sexism was not significant, </w:t>
      </w:r>
      <w:r w:rsidRPr="00D7240E">
        <w:rPr>
          <w:rStyle w:val="Emphasis"/>
          <w:rFonts w:cstheme="minorHAnsi"/>
          <w:color w:val="333333"/>
          <w:spacing w:val="2"/>
        </w:rPr>
        <w:t>F</w:t>
      </w:r>
      <w:r w:rsidRPr="00D7240E">
        <w:rPr>
          <w:rFonts w:cstheme="minorHAnsi"/>
        </w:rPr>
        <w:t>(2, 430) = .10, </w:t>
      </w:r>
      <w:r w:rsidRPr="00D7240E">
        <w:rPr>
          <w:rStyle w:val="Emphasis"/>
          <w:rFonts w:cstheme="minorHAnsi"/>
          <w:color w:val="333333"/>
          <w:spacing w:val="2"/>
        </w:rPr>
        <w:t>p</w:t>
      </w:r>
      <w:r w:rsidRPr="00D7240E">
        <w:rPr>
          <w:rFonts w:cstheme="minorHAnsi"/>
        </w:rPr>
        <w:t> = .90), indicating that all three benevolent sexism types were experienced at similar frequency (see Table </w:t>
      </w:r>
      <w:hyperlink r:id="rId141" w:anchor="Tab3" w:history="1">
        <w:r w:rsidRPr="00D7240E">
          <w:rPr>
            <w:rStyle w:val="Hyperlink"/>
            <w:rFonts w:eastAsiaTheme="majorEastAsia" w:cstheme="minorHAnsi"/>
            <w:color w:val="4500A7"/>
            <w:spacing w:val="2"/>
          </w:rPr>
          <w:t>3</w:t>
        </w:r>
      </w:hyperlink>
      <w:r w:rsidRPr="00D7240E">
        <w:rPr>
          <w:rFonts w:cstheme="minorHAnsi"/>
        </w:rPr>
        <w:t>b). For perception of distress the ratings differed significantly with Protective Paternalism being perceived as more distressing than both Complementary Gender Differentiation and Heterosexual Intimacy (which did not differ from each other), </w:t>
      </w:r>
      <w:r w:rsidRPr="00D7240E">
        <w:rPr>
          <w:rStyle w:val="Emphasis"/>
          <w:rFonts w:cstheme="minorHAnsi"/>
          <w:color w:val="333333"/>
          <w:spacing w:val="2"/>
        </w:rPr>
        <w:t>F</w:t>
      </w:r>
      <w:r w:rsidRPr="00D7240E">
        <w:rPr>
          <w:rFonts w:cstheme="minorHAnsi"/>
        </w:rPr>
        <w:t>(2, 430) = 58.11, </w:t>
      </w:r>
      <w:r w:rsidRPr="00D7240E">
        <w:rPr>
          <w:rStyle w:val="Emphasis"/>
          <w:rFonts w:cstheme="minorHAnsi"/>
          <w:color w:val="333333"/>
          <w:spacing w:val="2"/>
        </w:rPr>
        <w:t>p</w:t>
      </w:r>
      <w:r w:rsidRPr="00D7240E">
        <w:rPr>
          <w:rFonts w:cstheme="minorHAnsi"/>
        </w:rPr>
        <w:t> &lt; .001, ηp</w:t>
      </w:r>
      <w:r w:rsidRPr="00D7240E">
        <w:rPr>
          <w:rFonts w:cstheme="minorHAnsi"/>
          <w:vertAlign w:val="superscript"/>
        </w:rPr>
        <w:t>2</w:t>
      </w:r>
      <w:r w:rsidRPr="00D7240E">
        <w:rPr>
          <w:rFonts w:cstheme="minorHAnsi"/>
        </w:rPr>
        <w:t> = .21. For ratings of sexism, Protective Paternalism was rated as most sexist followed by Complementary Gender Differentiation and Heterosexual Intimacy, </w:t>
      </w:r>
      <w:r w:rsidRPr="00D7240E">
        <w:rPr>
          <w:rStyle w:val="Emphasis"/>
          <w:rFonts w:cstheme="minorHAnsi"/>
          <w:color w:val="333333"/>
          <w:spacing w:val="2"/>
        </w:rPr>
        <w:t>F</w:t>
      </w:r>
      <w:r w:rsidRPr="00D7240E">
        <w:rPr>
          <w:rFonts w:cstheme="minorHAnsi"/>
        </w:rPr>
        <w:t>(2, 430) = 72.15, </w:t>
      </w:r>
      <w:r w:rsidRPr="00D7240E">
        <w:rPr>
          <w:rStyle w:val="Emphasis"/>
          <w:rFonts w:cstheme="minorHAnsi"/>
          <w:color w:val="333333"/>
          <w:spacing w:val="2"/>
        </w:rPr>
        <w:t>p</w:t>
      </w:r>
      <w:r w:rsidRPr="00D7240E">
        <w:rPr>
          <w:rFonts w:cstheme="minorHAnsi"/>
        </w:rPr>
        <w:t> &lt; .01, ηp</w:t>
      </w:r>
      <w:r w:rsidRPr="00D7240E">
        <w:rPr>
          <w:rFonts w:cstheme="minorHAnsi"/>
          <w:vertAlign w:val="superscript"/>
        </w:rPr>
        <w:t>2</w:t>
      </w:r>
      <w:r w:rsidRPr="00D7240E">
        <w:rPr>
          <w:rFonts w:cstheme="minorHAnsi"/>
        </w:rPr>
        <w:t> = .25.</w:t>
      </w:r>
    </w:p>
    <w:p w14:paraId="34EBA1F5" w14:textId="77777777" w:rsidR="00FA36F7" w:rsidRPr="00D7240E" w:rsidRDefault="00FA36F7" w:rsidP="00D74669">
      <w:pPr>
        <w:rPr>
          <w:rFonts w:cstheme="minorHAnsi"/>
        </w:rPr>
      </w:pPr>
      <w:r w:rsidRPr="00D7240E">
        <w:rPr>
          <w:rFonts w:cstheme="minorHAnsi"/>
        </w:rPr>
        <w:t>Comparing lifetime experiences with hostile and benevolent sexism indicates that overall women experienced more benevolent sexism (</w:t>
      </w:r>
      <w:r w:rsidRPr="00D7240E">
        <w:rPr>
          <w:rStyle w:val="Emphasis"/>
          <w:rFonts w:cstheme="minorHAnsi"/>
          <w:color w:val="333333"/>
          <w:spacing w:val="2"/>
        </w:rPr>
        <w:t>M</w:t>
      </w:r>
      <w:r w:rsidRPr="00D7240E">
        <w:rPr>
          <w:rFonts w:cstheme="minorHAnsi"/>
        </w:rPr>
        <w:t> = 3.03, </w:t>
      </w:r>
      <w:r w:rsidRPr="00D7240E">
        <w:rPr>
          <w:rStyle w:val="Emphasis"/>
          <w:rFonts w:cstheme="minorHAnsi"/>
          <w:color w:val="333333"/>
          <w:spacing w:val="2"/>
        </w:rPr>
        <w:t>SD</w:t>
      </w:r>
      <w:r w:rsidRPr="00D7240E">
        <w:rPr>
          <w:rFonts w:cstheme="minorHAnsi"/>
        </w:rPr>
        <w:t> = 1.03) than hostile sexism (</w:t>
      </w:r>
      <w:r w:rsidRPr="00D7240E">
        <w:rPr>
          <w:rStyle w:val="Emphasis"/>
          <w:rFonts w:cstheme="minorHAnsi"/>
          <w:color w:val="333333"/>
          <w:spacing w:val="2"/>
        </w:rPr>
        <w:t>M</w:t>
      </w:r>
      <w:r w:rsidRPr="00D7240E">
        <w:rPr>
          <w:rFonts w:cstheme="minorHAnsi"/>
        </w:rPr>
        <w:t> = 2.59, </w:t>
      </w:r>
      <w:r w:rsidRPr="00D7240E">
        <w:rPr>
          <w:rStyle w:val="Emphasis"/>
          <w:rFonts w:cstheme="minorHAnsi"/>
          <w:color w:val="333333"/>
          <w:spacing w:val="2"/>
        </w:rPr>
        <w:t>SD</w:t>
      </w:r>
      <w:r w:rsidRPr="00D7240E">
        <w:rPr>
          <w:rFonts w:cstheme="minorHAnsi"/>
        </w:rPr>
        <w:t> = 1.06), </w:t>
      </w:r>
      <w:r w:rsidRPr="00D7240E">
        <w:rPr>
          <w:rStyle w:val="Emphasis"/>
          <w:rFonts w:cstheme="minorHAnsi"/>
          <w:color w:val="333333"/>
          <w:spacing w:val="2"/>
        </w:rPr>
        <w:t>t</w:t>
      </w:r>
      <w:r w:rsidRPr="00D7240E">
        <w:rPr>
          <w:rFonts w:cstheme="minorHAnsi"/>
        </w:rPr>
        <w:t>(214) = 6.14, </w:t>
      </w:r>
      <w:r w:rsidRPr="00D7240E">
        <w:rPr>
          <w:rStyle w:val="Emphasis"/>
          <w:rFonts w:cstheme="minorHAnsi"/>
          <w:color w:val="333333"/>
          <w:spacing w:val="2"/>
        </w:rPr>
        <w:t>p</w:t>
      </w:r>
      <w:r w:rsidRPr="00D7240E">
        <w:rPr>
          <w:rFonts w:cstheme="minorHAnsi"/>
        </w:rPr>
        <w:t> &lt; .01, Cohen’s </w:t>
      </w:r>
      <w:r w:rsidRPr="00D7240E">
        <w:rPr>
          <w:rStyle w:val="Emphasis"/>
          <w:rFonts w:cstheme="minorHAnsi"/>
          <w:color w:val="333333"/>
          <w:spacing w:val="2"/>
        </w:rPr>
        <w:t>d</w:t>
      </w:r>
      <w:r w:rsidRPr="00D7240E">
        <w:rPr>
          <w:rFonts w:cstheme="minorHAnsi"/>
        </w:rPr>
        <w:t> = .42. However, women reported the hostile experiences as more distressing (</w:t>
      </w:r>
      <w:r w:rsidRPr="00D7240E">
        <w:rPr>
          <w:rStyle w:val="Emphasis"/>
          <w:rFonts w:cstheme="minorHAnsi"/>
          <w:color w:val="333333"/>
          <w:spacing w:val="2"/>
        </w:rPr>
        <w:t>M</w:t>
      </w:r>
      <w:r w:rsidRPr="00D7240E">
        <w:rPr>
          <w:rFonts w:cstheme="minorHAnsi"/>
        </w:rPr>
        <w:t> = 2.79, </w:t>
      </w:r>
      <w:r w:rsidRPr="00D7240E">
        <w:rPr>
          <w:rStyle w:val="Emphasis"/>
          <w:rFonts w:cstheme="minorHAnsi"/>
          <w:color w:val="333333"/>
          <w:spacing w:val="2"/>
        </w:rPr>
        <w:t>SD</w:t>
      </w:r>
      <w:r w:rsidRPr="00D7240E">
        <w:rPr>
          <w:rFonts w:cstheme="minorHAnsi"/>
        </w:rPr>
        <w:t> = 1.31) than the benevolent sexist experiences (</w:t>
      </w:r>
      <w:r w:rsidRPr="00D7240E">
        <w:rPr>
          <w:rStyle w:val="Emphasis"/>
          <w:rFonts w:cstheme="minorHAnsi"/>
          <w:color w:val="333333"/>
          <w:spacing w:val="2"/>
        </w:rPr>
        <w:t>M</w:t>
      </w:r>
      <w:r w:rsidRPr="00D7240E">
        <w:rPr>
          <w:rFonts w:cstheme="minorHAnsi"/>
        </w:rPr>
        <w:t> = 2.00, </w:t>
      </w:r>
      <w:r w:rsidRPr="00D7240E">
        <w:rPr>
          <w:rStyle w:val="Emphasis"/>
          <w:rFonts w:cstheme="minorHAnsi"/>
          <w:color w:val="333333"/>
          <w:spacing w:val="2"/>
        </w:rPr>
        <w:t>SD</w:t>
      </w:r>
      <w:r w:rsidRPr="00D7240E">
        <w:rPr>
          <w:rFonts w:cstheme="minorHAnsi"/>
        </w:rPr>
        <w:t> = .99), </w:t>
      </w:r>
      <w:r w:rsidRPr="00D7240E">
        <w:rPr>
          <w:rStyle w:val="Emphasis"/>
          <w:rFonts w:cstheme="minorHAnsi"/>
          <w:color w:val="333333"/>
          <w:spacing w:val="2"/>
        </w:rPr>
        <w:t>t</w:t>
      </w:r>
      <w:r w:rsidRPr="00D7240E">
        <w:rPr>
          <w:rFonts w:cstheme="minorHAnsi"/>
        </w:rPr>
        <w:t>(214) = −12.48, Cohen’s </w:t>
      </w:r>
      <w:r w:rsidRPr="00D7240E">
        <w:rPr>
          <w:rStyle w:val="Emphasis"/>
          <w:rFonts w:cstheme="minorHAnsi"/>
          <w:color w:val="333333"/>
          <w:spacing w:val="2"/>
        </w:rPr>
        <w:t>d</w:t>
      </w:r>
      <w:r w:rsidRPr="00D7240E">
        <w:rPr>
          <w:rFonts w:cstheme="minorHAnsi"/>
        </w:rPr>
        <w:t> = .88. Similarly, women reported the hostile events as more sexist (</w:t>
      </w:r>
      <w:r w:rsidRPr="00D7240E">
        <w:rPr>
          <w:rStyle w:val="Emphasis"/>
          <w:rFonts w:cstheme="minorHAnsi"/>
          <w:color w:val="333333"/>
          <w:spacing w:val="2"/>
        </w:rPr>
        <w:t>M</w:t>
      </w:r>
      <w:r w:rsidRPr="00D7240E">
        <w:rPr>
          <w:rFonts w:cstheme="minorHAnsi"/>
        </w:rPr>
        <w:t> = 3.02, </w:t>
      </w:r>
      <w:r w:rsidRPr="00D7240E">
        <w:rPr>
          <w:rStyle w:val="Emphasis"/>
          <w:rFonts w:cstheme="minorHAnsi"/>
          <w:color w:val="333333"/>
          <w:spacing w:val="2"/>
        </w:rPr>
        <w:t>SD</w:t>
      </w:r>
      <w:r w:rsidRPr="00D7240E">
        <w:rPr>
          <w:rFonts w:cstheme="minorHAnsi"/>
        </w:rPr>
        <w:t> = 1.40) than the benevolent sexist experiences (</w:t>
      </w:r>
      <w:r w:rsidRPr="00D7240E">
        <w:rPr>
          <w:rStyle w:val="Emphasis"/>
          <w:rFonts w:cstheme="minorHAnsi"/>
          <w:color w:val="333333"/>
          <w:spacing w:val="2"/>
        </w:rPr>
        <w:t>M</w:t>
      </w:r>
      <w:r w:rsidRPr="00D7240E">
        <w:rPr>
          <w:rFonts w:cstheme="minorHAnsi"/>
        </w:rPr>
        <w:t> = 2.21, </w:t>
      </w:r>
      <w:r w:rsidRPr="00D7240E">
        <w:rPr>
          <w:rStyle w:val="Emphasis"/>
          <w:rFonts w:cstheme="minorHAnsi"/>
          <w:color w:val="333333"/>
          <w:spacing w:val="2"/>
        </w:rPr>
        <w:t>SD</w:t>
      </w:r>
      <w:r w:rsidRPr="00D7240E">
        <w:rPr>
          <w:rFonts w:cstheme="minorHAnsi"/>
        </w:rPr>
        <w:t> = 1.13), </w:t>
      </w:r>
      <w:r w:rsidRPr="00D7240E">
        <w:rPr>
          <w:rStyle w:val="Emphasis"/>
          <w:rFonts w:cstheme="minorHAnsi"/>
          <w:color w:val="333333"/>
          <w:spacing w:val="2"/>
        </w:rPr>
        <w:t>t</w:t>
      </w:r>
      <w:r w:rsidRPr="00D7240E">
        <w:rPr>
          <w:rFonts w:cstheme="minorHAnsi"/>
        </w:rPr>
        <w:t>(214) = −12.43, </w:t>
      </w:r>
      <w:r w:rsidRPr="00D7240E">
        <w:rPr>
          <w:rStyle w:val="Emphasis"/>
          <w:rFonts w:cstheme="minorHAnsi"/>
          <w:color w:val="333333"/>
          <w:spacing w:val="2"/>
        </w:rPr>
        <w:t>p</w:t>
      </w:r>
      <w:r w:rsidRPr="00D7240E">
        <w:rPr>
          <w:rFonts w:cstheme="minorHAnsi"/>
        </w:rPr>
        <w:t> &lt; .001, Cohen’s </w:t>
      </w:r>
      <w:r w:rsidRPr="00D7240E">
        <w:rPr>
          <w:rStyle w:val="Emphasis"/>
          <w:rFonts w:cstheme="minorHAnsi"/>
          <w:color w:val="333333"/>
          <w:spacing w:val="2"/>
        </w:rPr>
        <w:t>d</w:t>
      </w:r>
      <w:r w:rsidRPr="00D7240E">
        <w:rPr>
          <w:rFonts w:cstheme="minorHAnsi"/>
        </w:rPr>
        <w:t> = .84.</w:t>
      </w:r>
    </w:p>
    <w:p w14:paraId="4EB1108A" w14:textId="77777777" w:rsidR="00FA36F7" w:rsidRPr="00D7240E" w:rsidRDefault="00FA36F7" w:rsidP="00D74669">
      <w:pPr>
        <w:rPr>
          <w:rFonts w:cstheme="minorHAnsi"/>
        </w:rPr>
      </w:pPr>
      <w:r w:rsidRPr="00D7240E">
        <w:rPr>
          <w:rFonts w:cstheme="minorHAnsi"/>
        </w:rPr>
        <w:t>Examination of the means for frequency of lifetime experiences, ratings of distress, and sexism across Study 1 (college student sample) and Study 2 (online sample) suggested some interesting differences. Independent sample </w:t>
      </w:r>
      <w:r w:rsidRPr="00D7240E">
        <w:rPr>
          <w:rStyle w:val="Emphasis"/>
          <w:rFonts w:cstheme="minorHAnsi"/>
          <w:color w:val="333333"/>
          <w:spacing w:val="2"/>
        </w:rPr>
        <w:t>t</w:t>
      </w:r>
      <w:r w:rsidRPr="00D7240E">
        <w:rPr>
          <w:rFonts w:cstheme="minorHAnsi"/>
        </w:rPr>
        <w:t>-tests indicated that the college sample reported experiencing Complementary Gender Differentiation, </w:t>
      </w:r>
      <w:r w:rsidRPr="00D7240E">
        <w:rPr>
          <w:rStyle w:val="Emphasis"/>
          <w:rFonts w:cstheme="minorHAnsi"/>
          <w:color w:val="333333"/>
          <w:spacing w:val="2"/>
        </w:rPr>
        <w:t>t</w:t>
      </w:r>
      <w:r w:rsidRPr="00D7240E">
        <w:rPr>
          <w:rFonts w:cstheme="minorHAnsi"/>
        </w:rPr>
        <w:t>(703) = −6.22, </w:t>
      </w:r>
      <w:r w:rsidRPr="00D7240E">
        <w:rPr>
          <w:rStyle w:val="Emphasis"/>
          <w:rFonts w:cstheme="minorHAnsi"/>
          <w:color w:val="333333"/>
          <w:spacing w:val="2"/>
        </w:rPr>
        <w:t>p</w:t>
      </w:r>
      <w:r w:rsidRPr="00D7240E">
        <w:rPr>
          <w:rFonts w:cstheme="minorHAnsi"/>
        </w:rPr>
        <w:t> &lt; .01, and Protective Paternalism, </w:t>
      </w:r>
      <w:r w:rsidRPr="00D7240E">
        <w:rPr>
          <w:rStyle w:val="Emphasis"/>
          <w:rFonts w:cstheme="minorHAnsi"/>
          <w:color w:val="333333"/>
          <w:spacing w:val="2"/>
        </w:rPr>
        <w:t>t</w:t>
      </w:r>
      <w:r w:rsidRPr="00D7240E">
        <w:rPr>
          <w:rFonts w:cstheme="minorHAnsi"/>
        </w:rPr>
        <w:t>(703) = −2.80, </w:t>
      </w:r>
      <w:r w:rsidRPr="00D7240E">
        <w:rPr>
          <w:rStyle w:val="Emphasis"/>
          <w:rFonts w:cstheme="minorHAnsi"/>
          <w:color w:val="333333"/>
          <w:spacing w:val="2"/>
        </w:rPr>
        <w:t>p</w:t>
      </w:r>
      <w:r w:rsidRPr="00D7240E">
        <w:rPr>
          <w:rFonts w:cstheme="minorHAnsi"/>
        </w:rPr>
        <w:t> &lt; .01, more than the online sample. There was no difference between the samples for experiences with Heterosexual Intimacy, </w:t>
      </w:r>
      <w:r w:rsidRPr="00D7240E">
        <w:rPr>
          <w:rStyle w:val="Emphasis"/>
          <w:rFonts w:cstheme="minorHAnsi"/>
          <w:color w:val="333333"/>
          <w:spacing w:val="2"/>
        </w:rPr>
        <w:t>t</w:t>
      </w:r>
      <w:r w:rsidRPr="00D7240E">
        <w:rPr>
          <w:rFonts w:cstheme="minorHAnsi"/>
        </w:rPr>
        <w:t>(703) = 1.18, </w:t>
      </w:r>
      <w:r w:rsidRPr="00D7240E">
        <w:rPr>
          <w:rStyle w:val="Emphasis"/>
          <w:rFonts w:cstheme="minorHAnsi"/>
          <w:color w:val="333333"/>
          <w:spacing w:val="2"/>
        </w:rPr>
        <w:t>p</w:t>
      </w:r>
      <w:r w:rsidRPr="00D7240E">
        <w:rPr>
          <w:rFonts w:cstheme="minorHAnsi"/>
        </w:rPr>
        <w:t> = .24, and the Schedule of Sexist Events, </w:t>
      </w:r>
      <w:r w:rsidRPr="00D7240E">
        <w:rPr>
          <w:rStyle w:val="Emphasis"/>
          <w:rFonts w:cstheme="minorHAnsi"/>
          <w:color w:val="333333"/>
          <w:spacing w:val="2"/>
        </w:rPr>
        <w:t>t</w:t>
      </w:r>
      <w:r w:rsidRPr="00D7240E">
        <w:rPr>
          <w:rFonts w:cstheme="minorHAnsi"/>
        </w:rPr>
        <w:t>(702) = .52, </w:t>
      </w:r>
      <w:r w:rsidRPr="00D7240E">
        <w:rPr>
          <w:rStyle w:val="Emphasis"/>
          <w:rFonts w:cstheme="minorHAnsi"/>
          <w:color w:val="333333"/>
          <w:spacing w:val="2"/>
        </w:rPr>
        <w:t>p</w:t>
      </w:r>
      <w:r w:rsidRPr="00D7240E">
        <w:rPr>
          <w:rFonts w:cstheme="minorHAnsi"/>
        </w:rPr>
        <w:t> = .61. However, the college sample reported higher levels of distress and ratings of sexism for Complementary Gender Differentiation—distress: </w:t>
      </w:r>
      <w:r w:rsidRPr="00D7240E">
        <w:rPr>
          <w:rStyle w:val="Emphasis"/>
          <w:rFonts w:cstheme="minorHAnsi"/>
          <w:color w:val="333333"/>
          <w:spacing w:val="2"/>
        </w:rPr>
        <w:t>t</w:t>
      </w:r>
      <w:r w:rsidRPr="00D7240E">
        <w:rPr>
          <w:rFonts w:cstheme="minorHAnsi"/>
        </w:rPr>
        <w:t>(703) = −13.41, </w:t>
      </w:r>
      <w:r w:rsidRPr="00D7240E">
        <w:rPr>
          <w:rStyle w:val="Emphasis"/>
          <w:rFonts w:cstheme="minorHAnsi"/>
          <w:color w:val="333333"/>
          <w:spacing w:val="2"/>
        </w:rPr>
        <w:t>p</w:t>
      </w:r>
      <w:r w:rsidRPr="00D7240E">
        <w:rPr>
          <w:rFonts w:cstheme="minorHAnsi"/>
        </w:rPr>
        <w:t> &lt; .01; sexist: </w:t>
      </w:r>
      <w:r w:rsidRPr="00D7240E">
        <w:rPr>
          <w:rStyle w:val="Emphasis"/>
          <w:rFonts w:cstheme="minorHAnsi"/>
          <w:color w:val="333333"/>
          <w:spacing w:val="2"/>
        </w:rPr>
        <w:t>t</w:t>
      </w:r>
      <w:r w:rsidRPr="00D7240E">
        <w:rPr>
          <w:rFonts w:cstheme="minorHAnsi"/>
        </w:rPr>
        <w:t>(703) = −13.87, </w:t>
      </w:r>
      <w:r w:rsidRPr="00D7240E">
        <w:rPr>
          <w:rStyle w:val="Emphasis"/>
          <w:rFonts w:cstheme="minorHAnsi"/>
          <w:color w:val="333333"/>
          <w:spacing w:val="2"/>
        </w:rPr>
        <w:t>p</w:t>
      </w:r>
      <w:r w:rsidRPr="00D7240E">
        <w:rPr>
          <w:rFonts w:cstheme="minorHAnsi"/>
        </w:rPr>
        <w:t> &lt; .01; Heterosexual Intimacy—distress: </w:t>
      </w:r>
      <w:r w:rsidRPr="00D7240E">
        <w:rPr>
          <w:rStyle w:val="Emphasis"/>
          <w:rFonts w:cstheme="minorHAnsi"/>
          <w:color w:val="333333"/>
          <w:spacing w:val="2"/>
        </w:rPr>
        <w:t>t</w:t>
      </w:r>
      <w:r w:rsidRPr="00D7240E">
        <w:rPr>
          <w:rFonts w:cstheme="minorHAnsi"/>
        </w:rPr>
        <w:t>(703) = −14.65, </w:t>
      </w:r>
      <w:r w:rsidRPr="00D7240E">
        <w:rPr>
          <w:rStyle w:val="Emphasis"/>
          <w:rFonts w:cstheme="minorHAnsi"/>
          <w:color w:val="333333"/>
          <w:spacing w:val="2"/>
        </w:rPr>
        <w:t>p</w:t>
      </w:r>
      <w:r w:rsidRPr="00D7240E">
        <w:rPr>
          <w:rFonts w:cstheme="minorHAnsi"/>
        </w:rPr>
        <w:t> &lt; .01; sexist: </w:t>
      </w:r>
      <w:r w:rsidRPr="00D7240E">
        <w:rPr>
          <w:rStyle w:val="Emphasis"/>
          <w:rFonts w:cstheme="minorHAnsi"/>
          <w:color w:val="333333"/>
          <w:spacing w:val="2"/>
        </w:rPr>
        <w:t>t</w:t>
      </w:r>
      <w:r w:rsidRPr="00D7240E">
        <w:rPr>
          <w:rFonts w:cstheme="minorHAnsi"/>
        </w:rPr>
        <w:t>(703) = −13.15, </w:t>
      </w:r>
      <w:r w:rsidRPr="00D7240E">
        <w:rPr>
          <w:rStyle w:val="Emphasis"/>
          <w:rFonts w:cstheme="minorHAnsi"/>
          <w:color w:val="333333"/>
          <w:spacing w:val="2"/>
        </w:rPr>
        <w:t>p</w:t>
      </w:r>
      <w:r w:rsidRPr="00D7240E">
        <w:rPr>
          <w:rFonts w:cstheme="minorHAnsi"/>
        </w:rPr>
        <w:t> &lt; .01; Protective Paternalism—distress: </w:t>
      </w:r>
      <w:r w:rsidRPr="00D7240E">
        <w:rPr>
          <w:rStyle w:val="Emphasis"/>
          <w:rFonts w:cstheme="minorHAnsi"/>
          <w:color w:val="333333"/>
          <w:spacing w:val="2"/>
        </w:rPr>
        <w:t>t</w:t>
      </w:r>
      <w:r w:rsidRPr="00D7240E">
        <w:rPr>
          <w:rFonts w:cstheme="minorHAnsi"/>
        </w:rPr>
        <w:t>(703) = −13.60, </w:t>
      </w:r>
      <w:r w:rsidRPr="00D7240E">
        <w:rPr>
          <w:rStyle w:val="Emphasis"/>
          <w:rFonts w:cstheme="minorHAnsi"/>
          <w:color w:val="333333"/>
          <w:spacing w:val="2"/>
        </w:rPr>
        <w:t>p</w:t>
      </w:r>
      <w:r w:rsidRPr="00D7240E">
        <w:rPr>
          <w:rFonts w:cstheme="minorHAnsi"/>
        </w:rPr>
        <w:t> &lt; .01; sexist: </w:t>
      </w:r>
      <w:r w:rsidRPr="00D7240E">
        <w:rPr>
          <w:rStyle w:val="Emphasis"/>
          <w:rFonts w:cstheme="minorHAnsi"/>
          <w:color w:val="333333"/>
          <w:spacing w:val="2"/>
        </w:rPr>
        <w:t>t</w:t>
      </w:r>
      <w:r w:rsidRPr="00D7240E">
        <w:rPr>
          <w:rFonts w:cstheme="minorHAnsi"/>
        </w:rPr>
        <w:t>(703) = −10.12, </w:t>
      </w:r>
      <w:r w:rsidRPr="00D7240E">
        <w:rPr>
          <w:rStyle w:val="Emphasis"/>
          <w:rFonts w:cstheme="minorHAnsi"/>
          <w:color w:val="333333"/>
          <w:spacing w:val="2"/>
        </w:rPr>
        <w:t>p</w:t>
      </w:r>
      <w:r w:rsidRPr="00D7240E">
        <w:rPr>
          <w:rFonts w:cstheme="minorHAnsi"/>
        </w:rPr>
        <w:t> &lt; .01; and the Schedule of Sexist Events—distress: </w:t>
      </w:r>
      <w:r w:rsidRPr="00D7240E">
        <w:rPr>
          <w:rStyle w:val="Emphasis"/>
          <w:rFonts w:cstheme="minorHAnsi"/>
          <w:color w:val="333333"/>
          <w:spacing w:val="2"/>
        </w:rPr>
        <w:t>t</w:t>
      </w:r>
      <w:r w:rsidRPr="00D7240E">
        <w:rPr>
          <w:rFonts w:cstheme="minorHAnsi"/>
        </w:rPr>
        <w:t>(703) = −16.15, </w:t>
      </w:r>
      <w:r w:rsidRPr="00D7240E">
        <w:rPr>
          <w:rStyle w:val="Emphasis"/>
          <w:rFonts w:cstheme="minorHAnsi"/>
          <w:color w:val="333333"/>
          <w:spacing w:val="2"/>
        </w:rPr>
        <w:t>p</w:t>
      </w:r>
      <w:r w:rsidRPr="00D7240E">
        <w:rPr>
          <w:rFonts w:cstheme="minorHAnsi"/>
        </w:rPr>
        <w:t> &lt; .01; sexist: </w:t>
      </w:r>
      <w:r w:rsidRPr="00D7240E">
        <w:rPr>
          <w:rStyle w:val="Emphasis"/>
          <w:rFonts w:cstheme="minorHAnsi"/>
          <w:color w:val="333333"/>
          <w:spacing w:val="2"/>
        </w:rPr>
        <w:t>t</w:t>
      </w:r>
      <w:r w:rsidRPr="00D7240E">
        <w:rPr>
          <w:rFonts w:cstheme="minorHAnsi"/>
        </w:rPr>
        <w:t>(703) = −16.61, </w:t>
      </w:r>
      <w:r w:rsidRPr="00D7240E">
        <w:rPr>
          <w:rStyle w:val="Emphasis"/>
          <w:rFonts w:cstheme="minorHAnsi"/>
          <w:color w:val="333333"/>
          <w:spacing w:val="2"/>
        </w:rPr>
        <w:t>p</w:t>
      </w:r>
      <w:r w:rsidRPr="00D7240E">
        <w:rPr>
          <w:rFonts w:cstheme="minorHAnsi"/>
        </w:rPr>
        <w:t> &lt; .01).</w:t>
      </w:r>
    </w:p>
    <w:p w14:paraId="79D4647B" w14:textId="77777777" w:rsidR="00FA36F7" w:rsidRPr="00D7240E" w:rsidRDefault="00FA36F7" w:rsidP="00297931">
      <w:pPr>
        <w:pStyle w:val="Heading3"/>
        <w:rPr>
          <w:rFonts w:asciiTheme="minorHAnsi" w:hAnsiTheme="minorHAnsi" w:cstheme="minorHAnsi"/>
        </w:rPr>
      </w:pPr>
      <w:r w:rsidRPr="00D7240E">
        <w:rPr>
          <w:rFonts w:asciiTheme="minorHAnsi" w:hAnsiTheme="minorHAnsi" w:cstheme="minorHAnsi"/>
        </w:rPr>
        <w:t>Validity Analyses</w:t>
      </w:r>
    </w:p>
    <w:p w14:paraId="641FC788" w14:textId="77777777" w:rsidR="00FA36F7" w:rsidRPr="00D7240E" w:rsidRDefault="00FA36F7" w:rsidP="00297931">
      <w:pPr>
        <w:rPr>
          <w:rFonts w:cstheme="minorHAnsi"/>
        </w:rPr>
      </w:pPr>
      <w:r w:rsidRPr="00D7240E">
        <w:rPr>
          <w:rFonts w:cstheme="minorHAnsi"/>
        </w:rPr>
        <w:t>Zero-order correlations between the Experiencing Benevolent Sexism lifetime frequency subscales, Schedule of Sexist Events (lifetime), and the measures of interest are presented in Table </w:t>
      </w:r>
      <w:hyperlink r:id="rId142" w:anchor="Tab4" w:history="1">
        <w:r w:rsidRPr="00D7240E">
          <w:rPr>
            <w:rStyle w:val="Hyperlink"/>
            <w:rFonts w:eastAsiaTheme="majorEastAsia" w:cstheme="minorHAnsi"/>
            <w:color w:val="4500A7"/>
            <w:spacing w:val="2"/>
          </w:rPr>
          <w:t>4</w:t>
        </w:r>
      </w:hyperlink>
      <w:r w:rsidRPr="00D7240E">
        <w:rPr>
          <w:rFonts w:cstheme="minorHAnsi"/>
        </w:rPr>
        <w:t>b. Protective paternalism was negatively correlated with self-esteem, psychological well-being, and the authoritarian behavior inventory, but positively correlated with self-doubt. Complementary Gender Differentiation was positively correlated with psychological flourishing, but not significantly correlated with the other variables. Heterosexual Intimacy did not have any significant correlations. The Schedule of Sexist Events was negatively correlated with self-esteem, psychological well-being, psychological flourishing, and the authoritarian behavior inventory, as well as was positively correlated with self-doubt and judgmental self-doubt. The multiple regression findings are presented in Table </w:t>
      </w:r>
      <w:hyperlink r:id="rId143" w:anchor="Tab5" w:history="1">
        <w:r w:rsidRPr="00D7240E">
          <w:rPr>
            <w:rStyle w:val="Hyperlink"/>
            <w:rFonts w:eastAsiaTheme="majorEastAsia" w:cstheme="minorHAnsi"/>
            <w:color w:val="4500A7"/>
            <w:spacing w:val="2"/>
          </w:rPr>
          <w:t>5</w:t>
        </w:r>
      </w:hyperlink>
      <w:r w:rsidRPr="00D7240E">
        <w:rPr>
          <w:rFonts w:cstheme="minorHAnsi"/>
        </w:rPr>
        <w:t>b.</w:t>
      </w:r>
    </w:p>
    <w:p w14:paraId="32368832" w14:textId="77777777" w:rsidR="00FA36F7" w:rsidRPr="00D7240E" w:rsidRDefault="00FA36F7" w:rsidP="00546440">
      <w:pPr>
        <w:pStyle w:val="Heading2"/>
        <w:rPr>
          <w:rFonts w:asciiTheme="minorHAnsi" w:hAnsiTheme="minorHAnsi" w:cstheme="minorHAnsi"/>
        </w:rPr>
      </w:pPr>
      <w:r w:rsidRPr="00D7240E">
        <w:rPr>
          <w:rStyle w:val="heading"/>
          <w:rFonts w:asciiTheme="minorHAnsi" w:hAnsiTheme="minorHAnsi" w:cstheme="minorHAnsi"/>
        </w:rPr>
        <w:t>Experiencing Sexism and Self-Concept</w:t>
      </w:r>
    </w:p>
    <w:p w14:paraId="7113AD32" w14:textId="77777777" w:rsidR="00FA36F7" w:rsidRPr="00D7240E" w:rsidRDefault="00FA36F7" w:rsidP="00546440">
      <w:pPr>
        <w:rPr>
          <w:rFonts w:cstheme="minorHAnsi"/>
        </w:rPr>
      </w:pPr>
      <w:r w:rsidRPr="00D7240E">
        <w:rPr>
          <w:rFonts w:cstheme="minorHAnsi"/>
        </w:rPr>
        <w:t>We sought to replicate the findings with the self-concept measures of self-esteem, self-doubt, and judgmental self-doubt from Study 1. For self-esteem, the regression model was statistically significant, </w:t>
      </w:r>
      <w:r w:rsidRPr="00D7240E">
        <w:rPr>
          <w:rStyle w:val="Emphasis"/>
          <w:rFonts w:cstheme="minorHAnsi"/>
          <w:color w:val="333333"/>
          <w:spacing w:val="2"/>
        </w:rPr>
        <w:t>F</w:t>
      </w:r>
      <w:r w:rsidRPr="00D7240E">
        <w:rPr>
          <w:rFonts w:cstheme="minorHAnsi"/>
        </w:rPr>
        <w:t>(4, 210) = 6.17, </w:t>
      </w:r>
      <w:r w:rsidRPr="00D7240E">
        <w:rPr>
          <w:rStyle w:val="Emphasis"/>
          <w:rFonts w:cstheme="minorHAnsi"/>
          <w:color w:val="333333"/>
          <w:spacing w:val="2"/>
        </w:rPr>
        <w:t>p</w:t>
      </w:r>
      <w:r w:rsidRPr="00D7240E">
        <w:rPr>
          <w:rFonts w:cstheme="minorHAnsi"/>
        </w:rPr>
        <w:t> &lt; .01, </w:t>
      </w:r>
      <w:r w:rsidRPr="00D7240E">
        <w:rPr>
          <w:rStyle w:val="Emphasis"/>
          <w:rFonts w:cstheme="minorHAnsi"/>
          <w:color w:val="333333"/>
          <w:spacing w:val="2"/>
        </w:rPr>
        <w:t>R</w:t>
      </w:r>
      <w:r w:rsidRPr="00D7240E">
        <w:rPr>
          <w:rFonts w:cstheme="minorHAnsi"/>
          <w:vertAlign w:val="superscript"/>
        </w:rPr>
        <w:t>2</w:t>
      </w:r>
      <w:r w:rsidRPr="00D7240E">
        <w:rPr>
          <w:rFonts w:cstheme="minorHAnsi"/>
        </w:rPr>
        <w:t> = .11, with the Schedule of Sexist Events (β = −.18, </w:t>
      </w:r>
      <w:r w:rsidRPr="00D7240E">
        <w:rPr>
          <w:rStyle w:val="Emphasis"/>
          <w:rFonts w:cstheme="minorHAnsi"/>
          <w:color w:val="333333"/>
          <w:spacing w:val="2"/>
        </w:rPr>
        <w:t>p</w:t>
      </w:r>
      <w:r w:rsidRPr="00D7240E">
        <w:rPr>
          <w:rFonts w:cstheme="minorHAnsi"/>
        </w:rPr>
        <w:t> = .03) and Protective Paternalism (β = −.27, </w:t>
      </w:r>
      <w:r w:rsidRPr="00D7240E">
        <w:rPr>
          <w:rStyle w:val="Emphasis"/>
          <w:rFonts w:cstheme="minorHAnsi"/>
          <w:color w:val="333333"/>
          <w:spacing w:val="2"/>
        </w:rPr>
        <w:t>p</w:t>
      </w:r>
      <w:r w:rsidRPr="00D7240E">
        <w:rPr>
          <w:rFonts w:cstheme="minorHAnsi"/>
        </w:rPr>
        <w:t> = .02) being negatively associated, but Complementary Gender Differentiation (β = .32, </w:t>
      </w:r>
      <w:r w:rsidRPr="00D7240E">
        <w:rPr>
          <w:rStyle w:val="Emphasis"/>
          <w:rFonts w:cstheme="minorHAnsi"/>
          <w:color w:val="333333"/>
          <w:spacing w:val="2"/>
        </w:rPr>
        <w:t>p</w:t>
      </w:r>
      <w:r w:rsidRPr="00D7240E">
        <w:rPr>
          <w:rFonts w:cstheme="minorHAnsi"/>
        </w:rPr>
        <w:t> &lt; .01) positively associated with self-esteem. Heterosexual Intimacy was not significantly associated (β = −.02, </w:t>
      </w:r>
      <w:r w:rsidRPr="00D7240E">
        <w:rPr>
          <w:rStyle w:val="Emphasis"/>
          <w:rFonts w:cstheme="minorHAnsi"/>
          <w:color w:val="333333"/>
          <w:spacing w:val="2"/>
        </w:rPr>
        <w:t>p</w:t>
      </w:r>
      <w:r w:rsidRPr="00D7240E">
        <w:rPr>
          <w:rFonts w:cstheme="minorHAnsi"/>
        </w:rPr>
        <w:t> = .85). For judgmental self-doubt, Complementary Gender Differentiation (β = −.23, </w:t>
      </w:r>
      <w:r w:rsidRPr="00D7240E">
        <w:rPr>
          <w:rStyle w:val="Emphasis"/>
          <w:rFonts w:cstheme="minorHAnsi"/>
          <w:color w:val="333333"/>
          <w:spacing w:val="2"/>
        </w:rPr>
        <w:t>p</w:t>
      </w:r>
      <w:r w:rsidRPr="00D7240E">
        <w:rPr>
          <w:rFonts w:cstheme="minorHAnsi"/>
        </w:rPr>
        <w:t> = .03) was negatively associated, </w:t>
      </w:r>
      <w:r w:rsidRPr="00D7240E">
        <w:rPr>
          <w:rStyle w:val="Emphasis"/>
          <w:rFonts w:cstheme="minorHAnsi"/>
          <w:color w:val="333333"/>
          <w:spacing w:val="2"/>
        </w:rPr>
        <w:t>F</w:t>
      </w:r>
      <w:r w:rsidRPr="00D7240E">
        <w:rPr>
          <w:rFonts w:cstheme="minorHAnsi"/>
        </w:rPr>
        <w:t>(4, 210) = 2.99, </w:t>
      </w:r>
      <w:r w:rsidRPr="00D7240E">
        <w:rPr>
          <w:rStyle w:val="Emphasis"/>
          <w:rFonts w:cstheme="minorHAnsi"/>
          <w:color w:val="333333"/>
          <w:spacing w:val="2"/>
        </w:rPr>
        <w:t>p</w:t>
      </w:r>
      <w:r w:rsidRPr="00D7240E">
        <w:rPr>
          <w:rFonts w:cstheme="minorHAnsi"/>
        </w:rPr>
        <w:t> = .02, </w:t>
      </w:r>
      <w:r w:rsidRPr="00D7240E">
        <w:rPr>
          <w:rStyle w:val="Emphasis"/>
          <w:rFonts w:cstheme="minorHAnsi"/>
          <w:color w:val="333333"/>
          <w:spacing w:val="2"/>
        </w:rPr>
        <w:t>R</w:t>
      </w:r>
      <w:r w:rsidRPr="00D7240E">
        <w:rPr>
          <w:rFonts w:cstheme="minorHAnsi"/>
          <w:vertAlign w:val="superscript"/>
        </w:rPr>
        <w:t>2</w:t>
      </w:r>
      <w:r w:rsidRPr="00D7240E">
        <w:rPr>
          <w:rFonts w:cstheme="minorHAnsi"/>
        </w:rPr>
        <w:t> = .05. Heterosexual Intimacy (β = .04, </w:t>
      </w:r>
      <w:r w:rsidRPr="00D7240E">
        <w:rPr>
          <w:rStyle w:val="Emphasis"/>
          <w:rFonts w:cstheme="minorHAnsi"/>
          <w:color w:val="333333"/>
          <w:spacing w:val="2"/>
        </w:rPr>
        <w:t>p</w:t>
      </w:r>
      <w:r w:rsidRPr="00D7240E">
        <w:rPr>
          <w:rFonts w:cstheme="minorHAnsi"/>
        </w:rPr>
        <w:t> = .71), Protective Paternalism (β = .18, </w:t>
      </w:r>
      <w:r w:rsidRPr="00D7240E">
        <w:rPr>
          <w:rStyle w:val="Emphasis"/>
          <w:rFonts w:cstheme="minorHAnsi"/>
          <w:color w:val="333333"/>
          <w:spacing w:val="2"/>
        </w:rPr>
        <w:t>p</w:t>
      </w:r>
      <w:r w:rsidRPr="00D7240E">
        <w:rPr>
          <w:rFonts w:cstheme="minorHAnsi"/>
        </w:rPr>
        <w:t> = .11), and the Schedule of Sexist Events (β = .12, </w:t>
      </w:r>
      <w:r w:rsidRPr="00D7240E">
        <w:rPr>
          <w:rStyle w:val="Emphasis"/>
          <w:rFonts w:cstheme="minorHAnsi"/>
          <w:color w:val="333333"/>
          <w:spacing w:val="2"/>
        </w:rPr>
        <w:t>p</w:t>
      </w:r>
      <w:r w:rsidRPr="00D7240E">
        <w:rPr>
          <w:rFonts w:cstheme="minorHAnsi"/>
        </w:rPr>
        <w:t> = .14) were not significant predictors. For self-</w:t>
      </w:r>
      <w:r w:rsidRPr="00D7240E">
        <w:rPr>
          <w:rFonts w:cstheme="minorHAnsi"/>
        </w:rPr>
        <w:lastRenderedPageBreak/>
        <w:t>doubt, Complementary Gender Differentiation (β = −.30, </w:t>
      </w:r>
      <w:r w:rsidRPr="00D7240E">
        <w:rPr>
          <w:rStyle w:val="Emphasis"/>
          <w:rFonts w:cstheme="minorHAnsi"/>
          <w:color w:val="333333"/>
          <w:spacing w:val="2"/>
        </w:rPr>
        <w:t>p &lt;</w:t>
      </w:r>
      <w:r w:rsidRPr="00D7240E">
        <w:rPr>
          <w:rFonts w:cstheme="minorHAnsi"/>
        </w:rPr>
        <w:t> .01) was negatively associated and Protective Paternalism (β = .30, </w:t>
      </w:r>
      <w:r w:rsidRPr="00D7240E">
        <w:rPr>
          <w:rStyle w:val="Emphasis"/>
          <w:rFonts w:cstheme="minorHAnsi"/>
          <w:color w:val="333333"/>
          <w:spacing w:val="2"/>
        </w:rPr>
        <w:t>p</w:t>
      </w:r>
      <w:r w:rsidRPr="00D7240E">
        <w:rPr>
          <w:rFonts w:cstheme="minorHAnsi"/>
        </w:rPr>
        <w:t> &lt; .01) was positively associated, </w:t>
      </w:r>
      <w:r w:rsidRPr="00D7240E">
        <w:rPr>
          <w:rStyle w:val="Emphasis"/>
          <w:rFonts w:cstheme="minorHAnsi"/>
          <w:color w:val="333333"/>
          <w:spacing w:val="2"/>
        </w:rPr>
        <w:t>F</w:t>
      </w:r>
      <w:r w:rsidRPr="00D7240E">
        <w:rPr>
          <w:rFonts w:cstheme="minorHAnsi"/>
        </w:rPr>
        <w:t>(4, 210) = 5.54, </w:t>
      </w:r>
      <w:r w:rsidRPr="00D7240E">
        <w:rPr>
          <w:rStyle w:val="Emphasis"/>
          <w:rFonts w:cstheme="minorHAnsi"/>
          <w:color w:val="333333"/>
          <w:spacing w:val="2"/>
        </w:rPr>
        <w:t>p</w:t>
      </w:r>
      <w:r w:rsidRPr="00D7240E">
        <w:rPr>
          <w:rFonts w:cstheme="minorHAnsi"/>
        </w:rPr>
        <w:t> &lt; .01, </w:t>
      </w:r>
      <w:r w:rsidRPr="00D7240E">
        <w:rPr>
          <w:rStyle w:val="Emphasis"/>
          <w:rFonts w:cstheme="minorHAnsi"/>
          <w:color w:val="333333"/>
          <w:spacing w:val="2"/>
        </w:rPr>
        <w:t>R</w:t>
      </w:r>
      <w:r w:rsidRPr="00D7240E">
        <w:rPr>
          <w:rFonts w:cstheme="minorHAnsi"/>
          <w:vertAlign w:val="superscript"/>
        </w:rPr>
        <w:t>2</w:t>
      </w:r>
      <w:r w:rsidRPr="00D7240E">
        <w:rPr>
          <w:rFonts w:cstheme="minorHAnsi"/>
        </w:rPr>
        <w:t> = .10. Heterosexual Intimacy (β = .006, </w:t>
      </w:r>
      <w:r w:rsidRPr="00D7240E">
        <w:rPr>
          <w:rStyle w:val="Emphasis"/>
          <w:rFonts w:cstheme="minorHAnsi"/>
          <w:color w:val="333333"/>
          <w:spacing w:val="2"/>
        </w:rPr>
        <w:t>p</w:t>
      </w:r>
      <w:r w:rsidRPr="00D7240E">
        <w:rPr>
          <w:rFonts w:cstheme="minorHAnsi"/>
        </w:rPr>
        <w:t> = .95) and the Schedule of Sexist Events (β = .13, </w:t>
      </w:r>
      <w:r w:rsidRPr="00D7240E">
        <w:rPr>
          <w:rStyle w:val="Emphasis"/>
          <w:rFonts w:cstheme="minorHAnsi"/>
          <w:color w:val="333333"/>
          <w:spacing w:val="2"/>
        </w:rPr>
        <w:t>p</w:t>
      </w:r>
      <w:r w:rsidRPr="00D7240E">
        <w:rPr>
          <w:rFonts w:cstheme="minorHAnsi"/>
        </w:rPr>
        <w:t> = .10) were not significant predictors of self-doubt.</w:t>
      </w:r>
    </w:p>
    <w:p w14:paraId="1AE83880" w14:textId="77777777" w:rsidR="00FA36F7" w:rsidRPr="00D7240E" w:rsidRDefault="00FA36F7" w:rsidP="00546440">
      <w:pPr>
        <w:pStyle w:val="Heading2"/>
        <w:rPr>
          <w:rFonts w:asciiTheme="minorHAnsi" w:hAnsiTheme="minorHAnsi" w:cstheme="minorHAnsi"/>
        </w:rPr>
      </w:pPr>
      <w:r w:rsidRPr="00D7240E">
        <w:rPr>
          <w:rStyle w:val="heading"/>
          <w:rFonts w:asciiTheme="minorHAnsi" w:hAnsiTheme="minorHAnsi" w:cstheme="minorHAnsi"/>
        </w:rPr>
        <w:t>Experiencing Sexism and Well-Being</w:t>
      </w:r>
    </w:p>
    <w:p w14:paraId="59CC382D" w14:textId="77777777" w:rsidR="00FA36F7" w:rsidRPr="00D7240E" w:rsidRDefault="00FA36F7" w:rsidP="00546440">
      <w:pPr>
        <w:rPr>
          <w:rFonts w:cstheme="minorHAnsi"/>
        </w:rPr>
      </w:pPr>
      <w:r w:rsidRPr="00D7240E">
        <w:rPr>
          <w:rFonts w:cstheme="minorHAnsi"/>
        </w:rPr>
        <w:t>The Schedule of Sexist Events was associated with psychological flourishing (β = −.20, </w:t>
      </w:r>
      <w:r w:rsidRPr="00D7240E">
        <w:rPr>
          <w:rStyle w:val="Emphasis"/>
          <w:rFonts w:cstheme="minorHAnsi"/>
          <w:color w:val="333333"/>
          <w:spacing w:val="2"/>
        </w:rPr>
        <w:t>p</w:t>
      </w:r>
      <w:r w:rsidRPr="00D7240E">
        <w:rPr>
          <w:rFonts w:cstheme="minorHAnsi"/>
        </w:rPr>
        <w:t> = .01) whereas Complementary Gender Differentiation (β = .34, </w:t>
      </w:r>
      <w:r w:rsidRPr="00D7240E">
        <w:rPr>
          <w:rStyle w:val="Emphasis"/>
          <w:rFonts w:cstheme="minorHAnsi"/>
          <w:color w:val="333333"/>
          <w:spacing w:val="2"/>
        </w:rPr>
        <w:t>p</w:t>
      </w:r>
      <w:r w:rsidRPr="00D7240E">
        <w:rPr>
          <w:rFonts w:cstheme="minorHAnsi"/>
        </w:rPr>
        <w:t> &lt; .01) was positively associated, </w:t>
      </w:r>
      <w:r w:rsidRPr="00D7240E">
        <w:rPr>
          <w:rStyle w:val="Emphasis"/>
          <w:rFonts w:cstheme="minorHAnsi"/>
          <w:color w:val="333333"/>
          <w:spacing w:val="2"/>
        </w:rPr>
        <w:t>F</w:t>
      </w:r>
      <w:r w:rsidRPr="00D7240E">
        <w:rPr>
          <w:rFonts w:cstheme="minorHAnsi"/>
        </w:rPr>
        <w:t>(4, 209) = 6.22, </w:t>
      </w:r>
      <w:r w:rsidRPr="00D7240E">
        <w:rPr>
          <w:rStyle w:val="Emphasis"/>
          <w:rFonts w:cstheme="minorHAnsi"/>
          <w:color w:val="333333"/>
          <w:spacing w:val="2"/>
        </w:rPr>
        <w:t>p</w:t>
      </w:r>
      <w:r w:rsidRPr="00D7240E">
        <w:rPr>
          <w:rFonts w:cstheme="minorHAnsi"/>
        </w:rPr>
        <w:t> &lt; .01, </w:t>
      </w:r>
      <w:r w:rsidRPr="00D7240E">
        <w:rPr>
          <w:rStyle w:val="Emphasis"/>
          <w:rFonts w:cstheme="minorHAnsi"/>
          <w:color w:val="333333"/>
          <w:spacing w:val="2"/>
        </w:rPr>
        <w:t>R</w:t>
      </w:r>
      <w:r w:rsidRPr="00D7240E">
        <w:rPr>
          <w:rFonts w:cstheme="minorHAnsi"/>
          <w:vertAlign w:val="superscript"/>
        </w:rPr>
        <w:t>2</w:t>
      </w:r>
      <w:r w:rsidRPr="00D7240E">
        <w:rPr>
          <w:rFonts w:cstheme="minorHAnsi"/>
        </w:rPr>
        <w:t> = .11. Heterosexual Intimacy (β = .007, </w:t>
      </w:r>
      <w:r w:rsidRPr="00D7240E">
        <w:rPr>
          <w:rStyle w:val="Emphasis"/>
          <w:rFonts w:cstheme="minorHAnsi"/>
          <w:color w:val="333333"/>
          <w:spacing w:val="2"/>
        </w:rPr>
        <w:t>p</w:t>
      </w:r>
      <w:r w:rsidRPr="00D7240E">
        <w:rPr>
          <w:rFonts w:cstheme="minorHAnsi"/>
        </w:rPr>
        <w:t> = .95) and Protective Paternalism (β = −.20, </w:t>
      </w:r>
      <w:r w:rsidRPr="00D7240E">
        <w:rPr>
          <w:rStyle w:val="Emphasis"/>
          <w:rFonts w:cstheme="minorHAnsi"/>
          <w:color w:val="333333"/>
          <w:spacing w:val="2"/>
        </w:rPr>
        <w:t>p</w:t>
      </w:r>
      <w:r w:rsidRPr="00D7240E">
        <w:rPr>
          <w:rFonts w:cstheme="minorHAnsi"/>
        </w:rPr>
        <w:t> = .07) were not significant predictors of psychological flourishing. Psychological well-being was negatively associated with Protective Paternalism (β = −.27, </w:t>
      </w:r>
      <w:r w:rsidRPr="00D7240E">
        <w:rPr>
          <w:rStyle w:val="Emphasis"/>
          <w:rFonts w:cstheme="minorHAnsi"/>
          <w:color w:val="333333"/>
          <w:spacing w:val="2"/>
        </w:rPr>
        <w:t>p</w:t>
      </w:r>
      <w:r w:rsidRPr="00D7240E">
        <w:rPr>
          <w:rFonts w:cstheme="minorHAnsi"/>
        </w:rPr>
        <w:t> = .02) and the Schedule of Sexist Events (β = −.23, </w:t>
      </w:r>
      <w:r w:rsidRPr="00D7240E">
        <w:rPr>
          <w:rStyle w:val="Emphasis"/>
          <w:rFonts w:cstheme="minorHAnsi"/>
          <w:color w:val="333333"/>
          <w:spacing w:val="2"/>
        </w:rPr>
        <w:t>p &lt;</w:t>
      </w:r>
      <w:r w:rsidRPr="00D7240E">
        <w:rPr>
          <w:rFonts w:cstheme="minorHAnsi"/>
        </w:rPr>
        <w:t> .01) but was positively associated with Complementary Gender Differentiation (β = 25, </w:t>
      </w:r>
      <w:r w:rsidRPr="00D7240E">
        <w:rPr>
          <w:rStyle w:val="Emphasis"/>
          <w:rFonts w:cstheme="minorHAnsi"/>
          <w:color w:val="333333"/>
          <w:spacing w:val="2"/>
        </w:rPr>
        <w:t>p</w:t>
      </w:r>
      <w:r w:rsidRPr="00D7240E">
        <w:rPr>
          <w:rFonts w:cstheme="minorHAnsi"/>
        </w:rPr>
        <w:t> = .01), and not associated with Heterosexual Intimacy (β = .10, </w:t>
      </w:r>
      <w:r w:rsidRPr="00D7240E">
        <w:rPr>
          <w:rStyle w:val="Emphasis"/>
          <w:rFonts w:cstheme="minorHAnsi"/>
          <w:color w:val="333333"/>
          <w:spacing w:val="2"/>
        </w:rPr>
        <w:t>p</w:t>
      </w:r>
      <w:r w:rsidRPr="00D7240E">
        <w:rPr>
          <w:rFonts w:cstheme="minorHAnsi"/>
        </w:rPr>
        <w:t> = .37), </w:t>
      </w:r>
      <w:r w:rsidRPr="00D7240E">
        <w:rPr>
          <w:rStyle w:val="Emphasis"/>
          <w:rFonts w:cstheme="minorHAnsi"/>
          <w:color w:val="333333"/>
          <w:spacing w:val="2"/>
        </w:rPr>
        <w:t>F</w:t>
      </w:r>
      <w:r w:rsidRPr="00D7240E">
        <w:rPr>
          <w:rFonts w:cstheme="minorHAnsi"/>
        </w:rPr>
        <w:t>(4, 210) = 6.72, </w:t>
      </w:r>
      <w:r w:rsidRPr="00D7240E">
        <w:rPr>
          <w:rStyle w:val="Emphasis"/>
          <w:rFonts w:cstheme="minorHAnsi"/>
          <w:color w:val="333333"/>
          <w:spacing w:val="2"/>
        </w:rPr>
        <w:t>p</w:t>
      </w:r>
      <w:r w:rsidRPr="00D7240E">
        <w:rPr>
          <w:rFonts w:cstheme="minorHAnsi"/>
        </w:rPr>
        <w:t> &lt; .01, </w:t>
      </w:r>
      <w:r w:rsidRPr="00D7240E">
        <w:rPr>
          <w:rStyle w:val="Emphasis"/>
          <w:rFonts w:cstheme="minorHAnsi"/>
          <w:color w:val="333333"/>
          <w:spacing w:val="2"/>
        </w:rPr>
        <w:t>R</w:t>
      </w:r>
      <w:r w:rsidRPr="00D7240E">
        <w:rPr>
          <w:rFonts w:cstheme="minorHAnsi"/>
          <w:vertAlign w:val="superscript"/>
        </w:rPr>
        <w:t>2</w:t>
      </w:r>
      <w:r w:rsidRPr="00D7240E">
        <w:rPr>
          <w:rFonts w:cstheme="minorHAnsi"/>
        </w:rPr>
        <w:t> = .11.</w:t>
      </w:r>
    </w:p>
    <w:p w14:paraId="0A940099" w14:textId="77777777" w:rsidR="00FA36F7" w:rsidRPr="00D7240E" w:rsidRDefault="00FA36F7" w:rsidP="00546440">
      <w:pPr>
        <w:pStyle w:val="Heading2"/>
        <w:rPr>
          <w:rFonts w:asciiTheme="minorHAnsi" w:hAnsiTheme="minorHAnsi" w:cstheme="minorHAnsi"/>
        </w:rPr>
      </w:pPr>
      <w:r w:rsidRPr="00D7240E">
        <w:rPr>
          <w:rStyle w:val="heading"/>
          <w:rFonts w:asciiTheme="minorHAnsi" w:hAnsiTheme="minorHAnsi" w:cstheme="minorHAnsi"/>
        </w:rPr>
        <w:t>Deference to Authority</w:t>
      </w:r>
    </w:p>
    <w:p w14:paraId="6AE7B6C9" w14:textId="77777777" w:rsidR="00FA36F7" w:rsidRPr="00D7240E" w:rsidRDefault="00FA36F7" w:rsidP="00546440">
      <w:pPr>
        <w:rPr>
          <w:rFonts w:cstheme="minorHAnsi"/>
        </w:rPr>
      </w:pPr>
      <w:r w:rsidRPr="00D7240E">
        <w:rPr>
          <w:rFonts w:cstheme="minorHAnsi"/>
        </w:rPr>
        <w:t>Deference to authority was positively associated with Complementary Gender Differentiation (β = .35, </w:t>
      </w:r>
      <w:r w:rsidRPr="00D7240E">
        <w:rPr>
          <w:rStyle w:val="Emphasis"/>
          <w:rFonts w:cstheme="minorHAnsi"/>
          <w:color w:val="333333"/>
          <w:spacing w:val="2"/>
        </w:rPr>
        <w:t>p</w:t>
      </w:r>
      <w:r w:rsidRPr="00D7240E">
        <w:rPr>
          <w:rFonts w:cstheme="minorHAnsi"/>
        </w:rPr>
        <w:t> &lt; .01) but negatively associated with the Schedule of Sexist Events (β = −.44, </w:t>
      </w:r>
      <w:r w:rsidRPr="00D7240E">
        <w:rPr>
          <w:rStyle w:val="Emphasis"/>
          <w:rFonts w:cstheme="minorHAnsi"/>
          <w:color w:val="333333"/>
          <w:spacing w:val="2"/>
        </w:rPr>
        <w:t>p &lt;</w:t>
      </w:r>
      <w:r w:rsidRPr="00D7240E">
        <w:rPr>
          <w:rFonts w:cstheme="minorHAnsi"/>
        </w:rPr>
        <w:t> .01), and not associated with Heterosexual Intimacy (β = −.07, </w:t>
      </w:r>
      <w:r w:rsidRPr="00D7240E">
        <w:rPr>
          <w:rStyle w:val="Emphasis"/>
          <w:rFonts w:cstheme="minorHAnsi"/>
          <w:color w:val="333333"/>
          <w:spacing w:val="2"/>
        </w:rPr>
        <w:t>p</w:t>
      </w:r>
      <w:r w:rsidRPr="00D7240E">
        <w:rPr>
          <w:rFonts w:cstheme="minorHAnsi"/>
        </w:rPr>
        <w:t> = .49) or Protective Paternalism (β = −.10, </w:t>
      </w:r>
      <w:r w:rsidRPr="00D7240E">
        <w:rPr>
          <w:rStyle w:val="Emphasis"/>
          <w:rFonts w:cstheme="minorHAnsi"/>
          <w:color w:val="333333"/>
          <w:spacing w:val="2"/>
        </w:rPr>
        <w:t>p</w:t>
      </w:r>
      <w:r w:rsidRPr="00D7240E">
        <w:rPr>
          <w:rFonts w:cstheme="minorHAnsi"/>
        </w:rPr>
        <w:t> = .35), </w:t>
      </w:r>
      <w:r w:rsidRPr="00D7240E">
        <w:rPr>
          <w:rStyle w:val="Emphasis"/>
          <w:rFonts w:cstheme="minorHAnsi"/>
          <w:color w:val="333333"/>
          <w:spacing w:val="2"/>
        </w:rPr>
        <w:t>F</w:t>
      </w:r>
      <w:r w:rsidRPr="00D7240E">
        <w:rPr>
          <w:rFonts w:cstheme="minorHAnsi"/>
        </w:rPr>
        <w:t>(4, 210) = 15.57, </w:t>
      </w:r>
      <w:r w:rsidRPr="00D7240E">
        <w:rPr>
          <w:rStyle w:val="Emphasis"/>
          <w:rFonts w:cstheme="minorHAnsi"/>
          <w:color w:val="333333"/>
          <w:spacing w:val="2"/>
        </w:rPr>
        <w:t>p</w:t>
      </w:r>
      <w:r w:rsidRPr="00D7240E">
        <w:rPr>
          <w:rFonts w:cstheme="minorHAnsi"/>
        </w:rPr>
        <w:t> &lt; .01, </w:t>
      </w:r>
      <w:r w:rsidRPr="00D7240E">
        <w:rPr>
          <w:rStyle w:val="Emphasis"/>
          <w:rFonts w:cstheme="minorHAnsi"/>
          <w:color w:val="333333"/>
          <w:spacing w:val="2"/>
        </w:rPr>
        <w:t>R</w:t>
      </w:r>
      <w:r w:rsidRPr="00D7240E">
        <w:rPr>
          <w:rFonts w:cstheme="minorHAnsi"/>
          <w:vertAlign w:val="superscript"/>
        </w:rPr>
        <w:t>2</w:t>
      </w:r>
      <w:r w:rsidRPr="00D7240E">
        <w:rPr>
          <w:rFonts w:cstheme="minorHAnsi"/>
        </w:rPr>
        <w:t> = .23.</w:t>
      </w:r>
    </w:p>
    <w:p w14:paraId="565C289E" w14:textId="77777777" w:rsidR="00FA36F7" w:rsidRPr="00D7240E" w:rsidRDefault="00FA36F7" w:rsidP="00546440">
      <w:pPr>
        <w:pStyle w:val="Heading2"/>
        <w:rPr>
          <w:rFonts w:asciiTheme="minorHAnsi" w:hAnsiTheme="minorHAnsi" w:cstheme="minorHAnsi"/>
        </w:rPr>
      </w:pPr>
      <w:r w:rsidRPr="00D7240E">
        <w:rPr>
          <w:rStyle w:val="heading"/>
          <w:rFonts w:asciiTheme="minorHAnsi" w:hAnsiTheme="minorHAnsi" w:cstheme="minorHAnsi"/>
        </w:rPr>
        <w:t>Perceptions of Partner’s Ambivalent Sexism and Experiences with Benevolent Sexism</w:t>
      </w:r>
    </w:p>
    <w:p w14:paraId="288F08F2" w14:textId="77777777" w:rsidR="00FA36F7" w:rsidRPr="00D7240E" w:rsidRDefault="00FA36F7" w:rsidP="00546440">
      <w:pPr>
        <w:rPr>
          <w:rFonts w:cstheme="minorHAnsi"/>
        </w:rPr>
      </w:pPr>
      <w:r w:rsidRPr="00D7240E">
        <w:rPr>
          <w:rFonts w:cstheme="minorHAnsi"/>
        </w:rPr>
        <w:t>Fully 172 (80%) women reported currently being in a romantic relationship (68 were dating or engaged and 103 were married; Mean length = 120 months, </w:t>
      </w:r>
      <w:r w:rsidRPr="00D7240E">
        <w:rPr>
          <w:rStyle w:val="Emphasis"/>
          <w:rFonts w:cstheme="minorHAnsi"/>
          <w:color w:val="333333"/>
          <w:spacing w:val="2"/>
        </w:rPr>
        <w:t>SD</w:t>
      </w:r>
      <w:r w:rsidRPr="00D7240E">
        <w:rPr>
          <w:rFonts w:cstheme="minorHAnsi"/>
        </w:rPr>
        <w:t> = 94, range from 4 to 482 months) and 44 (20%) were not currently in a romantic relationship. For this set of analyses, we used experiences with benevolent sexism that occurred in the last year because this timeframe was deemed more appropriate and relevant.</w:t>
      </w:r>
    </w:p>
    <w:p w14:paraId="1256F3B3" w14:textId="77777777" w:rsidR="00FA36F7" w:rsidRPr="00D7240E" w:rsidRDefault="00FA36F7" w:rsidP="00546440">
      <w:pPr>
        <w:rPr>
          <w:rFonts w:cstheme="minorHAnsi"/>
        </w:rPr>
      </w:pPr>
      <w:r w:rsidRPr="00D7240E">
        <w:rPr>
          <w:rFonts w:cstheme="minorHAnsi"/>
        </w:rPr>
        <w:t>A MANOVA with the three benevolent sexism subscales and Schedule of Sexist Events was significant (Wilkes Lambda = .77), </w:t>
      </w:r>
      <w:r w:rsidRPr="00D7240E">
        <w:rPr>
          <w:rStyle w:val="Emphasis"/>
          <w:rFonts w:cstheme="minorHAnsi"/>
          <w:color w:val="333333"/>
          <w:spacing w:val="2"/>
        </w:rPr>
        <w:t>F</w:t>
      </w:r>
      <w:r w:rsidRPr="00D7240E">
        <w:rPr>
          <w:rFonts w:cstheme="minorHAnsi"/>
        </w:rPr>
        <w:t>(8, 418) = 7.14, </w:t>
      </w:r>
      <w:r w:rsidRPr="00D7240E">
        <w:rPr>
          <w:rStyle w:val="Emphasis"/>
          <w:rFonts w:cstheme="minorHAnsi"/>
          <w:color w:val="333333"/>
          <w:spacing w:val="2"/>
        </w:rPr>
        <w:t>p</w:t>
      </w:r>
      <w:r w:rsidRPr="00D7240E">
        <w:rPr>
          <w:rFonts w:cstheme="minorHAnsi"/>
        </w:rPr>
        <w:t> &lt; .01, ɳp</w:t>
      </w:r>
      <w:r w:rsidRPr="00D7240E">
        <w:rPr>
          <w:rFonts w:cstheme="minorHAnsi"/>
          <w:vertAlign w:val="superscript"/>
        </w:rPr>
        <w:t>2</w:t>
      </w:r>
      <w:r w:rsidRPr="00D7240E">
        <w:rPr>
          <w:rFonts w:cstheme="minorHAnsi"/>
        </w:rPr>
        <w:t> = .12. Follow up ANOVAS with Tukey post hoc tests (</w:t>
      </w:r>
      <w:r w:rsidRPr="00D7240E">
        <w:rPr>
          <w:rStyle w:val="Emphasis"/>
          <w:rFonts w:cstheme="minorHAnsi"/>
          <w:color w:val="333333"/>
          <w:spacing w:val="2"/>
        </w:rPr>
        <w:t>p</w:t>
      </w:r>
      <w:r w:rsidRPr="00D7240E">
        <w:rPr>
          <w:rFonts w:cstheme="minorHAnsi"/>
        </w:rPr>
        <w:t> &lt; .05) were examined. Heterosexual Intimacy experiences significantly differed across the three groups, </w:t>
      </w:r>
      <w:r w:rsidRPr="00D7240E">
        <w:rPr>
          <w:rStyle w:val="Emphasis"/>
          <w:rFonts w:cstheme="minorHAnsi"/>
          <w:color w:val="333333"/>
          <w:spacing w:val="2"/>
        </w:rPr>
        <w:t>F</w:t>
      </w:r>
      <w:r w:rsidRPr="00D7240E">
        <w:rPr>
          <w:rFonts w:cstheme="minorHAnsi"/>
        </w:rPr>
        <w:t>(2, 212) = 18.09, </w:t>
      </w:r>
      <w:r w:rsidRPr="00D7240E">
        <w:rPr>
          <w:rStyle w:val="Emphasis"/>
          <w:rFonts w:cstheme="minorHAnsi"/>
          <w:color w:val="333333"/>
          <w:spacing w:val="2"/>
        </w:rPr>
        <w:t>p</w:t>
      </w:r>
      <w:r w:rsidRPr="00D7240E">
        <w:rPr>
          <w:rFonts w:cstheme="minorHAnsi"/>
        </w:rPr>
        <w:t> &lt; .01, ɳp</w:t>
      </w:r>
      <w:r w:rsidRPr="00D7240E">
        <w:rPr>
          <w:rFonts w:cstheme="minorHAnsi"/>
          <w:vertAlign w:val="superscript"/>
        </w:rPr>
        <w:t>2</w:t>
      </w:r>
      <w:r w:rsidRPr="00D7240E">
        <w:rPr>
          <w:rFonts w:cstheme="minorHAnsi"/>
        </w:rPr>
        <w:t> = .15. Women who were married (</w:t>
      </w:r>
      <w:r w:rsidRPr="00D7240E">
        <w:rPr>
          <w:rStyle w:val="Emphasis"/>
          <w:rFonts w:cstheme="minorHAnsi"/>
          <w:color w:val="333333"/>
          <w:spacing w:val="2"/>
        </w:rPr>
        <w:t>M</w:t>
      </w:r>
      <w:r w:rsidRPr="00D7240E">
        <w:rPr>
          <w:rFonts w:cstheme="minorHAnsi"/>
        </w:rPr>
        <w:t> = 2.47, </w:t>
      </w:r>
      <w:r w:rsidRPr="00D7240E">
        <w:rPr>
          <w:rStyle w:val="Emphasis"/>
          <w:rFonts w:cstheme="minorHAnsi"/>
          <w:color w:val="333333"/>
          <w:spacing w:val="2"/>
        </w:rPr>
        <w:t>SD</w:t>
      </w:r>
      <w:r w:rsidRPr="00D7240E">
        <w:rPr>
          <w:rFonts w:cstheme="minorHAnsi"/>
        </w:rPr>
        <w:t> = 1.03) or in a dating relationship (</w:t>
      </w:r>
      <w:r w:rsidRPr="00D7240E">
        <w:rPr>
          <w:rStyle w:val="Emphasis"/>
          <w:rFonts w:cstheme="minorHAnsi"/>
          <w:color w:val="333333"/>
          <w:spacing w:val="2"/>
        </w:rPr>
        <w:t>M</w:t>
      </w:r>
      <w:r w:rsidRPr="00D7240E">
        <w:rPr>
          <w:rFonts w:cstheme="minorHAnsi"/>
        </w:rPr>
        <w:t> = 2.63, </w:t>
      </w:r>
      <w:r w:rsidRPr="00D7240E">
        <w:rPr>
          <w:rStyle w:val="Emphasis"/>
          <w:rFonts w:cstheme="minorHAnsi"/>
          <w:color w:val="333333"/>
          <w:spacing w:val="2"/>
        </w:rPr>
        <w:t>SD</w:t>
      </w:r>
      <w:r w:rsidRPr="00D7240E">
        <w:rPr>
          <w:rFonts w:cstheme="minorHAnsi"/>
        </w:rPr>
        <w:t> = .99) did not differ, but both groups reported more heterosexual intimacy experiences than did women who were not in a relationship (</w:t>
      </w:r>
      <w:r w:rsidRPr="00D7240E">
        <w:rPr>
          <w:rStyle w:val="Emphasis"/>
          <w:rFonts w:cstheme="minorHAnsi"/>
          <w:color w:val="333333"/>
          <w:spacing w:val="2"/>
        </w:rPr>
        <w:t>M</w:t>
      </w:r>
      <w:r w:rsidRPr="00D7240E">
        <w:rPr>
          <w:rFonts w:cstheme="minorHAnsi"/>
        </w:rPr>
        <w:t> = 1.55, </w:t>
      </w:r>
      <w:r w:rsidRPr="00D7240E">
        <w:rPr>
          <w:rStyle w:val="Emphasis"/>
          <w:rFonts w:cstheme="minorHAnsi"/>
          <w:color w:val="333333"/>
          <w:spacing w:val="2"/>
        </w:rPr>
        <w:t>SD</w:t>
      </w:r>
      <w:r w:rsidRPr="00D7240E">
        <w:rPr>
          <w:rFonts w:cstheme="minorHAnsi"/>
        </w:rPr>
        <w:t> = .83). Similar findings were found for Complementary Gender Differentiation, </w:t>
      </w:r>
      <w:r w:rsidRPr="00D7240E">
        <w:rPr>
          <w:rStyle w:val="Emphasis"/>
          <w:rFonts w:cstheme="minorHAnsi"/>
          <w:color w:val="333333"/>
          <w:spacing w:val="2"/>
        </w:rPr>
        <w:t>F</w:t>
      </w:r>
      <w:r w:rsidRPr="00D7240E">
        <w:rPr>
          <w:rFonts w:cstheme="minorHAnsi"/>
        </w:rPr>
        <w:t>(2, 212) = 7.81, </w:t>
      </w:r>
      <w:r w:rsidRPr="00D7240E">
        <w:rPr>
          <w:rStyle w:val="Emphasis"/>
          <w:rFonts w:cstheme="minorHAnsi"/>
          <w:color w:val="333333"/>
          <w:spacing w:val="2"/>
        </w:rPr>
        <w:t>p</w:t>
      </w:r>
      <w:r w:rsidRPr="00D7240E">
        <w:rPr>
          <w:rFonts w:cstheme="minorHAnsi"/>
        </w:rPr>
        <w:t> &lt; .01, ɳp</w:t>
      </w:r>
      <w:r w:rsidRPr="00D7240E">
        <w:rPr>
          <w:rFonts w:cstheme="minorHAnsi"/>
          <w:vertAlign w:val="superscript"/>
        </w:rPr>
        <w:t>2</w:t>
      </w:r>
      <w:r w:rsidRPr="00D7240E">
        <w:rPr>
          <w:rFonts w:cstheme="minorHAnsi"/>
        </w:rPr>
        <w:t> = .07, where women who were married (</w:t>
      </w:r>
      <w:r w:rsidRPr="00D7240E">
        <w:rPr>
          <w:rStyle w:val="Emphasis"/>
          <w:rFonts w:cstheme="minorHAnsi"/>
          <w:color w:val="333333"/>
          <w:spacing w:val="2"/>
        </w:rPr>
        <w:t>M</w:t>
      </w:r>
      <w:r w:rsidRPr="00D7240E">
        <w:rPr>
          <w:rFonts w:cstheme="minorHAnsi"/>
        </w:rPr>
        <w:t> = 2.55, </w:t>
      </w:r>
      <w:r w:rsidRPr="00D7240E">
        <w:rPr>
          <w:rStyle w:val="Emphasis"/>
          <w:rFonts w:cstheme="minorHAnsi"/>
          <w:color w:val="333333"/>
          <w:spacing w:val="2"/>
        </w:rPr>
        <w:t>SD</w:t>
      </w:r>
      <w:r w:rsidRPr="00D7240E">
        <w:rPr>
          <w:rFonts w:cstheme="minorHAnsi"/>
        </w:rPr>
        <w:t> = 1.17) or in a dating relationship (</w:t>
      </w:r>
      <w:r w:rsidRPr="00D7240E">
        <w:rPr>
          <w:rStyle w:val="Emphasis"/>
          <w:rFonts w:cstheme="minorHAnsi"/>
          <w:color w:val="333333"/>
          <w:spacing w:val="2"/>
        </w:rPr>
        <w:t>M</w:t>
      </w:r>
      <w:r w:rsidRPr="00D7240E">
        <w:rPr>
          <w:rFonts w:cstheme="minorHAnsi"/>
        </w:rPr>
        <w:t> = 2.57, </w:t>
      </w:r>
      <w:r w:rsidRPr="00D7240E">
        <w:rPr>
          <w:rStyle w:val="Emphasis"/>
          <w:rFonts w:cstheme="minorHAnsi"/>
          <w:color w:val="333333"/>
          <w:spacing w:val="2"/>
        </w:rPr>
        <w:t>SD</w:t>
      </w:r>
      <w:r w:rsidRPr="00D7240E">
        <w:rPr>
          <w:rFonts w:cstheme="minorHAnsi"/>
        </w:rPr>
        <w:t> = 1.11) did not differ, but both groups experienced significantly more of these experiences than women who were not in a relationship (</w:t>
      </w:r>
      <w:r w:rsidRPr="00D7240E">
        <w:rPr>
          <w:rStyle w:val="Emphasis"/>
          <w:rFonts w:cstheme="minorHAnsi"/>
          <w:color w:val="333333"/>
          <w:spacing w:val="2"/>
        </w:rPr>
        <w:t>M</w:t>
      </w:r>
      <w:r w:rsidRPr="00D7240E">
        <w:rPr>
          <w:rFonts w:cstheme="minorHAnsi"/>
        </w:rPr>
        <w:t> = 1.81, </w:t>
      </w:r>
      <w:r w:rsidRPr="00D7240E">
        <w:rPr>
          <w:rStyle w:val="Emphasis"/>
          <w:rFonts w:cstheme="minorHAnsi"/>
          <w:color w:val="333333"/>
          <w:spacing w:val="2"/>
        </w:rPr>
        <w:t>SD</w:t>
      </w:r>
      <w:r w:rsidRPr="00D7240E">
        <w:rPr>
          <w:rFonts w:cstheme="minorHAnsi"/>
        </w:rPr>
        <w:t> = .96). Similarly, for Protective Paternalism, </w:t>
      </w:r>
      <w:r w:rsidRPr="00D7240E">
        <w:rPr>
          <w:rStyle w:val="Emphasis"/>
          <w:rFonts w:cstheme="minorHAnsi"/>
          <w:color w:val="333333"/>
          <w:spacing w:val="2"/>
        </w:rPr>
        <w:t>F</w:t>
      </w:r>
      <w:r w:rsidRPr="00D7240E">
        <w:rPr>
          <w:rFonts w:cstheme="minorHAnsi"/>
        </w:rPr>
        <w:t>(2, 212) = 6.70, </w:t>
      </w:r>
      <w:r w:rsidRPr="00D7240E">
        <w:rPr>
          <w:rStyle w:val="Emphasis"/>
          <w:rFonts w:cstheme="minorHAnsi"/>
          <w:color w:val="333333"/>
          <w:spacing w:val="2"/>
        </w:rPr>
        <w:t>p</w:t>
      </w:r>
      <w:r w:rsidRPr="00D7240E">
        <w:rPr>
          <w:rFonts w:cstheme="minorHAnsi"/>
        </w:rPr>
        <w:t> &lt; .01, ɳp</w:t>
      </w:r>
      <w:r w:rsidRPr="00D7240E">
        <w:rPr>
          <w:rFonts w:cstheme="minorHAnsi"/>
          <w:vertAlign w:val="superscript"/>
        </w:rPr>
        <w:t>2</w:t>
      </w:r>
      <w:r w:rsidRPr="00D7240E">
        <w:rPr>
          <w:rFonts w:cstheme="minorHAnsi"/>
        </w:rPr>
        <w:t> = .06, women who were married (</w:t>
      </w:r>
      <w:r w:rsidRPr="00D7240E">
        <w:rPr>
          <w:rStyle w:val="Emphasis"/>
          <w:rFonts w:cstheme="minorHAnsi"/>
          <w:color w:val="333333"/>
          <w:spacing w:val="2"/>
        </w:rPr>
        <w:t>M</w:t>
      </w:r>
      <w:r w:rsidRPr="00D7240E">
        <w:rPr>
          <w:rFonts w:cstheme="minorHAnsi"/>
        </w:rPr>
        <w:t> = 2.22, </w:t>
      </w:r>
      <w:r w:rsidRPr="00D7240E">
        <w:rPr>
          <w:rStyle w:val="Emphasis"/>
          <w:rFonts w:cstheme="minorHAnsi"/>
          <w:color w:val="333333"/>
          <w:spacing w:val="2"/>
        </w:rPr>
        <w:t>SD</w:t>
      </w:r>
      <w:r w:rsidRPr="00D7240E">
        <w:rPr>
          <w:rFonts w:cstheme="minorHAnsi"/>
        </w:rPr>
        <w:t> = 1.10) or in a dating relationship (</w:t>
      </w:r>
      <w:r w:rsidRPr="00D7240E">
        <w:rPr>
          <w:rStyle w:val="Emphasis"/>
          <w:rFonts w:cstheme="minorHAnsi"/>
          <w:color w:val="333333"/>
          <w:spacing w:val="2"/>
        </w:rPr>
        <w:t>M</w:t>
      </w:r>
      <w:r w:rsidRPr="00D7240E">
        <w:rPr>
          <w:rFonts w:cstheme="minorHAnsi"/>
        </w:rPr>
        <w:t> = 2.62, </w:t>
      </w:r>
      <w:r w:rsidRPr="00D7240E">
        <w:rPr>
          <w:rStyle w:val="Emphasis"/>
          <w:rFonts w:cstheme="minorHAnsi"/>
          <w:color w:val="333333"/>
          <w:spacing w:val="2"/>
        </w:rPr>
        <w:t>SD</w:t>
      </w:r>
      <w:r w:rsidRPr="00D7240E">
        <w:rPr>
          <w:rFonts w:cstheme="minorHAnsi"/>
        </w:rPr>
        <w:t> = 1.21) did not differ from each other. Women who were dating experienced more Protective Paternalism than did women who were single (</w:t>
      </w:r>
      <w:r w:rsidRPr="00D7240E">
        <w:rPr>
          <w:rStyle w:val="Emphasis"/>
          <w:rFonts w:cstheme="minorHAnsi"/>
          <w:color w:val="333333"/>
          <w:spacing w:val="2"/>
        </w:rPr>
        <w:t>M</w:t>
      </w:r>
      <w:r w:rsidRPr="00D7240E">
        <w:rPr>
          <w:rFonts w:cstheme="minorHAnsi"/>
        </w:rPr>
        <w:t> = 1.86, </w:t>
      </w:r>
      <w:r w:rsidRPr="00D7240E">
        <w:rPr>
          <w:rStyle w:val="Emphasis"/>
          <w:rFonts w:cstheme="minorHAnsi"/>
          <w:color w:val="333333"/>
          <w:spacing w:val="2"/>
        </w:rPr>
        <w:t>SD</w:t>
      </w:r>
      <w:r w:rsidRPr="00D7240E">
        <w:rPr>
          <w:rFonts w:cstheme="minorHAnsi"/>
        </w:rPr>
        <w:t> = .85). For the Schedule of Sexist Events, </w:t>
      </w:r>
      <w:r w:rsidRPr="00D7240E">
        <w:rPr>
          <w:rStyle w:val="Emphasis"/>
          <w:rFonts w:cstheme="minorHAnsi"/>
          <w:color w:val="333333"/>
          <w:spacing w:val="2"/>
        </w:rPr>
        <w:t>F</w:t>
      </w:r>
      <w:r w:rsidRPr="00D7240E">
        <w:rPr>
          <w:rFonts w:cstheme="minorHAnsi"/>
        </w:rPr>
        <w:t>(2, 212) = 5.64, </w:t>
      </w:r>
      <w:r w:rsidRPr="00D7240E">
        <w:rPr>
          <w:rStyle w:val="Emphasis"/>
          <w:rFonts w:cstheme="minorHAnsi"/>
          <w:color w:val="333333"/>
          <w:spacing w:val="2"/>
        </w:rPr>
        <w:t>p</w:t>
      </w:r>
      <w:r w:rsidRPr="00D7240E">
        <w:rPr>
          <w:rFonts w:cstheme="minorHAnsi"/>
        </w:rPr>
        <w:t> &lt; .01, ɳp</w:t>
      </w:r>
      <w:r w:rsidRPr="00D7240E">
        <w:rPr>
          <w:rFonts w:cstheme="minorHAnsi"/>
          <w:vertAlign w:val="superscript"/>
        </w:rPr>
        <w:t>2</w:t>
      </w:r>
      <w:r w:rsidRPr="00D7240E">
        <w:rPr>
          <w:rFonts w:cstheme="minorHAnsi"/>
        </w:rPr>
        <w:t> = .05, women who were in a dating relationship reported experiencing more sexist events (</w:t>
      </w:r>
      <w:r w:rsidRPr="00D7240E">
        <w:rPr>
          <w:rStyle w:val="Emphasis"/>
          <w:rFonts w:cstheme="minorHAnsi"/>
          <w:color w:val="333333"/>
          <w:spacing w:val="2"/>
        </w:rPr>
        <w:t>M</w:t>
      </w:r>
      <w:r w:rsidRPr="00D7240E">
        <w:rPr>
          <w:rFonts w:cstheme="minorHAnsi"/>
        </w:rPr>
        <w:t> = 2.13, </w:t>
      </w:r>
      <w:r w:rsidRPr="00D7240E">
        <w:rPr>
          <w:rStyle w:val="Emphasis"/>
          <w:rFonts w:cstheme="minorHAnsi"/>
          <w:color w:val="333333"/>
          <w:spacing w:val="2"/>
        </w:rPr>
        <w:t>SD</w:t>
      </w:r>
      <w:r w:rsidRPr="00D7240E">
        <w:rPr>
          <w:rFonts w:cstheme="minorHAnsi"/>
        </w:rPr>
        <w:t> = .92) than did women who were married (</w:t>
      </w:r>
      <w:r w:rsidRPr="00D7240E">
        <w:rPr>
          <w:rStyle w:val="Emphasis"/>
          <w:rFonts w:cstheme="minorHAnsi"/>
          <w:color w:val="333333"/>
          <w:spacing w:val="2"/>
        </w:rPr>
        <w:t>M</w:t>
      </w:r>
      <w:r w:rsidRPr="00D7240E">
        <w:rPr>
          <w:rFonts w:cstheme="minorHAnsi"/>
        </w:rPr>
        <w:t> = 1.71, </w:t>
      </w:r>
      <w:r w:rsidRPr="00D7240E">
        <w:rPr>
          <w:rStyle w:val="Emphasis"/>
          <w:rFonts w:cstheme="minorHAnsi"/>
          <w:color w:val="333333"/>
          <w:spacing w:val="2"/>
        </w:rPr>
        <w:t>SD</w:t>
      </w:r>
      <w:r w:rsidRPr="00D7240E">
        <w:rPr>
          <w:rFonts w:cstheme="minorHAnsi"/>
        </w:rPr>
        <w:t> = .82) or not in a romantic relationship (</w:t>
      </w:r>
      <w:r w:rsidRPr="00D7240E">
        <w:rPr>
          <w:rStyle w:val="Emphasis"/>
          <w:rFonts w:cstheme="minorHAnsi"/>
          <w:color w:val="333333"/>
          <w:spacing w:val="2"/>
        </w:rPr>
        <w:t>M</w:t>
      </w:r>
      <w:r w:rsidRPr="00D7240E">
        <w:rPr>
          <w:rFonts w:cstheme="minorHAnsi"/>
        </w:rPr>
        <w:t> = 1.74, </w:t>
      </w:r>
      <w:r w:rsidRPr="00D7240E">
        <w:rPr>
          <w:rStyle w:val="Emphasis"/>
          <w:rFonts w:cstheme="minorHAnsi"/>
          <w:color w:val="333333"/>
          <w:spacing w:val="2"/>
        </w:rPr>
        <w:t>SD</w:t>
      </w:r>
      <w:r w:rsidRPr="00D7240E">
        <w:rPr>
          <w:rFonts w:cstheme="minorHAnsi"/>
        </w:rPr>
        <w:t> = .81).</w:t>
      </w:r>
    </w:p>
    <w:p w14:paraId="2CCFCDF4" w14:textId="77777777" w:rsidR="00FA36F7" w:rsidRPr="00D7240E" w:rsidRDefault="00FA36F7" w:rsidP="00546440">
      <w:pPr>
        <w:rPr>
          <w:rFonts w:cstheme="minorHAnsi"/>
        </w:rPr>
      </w:pPr>
      <w:r w:rsidRPr="00D7240E">
        <w:rPr>
          <w:rFonts w:cstheme="minorHAnsi"/>
        </w:rPr>
        <w:t>Multiple regressions were computed using perception of the partner’s hostile and benevolently sexist attitudes as the predictor variables and the benevolent sexist experience last year subscales as the outcome variables. Women’s reports of their partner’s benevolently sexist attitudes (β = .26, </w:t>
      </w:r>
      <w:r w:rsidRPr="00D7240E">
        <w:rPr>
          <w:rStyle w:val="Emphasis"/>
          <w:rFonts w:cstheme="minorHAnsi"/>
          <w:color w:val="333333"/>
          <w:spacing w:val="2"/>
        </w:rPr>
        <w:t>p</w:t>
      </w:r>
      <w:r w:rsidRPr="00D7240E">
        <w:rPr>
          <w:rFonts w:cstheme="minorHAnsi"/>
        </w:rPr>
        <w:t> &lt; .01), but not hostile attitudes (β = .11, </w:t>
      </w:r>
      <w:r w:rsidRPr="00D7240E">
        <w:rPr>
          <w:rStyle w:val="Emphasis"/>
          <w:rFonts w:cstheme="minorHAnsi"/>
          <w:color w:val="333333"/>
          <w:spacing w:val="2"/>
        </w:rPr>
        <w:t>p</w:t>
      </w:r>
      <w:r w:rsidRPr="00D7240E">
        <w:rPr>
          <w:rFonts w:cstheme="minorHAnsi"/>
        </w:rPr>
        <w:t> = .14), was positively associated with their experiences with Complementary Gender Differentiation in the last year, </w:t>
      </w:r>
      <w:r w:rsidRPr="00D7240E">
        <w:rPr>
          <w:rStyle w:val="Emphasis"/>
          <w:rFonts w:cstheme="minorHAnsi"/>
          <w:color w:val="333333"/>
          <w:spacing w:val="2"/>
        </w:rPr>
        <w:t>F</w:t>
      </w:r>
      <w:r w:rsidRPr="00D7240E">
        <w:rPr>
          <w:rFonts w:cstheme="minorHAnsi"/>
        </w:rPr>
        <w:t>(2, 169) = 9.27, </w:t>
      </w:r>
      <w:r w:rsidRPr="00D7240E">
        <w:rPr>
          <w:rStyle w:val="Emphasis"/>
          <w:rFonts w:cstheme="minorHAnsi"/>
          <w:color w:val="333333"/>
          <w:spacing w:val="2"/>
        </w:rPr>
        <w:t>p</w:t>
      </w:r>
      <w:r w:rsidRPr="00D7240E">
        <w:rPr>
          <w:rFonts w:cstheme="minorHAnsi"/>
        </w:rPr>
        <w:t> &lt; .001, </w:t>
      </w:r>
      <w:r w:rsidRPr="00D7240E">
        <w:rPr>
          <w:rStyle w:val="Emphasis"/>
          <w:rFonts w:cstheme="minorHAnsi"/>
          <w:color w:val="333333"/>
          <w:spacing w:val="2"/>
        </w:rPr>
        <w:t>R</w:t>
      </w:r>
      <w:r w:rsidRPr="00D7240E">
        <w:rPr>
          <w:rFonts w:cstheme="minorHAnsi"/>
          <w:vertAlign w:val="superscript"/>
        </w:rPr>
        <w:t>2</w:t>
      </w:r>
      <w:r w:rsidRPr="00D7240E">
        <w:rPr>
          <w:rFonts w:cstheme="minorHAnsi"/>
        </w:rPr>
        <w:t> = .10. The same pattern of results was found for Heterosexual Intimacy, </w:t>
      </w:r>
      <w:r w:rsidRPr="00D7240E">
        <w:rPr>
          <w:rStyle w:val="Emphasis"/>
          <w:rFonts w:cstheme="minorHAnsi"/>
          <w:color w:val="333333"/>
          <w:spacing w:val="2"/>
        </w:rPr>
        <w:t>F</w:t>
      </w:r>
      <w:r w:rsidRPr="00D7240E">
        <w:rPr>
          <w:rFonts w:cstheme="minorHAnsi"/>
        </w:rPr>
        <w:t>(2, 169) = 4.77, </w:t>
      </w:r>
      <w:r w:rsidRPr="00D7240E">
        <w:rPr>
          <w:rStyle w:val="Emphasis"/>
          <w:rFonts w:cstheme="minorHAnsi"/>
          <w:color w:val="333333"/>
          <w:spacing w:val="2"/>
        </w:rPr>
        <w:t>p</w:t>
      </w:r>
      <w:r w:rsidRPr="00D7240E">
        <w:rPr>
          <w:rFonts w:cstheme="minorHAnsi"/>
        </w:rPr>
        <w:t> = .01, </w:t>
      </w:r>
      <w:r w:rsidRPr="00D7240E">
        <w:rPr>
          <w:rStyle w:val="Emphasis"/>
          <w:rFonts w:cstheme="minorHAnsi"/>
          <w:color w:val="333333"/>
          <w:spacing w:val="2"/>
        </w:rPr>
        <w:t>R</w:t>
      </w:r>
      <w:r w:rsidRPr="00D7240E">
        <w:rPr>
          <w:rFonts w:cstheme="minorHAnsi"/>
          <w:vertAlign w:val="superscript"/>
        </w:rPr>
        <w:t>2</w:t>
      </w:r>
      <w:r w:rsidRPr="00D7240E">
        <w:rPr>
          <w:rFonts w:cstheme="minorHAnsi"/>
        </w:rPr>
        <w:t> = .05, where benevolently sexist attitudes (β = .18, </w:t>
      </w:r>
      <w:r w:rsidRPr="00D7240E">
        <w:rPr>
          <w:rStyle w:val="Emphasis"/>
          <w:rFonts w:cstheme="minorHAnsi"/>
          <w:color w:val="333333"/>
          <w:spacing w:val="2"/>
        </w:rPr>
        <w:t>p</w:t>
      </w:r>
      <w:r w:rsidRPr="00D7240E">
        <w:rPr>
          <w:rFonts w:cstheme="minorHAnsi"/>
        </w:rPr>
        <w:t> = .02), but not hostile attitudes (β = .10, </w:t>
      </w:r>
      <w:r w:rsidRPr="00D7240E">
        <w:rPr>
          <w:rStyle w:val="Emphasis"/>
          <w:rFonts w:cstheme="minorHAnsi"/>
          <w:color w:val="333333"/>
          <w:spacing w:val="2"/>
        </w:rPr>
        <w:t>p</w:t>
      </w:r>
      <w:r w:rsidRPr="00D7240E">
        <w:rPr>
          <w:rFonts w:cstheme="minorHAnsi"/>
        </w:rPr>
        <w:t xml:space="preserve"> = .20), was significantly associated. The regression model was not significant for Protective </w:t>
      </w:r>
      <w:r w:rsidRPr="00D7240E">
        <w:rPr>
          <w:rFonts w:cstheme="minorHAnsi"/>
        </w:rPr>
        <w:lastRenderedPageBreak/>
        <w:t>Paternalism, </w:t>
      </w:r>
      <w:r w:rsidRPr="00D7240E">
        <w:rPr>
          <w:rStyle w:val="Emphasis"/>
          <w:rFonts w:cstheme="minorHAnsi"/>
          <w:color w:val="333333"/>
          <w:spacing w:val="2"/>
        </w:rPr>
        <w:t>F</w:t>
      </w:r>
      <w:r w:rsidRPr="00D7240E">
        <w:rPr>
          <w:rFonts w:cstheme="minorHAnsi"/>
        </w:rPr>
        <w:t>(2, 169) = 1.58, </w:t>
      </w:r>
      <w:r w:rsidRPr="00D7240E">
        <w:rPr>
          <w:rStyle w:val="Emphasis"/>
          <w:rFonts w:cstheme="minorHAnsi"/>
          <w:color w:val="333333"/>
          <w:spacing w:val="2"/>
        </w:rPr>
        <w:t>p</w:t>
      </w:r>
      <w:r w:rsidRPr="00D7240E">
        <w:rPr>
          <w:rFonts w:cstheme="minorHAnsi"/>
        </w:rPr>
        <w:t> = .21, </w:t>
      </w:r>
      <w:r w:rsidRPr="00D7240E">
        <w:rPr>
          <w:rStyle w:val="Emphasis"/>
          <w:rFonts w:cstheme="minorHAnsi"/>
          <w:color w:val="333333"/>
          <w:spacing w:val="2"/>
        </w:rPr>
        <w:t>R</w:t>
      </w:r>
      <w:r w:rsidRPr="00D7240E">
        <w:rPr>
          <w:rFonts w:cstheme="minorHAnsi"/>
          <w:vertAlign w:val="superscript"/>
        </w:rPr>
        <w:t>2</w:t>
      </w:r>
      <w:r w:rsidRPr="00D7240E">
        <w:rPr>
          <w:rFonts w:cstheme="minorHAnsi"/>
        </w:rPr>
        <w:t> = .02, and neither perceptions of the partner’s benevolently sexist attitudes (β = .11, </w:t>
      </w:r>
      <w:r w:rsidRPr="00D7240E">
        <w:rPr>
          <w:rStyle w:val="Emphasis"/>
          <w:rFonts w:cstheme="minorHAnsi"/>
          <w:color w:val="333333"/>
          <w:spacing w:val="2"/>
        </w:rPr>
        <w:t>p</w:t>
      </w:r>
      <w:r w:rsidRPr="00D7240E">
        <w:rPr>
          <w:rFonts w:cstheme="minorHAnsi"/>
        </w:rPr>
        <w:t> = .17) or hostile sexist attitudes (β = .06, </w:t>
      </w:r>
      <w:r w:rsidRPr="00D7240E">
        <w:rPr>
          <w:rStyle w:val="Emphasis"/>
          <w:rFonts w:cstheme="minorHAnsi"/>
          <w:color w:val="333333"/>
          <w:spacing w:val="2"/>
        </w:rPr>
        <w:t>p</w:t>
      </w:r>
      <w:r w:rsidRPr="00D7240E">
        <w:rPr>
          <w:rFonts w:cstheme="minorHAnsi"/>
        </w:rPr>
        <w:t> = .49) were significant predictors.</w:t>
      </w:r>
    </w:p>
    <w:p w14:paraId="3B1CDEC3" w14:textId="77777777" w:rsidR="00FA36F7" w:rsidRPr="00D7240E" w:rsidRDefault="00FA36F7" w:rsidP="00546440">
      <w:pPr>
        <w:pStyle w:val="Heading2"/>
        <w:rPr>
          <w:rFonts w:asciiTheme="minorHAnsi" w:hAnsiTheme="minorHAnsi" w:cstheme="minorHAnsi"/>
          <w:sz w:val="27"/>
          <w:szCs w:val="27"/>
        </w:rPr>
      </w:pPr>
      <w:r w:rsidRPr="00D7240E">
        <w:rPr>
          <w:rFonts w:asciiTheme="minorHAnsi" w:hAnsiTheme="minorHAnsi" w:cstheme="minorHAnsi"/>
        </w:rPr>
        <w:t>Discussion</w:t>
      </w:r>
    </w:p>
    <w:p w14:paraId="5D9A9F80" w14:textId="77777777" w:rsidR="00FA36F7" w:rsidRPr="00D7240E" w:rsidRDefault="00FA36F7" w:rsidP="00546440">
      <w:pPr>
        <w:rPr>
          <w:rFonts w:cstheme="minorHAnsi"/>
        </w:rPr>
      </w:pPr>
      <w:r w:rsidRPr="00D7240E">
        <w:rPr>
          <w:rFonts w:cstheme="minorHAnsi"/>
        </w:rPr>
        <w:t>In this second study, the scale structure is supported with the online sample and the subscales demonstrated acceptable reliability. Importantly, many of the findings are consistent with the first study. Women report experiencing benevolently sexist events more often than hostile events; however, they report these events as less sexist and distressing than the hostile events. This sample also rated Protective Paternalism experiences as the most sexist and distressing subtype of benevolent sexism. The patterns of associations with our measures of self-concept are also similar to the findings in Study 1. In the regressions, the Schedule of Sexist Events and Protective Paternalism are both positively associated with self-doubt and negatively associated with self-esteem and psychological well-being. However, experiences with Complementary Gender Differentiation is positively associated with self-esteem, psychological well-being and flourishing, increased deference to authority, and negatively associated with self-doubt. Furthermore, women who are in romantic relationships report experiencing more benevolently sexist events, and the frequency of these experiences is positively correlated with perceptions of the romantic partner’s benevolently sexist attitudes.</w:t>
      </w:r>
    </w:p>
    <w:p w14:paraId="0FE5E857" w14:textId="77777777" w:rsidR="00FA36F7" w:rsidRPr="00D7240E" w:rsidRDefault="00FA36F7" w:rsidP="00546440">
      <w:pPr>
        <w:pStyle w:val="Heading1"/>
        <w:rPr>
          <w:rFonts w:asciiTheme="minorHAnsi" w:hAnsiTheme="minorHAnsi" w:cstheme="minorHAnsi"/>
          <w:sz w:val="36"/>
          <w:szCs w:val="36"/>
        </w:rPr>
      </w:pPr>
      <w:r w:rsidRPr="00D7240E">
        <w:rPr>
          <w:rFonts w:asciiTheme="minorHAnsi" w:hAnsiTheme="minorHAnsi" w:cstheme="minorHAnsi"/>
        </w:rPr>
        <w:t>General Discussion</w:t>
      </w:r>
    </w:p>
    <w:p w14:paraId="020F083B" w14:textId="77777777" w:rsidR="00FA36F7" w:rsidRPr="00D7240E" w:rsidRDefault="00FA36F7" w:rsidP="00546440">
      <w:pPr>
        <w:rPr>
          <w:rFonts w:cstheme="minorHAnsi"/>
        </w:rPr>
      </w:pPr>
      <w:r w:rsidRPr="00D7240E">
        <w:rPr>
          <w:rFonts w:cstheme="minorHAnsi"/>
        </w:rPr>
        <w:t>The present two studies provide support for the scale structure and validity of the new Experiences with Benevolent Sexism Scale. (The full scale, along with its instructions and scoring information, can be found and downloaded from the </w:t>
      </w:r>
      <w:hyperlink r:id="rId144" w:anchor="Sec37" w:history="1">
        <w:r w:rsidRPr="00D7240E">
          <w:rPr>
            <w:rStyle w:val="Hyperlink"/>
            <w:rFonts w:eastAsiaTheme="majorEastAsia" w:cstheme="minorHAnsi"/>
            <w:color w:val="4500A7"/>
            <w:spacing w:val="2"/>
          </w:rPr>
          <w:t>online supplement</w:t>
        </w:r>
      </w:hyperlink>
      <w:r w:rsidRPr="00D7240E">
        <w:rPr>
          <w:rFonts w:cstheme="minorHAnsi"/>
        </w:rPr>
        <w:t>.) The scale is theoretically consistent with ambivalent sexism theory (Glick and Fiske </w:t>
      </w:r>
      <w:hyperlink r:id="rId145" w:anchor="CR23" w:tooltip="View reference" w:history="1">
        <w:r w:rsidRPr="00D7240E">
          <w:rPr>
            <w:rStyle w:val="Hyperlink"/>
            <w:rFonts w:eastAsiaTheme="majorEastAsia" w:cstheme="minorHAnsi"/>
            <w:color w:val="4500A7"/>
            <w:spacing w:val="2"/>
          </w:rPr>
          <w:t>1996</w:t>
        </w:r>
      </w:hyperlink>
      <w:r w:rsidRPr="00D7240E">
        <w:rPr>
          <w:rFonts w:cstheme="minorHAnsi"/>
        </w:rPr>
        <w:t>) and provides a novel way for understanding how everyday benevolent sexism is associated with women’s self-concept and well-being. Across both studies, the Schedule of Sexist Events was positive associated with increased self-doubt, decreased self-esteem, and poorer psychological well-being and flourishing. This pattern is consistent with a body of research on the negative effects of experiencing sexist events. Importantly, the benevolent sexism subscales predicted the outcomes of interest even after controlling for the more overtly sexist experiences. Across both studies, Protective Paternalism was rated as the most distressing and sexist component of benevolent sexism and stands out as most problematic for women’s well-being. Protective Paternalism was negatively associated with our measures of self-concept and well-being. However, Complementary Gender Differentiation was positively associated with self-concept, well-being, and increased deference to authority. Heterosexual Intimacy experiences did not correlate with the self-concept or well-being measures; however, women in romantic relationships experienced this type of benevolent sexism more than women not currently in a relationship did, and the frequency of experience was positively correlated with perceptions of the partner’s benevolently sexist attitudes.</w:t>
      </w:r>
    </w:p>
    <w:p w14:paraId="15BB82DF" w14:textId="77777777" w:rsidR="00FA36F7" w:rsidRPr="00D7240E" w:rsidRDefault="00FA36F7" w:rsidP="004F3351">
      <w:pPr>
        <w:pStyle w:val="Heading2"/>
        <w:rPr>
          <w:rFonts w:asciiTheme="minorHAnsi" w:hAnsiTheme="minorHAnsi" w:cstheme="minorHAnsi"/>
          <w:sz w:val="27"/>
          <w:szCs w:val="27"/>
        </w:rPr>
      </w:pPr>
      <w:r w:rsidRPr="00D7240E">
        <w:rPr>
          <w:rFonts w:asciiTheme="minorHAnsi" w:hAnsiTheme="minorHAnsi" w:cstheme="minorHAnsi"/>
        </w:rPr>
        <w:t>Comparison of the College and Online Samples</w:t>
      </w:r>
    </w:p>
    <w:p w14:paraId="55986AC5" w14:textId="77777777" w:rsidR="00FA36F7" w:rsidRPr="00D7240E" w:rsidRDefault="00FA36F7" w:rsidP="004F3351">
      <w:pPr>
        <w:rPr>
          <w:rFonts w:cstheme="minorHAnsi"/>
        </w:rPr>
      </w:pPr>
      <w:r w:rsidRPr="00D7240E">
        <w:rPr>
          <w:rFonts w:cstheme="minorHAnsi"/>
        </w:rPr>
        <w:t>For the college-age sample, Complementary Gender Differentiation experiences were reported as occurring the most frequently across the three types of benevolently sexist events. This is similar to Swim et al. (</w:t>
      </w:r>
      <w:hyperlink r:id="rId146" w:anchor="CR62" w:tooltip="View reference" w:history="1">
        <w:r w:rsidRPr="00D7240E">
          <w:rPr>
            <w:rStyle w:val="Hyperlink"/>
            <w:rFonts w:eastAsiaTheme="majorEastAsia" w:cstheme="minorHAnsi"/>
            <w:color w:val="4500A7"/>
            <w:spacing w:val="2"/>
          </w:rPr>
          <w:t>2001</w:t>
        </w:r>
      </w:hyperlink>
      <w:r w:rsidRPr="00D7240E">
        <w:rPr>
          <w:rFonts w:cstheme="minorHAnsi"/>
        </w:rPr>
        <w:t>) finding that women frequently experience gender role stereotyping. However, the online sample did not differ for their frequency of experiences across the three benevolent sexism subscales. Interestingly, comparisons of the MTurk sample to the college sample suggest that college-aged women experience more Complementary Gender Differentiation and Protective Paternalism than the online sample; however, the two groups did not differ in their reports of frequency for Heterosexual Intimacy and the Schedule of Sexist Events. This may suggest that specific types of benevolent sexism may be more common among certain age groups or within certain environments.</w:t>
      </w:r>
    </w:p>
    <w:p w14:paraId="5344FC87" w14:textId="77777777" w:rsidR="00FA36F7" w:rsidRPr="00D7240E" w:rsidRDefault="00FA36F7" w:rsidP="004F3351">
      <w:pPr>
        <w:rPr>
          <w:rFonts w:cstheme="minorHAnsi"/>
        </w:rPr>
      </w:pPr>
      <w:r w:rsidRPr="00D7240E">
        <w:rPr>
          <w:rFonts w:cstheme="minorHAnsi"/>
        </w:rPr>
        <w:lastRenderedPageBreak/>
        <w:t>Furthermore, the college sample reported the events as more distressing and sexist than the MTurk sample did. It is likely that college students are more aware of these types of behaviors as sexism because of campus discussions and coursework regarding issues of sexism (Bryant </w:t>
      </w:r>
      <w:hyperlink r:id="rId147" w:anchor="CR11" w:tooltip="View reference" w:history="1">
        <w:r w:rsidRPr="00D7240E">
          <w:rPr>
            <w:rStyle w:val="Hyperlink"/>
            <w:rFonts w:eastAsiaTheme="majorEastAsia" w:cstheme="minorHAnsi"/>
            <w:color w:val="4500A7"/>
            <w:spacing w:val="2"/>
          </w:rPr>
          <w:t>2003</w:t>
        </w:r>
      </w:hyperlink>
      <w:r w:rsidRPr="00D7240E">
        <w:rPr>
          <w:rFonts w:cstheme="minorHAnsi"/>
        </w:rPr>
        <w:t>; Pettijohn and Walzer </w:t>
      </w:r>
      <w:hyperlink r:id="rId148" w:anchor="CR53" w:tooltip="View reference" w:history="1">
        <w:r w:rsidRPr="00D7240E">
          <w:rPr>
            <w:rStyle w:val="Hyperlink"/>
            <w:rFonts w:eastAsiaTheme="majorEastAsia" w:cstheme="minorHAnsi"/>
            <w:color w:val="4500A7"/>
            <w:spacing w:val="2"/>
          </w:rPr>
          <w:t>2008</w:t>
        </w:r>
      </w:hyperlink>
      <w:r w:rsidRPr="00D7240E">
        <w:rPr>
          <w:rFonts w:cstheme="minorHAnsi"/>
        </w:rPr>
        <w:t>). Examination of the MTurk sample’s means highlight that this online, older sample of women does not report these experiences to be highly sexist or distressing. This is not overly surprising because previous research has found that benevolently sexist behaviors are often rated as less sexist than hostile behaviors (Chisango and Javangwe </w:t>
      </w:r>
      <w:hyperlink r:id="rId149" w:anchor="CR14" w:tooltip="View reference" w:history="1">
        <w:r w:rsidRPr="00D7240E">
          <w:rPr>
            <w:rStyle w:val="Hyperlink"/>
            <w:rFonts w:eastAsiaTheme="majorEastAsia" w:cstheme="minorHAnsi"/>
            <w:color w:val="4500A7"/>
            <w:spacing w:val="2"/>
          </w:rPr>
          <w:t>2012</w:t>
        </w:r>
      </w:hyperlink>
      <w:r w:rsidRPr="00D7240E">
        <w:rPr>
          <w:rFonts w:cstheme="minorHAnsi"/>
        </w:rPr>
        <w:t>; Killianski and Rudman </w:t>
      </w:r>
      <w:hyperlink r:id="rId150" w:anchor="CR35" w:tooltip="View reference" w:history="1">
        <w:r w:rsidRPr="00D7240E">
          <w:rPr>
            <w:rStyle w:val="Hyperlink"/>
            <w:rFonts w:eastAsiaTheme="majorEastAsia" w:cstheme="minorHAnsi"/>
            <w:color w:val="4500A7"/>
            <w:spacing w:val="2"/>
          </w:rPr>
          <w:t>1998</w:t>
        </w:r>
      </w:hyperlink>
      <w:r w:rsidRPr="00D7240E">
        <w:rPr>
          <w:rFonts w:cstheme="minorHAnsi"/>
        </w:rPr>
        <w:t>) and the perpetrators are often viewed favorably (Chisango and Javangwe </w:t>
      </w:r>
      <w:hyperlink r:id="rId151" w:anchor="CR14" w:tooltip="View reference" w:history="1">
        <w:r w:rsidRPr="00D7240E">
          <w:rPr>
            <w:rStyle w:val="Hyperlink"/>
            <w:rFonts w:eastAsiaTheme="majorEastAsia" w:cstheme="minorHAnsi"/>
            <w:color w:val="4500A7"/>
            <w:spacing w:val="2"/>
          </w:rPr>
          <w:t>2012</w:t>
        </w:r>
      </w:hyperlink>
      <w:r w:rsidRPr="00D7240E">
        <w:rPr>
          <w:rFonts w:cstheme="minorHAnsi"/>
        </w:rPr>
        <w:t>), making these behaviors difficult to identify as sexist. Furthermore, even for the more overtly hostile sexist experiences from the Schedule of Sexist events (such as being called derogatory names, being threatened with harm, denied promotions at work), the means for this group of women did not move past the midpoint for the distress and perceived sexism scales. Overall, women do not rate </w:t>
      </w:r>
      <w:r w:rsidRPr="00D7240E">
        <w:rPr>
          <w:rStyle w:val="Emphasis"/>
          <w:rFonts w:cstheme="minorHAnsi"/>
          <w:color w:val="333333"/>
          <w:spacing w:val="2"/>
        </w:rPr>
        <w:t>any</w:t>
      </w:r>
      <w:r w:rsidRPr="00D7240E">
        <w:rPr>
          <w:rFonts w:cstheme="minorHAnsi"/>
        </w:rPr>
        <w:t> of their experiences as highly sexist or distressing.</w:t>
      </w:r>
    </w:p>
    <w:p w14:paraId="1898B5A4" w14:textId="77777777" w:rsidR="00FA36F7" w:rsidRPr="00D7240E" w:rsidRDefault="00FA36F7" w:rsidP="004F3351">
      <w:pPr>
        <w:pStyle w:val="Heading2"/>
        <w:rPr>
          <w:rFonts w:asciiTheme="minorHAnsi" w:hAnsiTheme="minorHAnsi" w:cstheme="minorHAnsi"/>
          <w:sz w:val="27"/>
          <w:szCs w:val="27"/>
        </w:rPr>
      </w:pPr>
      <w:r w:rsidRPr="00D7240E">
        <w:rPr>
          <w:rFonts w:asciiTheme="minorHAnsi" w:hAnsiTheme="minorHAnsi" w:cstheme="minorHAnsi"/>
        </w:rPr>
        <w:t>Associations with Self-Concept and Well-Being</w:t>
      </w:r>
    </w:p>
    <w:p w14:paraId="357D0BF3" w14:textId="77777777" w:rsidR="00FA36F7" w:rsidRPr="00D7240E" w:rsidRDefault="00FA36F7" w:rsidP="004F3351">
      <w:pPr>
        <w:rPr>
          <w:rFonts w:cstheme="minorHAnsi"/>
        </w:rPr>
      </w:pPr>
      <w:r w:rsidRPr="00D7240E">
        <w:rPr>
          <w:rFonts w:cstheme="minorHAnsi"/>
        </w:rPr>
        <w:t>Given that women do not appraise these benevolently sexist experiences as highly distressing or sexist, one might argue that they are not problematic. The correlations suggest otherwise. Experiencing Protective Paternalism was associated with lower self-esteem and psychological well-being as well as positively associated with increased self-doubt. Although many of these behaviors, on the surface, seem innocuous and even friendly (e.g., helping and providing women with financial support), they also convey a message that women are unable to do these things for themselves. This is consistent with other research that has found dependency-oriented helping serves to undercut the recipient’s self-regard and feelings of competence (Hammond and Overall </w:t>
      </w:r>
      <w:hyperlink r:id="rId152" w:anchor="CR27" w:tooltip="View reference" w:history="1">
        <w:r w:rsidRPr="00D7240E">
          <w:rPr>
            <w:rStyle w:val="Hyperlink"/>
            <w:rFonts w:eastAsiaTheme="majorEastAsia" w:cstheme="minorHAnsi"/>
            <w:color w:val="4500A7"/>
            <w:spacing w:val="2"/>
          </w:rPr>
          <w:t>2015</w:t>
        </w:r>
      </w:hyperlink>
      <w:r w:rsidRPr="00D7240E">
        <w:rPr>
          <w:rFonts w:cstheme="minorHAnsi"/>
        </w:rPr>
        <w:t>; Shnabel et al. </w:t>
      </w:r>
      <w:hyperlink r:id="rId153" w:anchor="CR60" w:tooltip="View reference" w:history="1">
        <w:r w:rsidRPr="00D7240E">
          <w:rPr>
            <w:rStyle w:val="Hyperlink"/>
            <w:rFonts w:eastAsiaTheme="majorEastAsia" w:cstheme="minorHAnsi"/>
            <w:color w:val="4500A7"/>
            <w:spacing w:val="2"/>
          </w:rPr>
          <w:t>2016</w:t>
        </w:r>
      </w:hyperlink>
      <w:r w:rsidRPr="00D7240E">
        <w:rPr>
          <w:rFonts w:cstheme="minorHAnsi"/>
        </w:rPr>
        <w:t>). The current study provides correlational evidence based on women’s self-reported experiences, which makes determining causality difficult. However, the findings for Protective Paternalism are consistent with experimental research that has found that experiencing benevolent sexism is associated with several negative consequences for young adult women, including doubting one’s skills and feelings of incompetence (e.g., Dumont et al. </w:t>
      </w:r>
      <w:hyperlink r:id="rId154" w:anchor="CR19" w:tooltip="View reference" w:history="1">
        <w:r w:rsidRPr="00D7240E">
          <w:rPr>
            <w:rStyle w:val="Hyperlink"/>
            <w:rFonts w:eastAsiaTheme="majorEastAsia" w:cstheme="minorHAnsi"/>
            <w:color w:val="4500A7"/>
            <w:spacing w:val="2"/>
          </w:rPr>
          <w:t>2010</w:t>
        </w:r>
      </w:hyperlink>
      <w:r w:rsidRPr="00D7240E">
        <w:rPr>
          <w:rFonts w:cstheme="minorHAnsi"/>
        </w:rPr>
        <w:t>; Gervais and Vescio </w:t>
      </w:r>
      <w:hyperlink r:id="rId155" w:anchor="CR22" w:tooltip="View reference" w:history="1">
        <w:r w:rsidRPr="00D7240E">
          <w:rPr>
            <w:rStyle w:val="Hyperlink"/>
            <w:rFonts w:eastAsiaTheme="majorEastAsia" w:cstheme="minorHAnsi"/>
            <w:color w:val="4500A7"/>
            <w:spacing w:val="2"/>
          </w:rPr>
          <w:t>2012</w:t>
        </w:r>
      </w:hyperlink>
      <w:r w:rsidRPr="00D7240E">
        <w:rPr>
          <w:rFonts w:cstheme="minorHAnsi"/>
        </w:rPr>
        <w:t>; Shepherd et al. </w:t>
      </w:r>
      <w:hyperlink r:id="rId156" w:anchor="CR59" w:tooltip="View reference" w:history="1">
        <w:r w:rsidRPr="00D7240E">
          <w:rPr>
            <w:rStyle w:val="Hyperlink"/>
            <w:rFonts w:eastAsiaTheme="majorEastAsia" w:cstheme="minorHAnsi"/>
            <w:color w:val="4500A7"/>
            <w:spacing w:val="2"/>
          </w:rPr>
          <w:t>2011</w:t>
        </w:r>
      </w:hyperlink>
      <w:r w:rsidRPr="00D7240E">
        <w:rPr>
          <w:rFonts w:cstheme="minorHAnsi"/>
        </w:rPr>
        <w:t>). This is also consistent with research that has found that women who receive dependency-oriented support from a male partner report lower goal-related competence (Hammond and Overall </w:t>
      </w:r>
      <w:hyperlink r:id="rId157" w:anchor="CR27" w:tooltip="View reference" w:history="1">
        <w:r w:rsidRPr="00D7240E">
          <w:rPr>
            <w:rStyle w:val="Hyperlink"/>
            <w:rFonts w:eastAsiaTheme="majorEastAsia" w:cstheme="minorHAnsi"/>
            <w:color w:val="4500A7"/>
            <w:spacing w:val="2"/>
          </w:rPr>
          <w:t>2015</w:t>
        </w:r>
      </w:hyperlink>
      <w:r w:rsidRPr="00D7240E">
        <w:rPr>
          <w:rFonts w:cstheme="minorHAnsi"/>
        </w:rPr>
        <w:t>). Thus, there is good reason to suspect that experiencing protective paternalism has a negative impact on women’s lives and sense of self.</w:t>
      </w:r>
    </w:p>
    <w:p w14:paraId="19404C09" w14:textId="77777777" w:rsidR="00FA36F7" w:rsidRPr="00D7240E" w:rsidRDefault="00FA36F7" w:rsidP="004F3351">
      <w:pPr>
        <w:rPr>
          <w:rFonts w:cstheme="minorHAnsi"/>
        </w:rPr>
      </w:pPr>
      <w:r w:rsidRPr="00D7240E">
        <w:rPr>
          <w:rFonts w:cstheme="minorHAnsi"/>
        </w:rPr>
        <w:t>The findings for Complementary Gender Differentiation are interesting in that they consistently showed a pattern opposite of Protective Paternalism. Although the zero-order correlations between Complementary Gender Differentiation and the various measures were not significant, when in the regression with the other forms of benevolent sexism and the Schedule of Sexist Events, these experiences became positively associated with self-esteem and well-being, as well as negatively associated with self-doubt. These findings are consistent with Oswald et al.’ (</w:t>
      </w:r>
      <w:hyperlink r:id="rId158" w:anchor="CR52" w:tooltip="View reference" w:history="1">
        <w:r w:rsidRPr="00D7240E">
          <w:rPr>
            <w:rStyle w:val="Hyperlink"/>
            <w:rFonts w:eastAsiaTheme="majorEastAsia" w:cstheme="minorHAnsi"/>
            <w:color w:val="4500A7"/>
            <w:spacing w:val="2"/>
          </w:rPr>
          <w:t>2012</w:t>
        </w:r>
      </w:hyperlink>
      <w:r w:rsidRPr="00D7240E">
        <w:rPr>
          <w:rFonts w:cstheme="minorHAnsi"/>
        </w:rPr>
        <w:t>) study where they found that experiencing benevolent sexism (measured with a revised Chivalry Scale) was positively associated with young adult women’s body-esteem. Oswald and colleagues suggested that the seemingly complementary nature of benevolent sexism can serve to, at least temporarily, boost a young women’s body-esteem. Recall, benevolent sexism is the “reward” given to women who meet gender traditional expectations. Thus, women who experience Complementary Gender Differentiation, along with the praise that comes with meeting gender traditional expectations, may have an increase in self-esteem and well-being.</w:t>
      </w:r>
    </w:p>
    <w:p w14:paraId="52B1B82E" w14:textId="77777777" w:rsidR="00FA36F7" w:rsidRPr="00D7240E" w:rsidRDefault="00FA36F7" w:rsidP="004F3351">
      <w:pPr>
        <w:rPr>
          <w:rFonts w:cstheme="minorHAnsi"/>
        </w:rPr>
      </w:pPr>
      <w:r w:rsidRPr="00D7240E">
        <w:rPr>
          <w:rFonts w:cstheme="minorHAnsi"/>
        </w:rPr>
        <w:t>The findings for Complementary Gender Differentiation should further be considered given that a line of research that has found a positive association between benevolently sexist attitudes and life satisfaction (Connelly and Heesacker </w:t>
      </w:r>
      <w:hyperlink r:id="rId159" w:anchor="CR15" w:tooltip="View reference" w:history="1">
        <w:r w:rsidRPr="00D7240E">
          <w:rPr>
            <w:rStyle w:val="Hyperlink"/>
            <w:rFonts w:eastAsiaTheme="majorEastAsia" w:cstheme="minorHAnsi"/>
            <w:color w:val="4500A7"/>
            <w:spacing w:val="2"/>
          </w:rPr>
          <w:t>2012</w:t>
        </w:r>
      </w:hyperlink>
      <w:r w:rsidRPr="00D7240E">
        <w:rPr>
          <w:rFonts w:cstheme="minorHAnsi"/>
        </w:rPr>
        <w:t>; Hammond and Sibley </w:t>
      </w:r>
      <w:hyperlink r:id="rId160" w:anchor="CR28" w:tooltip="View reference" w:history="1">
        <w:r w:rsidRPr="00D7240E">
          <w:rPr>
            <w:rStyle w:val="Hyperlink"/>
            <w:rFonts w:eastAsiaTheme="majorEastAsia" w:cstheme="minorHAnsi"/>
            <w:color w:val="4500A7"/>
            <w:spacing w:val="2"/>
          </w:rPr>
          <w:t>2011</w:t>
        </w:r>
      </w:hyperlink>
      <w:r w:rsidRPr="00D7240E">
        <w:rPr>
          <w:rFonts w:cstheme="minorHAnsi"/>
        </w:rPr>
        <w:t>; Napier et al. </w:t>
      </w:r>
      <w:hyperlink r:id="rId161" w:anchor="CR50" w:tooltip="View reference" w:history="1">
        <w:r w:rsidRPr="00D7240E">
          <w:rPr>
            <w:rStyle w:val="Hyperlink"/>
            <w:rFonts w:eastAsiaTheme="majorEastAsia" w:cstheme="minorHAnsi"/>
            <w:color w:val="4500A7"/>
            <w:spacing w:val="2"/>
          </w:rPr>
          <w:t>2010</w:t>
        </w:r>
      </w:hyperlink>
      <w:r w:rsidRPr="00D7240E">
        <w:rPr>
          <w:rFonts w:cstheme="minorHAnsi"/>
        </w:rPr>
        <w:t>). For women, this association was mediated by an increase in system justification (Connelly and Heesacker </w:t>
      </w:r>
      <w:hyperlink r:id="rId162" w:anchor="CR15" w:tooltip="View reference" w:history="1">
        <w:r w:rsidRPr="00D7240E">
          <w:rPr>
            <w:rStyle w:val="Hyperlink"/>
            <w:rFonts w:eastAsiaTheme="majorEastAsia" w:cstheme="minorHAnsi"/>
            <w:color w:val="4500A7"/>
            <w:spacing w:val="2"/>
          </w:rPr>
          <w:t>2012</w:t>
        </w:r>
      </w:hyperlink>
      <w:r w:rsidRPr="00D7240E">
        <w:rPr>
          <w:rFonts w:cstheme="minorHAnsi"/>
        </w:rPr>
        <w:t>; Hammond and Sibley </w:t>
      </w:r>
      <w:hyperlink r:id="rId163" w:anchor="CR28" w:tooltip="View reference" w:history="1">
        <w:r w:rsidRPr="00D7240E">
          <w:rPr>
            <w:rStyle w:val="Hyperlink"/>
            <w:rFonts w:eastAsiaTheme="majorEastAsia" w:cstheme="minorHAnsi"/>
            <w:color w:val="4500A7"/>
            <w:spacing w:val="2"/>
          </w:rPr>
          <w:t>2011</w:t>
        </w:r>
      </w:hyperlink>
      <w:r w:rsidRPr="00D7240E">
        <w:rPr>
          <w:rFonts w:cstheme="minorHAnsi"/>
        </w:rPr>
        <w:t xml:space="preserve">). </w:t>
      </w:r>
      <w:r w:rsidRPr="00D7240E">
        <w:rPr>
          <w:rFonts w:cstheme="minorHAnsi"/>
        </w:rPr>
        <w:lastRenderedPageBreak/>
        <w:t>Hammond and Sibley (</w:t>
      </w:r>
      <w:hyperlink r:id="rId164" w:anchor="CR28" w:tooltip="View reference" w:history="1">
        <w:r w:rsidRPr="00D7240E">
          <w:rPr>
            <w:rStyle w:val="Hyperlink"/>
            <w:rFonts w:eastAsiaTheme="majorEastAsia" w:cstheme="minorHAnsi"/>
            <w:color w:val="4500A7"/>
            <w:spacing w:val="2"/>
          </w:rPr>
          <w:t>2011</w:t>
        </w:r>
      </w:hyperlink>
      <w:r w:rsidRPr="00D7240E">
        <w:rPr>
          <w:rFonts w:cstheme="minorHAnsi"/>
        </w:rPr>
        <w:t>, p. 339) noted that “…endorsing BS led women to be more satisfied with life </w:t>
      </w:r>
      <w:r w:rsidRPr="00D7240E">
        <w:rPr>
          <w:rStyle w:val="Emphasis"/>
          <w:rFonts w:cstheme="minorHAnsi"/>
          <w:color w:val="333333"/>
          <w:spacing w:val="2"/>
        </w:rPr>
        <w:t>because benevolently sexist attitudes rationalise existing gender inequality</w:t>
      </w:r>
      <w:r w:rsidRPr="00D7240E">
        <w:rPr>
          <w:rFonts w:cstheme="minorHAnsi"/>
        </w:rPr>
        <w:t>” (italics in the original).</w:t>
      </w:r>
    </w:p>
    <w:p w14:paraId="06F39E6C" w14:textId="77777777" w:rsidR="00FA36F7" w:rsidRPr="00D7240E" w:rsidRDefault="00FA36F7" w:rsidP="004F3351">
      <w:pPr>
        <w:rPr>
          <w:rFonts w:cstheme="minorHAnsi"/>
        </w:rPr>
      </w:pPr>
      <w:r w:rsidRPr="00D7240E">
        <w:rPr>
          <w:rFonts w:cstheme="minorHAnsi"/>
        </w:rPr>
        <w:t>In our second study, women’s experiences with Complementary Gender Differentiation was positively associated with their deference to authority. That is, women who receive praise for their gender traditional traits were also more likely to be deferential to authority. In contrast, experiencing the more overtly sexist events was associated with decreased deference to authority. This is consistent with research that has found that exposing women to complementary stereotypes, like those on the scale, result in women justifying the status quo of gender-based inequality (Jost and Kay </w:t>
      </w:r>
      <w:hyperlink r:id="rId165" w:anchor="CR34" w:tooltip="View reference" w:history="1">
        <w:r w:rsidRPr="00D7240E">
          <w:rPr>
            <w:rStyle w:val="Hyperlink"/>
            <w:rFonts w:eastAsiaTheme="majorEastAsia" w:cstheme="minorHAnsi"/>
            <w:color w:val="4500A7"/>
            <w:spacing w:val="2"/>
          </w:rPr>
          <w:t>2005</w:t>
        </w:r>
      </w:hyperlink>
      <w:r w:rsidRPr="00D7240E">
        <w:rPr>
          <w:rFonts w:cstheme="minorHAnsi"/>
        </w:rPr>
        <w:t>) whereas experiencing more hostile events is associated with challenging the status quo (Becker and Wright </w:t>
      </w:r>
      <w:hyperlink r:id="rId166" w:anchor="CR7" w:tooltip="View reference" w:history="1">
        <w:r w:rsidRPr="00D7240E">
          <w:rPr>
            <w:rStyle w:val="Hyperlink"/>
            <w:rFonts w:eastAsiaTheme="majorEastAsia" w:cstheme="minorHAnsi"/>
            <w:color w:val="4500A7"/>
            <w:spacing w:val="2"/>
          </w:rPr>
          <w:t>2011</w:t>
        </w:r>
      </w:hyperlink>
      <w:r w:rsidRPr="00D7240E">
        <w:rPr>
          <w:rFonts w:cstheme="minorHAnsi"/>
        </w:rPr>
        <w:t>). We speculate that the Complementary Gender Differentiation component of benevolent sexism functions to placate women, reinforce deference to traditional authority figures, and justify the current gender status quo.</w:t>
      </w:r>
    </w:p>
    <w:p w14:paraId="4B114351" w14:textId="77777777" w:rsidR="00FA36F7" w:rsidRPr="00D7240E" w:rsidRDefault="00FA36F7" w:rsidP="004F3351">
      <w:pPr>
        <w:rPr>
          <w:rFonts w:cstheme="minorHAnsi"/>
        </w:rPr>
      </w:pPr>
      <w:r w:rsidRPr="00D7240E">
        <w:rPr>
          <w:rFonts w:cstheme="minorHAnsi"/>
        </w:rPr>
        <w:t>The third component of benevolent sexism is Heterosexual Intimacy. Heterosexual intimacy reflects the cultural expectation that although the woman is adored by her partner, she is simultaneously expected to place primary emphasis on fulfilling the partner’s needs and play a gender traditional, submissive role in the relationship. The experiences on this subscale were perceived as least sexist and showed little association with self-doubt, psychological well-being, or deference to authority. It is possible that this component of sexism is most directly related to relationship-oriented attitudes and behaviors. Women who are in a romantic relationship report more experiences with Heterosexual Intimacy than did women who are not in a relationship. Furthermore, perception of the partner’s benevolently sexist attitudes, but not hostile attitudes, was positively associated with Heterosexual Intimacy experiences. According to ambivalent sexism theory (Glick and Fiske </w:t>
      </w:r>
      <w:hyperlink r:id="rId167" w:anchor="CR23" w:tooltip="View reference" w:history="1">
        <w:r w:rsidRPr="00D7240E">
          <w:rPr>
            <w:rStyle w:val="Hyperlink"/>
            <w:rFonts w:eastAsiaTheme="majorEastAsia" w:cstheme="minorHAnsi"/>
            <w:color w:val="4500A7"/>
            <w:spacing w:val="2"/>
          </w:rPr>
          <w:t>1996</w:t>
        </w:r>
      </w:hyperlink>
      <w:r w:rsidRPr="00D7240E">
        <w:rPr>
          <w:rFonts w:cstheme="minorHAnsi"/>
        </w:rPr>
        <w:t>), men are driven to form close relationships with women who will fill their intimacy and reproductive needs. Glick and Fiske (</w:t>
      </w:r>
      <w:hyperlink r:id="rId168" w:anchor="CR23" w:tooltip="View reference" w:history="1">
        <w:r w:rsidRPr="00D7240E">
          <w:rPr>
            <w:rStyle w:val="Hyperlink"/>
            <w:rFonts w:eastAsiaTheme="majorEastAsia" w:cstheme="minorHAnsi"/>
            <w:color w:val="4500A7"/>
            <w:spacing w:val="2"/>
          </w:rPr>
          <w:t>1996</w:t>
        </w:r>
      </w:hyperlink>
      <w:r w:rsidRPr="00D7240E">
        <w:rPr>
          <w:rFonts w:cstheme="minorHAnsi"/>
        </w:rPr>
        <w:t>, p. 492) note that “…benevolent sexism may be used to compensate for, or legitimate, hostile sexism (‘I am not exploiting women, I love, protect and provide for them’).” Women who perceive their partner to endorse benevolent sexism beliefs report feeling more positive regard from their male partner and feel more security in their relationship, presumably because these men will provide them with the love and adoration associated with benevolent sexist beliefs (Hammond et al. </w:t>
      </w:r>
      <w:hyperlink r:id="rId169" w:anchor="CR30" w:tooltip="View reference" w:history="1">
        <w:r w:rsidRPr="00D7240E">
          <w:rPr>
            <w:rStyle w:val="Hyperlink"/>
            <w:rFonts w:eastAsiaTheme="majorEastAsia" w:cstheme="minorHAnsi"/>
            <w:color w:val="4500A7"/>
            <w:spacing w:val="2"/>
          </w:rPr>
          <w:t>2016</w:t>
        </w:r>
      </w:hyperlink>
      <w:r w:rsidRPr="00D7240E">
        <w:rPr>
          <w:rFonts w:cstheme="minorHAnsi"/>
        </w:rPr>
        <w:t>). We speculate that it is specifically these Heterosexual Intimacy experiences that function to sustain the romantic relationship for women who have a partner they perceive as high in ambivalent sexism. Women may interpret men’s engagement in these behaviors as indicators of love rather than sexism Barreto and Ellemers </w:t>
      </w:r>
      <w:hyperlink r:id="rId170" w:anchor="CR4" w:tooltip="View reference" w:history="1">
        <w:r w:rsidRPr="00D7240E">
          <w:rPr>
            <w:rStyle w:val="Hyperlink"/>
            <w:rFonts w:eastAsiaTheme="majorEastAsia" w:cstheme="minorHAnsi"/>
            <w:color w:val="4500A7"/>
            <w:spacing w:val="2"/>
          </w:rPr>
          <w:t>2005</w:t>
        </w:r>
      </w:hyperlink>
      <w:r w:rsidRPr="00D7240E">
        <w:rPr>
          <w:rFonts w:cstheme="minorHAnsi"/>
        </w:rPr>
        <w:t>). Future research should further examine the role and function of Heterosexual Intimacy within the context of romantic relationships.</w:t>
      </w:r>
    </w:p>
    <w:p w14:paraId="70504919" w14:textId="77777777" w:rsidR="00FA36F7" w:rsidRPr="00D7240E" w:rsidRDefault="00FA36F7" w:rsidP="004F3351">
      <w:pPr>
        <w:rPr>
          <w:rFonts w:cstheme="minorHAnsi"/>
        </w:rPr>
      </w:pPr>
      <w:r w:rsidRPr="00D7240E">
        <w:rPr>
          <w:rFonts w:cstheme="minorHAnsi"/>
        </w:rPr>
        <w:t>Importantly, it is necessary to remember that all three of the subscales of benevolent sexism are strongly, positively correlated. Although Complementary Gender Differentiation is positively associated with self-esteem and negatively with self-doubt, women are also experiencing other components of benevolent sexism that are negatively associated with self-esteem and positively with increased self-doubt. Furthermore, Complementary Gender Differentiation is associated with self-esteem and self-doubt only in the regressions when the other types of sexism are being controlled, not in the zero-order correlations. Thus, we suggest caution in interpreting any of these components of benevolent sexism and their associations with women’s self-concept and well-being in a simplistic manner. Rather, the complexity of women’s sexist experiences should be considered.</w:t>
      </w:r>
    </w:p>
    <w:p w14:paraId="531139A5" w14:textId="77777777" w:rsidR="00FA36F7" w:rsidRPr="00D7240E" w:rsidRDefault="00FA36F7" w:rsidP="004F3351">
      <w:pPr>
        <w:pStyle w:val="Heading2"/>
        <w:rPr>
          <w:rFonts w:asciiTheme="minorHAnsi" w:hAnsiTheme="minorHAnsi" w:cstheme="minorHAnsi"/>
          <w:sz w:val="27"/>
          <w:szCs w:val="27"/>
        </w:rPr>
      </w:pPr>
      <w:r w:rsidRPr="00D7240E">
        <w:rPr>
          <w:rFonts w:asciiTheme="minorHAnsi" w:hAnsiTheme="minorHAnsi" w:cstheme="minorHAnsi"/>
        </w:rPr>
        <w:t>Future Research Directions</w:t>
      </w:r>
    </w:p>
    <w:p w14:paraId="56DD48A1" w14:textId="77777777" w:rsidR="00FA36F7" w:rsidRPr="00D7240E" w:rsidRDefault="00FA36F7" w:rsidP="004F3351">
      <w:pPr>
        <w:rPr>
          <w:rFonts w:cstheme="minorHAnsi"/>
        </w:rPr>
      </w:pPr>
      <w:r w:rsidRPr="00D7240E">
        <w:rPr>
          <w:rFonts w:cstheme="minorHAnsi"/>
        </w:rPr>
        <w:t>With the development of the present scale, future research can examine how </w:t>
      </w:r>
      <w:r w:rsidRPr="00D7240E">
        <w:rPr>
          <w:rStyle w:val="Emphasis"/>
          <w:rFonts w:cstheme="minorHAnsi"/>
          <w:color w:val="333333"/>
          <w:spacing w:val="2"/>
        </w:rPr>
        <w:t>experiencing</w:t>
      </w:r>
      <w:r w:rsidRPr="00D7240E">
        <w:rPr>
          <w:rFonts w:cstheme="minorHAnsi"/>
        </w:rPr>
        <w:t>benevolent sexism is associated with women’s sense of self, life choices, and goals. Researchers should also look at the mediators and moderators of these associations. For example, does a woman’s own endorsement of hostile and benevolently sexist attitudes moderate the relationship between sexist experiences and self-doubt and well-being? Shnabel et al. (</w:t>
      </w:r>
      <w:hyperlink r:id="rId171" w:anchor="CR60" w:tooltip="View reference" w:history="1">
        <w:r w:rsidRPr="00D7240E">
          <w:rPr>
            <w:rStyle w:val="Hyperlink"/>
            <w:rFonts w:eastAsiaTheme="majorEastAsia" w:cstheme="minorHAnsi"/>
            <w:color w:val="4500A7"/>
            <w:spacing w:val="2"/>
          </w:rPr>
          <w:t>2016</w:t>
        </w:r>
      </w:hyperlink>
      <w:r w:rsidRPr="00D7240E">
        <w:rPr>
          <w:rFonts w:cstheme="minorHAnsi"/>
        </w:rPr>
        <w:t>) found that women who endorsed benevolent sexism were more likely to seek out dependency-</w:t>
      </w:r>
      <w:r w:rsidRPr="00D7240E">
        <w:rPr>
          <w:rFonts w:cstheme="minorHAnsi"/>
        </w:rPr>
        <w:lastRenderedPageBreak/>
        <w:t>oriented helping from male partners. This suggests that women’s endorsement of benevolent sexist beliefs might influence how women interpret, perceive, and respond to their experiences with benevolent sexism. Likewise, when gender identity has been made salient, women are more likely to identify a partner’s remarks as sexist and confront the partner (Wang and Dovidio </w:t>
      </w:r>
      <w:hyperlink r:id="rId172" w:anchor="CR68" w:tooltip="View reference" w:history="1">
        <w:r w:rsidRPr="00D7240E">
          <w:rPr>
            <w:rStyle w:val="Hyperlink"/>
            <w:rFonts w:eastAsiaTheme="majorEastAsia" w:cstheme="minorHAnsi"/>
            <w:color w:val="4500A7"/>
            <w:spacing w:val="2"/>
          </w:rPr>
          <w:t>2017</w:t>
        </w:r>
      </w:hyperlink>
      <w:r w:rsidRPr="00D7240E">
        <w:rPr>
          <w:rFonts w:cstheme="minorHAnsi"/>
        </w:rPr>
        <w:t>). Thus, important individual differences might explain why some women identify these experiences as sexist whereas others might interpret the same behavior positively.</w:t>
      </w:r>
    </w:p>
    <w:p w14:paraId="02383297" w14:textId="77777777" w:rsidR="00FA36F7" w:rsidRPr="00D7240E" w:rsidRDefault="00FA36F7" w:rsidP="004F3351">
      <w:pPr>
        <w:rPr>
          <w:rFonts w:cstheme="minorHAnsi"/>
        </w:rPr>
      </w:pPr>
      <w:r w:rsidRPr="00D7240E">
        <w:rPr>
          <w:rFonts w:cstheme="minorHAnsi"/>
        </w:rPr>
        <w:t>The role of benevolent sexism in the context of women’s employment seems especially important to examine in future research. Experiencing Protective Paternalism at work seems especially problematic because feelings of self-doubt could play an important role in job performance. Furthermore, experiencing Complementary Gender Differentiation, such as people assuming a woman will sacrifice her career for her family, may undermine women’s advancement in the workplace. Together, Complementary Gender Differentiation and Protective Paternalism might function to limit women being assigned to challenging tasks or advancement in position (see also King et al. </w:t>
      </w:r>
      <w:hyperlink r:id="rId173" w:anchor="CR36" w:tooltip="View reference" w:history="1">
        <w:r w:rsidRPr="00D7240E">
          <w:rPr>
            <w:rStyle w:val="Hyperlink"/>
            <w:rFonts w:eastAsiaTheme="majorEastAsia" w:cstheme="minorHAnsi"/>
            <w:color w:val="4500A7"/>
            <w:spacing w:val="2"/>
          </w:rPr>
          <w:t>2012</w:t>
        </w:r>
      </w:hyperlink>
      <w:r w:rsidRPr="00D7240E">
        <w:rPr>
          <w:rFonts w:cstheme="minorHAnsi"/>
        </w:rPr>
        <w:t>). Future research should also explore if the effects of benevolent sexism depend on whether the employment context is traditionally feminine or masculine. For example, Hideg and Ferris (</w:t>
      </w:r>
      <w:hyperlink r:id="rId174" w:anchor="CR31" w:tooltip="View reference" w:history="1">
        <w:r w:rsidRPr="00D7240E">
          <w:rPr>
            <w:rStyle w:val="Hyperlink"/>
            <w:rFonts w:eastAsiaTheme="majorEastAsia" w:cstheme="minorHAnsi"/>
            <w:color w:val="4500A7"/>
            <w:spacing w:val="2"/>
          </w:rPr>
          <w:t>2016</w:t>
        </w:r>
      </w:hyperlink>
      <w:r w:rsidRPr="00D7240E">
        <w:rPr>
          <w:rFonts w:cstheme="minorHAnsi"/>
        </w:rPr>
        <w:t>) found that endorsement of benevolently sexist beliefs was positively associated with support for employment equity but only in traditionally feminine, not masculine, positions. Perhaps Complementary Gender Differentiation might increase women’s feelings of competence in traditionally feminine fields but undermine confidence in traditionally masculine fields.</w:t>
      </w:r>
    </w:p>
    <w:p w14:paraId="40F98620" w14:textId="77777777" w:rsidR="00FA36F7" w:rsidRPr="00D7240E" w:rsidRDefault="00FA36F7" w:rsidP="004F3351">
      <w:pPr>
        <w:rPr>
          <w:rFonts w:cstheme="minorHAnsi"/>
        </w:rPr>
      </w:pPr>
      <w:r w:rsidRPr="00D7240E">
        <w:rPr>
          <w:rFonts w:cstheme="minorHAnsi"/>
        </w:rPr>
        <w:t>Researchers should use diverse methodologies to examine women’s experiences with benevolently sexist events. Longitudinal studies would be useful to understand immediate and long-term impact of these experiences on women’s well-being. Daily diary studies would be useful to understand the immediate reaction to benevolently sexist events. It would be interesting to examine if women’s reports of distress and perceived sexism of the event are similar when reported immediately after the event, as compared to the recollection of an event that may have occurred sometime ago, as required in a survey study. Dyadic studies would be helpful for understanding how benevolent sexist behaviors function in the context of a romantic relationship.</w:t>
      </w:r>
    </w:p>
    <w:p w14:paraId="3F9B471B" w14:textId="77777777" w:rsidR="00FA36F7" w:rsidRPr="00D7240E" w:rsidRDefault="00FA36F7" w:rsidP="004F3351">
      <w:pPr>
        <w:pStyle w:val="Heading2"/>
        <w:rPr>
          <w:rFonts w:asciiTheme="minorHAnsi" w:hAnsiTheme="minorHAnsi" w:cstheme="minorHAnsi"/>
          <w:sz w:val="27"/>
          <w:szCs w:val="27"/>
        </w:rPr>
      </w:pPr>
      <w:r w:rsidRPr="00D7240E">
        <w:rPr>
          <w:rFonts w:asciiTheme="minorHAnsi" w:hAnsiTheme="minorHAnsi" w:cstheme="minorHAnsi"/>
        </w:rPr>
        <w:t>Limitations</w:t>
      </w:r>
    </w:p>
    <w:p w14:paraId="43039A3F" w14:textId="77777777" w:rsidR="00FA36F7" w:rsidRPr="00D7240E" w:rsidRDefault="00FA36F7" w:rsidP="004F3351">
      <w:pPr>
        <w:rPr>
          <w:rFonts w:cstheme="minorHAnsi"/>
        </w:rPr>
      </w:pPr>
      <w:r w:rsidRPr="00D7240E">
        <w:rPr>
          <w:rFonts w:cstheme="minorHAnsi"/>
        </w:rPr>
        <w:t>The samples in these two studies consisted largely of White women. Although the items were written in an attempt to be relevant to women of various social identities, additional research should examine how women of various social groups (as well as the intersection of various social identities) experience benevolent sexism. Issues around sexual orientation are in special need of attention. Ambivalent sexism theory argues that benevolent sexism is “rooted in long-standing heterosexual interdependence between women and men” (Lee et al. </w:t>
      </w:r>
      <w:hyperlink r:id="rId175" w:anchor="CR41" w:tooltip="View reference" w:history="1">
        <w:r w:rsidRPr="00D7240E">
          <w:rPr>
            <w:rStyle w:val="Hyperlink"/>
            <w:rFonts w:eastAsiaTheme="majorEastAsia" w:cstheme="minorHAnsi"/>
            <w:color w:val="4500A7"/>
            <w:spacing w:val="2"/>
          </w:rPr>
          <w:t>2010</w:t>
        </w:r>
      </w:hyperlink>
      <w:r w:rsidRPr="00D7240E">
        <w:rPr>
          <w:rFonts w:cstheme="minorHAnsi"/>
        </w:rPr>
        <w:t>, p. 398). Although the development of ambivalently sexist beliefs might stem from heterosexual relations and traditional gender relations, previous research has found that both men and women can hold ambivalently sexist beliefs, with men typically endorsing these beliefs to a greater extent than women (Glick and Fiske </w:t>
      </w:r>
      <w:hyperlink r:id="rId176" w:anchor="CR23" w:tooltip="View reference" w:history="1">
        <w:r w:rsidRPr="00D7240E">
          <w:rPr>
            <w:rStyle w:val="Hyperlink"/>
            <w:rFonts w:eastAsiaTheme="majorEastAsia" w:cstheme="minorHAnsi"/>
            <w:color w:val="4500A7"/>
            <w:spacing w:val="2"/>
          </w:rPr>
          <w:t>1996</w:t>
        </w:r>
      </w:hyperlink>
      <w:r w:rsidRPr="00D7240E">
        <w:rPr>
          <w:rFonts w:cstheme="minorHAnsi"/>
        </w:rPr>
        <w:t>). However, previous research has largely ignored how sexual orientation might play a role in the development and expression of these attitudes, as well as the experiences of the targets. In Study 1 we found little difference between women who were classified as heterosexual and sexual minority for their experiences as the target of benevolent sexism; however, it is unclear how the women in those two categories self-identify their sexual orientation. Future research should further investigate experiences with benevolent sexism in a sample of sexual minority women.</w:t>
      </w:r>
    </w:p>
    <w:p w14:paraId="7C4128A4" w14:textId="77777777" w:rsidR="00FA36F7" w:rsidRPr="00D7240E" w:rsidRDefault="00FA36F7" w:rsidP="004F3351">
      <w:pPr>
        <w:rPr>
          <w:rFonts w:cstheme="minorHAnsi"/>
        </w:rPr>
      </w:pPr>
      <w:r w:rsidRPr="00D7240E">
        <w:rPr>
          <w:rFonts w:cstheme="minorHAnsi"/>
        </w:rPr>
        <w:t>A second consideration should be around the effect size found in the regressions. The regression models with Experience with Benevolent Sexism subscales and Schedule of Sexist Events total score as predictors were significant, but accounted for modest amounts of the total variance in the variables of interest (</w:t>
      </w:r>
      <w:r w:rsidRPr="00D7240E">
        <w:rPr>
          <w:rStyle w:val="Emphasis"/>
          <w:rFonts w:cstheme="minorHAnsi"/>
          <w:color w:val="333333"/>
          <w:spacing w:val="2"/>
        </w:rPr>
        <w:t>R</w:t>
      </w:r>
      <w:r w:rsidRPr="00D7240E">
        <w:rPr>
          <w:rFonts w:cstheme="minorHAnsi"/>
          <w:vertAlign w:val="superscript"/>
        </w:rPr>
        <w:t>2</w:t>
      </w:r>
      <w:r w:rsidRPr="00D7240E">
        <w:rPr>
          <w:rFonts w:cstheme="minorHAnsi"/>
        </w:rPr>
        <w:t>s ranging from .03 to .23). Interestingly, the sexism variables accounted for more variance in deference to authority (</w:t>
      </w:r>
      <w:r w:rsidRPr="00D7240E">
        <w:rPr>
          <w:rStyle w:val="Emphasis"/>
          <w:rFonts w:cstheme="minorHAnsi"/>
          <w:color w:val="333333"/>
          <w:spacing w:val="2"/>
        </w:rPr>
        <w:t>R</w:t>
      </w:r>
      <w:r w:rsidRPr="00D7240E">
        <w:rPr>
          <w:rFonts w:cstheme="minorHAnsi"/>
          <w:vertAlign w:val="superscript"/>
        </w:rPr>
        <w:t>2</w:t>
      </w:r>
      <w:r w:rsidRPr="00D7240E">
        <w:rPr>
          <w:rFonts w:cstheme="minorHAnsi"/>
        </w:rPr>
        <w:t xml:space="preserve"> = .23) </w:t>
      </w:r>
      <w:r w:rsidRPr="00D7240E">
        <w:rPr>
          <w:rFonts w:cstheme="minorHAnsi"/>
        </w:rPr>
        <w:lastRenderedPageBreak/>
        <w:t>than in self-esteem or self-doubt (</w:t>
      </w:r>
      <w:r w:rsidRPr="00D7240E">
        <w:rPr>
          <w:rStyle w:val="Emphasis"/>
          <w:rFonts w:cstheme="minorHAnsi"/>
          <w:color w:val="333333"/>
          <w:spacing w:val="2"/>
        </w:rPr>
        <w:t>R</w:t>
      </w:r>
      <w:r w:rsidRPr="00D7240E">
        <w:rPr>
          <w:rFonts w:cstheme="minorHAnsi"/>
          <w:vertAlign w:val="superscript"/>
        </w:rPr>
        <w:t>2</w:t>
      </w:r>
      <w:r w:rsidRPr="00D7240E">
        <w:rPr>
          <w:rFonts w:cstheme="minorHAnsi"/>
        </w:rPr>
        <w:t>s ranging from .03 to .11), as well as psychological flourishing and well-being (</w:t>
      </w:r>
      <w:r w:rsidRPr="00D7240E">
        <w:rPr>
          <w:rStyle w:val="Emphasis"/>
          <w:rFonts w:cstheme="minorHAnsi"/>
          <w:color w:val="333333"/>
          <w:spacing w:val="2"/>
        </w:rPr>
        <w:t>R</w:t>
      </w:r>
      <w:r w:rsidRPr="00D7240E">
        <w:rPr>
          <w:rFonts w:cstheme="minorHAnsi"/>
          <w:vertAlign w:val="superscript"/>
        </w:rPr>
        <w:t>2</w:t>
      </w:r>
      <w:r w:rsidRPr="00D7240E">
        <w:rPr>
          <w:rFonts w:cstheme="minorHAnsi"/>
        </w:rPr>
        <w:t>s = .11). Perhaps these sexist experiences might not influence how women feel about themselves globally, but rather how they feel they need to respond to, and interact with, other people.</w:t>
      </w:r>
    </w:p>
    <w:p w14:paraId="6AC11FE6" w14:textId="77777777" w:rsidR="00FA36F7" w:rsidRPr="00D7240E" w:rsidRDefault="00FA36F7" w:rsidP="004F3351">
      <w:pPr>
        <w:pStyle w:val="Heading2"/>
        <w:rPr>
          <w:rFonts w:asciiTheme="minorHAnsi" w:hAnsiTheme="minorHAnsi" w:cstheme="minorHAnsi"/>
          <w:sz w:val="27"/>
          <w:szCs w:val="27"/>
        </w:rPr>
      </w:pPr>
      <w:r w:rsidRPr="00D7240E">
        <w:rPr>
          <w:rFonts w:asciiTheme="minorHAnsi" w:hAnsiTheme="minorHAnsi" w:cstheme="minorHAnsi"/>
        </w:rPr>
        <w:t>Practice Implications</w:t>
      </w:r>
    </w:p>
    <w:p w14:paraId="0DF1B25E" w14:textId="77777777" w:rsidR="00FA36F7" w:rsidRPr="00D7240E" w:rsidRDefault="00FA36F7" w:rsidP="004F3351">
      <w:pPr>
        <w:rPr>
          <w:rFonts w:cstheme="minorHAnsi"/>
        </w:rPr>
      </w:pPr>
      <w:r w:rsidRPr="00D7240E">
        <w:rPr>
          <w:rFonts w:cstheme="minorHAnsi"/>
        </w:rPr>
        <w:t>To date, a large body of research has examined how hostile and benevolently sexist attitudes correlate with a range of gender-related attitudes and beliefs. With the development of the Experiences with Benevolent Sexism scale, gender researchers can now similarly examine how women’s experiences with benevolent sexism are related to various aspects of their lives, ranging from their interpersonal interactions, romantic relationships, academic choices, work experiences, and mental well-being. The current set of findings raise a host of fascinating questions for future research. We hope the development of this new scale encourages others to investigate these many future research questions of how experiences with benevolent sexism impact women’s lives.</w:t>
      </w:r>
    </w:p>
    <w:p w14:paraId="0C5484A3" w14:textId="77777777" w:rsidR="00FA36F7" w:rsidRPr="00D7240E" w:rsidRDefault="00FA36F7" w:rsidP="004F3351">
      <w:pPr>
        <w:rPr>
          <w:rFonts w:cstheme="minorHAnsi"/>
        </w:rPr>
      </w:pPr>
      <w:r w:rsidRPr="00D7240E">
        <w:rPr>
          <w:rFonts w:cstheme="minorHAnsi"/>
        </w:rPr>
        <w:t>The current research also highlights that experiences with the different subcomponents of benevolent sexism have differential associations with other variables of interest. With few exceptions, research using the Ambivalent Sexism Inventory (Glick and Fiske </w:t>
      </w:r>
      <w:hyperlink r:id="rId177" w:anchor="CR23" w:tooltip="View reference" w:history="1">
        <w:r w:rsidRPr="00D7240E">
          <w:rPr>
            <w:rStyle w:val="Hyperlink"/>
            <w:rFonts w:eastAsiaTheme="majorEastAsia" w:cstheme="minorHAnsi"/>
            <w:color w:val="4500A7"/>
            <w:spacing w:val="2"/>
          </w:rPr>
          <w:t>1996</w:t>
        </w:r>
      </w:hyperlink>
      <w:r w:rsidRPr="00D7240E">
        <w:rPr>
          <w:rFonts w:cstheme="minorHAnsi"/>
        </w:rPr>
        <w:t>) has created a total score to assess benevolent sexist attitudes rather than examine the three benevolent sexism subcomponents independently. However, the subcomponents of benevolent sexist attitudes might be important to examine as well. For example, in one study that did examine the benevolent sexism attitude subcomponents separately, the researchers found that the Complementary Gender Differentiation attitude sub-score was positively associated with endorsing rape myths, but Protective Paternalism attitude sub-score was negatively associated with rape myth endorsement (Chapleau et al. </w:t>
      </w:r>
      <w:hyperlink r:id="rId178" w:anchor="CR13" w:tooltip="View reference" w:history="1">
        <w:r w:rsidRPr="00D7240E">
          <w:rPr>
            <w:rStyle w:val="Hyperlink"/>
            <w:rFonts w:eastAsiaTheme="majorEastAsia" w:cstheme="minorHAnsi"/>
            <w:color w:val="4500A7"/>
            <w:spacing w:val="2"/>
          </w:rPr>
          <w:t>2007</w:t>
        </w:r>
      </w:hyperlink>
      <w:r w:rsidRPr="00D7240E">
        <w:rPr>
          <w:rFonts w:cstheme="minorHAnsi"/>
        </w:rPr>
        <w:t>). Sexism researchers might want to further examine how the different subcomponents of benevolently sexist attitudes function rather than always using a total score.</w:t>
      </w:r>
    </w:p>
    <w:p w14:paraId="21711571" w14:textId="77777777" w:rsidR="00FA36F7" w:rsidRPr="00D7240E" w:rsidRDefault="00FA36F7" w:rsidP="004F3351">
      <w:pPr>
        <w:rPr>
          <w:rFonts w:cstheme="minorHAnsi"/>
        </w:rPr>
      </w:pPr>
      <w:r w:rsidRPr="00D7240E">
        <w:rPr>
          <w:rFonts w:cstheme="minorHAnsi"/>
        </w:rPr>
        <w:t>Healthcare professionals and psychologists should be aware of the range of types of sexism to improve treatment for women who are experiencing sexism in their lives. Understanding the complex ways in which these experiences are related to women’s mental health and life choices can be used to assist women’s healthy development and facilitate their ability to identify and cope with sexism. In a daily diary study, Becker and Swim (</w:t>
      </w:r>
      <w:hyperlink r:id="rId179" w:anchor="CR6" w:tooltip="View reference" w:history="1">
        <w:r w:rsidRPr="00D7240E">
          <w:rPr>
            <w:rStyle w:val="Hyperlink"/>
            <w:rFonts w:eastAsiaTheme="majorEastAsia" w:cstheme="minorHAnsi"/>
            <w:color w:val="4500A7"/>
            <w:spacing w:val="2"/>
          </w:rPr>
          <w:t>2011</w:t>
        </w:r>
      </w:hyperlink>
      <w:r w:rsidRPr="00D7240E">
        <w:rPr>
          <w:rFonts w:cstheme="minorHAnsi"/>
        </w:rPr>
        <w:t>) found that having women pay attention to sexism in their personal life led to rejection of benevolent sexist beliefs and more negative evaluations of men who displayed benevolent sexism. This paradigm seems especially useful for helping women to recognize the impact of benevolent sexism in their lives. We ultimately hope that this line of research helps women to identify, understand, and cope with the various forms of sexism that they experience.</w:t>
      </w:r>
    </w:p>
    <w:p w14:paraId="0A505AAF" w14:textId="77777777" w:rsidR="00FA36F7" w:rsidRPr="00D7240E" w:rsidRDefault="00FA36F7" w:rsidP="004F3351">
      <w:pPr>
        <w:rPr>
          <w:rFonts w:cstheme="minorHAnsi"/>
        </w:rPr>
      </w:pPr>
      <w:r w:rsidRPr="00D7240E">
        <w:rPr>
          <w:rFonts w:cstheme="minorHAnsi"/>
        </w:rPr>
        <w:t>Finally, increased awareness of how sexist attitudes can be manifested in subtle behaviors, whether it be in interpersonal relationships or work situations, can result in greater gender equality. Men’s attention to sexism also resulted in stronger rejection of sexist attitudes, if they were also encouraged to have emotional empathy for the target of sexism (Becker and Swim </w:t>
      </w:r>
      <w:hyperlink r:id="rId180" w:anchor="CR6" w:tooltip="View reference" w:history="1">
        <w:r w:rsidRPr="00D7240E">
          <w:rPr>
            <w:rStyle w:val="Hyperlink"/>
            <w:rFonts w:eastAsiaTheme="majorEastAsia" w:cstheme="minorHAnsi"/>
            <w:color w:val="4500A7"/>
            <w:spacing w:val="2"/>
          </w:rPr>
          <w:t>2011</w:t>
        </w:r>
      </w:hyperlink>
      <w:r w:rsidRPr="00D7240E">
        <w:rPr>
          <w:rFonts w:cstheme="minorHAnsi"/>
        </w:rPr>
        <w:t>). Similarly, students who have taken classes that cover issues of gender and sexism report lower endorsement of sexist beliefs at the end of the semester (Pettijohn and Walzer </w:t>
      </w:r>
      <w:hyperlink r:id="rId181" w:anchor="CR53" w:tooltip="View reference" w:history="1">
        <w:r w:rsidRPr="00D7240E">
          <w:rPr>
            <w:rStyle w:val="Hyperlink"/>
            <w:rFonts w:eastAsiaTheme="majorEastAsia" w:cstheme="minorHAnsi"/>
            <w:color w:val="4500A7"/>
            <w:spacing w:val="2"/>
          </w:rPr>
          <w:t>2008</w:t>
        </w:r>
      </w:hyperlink>
      <w:r w:rsidRPr="00D7240E">
        <w:rPr>
          <w:rFonts w:cstheme="minorHAnsi"/>
        </w:rPr>
        <w:t>). Perhaps with education and public awareness women will ultimately experience less sexism in their lives.</w:t>
      </w:r>
    </w:p>
    <w:p w14:paraId="47B39BC1" w14:textId="77777777" w:rsidR="00FA36F7" w:rsidRPr="00D7240E" w:rsidRDefault="00FA36F7" w:rsidP="004F3351">
      <w:pPr>
        <w:pStyle w:val="Heading2"/>
        <w:rPr>
          <w:rFonts w:asciiTheme="minorHAnsi" w:hAnsiTheme="minorHAnsi" w:cstheme="minorHAnsi"/>
          <w:sz w:val="27"/>
          <w:szCs w:val="27"/>
        </w:rPr>
      </w:pPr>
      <w:r w:rsidRPr="00D7240E">
        <w:rPr>
          <w:rFonts w:asciiTheme="minorHAnsi" w:hAnsiTheme="minorHAnsi" w:cstheme="minorHAnsi"/>
        </w:rPr>
        <w:t>Conclusion</w:t>
      </w:r>
    </w:p>
    <w:p w14:paraId="506B0D16" w14:textId="77777777" w:rsidR="00FA36F7" w:rsidRPr="00D7240E" w:rsidRDefault="00FA36F7" w:rsidP="004F3351">
      <w:pPr>
        <w:rPr>
          <w:rFonts w:cstheme="minorHAnsi"/>
        </w:rPr>
      </w:pPr>
      <w:r w:rsidRPr="00D7240E">
        <w:rPr>
          <w:rFonts w:cstheme="minorHAnsi"/>
        </w:rPr>
        <w:t>Women report frequent sexist experiences that range from overtly sexist to subtle benevolently sexist events (Klonoff and Landrine </w:t>
      </w:r>
      <w:hyperlink r:id="rId182" w:anchor="CR37" w:tooltip="View reference" w:history="1">
        <w:r w:rsidRPr="00D7240E">
          <w:rPr>
            <w:rStyle w:val="Hyperlink"/>
            <w:rFonts w:eastAsiaTheme="majorEastAsia" w:cstheme="minorHAnsi"/>
            <w:color w:val="4500A7"/>
            <w:spacing w:val="2"/>
          </w:rPr>
          <w:t>1995</w:t>
        </w:r>
      </w:hyperlink>
      <w:r w:rsidRPr="00D7240E">
        <w:rPr>
          <w:rFonts w:cstheme="minorHAnsi"/>
        </w:rPr>
        <w:t>; Swim et al. </w:t>
      </w:r>
      <w:hyperlink r:id="rId183" w:anchor="CR62" w:tooltip="View reference" w:history="1">
        <w:r w:rsidRPr="00D7240E">
          <w:rPr>
            <w:rStyle w:val="Hyperlink"/>
            <w:rFonts w:eastAsiaTheme="majorEastAsia" w:cstheme="minorHAnsi"/>
            <w:color w:val="4500A7"/>
            <w:spacing w:val="2"/>
          </w:rPr>
          <w:t>2001</w:t>
        </w:r>
      </w:hyperlink>
      <w:r w:rsidRPr="00D7240E">
        <w:rPr>
          <w:rFonts w:cstheme="minorHAnsi"/>
        </w:rPr>
        <w:t>). Building on a large body of research that investigates ambivalently sexist attitudes (Glick and Fiske </w:t>
      </w:r>
      <w:hyperlink r:id="rId184" w:anchor="CR23" w:tooltip="View reference" w:history="1">
        <w:r w:rsidRPr="00D7240E">
          <w:rPr>
            <w:rStyle w:val="Hyperlink"/>
            <w:rFonts w:eastAsiaTheme="majorEastAsia" w:cstheme="minorHAnsi"/>
            <w:color w:val="4500A7"/>
            <w:spacing w:val="2"/>
          </w:rPr>
          <w:t>1996</w:t>
        </w:r>
      </w:hyperlink>
      <w:r w:rsidRPr="00D7240E">
        <w:rPr>
          <w:rFonts w:cstheme="minorHAnsi"/>
        </w:rPr>
        <w:t xml:space="preserve">), and specifically the benevolent sexism subcomponent, the current studies validated a new measure of women’s experiences with benevolent sexism. Our research fills an </w:t>
      </w:r>
      <w:r w:rsidRPr="00D7240E">
        <w:rPr>
          <w:rFonts w:cstheme="minorHAnsi"/>
        </w:rPr>
        <w:lastRenderedPageBreak/>
        <w:t>important gap in the sexism literature by shifting the research question from examining sexist </w:t>
      </w:r>
      <w:r w:rsidRPr="00D7240E">
        <w:rPr>
          <w:rStyle w:val="Emphasis"/>
          <w:rFonts w:cstheme="minorHAnsi"/>
          <w:color w:val="333333"/>
          <w:spacing w:val="2"/>
        </w:rPr>
        <w:t>attitudes</w:t>
      </w:r>
      <w:r w:rsidRPr="00D7240E">
        <w:rPr>
          <w:rFonts w:cstheme="minorHAnsi"/>
        </w:rPr>
        <w:t> to focusing on women’s </w:t>
      </w:r>
      <w:r w:rsidRPr="00D7240E">
        <w:rPr>
          <w:rStyle w:val="Emphasis"/>
          <w:rFonts w:cstheme="minorHAnsi"/>
          <w:color w:val="333333"/>
          <w:spacing w:val="2"/>
        </w:rPr>
        <w:t>experiences</w:t>
      </w:r>
      <w:r w:rsidRPr="00D7240E">
        <w:rPr>
          <w:rFonts w:cstheme="minorHAnsi"/>
        </w:rPr>
        <w:t> with sexist events. We find that women report having a number of sexist experiences that reflect protective paternalism, heterosexual intimacy, and complementary gender differentiation. These experiences are more frequent, but perceived as less sexist and distressing, than hostile sexist experiences. However, frequency of benevolent sexist experiences had interesting and complex associations with women’s self-concept. The findings of the current studies support the use of this new measure and highlight numerous research questions regarding women’s experiences with benevolent sexism. We hope this research inspires others to pursue this topic.</w:t>
      </w:r>
    </w:p>
    <w:p w14:paraId="35E1D3E5" w14:textId="77777777" w:rsidR="00FA36F7" w:rsidRPr="00D7240E" w:rsidRDefault="00FA36F7" w:rsidP="004F3351">
      <w:pPr>
        <w:pStyle w:val="Heading1"/>
        <w:rPr>
          <w:rFonts w:asciiTheme="minorHAnsi" w:hAnsiTheme="minorHAnsi" w:cstheme="minorHAnsi"/>
          <w:sz w:val="36"/>
          <w:szCs w:val="36"/>
        </w:rPr>
      </w:pPr>
      <w:r w:rsidRPr="00D7240E">
        <w:rPr>
          <w:rFonts w:asciiTheme="minorHAnsi" w:hAnsiTheme="minorHAnsi" w:cstheme="minorHAnsi"/>
        </w:rPr>
        <w:t>Notes</w:t>
      </w:r>
    </w:p>
    <w:p w14:paraId="338AB5EF" w14:textId="77777777" w:rsidR="00FA36F7" w:rsidRPr="00D7240E" w:rsidRDefault="00FA36F7" w:rsidP="006241CA">
      <w:pPr>
        <w:pStyle w:val="Heading2"/>
        <w:rPr>
          <w:rFonts w:asciiTheme="minorHAnsi" w:hAnsiTheme="minorHAnsi" w:cstheme="minorHAnsi"/>
        </w:rPr>
      </w:pPr>
      <w:r w:rsidRPr="00D7240E">
        <w:rPr>
          <w:rFonts w:asciiTheme="minorHAnsi" w:hAnsiTheme="minorHAnsi" w:cstheme="minorHAnsi"/>
        </w:rPr>
        <w:t>Acknowledgements</w:t>
      </w:r>
    </w:p>
    <w:p w14:paraId="6B725F13" w14:textId="77777777" w:rsidR="00FA36F7" w:rsidRPr="00D7240E" w:rsidRDefault="00FA36F7" w:rsidP="006241CA">
      <w:pPr>
        <w:rPr>
          <w:rFonts w:cstheme="minorHAnsi"/>
        </w:rPr>
      </w:pPr>
      <w:r w:rsidRPr="00D7240E">
        <w:rPr>
          <w:rFonts w:cstheme="minorHAnsi"/>
        </w:rPr>
        <w:t>The authors thank Steve Franzoi and Kristine Chapleau for their helpful comments on this manuscript and feedback on item development. Thank you to Brooke Magnus for her assistance with the confirmatory factor analysis.</w:t>
      </w:r>
    </w:p>
    <w:p w14:paraId="1DB64029" w14:textId="77777777" w:rsidR="00FA36F7" w:rsidRPr="00D7240E" w:rsidRDefault="00FA36F7" w:rsidP="006241CA">
      <w:pPr>
        <w:pStyle w:val="Heading2"/>
        <w:rPr>
          <w:rFonts w:asciiTheme="minorHAnsi" w:hAnsiTheme="minorHAnsi" w:cstheme="minorHAnsi"/>
        </w:rPr>
      </w:pPr>
      <w:r w:rsidRPr="00D7240E">
        <w:rPr>
          <w:rFonts w:asciiTheme="minorHAnsi" w:hAnsiTheme="minorHAnsi" w:cstheme="minorHAnsi"/>
        </w:rPr>
        <w:t>Compliance with Ethical Standards</w:t>
      </w:r>
    </w:p>
    <w:p w14:paraId="3868F141" w14:textId="513F8FEC" w:rsidR="00FA36F7" w:rsidRPr="00D7240E" w:rsidRDefault="00FA36F7" w:rsidP="006241CA">
      <w:pPr>
        <w:rPr>
          <w:rFonts w:cstheme="minorHAnsi"/>
        </w:rPr>
      </w:pPr>
      <w:r w:rsidRPr="00D7240E">
        <w:rPr>
          <w:rFonts w:cstheme="minorHAnsi"/>
        </w:rPr>
        <w:t>This study was approved by the institutional review board at Marquette University and conforms to the APA research ethics. All authors have read and approve of submitting the manuscript to </w:t>
      </w:r>
      <w:r w:rsidRPr="00D7240E">
        <w:rPr>
          <w:rStyle w:val="Emphasis"/>
          <w:rFonts w:cstheme="minorHAnsi"/>
        </w:rPr>
        <w:t>Sex Roles.</w:t>
      </w:r>
      <w:r w:rsidRPr="00D7240E">
        <w:rPr>
          <w:rFonts w:cstheme="minorHAnsi"/>
        </w:rPr>
        <w:t> This manuscript has not been published, in any part, elsewhere. This manuscript has not received any grant funding.</w:t>
      </w:r>
    </w:p>
    <w:p w14:paraId="2CFC146B" w14:textId="77777777" w:rsidR="00FA36F7" w:rsidRPr="00D7240E" w:rsidRDefault="00FA36F7" w:rsidP="006241CA">
      <w:pPr>
        <w:pStyle w:val="Heading1"/>
        <w:rPr>
          <w:rFonts w:asciiTheme="minorHAnsi" w:hAnsiTheme="minorHAnsi" w:cstheme="minorHAnsi"/>
        </w:rPr>
      </w:pPr>
      <w:r w:rsidRPr="00D7240E">
        <w:rPr>
          <w:rFonts w:asciiTheme="minorHAnsi" w:hAnsiTheme="minorHAnsi" w:cstheme="minorHAnsi"/>
        </w:rPr>
        <w:t>References</w:t>
      </w:r>
    </w:p>
    <w:p w14:paraId="5DA8237D" w14:textId="6FAB154E" w:rsidR="00FA36F7" w:rsidRPr="00D7240E" w:rsidRDefault="00703D23" w:rsidP="00B767AE">
      <w:pPr>
        <w:spacing w:after="0"/>
        <w:ind w:left="720" w:hanging="720"/>
        <w:rPr>
          <w:rFonts w:cstheme="minorHAnsi"/>
        </w:rPr>
      </w:pPr>
      <w:r w:rsidRPr="00D7240E">
        <w:rPr>
          <w:rFonts w:cstheme="minorHAnsi"/>
        </w:rPr>
        <w:t xml:space="preserve">1. </w:t>
      </w:r>
      <w:r w:rsidR="00FA36F7" w:rsidRPr="00D7240E">
        <w:rPr>
          <w:rFonts w:cstheme="minorHAnsi"/>
        </w:rPr>
        <w:t>Abrams, D., Viki, G. T., Masser, B., &amp; Bohner, G. (2003). Perceptions of stranger and acquaintance rape: The role of benevolent and hostile sexism in victim blame and rape proclivity. </w:t>
      </w:r>
      <w:r w:rsidR="00FA36F7" w:rsidRPr="00D7240E">
        <w:rPr>
          <w:rStyle w:val="Emphasis"/>
          <w:rFonts w:cstheme="minorHAnsi"/>
        </w:rPr>
        <w:t>Journal of Personality and Social Psychology, 84</w:t>
      </w:r>
      <w:r w:rsidR="00FA36F7" w:rsidRPr="00D7240E">
        <w:rPr>
          <w:rFonts w:cstheme="minorHAnsi"/>
        </w:rPr>
        <w:t>(1), 111–125. </w:t>
      </w:r>
      <w:r w:rsidR="00FA36F7" w:rsidRPr="00D7240E">
        <w:rPr>
          <w:rStyle w:val="externalref"/>
          <w:rFonts w:eastAsiaTheme="majorEastAsia" w:cstheme="minorHAnsi"/>
        </w:rPr>
        <w:t> </w:t>
      </w:r>
      <w:hyperlink r:id="rId185" w:tgtFrame="_blank" w:history="1">
        <w:r w:rsidR="00FA36F7" w:rsidRPr="00D7240E">
          <w:rPr>
            <w:rStyle w:val="refsource"/>
            <w:rFonts w:cstheme="minorHAnsi"/>
            <w:color w:val="4500A7"/>
            <w:u w:val="single"/>
          </w:rPr>
          <w:t>https://doi.org/10.1037/0022-3514.84.1.111</w:t>
        </w:r>
      </w:hyperlink>
      <w:r w:rsidR="00FA36F7" w:rsidRPr="00D7240E">
        <w:rPr>
          <w:rFonts w:cstheme="minorHAnsi"/>
        </w:rPr>
        <w:t>.</w:t>
      </w:r>
      <w:r w:rsidR="006241CA" w:rsidRPr="00D7240E">
        <w:rPr>
          <w:rFonts w:cstheme="minorHAnsi"/>
        </w:rPr>
        <w:t xml:space="preserve"> </w:t>
      </w:r>
    </w:p>
    <w:p w14:paraId="274FE555" w14:textId="3A1A5A63" w:rsidR="006241CA" w:rsidRPr="00D7240E" w:rsidRDefault="00703D23" w:rsidP="00B767AE">
      <w:pPr>
        <w:spacing w:after="0"/>
        <w:ind w:left="720" w:hanging="720"/>
        <w:rPr>
          <w:rFonts w:cstheme="minorHAnsi"/>
        </w:rPr>
      </w:pPr>
      <w:r w:rsidRPr="00D7240E">
        <w:rPr>
          <w:rFonts w:cstheme="minorHAnsi"/>
        </w:rPr>
        <w:t xml:space="preserve">2. </w:t>
      </w:r>
      <w:r w:rsidR="00FA36F7" w:rsidRPr="00D7240E">
        <w:rPr>
          <w:rFonts w:cstheme="minorHAnsi"/>
        </w:rPr>
        <w:t>Arbuckle, J. L., &amp; Wothke, W. (1999). </w:t>
      </w:r>
      <w:r w:rsidR="00FA36F7" w:rsidRPr="00D7240E">
        <w:rPr>
          <w:rStyle w:val="Emphasis"/>
          <w:rFonts w:cstheme="minorHAnsi"/>
        </w:rPr>
        <w:t>AMOS 4.0 User’s guide</w:t>
      </w:r>
      <w:r w:rsidR="00FA36F7" w:rsidRPr="00D7240E">
        <w:rPr>
          <w:rFonts w:cstheme="minorHAnsi"/>
        </w:rPr>
        <w:t>. Chicago IL: Small Waters Corporation.</w:t>
      </w:r>
      <w:r w:rsidR="006241CA" w:rsidRPr="00D7240E">
        <w:rPr>
          <w:rFonts w:cstheme="minorHAnsi"/>
        </w:rPr>
        <w:t xml:space="preserve"> </w:t>
      </w:r>
    </w:p>
    <w:p w14:paraId="6D658679" w14:textId="34ED58B5" w:rsidR="00FA36F7" w:rsidRPr="00D7240E" w:rsidRDefault="00703D23" w:rsidP="00B767AE">
      <w:pPr>
        <w:spacing w:after="0"/>
        <w:ind w:left="720" w:hanging="720"/>
        <w:rPr>
          <w:rFonts w:cstheme="minorHAnsi"/>
        </w:rPr>
      </w:pPr>
      <w:r w:rsidRPr="00D7240E">
        <w:rPr>
          <w:rFonts w:cstheme="minorHAnsi"/>
        </w:rPr>
        <w:t xml:space="preserve">3. </w:t>
      </w:r>
      <w:r w:rsidR="00FA36F7" w:rsidRPr="00D7240E">
        <w:rPr>
          <w:rFonts w:cstheme="minorHAnsi"/>
        </w:rPr>
        <w:t>Baalbaki, M., &amp; Oswald, D. L. (2017, March). </w:t>
      </w:r>
      <w:r w:rsidR="00FA36F7" w:rsidRPr="00D7240E">
        <w:rPr>
          <w:rStyle w:val="Emphasis"/>
          <w:rFonts w:cstheme="minorHAnsi"/>
        </w:rPr>
        <w:t>College women write about sexism: What does it look like? Where does it happen? How do they respond?</w:t>
      </w:r>
      <w:r w:rsidR="00FA36F7" w:rsidRPr="00D7240E">
        <w:rPr>
          <w:rFonts w:cstheme="minorHAnsi"/>
        </w:rPr>
        <w:t> Poster presented at the 2017 Association for Women in Psychology Meetings, Milwaukee, WI.</w:t>
      </w:r>
      <w:r w:rsidR="006241CA" w:rsidRPr="00D7240E">
        <w:rPr>
          <w:rFonts w:cstheme="minorHAnsi"/>
        </w:rPr>
        <w:t xml:space="preserve"> </w:t>
      </w:r>
    </w:p>
    <w:p w14:paraId="6AE4B46F" w14:textId="67AFB7A0" w:rsidR="00FA36F7" w:rsidRPr="00D7240E" w:rsidRDefault="00703D23" w:rsidP="00B767AE">
      <w:pPr>
        <w:spacing w:after="0"/>
        <w:ind w:left="720" w:hanging="720"/>
        <w:rPr>
          <w:rFonts w:cstheme="minorHAnsi"/>
        </w:rPr>
      </w:pPr>
      <w:r w:rsidRPr="00D7240E">
        <w:rPr>
          <w:rFonts w:cstheme="minorHAnsi"/>
        </w:rPr>
        <w:t xml:space="preserve">4. </w:t>
      </w:r>
      <w:r w:rsidR="00FA36F7" w:rsidRPr="00D7240E">
        <w:rPr>
          <w:rFonts w:cstheme="minorHAnsi"/>
        </w:rPr>
        <w:t>Barreto, M., &amp; Ellemers, N. (2005). The burden of benevolent sexism: How it contributes to the maintenance of gender inequalities. </w:t>
      </w:r>
      <w:r w:rsidR="00FA36F7" w:rsidRPr="00D7240E">
        <w:rPr>
          <w:rStyle w:val="Emphasis"/>
          <w:rFonts w:cstheme="minorHAnsi"/>
        </w:rPr>
        <w:t>European Journal of Social Psychology, 35</w:t>
      </w:r>
      <w:r w:rsidR="00FA36F7" w:rsidRPr="00D7240E">
        <w:rPr>
          <w:rFonts w:cstheme="minorHAnsi"/>
        </w:rPr>
        <w:t>, 633–642. </w:t>
      </w:r>
      <w:r w:rsidR="00FA36F7" w:rsidRPr="00D7240E">
        <w:rPr>
          <w:rStyle w:val="externalref"/>
          <w:rFonts w:eastAsiaTheme="majorEastAsia" w:cstheme="minorHAnsi"/>
        </w:rPr>
        <w:t> </w:t>
      </w:r>
      <w:hyperlink r:id="rId186" w:tgtFrame="_blank" w:history="1">
        <w:r w:rsidR="00FA36F7" w:rsidRPr="00D7240E">
          <w:rPr>
            <w:rStyle w:val="refsource"/>
            <w:rFonts w:cstheme="minorHAnsi"/>
            <w:color w:val="4500A7"/>
            <w:u w:val="single"/>
          </w:rPr>
          <w:t>https://doi.org/10.1002/ejsp.270</w:t>
        </w:r>
      </w:hyperlink>
      <w:r w:rsidR="00FA36F7" w:rsidRPr="00D7240E">
        <w:rPr>
          <w:rFonts w:cstheme="minorHAnsi"/>
        </w:rPr>
        <w:t>.</w:t>
      </w:r>
      <w:r w:rsidR="006241CA" w:rsidRPr="00D7240E">
        <w:rPr>
          <w:rFonts w:cstheme="minorHAnsi"/>
        </w:rPr>
        <w:t xml:space="preserve"> </w:t>
      </w:r>
    </w:p>
    <w:p w14:paraId="62EAF67D" w14:textId="27A236E1" w:rsidR="00FA36F7" w:rsidRPr="00D7240E" w:rsidRDefault="00703D23" w:rsidP="00B767AE">
      <w:pPr>
        <w:spacing w:after="0"/>
        <w:ind w:left="720" w:hanging="720"/>
        <w:rPr>
          <w:rFonts w:cstheme="minorHAnsi"/>
        </w:rPr>
      </w:pPr>
      <w:r w:rsidRPr="00D7240E">
        <w:rPr>
          <w:rFonts w:cstheme="minorHAnsi"/>
        </w:rPr>
        <w:t xml:space="preserve">5. </w:t>
      </w:r>
      <w:r w:rsidR="00FA36F7" w:rsidRPr="00D7240E">
        <w:rPr>
          <w:rFonts w:cstheme="minorHAnsi"/>
        </w:rPr>
        <w:t>Barreto, M., Ellemers, B., Piebinga, L., &amp; Moya, M. (2010). How nice of us and how dumb of me: The effect of exposure to benevolent sexism on women’s task and relational self-descriptions. </w:t>
      </w:r>
      <w:r w:rsidR="00FA36F7" w:rsidRPr="00D7240E">
        <w:rPr>
          <w:rStyle w:val="Emphasis"/>
          <w:rFonts w:cstheme="minorHAnsi"/>
        </w:rPr>
        <w:t>Sex Roles, 62</w:t>
      </w:r>
      <w:r w:rsidR="00FA36F7" w:rsidRPr="00D7240E">
        <w:rPr>
          <w:rFonts w:cstheme="minorHAnsi"/>
        </w:rPr>
        <w:t>, 532–544. </w:t>
      </w:r>
      <w:r w:rsidR="00FA36F7" w:rsidRPr="00D7240E">
        <w:rPr>
          <w:rStyle w:val="externalref"/>
          <w:rFonts w:eastAsiaTheme="majorEastAsia" w:cstheme="minorHAnsi"/>
        </w:rPr>
        <w:t> </w:t>
      </w:r>
      <w:hyperlink r:id="rId187" w:tgtFrame="_blank" w:history="1">
        <w:r w:rsidR="00FA36F7" w:rsidRPr="00D7240E">
          <w:rPr>
            <w:rStyle w:val="refsource"/>
            <w:rFonts w:cstheme="minorHAnsi"/>
            <w:color w:val="4500A7"/>
            <w:u w:val="single"/>
          </w:rPr>
          <w:t>https://doi.org/10.1007/s11199-009-9699-0</w:t>
        </w:r>
      </w:hyperlink>
      <w:r w:rsidR="00FA36F7" w:rsidRPr="00D7240E">
        <w:rPr>
          <w:rFonts w:cstheme="minorHAnsi"/>
        </w:rPr>
        <w:t>.</w:t>
      </w:r>
      <w:r w:rsidR="00F53F0E" w:rsidRPr="00D7240E">
        <w:rPr>
          <w:rFonts w:cstheme="minorHAnsi"/>
        </w:rPr>
        <w:t xml:space="preserve"> </w:t>
      </w:r>
    </w:p>
    <w:p w14:paraId="6AFF1677" w14:textId="45EC0A57" w:rsidR="00FA36F7" w:rsidRPr="00D7240E" w:rsidRDefault="00703D23" w:rsidP="00B767AE">
      <w:pPr>
        <w:spacing w:after="0"/>
        <w:ind w:left="720" w:hanging="720"/>
        <w:rPr>
          <w:rFonts w:cstheme="minorHAnsi"/>
        </w:rPr>
      </w:pPr>
      <w:r w:rsidRPr="00D7240E">
        <w:rPr>
          <w:rFonts w:cstheme="minorHAnsi"/>
        </w:rPr>
        <w:t xml:space="preserve">6. </w:t>
      </w:r>
      <w:r w:rsidR="00FA36F7" w:rsidRPr="00D7240E">
        <w:rPr>
          <w:rFonts w:cstheme="minorHAnsi"/>
        </w:rPr>
        <w:t>Becker, J. C., &amp; Swim, J. K. (2011). Seeing the unseen: Attention to daily encounters with sexism as way to reduce sexist beliefs. </w:t>
      </w:r>
      <w:r w:rsidR="00FA36F7" w:rsidRPr="00D7240E">
        <w:rPr>
          <w:rStyle w:val="Emphasis"/>
          <w:rFonts w:cstheme="minorHAnsi"/>
        </w:rPr>
        <w:t>Psychology of Women Quarterly, 35</w:t>
      </w:r>
      <w:r w:rsidR="00FA36F7" w:rsidRPr="00D7240E">
        <w:rPr>
          <w:rFonts w:cstheme="minorHAnsi"/>
        </w:rPr>
        <w:t>, 227–242. </w:t>
      </w:r>
      <w:r w:rsidR="00FA36F7" w:rsidRPr="00D7240E">
        <w:rPr>
          <w:rStyle w:val="externalref"/>
          <w:rFonts w:eastAsiaTheme="majorEastAsia" w:cstheme="minorHAnsi"/>
        </w:rPr>
        <w:t> </w:t>
      </w:r>
      <w:hyperlink r:id="rId188" w:tgtFrame="_blank" w:history="1">
        <w:r w:rsidR="00FA36F7" w:rsidRPr="00D7240E">
          <w:rPr>
            <w:rStyle w:val="refsource"/>
            <w:rFonts w:cstheme="minorHAnsi"/>
            <w:color w:val="4500A7"/>
            <w:u w:val="single"/>
          </w:rPr>
          <w:t>https://doi.org/10.1177/0361684310397509</w:t>
        </w:r>
      </w:hyperlink>
      <w:r w:rsidR="00FA36F7" w:rsidRPr="00D7240E">
        <w:rPr>
          <w:rFonts w:cstheme="minorHAnsi"/>
        </w:rPr>
        <w:t>.</w:t>
      </w:r>
      <w:r w:rsidR="00F53F0E" w:rsidRPr="00D7240E">
        <w:rPr>
          <w:rFonts w:cstheme="minorHAnsi"/>
        </w:rPr>
        <w:t xml:space="preserve"> </w:t>
      </w:r>
    </w:p>
    <w:p w14:paraId="570DB323" w14:textId="721C7FAB" w:rsidR="00FA36F7" w:rsidRPr="00D7240E" w:rsidRDefault="00703D23" w:rsidP="00B767AE">
      <w:pPr>
        <w:spacing w:after="0"/>
        <w:ind w:left="720" w:hanging="720"/>
        <w:rPr>
          <w:rFonts w:cstheme="minorHAnsi"/>
        </w:rPr>
      </w:pPr>
      <w:r w:rsidRPr="00D7240E">
        <w:rPr>
          <w:rFonts w:cstheme="minorHAnsi"/>
        </w:rPr>
        <w:t xml:space="preserve">7. </w:t>
      </w:r>
      <w:r w:rsidR="00FA36F7" w:rsidRPr="00D7240E">
        <w:rPr>
          <w:rFonts w:cstheme="minorHAnsi"/>
        </w:rPr>
        <w:t>Becker, J. C., &amp; Wright, S. C. (2011). Yet another dark side of chivalry: Benevolent sexism undermines and hostile sexism motivates collective action for social change. </w:t>
      </w:r>
      <w:r w:rsidR="00FA36F7" w:rsidRPr="00D7240E">
        <w:rPr>
          <w:rStyle w:val="Emphasis"/>
          <w:rFonts w:cstheme="minorHAnsi"/>
        </w:rPr>
        <w:t>Journal of Personality and Social Psychology, 101</w:t>
      </w:r>
      <w:r w:rsidR="00FA36F7" w:rsidRPr="00D7240E">
        <w:rPr>
          <w:rFonts w:cstheme="minorHAnsi"/>
        </w:rPr>
        <w:t>, 62–77. </w:t>
      </w:r>
      <w:r w:rsidR="00FA36F7" w:rsidRPr="00D7240E">
        <w:rPr>
          <w:rStyle w:val="externalref"/>
          <w:rFonts w:eastAsiaTheme="majorEastAsia" w:cstheme="minorHAnsi"/>
        </w:rPr>
        <w:t> </w:t>
      </w:r>
      <w:hyperlink r:id="rId189" w:tgtFrame="_blank" w:history="1">
        <w:r w:rsidR="00FA36F7" w:rsidRPr="00D7240E">
          <w:rPr>
            <w:rStyle w:val="refsource"/>
            <w:rFonts w:cstheme="minorHAnsi"/>
            <w:color w:val="4500A7"/>
            <w:u w:val="single"/>
          </w:rPr>
          <w:t>https://doi.org/10.1037/a0022615</w:t>
        </w:r>
      </w:hyperlink>
      <w:r w:rsidR="00FA36F7" w:rsidRPr="00D7240E">
        <w:rPr>
          <w:rFonts w:cstheme="minorHAnsi"/>
        </w:rPr>
        <w:t>.</w:t>
      </w:r>
      <w:r w:rsidR="00F53F0E" w:rsidRPr="00D7240E">
        <w:rPr>
          <w:rFonts w:cstheme="minorHAnsi"/>
        </w:rPr>
        <w:t xml:space="preserve"> </w:t>
      </w:r>
    </w:p>
    <w:p w14:paraId="439E32BC" w14:textId="0E03D827" w:rsidR="00FA36F7" w:rsidRPr="00D7240E" w:rsidRDefault="00703D23" w:rsidP="00B767AE">
      <w:pPr>
        <w:spacing w:after="0"/>
        <w:ind w:left="720" w:hanging="720"/>
        <w:rPr>
          <w:rFonts w:cstheme="minorHAnsi"/>
        </w:rPr>
      </w:pPr>
      <w:r w:rsidRPr="00D7240E">
        <w:rPr>
          <w:rFonts w:cstheme="minorHAnsi"/>
        </w:rPr>
        <w:t xml:space="preserve">8. </w:t>
      </w:r>
      <w:r w:rsidR="00FA36F7" w:rsidRPr="00D7240E">
        <w:rPr>
          <w:rFonts w:cstheme="minorHAnsi"/>
        </w:rPr>
        <w:t>Becker, J. C., Glick, P., Ilic, M., &amp; Bohner, G. (2011). Damned if she does, damned if she doesn’t: Consequences of accepting versus confronting patronizing help for the female target and male actor. </w:t>
      </w:r>
      <w:r w:rsidR="00FA36F7" w:rsidRPr="00D7240E">
        <w:rPr>
          <w:rStyle w:val="Emphasis"/>
          <w:rFonts w:cstheme="minorHAnsi"/>
        </w:rPr>
        <w:t>European Journal of Social Psychology, 41</w:t>
      </w:r>
      <w:r w:rsidR="00FA36F7" w:rsidRPr="00D7240E">
        <w:rPr>
          <w:rFonts w:cstheme="minorHAnsi"/>
        </w:rPr>
        <w:t>, 761–773. </w:t>
      </w:r>
      <w:r w:rsidR="00FA36F7" w:rsidRPr="00D7240E">
        <w:rPr>
          <w:rStyle w:val="externalref"/>
          <w:rFonts w:eastAsiaTheme="majorEastAsia" w:cstheme="minorHAnsi"/>
        </w:rPr>
        <w:t> </w:t>
      </w:r>
      <w:hyperlink r:id="rId190" w:tgtFrame="_blank" w:history="1">
        <w:r w:rsidR="00FA36F7" w:rsidRPr="00D7240E">
          <w:rPr>
            <w:rStyle w:val="refsource"/>
            <w:rFonts w:cstheme="minorHAnsi"/>
            <w:color w:val="4500A7"/>
            <w:u w:val="single"/>
          </w:rPr>
          <w:t>https://doi.org/10.1002/ejsp.823</w:t>
        </w:r>
      </w:hyperlink>
      <w:r w:rsidR="00FA36F7" w:rsidRPr="00D7240E">
        <w:rPr>
          <w:rFonts w:cstheme="minorHAnsi"/>
        </w:rPr>
        <w:t>.</w:t>
      </w:r>
      <w:r w:rsidR="00F53F0E" w:rsidRPr="00D7240E">
        <w:rPr>
          <w:rFonts w:cstheme="minorHAnsi"/>
        </w:rPr>
        <w:t xml:space="preserve"> </w:t>
      </w:r>
    </w:p>
    <w:p w14:paraId="270D3B27" w14:textId="23DE66A5" w:rsidR="00FA36F7" w:rsidRPr="00D7240E" w:rsidRDefault="00703D23" w:rsidP="00B767AE">
      <w:pPr>
        <w:spacing w:after="0"/>
        <w:ind w:left="720" w:hanging="720"/>
        <w:rPr>
          <w:rFonts w:cstheme="minorHAnsi"/>
        </w:rPr>
      </w:pPr>
      <w:r w:rsidRPr="00D7240E">
        <w:rPr>
          <w:rFonts w:cstheme="minorHAnsi"/>
        </w:rPr>
        <w:t xml:space="preserve">9. </w:t>
      </w:r>
      <w:r w:rsidR="00FA36F7" w:rsidRPr="00D7240E">
        <w:rPr>
          <w:rFonts w:cstheme="minorHAnsi"/>
        </w:rPr>
        <w:t>Begany, J. J., &amp; Milburn, M. A. (2002). Psychological predictors of sexual harassment: Authoritarianism, hostile sexism, and rape myths. </w:t>
      </w:r>
      <w:r w:rsidR="00FA36F7" w:rsidRPr="00D7240E">
        <w:rPr>
          <w:rStyle w:val="Emphasis"/>
          <w:rFonts w:cstheme="minorHAnsi"/>
        </w:rPr>
        <w:t>Psychology of Men &amp; Masculinity, 3</w:t>
      </w:r>
      <w:r w:rsidR="00FA36F7" w:rsidRPr="00D7240E">
        <w:rPr>
          <w:rFonts w:cstheme="minorHAnsi"/>
        </w:rPr>
        <w:t>, 119–126. </w:t>
      </w:r>
      <w:r w:rsidR="00FA36F7" w:rsidRPr="00D7240E">
        <w:rPr>
          <w:rStyle w:val="externalref"/>
          <w:rFonts w:eastAsiaTheme="majorEastAsia" w:cstheme="minorHAnsi"/>
        </w:rPr>
        <w:t> </w:t>
      </w:r>
      <w:hyperlink r:id="rId191" w:tgtFrame="_blank" w:history="1">
        <w:r w:rsidR="00FA36F7" w:rsidRPr="00D7240E">
          <w:rPr>
            <w:rStyle w:val="refsource"/>
            <w:rFonts w:cstheme="minorHAnsi"/>
            <w:color w:val="4500A7"/>
            <w:u w:val="single"/>
          </w:rPr>
          <w:t>https://doi.org/10.1037/1524-9220.3.2.119</w:t>
        </w:r>
      </w:hyperlink>
      <w:r w:rsidR="00FA36F7" w:rsidRPr="00D7240E">
        <w:rPr>
          <w:rFonts w:cstheme="minorHAnsi"/>
        </w:rPr>
        <w:t>.</w:t>
      </w:r>
      <w:r w:rsidR="00F53F0E" w:rsidRPr="00D7240E">
        <w:rPr>
          <w:rFonts w:cstheme="minorHAnsi"/>
        </w:rPr>
        <w:t xml:space="preserve"> </w:t>
      </w:r>
    </w:p>
    <w:p w14:paraId="41A30D60" w14:textId="4AA0F30D" w:rsidR="00FA36F7" w:rsidRPr="00D7240E" w:rsidRDefault="00703D23" w:rsidP="00B767AE">
      <w:pPr>
        <w:spacing w:after="0"/>
        <w:ind w:left="720" w:hanging="720"/>
        <w:rPr>
          <w:rFonts w:cstheme="minorHAnsi"/>
        </w:rPr>
      </w:pPr>
      <w:r w:rsidRPr="00D7240E">
        <w:rPr>
          <w:rFonts w:cstheme="minorHAnsi"/>
        </w:rPr>
        <w:lastRenderedPageBreak/>
        <w:t xml:space="preserve">10. </w:t>
      </w:r>
      <w:r w:rsidR="00FA36F7" w:rsidRPr="00D7240E">
        <w:rPr>
          <w:rFonts w:cstheme="minorHAnsi"/>
        </w:rPr>
        <w:t>Bosson, J. K., Pinel, E. C., &amp; Vandello, J. A. (2010). The emotional impact of ambivalent sexism: Forecasts versus real experiences. </w:t>
      </w:r>
      <w:r w:rsidR="00FA36F7" w:rsidRPr="00D7240E">
        <w:rPr>
          <w:rStyle w:val="Emphasis"/>
          <w:rFonts w:cstheme="minorHAnsi"/>
        </w:rPr>
        <w:t>Sex Roles, 62</w:t>
      </w:r>
      <w:r w:rsidR="00FA36F7" w:rsidRPr="00D7240E">
        <w:rPr>
          <w:rFonts w:cstheme="minorHAnsi"/>
        </w:rPr>
        <w:t>, 520–531. </w:t>
      </w:r>
      <w:r w:rsidR="00FA36F7" w:rsidRPr="00D7240E">
        <w:rPr>
          <w:rStyle w:val="externalref"/>
          <w:rFonts w:eastAsiaTheme="majorEastAsia" w:cstheme="minorHAnsi"/>
        </w:rPr>
        <w:t> </w:t>
      </w:r>
      <w:hyperlink r:id="rId192" w:tgtFrame="_blank" w:history="1">
        <w:r w:rsidR="00FA36F7" w:rsidRPr="00D7240E">
          <w:rPr>
            <w:rStyle w:val="refsource"/>
            <w:rFonts w:cstheme="minorHAnsi"/>
            <w:color w:val="4500A7"/>
            <w:u w:val="single"/>
          </w:rPr>
          <w:t>https://doi.org/10.1007/s11199-009-9664-y</w:t>
        </w:r>
      </w:hyperlink>
      <w:r w:rsidR="00FA36F7" w:rsidRPr="00D7240E">
        <w:rPr>
          <w:rFonts w:cstheme="minorHAnsi"/>
        </w:rPr>
        <w:t>.</w:t>
      </w:r>
      <w:r w:rsidR="00F53F0E" w:rsidRPr="00D7240E">
        <w:rPr>
          <w:rFonts w:cstheme="minorHAnsi"/>
        </w:rPr>
        <w:t xml:space="preserve"> </w:t>
      </w:r>
    </w:p>
    <w:p w14:paraId="2744FD49" w14:textId="17432183" w:rsidR="00FA36F7" w:rsidRPr="00D7240E" w:rsidRDefault="00703D23" w:rsidP="00B767AE">
      <w:pPr>
        <w:spacing w:after="0"/>
        <w:ind w:left="720" w:hanging="720"/>
        <w:rPr>
          <w:rFonts w:cstheme="minorHAnsi"/>
        </w:rPr>
      </w:pPr>
      <w:r w:rsidRPr="00D7240E">
        <w:rPr>
          <w:rFonts w:cstheme="minorHAnsi"/>
        </w:rPr>
        <w:t xml:space="preserve">11. </w:t>
      </w:r>
      <w:r w:rsidR="00FA36F7" w:rsidRPr="00D7240E">
        <w:rPr>
          <w:rFonts w:cstheme="minorHAnsi"/>
        </w:rPr>
        <w:t>Bryant, A. N. (2003). Changes in attitudes toward women's roles: Predicting gender-role traditionalism among college students. </w:t>
      </w:r>
      <w:r w:rsidR="00FA36F7" w:rsidRPr="00D7240E">
        <w:rPr>
          <w:rStyle w:val="Emphasis"/>
          <w:rFonts w:cstheme="minorHAnsi"/>
        </w:rPr>
        <w:t>Sex Roles, 48</w:t>
      </w:r>
      <w:r w:rsidR="00FA36F7" w:rsidRPr="00D7240E">
        <w:rPr>
          <w:rFonts w:cstheme="minorHAnsi"/>
        </w:rPr>
        <w:t>, 131–142. </w:t>
      </w:r>
      <w:r w:rsidR="00FA36F7" w:rsidRPr="00D7240E">
        <w:rPr>
          <w:rStyle w:val="externalref"/>
          <w:rFonts w:eastAsiaTheme="majorEastAsia" w:cstheme="minorHAnsi"/>
        </w:rPr>
        <w:t> </w:t>
      </w:r>
      <w:hyperlink r:id="rId193" w:tgtFrame="_blank" w:history="1">
        <w:r w:rsidR="00FA36F7" w:rsidRPr="00D7240E">
          <w:rPr>
            <w:rStyle w:val="refsource"/>
            <w:rFonts w:cstheme="minorHAnsi"/>
            <w:color w:val="4500A7"/>
            <w:u w:val="single"/>
          </w:rPr>
          <w:t>https://doi.org/10.1023/A:1022451205292</w:t>
        </w:r>
      </w:hyperlink>
      <w:r w:rsidR="00FA36F7" w:rsidRPr="00D7240E">
        <w:rPr>
          <w:rFonts w:cstheme="minorHAnsi"/>
        </w:rPr>
        <w:t>.</w:t>
      </w:r>
      <w:r w:rsidR="00F53F0E" w:rsidRPr="00D7240E">
        <w:rPr>
          <w:rFonts w:cstheme="minorHAnsi"/>
        </w:rPr>
        <w:t xml:space="preserve"> </w:t>
      </w:r>
    </w:p>
    <w:p w14:paraId="1CB59218" w14:textId="602D0190" w:rsidR="00FA36F7" w:rsidRPr="00D7240E" w:rsidRDefault="00703D23" w:rsidP="00B767AE">
      <w:pPr>
        <w:spacing w:after="0"/>
        <w:ind w:left="720" w:hanging="720"/>
        <w:rPr>
          <w:rFonts w:cstheme="minorHAnsi"/>
        </w:rPr>
      </w:pPr>
      <w:r w:rsidRPr="00D7240E">
        <w:rPr>
          <w:rFonts w:cstheme="minorHAnsi"/>
        </w:rPr>
        <w:t xml:space="preserve">12. </w:t>
      </w:r>
      <w:r w:rsidR="00FA36F7" w:rsidRPr="00D7240E">
        <w:rPr>
          <w:rFonts w:cstheme="minorHAnsi"/>
        </w:rPr>
        <w:t>Buhrmester, M., Kwang, T., &amp; Gosling, S. D. (2011). Amazon's Mechanical Turk a new source of inexpensive, yet high-quality, data? </w:t>
      </w:r>
      <w:r w:rsidR="00FA36F7" w:rsidRPr="00D7240E">
        <w:rPr>
          <w:rStyle w:val="Emphasis"/>
          <w:rFonts w:cstheme="minorHAnsi"/>
        </w:rPr>
        <w:t>Perspectives on Psychological Science, 6</w:t>
      </w:r>
      <w:r w:rsidR="00FA36F7" w:rsidRPr="00D7240E">
        <w:rPr>
          <w:rFonts w:cstheme="minorHAnsi"/>
        </w:rPr>
        <w:t>(1), 3–5. </w:t>
      </w:r>
      <w:r w:rsidR="00FA36F7" w:rsidRPr="00D7240E">
        <w:rPr>
          <w:rStyle w:val="externalref"/>
          <w:rFonts w:eastAsiaTheme="majorEastAsia" w:cstheme="minorHAnsi"/>
        </w:rPr>
        <w:t> </w:t>
      </w:r>
      <w:hyperlink r:id="rId194" w:tgtFrame="_blank" w:history="1">
        <w:r w:rsidR="00FA36F7" w:rsidRPr="00D7240E">
          <w:rPr>
            <w:rStyle w:val="refsource"/>
            <w:rFonts w:cstheme="minorHAnsi"/>
            <w:color w:val="4500A7"/>
            <w:u w:val="single"/>
          </w:rPr>
          <w:t>https://doi.org/10.1177/1745691610393980</w:t>
        </w:r>
      </w:hyperlink>
      <w:r w:rsidR="00FA36F7" w:rsidRPr="00D7240E">
        <w:rPr>
          <w:rFonts w:cstheme="minorHAnsi"/>
        </w:rPr>
        <w:t>.</w:t>
      </w:r>
      <w:r w:rsidR="00F53F0E" w:rsidRPr="00D7240E">
        <w:rPr>
          <w:rFonts w:cstheme="minorHAnsi"/>
        </w:rPr>
        <w:t xml:space="preserve"> </w:t>
      </w:r>
    </w:p>
    <w:p w14:paraId="7CB25B83" w14:textId="2AAAF37E" w:rsidR="00FA36F7" w:rsidRPr="00D7240E" w:rsidRDefault="00703D23" w:rsidP="00B767AE">
      <w:pPr>
        <w:spacing w:after="0"/>
        <w:ind w:left="720" w:hanging="720"/>
        <w:rPr>
          <w:rFonts w:cstheme="minorHAnsi"/>
        </w:rPr>
      </w:pPr>
      <w:r w:rsidRPr="00D7240E">
        <w:rPr>
          <w:rFonts w:cstheme="minorHAnsi"/>
        </w:rPr>
        <w:t xml:space="preserve">13. </w:t>
      </w:r>
      <w:r w:rsidR="00FA36F7" w:rsidRPr="00D7240E">
        <w:rPr>
          <w:rFonts w:cstheme="minorHAnsi"/>
        </w:rPr>
        <w:t>Chapleau, K. M., Oswald, D. L., &amp; Russell, B. L. (2007). How ambivalent sexism toward women and men support rape myth acceptance. </w:t>
      </w:r>
      <w:r w:rsidR="00FA36F7" w:rsidRPr="00D7240E">
        <w:rPr>
          <w:rStyle w:val="Emphasis"/>
          <w:rFonts w:cstheme="minorHAnsi"/>
        </w:rPr>
        <w:t>Sex Roles, 57</w:t>
      </w:r>
      <w:r w:rsidR="00FA36F7" w:rsidRPr="00D7240E">
        <w:rPr>
          <w:rFonts w:cstheme="minorHAnsi"/>
        </w:rPr>
        <w:t>, 131–136. </w:t>
      </w:r>
      <w:r w:rsidR="00FA36F7" w:rsidRPr="00D7240E">
        <w:rPr>
          <w:rStyle w:val="externalref"/>
          <w:rFonts w:eastAsiaTheme="majorEastAsia" w:cstheme="minorHAnsi"/>
        </w:rPr>
        <w:t> </w:t>
      </w:r>
      <w:hyperlink r:id="rId195" w:tgtFrame="_blank" w:history="1">
        <w:r w:rsidR="00FA36F7" w:rsidRPr="00D7240E">
          <w:rPr>
            <w:rStyle w:val="refsource"/>
            <w:rFonts w:cstheme="minorHAnsi"/>
            <w:color w:val="4500A7"/>
            <w:u w:val="single"/>
          </w:rPr>
          <w:t>https://doi.org/10.1007/s11199-007-9196-2</w:t>
        </w:r>
      </w:hyperlink>
      <w:r w:rsidR="00FA36F7" w:rsidRPr="00D7240E">
        <w:rPr>
          <w:rFonts w:cstheme="minorHAnsi"/>
        </w:rPr>
        <w:t>.</w:t>
      </w:r>
      <w:r w:rsidR="00F53F0E" w:rsidRPr="00D7240E">
        <w:rPr>
          <w:rFonts w:cstheme="minorHAnsi"/>
        </w:rPr>
        <w:t xml:space="preserve"> </w:t>
      </w:r>
    </w:p>
    <w:p w14:paraId="616DA4A7" w14:textId="38B32253" w:rsidR="00FA36F7" w:rsidRPr="00D7240E" w:rsidRDefault="00703D23" w:rsidP="00B767AE">
      <w:pPr>
        <w:spacing w:after="0"/>
        <w:ind w:left="720" w:hanging="720"/>
        <w:rPr>
          <w:rFonts w:cstheme="minorHAnsi"/>
        </w:rPr>
      </w:pPr>
      <w:r w:rsidRPr="00D7240E">
        <w:rPr>
          <w:rFonts w:cstheme="minorHAnsi"/>
        </w:rPr>
        <w:t xml:space="preserve">14. </w:t>
      </w:r>
      <w:r w:rsidR="00FA36F7" w:rsidRPr="00D7240E">
        <w:rPr>
          <w:rFonts w:cstheme="minorHAnsi"/>
        </w:rPr>
        <w:t>Chisango, T., &amp; Javangwe, G. (2012). Are people better at recognizing ambivalent sexism on the basis of non-standard profiles than the standard ASI ones? </w:t>
      </w:r>
      <w:r w:rsidR="00FA36F7" w:rsidRPr="00D7240E">
        <w:rPr>
          <w:rStyle w:val="Emphasis"/>
          <w:rFonts w:cstheme="minorHAnsi"/>
        </w:rPr>
        <w:t>Sex Roles, 67</w:t>
      </w:r>
      <w:r w:rsidR="00FA36F7" w:rsidRPr="00D7240E">
        <w:rPr>
          <w:rFonts w:cstheme="minorHAnsi"/>
        </w:rPr>
        <w:t>, 69–82. </w:t>
      </w:r>
      <w:r w:rsidR="00FA36F7" w:rsidRPr="00D7240E">
        <w:rPr>
          <w:rStyle w:val="externalref"/>
          <w:rFonts w:eastAsiaTheme="majorEastAsia" w:cstheme="minorHAnsi"/>
        </w:rPr>
        <w:t> </w:t>
      </w:r>
      <w:hyperlink r:id="rId196" w:tgtFrame="_blank" w:history="1">
        <w:r w:rsidR="00FA36F7" w:rsidRPr="00D7240E">
          <w:rPr>
            <w:rStyle w:val="refsource"/>
            <w:rFonts w:cstheme="minorHAnsi"/>
            <w:color w:val="4500A7"/>
            <w:u w:val="single"/>
          </w:rPr>
          <w:t>https://doi.org/10.1007/s11199-012-0146-2</w:t>
        </w:r>
      </w:hyperlink>
      <w:r w:rsidR="00FA36F7" w:rsidRPr="00D7240E">
        <w:rPr>
          <w:rFonts w:cstheme="minorHAnsi"/>
        </w:rPr>
        <w:t>.</w:t>
      </w:r>
      <w:r w:rsidR="00F53F0E" w:rsidRPr="00D7240E">
        <w:rPr>
          <w:rFonts w:cstheme="minorHAnsi"/>
        </w:rPr>
        <w:t xml:space="preserve"> </w:t>
      </w:r>
    </w:p>
    <w:p w14:paraId="46528272" w14:textId="77C174A5" w:rsidR="00FA36F7" w:rsidRPr="00D7240E" w:rsidRDefault="00703D23" w:rsidP="00B767AE">
      <w:pPr>
        <w:spacing w:after="0"/>
        <w:ind w:left="720" w:hanging="720"/>
        <w:rPr>
          <w:rFonts w:cstheme="minorHAnsi"/>
        </w:rPr>
      </w:pPr>
      <w:r w:rsidRPr="00D7240E">
        <w:rPr>
          <w:rFonts w:cstheme="minorHAnsi"/>
        </w:rPr>
        <w:t xml:space="preserve">15. </w:t>
      </w:r>
      <w:r w:rsidR="00FA36F7" w:rsidRPr="00D7240E">
        <w:rPr>
          <w:rFonts w:cstheme="minorHAnsi"/>
        </w:rPr>
        <w:t>Connelly, K., &amp; Heesacker, M. (2012). Why is benevolent sexism appealing? Associations with system justification and life satisfaction. </w:t>
      </w:r>
      <w:r w:rsidR="00FA36F7" w:rsidRPr="00D7240E">
        <w:rPr>
          <w:rStyle w:val="Emphasis"/>
          <w:rFonts w:cstheme="minorHAnsi"/>
        </w:rPr>
        <w:t>Psychology of Women Quarterly, 36</w:t>
      </w:r>
      <w:r w:rsidR="00FA36F7" w:rsidRPr="00D7240E">
        <w:rPr>
          <w:rFonts w:cstheme="minorHAnsi"/>
        </w:rPr>
        <w:t>, 432–443. </w:t>
      </w:r>
      <w:r w:rsidR="00FA36F7" w:rsidRPr="00D7240E">
        <w:rPr>
          <w:rStyle w:val="externalref"/>
          <w:rFonts w:eastAsiaTheme="majorEastAsia" w:cstheme="minorHAnsi"/>
        </w:rPr>
        <w:t> </w:t>
      </w:r>
      <w:hyperlink r:id="rId197" w:tgtFrame="_blank" w:history="1">
        <w:r w:rsidR="00FA36F7" w:rsidRPr="00D7240E">
          <w:rPr>
            <w:rStyle w:val="refsource"/>
            <w:rFonts w:cstheme="minorHAnsi"/>
            <w:color w:val="4500A7"/>
            <w:u w:val="single"/>
          </w:rPr>
          <w:t>https://doi.org/10.1177/0361684312456369</w:t>
        </w:r>
      </w:hyperlink>
      <w:r w:rsidR="00FA36F7" w:rsidRPr="00D7240E">
        <w:rPr>
          <w:rFonts w:cstheme="minorHAnsi"/>
        </w:rPr>
        <w:t>.</w:t>
      </w:r>
      <w:r w:rsidR="00F53F0E" w:rsidRPr="00D7240E">
        <w:rPr>
          <w:rFonts w:cstheme="minorHAnsi"/>
        </w:rPr>
        <w:t xml:space="preserve"> </w:t>
      </w:r>
    </w:p>
    <w:p w14:paraId="666318D7" w14:textId="19D5AD4A" w:rsidR="00FA36F7" w:rsidRPr="00D7240E" w:rsidRDefault="00703D23" w:rsidP="00B767AE">
      <w:pPr>
        <w:spacing w:after="0"/>
        <w:ind w:left="720" w:hanging="720"/>
        <w:rPr>
          <w:rFonts w:cstheme="minorHAnsi"/>
        </w:rPr>
      </w:pPr>
      <w:r w:rsidRPr="00D7240E">
        <w:rPr>
          <w:rFonts w:cstheme="minorHAnsi"/>
        </w:rPr>
        <w:t xml:space="preserve">16. </w:t>
      </w:r>
      <w:r w:rsidR="00FA36F7" w:rsidRPr="00D7240E">
        <w:rPr>
          <w:rFonts w:cstheme="minorHAnsi"/>
        </w:rPr>
        <w:t>Cummins, R. A., Eckersley, R., Pallant, J., van Vugt, J., &amp; Misajon, R. (2003). Developing a national index of subjective well-being: The Australian Unity Well-being Index. </w:t>
      </w:r>
      <w:r w:rsidR="00FA36F7" w:rsidRPr="00D7240E">
        <w:rPr>
          <w:rStyle w:val="Emphasis"/>
          <w:rFonts w:cstheme="minorHAnsi"/>
        </w:rPr>
        <w:t>Social Indicators Research, 64</w:t>
      </w:r>
      <w:r w:rsidR="00FA36F7" w:rsidRPr="00D7240E">
        <w:rPr>
          <w:rFonts w:cstheme="minorHAnsi"/>
        </w:rPr>
        <w:t>, 159–190. </w:t>
      </w:r>
      <w:r w:rsidR="00FA36F7" w:rsidRPr="00D7240E">
        <w:rPr>
          <w:rStyle w:val="externalref"/>
          <w:rFonts w:eastAsiaTheme="majorEastAsia" w:cstheme="minorHAnsi"/>
        </w:rPr>
        <w:t> </w:t>
      </w:r>
      <w:hyperlink r:id="rId198" w:tgtFrame="_blank" w:history="1">
        <w:r w:rsidR="00FA36F7" w:rsidRPr="00D7240E">
          <w:rPr>
            <w:rStyle w:val="refsource"/>
            <w:rFonts w:cstheme="minorHAnsi"/>
            <w:color w:val="4500A7"/>
            <w:u w:val="single"/>
          </w:rPr>
          <w:t>https://doi.org/10.1023/A:1024704320683</w:t>
        </w:r>
      </w:hyperlink>
      <w:r w:rsidR="00FA36F7" w:rsidRPr="00D7240E">
        <w:rPr>
          <w:rFonts w:cstheme="minorHAnsi"/>
        </w:rPr>
        <w:t>.</w:t>
      </w:r>
      <w:r w:rsidR="00F53F0E" w:rsidRPr="00D7240E">
        <w:rPr>
          <w:rFonts w:cstheme="minorHAnsi"/>
        </w:rPr>
        <w:t xml:space="preserve"> </w:t>
      </w:r>
    </w:p>
    <w:p w14:paraId="06D5E69C" w14:textId="058BF8F4" w:rsidR="00F53F0E" w:rsidRPr="00D7240E" w:rsidRDefault="00703D23" w:rsidP="00B767AE">
      <w:pPr>
        <w:spacing w:after="0"/>
        <w:ind w:left="720" w:hanging="720"/>
        <w:rPr>
          <w:rFonts w:cstheme="minorHAnsi"/>
        </w:rPr>
      </w:pPr>
      <w:r w:rsidRPr="00D7240E">
        <w:rPr>
          <w:rFonts w:cstheme="minorHAnsi"/>
        </w:rPr>
        <w:t xml:space="preserve">17. </w:t>
      </w:r>
      <w:r w:rsidR="00FA36F7" w:rsidRPr="00D7240E">
        <w:rPr>
          <w:rFonts w:cstheme="minorHAnsi"/>
        </w:rPr>
        <w:t>Diener, E., Wirtz, D., Tov, W., Kim-Prieto, C., Choi, D., Oishi, S., &amp; Biswas-Diener, R. (2010). New well-being measures: Short scales to assess flourishing and positive and negative feelings. </w:t>
      </w:r>
      <w:r w:rsidR="00FA36F7" w:rsidRPr="00D7240E">
        <w:rPr>
          <w:rStyle w:val="Emphasis"/>
          <w:rFonts w:cstheme="minorHAnsi"/>
        </w:rPr>
        <w:t>Social Indicators Research, 97</w:t>
      </w:r>
      <w:r w:rsidR="00FA36F7" w:rsidRPr="00D7240E">
        <w:rPr>
          <w:rFonts w:cstheme="minorHAnsi"/>
        </w:rPr>
        <w:t>, 143–156. </w:t>
      </w:r>
      <w:r w:rsidR="00FA36F7" w:rsidRPr="00D7240E">
        <w:rPr>
          <w:rStyle w:val="externalref"/>
          <w:rFonts w:eastAsiaTheme="majorEastAsia" w:cstheme="minorHAnsi"/>
        </w:rPr>
        <w:t> </w:t>
      </w:r>
      <w:hyperlink r:id="rId199" w:tgtFrame="_blank" w:history="1">
        <w:r w:rsidR="00FA36F7" w:rsidRPr="00D7240E">
          <w:rPr>
            <w:rStyle w:val="refsource"/>
            <w:rFonts w:cstheme="minorHAnsi"/>
            <w:color w:val="4500A7"/>
            <w:u w:val="single"/>
          </w:rPr>
          <w:t>https://doi.org/10.1007/sll205-009-9493-y</w:t>
        </w:r>
      </w:hyperlink>
      <w:r w:rsidR="00FA36F7" w:rsidRPr="00D7240E">
        <w:rPr>
          <w:rFonts w:cstheme="minorHAnsi"/>
        </w:rPr>
        <w:t>.</w:t>
      </w:r>
      <w:r w:rsidR="00F53F0E" w:rsidRPr="00D7240E">
        <w:rPr>
          <w:rFonts w:cstheme="minorHAnsi"/>
        </w:rPr>
        <w:t xml:space="preserve"> </w:t>
      </w:r>
    </w:p>
    <w:p w14:paraId="256757DB" w14:textId="06A57C44" w:rsidR="00FA36F7" w:rsidRPr="00D7240E" w:rsidRDefault="00703D23" w:rsidP="00B767AE">
      <w:pPr>
        <w:spacing w:after="0"/>
        <w:ind w:left="720" w:hanging="720"/>
        <w:rPr>
          <w:rFonts w:cstheme="minorHAnsi"/>
        </w:rPr>
      </w:pPr>
      <w:r w:rsidRPr="00D7240E">
        <w:rPr>
          <w:rFonts w:cstheme="minorHAnsi"/>
        </w:rPr>
        <w:t xml:space="preserve">18. </w:t>
      </w:r>
      <w:r w:rsidR="00FA36F7" w:rsidRPr="00D7240E">
        <w:rPr>
          <w:rFonts w:cstheme="minorHAnsi"/>
        </w:rPr>
        <w:t>Donnellan, M. B., Trzesniewski, K. H., &amp; Robins, R. W. (2015). Measures of self-esteem. In G. J. Boyle, D. H. Saklofske, &amp; G. Matthews (Eds.), </w:t>
      </w:r>
      <w:r w:rsidR="00FA36F7" w:rsidRPr="00D7240E">
        <w:rPr>
          <w:rStyle w:val="Emphasis"/>
          <w:rFonts w:cstheme="minorHAnsi"/>
        </w:rPr>
        <w:t>Personality and social psychological constructs</w:t>
      </w:r>
      <w:r w:rsidR="00FA36F7" w:rsidRPr="00D7240E">
        <w:rPr>
          <w:rFonts w:cstheme="minorHAnsi"/>
        </w:rPr>
        <w:t> (pp. 131–157). London, UK: Academic Press.</w:t>
      </w:r>
      <w:r w:rsidR="00F53F0E" w:rsidRPr="00D7240E">
        <w:rPr>
          <w:rFonts w:cstheme="minorHAnsi"/>
        </w:rPr>
        <w:t xml:space="preserve"> </w:t>
      </w:r>
    </w:p>
    <w:p w14:paraId="08A23578" w14:textId="7EA32D74" w:rsidR="00FA36F7" w:rsidRPr="00D7240E" w:rsidRDefault="00703D23" w:rsidP="00B767AE">
      <w:pPr>
        <w:spacing w:after="0"/>
        <w:ind w:left="720" w:hanging="720"/>
        <w:rPr>
          <w:rFonts w:cstheme="minorHAnsi"/>
        </w:rPr>
      </w:pPr>
      <w:r w:rsidRPr="00D7240E">
        <w:rPr>
          <w:rFonts w:cstheme="minorHAnsi"/>
        </w:rPr>
        <w:t xml:space="preserve">19. </w:t>
      </w:r>
      <w:r w:rsidR="00FA36F7" w:rsidRPr="00D7240E">
        <w:rPr>
          <w:rFonts w:cstheme="minorHAnsi"/>
        </w:rPr>
        <w:t>Dumont, M., Sarlet, M., &amp; Dardenne, B. (2010). Be too kind to a woman, she’ll feel incompetent: Benevolent sexism shifts self-construal and autobiographical memories toward incompetence. </w:t>
      </w:r>
      <w:r w:rsidR="00FA36F7" w:rsidRPr="00D7240E">
        <w:rPr>
          <w:rStyle w:val="Emphasis"/>
          <w:rFonts w:cstheme="minorHAnsi"/>
        </w:rPr>
        <w:t>Sex Roles, 62</w:t>
      </w:r>
      <w:r w:rsidR="00FA36F7" w:rsidRPr="00D7240E">
        <w:rPr>
          <w:rFonts w:cstheme="minorHAnsi"/>
        </w:rPr>
        <w:t>, 545–553. </w:t>
      </w:r>
      <w:r w:rsidR="00FA36F7" w:rsidRPr="00D7240E">
        <w:rPr>
          <w:rStyle w:val="externalref"/>
          <w:rFonts w:eastAsiaTheme="majorEastAsia" w:cstheme="minorHAnsi"/>
        </w:rPr>
        <w:t> </w:t>
      </w:r>
      <w:hyperlink r:id="rId200" w:tgtFrame="_blank" w:history="1">
        <w:r w:rsidR="00FA36F7" w:rsidRPr="00D7240E">
          <w:rPr>
            <w:rStyle w:val="refsource"/>
            <w:rFonts w:cstheme="minorHAnsi"/>
            <w:color w:val="4500A7"/>
            <w:u w:val="single"/>
          </w:rPr>
          <w:t>https://doi.org/10.1007/s11199-008-9582-4</w:t>
        </w:r>
      </w:hyperlink>
      <w:r w:rsidR="00FA36F7" w:rsidRPr="00D7240E">
        <w:rPr>
          <w:rFonts w:cstheme="minorHAnsi"/>
        </w:rPr>
        <w:t>.</w:t>
      </w:r>
      <w:r w:rsidR="00F53F0E" w:rsidRPr="00D7240E">
        <w:rPr>
          <w:rFonts w:cstheme="minorHAnsi"/>
        </w:rPr>
        <w:t xml:space="preserve"> </w:t>
      </w:r>
    </w:p>
    <w:p w14:paraId="51E9FCF5" w14:textId="6AFFC70F" w:rsidR="00FA36F7" w:rsidRPr="00D7240E" w:rsidRDefault="00703D23" w:rsidP="00B767AE">
      <w:pPr>
        <w:spacing w:after="0"/>
        <w:ind w:left="720" w:hanging="720"/>
        <w:rPr>
          <w:rFonts w:cstheme="minorHAnsi"/>
        </w:rPr>
      </w:pPr>
      <w:r w:rsidRPr="00D7240E">
        <w:rPr>
          <w:rFonts w:cstheme="minorHAnsi"/>
        </w:rPr>
        <w:t xml:space="preserve">20. </w:t>
      </w:r>
      <w:r w:rsidR="00FA36F7" w:rsidRPr="00D7240E">
        <w:rPr>
          <w:rFonts w:cstheme="minorHAnsi"/>
        </w:rPr>
        <w:t>Farkas, T., &amp; Leaper, C. (2016). Chivalry’s double-edged sword: How girls’ and boys’ paternalistic attitudes relate to their possible family and work selves. </w:t>
      </w:r>
      <w:r w:rsidR="00FA36F7" w:rsidRPr="00D7240E">
        <w:rPr>
          <w:rStyle w:val="Emphasis"/>
          <w:rFonts w:cstheme="minorHAnsi"/>
        </w:rPr>
        <w:t>Sex Roles, 74</w:t>
      </w:r>
      <w:r w:rsidR="00FA36F7" w:rsidRPr="00D7240E">
        <w:rPr>
          <w:rFonts w:cstheme="minorHAnsi"/>
        </w:rPr>
        <w:t>, 220–230. </w:t>
      </w:r>
      <w:r w:rsidR="00FA36F7" w:rsidRPr="00D7240E">
        <w:rPr>
          <w:rStyle w:val="externalref"/>
          <w:rFonts w:eastAsiaTheme="majorEastAsia" w:cstheme="minorHAnsi"/>
        </w:rPr>
        <w:t> </w:t>
      </w:r>
      <w:hyperlink r:id="rId201" w:tgtFrame="_blank" w:history="1">
        <w:r w:rsidR="00FA36F7" w:rsidRPr="00D7240E">
          <w:rPr>
            <w:rStyle w:val="refsource"/>
            <w:rFonts w:cstheme="minorHAnsi"/>
            <w:color w:val="4500A7"/>
            <w:u w:val="single"/>
          </w:rPr>
          <w:t>https://doi.org/10.1007/s11199-015-0556-z</w:t>
        </w:r>
      </w:hyperlink>
      <w:r w:rsidR="00FA36F7" w:rsidRPr="00D7240E">
        <w:rPr>
          <w:rFonts w:cstheme="minorHAnsi"/>
        </w:rPr>
        <w:t>.</w:t>
      </w:r>
      <w:r w:rsidR="00F53F0E" w:rsidRPr="00D7240E">
        <w:rPr>
          <w:rFonts w:cstheme="minorHAnsi"/>
        </w:rPr>
        <w:t xml:space="preserve"> </w:t>
      </w:r>
    </w:p>
    <w:p w14:paraId="189A1DF8" w14:textId="061084F1" w:rsidR="00FA36F7" w:rsidRPr="00D7240E" w:rsidRDefault="00703D23" w:rsidP="00B767AE">
      <w:pPr>
        <w:spacing w:after="0"/>
        <w:ind w:left="720" w:hanging="720"/>
        <w:rPr>
          <w:rFonts w:cstheme="minorHAnsi"/>
        </w:rPr>
      </w:pPr>
      <w:r w:rsidRPr="00D7240E">
        <w:rPr>
          <w:rFonts w:cstheme="minorHAnsi"/>
        </w:rPr>
        <w:t xml:space="preserve">21. </w:t>
      </w:r>
      <w:r w:rsidR="00FA36F7" w:rsidRPr="00D7240E">
        <w:rPr>
          <w:rFonts w:cstheme="minorHAnsi"/>
        </w:rPr>
        <w:t>Ford, T. E., Boxer, C. F., Armstrong, J., &amp; Edel, J. R. (2008). More than “just a joke”: The prejudice-releasing function of sexist humor. </w:t>
      </w:r>
      <w:r w:rsidR="00FA36F7" w:rsidRPr="00D7240E">
        <w:rPr>
          <w:rStyle w:val="Emphasis"/>
          <w:rFonts w:cstheme="minorHAnsi"/>
        </w:rPr>
        <w:t>Personality and Social Psychology Bulletin, 34</w:t>
      </w:r>
      <w:r w:rsidR="00FA36F7" w:rsidRPr="00D7240E">
        <w:rPr>
          <w:rFonts w:cstheme="minorHAnsi"/>
        </w:rPr>
        <w:t>, 159–170. </w:t>
      </w:r>
      <w:r w:rsidR="00FA36F7" w:rsidRPr="00D7240E">
        <w:rPr>
          <w:rStyle w:val="externalref"/>
          <w:rFonts w:eastAsiaTheme="majorEastAsia" w:cstheme="minorHAnsi"/>
        </w:rPr>
        <w:t> </w:t>
      </w:r>
      <w:hyperlink r:id="rId202" w:tgtFrame="_blank" w:history="1">
        <w:r w:rsidR="00FA36F7" w:rsidRPr="00D7240E">
          <w:rPr>
            <w:rStyle w:val="refsource"/>
            <w:rFonts w:cstheme="minorHAnsi"/>
            <w:color w:val="4500A7"/>
            <w:u w:val="single"/>
          </w:rPr>
          <w:t>https://doi.org/10.1177/0146167207310022</w:t>
        </w:r>
      </w:hyperlink>
      <w:r w:rsidR="00FA36F7" w:rsidRPr="00D7240E">
        <w:rPr>
          <w:rFonts w:cstheme="minorHAnsi"/>
        </w:rPr>
        <w:t>.</w:t>
      </w:r>
      <w:r w:rsidR="00F53F0E" w:rsidRPr="00D7240E">
        <w:rPr>
          <w:rFonts w:cstheme="minorHAnsi"/>
        </w:rPr>
        <w:t xml:space="preserve"> </w:t>
      </w:r>
    </w:p>
    <w:p w14:paraId="6B7C7A33" w14:textId="5CF3A6B1" w:rsidR="00FA36F7" w:rsidRPr="00D7240E" w:rsidRDefault="00703D23" w:rsidP="00B767AE">
      <w:pPr>
        <w:spacing w:after="0"/>
        <w:ind w:left="720" w:hanging="720"/>
        <w:rPr>
          <w:rFonts w:cstheme="minorHAnsi"/>
        </w:rPr>
      </w:pPr>
      <w:r w:rsidRPr="00D7240E">
        <w:rPr>
          <w:rFonts w:cstheme="minorHAnsi"/>
        </w:rPr>
        <w:t xml:space="preserve">22. </w:t>
      </w:r>
      <w:r w:rsidR="00FA36F7" w:rsidRPr="00D7240E">
        <w:rPr>
          <w:rFonts w:cstheme="minorHAnsi"/>
        </w:rPr>
        <w:t>Gervais, S. J., &amp; Vescio, T. K. (2012). The effect of patronizing behaviour and control on men and women’s performance in stereotypically masculine domains. </w:t>
      </w:r>
      <w:r w:rsidR="00FA36F7" w:rsidRPr="00D7240E">
        <w:rPr>
          <w:rStyle w:val="Emphasis"/>
          <w:rFonts w:cstheme="minorHAnsi"/>
        </w:rPr>
        <w:t>Sex Roles, 66</w:t>
      </w:r>
      <w:r w:rsidR="00FA36F7" w:rsidRPr="00D7240E">
        <w:rPr>
          <w:rFonts w:cstheme="minorHAnsi"/>
        </w:rPr>
        <w:t>, 479–491. </w:t>
      </w:r>
      <w:r w:rsidR="00FA36F7" w:rsidRPr="00D7240E">
        <w:rPr>
          <w:rStyle w:val="externalref"/>
          <w:rFonts w:eastAsiaTheme="majorEastAsia" w:cstheme="minorHAnsi"/>
        </w:rPr>
        <w:t> </w:t>
      </w:r>
      <w:hyperlink r:id="rId203" w:tgtFrame="_blank" w:history="1">
        <w:r w:rsidR="00FA36F7" w:rsidRPr="00D7240E">
          <w:rPr>
            <w:rStyle w:val="refsource"/>
            <w:rFonts w:cstheme="minorHAnsi"/>
            <w:color w:val="4500A7"/>
            <w:u w:val="single"/>
          </w:rPr>
          <w:t>https://doi.org/10.1007/s11199-011-0115-1</w:t>
        </w:r>
      </w:hyperlink>
      <w:r w:rsidR="00FA36F7" w:rsidRPr="00D7240E">
        <w:rPr>
          <w:rFonts w:cstheme="minorHAnsi"/>
        </w:rPr>
        <w:t>.</w:t>
      </w:r>
      <w:r w:rsidR="00F53F0E" w:rsidRPr="00D7240E">
        <w:rPr>
          <w:rFonts w:cstheme="minorHAnsi"/>
        </w:rPr>
        <w:t xml:space="preserve"> </w:t>
      </w:r>
    </w:p>
    <w:p w14:paraId="2168DED4" w14:textId="738BF622" w:rsidR="00FA36F7" w:rsidRPr="00D7240E" w:rsidRDefault="00703D23" w:rsidP="00B767AE">
      <w:pPr>
        <w:spacing w:after="0"/>
        <w:ind w:left="720" w:hanging="720"/>
        <w:rPr>
          <w:rFonts w:cstheme="minorHAnsi"/>
        </w:rPr>
      </w:pPr>
      <w:r w:rsidRPr="00D7240E">
        <w:rPr>
          <w:rFonts w:cstheme="minorHAnsi"/>
        </w:rPr>
        <w:t xml:space="preserve">23. </w:t>
      </w:r>
      <w:r w:rsidR="00FA36F7" w:rsidRPr="00D7240E">
        <w:rPr>
          <w:rFonts w:cstheme="minorHAnsi"/>
        </w:rPr>
        <w:t>Glick, P., &amp; Fiske, S. T. (1996). The ambivalent sexism inventory: Differentiating hostile and benevolent sexism. </w:t>
      </w:r>
      <w:r w:rsidR="00FA36F7" w:rsidRPr="00D7240E">
        <w:rPr>
          <w:rStyle w:val="Emphasis"/>
          <w:rFonts w:cstheme="minorHAnsi"/>
        </w:rPr>
        <w:t>Journal of Personality and Social Psychology, 70</w:t>
      </w:r>
      <w:r w:rsidR="00FA36F7" w:rsidRPr="00D7240E">
        <w:rPr>
          <w:rFonts w:cstheme="minorHAnsi"/>
        </w:rPr>
        <w:t>, 491–512. </w:t>
      </w:r>
      <w:r w:rsidR="00FA36F7" w:rsidRPr="00D7240E">
        <w:rPr>
          <w:rStyle w:val="externalref"/>
          <w:rFonts w:eastAsiaTheme="majorEastAsia" w:cstheme="minorHAnsi"/>
        </w:rPr>
        <w:t> </w:t>
      </w:r>
      <w:hyperlink r:id="rId204" w:tgtFrame="_blank" w:history="1">
        <w:r w:rsidR="00FA36F7" w:rsidRPr="00D7240E">
          <w:rPr>
            <w:rStyle w:val="refsource"/>
            <w:rFonts w:cstheme="minorHAnsi"/>
            <w:color w:val="4500A7"/>
            <w:u w:val="single"/>
          </w:rPr>
          <w:t>https://doi.org/10.1037/0022-3514.70.3.491</w:t>
        </w:r>
      </w:hyperlink>
      <w:r w:rsidR="00FA36F7" w:rsidRPr="00D7240E">
        <w:rPr>
          <w:rFonts w:cstheme="minorHAnsi"/>
        </w:rPr>
        <w:t>.</w:t>
      </w:r>
      <w:r w:rsidR="00F53F0E" w:rsidRPr="00D7240E">
        <w:rPr>
          <w:rFonts w:cstheme="minorHAnsi"/>
        </w:rPr>
        <w:t xml:space="preserve"> </w:t>
      </w:r>
    </w:p>
    <w:p w14:paraId="4F393EDC" w14:textId="26BB74DE" w:rsidR="00FA36F7" w:rsidRPr="00D7240E" w:rsidRDefault="00703D23" w:rsidP="00B767AE">
      <w:pPr>
        <w:spacing w:after="0"/>
        <w:ind w:left="720" w:hanging="720"/>
        <w:rPr>
          <w:rFonts w:cstheme="minorHAnsi"/>
        </w:rPr>
      </w:pPr>
      <w:r w:rsidRPr="00D7240E">
        <w:rPr>
          <w:rFonts w:cstheme="minorHAnsi"/>
        </w:rPr>
        <w:t xml:space="preserve">24. </w:t>
      </w:r>
      <w:r w:rsidR="00FA36F7" w:rsidRPr="00D7240E">
        <w:rPr>
          <w:rFonts w:cstheme="minorHAnsi"/>
        </w:rPr>
        <w:t>Glick, P., &amp; Fiske, S. (1997). Hostile and benevolent sexism: Measuring ambivalent sexist attitudes toward women. </w:t>
      </w:r>
      <w:r w:rsidR="00FA36F7" w:rsidRPr="00D7240E">
        <w:rPr>
          <w:rStyle w:val="Emphasis"/>
          <w:rFonts w:cstheme="minorHAnsi"/>
        </w:rPr>
        <w:t>Psychology of Women Quarterly, 21</w:t>
      </w:r>
      <w:r w:rsidR="00FA36F7" w:rsidRPr="00D7240E">
        <w:rPr>
          <w:rFonts w:cstheme="minorHAnsi"/>
        </w:rPr>
        <w:t>, 119–136. </w:t>
      </w:r>
      <w:r w:rsidR="00FA36F7" w:rsidRPr="00D7240E">
        <w:rPr>
          <w:rStyle w:val="externalref"/>
          <w:rFonts w:eastAsiaTheme="majorEastAsia" w:cstheme="minorHAnsi"/>
        </w:rPr>
        <w:t> </w:t>
      </w:r>
      <w:hyperlink r:id="rId205" w:tgtFrame="_blank" w:history="1">
        <w:r w:rsidR="00FA36F7" w:rsidRPr="00D7240E">
          <w:rPr>
            <w:rStyle w:val="refsource"/>
            <w:rFonts w:cstheme="minorHAnsi"/>
            <w:color w:val="4500A7"/>
            <w:u w:val="single"/>
          </w:rPr>
          <w:t>https://doi.org/10.1111/j.1471-6402.1997.tb00104.x</w:t>
        </w:r>
      </w:hyperlink>
      <w:r w:rsidR="00FA36F7" w:rsidRPr="00D7240E">
        <w:rPr>
          <w:rFonts w:cstheme="minorHAnsi"/>
        </w:rPr>
        <w:t>.</w:t>
      </w:r>
      <w:r w:rsidR="00F53F0E" w:rsidRPr="00D7240E">
        <w:rPr>
          <w:rFonts w:cstheme="minorHAnsi"/>
        </w:rPr>
        <w:t xml:space="preserve"> </w:t>
      </w:r>
    </w:p>
    <w:p w14:paraId="622D6193" w14:textId="1FDB211A" w:rsidR="00FA36F7" w:rsidRPr="00D7240E" w:rsidRDefault="00703D23" w:rsidP="00B767AE">
      <w:pPr>
        <w:spacing w:after="0"/>
        <w:ind w:left="720" w:hanging="720"/>
        <w:rPr>
          <w:rFonts w:cstheme="minorHAnsi"/>
        </w:rPr>
      </w:pPr>
      <w:r w:rsidRPr="00D7240E">
        <w:rPr>
          <w:rFonts w:cstheme="minorHAnsi"/>
        </w:rPr>
        <w:t xml:space="preserve">25. </w:t>
      </w:r>
      <w:r w:rsidR="00FA36F7" w:rsidRPr="00D7240E">
        <w:rPr>
          <w:rFonts w:cstheme="minorHAnsi"/>
        </w:rPr>
        <w:t>Glick, P., &amp; Fiske, S. T. (2001a). Ambivalent sexism. In M. P. Zanna (Ed.), </w:t>
      </w:r>
      <w:r w:rsidR="00FA36F7" w:rsidRPr="00D7240E">
        <w:rPr>
          <w:rStyle w:val="Emphasis"/>
          <w:rFonts w:cstheme="minorHAnsi"/>
        </w:rPr>
        <w:t>Advances in experimental social psychology</w:t>
      </w:r>
      <w:r w:rsidR="00FA36F7" w:rsidRPr="00D7240E">
        <w:rPr>
          <w:rFonts w:cstheme="minorHAnsi"/>
        </w:rPr>
        <w:t> (pp. 115–188). San Francisco: Academic Press.</w:t>
      </w:r>
      <w:r w:rsidR="00F53F0E" w:rsidRPr="00D7240E">
        <w:rPr>
          <w:rFonts w:cstheme="minorHAnsi"/>
        </w:rPr>
        <w:t xml:space="preserve"> </w:t>
      </w:r>
    </w:p>
    <w:p w14:paraId="02053493" w14:textId="48DACA05" w:rsidR="00FA36F7" w:rsidRPr="00D7240E" w:rsidRDefault="00703D23" w:rsidP="00B767AE">
      <w:pPr>
        <w:spacing w:after="0"/>
        <w:ind w:left="720" w:hanging="720"/>
        <w:rPr>
          <w:rFonts w:cstheme="minorHAnsi"/>
        </w:rPr>
      </w:pPr>
      <w:r w:rsidRPr="00D7240E">
        <w:rPr>
          <w:rFonts w:cstheme="minorHAnsi"/>
        </w:rPr>
        <w:t xml:space="preserve">26. </w:t>
      </w:r>
      <w:r w:rsidR="00FA36F7" w:rsidRPr="00D7240E">
        <w:rPr>
          <w:rFonts w:cstheme="minorHAnsi"/>
        </w:rPr>
        <w:t>Glick, P., &amp; Fiske, S. T. (2001b). An ambivalent alliance. Hostile and benevolent sexism as complementary justifications for gender inequality. </w:t>
      </w:r>
      <w:r w:rsidR="00FA36F7" w:rsidRPr="00D7240E">
        <w:rPr>
          <w:rStyle w:val="Emphasis"/>
          <w:rFonts w:cstheme="minorHAnsi"/>
        </w:rPr>
        <w:t>American Psychologist, 56</w:t>
      </w:r>
      <w:r w:rsidR="00FA36F7" w:rsidRPr="00D7240E">
        <w:rPr>
          <w:rFonts w:cstheme="minorHAnsi"/>
        </w:rPr>
        <w:t>, 109–118. </w:t>
      </w:r>
      <w:r w:rsidR="00FA36F7" w:rsidRPr="00D7240E">
        <w:rPr>
          <w:rStyle w:val="externalref"/>
          <w:rFonts w:eastAsiaTheme="majorEastAsia" w:cstheme="minorHAnsi"/>
        </w:rPr>
        <w:t> </w:t>
      </w:r>
      <w:hyperlink r:id="rId206" w:tgtFrame="_blank" w:history="1">
        <w:r w:rsidR="00FA36F7" w:rsidRPr="00D7240E">
          <w:rPr>
            <w:rStyle w:val="refsource"/>
            <w:rFonts w:cstheme="minorHAnsi"/>
            <w:color w:val="4500A7"/>
            <w:u w:val="single"/>
          </w:rPr>
          <w:t>https://doi.org/10.1037//0003-66X.56.2.109</w:t>
        </w:r>
      </w:hyperlink>
      <w:r w:rsidR="00FA36F7" w:rsidRPr="00D7240E">
        <w:rPr>
          <w:rFonts w:cstheme="minorHAnsi"/>
        </w:rPr>
        <w:t>.</w:t>
      </w:r>
      <w:r w:rsidR="00F53F0E" w:rsidRPr="00D7240E">
        <w:rPr>
          <w:rFonts w:cstheme="minorHAnsi"/>
        </w:rPr>
        <w:t xml:space="preserve"> </w:t>
      </w:r>
    </w:p>
    <w:p w14:paraId="1CBE9BA9" w14:textId="05640176" w:rsidR="00FA36F7" w:rsidRPr="00D7240E" w:rsidRDefault="00703D23" w:rsidP="00B767AE">
      <w:pPr>
        <w:spacing w:after="0"/>
        <w:ind w:left="720" w:hanging="720"/>
        <w:rPr>
          <w:rFonts w:cstheme="minorHAnsi"/>
        </w:rPr>
      </w:pPr>
      <w:r w:rsidRPr="00D7240E">
        <w:rPr>
          <w:rFonts w:cstheme="minorHAnsi"/>
        </w:rPr>
        <w:lastRenderedPageBreak/>
        <w:t xml:space="preserve">27. </w:t>
      </w:r>
      <w:r w:rsidR="00FA36F7" w:rsidRPr="00D7240E">
        <w:rPr>
          <w:rFonts w:cstheme="minorHAnsi"/>
        </w:rPr>
        <w:t>Hammond, M. D., &amp; Overall, N. C. (2015). Benevolent sexism and support of romantic partner’s goals: Undermining women’s competence while fulfilling men’s intimacy needs. </w:t>
      </w:r>
      <w:r w:rsidR="00FA36F7" w:rsidRPr="00D7240E">
        <w:rPr>
          <w:rStyle w:val="Emphasis"/>
          <w:rFonts w:cstheme="minorHAnsi"/>
        </w:rPr>
        <w:t>Personality and Social Psychology, 41</w:t>
      </w:r>
      <w:r w:rsidR="00FA36F7" w:rsidRPr="00D7240E">
        <w:rPr>
          <w:rFonts w:cstheme="minorHAnsi"/>
        </w:rPr>
        <w:t>, 1180–1194. </w:t>
      </w:r>
      <w:r w:rsidR="00FA36F7" w:rsidRPr="00D7240E">
        <w:rPr>
          <w:rStyle w:val="externalref"/>
          <w:rFonts w:eastAsiaTheme="majorEastAsia" w:cstheme="minorHAnsi"/>
        </w:rPr>
        <w:t> </w:t>
      </w:r>
      <w:hyperlink r:id="rId207" w:tgtFrame="_blank" w:history="1">
        <w:r w:rsidR="00FA36F7" w:rsidRPr="00D7240E">
          <w:rPr>
            <w:rStyle w:val="refsource"/>
            <w:rFonts w:cstheme="minorHAnsi"/>
            <w:color w:val="4500A7"/>
            <w:u w:val="single"/>
          </w:rPr>
          <w:t>https://doi.org/10.1177/0146167215593492</w:t>
        </w:r>
      </w:hyperlink>
      <w:r w:rsidR="00FA36F7" w:rsidRPr="00D7240E">
        <w:rPr>
          <w:rFonts w:cstheme="minorHAnsi"/>
        </w:rPr>
        <w:t>.</w:t>
      </w:r>
      <w:r w:rsidR="00F53F0E" w:rsidRPr="00D7240E">
        <w:rPr>
          <w:rFonts w:cstheme="minorHAnsi"/>
        </w:rPr>
        <w:t xml:space="preserve"> </w:t>
      </w:r>
    </w:p>
    <w:p w14:paraId="576654F9" w14:textId="06D587BC" w:rsidR="00FA36F7" w:rsidRPr="00D7240E" w:rsidRDefault="00703D23" w:rsidP="00B767AE">
      <w:pPr>
        <w:spacing w:after="0"/>
        <w:ind w:left="720" w:hanging="720"/>
        <w:rPr>
          <w:rFonts w:cstheme="minorHAnsi"/>
        </w:rPr>
      </w:pPr>
      <w:r w:rsidRPr="00D7240E">
        <w:rPr>
          <w:rFonts w:cstheme="minorHAnsi"/>
        </w:rPr>
        <w:t xml:space="preserve">28. </w:t>
      </w:r>
      <w:r w:rsidR="00FA36F7" w:rsidRPr="00D7240E">
        <w:rPr>
          <w:rFonts w:cstheme="minorHAnsi"/>
        </w:rPr>
        <w:t>Hammond, M. D., &amp; Sibley, C. G. (2011). Why are benevolent sexists happier? </w:t>
      </w:r>
      <w:r w:rsidR="00FA36F7" w:rsidRPr="00D7240E">
        <w:rPr>
          <w:rStyle w:val="Emphasis"/>
          <w:rFonts w:cstheme="minorHAnsi"/>
        </w:rPr>
        <w:t>Sex Roles, 65</w:t>
      </w:r>
      <w:r w:rsidR="00FA36F7" w:rsidRPr="00D7240E">
        <w:rPr>
          <w:rFonts w:cstheme="minorHAnsi"/>
        </w:rPr>
        <w:t>, 332–343. </w:t>
      </w:r>
      <w:r w:rsidR="00FA36F7" w:rsidRPr="00D7240E">
        <w:rPr>
          <w:rStyle w:val="externalref"/>
          <w:rFonts w:eastAsiaTheme="majorEastAsia" w:cstheme="minorHAnsi"/>
        </w:rPr>
        <w:t> </w:t>
      </w:r>
      <w:hyperlink r:id="rId208" w:tgtFrame="_blank" w:history="1">
        <w:r w:rsidR="00FA36F7" w:rsidRPr="00D7240E">
          <w:rPr>
            <w:rStyle w:val="refsource"/>
            <w:rFonts w:cstheme="minorHAnsi"/>
            <w:color w:val="4500A7"/>
            <w:u w:val="single"/>
          </w:rPr>
          <w:t>https://doi.org/10.1007/s11199-011-0017-2</w:t>
        </w:r>
      </w:hyperlink>
      <w:r w:rsidR="00FA36F7" w:rsidRPr="00D7240E">
        <w:rPr>
          <w:rFonts w:cstheme="minorHAnsi"/>
        </w:rPr>
        <w:t>.</w:t>
      </w:r>
      <w:r w:rsidR="00F53F0E" w:rsidRPr="00D7240E">
        <w:rPr>
          <w:rFonts w:cstheme="minorHAnsi"/>
        </w:rPr>
        <w:t xml:space="preserve"> </w:t>
      </w:r>
    </w:p>
    <w:p w14:paraId="0BD6B63E" w14:textId="1E2B5DC8" w:rsidR="00FA36F7" w:rsidRPr="00D7240E" w:rsidRDefault="00703D23" w:rsidP="00B767AE">
      <w:pPr>
        <w:spacing w:after="0"/>
        <w:ind w:left="720" w:hanging="720"/>
        <w:rPr>
          <w:rFonts w:cstheme="minorHAnsi"/>
        </w:rPr>
      </w:pPr>
      <w:r w:rsidRPr="00D7240E">
        <w:rPr>
          <w:rFonts w:cstheme="minorHAnsi"/>
        </w:rPr>
        <w:t xml:space="preserve">29. </w:t>
      </w:r>
      <w:r w:rsidR="00FA36F7" w:rsidRPr="00D7240E">
        <w:rPr>
          <w:rFonts w:cstheme="minorHAnsi"/>
        </w:rPr>
        <w:t>Hammond, M. D., Sibley, C. G., &amp; Overall, N. C. (2014). The allure of sexism: Psychological entitlement fosters women’s endorsement of sexism over time. </w:t>
      </w:r>
      <w:r w:rsidR="00FA36F7" w:rsidRPr="00D7240E">
        <w:rPr>
          <w:rStyle w:val="Emphasis"/>
          <w:rFonts w:cstheme="minorHAnsi"/>
        </w:rPr>
        <w:t>Social Psychological and Personality Science, 5</w:t>
      </w:r>
      <w:r w:rsidR="00FA36F7" w:rsidRPr="00D7240E">
        <w:rPr>
          <w:rFonts w:cstheme="minorHAnsi"/>
        </w:rPr>
        <w:t>, 422–429. </w:t>
      </w:r>
      <w:r w:rsidR="00FA36F7" w:rsidRPr="00D7240E">
        <w:rPr>
          <w:rStyle w:val="externalref"/>
          <w:rFonts w:eastAsiaTheme="majorEastAsia" w:cstheme="minorHAnsi"/>
        </w:rPr>
        <w:t> </w:t>
      </w:r>
      <w:hyperlink r:id="rId209" w:tgtFrame="_blank" w:history="1">
        <w:r w:rsidR="00FA36F7" w:rsidRPr="00D7240E">
          <w:rPr>
            <w:rStyle w:val="refsource"/>
            <w:rFonts w:cstheme="minorHAnsi"/>
            <w:color w:val="4500A7"/>
            <w:u w:val="single"/>
          </w:rPr>
          <w:t>https://doi.org/10.1177/1948550613506124</w:t>
        </w:r>
      </w:hyperlink>
      <w:r w:rsidR="00FA36F7" w:rsidRPr="00D7240E">
        <w:rPr>
          <w:rFonts w:cstheme="minorHAnsi"/>
        </w:rPr>
        <w:t>.</w:t>
      </w:r>
      <w:r w:rsidR="00F53F0E" w:rsidRPr="00D7240E">
        <w:rPr>
          <w:rFonts w:cstheme="minorHAnsi"/>
        </w:rPr>
        <w:t xml:space="preserve"> </w:t>
      </w:r>
    </w:p>
    <w:p w14:paraId="471A1D93" w14:textId="14C3B2A6" w:rsidR="00FA36F7" w:rsidRPr="00D7240E" w:rsidRDefault="00703D23" w:rsidP="00B767AE">
      <w:pPr>
        <w:spacing w:after="0"/>
        <w:ind w:left="720" w:hanging="720"/>
        <w:rPr>
          <w:rFonts w:cstheme="minorHAnsi"/>
        </w:rPr>
      </w:pPr>
      <w:r w:rsidRPr="00D7240E">
        <w:rPr>
          <w:rFonts w:cstheme="minorHAnsi"/>
        </w:rPr>
        <w:t xml:space="preserve">30. </w:t>
      </w:r>
      <w:r w:rsidR="00FA36F7" w:rsidRPr="00D7240E">
        <w:rPr>
          <w:rFonts w:cstheme="minorHAnsi"/>
        </w:rPr>
        <w:t>Hammond, M. D., Overall, N. C., &amp; Cross, E. J. (2016). Internalizing sexism within close relationships: Perceptions of intimate partner’s benevolent sexism promote women’s endorsement of benevolent sexism. </w:t>
      </w:r>
      <w:r w:rsidR="00FA36F7" w:rsidRPr="00D7240E">
        <w:rPr>
          <w:rStyle w:val="Emphasis"/>
          <w:rFonts w:cstheme="minorHAnsi"/>
        </w:rPr>
        <w:t>Journal of Personality and Social Psychology, 110</w:t>
      </w:r>
      <w:r w:rsidR="00FA36F7" w:rsidRPr="00D7240E">
        <w:rPr>
          <w:rFonts w:cstheme="minorHAnsi"/>
        </w:rPr>
        <w:t>, 214–238. </w:t>
      </w:r>
      <w:r w:rsidR="00FA36F7" w:rsidRPr="00D7240E">
        <w:rPr>
          <w:rStyle w:val="externalref"/>
          <w:rFonts w:eastAsiaTheme="majorEastAsia" w:cstheme="minorHAnsi"/>
        </w:rPr>
        <w:t> </w:t>
      </w:r>
      <w:hyperlink r:id="rId210" w:tgtFrame="_blank" w:history="1">
        <w:r w:rsidR="00FA36F7" w:rsidRPr="00D7240E">
          <w:rPr>
            <w:rStyle w:val="refsource"/>
            <w:rFonts w:cstheme="minorHAnsi"/>
            <w:color w:val="4500A7"/>
            <w:u w:val="single"/>
          </w:rPr>
          <w:t>https://doi.org/10.1037/pspi0000043</w:t>
        </w:r>
      </w:hyperlink>
      <w:r w:rsidR="00FA36F7" w:rsidRPr="00D7240E">
        <w:rPr>
          <w:rFonts w:cstheme="minorHAnsi"/>
        </w:rPr>
        <w:t>.</w:t>
      </w:r>
      <w:r w:rsidR="00F53F0E" w:rsidRPr="00D7240E">
        <w:rPr>
          <w:rFonts w:cstheme="minorHAnsi"/>
        </w:rPr>
        <w:t xml:space="preserve"> </w:t>
      </w:r>
    </w:p>
    <w:p w14:paraId="4FED5AF5" w14:textId="1229E397" w:rsidR="00FA36F7" w:rsidRPr="00D7240E" w:rsidRDefault="00703D23" w:rsidP="00B767AE">
      <w:pPr>
        <w:spacing w:after="0"/>
        <w:ind w:left="720" w:hanging="720"/>
        <w:rPr>
          <w:rFonts w:cstheme="minorHAnsi"/>
        </w:rPr>
      </w:pPr>
      <w:r w:rsidRPr="00D7240E">
        <w:rPr>
          <w:rFonts w:cstheme="minorHAnsi"/>
        </w:rPr>
        <w:t xml:space="preserve">31. </w:t>
      </w:r>
      <w:r w:rsidR="00FA36F7" w:rsidRPr="00D7240E">
        <w:rPr>
          <w:rFonts w:cstheme="minorHAnsi"/>
        </w:rPr>
        <w:t>Hideg, I., &amp; Ferris, D. L. (2016). The compassionate sexist? How benevolent sexism promotes and undermines gender equality in the workplace. </w:t>
      </w:r>
      <w:r w:rsidR="00FA36F7" w:rsidRPr="00D7240E">
        <w:rPr>
          <w:rStyle w:val="Emphasis"/>
          <w:rFonts w:cstheme="minorHAnsi"/>
        </w:rPr>
        <w:t>Journal of Personality and Social Psychology, 111</w:t>
      </w:r>
      <w:r w:rsidR="00FA36F7" w:rsidRPr="00D7240E">
        <w:rPr>
          <w:rFonts w:cstheme="minorHAnsi"/>
        </w:rPr>
        <w:t>, 706–727. </w:t>
      </w:r>
      <w:r w:rsidR="00FA36F7" w:rsidRPr="00D7240E">
        <w:rPr>
          <w:rStyle w:val="externalref"/>
          <w:rFonts w:eastAsiaTheme="majorEastAsia" w:cstheme="minorHAnsi"/>
        </w:rPr>
        <w:t> </w:t>
      </w:r>
      <w:hyperlink r:id="rId211" w:tgtFrame="_blank" w:history="1">
        <w:r w:rsidR="00FA36F7" w:rsidRPr="00D7240E">
          <w:rPr>
            <w:rStyle w:val="refsource"/>
            <w:rFonts w:cstheme="minorHAnsi"/>
            <w:color w:val="4500A7"/>
            <w:u w:val="single"/>
          </w:rPr>
          <w:t>https://doi.org/10.1037/pspi0000072</w:t>
        </w:r>
      </w:hyperlink>
      <w:r w:rsidR="00FA36F7" w:rsidRPr="00D7240E">
        <w:rPr>
          <w:rFonts w:cstheme="minorHAnsi"/>
        </w:rPr>
        <w:t>.</w:t>
      </w:r>
      <w:r w:rsidR="00F53F0E" w:rsidRPr="00D7240E">
        <w:rPr>
          <w:rFonts w:cstheme="minorHAnsi"/>
        </w:rPr>
        <w:t xml:space="preserve"> </w:t>
      </w:r>
    </w:p>
    <w:p w14:paraId="5FC73893" w14:textId="617DB261" w:rsidR="00FA36F7" w:rsidRPr="00D7240E" w:rsidRDefault="00703D23" w:rsidP="00B767AE">
      <w:pPr>
        <w:spacing w:after="0"/>
        <w:ind w:left="720" w:hanging="720"/>
        <w:rPr>
          <w:rFonts w:cstheme="minorHAnsi"/>
        </w:rPr>
      </w:pPr>
      <w:r w:rsidRPr="00D7240E">
        <w:rPr>
          <w:rFonts w:cstheme="minorHAnsi"/>
        </w:rPr>
        <w:t xml:space="preserve">32. </w:t>
      </w:r>
      <w:r w:rsidR="00FA36F7" w:rsidRPr="00D7240E">
        <w:rPr>
          <w:rFonts w:cstheme="minorHAnsi"/>
        </w:rPr>
        <w:t>Hu, L., &amp; Bentler, P. M. (1999). Cutoff criteria for fit indexes in covariance structure analysis: Conventional criteria versus new alternatives. </w:t>
      </w:r>
      <w:r w:rsidR="00FA36F7" w:rsidRPr="00D7240E">
        <w:rPr>
          <w:rStyle w:val="Emphasis"/>
          <w:rFonts w:cstheme="minorHAnsi"/>
        </w:rPr>
        <w:t>Structural Equation Modeling, 6</w:t>
      </w:r>
      <w:r w:rsidR="00FA36F7" w:rsidRPr="00D7240E">
        <w:rPr>
          <w:rFonts w:cstheme="minorHAnsi"/>
        </w:rPr>
        <w:t>, 1–55. </w:t>
      </w:r>
      <w:r w:rsidR="00FA36F7" w:rsidRPr="00D7240E">
        <w:rPr>
          <w:rStyle w:val="externalref"/>
          <w:rFonts w:eastAsiaTheme="majorEastAsia" w:cstheme="minorHAnsi"/>
        </w:rPr>
        <w:t> </w:t>
      </w:r>
      <w:hyperlink r:id="rId212" w:tgtFrame="_blank" w:history="1">
        <w:r w:rsidR="00FA36F7" w:rsidRPr="00D7240E">
          <w:rPr>
            <w:rStyle w:val="refsource"/>
            <w:rFonts w:cstheme="minorHAnsi"/>
            <w:color w:val="4500A7"/>
            <w:u w:val="single"/>
          </w:rPr>
          <w:t>https://doi.org/10.1080/10705519909540118</w:t>
        </w:r>
      </w:hyperlink>
      <w:r w:rsidR="00FA36F7" w:rsidRPr="00D7240E">
        <w:rPr>
          <w:rFonts w:cstheme="minorHAnsi"/>
        </w:rPr>
        <w:t>.</w:t>
      </w:r>
      <w:r w:rsidR="00F53F0E" w:rsidRPr="00D7240E">
        <w:rPr>
          <w:rFonts w:cstheme="minorHAnsi"/>
        </w:rPr>
        <w:t xml:space="preserve"> </w:t>
      </w:r>
    </w:p>
    <w:p w14:paraId="78D25BDB" w14:textId="7CDB900C" w:rsidR="00FA36F7" w:rsidRPr="00D7240E" w:rsidRDefault="00703D23" w:rsidP="00B767AE">
      <w:pPr>
        <w:spacing w:after="0"/>
        <w:ind w:left="720" w:hanging="720"/>
        <w:rPr>
          <w:rFonts w:cstheme="minorHAnsi"/>
        </w:rPr>
      </w:pPr>
      <w:r w:rsidRPr="00D7240E">
        <w:rPr>
          <w:rFonts w:cstheme="minorHAnsi"/>
        </w:rPr>
        <w:t xml:space="preserve">33. </w:t>
      </w:r>
      <w:r w:rsidR="00FA36F7" w:rsidRPr="00D7240E">
        <w:rPr>
          <w:rFonts w:cstheme="minorHAnsi"/>
        </w:rPr>
        <w:t>Jones, K., Stewart, K., King, E., Morgan, W. B., Gilrane, V., &amp; Hylton, K. (2014). Negative consequence of benevolent sexism on efficacy and performance. </w:t>
      </w:r>
      <w:r w:rsidR="00FA36F7" w:rsidRPr="00D7240E">
        <w:rPr>
          <w:rStyle w:val="Emphasis"/>
          <w:rFonts w:cstheme="minorHAnsi"/>
        </w:rPr>
        <w:t>Gender in Management, 29</w:t>
      </w:r>
      <w:r w:rsidR="00FA36F7" w:rsidRPr="00D7240E">
        <w:rPr>
          <w:rFonts w:cstheme="minorHAnsi"/>
        </w:rPr>
        <w:t>, 171–189. </w:t>
      </w:r>
      <w:r w:rsidR="00FA36F7" w:rsidRPr="00D7240E">
        <w:rPr>
          <w:rStyle w:val="externalref"/>
          <w:rFonts w:eastAsiaTheme="majorEastAsia" w:cstheme="minorHAnsi"/>
        </w:rPr>
        <w:t> </w:t>
      </w:r>
      <w:hyperlink r:id="rId213" w:tgtFrame="_blank" w:history="1">
        <w:r w:rsidR="00FA36F7" w:rsidRPr="00D7240E">
          <w:rPr>
            <w:rStyle w:val="refsource"/>
            <w:rFonts w:cstheme="minorHAnsi"/>
            <w:color w:val="4500A7"/>
            <w:u w:val="single"/>
          </w:rPr>
          <w:t>https://doi.org/10.1108/GM-07-2013-0086</w:t>
        </w:r>
      </w:hyperlink>
      <w:r w:rsidR="00F53F0E" w:rsidRPr="00D7240E">
        <w:rPr>
          <w:rFonts w:cstheme="minorHAnsi"/>
        </w:rPr>
        <w:t xml:space="preserve"> </w:t>
      </w:r>
    </w:p>
    <w:p w14:paraId="391AD573" w14:textId="099FF51E" w:rsidR="00FA36F7" w:rsidRPr="00D7240E" w:rsidRDefault="00703D23" w:rsidP="00B767AE">
      <w:pPr>
        <w:spacing w:after="0"/>
        <w:ind w:left="720" w:hanging="720"/>
        <w:rPr>
          <w:rFonts w:cstheme="minorHAnsi"/>
        </w:rPr>
      </w:pPr>
      <w:r w:rsidRPr="00D7240E">
        <w:rPr>
          <w:rFonts w:cstheme="minorHAnsi"/>
        </w:rPr>
        <w:t xml:space="preserve">34. </w:t>
      </w:r>
      <w:r w:rsidR="00FA36F7" w:rsidRPr="00D7240E">
        <w:rPr>
          <w:rFonts w:cstheme="minorHAnsi"/>
        </w:rPr>
        <w:t>Jost, J. T., &amp; Kay, A. C. (2005). Exposure to benevolent sexism and complementary gender stereotypes: Consequences for specific and diffuse forms of system justification. </w:t>
      </w:r>
      <w:r w:rsidR="00FA36F7" w:rsidRPr="00D7240E">
        <w:rPr>
          <w:rStyle w:val="Emphasis"/>
          <w:rFonts w:cstheme="minorHAnsi"/>
        </w:rPr>
        <w:t>Journal of Personality and Social Psychology, 88</w:t>
      </w:r>
      <w:r w:rsidR="00FA36F7" w:rsidRPr="00D7240E">
        <w:rPr>
          <w:rFonts w:cstheme="minorHAnsi"/>
        </w:rPr>
        <w:t>, 498–509. </w:t>
      </w:r>
      <w:r w:rsidR="00FA36F7" w:rsidRPr="00D7240E">
        <w:rPr>
          <w:rStyle w:val="externalref"/>
          <w:rFonts w:eastAsiaTheme="majorEastAsia" w:cstheme="minorHAnsi"/>
        </w:rPr>
        <w:t> </w:t>
      </w:r>
      <w:hyperlink r:id="rId214" w:tgtFrame="_blank" w:history="1">
        <w:r w:rsidR="00FA36F7" w:rsidRPr="00D7240E">
          <w:rPr>
            <w:rStyle w:val="refsource"/>
            <w:rFonts w:cstheme="minorHAnsi"/>
            <w:color w:val="4500A7"/>
            <w:u w:val="single"/>
          </w:rPr>
          <w:t>https://doi.org/10.1037/0022-3514.88.3.498</w:t>
        </w:r>
      </w:hyperlink>
      <w:r w:rsidR="00FA36F7" w:rsidRPr="00D7240E">
        <w:rPr>
          <w:rFonts w:cstheme="minorHAnsi"/>
        </w:rPr>
        <w:t>.</w:t>
      </w:r>
      <w:r w:rsidR="00F53F0E" w:rsidRPr="00D7240E">
        <w:rPr>
          <w:rFonts w:cstheme="minorHAnsi"/>
        </w:rPr>
        <w:t xml:space="preserve"> </w:t>
      </w:r>
    </w:p>
    <w:p w14:paraId="557B5E0A" w14:textId="7A306936" w:rsidR="00FA36F7" w:rsidRPr="00D7240E" w:rsidRDefault="00703D23" w:rsidP="00B767AE">
      <w:pPr>
        <w:spacing w:after="0"/>
        <w:ind w:left="720" w:hanging="720"/>
        <w:rPr>
          <w:rFonts w:cstheme="minorHAnsi"/>
        </w:rPr>
      </w:pPr>
      <w:r w:rsidRPr="00D7240E">
        <w:rPr>
          <w:rFonts w:cstheme="minorHAnsi"/>
        </w:rPr>
        <w:t xml:space="preserve">35. </w:t>
      </w:r>
      <w:r w:rsidR="00FA36F7" w:rsidRPr="00D7240E">
        <w:rPr>
          <w:rFonts w:cstheme="minorHAnsi"/>
        </w:rPr>
        <w:t>Killianski, S. E., &amp; Rudman, L. A. (1998). Wanting it both ways: Do women approve of benevolent sexism? </w:t>
      </w:r>
      <w:r w:rsidR="00FA36F7" w:rsidRPr="00D7240E">
        <w:rPr>
          <w:rStyle w:val="Emphasis"/>
          <w:rFonts w:cstheme="minorHAnsi"/>
        </w:rPr>
        <w:t>Sex Roles, 39</w:t>
      </w:r>
      <w:r w:rsidR="00FA36F7" w:rsidRPr="00D7240E">
        <w:rPr>
          <w:rFonts w:cstheme="minorHAnsi"/>
        </w:rPr>
        <w:t>, 333–352. </w:t>
      </w:r>
      <w:r w:rsidR="00FA36F7" w:rsidRPr="00D7240E">
        <w:rPr>
          <w:rStyle w:val="externalref"/>
          <w:rFonts w:eastAsiaTheme="majorEastAsia" w:cstheme="minorHAnsi"/>
        </w:rPr>
        <w:t> </w:t>
      </w:r>
      <w:hyperlink r:id="rId215" w:tgtFrame="_blank" w:history="1">
        <w:r w:rsidR="00FA36F7" w:rsidRPr="00D7240E">
          <w:rPr>
            <w:rStyle w:val="refsource"/>
            <w:rFonts w:cstheme="minorHAnsi"/>
            <w:color w:val="4500A7"/>
            <w:u w:val="single"/>
          </w:rPr>
          <w:t>https://doi.org/10.1023/A:1018814924402</w:t>
        </w:r>
      </w:hyperlink>
      <w:r w:rsidR="00FA36F7" w:rsidRPr="00D7240E">
        <w:rPr>
          <w:rFonts w:cstheme="minorHAnsi"/>
        </w:rPr>
        <w:t>.</w:t>
      </w:r>
      <w:r w:rsidR="00F53F0E" w:rsidRPr="00D7240E">
        <w:rPr>
          <w:rFonts w:cstheme="minorHAnsi"/>
        </w:rPr>
        <w:t xml:space="preserve"> </w:t>
      </w:r>
    </w:p>
    <w:p w14:paraId="78D3877C" w14:textId="63A6C4F5" w:rsidR="00FA36F7" w:rsidRPr="00D7240E" w:rsidRDefault="00703D23" w:rsidP="00B767AE">
      <w:pPr>
        <w:spacing w:after="0"/>
        <w:ind w:left="720" w:hanging="720"/>
        <w:rPr>
          <w:rFonts w:cstheme="minorHAnsi"/>
        </w:rPr>
      </w:pPr>
      <w:r w:rsidRPr="00D7240E">
        <w:rPr>
          <w:rFonts w:cstheme="minorHAnsi"/>
        </w:rPr>
        <w:t xml:space="preserve">36. </w:t>
      </w:r>
      <w:r w:rsidR="00FA36F7" w:rsidRPr="00D7240E">
        <w:rPr>
          <w:rFonts w:cstheme="minorHAnsi"/>
        </w:rPr>
        <w:t>King, E. B., Botsford, W., Hebl, M. R., Kazama, S., Dawson, J. F., &amp; Perkins, A. (2012). Benevolent sexism at work: Gender differences in the distribution of challenging developmental experiences. </w:t>
      </w:r>
      <w:r w:rsidR="00FA36F7" w:rsidRPr="00D7240E">
        <w:rPr>
          <w:rStyle w:val="Emphasis"/>
          <w:rFonts w:cstheme="minorHAnsi"/>
        </w:rPr>
        <w:t>Journal of Management, 38</w:t>
      </w:r>
      <w:r w:rsidR="00FA36F7" w:rsidRPr="00D7240E">
        <w:rPr>
          <w:rFonts w:cstheme="minorHAnsi"/>
        </w:rPr>
        <w:t>, 1835–1866. </w:t>
      </w:r>
      <w:r w:rsidR="00FA36F7" w:rsidRPr="00D7240E">
        <w:rPr>
          <w:rStyle w:val="externalref"/>
          <w:rFonts w:eastAsiaTheme="majorEastAsia" w:cstheme="minorHAnsi"/>
        </w:rPr>
        <w:t> </w:t>
      </w:r>
      <w:hyperlink r:id="rId216" w:tgtFrame="_blank" w:history="1">
        <w:r w:rsidR="00FA36F7" w:rsidRPr="00D7240E">
          <w:rPr>
            <w:rStyle w:val="refsource"/>
            <w:rFonts w:cstheme="minorHAnsi"/>
            <w:color w:val="4500A7"/>
            <w:u w:val="single"/>
          </w:rPr>
          <w:t>https://doi.org/10.1177/0149206310365902</w:t>
        </w:r>
      </w:hyperlink>
      <w:r w:rsidR="00FA36F7" w:rsidRPr="00D7240E">
        <w:rPr>
          <w:rFonts w:cstheme="minorHAnsi"/>
        </w:rPr>
        <w:t>.</w:t>
      </w:r>
      <w:r w:rsidR="00F53F0E" w:rsidRPr="00D7240E">
        <w:rPr>
          <w:rFonts w:cstheme="minorHAnsi"/>
        </w:rPr>
        <w:t xml:space="preserve"> </w:t>
      </w:r>
    </w:p>
    <w:p w14:paraId="6601A8CA" w14:textId="362C0625" w:rsidR="00FA36F7" w:rsidRPr="00D7240E" w:rsidRDefault="00703D23" w:rsidP="00B767AE">
      <w:pPr>
        <w:spacing w:after="0"/>
        <w:ind w:left="720" w:hanging="720"/>
        <w:rPr>
          <w:rFonts w:cstheme="minorHAnsi"/>
        </w:rPr>
      </w:pPr>
      <w:r w:rsidRPr="00D7240E">
        <w:rPr>
          <w:rFonts w:cstheme="minorHAnsi"/>
        </w:rPr>
        <w:t xml:space="preserve">37. </w:t>
      </w:r>
      <w:r w:rsidR="00FA36F7" w:rsidRPr="00D7240E">
        <w:rPr>
          <w:rFonts w:cstheme="minorHAnsi"/>
        </w:rPr>
        <w:t>Klonoff, E. A., &amp; Landrine, H. (1995). The Schedule of Sexist Events: A measure of lifetime and recent sexist discrimination in women’s lives. </w:t>
      </w:r>
      <w:r w:rsidR="00FA36F7" w:rsidRPr="00D7240E">
        <w:rPr>
          <w:rStyle w:val="Emphasis"/>
          <w:rFonts w:cstheme="minorHAnsi"/>
        </w:rPr>
        <w:t>Psychology of Women Quarterly, 19</w:t>
      </w:r>
      <w:r w:rsidR="00FA36F7" w:rsidRPr="00D7240E">
        <w:rPr>
          <w:rFonts w:cstheme="minorHAnsi"/>
        </w:rPr>
        <w:t>, 439–472. </w:t>
      </w:r>
      <w:r w:rsidR="00FA36F7" w:rsidRPr="00D7240E">
        <w:rPr>
          <w:rStyle w:val="externalref"/>
          <w:rFonts w:eastAsiaTheme="majorEastAsia" w:cstheme="minorHAnsi"/>
        </w:rPr>
        <w:t> </w:t>
      </w:r>
      <w:hyperlink r:id="rId217" w:tgtFrame="_blank" w:history="1">
        <w:r w:rsidR="00FA36F7" w:rsidRPr="00D7240E">
          <w:rPr>
            <w:rStyle w:val="refsource"/>
            <w:rFonts w:cstheme="minorHAnsi"/>
            <w:color w:val="4500A7"/>
            <w:u w:val="single"/>
          </w:rPr>
          <w:t>https://doi.org/10.1111/j.1471-6402.1995.tb00086.x</w:t>
        </w:r>
      </w:hyperlink>
      <w:r w:rsidR="00FA36F7" w:rsidRPr="00D7240E">
        <w:rPr>
          <w:rFonts w:cstheme="minorHAnsi"/>
        </w:rPr>
        <w:t>.</w:t>
      </w:r>
      <w:r w:rsidR="00F53F0E" w:rsidRPr="00D7240E">
        <w:rPr>
          <w:rFonts w:cstheme="minorHAnsi"/>
        </w:rPr>
        <w:t xml:space="preserve"> </w:t>
      </w:r>
    </w:p>
    <w:p w14:paraId="68B53A40" w14:textId="54189D92" w:rsidR="00FA36F7" w:rsidRPr="00D7240E" w:rsidRDefault="00703D23" w:rsidP="00B767AE">
      <w:pPr>
        <w:spacing w:after="0"/>
        <w:ind w:left="720" w:hanging="720"/>
        <w:rPr>
          <w:rFonts w:cstheme="minorHAnsi"/>
        </w:rPr>
      </w:pPr>
      <w:r w:rsidRPr="00D7240E">
        <w:rPr>
          <w:rFonts w:cstheme="minorHAnsi"/>
        </w:rPr>
        <w:t xml:space="preserve">38. </w:t>
      </w:r>
      <w:r w:rsidR="00FA36F7" w:rsidRPr="00D7240E">
        <w:rPr>
          <w:rFonts w:cstheme="minorHAnsi"/>
        </w:rPr>
        <w:t>Klonoff, E. A., Landrine, H., &amp; Campbell, R. (2000). Sexist discrimination may account for well-known gender differences in psychiatric symptoms. </w:t>
      </w:r>
      <w:r w:rsidR="00FA36F7" w:rsidRPr="00D7240E">
        <w:rPr>
          <w:rStyle w:val="Emphasis"/>
          <w:rFonts w:cstheme="minorHAnsi"/>
        </w:rPr>
        <w:t>Psychology of Women Quarterly, 24</w:t>
      </w:r>
      <w:r w:rsidR="00FA36F7" w:rsidRPr="00D7240E">
        <w:rPr>
          <w:rFonts w:cstheme="minorHAnsi"/>
        </w:rPr>
        <w:t>, 93–99. </w:t>
      </w:r>
      <w:r w:rsidR="00FA36F7" w:rsidRPr="00D7240E">
        <w:rPr>
          <w:rStyle w:val="externalref"/>
          <w:rFonts w:eastAsiaTheme="majorEastAsia" w:cstheme="minorHAnsi"/>
        </w:rPr>
        <w:t> </w:t>
      </w:r>
      <w:hyperlink r:id="rId218" w:tgtFrame="_blank" w:history="1">
        <w:r w:rsidR="00FA36F7" w:rsidRPr="00D7240E">
          <w:rPr>
            <w:rStyle w:val="refsource"/>
            <w:rFonts w:cstheme="minorHAnsi"/>
            <w:color w:val="4500A7"/>
            <w:u w:val="single"/>
          </w:rPr>
          <w:t>https://doi.org/10.1111/j.1471-6402.2000.tb01025.x</w:t>
        </w:r>
      </w:hyperlink>
      <w:r w:rsidR="00F53F0E" w:rsidRPr="00D7240E">
        <w:rPr>
          <w:rFonts w:cstheme="minorHAnsi"/>
        </w:rPr>
        <w:t xml:space="preserve"> </w:t>
      </w:r>
    </w:p>
    <w:p w14:paraId="0B88A689" w14:textId="136DCAED" w:rsidR="00FA36F7" w:rsidRPr="00D7240E" w:rsidRDefault="00703D23" w:rsidP="00B767AE">
      <w:pPr>
        <w:spacing w:after="0"/>
        <w:ind w:left="720" w:hanging="720"/>
        <w:rPr>
          <w:rFonts w:cstheme="minorHAnsi"/>
        </w:rPr>
      </w:pPr>
      <w:r w:rsidRPr="00D7240E">
        <w:rPr>
          <w:rFonts w:cstheme="minorHAnsi"/>
        </w:rPr>
        <w:t xml:space="preserve">39. </w:t>
      </w:r>
      <w:r w:rsidR="00FA36F7" w:rsidRPr="00D7240E">
        <w:rPr>
          <w:rFonts w:cstheme="minorHAnsi"/>
        </w:rPr>
        <w:t>Landrine, H., &amp; Klonoff, E. A. (1997). </w:t>
      </w:r>
      <w:r w:rsidR="00FA36F7" w:rsidRPr="00D7240E">
        <w:rPr>
          <w:rStyle w:val="Emphasis"/>
          <w:rFonts w:cstheme="minorHAnsi"/>
        </w:rPr>
        <w:t>Discrimination against women: Prevalence, consequences, remedies</w:t>
      </w:r>
      <w:r w:rsidR="00FA36F7" w:rsidRPr="00D7240E">
        <w:rPr>
          <w:rFonts w:cstheme="minorHAnsi"/>
        </w:rPr>
        <w:t>. Thousand Oaks, CA: SAGE Publications.</w:t>
      </w:r>
      <w:r w:rsidR="00F53F0E" w:rsidRPr="00D7240E">
        <w:rPr>
          <w:rFonts w:cstheme="minorHAnsi"/>
        </w:rPr>
        <w:t xml:space="preserve"> </w:t>
      </w:r>
    </w:p>
    <w:p w14:paraId="14697DDC" w14:textId="3B6DD6F9" w:rsidR="00FA36F7" w:rsidRPr="00D7240E" w:rsidRDefault="00703D23" w:rsidP="00B767AE">
      <w:pPr>
        <w:spacing w:after="0"/>
        <w:ind w:left="720" w:hanging="720"/>
        <w:rPr>
          <w:rFonts w:cstheme="minorHAnsi"/>
        </w:rPr>
      </w:pPr>
      <w:r w:rsidRPr="00D7240E">
        <w:rPr>
          <w:rFonts w:cstheme="minorHAnsi"/>
        </w:rPr>
        <w:t xml:space="preserve">40. </w:t>
      </w:r>
      <w:r w:rsidR="00FA36F7" w:rsidRPr="00D7240E">
        <w:rPr>
          <w:rFonts w:cstheme="minorHAnsi"/>
        </w:rPr>
        <w:t>Landrine, H., Klonoff, E. A., Gibbs, J., Manning, V., &amp; Lund, M. (1995). Physical and psychiatric correlates of gender discrimination: An application of the Schedule of Sexist Events. </w:t>
      </w:r>
      <w:r w:rsidR="00FA36F7" w:rsidRPr="00D7240E">
        <w:rPr>
          <w:rStyle w:val="Emphasis"/>
          <w:rFonts w:cstheme="minorHAnsi"/>
        </w:rPr>
        <w:t>Psychology of Women Quarterly, 19</w:t>
      </w:r>
      <w:r w:rsidR="00FA36F7" w:rsidRPr="00D7240E">
        <w:rPr>
          <w:rFonts w:cstheme="minorHAnsi"/>
        </w:rPr>
        <w:t>, 473–492. </w:t>
      </w:r>
      <w:r w:rsidR="00FA36F7" w:rsidRPr="00D7240E">
        <w:rPr>
          <w:rStyle w:val="externalref"/>
          <w:rFonts w:eastAsiaTheme="majorEastAsia" w:cstheme="minorHAnsi"/>
        </w:rPr>
        <w:t> </w:t>
      </w:r>
      <w:hyperlink r:id="rId219" w:tgtFrame="_blank" w:history="1">
        <w:r w:rsidR="00FA36F7" w:rsidRPr="00D7240E">
          <w:rPr>
            <w:rStyle w:val="refsource"/>
            <w:rFonts w:cstheme="minorHAnsi"/>
            <w:color w:val="4500A7"/>
            <w:u w:val="single"/>
          </w:rPr>
          <w:t>https://doi.org/10.1111/j.1471-6402.1995.tb00087.x</w:t>
        </w:r>
      </w:hyperlink>
      <w:r w:rsidR="00FA36F7" w:rsidRPr="00D7240E">
        <w:rPr>
          <w:rFonts w:cstheme="minorHAnsi"/>
        </w:rPr>
        <w:t>.</w:t>
      </w:r>
      <w:r w:rsidR="00F53F0E" w:rsidRPr="00D7240E">
        <w:rPr>
          <w:rFonts w:cstheme="minorHAnsi"/>
        </w:rPr>
        <w:t xml:space="preserve"> </w:t>
      </w:r>
    </w:p>
    <w:p w14:paraId="2E0E1B38" w14:textId="44B6F1CE" w:rsidR="00FA36F7" w:rsidRPr="00D7240E" w:rsidRDefault="00703D23" w:rsidP="00B767AE">
      <w:pPr>
        <w:spacing w:after="0"/>
        <w:ind w:left="720" w:hanging="720"/>
        <w:rPr>
          <w:rFonts w:cstheme="minorHAnsi"/>
        </w:rPr>
      </w:pPr>
      <w:r w:rsidRPr="00D7240E">
        <w:rPr>
          <w:rFonts w:cstheme="minorHAnsi"/>
        </w:rPr>
        <w:t xml:space="preserve">41. </w:t>
      </w:r>
      <w:r w:rsidR="00FA36F7" w:rsidRPr="00D7240E">
        <w:rPr>
          <w:rFonts w:cstheme="minorHAnsi"/>
        </w:rPr>
        <w:t>Lee, T. L., Fiske, S. T., &amp; Glick, P. (2010). Next gen ambivalent sexism: Converging correlates, causality in context, and converse causality, an introduction to the special issue. </w:t>
      </w:r>
      <w:r w:rsidR="00FA36F7" w:rsidRPr="00D7240E">
        <w:rPr>
          <w:rStyle w:val="Emphasis"/>
          <w:rFonts w:cstheme="minorHAnsi"/>
        </w:rPr>
        <w:t>Sex Roles, 62</w:t>
      </w:r>
      <w:r w:rsidR="00FA36F7" w:rsidRPr="00D7240E">
        <w:rPr>
          <w:rFonts w:cstheme="minorHAnsi"/>
        </w:rPr>
        <w:t>, 395–404. </w:t>
      </w:r>
      <w:r w:rsidR="00FA36F7" w:rsidRPr="00D7240E">
        <w:rPr>
          <w:rStyle w:val="externalref"/>
          <w:rFonts w:eastAsiaTheme="majorEastAsia" w:cstheme="minorHAnsi"/>
        </w:rPr>
        <w:t> </w:t>
      </w:r>
      <w:hyperlink r:id="rId220" w:tgtFrame="_blank" w:history="1">
        <w:r w:rsidR="00FA36F7" w:rsidRPr="00D7240E">
          <w:rPr>
            <w:rStyle w:val="refsource"/>
            <w:rFonts w:cstheme="minorHAnsi"/>
            <w:color w:val="4500A7"/>
            <w:u w:val="single"/>
          </w:rPr>
          <w:t>https://doi.org/10.1007/s11199-010-9747-9</w:t>
        </w:r>
      </w:hyperlink>
      <w:r w:rsidR="00FA36F7" w:rsidRPr="00D7240E">
        <w:rPr>
          <w:rFonts w:cstheme="minorHAnsi"/>
        </w:rPr>
        <w:t>.</w:t>
      </w:r>
      <w:r w:rsidR="00F53F0E" w:rsidRPr="00D7240E">
        <w:rPr>
          <w:rFonts w:cstheme="minorHAnsi"/>
        </w:rPr>
        <w:t xml:space="preserve"> </w:t>
      </w:r>
    </w:p>
    <w:p w14:paraId="6E36F2F5" w14:textId="29767089" w:rsidR="00FA36F7" w:rsidRPr="00D7240E" w:rsidRDefault="00703D23" w:rsidP="00B767AE">
      <w:pPr>
        <w:spacing w:after="0"/>
        <w:ind w:left="720" w:hanging="720"/>
        <w:rPr>
          <w:rFonts w:cstheme="minorHAnsi"/>
        </w:rPr>
      </w:pPr>
      <w:r w:rsidRPr="00D7240E">
        <w:rPr>
          <w:rFonts w:cstheme="minorHAnsi"/>
        </w:rPr>
        <w:t xml:space="preserve">42. </w:t>
      </w:r>
      <w:r w:rsidR="00FA36F7" w:rsidRPr="00D7240E">
        <w:rPr>
          <w:rFonts w:cstheme="minorHAnsi"/>
        </w:rPr>
        <w:t>LeMaire, K. L., Oswald, D. L., &amp; Russell, B. L. (2016). Labeling sexual victimization experiences; The role of sexism, rape myth acceptance, and tolerance for sexual harassment. </w:t>
      </w:r>
      <w:r w:rsidR="00FA36F7" w:rsidRPr="00D7240E">
        <w:rPr>
          <w:rStyle w:val="Emphasis"/>
          <w:rFonts w:cstheme="minorHAnsi"/>
        </w:rPr>
        <w:t>Violence and Victims, 31</w:t>
      </w:r>
      <w:r w:rsidR="00FA36F7" w:rsidRPr="00D7240E">
        <w:rPr>
          <w:rFonts w:cstheme="minorHAnsi"/>
        </w:rPr>
        <w:t>, 332–346. </w:t>
      </w:r>
      <w:r w:rsidR="00FA36F7" w:rsidRPr="00D7240E">
        <w:rPr>
          <w:rStyle w:val="externalref"/>
          <w:rFonts w:eastAsiaTheme="majorEastAsia" w:cstheme="minorHAnsi"/>
        </w:rPr>
        <w:t> </w:t>
      </w:r>
      <w:hyperlink r:id="rId221" w:tgtFrame="_blank" w:history="1">
        <w:r w:rsidR="00FA36F7" w:rsidRPr="00D7240E">
          <w:rPr>
            <w:rStyle w:val="refsource"/>
            <w:rFonts w:cstheme="minorHAnsi"/>
            <w:color w:val="4500A7"/>
            <w:u w:val="single"/>
          </w:rPr>
          <w:t>https://doi.org/10.1891/0886-6708.VV-D-13-00148</w:t>
        </w:r>
      </w:hyperlink>
      <w:r w:rsidR="00FA36F7" w:rsidRPr="00D7240E">
        <w:rPr>
          <w:rFonts w:cstheme="minorHAnsi"/>
        </w:rPr>
        <w:t>.</w:t>
      </w:r>
      <w:r w:rsidR="00F53F0E" w:rsidRPr="00D7240E">
        <w:rPr>
          <w:rFonts w:cstheme="minorHAnsi"/>
        </w:rPr>
        <w:t xml:space="preserve"> </w:t>
      </w:r>
    </w:p>
    <w:p w14:paraId="4D138302" w14:textId="5D1537AA" w:rsidR="00FA36F7" w:rsidRPr="00D7240E" w:rsidRDefault="00703D23" w:rsidP="00B767AE">
      <w:pPr>
        <w:spacing w:after="0"/>
        <w:ind w:left="720" w:hanging="720"/>
        <w:rPr>
          <w:rFonts w:cstheme="minorHAnsi"/>
        </w:rPr>
      </w:pPr>
      <w:r w:rsidRPr="00D7240E">
        <w:rPr>
          <w:rFonts w:cstheme="minorHAnsi"/>
        </w:rPr>
        <w:lastRenderedPageBreak/>
        <w:t xml:space="preserve">43. </w:t>
      </w:r>
      <w:r w:rsidR="00FA36F7" w:rsidRPr="00D7240E">
        <w:rPr>
          <w:rFonts w:cstheme="minorHAnsi"/>
        </w:rPr>
        <w:t>Masser, B., &amp; Abrams, D. (1999). Contemporary sexism: The relationships among hostility, benevolence and neosexism. </w:t>
      </w:r>
      <w:r w:rsidR="00FA36F7" w:rsidRPr="00D7240E">
        <w:rPr>
          <w:rStyle w:val="Emphasis"/>
          <w:rFonts w:cstheme="minorHAnsi"/>
        </w:rPr>
        <w:t>Psychology of Women Quarterly, 23</w:t>
      </w:r>
      <w:r w:rsidR="00FA36F7" w:rsidRPr="00D7240E">
        <w:rPr>
          <w:rFonts w:cstheme="minorHAnsi"/>
        </w:rPr>
        <w:t>, 503–571. </w:t>
      </w:r>
      <w:r w:rsidR="00FA36F7" w:rsidRPr="00D7240E">
        <w:rPr>
          <w:rStyle w:val="externalref"/>
          <w:rFonts w:eastAsiaTheme="majorEastAsia" w:cstheme="minorHAnsi"/>
        </w:rPr>
        <w:t> </w:t>
      </w:r>
      <w:hyperlink r:id="rId222" w:tgtFrame="_blank" w:history="1">
        <w:r w:rsidR="00FA36F7" w:rsidRPr="00D7240E">
          <w:rPr>
            <w:rStyle w:val="refsource"/>
            <w:rFonts w:cstheme="minorHAnsi"/>
            <w:color w:val="4500A7"/>
            <w:u w:val="single"/>
          </w:rPr>
          <w:t>https://doi.org/10.1111/j.1471-6402.1999.tb00378.x</w:t>
        </w:r>
      </w:hyperlink>
      <w:r w:rsidR="00FA36F7" w:rsidRPr="00D7240E">
        <w:rPr>
          <w:rFonts w:cstheme="minorHAnsi"/>
        </w:rPr>
        <w:t>.</w:t>
      </w:r>
      <w:r w:rsidR="00F53F0E" w:rsidRPr="00D7240E">
        <w:rPr>
          <w:rFonts w:cstheme="minorHAnsi"/>
        </w:rPr>
        <w:t xml:space="preserve"> </w:t>
      </w:r>
    </w:p>
    <w:p w14:paraId="0095D40C" w14:textId="059CEF7D" w:rsidR="00FA36F7" w:rsidRPr="00D7240E" w:rsidRDefault="00703D23" w:rsidP="00B767AE">
      <w:pPr>
        <w:spacing w:after="0"/>
        <w:ind w:left="720" w:hanging="720"/>
        <w:rPr>
          <w:rFonts w:cstheme="minorHAnsi"/>
        </w:rPr>
      </w:pPr>
      <w:r w:rsidRPr="00D7240E">
        <w:rPr>
          <w:rFonts w:cstheme="minorHAnsi"/>
        </w:rPr>
        <w:t xml:space="preserve">44. </w:t>
      </w:r>
      <w:r w:rsidR="00FA36F7" w:rsidRPr="00D7240E">
        <w:rPr>
          <w:rFonts w:cstheme="minorHAnsi"/>
        </w:rPr>
        <w:t>Masser, B. M., &amp; Abrams, D. (2004). Reinforcing the glass ceiling: The consequences of hostile sexism for female managerial candidates. </w:t>
      </w:r>
      <w:r w:rsidR="00FA36F7" w:rsidRPr="00D7240E">
        <w:rPr>
          <w:rStyle w:val="Emphasis"/>
          <w:rFonts w:cstheme="minorHAnsi"/>
        </w:rPr>
        <w:t>Sex Roles, 51</w:t>
      </w:r>
      <w:r w:rsidR="00FA36F7" w:rsidRPr="00D7240E">
        <w:rPr>
          <w:rFonts w:cstheme="minorHAnsi"/>
        </w:rPr>
        <w:t>, 609–615. </w:t>
      </w:r>
      <w:r w:rsidR="00FA36F7" w:rsidRPr="00D7240E">
        <w:rPr>
          <w:rStyle w:val="externalref"/>
          <w:rFonts w:eastAsiaTheme="majorEastAsia" w:cstheme="minorHAnsi"/>
        </w:rPr>
        <w:t> </w:t>
      </w:r>
      <w:hyperlink r:id="rId223" w:tgtFrame="_blank" w:history="1">
        <w:r w:rsidR="00FA36F7" w:rsidRPr="00D7240E">
          <w:rPr>
            <w:rStyle w:val="refsource"/>
            <w:rFonts w:cstheme="minorHAnsi"/>
            <w:color w:val="4500A7"/>
            <w:u w:val="single"/>
          </w:rPr>
          <w:t>https://doi.org/10.1007/s11199-004-5470-8</w:t>
        </w:r>
      </w:hyperlink>
      <w:r w:rsidR="00FA36F7" w:rsidRPr="00D7240E">
        <w:rPr>
          <w:rFonts w:cstheme="minorHAnsi"/>
        </w:rPr>
        <w:t>.</w:t>
      </w:r>
      <w:hyperlink r:id="rId224" w:tgtFrame="_blank" w:history="1">
        <w:r w:rsidR="00FA36F7" w:rsidRPr="00D7240E">
          <w:rPr>
            <w:rStyle w:val="Hyperlink"/>
            <w:rFonts w:eastAsiaTheme="majorEastAsia" w:cstheme="minorHAnsi"/>
            <w:color w:val="4500A7"/>
          </w:rPr>
          <w:t>CrossRef</w:t>
        </w:r>
      </w:hyperlink>
      <w:hyperlink r:id="rId225" w:tgtFrame="_blank" w:history="1">
        <w:r w:rsidR="00FA36F7" w:rsidRPr="00D7240E">
          <w:rPr>
            <w:rStyle w:val="Hyperlink"/>
            <w:rFonts w:eastAsiaTheme="majorEastAsia" w:cstheme="minorHAnsi"/>
            <w:color w:val="4500A7"/>
          </w:rPr>
          <w:t>Google Scholar</w:t>
        </w:r>
      </w:hyperlink>
    </w:p>
    <w:p w14:paraId="0EF48E8E" w14:textId="5D824286" w:rsidR="00FA36F7" w:rsidRPr="00D7240E" w:rsidRDefault="00703D23" w:rsidP="00B767AE">
      <w:pPr>
        <w:spacing w:after="0"/>
        <w:ind w:left="720" w:hanging="720"/>
        <w:rPr>
          <w:rFonts w:cstheme="minorHAnsi"/>
        </w:rPr>
      </w:pPr>
      <w:r w:rsidRPr="00D7240E">
        <w:rPr>
          <w:rFonts w:cstheme="minorHAnsi"/>
        </w:rPr>
        <w:t xml:space="preserve">45. </w:t>
      </w:r>
      <w:r w:rsidR="00FA36F7" w:rsidRPr="00D7240E">
        <w:rPr>
          <w:rFonts w:cstheme="minorHAnsi"/>
        </w:rPr>
        <w:t>Matteson, A. V., &amp; Moradi, B. (2005). Examining the structure of the Schedule of Sexist Events: Replication and extension. </w:t>
      </w:r>
      <w:r w:rsidR="00FA36F7" w:rsidRPr="00D7240E">
        <w:rPr>
          <w:rStyle w:val="Emphasis"/>
          <w:rFonts w:cstheme="minorHAnsi"/>
        </w:rPr>
        <w:t>Psychology of Women Quarterly, 29</w:t>
      </w:r>
      <w:r w:rsidR="00FA36F7" w:rsidRPr="00D7240E">
        <w:rPr>
          <w:rFonts w:cstheme="minorHAnsi"/>
        </w:rPr>
        <w:t>, 47–57. </w:t>
      </w:r>
      <w:r w:rsidR="00FA36F7" w:rsidRPr="00D7240E">
        <w:rPr>
          <w:rStyle w:val="externalref"/>
          <w:rFonts w:eastAsiaTheme="majorEastAsia" w:cstheme="minorHAnsi"/>
        </w:rPr>
        <w:t> </w:t>
      </w:r>
      <w:hyperlink r:id="rId226" w:tgtFrame="_blank" w:history="1">
        <w:r w:rsidR="00FA36F7" w:rsidRPr="00D7240E">
          <w:rPr>
            <w:rStyle w:val="refsource"/>
            <w:rFonts w:cstheme="minorHAnsi"/>
            <w:color w:val="4500A7"/>
            <w:u w:val="single"/>
          </w:rPr>
          <w:t>https://doi.org/10.1111/j.0361-6843.2005.00167.x</w:t>
        </w:r>
      </w:hyperlink>
      <w:r w:rsidR="00FA36F7" w:rsidRPr="00D7240E">
        <w:rPr>
          <w:rFonts w:cstheme="minorHAnsi"/>
        </w:rPr>
        <w:t>.</w:t>
      </w:r>
      <w:r w:rsidR="00F53F0E" w:rsidRPr="00D7240E">
        <w:rPr>
          <w:rFonts w:cstheme="minorHAnsi"/>
        </w:rPr>
        <w:t xml:space="preserve"> </w:t>
      </w:r>
    </w:p>
    <w:p w14:paraId="570D87EC" w14:textId="1C30B802" w:rsidR="00FA36F7" w:rsidRPr="00D7240E" w:rsidRDefault="00703D23" w:rsidP="00B767AE">
      <w:pPr>
        <w:spacing w:after="0"/>
        <w:ind w:left="720" w:hanging="720"/>
        <w:rPr>
          <w:rFonts w:cstheme="minorHAnsi"/>
        </w:rPr>
      </w:pPr>
      <w:r w:rsidRPr="00D7240E">
        <w:rPr>
          <w:rFonts w:cstheme="minorHAnsi"/>
        </w:rPr>
        <w:t xml:space="preserve">46. </w:t>
      </w:r>
      <w:r w:rsidR="00FA36F7" w:rsidRPr="00D7240E">
        <w:rPr>
          <w:rFonts w:cstheme="minorHAnsi"/>
        </w:rPr>
        <w:t>McDonald, R., &amp; Ho, M. R. (2002). Principles and practices in reporting structural equation analyses. </w:t>
      </w:r>
      <w:r w:rsidR="00FA36F7" w:rsidRPr="00D7240E">
        <w:rPr>
          <w:rStyle w:val="Emphasis"/>
          <w:rFonts w:cstheme="minorHAnsi"/>
        </w:rPr>
        <w:t>Psychological Methods, 7</w:t>
      </w:r>
      <w:r w:rsidR="00FA36F7" w:rsidRPr="00D7240E">
        <w:rPr>
          <w:rFonts w:cstheme="minorHAnsi"/>
        </w:rPr>
        <w:t>, 64–82. </w:t>
      </w:r>
      <w:r w:rsidR="00FA36F7" w:rsidRPr="00D7240E">
        <w:rPr>
          <w:rStyle w:val="externalref"/>
          <w:rFonts w:eastAsiaTheme="majorEastAsia" w:cstheme="minorHAnsi"/>
        </w:rPr>
        <w:t> </w:t>
      </w:r>
      <w:hyperlink r:id="rId227" w:tgtFrame="_blank" w:history="1">
        <w:r w:rsidR="00FA36F7" w:rsidRPr="00D7240E">
          <w:rPr>
            <w:rStyle w:val="refsource"/>
            <w:rFonts w:cstheme="minorHAnsi"/>
            <w:color w:val="4500A7"/>
            <w:u w:val="single"/>
          </w:rPr>
          <w:t>https://doi.org/10.1037//1082-989X.7.1.64</w:t>
        </w:r>
      </w:hyperlink>
      <w:r w:rsidR="00FA36F7" w:rsidRPr="00D7240E">
        <w:rPr>
          <w:rFonts w:cstheme="minorHAnsi"/>
        </w:rPr>
        <w:t>.</w:t>
      </w:r>
      <w:r w:rsidR="00F53F0E" w:rsidRPr="00D7240E">
        <w:rPr>
          <w:rFonts w:cstheme="minorHAnsi"/>
        </w:rPr>
        <w:t xml:space="preserve"> </w:t>
      </w:r>
    </w:p>
    <w:p w14:paraId="3D243FC4" w14:textId="2FA42B54" w:rsidR="00FA36F7" w:rsidRPr="00D7240E" w:rsidRDefault="00703D23" w:rsidP="00B767AE">
      <w:pPr>
        <w:spacing w:after="0"/>
        <w:ind w:left="720" w:hanging="720"/>
        <w:rPr>
          <w:rFonts w:cstheme="minorHAnsi"/>
        </w:rPr>
      </w:pPr>
      <w:r w:rsidRPr="00D7240E">
        <w:rPr>
          <w:rFonts w:cstheme="minorHAnsi"/>
        </w:rPr>
        <w:t xml:space="preserve">47. </w:t>
      </w:r>
      <w:r w:rsidR="00FA36F7" w:rsidRPr="00D7240E">
        <w:rPr>
          <w:rFonts w:cstheme="minorHAnsi"/>
        </w:rPr>
        <w:t>Mirels, H. L., Greblo, P., &amp; Dean, J. B. (2002). Judgmental self-doubt: Beliefs about one’s judgmental prowess. </w:t>
      </w:r>
      <w:r w:rsidR="00FA36F7" w:rsidRPr="00D7240E">
        <w:rPr>
          <w:rStyle w:val="Emphasis"/>
          <w:rFonts w:cstheme="minorHAnsi"/>
        </w:rPr>
        <w:t>Personality and Individual Differences, 33</w:t>
      </w:r>
      <w:r w:rsidR="00FA36F7" w:rsidRPr="00D7240E">
        <w:rPr>
          <w:rFonts w:cstheme="minorHAnsi"/>
        </w:rPr>
        <w:t>, 741–758. </w:t>
      </w:r>
      <w:r w:rsidR="00FA36F7" w:rsidRPr="00D7240E">
        <w:rPr>
          <w:rStyle w:val="externalref"/>
          <w:rFonts w:eastAsiaTheme="majorEastAsia" w:cstheme="minorHAnsi"/>
        </w:rPr>
        <w:t> </w:t>
      </w:r>
      <w:hyperlink r:id="rId228" w:tgtFrame="_blank" w:history="1">
        <w:r w:rsidR="00FA36F7" w:rsidRPr="00D7240E">
          <w:rPr>
            <w:rStyle w:val="refsource"/>
            <w:rFonts w:cstheme="minorHAnsi"/>
            <w:color w:val="4500A7"/>
            <w:u w:val="single"/>
          </w:rPr>
          <w:t>https://doi.org/10.1016/S0191-8869(01)00189-1</w:t>
        </w:r>
      </w:hyperlink>
      <w:r w:rsidR="00FA36F7" w:rsidRPr="00D7240E">
        <w:rPr>
          <w:rFonts w:cstheme="minorHAnsi"/>
        </w:rPr>
        <w:t>.</w:t>
      </w:r>
      <w:r w:rsidR="00F53F0E" w:rsidRPr="00D7240E">
        <w:rPr>
          <w:rFonts w:cstheme="minorHAnsi"/>
        </w:rPr>
        <w:t xml:space="preserve"> </w:t>
      </w:r>
    </w:p>
    <w:p w14:paraId="32AF07E3" w14:textId="42654267" w:rsidR="00FA36F7" w:rsidRPr="00D7240E" w:rsidRDefault="002127D0" w:rsidP="00B767AE">
      <w:pPr>
        <w:spacing w:after="0"/>
        <w:ind w:left="720" w:hanging="720"/>
        <w:rPr>
          <w:rFonts w:cstheme="minorHAnsi"/>
        </w:rPr>
      </w:pPr>
      <w:r w:rsidRPr="00D7240E">
        <w:rPr>
          <w:rFonts w:cstheme="minorHAnsi"/>
        </w:rPr>
        <w:t xml:space="preserve">48. </w:t>
      </w:r>
      <w:r w:rsidR="00FA36F7" w:rsidRPr="00D7240E">
        <w:rPr>
          <w:rFonts w:cstheme="minorHAnsi"/>
        </w:rPr>
        <w:t>Moradi, B., &amp; Subich, L. M. (2002). Perceived sexist events and feminist identity development attitudes: Links to women’s psychological distress. </w:t>
      </w:r>
      <w:r w:rsidR="00FA36F7" w:rsidRPr="00D7240E">
        <w:rPr>
          <w:rStyle w:val="Emphasis"/>
          <w:rFonts w:cstheme="minorHAnsi"/>
        </w:rPr>
        <w:t>The Counseling Psychologist, 30</w:t>
      </w:r>
      <w:r w:rsidR="00FA36F7" w:rsidRPr="00D7240E">
        <w:rPr>
          <w:rFonts w:cstheme="minorHAnsi"/>
        </w:rPr>
        <w:t>, 44–65. </w:t>
      </w:r>
      <w:r w:rsidR="00FA36F7" w:rsidRPr="00D7240E">
        <w:rPr>
          <w:rStyle w:val="externalref"/>
          <w:rFonts w:eastAsiaTheme="majorEastAsia" w:cstheme="minorHAnsi"/>
        </w:rPr>
        <w:t> </w:t>
      </w:r>
      <w:hyperlink r:id="rId229" w:tgtFrame="_blank" w:history="1">
        <w:r w:rsidR="00FA36F7" w:rsidRPr="00D7240E">
          <w:rPr>
            <w:rStyle w:val="refsource"/>
            <w:rFonts w:cstheme="minorHAnsi"/>
            <w:color w:val="4500A7"/>
            <w:u w:val="single"/>
          </w:rPr>
          <w:t>https://doi.org/10.1177/0011000002301003</w:t>
        </w:r>
      </w:hyperlink>
      <w:r w:rsidR="00FA36F7" w:rsidRPr="00D7240E">
        <w:rPr>
          <w:rFonts w:cstheme="minorHAnsi"/>
        </w:rPr>
        <w:t>.</w:t>
      </w:r>
      <w:r w:rsidR="00F53F0E" w:rsidRPr="00D7240E">
        <w:rPr>
          <w:rFonts w:cstheme="minorHAnsi"/>
        </w:rPr>
        <w:t xml:space="preserve"> </w:t>
      </w:r>
    </w:p>
    <w:p w14:paraId="7FCE6674" w14:textId="4913A72B" w:rsidR="00FA36F7" w:rsidRPr="00D7240E" w:rsidRDefault="002127D0" w:rsidP="00B767AE">
      <w:pPr>
        <w:spacing w:after="0"/>
        <w:ind w:left="720" w:hanging="720"/>
        <w:rPr>
          <w:rFonts w:cstheme="minorHAnsi"/>
        </w:rPr>
      </w:pPr>
      <w:r w:rsidRPr="00D7240E">
        <w:rPr>
          <w:rFonts w:cstheme="minorHAnsi"/>
        </w:rPr>
        <w:t xml:space="preserve">49. </w:t>
      </w:r>
      <w:r w:rsidR="00FA36F7" w:rsidRPr="00D7240E">
        <w:rPr>
          <w:rFonts w:cstheme="minorHAnsi"/>
        </w:rPr>
        <w:t>Moya, M., Glick, P., Exposito, F., de Lemus, S., &amp; Hart, J. (2007). It’s for your own good: Benevolent sexism and women’s reactions to protectively justified restrictions. </w:t>
      </w:r>
      <w:r w:rsidR="00FA36F7" w:rsidRPr="00D7240E">
        <w:rPr>
          <w:rStyle w:val="Emphasis"/>
          <w:rFonts w:cstheme="minorHAnsi"/>
        </w:rPr>
        <w:t>Personality and Social Psychology Bulletin, 33</w:t>
      </w:r>
      <w:r w:rsidR="00FA36F7" w:rsidRPr="00D7240E">
        <w:rPr>
          <w:rFonts w:cstheme="minorHAnsi"/>
        </w:rPr>
        <w:t>, 1421–1434. </w:t>
      </w:r>
      <w:r w:rsidR="00FA36F7" w:rsidRPr="00D7240E">
        <w:rPr>
          <w:rStyle w:val="externalref"/>
          <w:rFonts w:eastAsiaTheme="majorEastAsia" w:cstheme="minorHAnsi"/>
        </w:rPr>
        <w:t> </w:t>
      </w:r>
      <w:hyperlink r:id="rId230" w:tgtFrame="_blank" w:history="1">
        <w:r w:rsidR="00FA36F7" w:rsidRPr="00D7240E">
          <w:rPr>
            <w:rStyle w:val="refsource"/>
            <w:rFonts w:cstheme="minorHAnsi"/>
            <w:color w:val="4500A7"/>
            <w:u w:val="single"/>
          </w:rPr>
          <w:t>https://doi.org/10.1177/0146167207304790</w:t>
        </w:r>
      </w:hyperlink>
      <w:r w:rsidR="00FA36F7" w:rsidRPr="00D7240E">
        <w:rPr>
          <w:rFonts w:cstheme="minorHAnsi"/>
        </w:rPr>
        <w:t>.</w:t>
      </w:r>
      <w:r w:rsidR="00F53F0E" w:rsidRPr="00D7240E">
        <w:rPr>
          <w:rFonts w:cstheme="minorHAnsi"/>
        </w:rPr>
        <w:t xml:space="preserve"> </w:t>
      </w:r>
    </w:p>
    <w:p w14:paraId="2C3D6BEC" w14:textId="68506FD0" w:rsidR="00FA36F7" w:rsidRPr="00D7240E" w:rsidRDefault="002127D0" w:rsidP="00B767AE">
      <w:pPr>
        <w:spacing w:after="0"/>
        <w:ind w:left="720" w:hanging="720"/>
        <w:rPr>
          <w:rFonts w:cstheme="minorHAnsi"/>
        </w:rPr>
      </w:pPr>
      <w:r w:rsidRPr="00D7240E">
        <w:rPr>
          <w:rFonts w:cstheme="minorHAnsi"/>
        </w:rPr>
        <w:t xml:space="preserve">50. </w:t>
      </w:r>
      <w:r w:rsidR="00FA36F7" w:rsidRPr="00D7240E">
        <w:rPr>
          <w:rFonts w:cstheme="minorHAnsi"/>
        </w:rPr>
        <w:t>Napier, J. L., Thorsisdottir, H., &amp; Jost, J. T. (2010). The joy of sexism? A multinational investigation of hostile and benevolent justifications for gender inequality and their relations to subjective well-being. </w:t>
      </w:r>
      <w:r w:rsidR="00FA36F7" w:rsidRPr="00D7240E">
        <w:rPr>
          <w:rStyle w:val="Emphasis"/>
          <w:rFonts w:cstheme="minorHAnsi"/>
        </w:rPr>
        <w:t>Sex Roles, 62</w:t>
      </w:r>
      <w:r w:rsidR="00FA36F7" w:rsidRPr="00D7240E">
        <w:rPr>
          <w:rFonts w:cstheme="minorHAnsi"/>
        </w:rPr>
        <w:t>, 405–419. </w:t>
      </w:r>
      <w:r w:rsidR="00FA36F7" w:rsidRPr="00D7240E">
        <w:rPr>
          <w:rStyle w:val="externalref"/>
          <w:rFonts w:eastAsiaTheme="majorEastAsia" w:cstheme="minorHAnsi"/>
        </w:rPr>
        <w:t> </w:t>
      </w:r>
      <w:hyperlink r:id="rId231" w:tgtFrame="_blank" w:history="1">
        <w:r w:rsidR="00FA36F7" w:rsidRPr="00D7240E">
          <w:rPr>
            <w:rStyle w:val="refsource"/>
            <w:rFonts w:cstheme="minorHAnsi"/>
            <w:color w:val="4500A7"/>
            <w:u w:val="single"/>
          </w:rPr>
          <w:t>https://doi.org/10.1007/s11199-009-9712-7</w:t>
        </w:r>
      </w:hyperlink>
      <w:r w:rsidR="00FA36F7" w:rsidRPr="00D7240E">
        <w:rPr>
          <w:rFonts w:cstheme="minorHAnsi"/>
        </w:rPr>
        <w:t>.</w:t>
      </w:r>
      <w:r w:rsidR="00F53F0E" w:rsidRPr="00D7240E">
        <w:rPr>
          <w:rFonts w:cstheme="minorHAnsi"/>
        </w:rPr>
        <w:t xml:space="preserve"> </w:t>
      </w:r>
    </w:p>
    <w:p w14:paraId="4B621945" w14:textId="50C57B24" w:rsidR="00FA36F7" w:rsidRPr="00D7240E" w:rsidRDefault="002127D0" w:rsidP="00B767AE">
      <w:pPr>
        <w:spacing w:after="0"/>
        <w:ind w:left="720" w:hanging="720"/>
        <w:rPr>
          <w:rFonts w:cstheme="minorHAnsi"/>
        </w:rPr>
      </w:pPr>
      <w:r w:rsidRPr="00D7240E">
        <w:rPr>
          <w:rFonts w:cstheme="minorHAnsi"/>
        </w:rPr>
        <w:t xml:space="preserve">51. </w:t>
      </w:r>
      <w:r w:rsidR="00FA36F7" w:rsidRPr="00D7240E">
        <w:rPr>
          <w:rFonts w:cstheme="minorHAnsi"/>
        </w:rPr>
        <w:t>Oleson, K. C., Poehlmann, K. M., Yost, J. H., Lynch, M. E., &amp; Arkin, R. M. (2000). Subjective overachievement: Individual differences in self-doubt and concern with performance. </w:t>
      </w:r>
      <w:r w:rsidR="00FA36F7" w:rsidRPr="00D7240E">
        <w:rPr>
          <w:rStyle w:val="Emphasis"/>
          <w:rFonts w:cstheme="minorHAnsi"/>
        </w:rPr>
        <w:t>Journal of Personality, 68</w:t>
      </w:r>
      <w:r w:rsidR="00FA36F7" w:rsidRPr="00D7240E">
        <w:rPr>
          <w:rFonts w:cstheme="minorHAnsi"/>
        </w:rPr>
        <w:t>, 491–542. </w:t>
      </w:r>
      <w:r w:rsidR="00FA36F7" w:rsidRPr="00D7240E">
        <w:rPr>
          <w:rStyle w:val="externalref"/>
          <w:rFonts w:eastAsiaTheme="majorEastAsia" w:cstheme="minorHAnsi"/>
        </w:rPr>
        <w:t> </w:t>
      </w:r>
      <w:hyperlink r:id="rId232" w:tgtFrame="_blank" w:history="1">
        <w:r w:rsidR="00FA36F7" w:rsidRPr="00D7240E">
          <w:rPr>
            <w:rStyle w:val="refsource"/>
            <w:rFonts w:cstheme="minorHAnsi"/>
            <w:color w:val="4500A7"/>
            <w:u w:val="single"/>
          </w:rPr>
          <w:t>https://doi.org/10.1111/1467-6494.00104</w:t>
        </w:r>
      </w:hyperlink>
      <w:r w:rsidR="00FA36F7" w:rsidRPr="00D7240E">
        <w:rPr>
          <w:rFonts w:cstheme="minorHAnsi"/>
        </w:rPr>
        <w:t>.</w:t>
      </w:r>
      <w:r w:rsidR="00F53F0E" w:rsidRPr="00D7240E">
        <w:rPr>
          <w:rFonts w:cstheme="minorHAnsi"/>
        </w:rPr>
        <w:t xml:space="preserve"> </w:t>
      </w:r>
    </w:p>
    <w:p w14:paraId="0D70526C" w14:textId="6CEBAB70" w:rsidR="00FA36F7" w:rsidRPr="00D7240E" w:rsidRDefault="002127D0" w:rsidP="00B767AE">
      <w:pPr>
        <w:spacing w:after="0"/>
        <w:ind w:left="720" w:hanging="720"/>
        <w:rPr>
          <w:rFonts w:cstheme="minorHAnsi"/>
        </w:rPr>
      </w:pPr>
      <w:r w:rsidRPr="00D7240E">
        <w:rPr>
          <w:rFonts w:cstheme="minorHAnsi"/>
        </w:rPr>
        <w:t xml:space="preserve">52. </w:t>
      </w:r>
      <w:r w:rsidR="00FA36F7" w:rsidRPr="00D7240E">
        <w:rPr>
          <w:rFonts w:cstheme="minorHAnsi"/>
        </w:rPr>
        <w:t>Oswald, D. L., Franzoi, S., &amp; Frost, K. (2012). Experiencing sexism and young women's body esteem. </w:t>
      </w:r>
      <w:r w:rsidR="00FA36F7" w:rsidRPr="00D7240E">
        <w:rPr>
          <w:rStyle w:val="Emphasis"/>
          <w:rFonts w:cstheme="minorHAnsi"/>
        </w:rPr>
        <w:t>Journal of Social and Clinical Psychology, 31</w:t>
      </w:r>
      <w:r w:rsidR="00FA36F7" w:rsidRPr="00D7240E">
        <w:rPr>
          <w:rFonts w:cstheme="minorHAnsi"/>
        </w:rPr>
        <w:t>, 1112–1137. </w:t>
      </w:r>
      <w:r w:rsidR="00FA36F7" w:rsidRPr="00D7240E">
        <w:rPr>
          <w:rStyle w:val="externalref"/>
          <w:rFonts w:eastAsiaTheme="majorEastAsia" w:cstheme="minorHAnsi"/>
        </w:rPr>
        <w:t> </w:t>
      </w:r>
      <w:hyperlink r:id="rId233" w:tgtFrame="_blank" w:history="1">
        <w:r w:rsidR="00FA36F7" w:rsidRPr="00D7240E">
          <w:rPr>
            <w:rStyle w:val="refsource"/>
            <w:rFonts w:cstheme="minorHAnsi"/>
            <w:color w:val="4500A7"/>
            <w:u w:val="single"/>
          </w:rPr>
          <w:t>https://doi.org/10.1037/t00700-000</w:t>
        </w:r>
      </w:hyperlink>
      <w:r w:rsidR="00FA36F7" w:rsidRPr="00D7240E">
        <w:rPr>
          <w:rFonts w:cstheme="minorHAnsi"/>
        </w:rPr>
        <w:t>.</w:t>
      </w:r>
      <w:r w:rsidR="00F53F0E" w:rsidRPr="00D7240E">
        <w:rPr>
          <w:rFonts w:cstheme="minorHAnsi"/>
        </w:rPr>
        <w:t xml:space="preserve"> </w:t>
      </w:r>
    </w:p>
    <w:p w14:paraId="2916B15B" w14:textId="4D1D6BA7" w:rsidR="00FA36F7" w:rsidRPr="00D7240E" w:rsidRDefault="002127D0" w:rsidP="00B767AE">
      <w:pPr>
        <w:spacing w:after="0"/>
        <w:ind w:left="720" w:hanging="720"/>
        <w:rPr>
          <w:rFonts w:cstheme="minorHAnsi"/>
        </w:rPr>
      </w:pPr>
      <w:r w:rsidRPr="00D7240E">
        <w:rPr>
          <w:rFonts w:cstheme="minorHAnsi"/>
        </w:rPr>
        <w:t xml:space="preserve">53. </w:t>
      </w:r>
      <w:r w:rsidR="00FA36F7" w:rsidRPr="00D7240E">
        <w:rPr>
          <w:rFonts w:cstheme="minorHAnsi"/>
        </w:rPr>
        <w:t>Pettijohn, T. F., &amp; Walzer, A. S. (2008). Reducing racism, sexism, and homophobia in college students by completing a psychology of prejudice course. </w:t>
      </w:r>
      <w:r w:rsidR="00FA36F7" w:rsidRPr="00D7240E">
        <w:rPr>
          <w:rStyle w:val="Emphasis"/>
          <w:rFonts w:cstheme="minorHAnsi"/>
        </w:rPr>
        <w:t>College Student Journal, 42</w:t>
      </w:r>
      <w:r w:rsidR="00FA36F7" w:rsidRPr="00D7240E">
        <w:rPr>
          <w:rFonts w:cstheme="minorHAnsi"/>
        </w:rPr>
        <w:t>, 459–468.</w:t>
      </w:r>
      <w:r w:rsidR="00F53F0E" w:rsidRPr="00D7240E">
        <w:rPr>
          <w:rFonts w:cstheme="minorHAnsi"/>
        </w:rPr>
        <w:t xml:space="preserve"> </w:t>
      </w:r>
    </w:p>
    <w:p w14:paraId="669ECBC5" w14:textId="1A8DDDF9" w:rsidR="00FA36F7" w:rsidRPr="00D7240E" w:rsidRDefault="002127D0" w:rsidP="00B767AE">
      <w:pPr>
        <w:spacing w:after="0"/>
        <w:ind w:left="720" w:hanging="720"/>
        <w:rPr>
          <w:rFonts w:cstheme="minorHAnsi"/>
        </w:rPr>
      </w:pPr>
      <w:r w:rsidRPr="00D7240E">
        <w:rPr>
          <w:rFonts w:cstheme="minorHAnsi"/>
        </w:rPr>
        <w:t xml:space="preserve">54. </w:t>
      </w:r>
      <w:r w:rsidR="00FA36F7" w:rsidRPr="00D7240E">
        <w:rPr>
          <w:rFonts w:cstheme="minorHAnsi"/>
        </w:rPr>
        <w:t>Rigby, K. (1987). An authority behavior inventory. </w:t>
      </w:r>
      <w:r w:rsidR="00FA36F7" w:rsidRPr="00D7240E">
        <w:rPr>
          <w:rStyle w:val="Emphasis"/>
          <w:rFonts w:cstheme="minorHAnsi"/>
        </w:rPr>
        <w:t>Journal of Personality Assessment, 51</w:t>
      </w:r>
      <w:r w:rsidR="00FA36F7" w:rsidRPr="00D7240E">
        <w:rPr>
          <w:rFonts w:cstheme="minorHAnsi"/>
        </w:rPr>
        <w:t>, 615–625. </w:t>
      </w:r>
      <w:r w:rsidR="00FA36F7" w:rsidRPr="00D7240E">
        <w:rPr>
          <w:rStyle w:val="externalref"/>
          <w:rFonts w:eastAsiaTheme="majorEastAsia" w:cstheme="minorHAnsi"/>
        </w:rPr>
        <w:t> </w:t>
      </w:r>
      <w:hyperlink r:id="rId234" w:tgtFrame="_blank" w:history="1">
        <w:r w:rsidR="00FA36F7" w:rsidRPr="00D7240E">
          <w:rPr>
            <w:rStyle w:val="refsource"/>
            <w:rFonts w:cstheme="minorHAnsi"/>
            <w:color w:val="4500A7"/>
            <w:u w:val="single"/>
          </w:rPr>
          <w:t>https://doi.org/10.1207/s15327752jpa5104_14</w:t>
        </w:r>
      </w:hyperlink>
      <w:r w:rsidR="00FA36F7" w:rsidRPr="00D7240E">
        <w:rPr>
          <w:rFonts w:cstheme="minorHAnsi"/>
        </w:rPr>
        <w:t>.</w:t>
      </w:r>
      <w:r w:rsidR="00F53F0E" w:rsidRPr="00D7240E">
        <w:rPr>
          <w:rFonts w:cstheme="minorHAnsi"/>
        </w:rPr>
        <w:t xml:space="preserve"> </w:t>
      </w:r>
    </w:p>
    <w:p w14:paraId="74FC2AFE" w14:textId="6B46C6E2" w:rsidR="00FA36F7" w:rsidRPr="00D7240E" w:rsidRDefault="002127D0" w:rsidP="00B767AE">
      <w:pPr>
        <w:spacing w:after="0"/>
        <w:ind w:left="720" w:hanging="720"/>
        <w:rPr>
          <w:rFonts w:cstheme="minorHAnsi"/>
        </w:rPr>
      </w:pPr>
      <w:r w:rsidRPr="00D7240E">
        <w:rPr>
          <w:rFonts w:cstheme="minorHAnsi"/>
        </w:rPr>
        <w:t xml:space="preserve">55. </w:t>
      </w:r>
      <w:r w:rsidR="00FA36F7" w:rsidRPr="00D7240E">
        <w:rPr>
          <w:rFonts w:cstheme="minorHAnsi"/>
        </w:rPr>
        <w:t>Rosenberg, M. (1965). </w:t>
      </w:r>
      <w:r w:rsidR="00FA36F7" w:rsidRPr="00D7240E">
        <w:rPr>
          <w:rStyle w:val="Emphasis"/>
          <w:rFonts w:cstheme="minorHAnsi"/>
        </w:rPr>
        <w:t>Society and the adolescent self-image</w:t>
      </w:r>
      <w:r w:rsidR="00FA36F7" w:rsidRPr="00D7240E">
        <w:rPr>
          <w:rFonts w:cstheme="minorHAnsi"/>
        </w:rPr>
        <w:t>. Princeton: Princeton University Press.</w:t>
      </w:r>
      <w:r w:rsidR="00F53F0E" w:rsidRPr="00D7240E">
        <w:rPr>
          <w:rFonts w:cstheme="minorHAnsi"/>
        </w:rPr>
        <w:t xml:space="preserve"> </w:t>
      </w:r>
    </w:p>
    <w:p w14:paraId="090A37BB" w14:textId="11AD12FB" w:rsidR="00FA36F7" w:rsidRPr="00D7240E" w:rsidRDefault="002127D0" w:rsidP="00B767AE">
      <w:pPr>
        <w:spacing w:after="0"/>
        <w:ind w:left="720" w:hanging="720"/>
        <w:rPr>
          <w:rFonts w:cstheme="minorHAnsi"/>
        </w:rPr>
      </w:pPr>
      <w:r w:rsidRPr="00D7240E">
        <w:rPr>
          <w:rFonts w:cstheme="minorHAnsi"/>
        </w:rPr>
        <w:t xml:space="preserve">56. </w:t>
      </w:r>
      <w:r w:rsidR="00FA36F7" w:rsidRPr="00D7240E">
        <w:rPr>
          <w:rFonts w:cstheme="minorHAnsi"/>
        </w:rPr>
        <w:t>Rudman, L. A., &amp; Glick, P. (2008). </w:t>
      </w:r>
      <w:r w:rsidR="00FA36F7" w:rsidRPr="00D7240E">
        <w:rPr>
          <w:rStyle w:val="Emphasis"/>
          <w:rFonts w:cstheme="minorHAnsi"/>
        </w:rPr>
        <w:t>The social psychology of gender</w:t>
      </w:r>
      <w:r w:rsidR="00FA36F7" w:rsidRPr="00D7240E">
        <w:rPr>
          <w:rFonts w:cstheme="minorHAnsi"/>
        </w:rPr>
        <w:t>. New York: The Guilford Press.</w:t>
      </w:r>
      <w:r w:rsidR="00F53F0E" w:rsidRPr="00D7240E">
        <w:rPr>
          <w:rFonts w:cstheme="minorHAnsi"/>
        </w:rPr>
        <w:t xml:space="preserve"> </w:t>
      </w:r>
    </w:p>
    <w:p w14:paraId="6808B24F" w14:textId="5C5D081B" w:rsidR="00FA36F7" w:rsidRPr="00D7240E" w:rsidRDefault="002127D0" w:rsidP="00B767AE">
      <w:pPr>
        <w:spacing w:after="0"/>
        <w:ind w:left="720" w:hanging="720"/>
        <w:rPr>
          <w:rFonts w:cstheme="minorHAnsi"/>
        </w:rPr>
      </w:pPr>
      <w:r w:rsidRPr="00D7240E">
        <w:rPr>
          <w:rFonts w:cstheme="minorHAnsi"/>
        </w:rPr>
        <w:t xml:space="preserve">57. </w:t>
      </w:r>
      <w:r w:rsidR="00FA36F7" w:rsidRPr="00D7240E">
        <w:rPr>
          <w:rFonts w:cstheme="minorHAnsi"/>
        </w:rPr>
        <w:t>Russell, B. L., &amp; Trigg, K. Y. (2004). Tolerance of sexual harassment: An examination of gender differences, ambivalent sexism, social dominance, and gender roles. </w:t>
      </w:r>
      <w:r w:rsidR="00FA36F7" w:rsidRPr="00D7240E">
        <w:rPr>
          <w:rStyle w:val="Emphasis"/>
          <w:rFonts w:cstheme="minorHAnsi"/>
        </w:rPr>
        <w:t>Sex Roles, 50</w:t>
      </w:r>
      <w:r w:rsidR="00FA36F7" w:rsidRPr="00D7240E">
        <w:rPr>
          <w:rFonts w:cstheme="minorHAnsi"/>
        </w:rPr>
        <w:t>, 565–573. </w:t>
      </w:r>
      <w:r w:rsidR="00FA36F7" w:rsidRPr="00D7240E">
        <w:rPr>
          <w:rStyle w:val="externalref"/>
          <w:rFonts w:eastAsiaTheme="majorEastAsia" w:cstheme="minorHAnsi"/>
        </w:rPr>
        <w:t> </w:t>
      </w:r>
      <w:hyperlink r:id="rId235" w:tgtFrame="_blank" w:history="1">
        <w:r w:rsidR="00FA36F7" w:rsidRPr="00D7240E">
          <w:rPr>
            <w:rStyle w:val="refsource"/>
            <w:rFonts w:cstheme="minorHAnsi"/>
            <w:color w:val="4500A7"/>
            <w:u w:val="single"/>
          </w:rPr>
          <w:t>https://doi.org/10.1023/B:SERS.0000023075.32252.fd</w:t>
        </w:r>
      </w:hyperlink>
      <w:r w:rsidR="00FA36F7" w:rsidRPr="00D7240E">
        <w:rPr>
          <w:rFonts w:cstheme="minorHAnsi"/>
        </w:rPr>
        <w:t>.</w:t>
      </w:r>
      <w:r w:rsidR="00F53F0E" w:rsidRPr="00D7240E">
        <w:rPr>
          <w:rFonts w:cstheme="minorHAnsi"/>
        </w:rPr>
        <w:t xml:space="preserve"> </w:t>
      </w:r>
    </w:p>
    <w:p w14:paraId="30AD7570" w14:textId="6617CD5F" w:rsidR="00FA36F7" w:rsidRPr="00D7240E" w:rsidRDefault="002127D0" w:rsidP="00B767AE">
      <w:pPr>
        <w:spacing w:after="0"/>
        <w:ind w:left="720" w:hanging="720"/>
        <w:rPr>
          <w:rFonts w:cstheme="minorHAnsi"/>
        </w:rPr>
      </w:pPr>
      <w:r w:rsidRPr="00D7240E">
        <w:rPr>
          <w:rFonts w:cstheme="minorHAnsi"/>
        </w:rPr>
        <w:t xml:space="preserve">58. </w:t>
      </w:r>
      <w:r w:rsidR="00FA36F7" w:rsidRPr="00D7240E">
        <w:rPr>
          <w:rFonts w:cstheme="minorHAnsi"/>
        </w:rPr>
        <w:t>Sakalli-Ugurlu, N., &amp; Beydogan, B. (2002). Turkish college students’ attitudes toward women managers: The effects of patriarchy, sexism, and gender differences. </w:t>
      </w:r>
      <w:r w:rsidR="00FA36F7" w:rsidRPr="00D7240E">
        <w:rPr>
          <w:rStyle w:val="Emphasis"/>
          <w:rFonts w:cstheme="minorHAnsi"/>
        </w:rPr>
        <w:t>The Journal of Psychology, 136</w:t>
      </w:r>
      <w:r w:rsidR="00FA36F7" w:rsidRPr="00D7240E">
        <w:rPr>
          <w:rFonts w:cstheme="minorHAnsi"/>
        </w:rPr>
        <w:t>, 647–656. </w:t>
      </w:r>
      <w:r w:rsidR="00FA36F7" w:rsidRPr="00D7240E">
        <w:rPr>
          <w:rStyle w:val="externalref"/>
          <w:rFonts w:eastAsiaTheme="majorEastAsia" w:cstheme="minorHAnsi"/>
        </w:rPr>
        <w:t> </w:t>
      </w:r>
      <w:hyperlink r:id="rId236" w:tgtFrame="_blank" w:history="1">
        <w:r w:rsidR="00FA36F7" w:rsidRPr="00D7240E">
          <w:rPr>
            <w:rStyle w:val="refsource"/>
            <w:rFonts w:cstheme="minorHAnsi"/>
            <w:color w:val="4500A7"/>
            <w:u w:val="single"/>
          </w:rPr>
          <w:t>https://doi.org/10.1080/00223980209604825</w:t>
        </w:r>
      </w:hyperlink>
      <w:r w:rsidR="00FA36F7" w:rsidRPr="00D7240E">
        <w:rPr>
          <w:rFonts w:cstheme="minorHAnsi"/>
        </w:rPr>
        <w:t>.</w:t>
      </w:r>
      <w:r w:rsidR="00F53F0E" w:rsidRPr="00D7240E">
        <w:rPr>
          <w:rFonts w:cstheme="minorHAnsi"/>
        </w:rPr>
        <w:t xml:space="preserve"> </w:t>
      </w:r>
    </w:p>
    <w:p w14:paraId="097F2361" w14:textId="244D3E7B" w:rsidR="00FA36F7" w:rsidRPr="00D7240E" w:rsidRDefault="002127D0" w:rsidP="00B767AE">
      <w:pPr>
        <w:spacing w:after="0"/>
        <w:ind w:left="720" w:hanging="720"/>
        <w:rPr>
          <w:rFonts w:cstheme="minorHAnsi"/>
        </w:rPr>
      </w:pPr>
      <w:r w:rsidRPr="00D7240E">
        <w:rPr>
          <w:rFonts w:cstheme="minorHAnsi"/>
        </w:rPr>
        <w:t xml:space="preserve">59. </w:t>
      </w:r>
      <w:r w:rsidR="00FA36F7" w:rsidRPr="00D7240E">
        <w:rPr>
          <w:rFonts w:cstheme="minorHAnsi"/>
        </w:rPr>
        <w:t>Shepherd, M., Erchull, M. J., Rosner, A., Taubenberger, L., Queen, E. F., &amp; McKee, J. (2011). “I’ll get that for you”: The relationship between benevolent sexism and body self-perceptions. </w:t>
      </w:r>
      <w:r w:rsidR="00FA36F7" w:rsidRPr="00D7240E">
        <w:rPr>
          <w:rStyle w:val="Emphasis"/>
          <w:rFonts w:cstheme="minorHAnsi"/>
        </w:rPr>
        <w:t>Sex Roles, 64</w:t>
      </w:r>
      <w:r w:rsidR="00FA36F7" w:rsidRPr="00D7240E">
        <w:rPr>
          <w:rFonts w:cstheme="minorHAnsi"/>
        </w:rPr>
        <w:t>, 1–8. </w:t>
      </w:r>
      <w:r w:rsidR="00FA36F7" w:rsidRPr="00D7240E">
        <w:rPr>
          <w:rStyle w:val="externalref"/>
          <w:rFonts w:eastAsiaTheme="majorEastAsia" w:cstheme="minorHAnsi"/>
        </w:rPr>
        <w:t> </w:t>
      </w:r>
      <w:hyperlink r:id="rId237" w:tgtFrame="_blank" w:history="1">
        <w:r w:rsidR="00FA36F7" w:rsidRPr="00D7240E">
          <w:rPr>
            <w:rStyle w:val="refsource"/>
            <w:rFonts w:cstheme="minorHAnsi"/>
            <w:color w:val="4500A7"/>
            <w:u w:val="single"/>
          </w:rPr>
          <w:t>https://doi.org/10.1007/s11199-010-9859-2</w:t>
        </w:r>
      </w:hyperlink>
      <w:r w:rsidR="00FA36F7" w:rsidRPr="00D7240E">
        <w:rPr>
          <w:rFonts w:cstheme="minorHAnsi"/>
        </w:rPr>
        <w:t>.</w:t>
      </w:r>
      <w:r w:rsidR="00F53F0E" w:rsidRPr="00D7240E">
        <w:rPr>
          <w:rFonts w:cstheme="minorHAnsi"/>
        </w:rPr>
        <w:t xml:space="preserve"> </w:t>
      </w:r>
    </w:p>
    <w:p w14:paraId="6D7D03F9" w14:textId="3481B355" w:rsidR="00FA36F7" w:rsidRPr="00D7240E" w:rsidRDefault="002127D0" w:rsidP="00B767AE">
      <w:pPr>
        <w:spacing w:after="0"/>
        <w:ind w:left="720" w:hanging="720"/>
        <w:rPr>
          <w:rFonts w:cstheme="minorHAnsi"/>
        </w:rPr>
      </w:pPr>
      <w:r w:rsidRPr="00D7240E">
        <w:rPr>
          <w:rFonts w:cstheme="minorHAnsi"/>
        </w:rPr>
        <w:t xml:space="preserve">60. </w:t>
      </w:r>
      <w:r w:rsidR="00FA36F7" w:rsidRPr="00D7240E">
        <w:rPr>
          <w:rFonts w:cstheme="minorHAnsi"/>
        </w:rPr>
        <w:t>Shnabel, N., Bar-Anan, Y., Kende, A., Bareket, O., &amp; Lazar, Y. (2016). Help to perpetuate traditional gender roles: Benevolent sexism increases engagement in dependency-oriented cross-gender helping. </w:t>
      </w:r>
      <w:r w:rsidR="00FA36F7" w:rsidRPr="00D7240E">
        <w:rPr>
          <w:rStyle w:val="Emphasis"/>
          <w:rFonts w:cstheme="minorHAnsi"/>
        </w:rPr>
        <w:t>Journal of Personality and Social Psychology, 11</w:t>
      </w:r>
      <w:r w:rsidR="00FA36F7" w:rsidRPr="00D7240E">
        <w:rPr>
          <w:rFonts w:cstheme="minorHAnsi"/>
        </w:rPr>
        <w:t>, 55–75. </w:t>
      </w:r>
      <w:r w:rsidR="00FA36F7" w:rsidRPr="00D7240E">
        <w:rPr>
          <w:rStyle w:val="externalref"/>
          <w:rFonts w:eastAsiaTheme="majorEastAsia" w:cstheme="minorHAnsi"/>
        </w:rPr>
        <w:t> </w:t>
      </w:r>
      <w:hyperlink r:id="rId238" w:tgtFrame="_blank" w:history="1">
        <w:r w:rsidR="00FA36F7" w:rsidRPr="00D7240E">
          <w:rPr>
            <w:rStyle w:val="refsource"/>
            <w:rFonts w:cstheme="minorHAnsi"/>
            <w:color w:val="4500A7"/>
            <w:u w:val="single"/>
          </w:rPr>
          <w:t>https://doi.org/10.1037/pspi0000037</w:t>
        </w:r>
      </w:hyperlink>
      <w:r w:rsidR="00FA36F7" w:rsidRPr="00D7240E">
        <w:rPr>
          <w:rFonts w:cstheme="minorHAnsi"/>
        </w:rPr>
        <w:t>.</w:t>
      </w:r>
      <w:r w:rsidR="00F53F0E" w:rsidRPr="00D7240E">
        <w:rPr>
          <w:rFonts w:cstheme="minorHAnsi"/>
        </w:rPr>
        <w:t xml:space="preserve"> </w:t>
      </w:r>
    </w:p>
    <w:p w14:paraId="700E4916" w14:textId="2F3410BF" w:rsidR="00FA36F7" w:rsidRPr="00D7240E" w:rsidRDefault="002127D0" w:rsidP="00B767AE">
      <w:pPr>
        <w:spacing w:after="0"/>
        <w:ind w:left="720" w:hanging="720"/>
        <w:rPr>
          <w:rFonts w:cstheme="minorHAnsi"/>
        </w:rPr>
      </w:pPr>
      <w:r w:rsidRPr="00D7240E">
        <w:rPr>
          <w:rFonts w:cstheme="minorHAnsi"/>
        </w:rPr>
        <w:lastRenderedPageBreak/>
        <w:t xml:space="preserve">61. </w:t>
      </w:r>
      <w:r w:rsidR="00FA36F7" w:rsidRPr="00D7240E">
        <w:rPr>
          <w:rFonts w:cstheme="minorHAnsi"/>
        </w:rPr>
        <w:t>Silvan-Ferrero, M. P., &amp; Bustillos Lopez, A. (2007). Benevolent sexism toward men and women: Justifications of the traditional system and conventional gender roles in Spain. </w:t>
      </w:r>
      <w:r w:rsidR="00FA36F7" w:rsidRPr="00D7240E">
        <w:rPr>
          <w:rStyle w:val="Emphasis"/>
          <w:rFonts w:cstheme="minorHAnsi"/>
        </w:rPr>
        <w:t>Sex Roles, 57</w:t>
      </w:r>
      <w:r w:rsidR="00FA36F7" w:rsidRPr="00D7240E">
        <w:rPr>
          <w:rFonts w:cstheme="minorHAnsi"/>
        </w:rPr>
        <w:t>, 607–614. </w:t>
      </w:r>
      <w:r w:rsidR="00FA36F7" w:rsidRPr="00D7240E">
        <w:rPr>
          <w:rStyle w:val="externalref"/>
          <w:rFonts w:eastAsiaTheme="majorEastAsia" w:cstheme="minorHAnsi"/>
        </w:rPr>
        <w:t> </w:t>
      </w:r>
      <w:hyperlink r:id="rId239" w:tgtFrame="_blank" w:history="1">
        <w:r w:rsidR="00FA36F7" w:rsidRPr="00D7240E">
          <w:rPr>
            <w:rStyle w:val="refsource"/>
            <w:rFonts w:cstheme="minorHAnsi"/>
            <w:color w:val="4500A7"/>
            <w:u w:val="single"/>
          </w:rPr>
          <w:t>https://doi.org/10.1007/s11199-007-9271-8</w:t>
        </w:r>
      </w:hyperlink>
      <w:r w:rsidR="00FA36F7" w:rsidRPr="00D7240E">
        <w:rPr>
          <w:rFonts w:cstheme="minorHAnsi"/>
        </w:rPr>
        <w:t>.</w:t>
      </w:r>
      <w:r w:rsidR="00F53F0E" w:rsidRPr="00D7240E">
        <w:rPr>
          <w:rFonts w:cstheme="minorHAnsi"/>
        </w:rPr>
        <w:t xml:space="preserve"> </w:t>
      </w:r>
    </w:p>
    <w:p w14:paraId="6F16C4E7" w14:textId="39311F01" w:rsidR="00FA36F7" w:rsidRPr="00D7240E" w:rsidRDefault="002127D0" w:rsidP="00B767AE">
      <w:pPr>
        <w:spacing w:after="0"/>
        <w:ind w:left="720" w:hanging="720"/>
        <w:rPr>
          <w:rFonts w:cstheme="minorHAnsi"/>
        </w:rPr>
      </w:pPr>
      <w:r w:rsidRPr="00D7240E">
        <w:rPr>
          <w:rFonts w:cstheme="minorHAnsi"/>
        </w:rPr>
        <w:t xml:space="preserve">62. </w:t>
      </w:r>
      <w:r w:rsidR="00FA36F7" w:rsidRPr="00D7240E">
        <w:rPr>
          <w:rFonts w:cstheme="minorHAnsi"/>
        </w:rPr>
        <w:t>Swim, J. K., Hyers, L. L., Cohen, L. L., &amp; Ferguson, M. J. (2001). Everyday sexism: Evidence of its incidence, nature and psychological impact from three daily diary studies. </w:t>
      </w:r>
      <w:r w:rsidR="00FA36F7" w:rsidRPr="00D7240E">
        <w:rPr>
          <w:rStyle w:val="Emphasis"/>
          <w:rFonts w:cstheme="minorHAnsi"/>
        </w:rPr>
        <w:t>Journal of Social Issues, 57</w:t>
      </w:r>
      <w:r w:rsidR="00FA36F7" w:rsidRPr="00D7240E">
        <w:rPr>
          <w:rFonts w:cstheme="minorHAnsi"/>
        </w:rPr>
        <w:t>, 31–53. </w:t>
      </w:r>
      <w:r w:rsidR="00FA36F7" w:rsidRPr="00D7240E">
        <w:rPr>
          <w:rStyle w:val="externalref"/>
          <w:rFonts w:eastAsiaTheme="majorEastAsia" w:cstheme="minorHAnsi"/>
        </w:rPr>
        <w:t> </w:t>
      </w:r>
      <w:hyperlink r:id="rId240" w:tgtFrame="_blank" w:history="1">
        <w:r w:rsidR="00FA36F7" w:rsidRPr="00D7240E">
          <w:rPr>
            <w:rStyle w:val="refsource"/>
            <w:rFonts w:cstheme="minorHAnsi"/>
            <w:color w:val="4500A7"/>
            <w:u w:val="single"/>
          </w:rPr>
          <w:t>https://doi.org/10.1111/0022-4537.00200</w:t>
        </w:r>
      </w:hyperlink>
      <w:r w:rsidR="00FA36F7" w:rsidRPr="00D7240E">
        <w:rPr>
          <w:rFonts w:cstheme="minorHAnsi"/>
        </w:rPr>
        <w:t>.</w:t>
      </w:r>
      <w:r w:rsidR="00F53F0E" w:rsidRPr="00D7240E">
        <w:rPr>
          <w:rFonts w:cstheme="minorHAnsi"/>
        </w:rPr>
        <w:t xml:space="preserve"> </w:t>
      </w:r>
    </w:p>
    <w:p w14:paraId="578CD21F" w14:textId="1495A52B" w:rsidR="00FA36F7" w:rsidRPr="00D7240E" w:rsidRDefault="002127D0" w:rsidP="00B767AE">
      <w:pPr>
        <w:spacing w:after="0"/>
        <w:ind w:left="720" w:hanging="720"/>
        <w:rPr>
          <w:rFonts w:cstheme="minorHAnsi"/>
        </w:rPr>
      </w:pPr>
      <w:r w:rsidRPr="00D7240E">
        <w:rPr>
          <w:rFonts w:cstheme="minorHAnsi"/>
        </w:rPr>
        <w:t xml:space="preserve">63. </w:t>
      </w:r>
      <w:r w:rsidR="00FA36F7" w:rsidRPr="00D7240E">
        <w:rPr>
          <w:rFonts w:cstheme="minorHAnsi"/>
        </w:rPr>
        <w:t>Swim, J. K., Mallett, R., Russo-Devosa, Y., &amp; Stangor, C. (2005). Judgments of sexism: A comparison of the subtlety of sexism measures and sources of variability in judgments of sexism. </w:t>
      </w:r>
      <w:r w:rsidR="00FA36F7" w:rsidRPr="00D7240E">
        <w:rPr>
          <w:rStyle w:val="Emphasis"/>
          <w:rFonts w:cstheme="minorHAnsi"/>
        </w:rPr>
        <w:t>Psychology of Women Quarterly, 29</w:t>
      </w:r>
      <w:r w:rsidR="00FA36F7" w:rsidRPr="00D7240E">
        <w:rPr>
          <w:rFonts w:cstheme="minorHAnsi"/>
        </w:rPr>
        <w:t>, 406–411. </w:t>
      </w:r>
      <w:r w:rsidR="00FA36F7" w:rsidRPr="00D7240E">
        <w:rPr>
          <w:rStyle w:val="externalref"/>
          <w:rFonts w:eastAsiaTheme="majorEastAsia" w:cstheme="minorHAnsi"/>
        </w:rPr>
        <w:t> </w:t>
      </w:r>
      <w:hyperlink r:id="rId241" w:tgtFrame="_blank" w:history="1">
        <w:r w:rsidR="00FA36F7" w:rsidRPr="00D7240E">
          <w:rPr>
            <w:rStyle w:val="refsource"/>
            <w:rFonts w:cstheme="minorHAnsi"/>
            <w:color w:val="4500A7"/>
            <w:u w:val="single"/>
          </w:rPr>
          <w:t>https://doi.org/10.1111/j.1471-6402.2005.00240.x</w:t>
        </w:r>
      </w:hyperlink>
      <w:r w:rsidR="00FA36F7" w:rsidRPr="00D7240E">
        <w:rPr>
          <w:rFonts w:cstheme="minorHAnsi"/>
        </w:rPr>
        <w:t>.</w:t>
      </w:r>
      <w:r w:rsidR="00F53F0E" w:rsidRPr="00D7240E">
        <w:rPr>
          <w:rFonts w:cstheme="minorHAnsi"/>
        </w:rPr>
        <w:t xml:space="preserve"> </w:t>
      </w:r>
    </w:p>
    <w:p w14:paraId="5065C102" w14:textId="25D4D8FC" w:rsidR="00FA36F7" w:rsidRPr="00D7240E" w:rsidRDefault="002127D0" w:rsidP="00B767AE">
      <w:pPr>
        <w:spacing w:after="0"/>
        <w:ind w:left="720" w:hanging="720"/>
        <w:rPr>
          <w:rFonts w:cstheme="minorHAnsi"/>
        </w:rPr>
      </w:pPr>
      <w:r w:rsidRPr="00D7240E">
        <w:rPr>
          <w:rFonts w:cstheme="minorHAnsi"/>
        </w:rPr>
        <w:t xml:space="preserve">64. </w:t>
      </w:r>
      <w:r w:rsidR="00FA36F7" w:rsidRPr="00D7240E">
        <w:rPr>
          <w:rFonts w:cstheme="minorHAnsi"/>
        </w:rPr>
        <w:t>Ullman, J. B. (1996). Structural equation modeling. In B. Tabachnick &amp; L Fidell (Eds.), </w:t>
      </w:r>
      <w:r w:rsidR="00FA36F7" w:rsidRPr="00D7240E">
        <w:rPr>
          <w:rStyle w:val="Emphasis"/>
          <w:rFonts w:cstheme="minorHAnsi"/>
        </w:rPr>
        <w:t>Using multivariate statistics</w:t>
      </w:r>
      <w:r w:rsidR="00FA36F7" w:rsidRPr="00D7240E">
        <w:rPr>
          <w:rFonts w:cstheme="minorHAnsi"/>
        </w:rPr>
        <w:t> (3rd ed., pp. 709–812). New York: Harper Collins.</w:t>
      </w:r>
      <w:hyperlink r:id="rId242" w:tgtFrame="_blank" w:history="1">
        <w:r w:rsidR="00FA36F7" w:rsidRPr="00D7240E">
          <w:rPr>
            <w:rStyle w:val="Hyperlink"/>
            <w:rFonts w:eastAsiaTheme="majorEastAsia" w:cstheme="minorHAnsi"/>
            <w:color w:val="4500A7"/>
          </w:rPr>
          <w:t>Google Scholar</w:t>
        </w:r>
      </w:hyperlink>
    </w:p>
    <w:p w14:paraId="6AAA4A15" w14:textId="3EA6E3EC" w:rsidR="00FA36F7" w:rsidRPr="00D7240E" w:rsidRDefault="002127D0" w:rsidP="00B767AE">
      <w:pPr>
        <w:spacing w:after="0"/>
        <w:ind w:left="720" w:hanging="720"/>
        <w:rPr>
          <w:rFonts w:cstheme="minorHAnsi"/>
        </w:rPr>
      </w:pPr>
      <w:r w:rsidRPr="00D7240E">
        <w:rPr>
          <w:rFonts w:cstheme="minorHAnsi"/>
        </w:rPr>
        <w:t xml:space="preserve">65. </w:t>
      </w:r>
      <w:r w:rsidR="00FA36F7" w:rsidRPr="00D7240E">
        <w:rPr>
          <w:rFonts w:cstheme="minorHAnsi"/>
        </w:rPr>
        <w:t>Viki, G. T., &amp; Abrams, D. (2002). But she was unfaithful: Benevolent sexism and reactions to rape victims who violate traditional gender role expectations. </w:t>
      </w:r>
      <w:r w:rsidR="00FA36F7" w:rsidRPr="00D7240E">
        <w:rPr>
          <w:rStyle w:val="Emphasis"/>
          <w:rFonts w:cstheme="minorHAnsi"/>
        </w:rPr>
        <w:t>Sex Roles, 47</w:t>
      </w:r>
      <w:r w:rsidR="00FA36F7" w:rsidRPr="00D7240E">
        <w:rPr>
          <w:rFonts w:cstheme="minorHAnsi"/>
        </w:rPr>
        <w:t>, 289–293. </w:t>
      </w:r>
      <w:r w:rsidR="00FA36F7" w:rsidRPr="00D7240E">
        <w:rPr>
          <w:rStyle w:val="externalref"/>
          <w:rFonts w:eastAsiaTheme="majorEastAsia" w:cstheme="minorHAnsi"/>
        </w:rPr>
        <w:t> </w:t>
      </w:r>
      <w:hyperlink r:id="rId243" w:tgtFrame="_blank" w:history="1">
        <w:r w:rsidR="00FA36F7" w:rsidRPr="00D7240E">
          <w:rPr>
            <w:rStyle w:val="refsource"/>
            <w:rFonts w:cstheme="minorHAnsi"/>
            <w:color w:val="4500A7"/>
            <w:u w:val="single"/>
          </w:rPr>
          <w:t>https://doi.org/10.1023/A:1021342912248</w:t>
        </w:r>
      </w:hyperlink>
      <w:r w:rsidR="00FA36F7" w:rsidRPr="00D7240E">
        <w:rPr>
          <w:rFonts w:cstheme="minorHAnsi"/>
        </w:rPr>
        <w:t>.</w:t>
      </w:r>
      <w:r w:rsidR="00F53F0E" w:rsidRPr="00D7240E">
        <w:rPr>
          <w:rFonts w:cstheme="minorHAnsi"/>
        </w:rPr>
        <w:t xml:space="preserve"> </w:t>
      </w:r>
    </w:p>
    <w:p w14:paraId="21E8F819" w14:textId="00688E48" w:rsidR="00FA36F7" w:rsidRPr="00D7240E" w:rsidRDefault="002127D0" w:rsidP="00B767AE">
      <w:pPr>
        <w:spacing w:after="0"/>
        <w:ind w:left="720" w:hanging="720"/>
        <w:rPr>
          <w:rFonts w:cstheme="minorHAnsi"/>
        </w:rPr>
      </w:pPr>
      <w:r w:rsidRPr="00D7240E">
        <w:rPr>
          <w:rFonts w:cstheme="minorHAnsi"/>
        </w:rPr>
        <w:t xml:space="preserve">66. </w:t>
      </w:r>
      <w:r w:rsidR="00FA36F7" w:rsidRPr="00D7240E">
        <w:rPr>
          <w:rFonts w:cstheme="minorHAnsi"/>
        </w:rPr>
        <w:t>Viki, G. T., Abrams, D., &amp; Hutchinson, P. (2003). The “true” romantic: Benevolent sexism and paternalistic chivalry. </w:t>
      </w:r>
      <w:r w:rsidR="00FA36F7" w:rsidRPr="00D7240E">
        <w:rPr>
          <w:rStyle w:val="Emphasis"/>
          <w:rFonts w:cstheme="minorHAnsi"/>
        </w:rPr>
        <w:t>Sex Roles, 49</w:t>
      </w:r>
      <w:r w:rsidR="00FA36F7" w:rsidRPr="00D7240E">
        <w:rPr>
          <w:rFonts w:cstheme="minorHAnsi"/>
        </w:rPr>
        <w:t>, 533–537. </w:t>
      </w:r>
      <w:r w:rsidR="00FA36F7" w:rsidRPr="00D7240E">
        <w:rPr>
          <w:rStyle w:val="externalref"/>
          <w:rFonts w:eastAsiaTheme="majorEastAsia" w:cstheme="minorHAnsi"/>
        </w:rPr>
        <w:t> </w:t>
      </w:r>
      <w:hyperlink r:id="rId244" w:tgtFrame="_blank" w:history="1">
        <w:r w:rsidR="00FA36F7" w:rsidRPr="00D7240E">
          <w:rPr>
            <w:rStyle w:val="refsource"/>
            <w:rFonts w:cstheme="minorHAnsi"/>
            <w:color w:val="4500A7"/>
            <w:u w:val="single"/>
          </w:rPr>
          <w:t>https://doi.org/10.1023/A:1025888824749</w:t>
        </w:r>
      </w:hyperlink>
      <w:r w:rsidR="00FA36F7" w:rsidRPr="00D7240E">
        <w:rPr>
          <w:rFonts w:cstheme="minorHAnsi"/>
        </w:rPr>
        <w:t>.</w:t>
      </w:r>
      <w:r w:rsidR="00F53F0E" w:rsidRPr="00D7240E">
        <w:rPr>
          <w:rFonts w:cstheme="minorHAnsi"/>
        </w:rPr>
        <w:t xml:space="preserve"> </w:t>
      </w:r>
    </w:p>
    <w:p w14:paraId="0182A337" w14:textId="67E67B04" w:rsidR="00FA36F7" w:rsidRPr="00D7240E" w:rsidRDefault="002127D0" w:rsidP="00B767AE">
      <w:pPr>
        <w:spacing w:after="0"/>
        <w:ind w:left="720" w:hanging="720"/>
        <w:rPr>
          <w:rFonts w:cstheme="minorHAnsi"/>
        </w:rPr>
      </w:pPr>
      <w:r w:rsidRPr="00D7240E">
        <w:rPr>
          <w:rFonts w:cstheme="minorHAnsi"/>
        </w:rPr>
        <w:t xml:space="preserve">67. </w:t>
      </w:r>
      <w:r w:rsidR="00FA36F7" w:rsidRPr="00D7240E">
        <w:rPr>
          <w:rFonts w:cstheme="minorHAnsi"/>
        </w:rPr>
        <w:t>Viki, G. T., Abrams, D., &amp; Masser, B. (2004). Evaluating stranger and acquaintance rape: The role of benevolent sexism in perpetrator blame and recommended sentence length. </w:t>
      </w:r>
      <w:r w:rsidR="00FA36F7" w:rsidRPr="00D7240E">
        <w:rPr>
          <w:rStyle w:val="Emphasis"/>
          <w:rFonts w:cstheme="minorHAnsi"/>
        </w:rPr>
        <w:t>Law and Human Behavior, 28</w:t>
      </w:r>
      <w:r w:rsidR="00FA36F7" w:rsidRPr="00D7240E">
        <w:rPr>
          <w:rFonts w:cstheme="minorHAnsi"/>
        </w:rPr>
        <w:t>, 295–303. </w:t>
      </w:r>
      <w:r w:rsidR="00FA36F7" w:rsidRPr="00D7240E">
        <w:rPr>
          <w:rStyle w:val="externalref"/>
          <w:rFonts w:eastAsiaTheme="majorEastAsia" w:cstheme="minorHAnsi"/>
        </w:rPr>
        <w:t> </w:t>
      </w:r>
      <w:hyperlink r:id="rId245" w:tgtFrame="_blank" w:history="1">
        <w:r w:rsidR="00FA36F7" w:rsidRPr="00D7240E">
          <w:rPr>
            <w:rStyle w:val="refsource"/>
            <w:rFonts w:cstheme="minorHAnsi"/>
            <w:color w:val="4500A7"/>
            <w:u w:val="single"/>
          </w:rPr>
          <w:t>https://doi.org/10.1023/B:LAHU.0000029140.72880.69</w:t>
        </w:r>
      </w:hyperlink>
      <w:r w:rsidR="00FA36F7" w:rsidRPr="00D7240E">
        <w:rPr>
          <w:rFonts w:cstheme="minorHAnsi"/>
        </w:rPr>
        <w:t>.</w:t>
      </w:r>
      <w:r w:rsidR="00F53F0E" w:rsidRPr="00D7240E">
        <w:rPr>
          <w:rFonts w:cstheme="minorHAnsi"/>
        </w:rPr>
        <w:t xml:space="preserve"> </w:t>
      </w:r>
    </w:p>
    <w:p w14:paraId="5CFDD3EB" w14:textId="3A8BA482" w:rsidR="00FA36F7" w:rsidRPr="00D7240E" w:rsidRDefault="002127D0" w:rsidP="00B767AE">
      <w:pPr>
        <w:spacing w:after="0"/>
        <w:ind w:left="720" w:hanging="720"/>
        <w:rPr>
          <w:rFonts w:cstheme="minorHAnsi"/>
        </w:rPr>
      </w:pPr>
      <w:r w:rsidRPr="00D7240E">
        <w:rPr>
          <w:rFonts w:cstheme="minorHAnsi"/>
        </w:rPr>
        <w:t xml:space="preserve">68. </w:t>
      </w:r>
      <w:r w:rsidR="00FA36F7" w:rsidRPr="00D7240E">
        <w:rPr>
          <w:rFonts w:cstheme="minorHAnsi"/>
        </w:rPr>
        <w:t>Wang, K., &amp; Dovidio, J. F. (2017). Perceiving and confronting sexism: The causal role of gender identity salience. </w:t>
      </w:r>
      <w:r w:rsidR="00FA36F7" w:rsidRPr="00D7240E">
        <w:rPr>
          <w:rStyle w:val="Emphasis"/>
          <w:rFonts w:cstheme="minorHAnsi"/>
        </w:rPr>
        <w:t>Psychology of Women Quarterly, 41</w:t>
      </w:r>
      <w:r w:rsidR="00FA36F7" w:rsidRPr="00D7240E">
        <w:rPr>
          <w:rFonts w:cstheme="minorHAnsi"/>
        </w:rPr>
        <w:t>, 65–76. </w:t>
      </w:r>
      <w:r w:rsidR="00FA36F7" w:rsidRPr="00D7240E">
        <w:rPr>
          <w:rStyle w:val="externalref"/>
          <w:rFonts w:eastAsiaTheme="majorEastAsia" w:cstheme="minorHAnsi"/>
        </w:rPr>
        <w:t> </w:t>
      </w:r>
      <w:hyperlink r:id="rId246" w:tgtFrame="_blank" w:history="1">
        <w:r w:rsidR="00FA36F7" w:rsidRPr="00D7240E">
          <w:rPr>
            <w:rStyle w:val="refsource"/>
            <w:rFonts w:cstheme="minorHAnsi"/>
            <w:color w:val="4500A7"/>
            <w:u w:val="single"/>
          </w:rPr>
          <w:t>https://doi.org/10.1177/0361684316670628</w:t>
        </w:r>
      </w:hyperlink>
      <w:r w:rsidR="00FA36F7" w:rsidRPr="00D7240E">
        <w:rPr>
          <w:rFonts w:cstheme="minorHAnsi"/>
        </w:rPr>
        <w:t>.</w:t>
      </w:r>
      <w:r w:rsidR="00F53F0E" w:rsidRPr="00D7240E">
        <w:rPr>
          <w:rFonts w:cstheme="minorHAnsi"/>
        </w:rPr>
        <w:t xml:space="preserve"> </w:t>
      </w:r>
    </w:p>
    <w:sectPr w:rsidR="00FA36F7" w:rsidRPr="00D7240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7875FD"/>
    <w:multiLevelType w:val="multilevel"/>
    <w:tmpl w:val="712E9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yKIO5kph6+N+XwrNbhYJu7f7cRGFMhBLw2V7275nZPqcUqeO4+Ed9Dq9yYMXka6EOLah+fYZl6KzsqbIUYQjfQ==" w:salt="3KitYIBXiGlNGYJkeWUon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7E"/>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46D5"/>
    <w:rsid w:val="00131A15"/>
    <w:rsid w:val="00131C28"/>
    <w:rsid w:val="00134CF7"/>
    <w:rsid w:val="0014182B"/>
    <w:rsid w:val="0014490B"/>
    <w:rsid w:val="00146A5C"/>
    <w:rsid w:val="00146E50"/>
    <w:rsid w:val="00150DB6"/>
    <w:rsid w:val="0015424E"/>
    <w:rsid w:val="00154D34"/>
    <w:rsid w:val="00160E1F"/>
    <w:rsid w:val="00161372"/>
    <w:rsid w:val="001622DB"/>
    <w:rsid w:val="00163F71"/>
    <w:rsid w:val="00173556"/>
    <w:rsid w:val="0018114F"/>
    <w:rsid w:val="00181ADF"/>
    <w:rsid w:val="00183A38"/>
    <w:rsid w:val="001854EA"/>
    <w:rsid w:val="00185C26"/>
    <w:rsid w:val="0019401F"/>
    <w:rsid w:val="00196C7C"/>
    <w:rsid w:val="001A1C71"/>
    <w:rsid w:val="001A1DF4"/>
    <w:rsid w:val="001A34C4"/>
    <w:rsid w:val="001B6E76"/>
    <w:rsid w:val="001C3A3F"/>
    <w:rsid w:val="001D1087"/>
    <w:rsid w:val="001D140C"/>
    <w:rsid w:val="001D2448"/>
    <w:rsid w:val="001D3ADE"/>
    <w:rsid w:val="001D58D3"/>
    <w:rsid w:val="001D776C"/>
    <w:rsid w:val="001D7BCC"/>
    <w:rsid w:val="001D7F6C"/>
    <w:rsid w:val="001E18FE"/>
    <w:rsid w:val="001F70BC"/>
    <w:rsid w:val="001F7FBE"/>
    <w:rsid w:val="002016B1"/>
    <w:rsid w:val="00201875"/>
    <w:rsid w:val="00201AFD"/>
    <w:rsid w:val="00201FDC"/>
    <w:rsid w:val="002022D8"/>
    <w:rsid w:val="00206486"/>
    <w:rsid w:val="00206CC8"/>
    <w:rsid w:val="00211422"/>
    <w:rsid w:val="00212109"/>
    <w:rsid w:val="002127D0"/>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97931"/>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455C"/>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08D3"/>
    <w:rsid w:val="00381F0E"/>
    <w:rsid w:val="0038549B"/>
    <w:rsid w:val="0038628A"/>
    <w:rsid w:val="0038634F"/>
    <w:rsid w:val="00391C48"/>
    <w:rsid w:val="00394337"/>
    <w:rsid w:val="003A20BA"/>
    <w:rsid w:val="003A437A"/>
    <w:rsid w:val="003A503E"/>
    <w:rsid w:val="003A54A9"/>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13B"/>
    <w:rsid w:val="004B77C2"/>
    <w:rsid w:val="004C0B3D"/>
    <w:rsid w:val="004C2D7B"/>
    <w:rsid w:val="004C45D2"/>
    <w:rsid w:val="004C5EEF"/>
    <w:rsid w:val="004D118A"/>
    <w:rsid w:val="004D1CB9"/>
    <w:rsid w:val="004D21C9"/>
    <w:rsid w:val="004E34F8"/>
    <w:rsid w:val="004E3C84"/>
    <w:rsid w:val="004E528B"/>
    <w:rsid w:val="004F146C"/>
    <w:rsid w:val="004F1F3C"/>
    <w:rsid w:val="004F3351"/>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440"/>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1CA"/>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3D23"/>
    <w:rsid w:val="007065D3"/>
    <w:rsid w:val="007071B1"/>
    <w:rsid w:val="00707EC1"/>
    <w:rsid w:val="00710582"/>
    <w:rsid w:val="00712841"/>
    <w:rsid w:val="00714EE9"/>
    <w:rsid w:val="007246B0"/>
    <w:rsid w:val="007258CB"/>
    <w:rsid w:val="00726B4C"/>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99C"/>
    <w:rsid w:val="00873CDE"/>
    <w:rsid w:val="00874421"/>
    <w:rsid w:val="008756EA"/>
    <w:rsid w:val="00875997"/>
    <w:rsid w:val="0087796C"/>
    <w:rsid w:val="00880932"/>
    <w:rsid w:val="008825B5"/>
    <w:rsid w:val="00885E74"/>
    <w:rsid w:val="00886B14"/>
    <w:rsid w:val="0089155B"/>
    <w:rsid w:val="008927F4"/>
    <w:rsid w:val="00893B58"/>
    <w:rsid w:val="00894E4C"/>
    <w:rsid w:val="0089642A"/>
    <w:rsid w:val="008A1743"/>
    <w:rsid w:val="008A23DD"/>
    <w:rsid w:val="008A6321"/>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27C4D"/>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48F6"/>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065"/>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67AE"/>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431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755E"/>
    <w:rsid w:val="00CA1C19"/>
    <w:rsid w:val="00CA204D"/>
    <w:rsid w:val="00CA2E14"/>
    <w:rsid w:val="00CA5DDD"/>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40E"/>
    <w:rsid w:val="00D726DB"/>
    <w:rsid w:val="00D73164"/>
    <w:rsid w:val="00D74669"/>
    <w:rsid w:val="00D74D60"/>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3F9"/>
    <w:rsid w:val="00E6120D"/>
    <w:rsid w:val="00E61D06"/>
    <w:rsid w:val="00E7043E"/>
    <w:rsid w:val="00E747D9"/>
    <w:rsid w:val="00E75D5D"/>
    <w:rsid w:val="00E766CA"/>
    <w:rsid w:val="00E81F85"/>
    <w:rsid w:val="00E8413D"/>
    <w:rsid w:val="00E84C2A"/>
    <w:rsid w:val="00E90CA1"/>
    <w:rsid w:val="00E91D25"/>
    <w:rsid w:val="00E95F4D"/>
    <w:rsid w:val="00E97067"/>
    <w:rsid w:val="00EA0EB4"/>
    <w:rsid w:val="00EA6E8E"/>
    <w:rsid w:val="00EA7978"/>
    <w:rsid w:val="00EA7D19"/>
    <w:rsid w:val="00EB7F70"/>
    <w:rsid w:val="00EC2C89"/>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5900"/>
    <w:rsid w:val="00F30DED"/>
    <w:rsid w:val="00F31DB2"/>
    <w:rsid w:val="00F37720"/>
    <w:rsid w:val="00F4046D"/>
    <w:rsid w:val="00F40A6C"/>
    <w:rsid w:val="00F44EA5"/>
    <w:rsid w:val="00F4518D"/>
    <w:rsid w:val="00F46AEA"/>
    <w:rsid w:val="00F46C28"/>
    <w:rsid w:val="00F46CF6"/>
    <w:rsid w:val="00F51019"/>
    <w:rsid w:val="00F52179"/>
    <w:rsid w:val="00F52B79"/>
    <w:rsid w:val="00F53F0E"/>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36F7"/>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908"/>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A36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
    <w:name w:val="para"/>
    <w:basedOn w:val="Normal"/>
    <w:rsid w:val="00FA36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ref">
    <w:name w:val="citationref"/>
    <w:basedOn w:val="DefaultParagraphFont"/>
    <w:rsid w:val="00FA36F7"/>
  </w:style>
  <w:style w:type="character" w:styleId="Hyperlink">
    <w:name w:val="Hyperlink"/>
    <w:basedOn w:val="DefaultParagraphFont"/>
    <w:uiPriority w:val="99"/>
    <w:semiHidden/>
    <w:unhideWhenUsed/>
    <w:rsid w:val="00FA36F7"/>
    <w:rPr>
      <w:color w:val="0000FF"/>
      <w:u w:val="single"/>
    </w:rPr>
  </w:style>
  <w:style w:type="character" w:styleId="FollowedHyperlink">
    <w:name w:val="FollowedHyperlink"/>
    <w:basedOn w:val="DefaultParagraphFont"/>
    <w:uiPriority w:val="99"/>
    <w:semiHidden/>
    <w:unhideWhenUsed/>
    <w:rsid w:val="00FA36F7"/>
    <w:rPr>
      <w:color w:val="800080"/>
      <w:u w:val="single"/>
    </w:rPr>
  </w:style>
  <w:style w:type="character" w:customStyle="1" w:styleId="keyword">
    <w:name w:val="keyword"/>
    <w:basedOn w:val="DefaultParagraphFont"/>
    <w:rsid w:val="00FA36F7"/>
  </w:style>
  <w:style w:type="paragraph" w:customStyle="1" w:styleId="simplepara">
    <w:name w:val="simplepara"/>
    <w:basedOn w:val="Normal"/>
    <w:rsid w:val="00FA36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ternalref">
    <w:name w:val="externalref"/>
    <w:basedOn w:val="DefaultParagraphFont"/>
    <w:rsid w:val="00FA36F7"/>
  </w:style>
  <w:style w:type="character" w:customStyle="1" w:styleId="refsource">
    <w:name w:val="refsource"/>
    <w:basedOn w:val="DefaultParagraphFont"/>
    <w:rsid w:val="00FA36F7"/>
  </w:style>
  <w:style w:type="character" w:customStyle="1" w:styleId="internalref">
    <w:name w:val="internalref"/>
    <w:basedOn w:val="DefaultParagraphFont"/>
    <w:rsid w:val="00FA36F7"/>
  </w:style>
  <w:style w:type="character" w:customStyle="1" w:styleId="captionnumber">
    <w:name w:val="captionnumber"/>
    <w:basedOn w:val="DefaultParagraphFont"/>
    <w:rsid w:val="00FA36F7"/>
  </w:style>
  <w:style w:type="character" w:customStyle="1" w:styleId="heading">
    <w:name w:val="heading"/>
    <w:basedOn w:val="DefaultParagraphFont"/>
    <w:rsid w:val="00FA36F7"/>
  </w:style>
  <w:style w:type="character" w:customStyle="1" w:styleId="filesize">
    <w:name w:val="filesize"/>
    <w:basedOn w:val="DefaultParagraphFont"/>
    <w:rsid w:val="00FA36F7"/>
  </w:style>
  <w:style w:type="character" w:customStyle="1" w:styleId="caption-number">
    <w:name w:val="caption-number"/>
    <w:basedOn w:val="DefaultParagraphFont"/>
    <w:rsid w:val="00FA36F7"/>
  </w:style>
  <w:style w:type="character" w:customStyle="1" w:styleId="simplepara1">
    <w:name w:val="simplepara1"/>
    <w:basedOn w:val="DefaultParagraphFont"/>
    <w:rsid w:val="00FA36F7"/>
  </w:style>
  <w:style w:type="paragraph" w:customStyle="1" w:styleId="citation">
    <w:name w:val="citation"/>
    <w:basedOn w:val="Normal"/>
    <w:rsid w:val="00FA36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ccurrences">
    <w:name w:val="occurrences"/>
    <w:basedOn w:val="DefaultParagraphFont"/>
    <w:rsid w:val="00FA36F7"/>
  </w:style>
  <w:style w:type="character" w:customStyle="1" w:styleId="occurrence">
    <w:name w:val="occurrence"/>
    <w:basedOn w:val="DefaultParagraphFont"/>
    <w:rsid w:val="00FA3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327861">
      <w:bodyDiv w:val="1"/>
      <w:marLeft w:val="0"/>
      <w:marRight w:val="0"/>
      <w:marTop w:val="0"/>
      <w:marBottom w:val="0"/>
      <w:divBdr>
        <w:top w:val="none" w:sz="0" w:space="0" w:color="auto"/>
        <w:left w:val="none" w:sz="0" w:space="0" w:color="auto"/>
        <w:bottom w:val="none" w:sz="0" w:space="0" w:color="auto"/>
        <w:right w:val="none" w:sz="0" w:space="0" w:color="auto"/>
      </w:divBdr>
      <w:divsChild>
        <w:div w:id="1103113720">
          <w:marLeft w:val="0"/>
          <w:marRight w:val="0"/>
          <w:marTop w:val="0"/>
          <w:marBottom w:val="360"/>
          <w:divBdr>
            <w:top w:val="none" w:sz="0" w:space="0" w:color="auto"/>
            <w:left w:val="none" w:sz="0" w:space="0" w:color="auto"/>
            <w:bottom w:val="none" w:sz="0" w:space="0" w:color="auto"/>
            <w:right w:val="none" w:sz="0" w:space="0" w:color="auto"/>
          </w:divBdr>
        </w:div>
        <w:div w:id="414864268">
          <w:marLeft w:val="0"/>
          <w:marRight w:val="0"/>
          <w:marTop w:val="0"/>
          <w:marBottom w:val="360"/>
          <w:divBdr>
            <w:top w:val="single" w:sz="6" w:space="0" w:color="CCCCCC"/>
            <w:left w:val="none" w:sz="0" w:space="0" w:color="auto"/>
            <w:bottom w:val="single" w:sz="6" w:space="0" w:color="CCCCCC"/>
            <w:right w:val="none" w:sz="0" w:space="0" w:color="auto"/>
          </w:divBdr>
        </w:div>
        <w:div w:id="1660386191">
          <w:marLeft w:val="0"/>
          <w:marRight w:val="0"/>
          <w:marTop w:val="0"/>
          <w:marBottom w:val="0"/>
          <w:divBdr>
            <w:top w:val="none" w:sz="0" w:space="0" w:color="auto"/>
            <w:left w:val="none" w:sz="0" w:space="0" w:color="auto"/>
            <w:bottom w:val="none" w:sz="0" w:space="0" w:color="auto"/>
            <w:right w:val="none" w:sz="0" w:space="0" w:color="auto"/>
          </w:divBdr>
          <w:divsChild>
            <w:div w:id="1401366758">
              <w:marLeft w:val="0"/>
              <w:marRight w:val="0"/>
              <w:marTop w:val="0"/>
              <w:marBottom w:val="0"/>
              <w:divBdr>
                <w:top w:val="none" w:sz="0" w:space="0" w:color="auto"/>
                <w:left w:val="none" w:sz="0" w:space="0" w:color="auto"/>
                <w:bottom w:val="none" w:sz="0" w:space="0" w:color="auto"/>
                <w:right w:val="none" w:sz="0" w:space="0" w:color="auto"/>
              </w:divBdr>
              <w:divsChild>
                <w:div w:id="1236546229">
                  <w:marLeft w:val="0"/>
                  <w:marRight w:val="0"/>
                  <w:marTop w:val="240"/>
                  <w:marBottom w:val="288"/>
                  <w:divBdr>
                    <w:top w:val="none" w:sz="0" w:space="0" w:color="auto"/>
                    <w:left w:val="none" w:sz="0" w:space="0" w:color="auto"/>
                    <w:bottom w:val="none" w:sz="0" w:space="0" w:color="auto"/>
                    <w:right w:val="none" w:sz="0" w:space="0" w:color="auto"/>
                  </w:divBdr>
                  <w:divsChild>
                    <w:div w:id="1346904685">
                      <w:marLeft w:val="-240"/>
                      <w:marRight w:val="0"/>
                      <w:marTop w:val="240"/>
                      <w:marBottom w:val="240"/>
                      <w:divBdr>
                        <w:top w:val="single" w:sz="6" w:space="9" w:color="CCCCCC"/>
                        <w:left w:val="single" w:sz="6" w:space="9" w:color="CCCCCC"/>
                        <w:bottom w:val="single" w:sz="6" w:space="9" w:color="CCCCCC"/>
                        <w:right w:val="single" w:sz="6" w:space="9" w:color="CCCCCC"/>
                      </w:divBdr>
                      <w:divsChild>
                        <w:div w:id="206569476">
                          <w:marLeft w:val="0"/>
                          <w:marRight w:val="0"/>
                          <w:marTop w:val="0"/>
                          <w:marBottom w:val="240"/>
                          <w:divBdr>
                            <w:top w:val="none" w:sz="0" w:space="0" w:color="auto"/>
                            <w:left w:val="none" w:sz="0" w:space="0" w:color="auto"/>
                            <w:bottom w:val="none" w:sz="0" w:space="0" w:color="auto"/>
                            <w:right w:val="none" w:sz="0" w:space="0" w:color="auto"/>
                          </w:divBdr>
                          <w:divsChild>
                            <w:div w:id="997422672">
                              <w:marLeft w:val="0"/>
                              <w:marRight w:val="0"/>
                              <w:marTop w:val="0"/>
                              <w:marBottom w:val="0"/>
                              <w:divBdr>
                                <w:top w:val="none" w:sz="0" w:space="0" w:color="auto"/>
                                <w:left w:val="none" w:sz="0" w:space="0" w:color="auto"/>
                                <w:bottom w:val="none" w:sz="0" w:space="0" w:color="auto"/>
                                <w:right w:val="none" w:sz="0" w:space="0" w:color="auto"/>
                              </w:divBdr>
                            </w:div>
                          </w:divsChild>
                        </w:div>
                        <w:div w:id="420418781">
                          <w:marLeft w:val="0"/>
                          <w:marRight w:val="0"/>
                          <w:marTop w:val="0"/>
                          <w:marBottom w:val="0"/>
                          <w:divBdr>
                            <w:top w:val="none" w:sz="0" w:space="0" w:color="auto"/>
                            <w:left w:val="none" w:sz="0" w:space="0" w:color="auto"/>
                            <w:bottom w:val="none" w:sz="0" w:space="0" w:color="auto"/>
                            <w:right w:val="none" w:sz="0" w:space="0" w:color="auto"/>
                          </w:divBdr>
                        </w:div>
                        <w:div w:id="179721683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193571379">
                  <w:marLeft w:val="0"/>
                  <w:marRight w:val="0"/>
                  <w:marTop w:val="240"/>
                  <w:marBottom w:val="288"/>
                  <w:divBdr>
                    <w:top w:val="none" w:sz="0" w:space="0" w:color="auto"/>
                    <w:left w:val="none" w:sz="0" w:space="0" w:color="auto"/>
                    <w:bottom w:val="none" w:sz="0" w:space="0" w:color="auto"/>
                    <w:right w:val="none" w:sz="0" w:space="0" w:color="auto"/>
                  </w:divBdr>
                  <w:divsChild>
                    <w:div w:id="729884513">
                      <w:marLeft w:val="-240"/>
                      <w:marRight w:val="0"/>
                      <w:marTop w:val="240"/>
                      <w:marBottom w:val="240"/>
                      <w:divBdr>
                        <w:top w:val="single" w:sz="6" w:space="9" w:color="CCCCCC"/>
                        <w:left w:val="single" w:sz="6" w:space="9" w:color="CCCCCC"/>
                        <w:bottom w:val="single" w:sz="6" w:space="9" w:color="CCCCCC"/>
                        <w:right w:val="single" w:sz="6" w:space="9" w:color="CCCCCC"/>
                      </w:divBdr>
                      <w:divsChild>
                        <w:div w:id="1315717916">
                          <w:marLeft w:val="0"/>
                          <w:marRight w:val="0"/>
                          <w:marTop w:val="0"/>
                          <w:marBottom w:val="240"/>
                          <w:divBdr>
                            <w:top w:val="none" w:sz="0" w:space="0" w:color="auto"/>
                            <w:left w:val="none" w:sz="0" w:space="0" w:color="auto"/>
                            <w:bottom w:val="none" w:sz="0" w:space="0" w:color="auto"/>
                            <w:right w:val="none" w:sz="0" w:space="0" w:color="auto"/>
                          </w:divBdr>
                          <w:divsChild>
                            <w:div w:id="1316060444">
                              <w:marLeft w:val="0"/>
                              <w:marRight w:val="0"/>
                              <w:marTop w:val="0"/>
                              <w:marBottom w:val="0"/>
                              <w:divBdr>
                                <w:top w:val="none" w:sz="0" w:space="0" w:color="auto"/>
                                <w:left w:val="none" w:sz="0" w:space="0" w:color="auto"/>
                                <w:bottom w:val="none" w:sz="0" w:space="0" w:color="auto"/>
                                <w:right w:val="none" w:sz="0" w:space="0" w:color="auto"/>
                              </w:divBdr>
                            </w:div>
                          </w:divsChild>
                        </w:div>
                        <w:div w:id="1339312306">
                          <w:marLeft w:val="0"/>
                          <w:marRight w:val="0"/>
                          <w:marTop w:val="0"/>
                          <w:marBottom w:val="0"/>
                          <w:divBdr>
                            <w:top w:val="none" w:sz="0" w:space="0" w:color="auto"/>
                            <w:left w:val="none" w:sz="0" w:space="0" w:color="auto"/>
                            <w:bottom w:val="none" w:sz="0" w:space="0" w:color="auto"/>
                            <w:right w:val="none" w:sz="0" w:space="0" w:color="auto"/>
                          </w:divBdr>
                        </w:div>
                        <w:div w:id="1739400239">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362248151">
                  <w:marLeft w:val="0"/>
                  <w:marRight w:val="0"/>
                  <w:marTop w:val="240"/>
                  <w:marBottom w:val="288"/>
                  <w:divBdr>
                    <w:top w:val="none" w:sz="0" w:space="0" w:color="auto"/>
                    <w:left w:val="none" w:sz="0" w:space="0" w:color="auto"/>
                    <w:bottom w:val="none" w:sz="0" w:space="0" w:color="auto"/>
                    <w:right w:val="none" w:sz="0" w:space="0" w:color="auto"/>
                  </w:divBdr>
                  <w:divsChild>
                    <w:div w:id="1662614857">
                      <w:marLeft w:val="-240"/>
                      <w:marRight w:val="0"/>
                      <w:marTop w:val="240"/>
                      <w:marBottom w:val="240"/>
                      <w:divBdr>
                        <w:top w:val="single" w:sz="6" w:space="9" w:color="CCCCCC"/>
                        <w:left w:val="single" w:sz="6" w:space="9" w:color="CCCCCC"/>
                        <w:bottom w:val="single" w:sz="6" w:space="9" w:color="CCCCCC"/>
                        <w:right w:val="single" w:sz="6" w:space="9" w:color="CCCCCC"/>
                      </w:divBdr>
                      <w:divsChild>
                        <w:div w:id="383719706">
                          <w:marLeft w:val="0"/>
                          <w:marRight w:val="0"/>
                          <w:marTop w:val="0"/>
                          <w:marBottom w:val="240"/>
                          <w:divBdr>
                            <w:top w:val="none" w:sz="0" w:space="0" w:color="auto"/>
                            <w:left w:val="none" w:sz="0" w:space="0" w:color="auto"/>
                            <w:bottom w:val="none" w:sz="0" w:space="0" w:color="auto"/>
                            <w:right w:val="none" w:sz="0" w:space="0" w:color="auto"/>
                          </w:divBdr>
                          <w:divsChild>
                            <w:div w:id="48462263">
                              <w:marLeft w:val="0"/>
                              <w:marRight w:val="0"/>
                              <w:marTop w:val="0"/>
                              <w:marBottom w:val="0"/>
                              <w:divBdr>
                                <w:top w:val="none" w:sz="0" w:space="0" w:color="auto"/>
                                <w:left w:val="none" w:sz="0" w:space="0" w:color="auto"/>
                                <w:bottom w:val="none" w:sz="0" w:space="0" w:color="auto"/>
                                <w:right w:val="none" w:sz="0" w:space="0" w:color="auto"/>
                              </w:divBdr>
                            </w:div>
                          </w:divsChild>
                        </w:div>
                        <w:div w:id="1838382328">
                          <w:marLeft w:val="0"/>
                          <w:marRight w:val="0"/>
                          <w:marTop w:val="0"/>
                          <w:marBottom w:val="0"/>
                          <w:divBdr>
                            <w:top w:val="none" w:sz="0" w:space="0" w:color="auto"/>
                            <w:left w:val="none" w:sz="0" w:space="0" w:color="auto"/>
                            <w:bottom w:val="none" w:sz="0" w:space="0" w:color="auto"/>
                            <w:right w:val="none" w:sz="0" w:space="0" w:color="auto"/>
                          </w:divBdr>
                        </w:div>
                        <w:div w:id="1361275897">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298220186">
                  <w:marLeft w:val="0"/>
                  <w:marRight w:val="0"/>
                  <w:marTop w:val="240"/>
                  <w:marBottom w:val="288"/>
                  <w:divBdr>
                    <w:top w:val="none" w:sz="0" w:space="0" w:color="auto"/>
                    <w:left w:val="none" w:sz="0" w:space="0" w:color="auto"/>
                    <w:bottom w:val="none" w:sz="0" w:space="0" w:color="auto"/>
                    <w:right w:val="none" w:sz="0" w:space="0" w:color="auto"/>
                  </w:divBdr>
                  <w:divsChild>
                    <w:div w:id="1442994769">
                      <w:marLeft w:val="-240"/>
                      <w:marRight w:val="0"/>
                      <w:marTop w:val="240"/>
                      <w:marBottom w:val="240"/>
                      <w:divBdr>
                        <w:top w:val="single" w:sz="6" w:space="9" w:color="CCCCCC"/>
                        <w:left w:val="single" w:sz="6" w:space="9" w:color="CCCCCC"/>
                        <w:bottom w:val="single" w:sz="6" w:space="9" w:color="CCCCCC"/>
                        <w:right w:val="single" w:sz="6" w:space="9" w:color="CCCCCC"/>
                      </w:divBdr>
                      <w:divsChild>
                        <w:div w:id="808136387">
                          <w:marLeft w:val="0"/>
                          <w:marRight w:val="0"/>
                          <w:marTop w:val="0"/>
                          <w:marBottom w:val="240"/>
                          <w:divBdr>
                            <w:top w:val="none" w:sz="0" w:space="0" w:color="auto"/>
                            <w:left w:val="none" w:sz="0" w:space="0" w:color="auto"/>
                            <w:bottom w:val="none" w:sz="0" w:space="0" w:color="auto"/>
                            <w:right w:val="none" w:sz="0" w:space="0" w:color="auto"/>
                          </w:divBdr>
                          <w:divsChild>
                            <w:div w:id="680396034">
                              <w:marLeft w:val="0"/>
                              <w:marRight w:val="0"/>
                              <w:marTop w:val="0"/>
                              <w:marBottom w:val="0"/>
                              <w:divBdr>
                                <w:top w:val="none" w:sz="0" w:space="0" w:color="auto"/>
                                <w:left w:val="none" w:sz="0" w:space="0" w:color="auto"/>
                                <w:bottom w:val="none" w:sz="0" w:space="0" w:color="auto"/>
                                <w:right w:val="none" w:sz="0" w:space="0" w:color="auto"/>
                              </w:divBdr>
                            </w:div>
                          </w:divsChild>
                        </w:div>
                        <w:div w:id="733623560">
                          <w:marLeft w:val="0"/>
                          <w:marRight w:val="0"/>
                          <w:marTop w:val="0"/>
                          <w:marBottom w:val="0"/>
                          <w:divBdr>
                            <w:top w:val="none" w:sz="0" w:space="0" w:color="auto"/>
                            <w:left w:val="none" w:sz="0" w:space="0" w:color="auto"/>
                            <w:bottom w:val="none" w:sz="0" w:space="0" w:color="auto"/>
                            <w:right w:val="none" w:sz="0" w:space="0" w:color="auto"/>
                          </w:divBdr>
                        </w:div>
                        <w:div w:id="93600371">
                          <w:marLeft w:val="0"/>
                          <w:marRight w:val="0"/>
                          <w:marTop w:val="180"/>
                          <w:marBottom w:val="180"/>
                          <w:divBdr>
                            <w:top w:val="none" w:sz="0" w:space="0" w:color="auto"/>
                            <w:left w:val="none" w:sz="0" w:space="0" w:color="auto"/>
                            <w:bottom w:val="none" w:sz="0" w:space="0" w:color="auto"/>
                            <w:right w:val="none" w:sz="0" w:space="0" w:color="auto"/>
                          </w:divBdr>
                        </w:div>
                      </w:divsChild>
                    </w:div>
                    <w:div w:id="1804500826">
                      <w:marLeft w:val="-240"/>
                      <w:marRight w:val="0"/>
                      <w:marTop w:val="240"/>
                      <w:marBottom w:val="240"/>
                      <w:divBdr>
                        <w:top w:val="single" w:sz="6" w:space="9" w:color="CCCCCC"/>
                        <w:left w:val="single" w:sz="6" w:space="9" w:color="CCCCCC"/>
                        <w:bottom w:val="single" w:sz="6" w:space="9" w:color="CCCCCC"/>
                        <w:right w:val="single" w:sz="6" w:space="9" w:color="CCCCCC"/>
                      </w:divBdr>
                      <w:divsChild>
                        <w:div w:id="1853372461">
                          <w:marLeft w:val="0"/>
                          <w:marRight w:val="0"/>
                          <w:marTop w:val="0"/>
                          <w:marBottom w:val="240"/>
                          <w:divBdr>
                            <w:top w:val="none" w:sz="0" w:space="0" w:color="auto"/>
                            <w:left w:val="none" w:sz="0" w:space="0" w:color="auto"/>
                            <w:bottom w:val="none" w:sz="0" w:space="0" w:color="auto"/>
                            <w:right w:val="none" w:sz="0" w:space="0" w:color="auto"/>
                          </w:divBdr>
                          <w:divsChild>
                            <w:div w:id="1947809098">
                              <w:marLeft w:val="0"/>
                              <w:marRight w:val="0"/>
                              <w:marTop w:val="0"/>
                              <w:marBottom w:val="0"/>
                              <w:divBdr>
                                <w:top w:val="none" w:sz="0" w:space="0" w:color="auto"/>
                                <w:left w:val="none" w:sz="0" w:space="0" w:color="auto"/>
                                <w:bottom w:val="none" w:sz="0" w:space="0" w:color="auto"/>
                                <w:right w:val="none" w:sz="0" w:space="0" w:color="auto"/>
                              </w:divBdr>
                            </w:div>
                          </w:divsChild>
                        </w:div>
                        <w:div w:id="1036276294">
                          <w:marLeft w:val="0"/>
                          <w:marRight w:val="0"/>
                          <w:marTop w:val="0"/>
                          <w:marBottom w:val="0"/>
                          <w:divBdr>
                            <w:top w:val="none" w:sz="0" w:space="0" w:color="auto"/>
                            <w:left w:val="none" w:sz="0" w:space="0" w:color="auto"/>
                            <w:bottom w:val="none" w:sz="0" w:space="0" w:color="auto"/>
                            <w:right w:val="none" w:sz="0" w:space="0" w:color="auto"/>
                          </w:divBdr>
                        </w:div>
                        <w:div w:id="160885540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 w:id="519122832">
              <w:marLeft w:val="0"/>
              <w:marRight w:val="0"/>
              <w:marTop w:val="0"/>
              <w:marBottom w:val="0"/>
              <w:divBdr>
                <w:top w:val="none" w:sz="0" w:space="0" w:color="auto"/>
                <w:left w:val="none" w:sz="0" w:space="0" w:color="auto"/>
                <w:bottom w:val="none" w:sz="0" w:space="0" w:color="auto"/>
                <w:right w:val="none" w:sz="0" w:space="0" w:color="auto"/>
              </w:divBdr>
              <w:divsChild>
                <w:div w:id="97912535">
                  <w:marLeft w:val="0"/>
                  <w:marRight w:val="0"/>
                  <w:marTop w:val="0"/>
                  <w:marBottom w:val="0"/>
                  <w:divBdr>
                    <w:top w:val="none" w:sz="0" w:space="0" w:color="auto"/>
                    <w:left w:val="none" w:sz="0" w:space="0" w:color="auto"/>
                    <w:bottom w:val="none" w:sz="0" w:space="0" w:color="auto"/>
                    <w:right w:val="none" w:sz="0" w:space="0" w:color="auto"/>
                  </w:divBdr>
                </w:div>
                <w:div w:id="2133353669">
                  <w:marLeft w:val="0"/>
                  <w:marRight w:val="0"/>
                  <w:marTop w:val="0"/>
                  <w:marBottom w:val="0"/>
                  <w:divBdr>
                    <w:top w:val="none" w:sz="0" w:space="0" w:color="auto"/>
                    <w:left w:val="none" w:sz="0" w:space="0" w:color="auto"/>
                    <w:bottom w:val="none" w:sz="0" w:space="0" w:color="auto"/>
                    <w:right w:val="none" w:sz="0" w:space="0" w:color="auto"/>
                  </w:divBdr>
                </w:div>
                <w:div w:id="1885288464">
                  <w:marLeft w:val="0"/>
                  <w:marRight w:val="0"/>
                  <w:marTop w:val="0"/>
                  <w:marBottom w:val="0"/>
                  <w:divBdr>
                    <w:top w:val="none" w:sz="0" w:space="0" w:color="auto"/>
                    <w:left w:val="none" w:sz="0" w:space="0" w:color="auto"/>
                    <w:bottom w:val="none" w:sz="0" w:space="0" w:color="auto"/>
                    <w:right w:val="none" w:sz="0" w:space="0" w:color="auto"/>
                  </w:divBdr>
                </w:div>
                <w:div w:id="1225527928">
                  <w:marLeft w:val="0"/>
                  <w:marRight w:val="0"/>
                  <w:marTop w:val="0"/>
                  <w:marBottom w:val="0"/>
                  <w:divBdr>
                    <w:top w:val="none" w:sz="0" w:space="0" w:color="auto"/>
                    <w:left w:val="none" w:sz="0" w:space="0" w:color="auto"/>
                    <w:bottom w:val="none" w:sz="0" w:space="0" w:color="auto"/>
                    <w:right w:val="none" w:sz="0" w:space="0" w:color="auto"/>
                  </w:divBdr>
                </w:div>
              </w:divsChild>
            </w:div>
            <w:div w:id="877665448">
              <w:marLeft w:val="0"/>
              <w:marRight w:val="0"/>
              <w:marTop w:val="0"/>
              <w:marBottom w:val="0"/>
              <w:divBdr>
                <w:top w:val="none" w:sz="0" w:space="0" w:color="auto"/>
                <w:left w:val="none" w:sz="0" w:space="0" w:color="auto"/>
                <w:bottom w:val="none" w:sz="0" w:space="0" w:color="auto"/>
                <w:right w:val="none" w:sz="0" w:space="0" w:color="auto"/>
              </w:divBdr>
            </w:div>
          </w:divsChild>
        </w:div>
        <w:div w:id="1370642648">
          <w:marLeft w:val="0"/>
          <w:marRight w:val="0"/>
          <w:marTop w:val="0"/>
          <w:marBottom w:val="0"/>
          <w:divBdr>
            <w:top w:val="none" w:sz="0" w:space="0" w:color="auto"/>
            <w:left w:val="none" w:sz="0" w:space="0" w:color="auto"/>
            <w:bottom w:val="none" w:sz="0" w:space="0" w:color="auto"/>
            <w:right w:val="none" w:sz="0" w:space="0" w:color="auto"/>
          </w:divBdr>
        </w:div>
        <w:div w:id="444082445">
          <w:marLeft w:val="0"/>
          <w:marRight w:val="0"/>
          <w:marTop w:val="0"/>
          <w:marBottom w:val="0"/>
          <w:divBdr>
            <w:top w:val="none" w:sz="0" w:space="0" w:color="auto"/>
            <w:left w:val="none" w:sz="0" w:space="0" w:color="auto"/>
            <w:bottom w:val="none" w:sz="0" w:space="0" w:color="auto"/>
            <w:right w:val="none" w:sz="0" w:space="0" w:color="auto"/>
          </w:divBdr>
          <w:divsChild>
            <w:div w:id="1798646444">
              <w:marLeft w:val="0"/>
              <w:marRight w:val="0"/>
              <w:marTop w:val="240"/>
              <w:marBottom w:val="240"/>
              <w:divBdr>
                <w:top w:val="none" w:sz="0" w:space="0" w:color="auto"/>
                <w:left w:val="none" w:sz="0" w:space="0" w:color="auto"/>
                <w:bottom w:val="none" w:sz="0" w:space="0" w:color="auto"/>
                <w:right w:val="none" w:sz="0" w:space="0" w:color="auto"/>
              </w:divBdr>
              <w:divsChild>
                <w:div w:id="18340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82371">
          <w:marLeft w:val="0"/>
          <w:marRight w:val="0"/>
          <w:marTop w:val="0"/>
          <w:marBottom w:val="0"/>
          <w:divBdr>
            <w:top w:val="none" w:sz="0" w:space="0" w:color="auto"/>
            <w:left w:val="none" w:sz="0" w:space="0" w:color="auto"/>
            <w:bottom w:val="none" w:sz="0" w:space="0" w:color="auto"/>
            <w:right w:val="none" w:sz="0" w:space="0" w:color="auto"/>
          </w:divBdr>
          <w:divsChild>
            <w:div w:id="184949883">
              <w:marLeft w:val="480"/>
              <w:marRight w:val="0"/>
              <w:marTop w:val="0"/>
              <w:marBottom w:val="0"/>
              <w:divBdr>
                <w:top w:val="none" w:sz="0" w:space="0" w:color="auto"/>
                <w:left w:val="none" w:sz="0" w:space="0" w:color="auto"/>
                <w:bottom w:val="none" w:sz="0" w:space="0" w:color="auto"/>
                <w:right w:val="none" w:sz="0" w:space="0" w:color="auto"/>
              </w:divBdr>
            </w:div>
            <w:div w:id="472525288">
              <w:marLeft w:val="480"/>
              <w:marRight w:val="0"/>
              <w:marTop w:val="0"/>
              <w:marBottom w:val="0"/>
              <w:divBdr>
                <w:top w:val="none" w:sz="0" w:space="0" w:color="auto"/>
                <w:left w:val="none" w:sz="0" w:space="0" w:color="auto"/>
                <w:bottom w:val="none" w:sz="0" w:space="0" w:color="auto"/>
                <w:right w:val="none" w:sz="0" w:space="0" w:color="auto"/>
              </w:divBdr>
            </w:div>
            <w:div w:id="1012224846">
              <w:marLeft w:val="480"/>
              <w:marRight w:val="0"/>
              <w:marTop w:val="0"/>
              <w:marBottom w:val="0"/>
              <w:divBdr>
                <w:top w:val="none" w:sz="0" w:space="0" w:color="auto"/>
                <w:left w:val="none" w:sz="0" w:space="0" w:color="auto"/>
                <w:bottom w:val="none" w:sz="0" w:space="0" w:color="auto"/>
                <w:right w:val="none" w:sz="0" w:space="0" w:color="auto"/>
              </w:divBdr>
            </w:div>
            <w:div w:id="1883519138">
              <w:marLeft w:val="480"/>
              <w:marRight w:val="0"/>
              <w:marTop w:val="0"/>
              <w:marBottom w:val="0"/>
              <w:divBdr>
                <w:top w:val="none" w:sz="0" w:space="0" w:color="auto"/>
                <w:left w:val="none" w:sz="0" w:space="0" w:color="auto"/>
                <w:bottom w:val="none" w:sz="0" w:space="0" w:color="auto"/>
                <w:right w:val="none" w:sz="0" w:space="0" w:color="auto"/>
              </w:divBdr>
            </w:div>
            <w:div w:id="626736762">
              <w:marLeft w:val="480"/>
              <w:marRight w:val="0"/>
              <w:marTop w:val="0"/>
              <w:marBottom w:val="0"/>
              <w:divBdr>
                <w:top w:val="none" w:sz="0" w:space="0" w:color="auto"/>
                <w:left w:val="none" w:sz="0" w:space="0" w:color="auto"/>
                <w:bottom w:val="none" w:sz="0" w:space="0" w:color="auto"/>
                <w:right w:val="none" w:sz="0" w:space="0" w:color="auto"/>
              </w:divBdr>
            </w:div>
            <w:div w:id="1546982818">
              <w:marLeft w:val="480"/>
              <w:marRight w:val="0"/>
              <w:marTop w:val="0"/>
              <w:marBottom w:val="0"/>
              <w:divBdr>
                <w:top w:val="none" w:sz="0" w:space="0" w:color="auto"/>
                <w:left w:val="none" w:sz="0" w:space="0" w:color="auto"/>
                <w:bottom w:val="none" w:sz="0" w:space="0" w:color="auto"/>
                <w:right w:val="none" w:sz="0" w:space="0" w:color="auto"/>
              </w:divBdr>
            </w:div>
            <w:div w:id="1969318715">
              <w:marLeft w:val="480"/>
              <w:marRight w:val="0"/>
              <w:marTop w:val="0"/>
              <w:marBottom w:val="0"/>
              <w:divBdr>
                <w:top w:val="none" w:sz="0" w:space="0" w:color="auto"/>
                <w:left w:val="none" w:sz="0" w:space="0" w:color="auto"/>
                <w:bottom w:val="none" w:sz="0" w:space="0" w:color="auto"/>
                <w:right w:val="none" w:sz="0" w:space="0" w:color="auto"/>
              </w:divBdr>
            </w:div>
            <w:div w:id="1599945378">
              <w:marLeft w:val="480"/>
              <w:marRight w:val="0"/>
              <w:marTop w:val="0"/>
              <w:marBottom w:val="0"/>
              <w:divBdr>
                <w:top w:val="none" w:sz="0" w:space="0" w:color="auto"/>
                <w:left w:val="none" w:sz="0" w:space="0" w:color="auto"/>
                <w:bottom w:val="none" w:sz="0" w:space="0" w:color="auto"/>
                <w:right w:val="none" w:sz="0" w:space="0" w:color="auto"/>
              </w:divBdr>
            </w:div>
            <w:div w:id="2032217770">
              <w:marLeft w:val="480"/>
              <w:marRight w:val="0"/>
              <w:marTop w:val="0"/>
              <w:marBottom w:val="0"/>
              <w:divBdr>
                <w:top w:val="none" w:sz="0" w:space="0" w:color="auto"/>
                <w:left w:val="none" w:sz="0" w:space="0" w:color="auto"/>
                <w:bottom w:val="none" w:sz="0" w:space="0" w:color="auto"/>
                <w:right w:val="none" w:sz="0" w:space="0" w:color="auto"/>
              </w:divBdr>
            </w:div>
            <w:div w:id="1479228899">
              <w:marLeft w:val="480"/>
              <w:marRight w:val="0"/>
              <w:marTop w:val="0"/>
              <w:marBottom w:val="0"/>
              <w:divBdr>
                <w:top w:val="none" w:sz="0" w:space="0" w:color="auto"/>
                <w:left w:val="none" w:sz="0" w:space="0" w:color="auto"/>
                <w:bottom w:val="none" w:sz="0" w:space="0" w:color="auto"/>
                <w:right w:val="none" w:sz="0" w:space="0" w:color="auto"/>
              </w:divBdr>
            </w:div>
            <w:div w:id="1142455355">
              <w:marLeft w:val="480"/>
              <w:marRight w:val="0"/>
              <w:marTop w:val="0"/>
              <w:marBottom w:val="0"/>
              <w:divBdr>
                <w:top w:val="none" w:sz="0" w:space="0" w:color="auto"/>
                <w:left w:val="none" w:sz="0" w:space="0" w:color="auto"/>
                <w:bottom w:val="none" w:sz="0" w:space="0" w:color="auto"/>
                <w:right w:val="none" w:sz="0" w:space="0" w:color="auto"/>
              </w:divBdr>
            </w:div>
            <w:div w:id="2134211018">
              <w:marLeft w:val="480"/>
              <w:marRight w:val="0"/>
              <w:marTop w:val="0"/>
              <w:marBottom w:val="0"/>
              <w:divBdr>
                <w:top w:val="none" w:sz="0" w:space="0" w:color="auto"/>
                <w:left w:val="none" w:sz="0" w:space="0" w:color="auto"/>
                <w:bottom w:val="none" w:sz="0" w:space="0" w:color="auto"/>
                <w:right w:val="none" w:sz="0" w:space="0" w:color="auto"/>
              </w:divBdr>
            </w:div>
            <w:div w:id="1563901491">
              <w:marLeft w:val="480"/>
              <w:marRight w:val="0"/>
              <w:marTop w:val="0"/>
              <w:marBottom w:val="0"/>
              <w:divBdr>
                <w:top w:val="none" w:sz="0" w:space="0" w:color="auto"/>
                <w:left w:val="none" w:sz="0" w:space="0" w:color="auto"/>
                <w:bottom w:val="none" w:sz="0" w:space="0" w:color="auto"/>
                <w:right w:val="none" w:sz="0" w:space="0" w:color="auto"/>
              </w:divBdr>
            </w:div>
            <w:div w:id="1433167036">
              <w:marLeft w:val="480"/>
              <w:marRight w:val="0"/>
              <w:marTop w:val="0"/>
              <w:marBottom w:val="0"/>
              <w:divBdr>
                <w:top w:val="none" w:sz="0" w:space="0" w:color="auto"/>
                <w:left w:val="none" w:sz="0" w:space="0" w:color="auto"/>
                <w:bottom w:val="none" w:sz="0" w:space="0" w:color="auto"/>
                <w:right w:val="none" w:sz="0" w:space="0" w:color="auto"/>
              </w:divBdr>
            </w:div>
            <w:div w:id="951858561">
              <w:marLeft w:val="480"/>
              <w:marRight w:val="0"/>
              <w:marTop w:val="0"/>
              <w:marBottom w:val="0"/>
              <w:divBdr>
                <w:top w:val="none" w:sz="0" w:space="0" w:color="auto"/>
                <w:left w:val="none" w:sz="0" w:space="0" w:color="auto"/>
                <w:bottom w:val="none" w:sz="0" w:space="0" w:color="auto"/>
                <w:right w:val="none" w:sz="0" w:space="0" w:color="auto"/>
              </w:divBdr>
            </w:div>
            <w:div w:id="870995176">
              <w:marLeft w:val="480"/>
              <w:marRight w:val="0"/>
              <w:marTop w:val="0"/>
              <w:marBottom w:val="0"/>
              <w:divBdr>
                <w:top w:val="none" w:sz="0" w:space="0" w:color="auto"/>
                <w:left w:val="none" w:sz="0" w:space="0" w:color="auto"/>
                <w:bottom w:val="none" w:sz="0" w:space="0" w:color="auto"/>
                <w:right w:val="none" w:sz="0" w:space="0" w:color="auto"/>
              </w:divBdr>
            </w:div>
            <w:div w:id="1924292270">
              <w:marLeft w:val="480"/>
              <w:marRight w:val="0"/>
              <w:marTop w:val="0"/>
              <w:marBottom w:val="0"/>
              <w:divBdr>
                <w:top w:val="none" w:sz="0" w:space="0" w:color="auto"/>
                <w:left w:val="none" w:sz="0" w:space="0" w:color="auto"/>
                <w:bottom w:val="none" w:sz="0" w:space="0" w:color="auto"/>
                <w:right w:val="none" w:sz="0" w:space="0" w:color="auto"/>
              </w:divBdr>
            </w:div>
            <w:div w:id="1333407530">
              <w:marLeft w:val="480"/>
              <w:marRight w:val="0"/>
              <w:marTop w:val="0"/>
              <w:marBottom w:val="0"/>
              <w:divBdr>
                <w:top w:val="none" w:sz="0" w:space="0" w:color="auto"/>
                <w:left w:val="none" w:sz="0" w:space="0" w:color="auto"/>
                <w:bottom w:val="none" w:sz="0" w:space="0" w:color="auto"/>
                <w:right w:val="none" w:sz="0" w:space="0" w:color="auto"/>
              </w:divBdr>
            </w:div>
            <w:div w:id="2094159483">
              <w:marLeft w:val="480"/>
              <w:marRight w:val="0"/>
              <w:marTop w:val="0"/>
              <w:marBottom w:val="0"/>
              <w:divBdr>
                <w:top w:val="none" w:sz="0" w:space="0" w:color="auto"/>
                <w:left w:val="none" w:sz="0" w:space="0" w:color="auto"/>
                <w:bottom w:val="none" w:sz="0" w:space="0" w:color="auto"/>
                <w:right w:val="none" w:sz="0" w:space="0" w:color="auto"/>
              </w:divBdr>
            </w:div>
            <w:div w:id="1500926064">
              <w:marLeft w:val="480"/>
              <w:marRight w:val="0"/>
              <w:marTop w:val="0"/>
              <w:marBottom w:val="0"/>
              <w:divBdr>
                <w:top w:val="none" w:sz="0" w:space="0" w:color="auto"/>
                <w:left w:val="none" w:sz="0" w:space="0" w:color="auto"/>
                <w:bottom w:val="none" w:sz="0" w:space="0" w:color="auto"/>
                <w:right w:val="none" w:sz="0" w:space="0" w:color="auto"/>
              </w:divBdr>
            </w:div>
            <w:div w:id="2146465849">
              <w:marLeft w:val="480"/>
              <w:marRight w:val="0"/>
              <w:marTop w:val="0"/>
              <w:marBottom w:val="0"/>
              <w:divBdr>
                <w:top w:val="none" w:sz="0" w:space="0" w:color="auto"/>
                <w:left w:val="none" w:sz="0" w:space="0" w:color="auto"/>
                <w:bottom w:val="none" w:sz="0" w:space="0" w:color="auto"/>
                <w:right w:val="none" w:sz="0" w:space="0" w:color="auto"/>
              </w:divBdr>
            </w:div>
            <w:div w:id="1400206958">
              <w:marLeft w:val="480"/>
              <w:marRight w:val="0"/>
              <w:marTop w:val="0"/>
              <w:marBottom w:val="0"/>
              <w:divBdr>
                <w:top w:val="none" w:sz="0" w:space="0" w:color="auto"/>
                <w:left w:val="none" w:sz="0" w:space="0" w:color="auto"/>
                <w:bottom w:val="none" w:sz="0" w:space="0" w:color="auto"/>
                <w:right w:val="none" w:sz="0" w:space="0" w:color="auto"/>
              </w:divBdr>
            </w:div>
            <w:div w:id="288780671">
              <w:marLeft w:val="480"/>
              <w:marRight w:val="0"/>
              <w:marTop w:val="0"/>
              <w:marBottom w:val="0"/>
              <w:divBdr>
                <w:top w:val="none" w:sz="0" w:space="0" w:color="auto"/>
                <w:left w:val="none" w:sz="0" w:space="0" w:color="auto"/>
                <w:bottom w:val="none" w:sz="0" w:space="0" w:color="auto"/>
                <w:right w:val="none" w:sz="0" w:space="0" w:color="auto"/>
              </w:divBdr>
            </w:div>
            <w:div w:id="793064343">
              <w:marLeft w:val="480"/>
              <w:marRight w:val="0"/>
              <w:marTop w:val="0"/>
              <w:marBottom w:val="0"/>
              <w:divBdr>
                <w:top w:val="none" w:sz="0" w:space="0" w:color="auto"/>
                <w:left w:val="none" w:sz="0" w:space="0" w:color="auto"/>
                <w:bottom w:val="none" w:sz="0" w:space="0" w:color="auto"/>
                <w:right w:val="none" w:sz="0" w:space="0" w:color="auto"/>
              </w:divBdr>
            </w:div>
            <w:div w:id="965744844">
              <w:marLeft w:val="480"/>
              <w:marRight w:val="0"/>
              <w:marTop w:val="0"/>
              <w:marBottom w:val="0"/>
              <w:divBdr>
                <w:top w:val="none" w:sz="0" w:space="0" w:color="auto"/>
                <w:left w:val="none" w:sz="0" w:space="0" w:color="auto"/>
                <w:bottom w:val="none" w:sz="0" w:space="0" w:color="auto"/>
                <w:right w:val="none" w:sz="0" w:space="0" w:color="auto"/>
              </w:divBdr>
            </w:div>
            <w:div w:id="1671173414">
              <w:marLeft w:val="480"/>
              <w:marRight w:val="0"/>
              <w:marTop w:val="0"/>
              <w:marBottom w:val="0"/>
              <w:divBdr>
                <w:top w:val="none" w:sz="0" w:space="0" w:color="auto"/>
                <w:left w:val="none" w:sz="0" w:space="0" w:color="auto"/>
                <w:bottom w:val="none" w:sz="0" w:space="0" w:color="auto"/>
                <w:right w:val="none" w:sz="0" w:space="0" w:color="auto"/>
              </w:divBdr>
            </w:div>
            <w:div w:id="1945453784">
              <w:marLeft w:val="480"/>
              <w:marRight w:val="0"/>
              <w:marTop w:val="0"/>
              <w:marBottom w:val="0"/>
              <w:divBdr>
                <w:top w:val="none" w:sz="0" w:space="0" w:color="auto"/>
                <w:left w:val="none" w:sz="0" w:space="0" w:color="auto"/>
                <w:bottom w:val="none" w:sz="0" w:space="0" w:color="auto"/>
                <w:right w:val="none" w:sz="0" w:space="0" w:color="auto"/>
              </w:divBdr>
            </w:div>
            <w:div w:id="932973048">
              <w:marLeft w:val="480"/>
              <w:marRight w:val="0"/>
              <w:marTop w:val="0"/>
              <w:marBottom w:val="0"/>
              <w:divBdr>
                <w:top w:val="none" w:sz="0" w:space="0" w:color="auto"/>
                <w:left w:val="none" w:sz="0" w:space="0" w:color="auto"/>
                <w:bottom w:val="none" w:sz="0" w:space="0" w:color="auto"/>
                <w:right w:val="none" w:sz="0" w:space="0" w:color="auto"/>
              </w:divBdr>
            </w:div>
            <w:div w:id="9963079">
              <w:marLeft w:val="480"/>
              <w:marRight w:val="0"/>
              <w:marTop w:val="0"/>
              <w:marBottom w:val="0"/>
              <w:divBdr>
                <w:top w:val="none" w:sz="0" w:space="0" w:color="auto"/>
                <w:left w:val="none" w:sz="0" w:space="0" w:color="auto"/>
                <w:bottom w:val="none" w:sz="0" w:space="0" w:color="auto"/>
                <w:right w:val="none" w:sz="0" w:space="0" w:color="auto"/>
              </w:divBdr>
            </w:div>
            <w:div w:id="1215652990">
              <w:marLeft w:val="480"/>
              <w:marRight w:val="0"/>
              <w:marTop w:val="0"/>
              <w:marBottom w:val="0"/>
              <w:divBdr>
                <w:top w:val="none" w:sz="0" w:space="0" w:color="auto"/>
                <w:left w:val="none" w:sz="0" w:space="0" w:color="auto"/>
                <w:bottom w:val="none" w:sz="0" w:space="0" w:color="auto"/>
                <w:right w:val="none" w:sz="0" w:space="0" w:color="auto"/>
              </w:divBdr>
            </w:div>
            <w:div w:id="1312296528">
              <w:marLeft w:val="480"/>
              <w:marRight w:val="0"/>
              <w:marTop w:val="0"/>
              <w:marBottom w:val="0"/>
              <w:divBdr>
                <w:top w:val="none" w:sz="0" w:space="0" w:color="auto"/>
                <w:left w:val="none" w:sz="0" w:space="0" w:color="auto"/>
                <w:bottom w:val="none" w:sz="0" w:space="0" w:color="auto"/>
                <w:right w:val="none" w:sz="0" w:space="0" w:color="auto"/>
              </w:divBdr>
            </w:div>
            <w:div w:id="800028795">
              <w:marLeft w:val="480"/>
              <w:marRight w:val="0"/>
              <w:marTop w:val="0"/>
              <w:marBottom w:val="0"/>
              <w:divBdr>
                <w:top w:val="none" w:sz="0" w:space="0" w:color="auto"/>
                <w:left w:val="none" w:sz="0" w:space="0" w:color="auto"/>
                <w:bottom w:val="none" w:sz="0" w:space="0" w:color="auto"/>
                <w:right w:val="none" w:sz="0" w:space="0" w:color="auto"/>
              </w:divBdr>
            </w:div>
            <w:div w:id="890505539">
              <w:marLeft w:val="480"/>
              <w:marRight w:val="0"/>
              <w:marTop w:val="0"/>
              <w:marBottom w:val="0"/>
              <w:divBdr>
                <w:top w:val="none" w:sz="0" w:space="0" w:color="auto"/>
                <w:left w:val="none" w:sz="0" w:space="0" w:color="auto"/>
                <w:bottom w:val="none" w:sz="0" w:space="0" w:color="auto"/>
                <w:right w:val="none" w:sz="0" w:space="0" w:color="auto"/>
              </w:divBdr>
            </w:div>
            <w:div w:id="1570798619">
              <w:marLeft w:val="480"/>
              <w:marRight w:val="0"/>
              <w:marTop w:val="0"/>
              <w:marBottom w:val="0"/>
              <w:divBdr>
                <w:top w:val="none" w:sz="0" w:space="0" w:color="auto"/>
                <w:left w:val="none" w:sz="0" w:space="0" w:color="auto"/>
                <w:bottom w:val="none" w:sz="0" w:space="0" w:color="auto"/>
                <w:right w:val="none" w:sz="0" w:space="0" w:color="auto"/>
              </w:divBdr>
            </w:div>
            <w:div w:id="978075333">
              <w:marLeft w:val="480"/>
              <w:marRight w:val="0"/>
              <w:marTop w:val="0"/>
              <w:marBottom w:val="0"/>
              <w:divBdr>
                <w:top w:val="none" w:sz="0" w:space="0" w:color="auto"/>
                <w:left w:val="none" w:sz="0" w:space="0" w:color="auto"/>
                <w:bottom w:val="none" w:sz="0" w:space="0" w:color="auto"/>
                <w:right w:val="none" w:sz="0" w:space="0" w:color="auto"/>
              </w:divBdr>
            </w:div>
            <w:div w:id="885222098">
              <w:marLeft w:val="480"/>
              <w:marRight w:val="0"/>
              <w:marTop w:val="0"/>
              <w:marBottom w:val="0"/>
              <w:divBdr>
                <w:top w:val="none" w:sz="0" w:space="0" w:color="auto"/>
                <w:left w:val="none" w:sz="0" w:space="0" w:color="auto"/>
                <w:bottom w:val="none" w:sz="0" w:space="0" w:color="auto"/>
                <w:right w:val="none" w:sz="0" w:space="0" w:color="auto"/>
              </w:divBdr>
            </w:div>
            <w:div w:id="433596112">
              <w:marLeft w:val="480"/>
              <w:marRight w:val="0"/>
              <w:marTop w:val="0"/>
              <w:marBottom w:val="0"/>
              <w:divBdr>
                <w:top w:val="none" w:sz="0" w:space="0" w:color="auto"/>
                <w:left w:val="none" w:sz="0" w:space="0" w:color="auto"/>
                <w:bottom w:val="none" w:sz="0" w:space="0" w:color="auto"/>
                <w:right w:val="none" w:sz="0" w:space="0" w:color="auto"/>
              </w:divBdr>
            </w:div>
            <w:div w:id="231503769">
              <w:marLeft w:val="480"/>
              <w:marRight w:val="0"/>
              <w:marTop w:val="0"/>
              <w:marBottom w:val="0"/>
              <w:divBdr>
                <w:top w:val="none" w:sz="0" w:space="0" w:color="auto"/>
                <w:left w:val="none" w:sz="0" w:space="0" w:color="auto"/>
                <w:bottom w:val="none" w:sz="0" w:space="0" w:color="auto"/>
                <w:right w:val="none" w:sz="0" w:space="0" w:color="auto"/>
              </w:divBdr>
            </w:div>
            <w:div w:id="1659192352">
              <w:marLeft w:val="480"/>
              <w:marRight w:val="0"/>
              <w:marTop w:val="0"/>
              <w:marBottom w:val="0"/>
              <w:divBdr>
                <w:top w:val="none" w:sz="0" w:space="0" w:color="auto"/>
                <w:left w:val="none" w:sz="0" w:space="0" w:color="auto"/>
                <w:bottom w:val="none" w:sz="0" w:space="0" w:color="auto"/>
                <w:right w:val="none" w:sz="0" w:space="0" w:color="auto"/>
              </w:divBdr>
            </w:div>
            <w:div w:id="166478719">
              <w:marLeft w:val="480"/>
              <w:marRight w:val="0"/>
              <w:marTop w:val="0"/>
              <w:marBottom w:val="0"/>
              <w:divBdr>
                <w:top w:val="none" w:sz="0" w:space="0" w:color="auto"/>
                <w:left w:val="none" w:sz="0" w:space="0" w:color="auto"/>
                <w:bottom w:val="none" w:sz="0" w:space="0" w:color="auto"/>
                <w:right w:val="none" w:sz="0" w:space="0" w:color="auto"/>
              </w:divBdr>
            </w:div>
            <w:div w:id="1905022606">
              <w:marLeft w:val="480"/>
              <w:marRight w:val="0"/>
              <w:marTop w:val="0"/>
              <w:marBottom w:val="0"/>
              <w:divBdr>
                <w:top w:val="none" w:sz="0" w:space="0" w:color="auto"/>
                <w:left w:val="none" w:sz="0" w:space="0" w:color="auto"/>
                <w:bottom w:val="none" w:sz="0" w:space="0" w:color="auto"/>
                <w:right w:val="none" w:sz="0" w:space="0" w:color="auto"/>
              </w:divBdr>
            </w:div>
            <w:div w:id="911738338">
              <w:marLeft w:val="480"/>
              <w:marRight w:val="0"/>
              <w:marTop w:val="0"/>
              <w:marBottom w:val="0"/>
              <w:divBdr>
                <w:top w:val="none" w:sz="0" w:space="0" w:color="auto"/>
                <w:left w:val="none" w:sz="0" w:space="0" w:color="auto"/>
                <w:bottom w:val="none" w:sz="0" w:space="0" w:color="auto"/>
                <w:right w:val="none" w:sz="0" w:space="0" w:color="auto"/>
              </w:divBdr>
            </w:div>
            <w:div w:id="1217202168">
              <w:marLeft w:val="480"/>
              <w:marRight w:val="0"/>
              <w:marTop w:val="0"/>
              <w:marBottom w:val="0"/>
              <w:divBdr>
                <w:top w:val="none" w:sz="0" w:space="0" w:color="auto"/>
                <w:left w:val="none" w:sz="0" w:space="0" w:color="auto"/>
                <w:bottom w:val="none" w:sz="0" w:space="0" w:color="auto"/>
                <w:right w:val="none" w:sz="0" w:space="0" w:color="auto"/>
              </w:divBdr>
            </w:div>
            <w:div w:id="968124962">
              <w:marLeft w:val="480"/>
              <w:marRight w:val="0"/>
              <w:marTop w:val="0"/>
              <w:marBottom w:val="0"/>
              <w:divBdr>
                <w:top w:val="none" w:sz="0" w:space="0" w:color="auto"/>
                <w:left w:val="none" w:sz="0" w:space="0" w:color="auto"/>
                <w:bottom w:val="none" w:sz="0" w:space="0" w:color="auto"/>
                <w:right w:val="none" w:sz="0" w:space="0" w:color="auto"/>
              </w:divBdr>
            </w:div>
            <w:div w:id="1208104934">
              <w:marLeft w:val="480"/>
              <w:marRight w:val="0"/>
              <w:marTop w:val="0"/>
              <w:marBottom w:val="0"/>
              <w:divBdr>
                <w:top w:val="none" w:sz="0" w:space="0" w:color="auto"/>
                <w:left w:val="none" w:sz="0" w:space="0" w:color="auto"/>
                <w:bottom w:val="none" w:sz="0" w:space="0" w:color="auto"/>
                <w:right w:val="none" w:sz="0" w:space="0" w:color="auto"/>
              </w:divBdr>
            </w:div>
            <w:div w:id="319696905">
              <w:marLeft w:val="480"/>
              <w:marRight w:val="0"/>
              <w:marTop w:val="0"/>
              <w:marBottom w:val="0"/>
              <w:divBdr>
                <w:top w:val="none" w:sz="0" w:space="0" w:color="auto"/>
                <w:left w:val="none" w:sz="0" w:space="0" w:color="auto"/>
                <w:bottom w:val="none" w:sz="0" w:space="0" w:color="auto"/>
                <w:right w:val="none" w:sz="0" w:space="0" w:color="auto"/>
              </w:divBdr>
            </w:div>
            <w:div w:id="1624578319">
              <w:marLeft w:val="480"/>
              <w:marRight w:val="0"/>
              <w:marTop w:val="0"/>
              <w:marBottom w:val="0"/>
              <w:divBdr>
                <w:top w:val="none" w:sz="0" w:space="0" w:color="auto"/>
                <w:left w:val="none" w:sz="0" w:space="0" w:color="auto"/>
                <w:bottom w:val="none" w:sz="0" w:space="0" w:color="auto"/>
                <w:right w:val="none" w:sz="0" w:space="0" w:color="auto"/>
              </w:divBdr>
            </w:div>
            <w:div w:id="1483739506">
              <w:marLeft w:val="480"/>
              <w:marRight w:val="0"/>
              <w:marTop w:val="0"/>
              <w:marBottom w:val="0"/>
              <w:divBdr>
                <w:top w:val="none" w:sz="0" w:space="0" w:color="auto"/>
                <w:left w:val="none" w:sz="0" w:space="0" w:color="auto"/>
                <w:bottom w:val="none" w:sz="0" w:space="0" w:color="auto"/>
                <w:right w:val="none" w:sz="0" w:space="0" w:color="auto"/>
              </w:divBdr>
            </w:div>
            <w:div w:id="1550606215">
              <w:marLeft w:val="480"/>
              <w:marRight w:val="0"/>
              <w:marTop w:val="0"/>
              <w:marBottom w:val="0"/>
              <w:divBdr>
                <w:top w:val="none" w:sz="0" w:space="0" w:color="auto"/>
                <w:left w:val="none" w:sz="0" w:space="0" w:color="auto"/>
                <w:bottom w:val="none" w:sz="0" w:space="0" w:color="auto"/>
                <w:right w:val="none" w:sz="0" w:space="0" w:color="auto"/>
              </w:divBdr>
            </w:div>
            <w:div w:id="1396968776">
              <w:marLeft w:val="480"/>
              <w:marRight w:val="0"/>
              <w:marTop w:val="0"/>
              <w:marBottom w:val="0"/>
              <w:divBdr>
                <w:top w:val="none" w:sz="0" w:space="0" w:color="auto"/>
                <w:left w:val="none" w:sz="0" w:space="0" w:color="auto"/>
                <w:bottom w:val="none" w:sz="0" w:space="0" w:color="auto"/>
                <w:right w:val="none" w:sz="0" w:space="0" w:color="auto"/>
              </w:divBdr>
            </w:div>
            <w:div w:id="252205897">
              <w:marLeft w:val="480"/>
              <w:marRight w:val="0"/>
              <w:marTop w:val="0"/>
              <w:marBottom w:val="0"/>
              <w:divBdr>
                <w:top w:val="none" w:sz="0" w:space="0" w:color="auto"/>
                <w:left w:val="none" w:sz="0" w:space="0" w:color="auto"/>
                <w:bottom w:val="none" w:sz="0" w:space="0" w:color="auto"/>
                <w:right w:val="none" w:sz="0" w:space="0" w:color="auto"/>
              </w:divBdr>
            </w:div>
            <w:div w:id="877007969">
              <w:marLeft w:val="480"/>
              <w:marRight w:val="0"/>
              <w:marTop w:val="0"/>
              <w:marBottom w:val="0"/>
              <w:divBdr>
                <w:top w:val="none" w:sz="0" w:space="0" w:color="auto"/>
                <w:left w:val="none" w:sz="0" w:space="0" w:color="auto"/>
                <w:bottom w:val="none" w:sz="0" w:space="0" w:color="auto"/>
                <w:right w:val="none" w:sz="0" w:space="0" w:color="auto"/>
              </w:divBdr>
            </w:div>
            <w:div w:id="1742212973">
              <w:marLeft w:val="480"/>
              <w:marRight w:val="0"/>
              <w:marTop w:val="0"/>
              <w:marBottom w:val="0"/>
              <w:divBdr>
                <w:top w:val="none" w:sz="0" w:space="0" w:color="auto"/>
                <w:left w:val="none" w:sz="0" w:space="0" w:color="auto"/>
                <w:bottom w:val="none" w:sz="0" w:space="0" w:color="auto"/>
                <w:right w:val="none" w:sz="0" w:space="0" w:color="auto"/>
              </w:divBdr>
            </w:div>
            <w:div w:id="1476072368">
              <w:marLeft w:val="480"/>
              <w:marRight w:val="0"/>
              <w:marTop w:val="0"/>
              <w:marBottom w:val="0"/>
              <w:divBdr>
                <w:top w:val="none" w:sz="0" w:space="0" w:color="auto"/>
                <w:left w:val="none" w:sz="0" w:space="0" w:color="auto"/>
                <w:bottom w:val="none" w:sz="0" w:space="0" w:color="auto"/>
                <w:right w:val="none" w:sz="0" w:space="0" w:color="auto"/>
              </w:divBdr>
            </w:div>
            <w:div w:id="1168473251">
              <w:marLeft w:val="480"/>
              <w:marRight w:val="0"/>
              <w:marTop w:val="0"/>
              <w:marBottom w:val="0"/>
              <w:divBdr>
                <w:top w:val="none" w:sz="0" w:space="0" w:color="auto"/>
                <w:left w:val="none" w:sz="0" w:space="0" w:color="auto"/>
                <w:bottom w:val="none" w:sz="0" w:space="0" w:color="auto"/>
                <w:right w:val="none" w:sz="0" w:space="0" w:color="auto"/>
              </w:divBdr>
            </w:div>
            <w:div w:id="446856792">
              <w:marLeft w:val="480"/>
              <w:marRight w:val="0"/>
              <w:marTop w:val="0"/>
              <w:marBottom w:val="0"/>
              <w:divBdr>
                <w:top w:val="none" w:sz="0" w:space="0" w:color="auto"/>
                <w:left w:val="none" w:sz="0" w:space="0" w:color="auto"/>
                <w:bottom w:val="none" w:sz="0" w:space="0" w:color="auto"/>
                <w:right w:val="none" w:sz="0" w:space="0" w:color="auto"/>
              </w:divBdr>
            </w:div>
            <w:div w:id="820467841">
              <w:marLeft w:val="480"/>
              <w:marRight w:val="0"/>
              <w:marTop w:val="0"/>
              <w:marBottom w:val="0"/>
              <w:divBdr>
                <w:top w:val="none" w:sz="0" w:space="0" w:color="auto"/>
                <w:left w:val="none" w:sz="0" w:space="0" w:color="auto"/>
                <w:bottom w:val="none" w:sz="0" w:space="0" w:color="auto"/>
                <w:right w:val="none" w:sz="0" w:space="0" w:color="auto"/>
              </w:divBdr>
            </w:div>
            <w:div w:id="2081828659">
              <w:marLeft w:val="480"/>
              <w:marRight w:val="0"/>
              <w:marTop w:val="0"/>
              <w:marBottom w:val="0"/>
              <w:divBdr>
                <w:top w:val="none" w:sz="0" w:space="0" w:color="auto"/>
                <w:left w:val="none" w:sz="0" w:space="0" w:color="auto"/>
                <w:bottom w:val="none" w:sz="0" w:space="0" w:color="auto"/>
                <w:right w:val="none" w:sz="0" w:space="0" w:color="auto"/>
              </w:divBdr>
            </w:div>
            <w:div w:id="1379940290">
              <w:marLeft w:val="480"/>
              <w:marRight w:val="0"/>
              <w:marTop w:val="0"/>
              <w:marBottom w:val="0"/>
              <w:divBdr>
                <w:top w:val="none" w:sz="0" w:space="0" w:color="auto"/>
                <w:left w:val="none" w:sz="0" w:space="0" w:color="auto"/>
                <w:bottom w:val="none" w:sz="0" w:space="0" w:color="auto"/>
                <w:right w:val="none" w:sz="0" w:space="0" w:color="auto"/>
              </w:divBdr>
            </w:div>
            <w:div w:id="468481294">
              <w:marLeft w:val="480"/>
              <w:marRight w:val="0"/>
              <w:marTop w:val="0"/>
              <w:marBottom w:val="0"/>
              <w:divBdr>
                <w:top w:val="none" w:sz="0" w:space="0" w:color="auto"/>
                <w:left w:val="none" w:sz="0" w:space="0" w:color="auto"/>
                <w:bottom w:val="none" w:sz="0" w:space="0" w:color="auto"/>
                <w:right w:val="none" w:sz="0" w:space="0" w:color="auto"/>
              </w:divBdr>
            </w:div>
            <w:div w:id="1446844323">
              <w:marLeft w:val="480"/>
              <w:marRight w:val="0"/>
              <w:marTop w:val="0"/>
              <w:marBottom w:val="0"/>
              <w:divBdr>
                <w:top w:val="none" w:sz="0" w:space="0" w:color="auto"/>
                <w:left w:val="none" w:sz="0" w:space="0" w:color="auto"/>
                <w:bottom w:val="none" w:sz="0" w:space="0" w:color="auto"/>
                <w:right w:val="none" w:sz="0" w:space="0" w:color="auto"/>
              </w:divBdr>
            </w:div>
            <w:div w:id="1401513252">
              <w:marLeft w:val="480"/>
              <w:marRight w:val="0"/>
              <w:marTop w:val="0"/>
              <w:marBottom w:val="0"/>
              <w:divBdr>
                <w:top w:val="none" w:sz="0" w:space="0" w:color="auto"/>
                <w:left w:val="none" w:sz="0" w:space="0" w:color="auto"/>
                <w:bottom w:val="none" w:sz="0" w:space="0" w:color="auto"/>
                <w:right w:val="none" w:sz="0" w:space="0" w:color="auto"/>
              </w:divBdr>
            </w:div>
            <w:div w:id="1044211759">
              <w:marLeft w:val="480"/>
              <w:marRight w:val="0"/>
              <w:marTop w:val="0"/>
              <w:marBottom w:val="0"/>
              <w:divBdr>
                <w:top w:val="none" w:sz="0" w:space="0" w:color="auto"/>
                <w:left w:val="none" w:sz="0" w:space="0" w:color="auto"/>
                <w:bottom w:val="none" w:sz="0" w:space="0" w:color="auto"/>
                <w:right w:val="none" w:sz="0" w:space="0" w:color="auto"/>
              </w:divBdr>
            </w:div>
            <w:div w:id="166098283">
              <w:marLeft w:val="480"/>
              <w:marRight w:val="0"/>
              <w:marTop w:val="0"/>
              <w:marBottom w:val="0"/>
              <w:divBdr>
                <w:top w:val="none" w:sz="0" w:space="0" w:color="auto"/>
                <w:left w:val="none" w:sz="0" w:space="0" w:color="auto"/>
                <w:bottom w:val="none" w:sz="0" w:space="0" w:color="auto"/>
                <w:right w:val="none" w:sz="0" w:space="0" w:color="auto"/>
              </w:divBdr>
            </w:div>
            <w:div w:id="825248256">
              <w:marLeft w:val="480"/>
              <w:marRight w:val="0"/>
              <w:marTop w:val="0"/>
              <w:marBottom w:val="0"/>
              <w:divBdr>
                <w:top w:val="none" w:sz="0" w:space="0" w:color="auto"/>
                <w:left w:val="none" w:sz="0" w:space="0" w:color="auto"/>
                <w:bottom w:val="none" w:sz="0" w:space="0" w:color="auto"/>
                <w:right w:val="none" w:sz="0" w:space="0" w:color="auto"/>
              </w:divBdr>
            </w:div>
            <w:div w:id="227612596">
              <w:marLeft w:val="480"/>
              <w:marRight w:val="0"/>
              <w:marTop w:val="0"/>
              <w:marBottom w:val="0"/>
              <w:divBdr>
                <w:top w:val="none" w:sz="0" w:space="0" w:color="auto"/>
                <w:left w:val="none" w:sz="0" w:space="0" w:color="auto"/>
                <w:bottom w:val="none" w:sz="0" w:space="0" w:color="auto"/>
                <w:right w:val="none" w:sz="0" w:space="0" w:color="auto"/>
              </w:divBdr>
            </w:div>
            <w:div w:id="1757549882">
              <w:marLeft w:val="480"/>
              <w:marRight w:val="0"/>
              <w:marTop w:val="0"/>
              <w:marBottom w:val="0"/>
              <w:divBdr>
                <w:top w:val="none" w:sz="0" w:space="0" w:color="auto"/>
                <w:left w:val="none" w:sz="0" w:space="0" w:color="auto"/>
                <w:bottom w:val="none" w:sz="0" w:space="0" w:color="auto"/>
                <w:right w:val="none" w:sz="0" w:space="0" w:color="auto"/>
              </w:divBdr>
            </w:div>
            <w:div w:id="134139678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54043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ink.springer.com/article/10.1007/s11199-018-0933-5" TargetMode="External"/><Relationship Id="rId21" Type="http://schemas.openxmlformats.org/officeDocument/2006/relationships/hyperlink" Target="https://link.springer.com/article/10.1007/s11199-018-0933-5" TargetMode="External"/><Relationship Id="rId42" Type="http://schemas.openxmlformats.org/officeDocument/2006/relationships/hyperlink" Target="https://link.springer.com/article/10.1007/s11199-018-0933-5" TargetMode="External"/><Relationship Id="rId63" Type="http://schemas.openxmlformats.org/officeDocument/2006/relationships/hyperlink" Target="https://link.springer.com/article/10.1007/s11199-018-0933-5" TargetMode="External"/><Relationship Id="rId84" Type="http://schemas.openxmlformats.org/officeDocument/2006/relationships/hyperlink" Target="https://link.springer.com/article/10.1007/s11199-018-0933-5" TargetMode="External"/><Relationship Id="rId138" Type="http://schemas.openxmlformats.org/officeDocument/2006/relationships/hyperlink" Target="https://link.springer.com/article/10.1007/s11199-018-0933-5" TargetMode="External"/><Relationship Id="rId159" Type="http://schemas.openxmlformats.org/officeDocument/2006/relationships/hyperlink" Target="https://link.springer.com/article/10.1007/s11199-018-0933-5" TargetMode="External"/><Relationship Id="rId170" Type="http://schemas.openxmlformats.org/officeDocument/2006/relationships/hyperlink" Target="https://link.springer.com/article/10.1007/s11199-018-0933-5" TargetMode="External"/><Relationship Id="rId191" Type="http://schemas.openxmlformats.org/officeDocument/2006/relationships/hyperlink" Target="https://doi.org/10.1037/1524-9220.3.2.119" TargetMode="External"/><Relationship Id="rId205" Type="http://schemas.openxmlformats.org/officeDocument/2006/relationships/hyperlink" Target="https://doi.org/10.1111/j.1471-6402.1997.tb00104.x" TargetMode="External"/><Relationship Id="rId226" Type="http://schemas.openxmlformats.org/officeDocument/2006/relationships/hyperlink" Target="https://doi.org/10.1111/j.0361-6843.2005.00167.x" TargetMode="External"/><Relationship Id="rId247" Type="http://schemas.openxmlformats.org/officeDocument/2006/relationships/fontTable" Target="fontTable.xml"/><Relationship Id="rId107" Type="http://schemas.openxmlformats.org/officeDocument/2006/relationships/hyperlink" Target="https://link.springer.com/article/10.1007/s11199-018-0933-5" TargetMode="External"/><Relationship Id="rId11" Type="http://schemas.openxmlformats.org/officeDocument/2006/relationships/hyperlink" Target="https://link.springer.com/article/10.1007/s11199-018-0933-5" TargetMode="External"/><Relationship Id="rId32" Type="http://schemas.openxmlformats.org/officeDocument/2006/relationships/hyperlink" Target="https://link.springer.com/article/10.1007/s11199-018-0933-5" TargetMode="External"/><Relationship Id="rId53" Type="http://schemas.openxmlformats.org/officeDocument/2006/relationships/hyperlink" Target="https://link.springer.com/article/10.1007/s11199-018-0933-5" TargetMode="External"/><Relationship Id="rId74" Type="http://schemas.openxmlformats.org/officeDocument/2006/relationships/hyperlink" Target="https://link.springer.com/article/10.1007/s11199-018-0933-5" TargetMode="External"/><Relationship Id="rId128" Type="http://schemas.openxmlformats.org/officeDocument/2006/relationships/hyperlink" Target="https://link.springer.com/article/10.1007/s11199-018-0933-5" TargetMode="External"/><Relationship Id="rId149" Type="http://schemas.openxmlformats.org/officeDocument/2006/relationships/hyperlink" Target="https://link.springer.com/article/10.1007/s11199-018-0933-5" TargetMode="External"/><Relationship Id="rId5" Type="http://schemas.openxmlformats.org/officeDocument/2006/relationships/styles" Target="styles.xml"/><Relationship Id="rId95" Type="http://schemas.openxmlformats.org/officeDocument/2006/relationships/hyperlink" Target="https://link.springer.com/article/10.1007/s11199-018-0933-5" TargetMode="External"/><Relationship Id="rId160" Type="http://schemas.openxmlformats.org/officeDocument/2006/relationships/hyperlink" Target="https://link.springer.com/article/10.1007/s11199-018-0933-5" TargetMode="External"/><Relationship Id="rId181" Type="http://schemas.openxmlformats.org/officeDocument/2006/relationships/hyperlink" Target="https://link.springer.com/article/10.1007/s11199-018-0933-5" TargetMode="External"/><Relationship Id="rId216" Type="http://schemas.openxmlformats.org/officeDocument/2006/relationships/hyperlink" Target="https://doi.org/10.1177/0149206310365902" TargetMode="External"/><Relationship Id="rId237" Type="http://schemas.openxmlformats.org/officeDocument/2006/relationships/hyperlink" Target="https://doi.org/10.1007/s11199-010-9859-2" TargetMode="External"/><Relationship Id="rId22" Type="http://schemas.openxmlformats.org/officeDocument/2006/relationships/hyperlink" Target="https://link.springer.com/article/10.1007/s11199-018-0933-5" TargetMode="External"/><Relationship Id="rId43" Type="http://schemas.openxmlformats.org/officeDocument/2006/relationships/hyperlink" Target="https://link.springer.com/article/10.1007/s11199-018-0933-5" TargetMode="External"/><Relationship Id="rId64" Type="http://schemas.openxmlformats.org/officeDocument/2006/relationships/hyperlink" Target="https://link.springer.com/article/10.1007/s11199-018-0933-5" TargetMode="External"/><Relationship Id="rId118" Type="http://schemas.openxmlformats.org/officeDocument/2006/relationships/hyperlink" Target="https://link.springer.com/article/10.1007/s11199-018-0933-5" TargetMode="External"/><Relationship Id="rId139" Type="http://schemas.openxmlformats.org/officeDocument/2006/relationships/hyperlink" Target="https://link.springer.com/article/10.1007/s11199-018-0933-5" TargetMode="External"/><Relationship Id="rId85" Type="http://schemas.openxmlformats.org/officeDocument/2006/relationships/hyperlink" Target="https://link.springer.com/article/10.1007/s11199-018-0933-5" TargetMode="External"/><Relationship Id="rId150" Type="http://schemas.openxmlformats.org/officeDocument/2006/relationships/hyperlink" Target="https://link.springer.com/article/10.1007/s11199-018-0933-5" TargetMode="External"/><Relationship Id="rId171" Type="http://schemas.openxmlformats.org/officeDocument/2006/relationships/hyperlink" Target="https://link.springer.com/article/10.1007/s11199-018-0933-5" TargetMode="External"/><Relationship Id="rId192" Type="http://schemas.openxmlformats.org/officeDocument/2006/relationships/hyperlink" Target="https://doi.org/10.1007/s11199-009-9664-y" TargetMode="External"/><Relationship Id="rId206" Type="http://schemas.openxmlformats.org/officeDocument/2006/relationships/hyperlink" Target="https://doi.org/10.1037/0003-66X.56.2.109" TargetMode="External"/><Relationship Id="rId227" Type="http://schemas.openxmlformats.org/officeDocument/2006/relationships/hyperlink" Target="https://doi.org/10.1037/1082-989X.7.1.64" TargetMode="External"/><Relationship Id="rId248" Type="http://schemas.openxmlformats.org/officeDocument/2006/relationships/theme" Target="theme/theme1.xml"/><Relationship Id="rId12" Type="http://schemas.openxmlformats.org/officeDocument/2006/relationships/hyperlink" Target="https://link.springer.com/article/10.1007/s11199-018-0933-5" TargetMode="External"/><Relationship Id="rId33" Type="http://schemas.openxmlformats.org/officeDocument/2006/relationships/hyperlink" Target="https://link.springer.com/article/10.1007/s11199-018-0933-5" TargetMode="External"/><Relationship Id="rId108" Type="http://schemas.openxmlformats.org/officeDocument/2006/relationships/hyperlink" Target="https://link.springer.com/article/10.1007/s11199-018-0933-5" TargetMode="External"/><Relationship Id="rId129" Type="http://schemas.openxmlformats.org/officeDocument/2006/relationships/hyperlink" Target="https://link.springer.com/article/10.1007/s11199-018-0933-5" TargetMode="External"/><Relationship Id="rId54" Type="http://schemas.openxmlformats.org/officeDocument/2006/relationships/hyperlink" Target="https://link.springer.com/article/10.1007/s11199-018-0933-5" TargetMode="External"/><Relationship Id="rId75" Type="http://schemas.openxmlformats.org/officeDocument/2006/relationships/hyperlink" Target="https://link.springer.com/article/10.1007/s11199-018-0933-5" TargetMode="External"/><Relationship Id="rId96" Type="http://schemas.openxmlformats.org/officeDocument/2006/relationships/hyperlink" Target="https://link.springer.com/article/10.1007/s11199-018-0933-5" TargetMode="External"/><Relationship Id="rId140" Type="http://schemas.openxmlformats.org/officeDocument/2006/relationships/hyperlink" Target="https://link.springer.com/article/10.1007/s11199-018-0933-5" TargetMode="External"/><Relationship Id="rId161" Type="http://schemas.openxmlformats.org/officeDocument/2006/relationships/hyperlink" Target="https://link.springer.com/article/10.1007/s11199-018-0933-5" TargetMode="External"/><Relationship Id="rId182" Type="http://schemas.openxmlformats.org/officeDocument/2006/relationships/hyperlink" Target="https://link.springer.com/article/10.1007/s11199-018-0933-5" TargetMode="External"/><Relationship Id="rId217" Type="http://schemas.openxmlformats.org/officeDocument/2006/relationships/hyperlink" Target="https://doi.org/10.1111/j.1471-6402.1995.tb00086.x" TargetMode="External"/><Relationship Id="rId6" Type="http://schemas.openxmlformats.org/officeDocument/2006/relationships/settings" Target="settings.xml"/><Relationship Id="rId238" Type="http://schemas.openxmlformats.org/officeDocument/2006/relationships/hyperlink" Target="https://doi.org/10.1037/pspi0000037" TargetMode="External"/><Relationship Id="rId23" Type="http://schemas.openxmlformats.org/officeDocument/2006/relationships/hyperlink" Target="https://link.springer.com/article/10.1007/s11199-018-0933-5" TargetMode="External"/><Relationship Id="rId119" Type="http://schemas.openxmlformats.org/officeDocument/2006/relationships/hyperlink" Target="https://link.springer.com/article/10.1007/s11199-018-0933-5" TargetMode="External"/><Relationship Id="rId44" Type="http://schemas.openxmlformats.org/officeDocument/2006/relationships/hyperlink" Target="https://link.springer.com/article/10.1007/s11199-018-0933-5" TargetMode="External"/><Relationship Id="rId65" Type="http://schemas.openxmlformats.org/officeDocument/2006/relationships/hyperlink" Target="https://link.springer.com/article/10.1007/s11199-018-0933-5" TargetMode="External"/><Relationship Id="rId86" Type="http://schemas.openxmlformats.org/officeDocument/2006/relationships/hyperlink" Target="https://link.springer.com/article/10.1007/s11199-018-0933-5" TargetMode="External"/><Relationship Id="rId130" Type="http://schemas.openxmlformats.org/officeDocument/2006/relationships/hyperlink" Target="https://link.springer.com/article/10.1007/s11199-018-0933-5" TargetMode="External"/><Relationship Id="rId151" Type="http://schemas.openxmlformats.org/officeDocument/2006/relationships/hyperlink" Target="https://link.springer.com/article/10.1007/s11199-018-0933-5" TargetMode="External"/><Relationship Id="rId172" Type="http://schemas.openxmlformats.org/officeDocument/2006/relationships/hyperlink" Target="https://link.springer.com/article/10.1007/s11199-018-0933-5" TargetMode="External"/><Relationship Id="rId193" Type="http://schemas.openxmlformats.org/officeDocument/2006/relationships/hyperlink" Target="https://doi.org/10.1023/A%3A1022451205292" TargetMode="External"/><Relationship Id="rId207" Type="http://schemas.openxmlformats.org/officeDocument/2006/relationships/hyperlink" Target="https://doi.org/10.1177/0146167215593492" TargetMode="External"/><Relationship Id="rId228" Type="http://schemas.openxmlformats.org/officeDocument/2006/relationships/hyperlink" Target="https://doi.org/10.1016/S0191-8869(01)00189-1" TargetMode="External"/><Relationship Id="rId13" Type="http://schemas.openxmlformats.org/officeDocument/2006/relationships/hyperlink" Target="https://link.springer.com/article/10.1007/s11199-018-0933-5" TargetMode="External"/><Relationship Id="rId109" Type="http://schemas.openxmlformats.org/officeDocument/2006/relationships/hyperlink" Target="https://link.springer.com/article/10.1007/s11199-018-0933-5" TargetMode="External"/><Relationship Id="rId34" Type="http://schemas.openxmlformats.org/officeDocument/2006/relationships/hyperlink" Target="https://link.springer.com/article/10.1007/s11199-018-0933-5" TargetMode="External"/><Relationship Id="rId55" Type="http://schemas.openxmlformats.org/officeDocument/2006/relationships/hyperlink" Target="https://link.springer.com/article/10.1007/s11199-018-0933-5" TargetMode="External"/><Relationship Id="rId76" Type="http://schemas.openxmlformats.org/officeDocument/2006/relationships/hyperlink" Target="https://link.springer.com/article/10.1007/s11199-018-0933-5" TargetMode="External"/><Relationship Id="rId97" Type="http://schemas.openxmlformats.org/officeDocument/2006/relationships/hyperlink" Target="https://link.springer.com/article/10.1007/s11199-018-0933-5" TargetMode="External"/><Relationship Id="rId120" Type="http://schemas.openxmlformats.org/officeDocument/2006/relationships/hyperlink" Target="https://link.springer.com/article/10.1007/s11199-018-0933-5" TargetMode="External"/><Relationship Id="rId141" Type="http://schemas.openxmlformats.org/officeDocument/2006/relationships/hyperlink" Target="https://link.springer.com/article/10.1007/s11199-018-0933-5" TargetMode="External"/><Relationship Id="rId7" Type="http://schemas.openxmlformats.org/officeDocument/2006/relationships/webSettings" Target="webSettings.xml"/><Relationship Id="rId162" Type="http://schemas.openxmlformats.org/officeDocument/2006/relationships/hyperlink" Target="https://link.springer.com/article/10.1007/s11199-018-0933-5" TargetMode="External"/><Relationship Id="rId183" Type="http://schemas.openxmlformats.org/officeDocument/2006/relationships/hyperlink" Target="https://link.springer.com/article/10.1007/s11199-018-0933-5" TargetMode="External"/><Relationship Id="rId218" Type="http://schemas.openxmlformats.org/officeDocument/2006/relationships/hyperlink" Target="https://doi.org/10.1111/j.1471-6402.2000.tb01025.x" TargetMode="External"/><Relationship Id="rId239" Type="http://schemas.openxmlformats.org/officeDocument/2006/relationships/hyperlink" Target="https://doi.org/10.1007/s11199-007-9271-8" TargetMode="External"/><Relationship Id="rId24" Type="http://schemas.openxmlformats.org/officeDocument/2006/relationships/hyperlink" Target="https://link.springer.com/article/10.1007/s11199-018-0933-5" TargetMode="External"/><Relationship Id="rId45" Type="http://schemas.openxmlformats.org/officeDocument/2006/relationships/hyperlink" Target="https://link.springer.com/article/10.1007/s11199-018-0933-5" TargetMode="External"/><Relationship Id="rId66" Type="http://schemas.openxmlformats.org/officeDocument/2006/relationships/hyperlink" Target="https://link.springer.com/article/10.1007/s11199-018-0933-5" TargetMode="External"/><Relationship Id="rId87" Type="http://schemas.openxmlformats.org/officeDocument/2006/relationships/hyperlink" Target="https://link.springer.com/article/10.1007/s11199-018-0933-5" TargetMode="External"/><Relationship Id="rId110" Type="http://schemas.openxmlformats.org/officeDocument/2006/relationships/hyperlink" Target="https://link.springer.com/article/10.1007/s11199-018-0933-5" TargetMode="External"/><Relationship Id="rId131" Type="http://schemas.openxmlformats.org/officeDocument/2006/relationships/hyperlink" Target="https://link.springer.com/article/10.1007/s11199-018-0933-5" TargetMode="External"/><Relationship Id="rId152" Type="http://schemas.openxmlformats.org/officeDocument/2006/relationships/hyperlink" Target="https://link.springer.com/article/10.1007/s11199-018-0933-5" TargetMode="External"/><Relationship Id="rId173" Type="http://schemas.openxmlformats.org/officeDocument/2006/relationships/hyperlink" Target="https://link.springer.com/article/10.1007/s11199-018-0933-5" TargetMode="External"/><Relationship Id="rId194" Type="http://schemas.openxmlformats.org/officeDocument/2006/relationships/hyperlink" Target="https://doi.org/10.1177/1745691610393980" TargetMode="External"/><Relationship Id="rId208" Type="http://schemas.openxmlformats.org/officeDocument/2006/relationships/hyperlink" Target="https://doi.org/10.1007/s11199-011-0017-2" TargetMode="External"/><Relationship Id="rId229" Type="http://schemas.openxmlformats.org/officeDocument/2006/relationships/hyperlink" Target="https://doi.org/10.1177/0011000002301003" TargetMode="External"/><Relationship Id="rId240" Type="http://schemas.openxmlformats.org/officeDocument/2006/relationships/hyperlink" Target="https://doi.org/10.1111/0022-4537.00200" TargetMode="External"/><Relationship Id="rId14" Type="http://schemas.openxmlformats.org/officeDocument/2006/relationships/hyperlink" Target="https://link.springer.com/article/10.1007/s11199-018-0933-5" TargetMode="External"/><Relationship Id="rId35" Type="http://schemas.openxmlformats.org/officeDocument/2006/relationships/hyperlink" Target="https://link.springer.com/article/10.1007/s11199-018-0933-5" TargetMode="External"/><Relationship Id="rId56" Type="http://schemas.openxmlformats.org/officeDocument/2006/relationships/hyperlink" Target="https://link.springer.com/article/10.1007/s11199-018-0933-5" TargetMode="External"/><Relationship Id="rId77" Type="http://schemas.openxmlformats.org/officeDocument/2006/relationships/hyperlink" Target="https://link.springer.com/article/10.1007/s11199-018-0933-5" TargetMode="External"/><Relationship Id="rId100" Type="http://schemas.openxmlformats.org/officeDocument/2006/relationships/hyperlink" Target="https://link.springer.com/article/10.1007/s11199-018-0933-5" TargetMode="External"/><Relationship Id="rId8" Type="http://schemas.openxmlformats.org/officeDocument/2006/relationships/hyperlink" Target="10.1007/s11199-018-0933-5" TargetMode="External"/><Relationship Id="rId98" Type="http://schemas.openxmlformats.org/officeDocument/2006/relationships/hyperlink" Target="https://link.springer.com/article/10.1007/s11199-018-0933-5" TargetMode="External"/><Relationship Id="rId121" Type="http://schemas.openxmlformats.org/officeDocument/2006/relationships/hyperlink" Target="https://link.springer.com/article/10.1007/s11199-018-0933-5" TargetMode="External"/><Relationship Id="rId142" Type="http://schemas.openxmlformats.org/officeDocument/2006/relationships/hyperlink" Target="https://link.springer.com/article/10.1007/s11199-018-0933-5" TargetMode="External"/><Relationship Id="rId163" Type="http://schemas.openxmlformats.org/officeDocument/2006/relationships/hyperlink" Target="https://link.springer.com/article/10.1007/s11199-018-0933-5" TargetMode="External"/><Relationship Id="rId184" Type="http://schemas.openxmlformats.org/officeDocument/2006/relationships/hyperlink" Target="https://link.springer.com/article/10.1007/s11199-018-0933-5" TargetMode="External"/><Relationship Id="rId219" Type="http://schemas.openxmlformats.org/officeDocument/2006/relationships/hyperlink" Target="https://doi.org/10.1111/j.1471-6402.1995.tb00087.x" TargetMode="External"/><Relationship Id="rId230" Type="http://schemas.openxmlformats.org/officeDocument/2006/relationships/hyperlink" Target="https://doi.org/10.1177/0146167207304790" TargetMode="External"/><Relationship Id="rId25" Type="http://schemas.openxmlformats.org/officeDocument/2006/relationships/hyperlink" Target="https://link.springer.com/article/10.1007/s11199-018-0933-5" TargetMode="External"/><Relationship Id="rId46" Type="http://schemas.openxmlformats.org/officeDocument/2006/relationships/hyperlink" Target="https://link.springer.com/article/10.1007/s11199-018-0933-5" TargetMode="External"/><Relationship Id="rId67" Type="http://schemas.openxmlformats.org/officeDocument/2006/relationships/hyperlink" Target="https://link.springer.com/article/10.1007/s11199-018-0933-5" TargetMode="External"/><Relationship Id="rId88" Type="http://schemas.openxmlformats.org/officeDocument/2006/relationships/hyperlink" Target="https://link.springer.com/article/10.1007/s11199-018-0933-5" TargetMode="External"/><Relationship Id="rId111" Type="http://schemas.openxmlformats.org/officeDocument/2006/relationships/hyperlink" Target="https://link.springer.com/article/10.1007/s11199-018-0933-5" TargetMode="External"/><Relationship Id="rId132" Type="http://schemas.openxmlformats.org/officeDocument/2006/relationships/hyperlink" Target="https://link.springer.com/article/10.1007/s11199-018-0933-5" TargetMode="External"/><Relationship Id="rId153" Type="http://schemas.openxmlformats.org/officeDocument/2006/relationships/hyperlink" Target="https://link.springer.com/article/10.1007/s11199-018-0933-5" TargetMode="External"/><Relationship Id="rId174" Type="http://schemas.openxmlformats.org/officeDocument/2006/relationships/hyperlink" Target="https://link.springer.com/article/10.1007/s11199-018-0933-5" TargetMode="External"/><Relationship Id="rId195" Type="http://schemas.openxmlformats.org/officeDocument/2006/relationships/hyperlink" Target="https://doi.org/10.1007/s11199-007-9196-2" TargetMode="External"/><Relationship Id="rId209" Type="http://schemas.openxmlformats.org/officeDocument/2006/relationships/hyperlink" Target="https://doi.org/10.1177/1948550613506124" TargetMode="External"/><Relationship Id="rId220" Type="http://schemas.openxmlformats.org/officeDocument/2006/relationships/hyperlink" Target="https://doi.org/10.1007/s11199-010-9747-9" TargetMode="External"/><Relationship Id="rId241" Type="http://schemas.openxmlformats.org/officeDocument/2006/relationships/hyperlink" Target="https://doi.org/10.1111/j.1471-6402.2005.00240.x" TargetMode="External"/><Relationship Id="rId15" Type="http://schemas.openxmlformats.org/officeDocument/2006/relationships/hyperlink" Target="https://link.springer.com/article/10.1007/s11199-018-0933-5" TargetMode="External"/><Relationship Id="rId36" Type="http://schemas.openxmlformats.org/officeDocument/2006/relationships/hyperlink" Target="https://link.springer.com/article/10.1007/s11199-018-0933-5" TargetMode="External"/><Relationship Id="rId57" Type="http://schemas.openxmlformats.org/officeDocument/2006/relationships/hyperlink" Target="https://link.springer.com/article/10.1007/s11199-018-0933-5" TargetMode="External"/><Relationship Id="rId10" Type="http://schemas.openxmlformats.org/officeDocument/2006/relationships/hyperlink" Target="https://link.springer.com/article/10.1007/s11199-018-0933-5" TargetMode="External"/><Relationship Id="rId31" Type="http://schemas.openxmlformats.org/officeDocument/2006/relationships/hyperlink" Target="https://link.springer.com/article/10.1007/s11199-018-0933-5" TargetMode="External"/><Relationship Id="rId52" Type="http://schemas.openxmlformats.org/officeDocument/2006/relationships/hyperlink" Target="https://link.springer.com/article/10.1007/s11199-018-0933-5" TargetMode="External"/><Relationship Id="rId73" Type="http://schemas.openxmlformats.org/officeDocument/2006/relationships/hyperlink" Target="https://link.springer.com/article/10.1007/s11199-018-0933-5" TargetMode="External"/><Relationship Id="rId78" Type="http://schemas.openxmlformats.org/officeDocument/2006/relationships/hyperlink" Target="https://link.springer.com/article/10.1007/s11199-018-0933-5" TargetMode="External"/><Relationship Id="rId94" Type="http://schemas.openxmlformats.org/officeDocument/2006/relationships/hyperlink" Target="https://link.springer.com/article/10.1007/s11199-018-0933-5" TargetMode="External"/><Relationship Id="rId99" Type="http://schemas.openxmlformats.org/officeDocument/2006/relationships/hyperlink" Target="https://link.springer.com/article/10.1007/s11199-018-0933-5" TargetMode="External"/><Relationship Id="rId101" Type="http://schemas.openxmlformats.org/officeDocument/2006/relationships/hyperlink" Target="https://link.springer.com/article/10.1007/s11199-018-0933-5" TargetMode="External"/><Relationship Id="rId122" Type="http://schemas.openxmlformats.org/officeDocument/2006/relationships/hyperlink" Target="https://link.springer.com/article/10.1007/s11199-018-0933-5" TargetMode="External"/><Relationship Id="rId143" Type="http://schemas.openxmlformats.org/officeDocument/2006/relationships/hyperlink" Target="https://link.springer.com/article/10.1007/s11199-018-0933-5" TargetMode="External"/><Relationship Id="rId148" Type="http://schemas.openxmlformats.org/officeDocument/2006/relationships/hyperlink" Target="https://link.springer.com/article/10.1007/s11199-018-0933-5" TargetMode="External"/><Relationship Id="rId164" Type="http://schemas.openxmlformats.org/officeDocument/2006/relationships/hyperlink" Target="https://link.springer.com/article/10.1007/s11199-018-0933-5" TargetMode="External"/><Relationship Id="rId169" Type="http://schemas.openxmlformats.org/officeDocument/2006/relationships/hyperlink" Target="https://link.springer.com/article/10.1007/s11199-018-0933-5" TargetMode="External"/><Relationship Id="rId185" Type="http://schemas.openxmlformats.org/officeDocument/2006/relationships/hyperlink" Target="https://doi.org/10.1037/0022-3514.84.1.11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link.springer.com/article/10.1007/s11199-018-0933-5" TargetMode="External"/><Relationship Id="rId210" Type="http://schemas.openxmlformats.org/officeDocument/2006/relationships/hyperlink" Target="https://doi.org/10.1037/pspi0000043" TargetMode="External"/><Relationship Id="rId215" Type="http://schemas.openxmlformats.org/officeDocument/2006/relationships/hyperlink" Target="https://doi.org/10.1023/A%3A1018814924402" TargetMode="External"/><Relationship Id="rId236" Type="http://schemas.openxmlformats.org/officeDocument/2006/relationships/hyperlink" Target="https://doi.org/10.1080/00223980209604825" TargetMode="External"/><Relationship Id="rId26" Type="http://schemas.openxmlformats.org/officeDocument/2006/relationships/hyperlink" Target="https://link.springer.com/article/10.1007/s11199-018-0933-5" TargetMode="External"/><Relationship Id="rId231" Type="http://schemas.openxmlformats.org/officeDocument/2006/relationships/hyperlink" Target="https://doi.org/10.1007/s11199-009-9712-7" TargetMode="External"/><Relationship Id="rId47" Type="http://schemas.openxmlformats.org/officeDocument/2006/relationships/hyperlink" Target="https://link.springer.com/article/10.1007/s11199-018-0933-5" TargetMode="External"/><Relationship Id="rId68" Type="http://schemas.openxmlformats.org/officeDocument/2006/relationships/hyperlink" Target="https://link.springer.com/article/10.1007/s11199-018-0933-5" TargetMode="External"/><Relationship Id="rId89" Type="http://schemas.openxmlformats.org/officeDocument/2006/relationships/hyperlink" Target="https://link.springer.com/article/10.1007/s11199-018-0933-5" TargetMode="External"/><Relationship Id="rId112" Type="http://schemas.openxmlformats.org/officeDocument/2006/relationships/hyperlink" Target="https://link.springer.com/article/10.1007/s11199-018-0933-5" TargetMode="External"/><Relationship Id="rId133" Type="http://schemas.openxmlformats.org/officeDocument/2006/relationships/hyperlink" Target="https://link.springer.com/article/10.1007/s11199-018-0933-5" TargetMode="External"/><Relationship Id="rId154" Type="http://schemas.openxmlformats.org/officeDocument/2006/relationships/hyperlink" Target="https://link.springer.com/article/10.1007/s11199-018-0933-5" TargetMode="External"/><Relationship Id="rId175" Type="http://schemas.openxmlformats.org/officeDocument/2006/relationships/hyperlink" Target="https://link.springer.com/article/10.1007/s11199-018-0933-5" TargetMode="External"/><Relationship Id="rId196" Type="http://schemas.openxmlformats.org/officeDocument/2006/relationships/hyperlink" Target="https://doi.org/10.1007/s11199-012-0146-2" TargetMode="External"/><Relationship Id="rId200" Type="http://schemas.openxmlformats.org/officeDocument/2006/relationships/hyperlink" Target="https://doi.org/10.1007/s11199-008-9582-4" TargetMode="External"/><Relationship Id="rId16" Type="http://schemas.openxmlformats.org/officeDocument/2006/relationships/hyperlink" Target="https://link.springer.com/article/10.1007/s11199-018-0933-5" TargetMode="External"/><Relationship Id="rId221" Type="http://schemas.openxmlformats.org/officeDocument/2006/relationships/hyperlink" Target="https://doi.org/10.1891/0886-6708.VV-D-13-00148" TargetMode="External"/><Relationship Id="rId242" Type="http://schemas.openxmlformats.org/officeDocument/2006/relationships/hyperlink" Target="https://scholar.google.com/scholar?q=Ullman%2C%20J.%20B.%20%281996%29.%20Structural%20equation%20modeling.%20In%20B.%20Tabachnick%20%26%20L%20Fidell%20%28Eds.%29%2C%20Using%20multivariate%20statistics%20%283rd%20ed.%2C%20pp.%20709%E2%80%93812%29.%20New%20York%3A%20Harper%20Collins." TargetMode="External"/><Relationship Id="rId37" Type="http://schemas.openxmlformats.org/officeDocument/2006/relationships/hyperlink" Target="https://link.springer.com/article/10.1007/s11199-018-0933-5" TargetMode="External"/><Relationship Id="rId58" Type="http://schemas.openxmlformats.org/officeDocument/2006/relationships/hyperlink" Target="https://link.springer.com/article/10.1007/s11199-018-0933-5" TargetMode="External"/><Relationship Id="rId79" Type="http://schemas.openxmlformats.org/officeDocument/2006/relationships/hyperlink" Target="https://link.springer.com/article/10.1007/s11199-018-0933-5" TargetMode="External"/><Relationship Id="rId102" Type="http://schemas.openxmlformats.org/officeDocument/2006/relationships/hyperlink" Target="https://link.springer.com/article/10.1007/s11199-018-0933-5" TargetMode="External"/><Relationship Id="rId123" Type="http://schemas.openxmlformats.org/officeDocument/2006/relationships/hyperlink" Target="https://link.springer.com/article/10.1007/s11199-018-0933-5" TargetMode="External"/><Relationship Id="rId144" Type="http://schemas.openxmlformats.org/officeDocument/2006/relationships/hyperlink" Target="https://link.springer.com/article/10.1007/s11199-018-0933-5" TargetMode="External"/><Relationship Id="rId90" Type="http://schemas.openxmlformats.org/officeDocument/2006/relationships/hyperlink" Target="https://link.springer.com/article/10.1007/s11199-018-0933-5" TargetMode="External"/><Relationship Id="rId165" Type="http://schemas.openxmlformats.org/officeDocument/2006/relationships/hyperlink" Target="https://link.springer.com/article/10.1007/s11199-018-0933-5" TargetMode="External"/><Relationship Id="rId186" Type="http://schemas.openxmlformats.org/officeDocument/2006/relationships/hyperlink" Target="https://doi.org/10.1002/ejsp.270" TargetMode="External"/><Relationship Id="rId211" Type="http://schemas.openxmlformats.org/officeDocument/2006/relationships/hyperlink" Target="https://doi.org/10.1037/pspi0000072" TargetMode="External"/><Relationship Id="rId232" Type="http://schemas.openxmlformats.org/officeDocument/2006/relationships/hyperlink" Target="https://doi.org/10.1111/1467-6494.00104" TargetMode="External"/><Relationship Id="rId27" Type="http://schemas.openxmlformats.org/officeDocument/2006/relationships/hyperlink" Target="https://link.springer.com/article/10.1007/s11199-018-0933-5" TargetMode="External"/><Relationship Id="rId48" Type="http://schemas.openxmlformats.org/officeDocument/2006/relationships/hyperlink" Target="https://link.springer.com/article/10.1007/s11199-018-0933-5" TargetMode="External"/><Relationship Id="rId69" Type="http://schemas.openxmlformats.org/officeDocument/2006/relationships/hyperlink" Target="https://link.springer.com/article/10.1007/s11199-018-0933-5" TargetMode="External"/><Relationship Id="rId113" Type="http://schemas.openxmlformats.org/officeDocument/2006/relationships/hyperlink" Target="https://link.springer.com/article/10.1007/s11199-018-0933-5" TargetMode="External"/><Relationship Id="rId134" Type="http://schemas.openxmlformats.org/officeDocument/2006/relationships/hyperlink" Target="https://link.springer.com/article/10.1007/s11199-018-0933-5" TargetMode="External"/><Relationship Id="rId80" Type="http://schemas.openxmlformats.org/officeDocument/2006/relationships/hyperlink" Target="https://link.springer.com/article/10.1007/s11199-018-0933-5" TargetMode="External"/><Relationship Id="rId155" Type="http://schemas.openxmlformats.org/officeDocument/2006/relationships/hyperlink" Target="https://link.springer.com/article/10.1007/s11199-018-0933-5" TargetMode="External"/><Relationship Id="rId176" Type="http://schemas.openxmlformats.org/officeDocument/2006/relationships/hyperlink" Target="https://link.springer.com/article/10.1007/s11199-018-0933-5" TargetMode="External"/><Relationship Id="rId197" Type="http://schemas.openxmlformats.org/officeDocument/2006/relationships/hyperlink" Target="https://doi.org/10.1177/0361684312456369" TargetMode="External"/><Relationship Id="rId201" Type="http://schemas.openxmlformats.org/officeDocument/2006/relationships/hyperlink" Target="https://doi.org/10.1007/s11199-015-0556-z" TargetMode="External"/><Relationship Id="rId222" Type="http://schemas.openxmlformats.org/officeDocument/2006/relationships/hyperlink" Target="https://doi.org/10.1111/j.1471-6402.1999.tb00378.x" TargetMode="External"/><Relationship Id="rId243" Type="http://schemas.openxmlformats.org/officeDocument/2006/relationships/hyperlink" Target="https://doi.org/10.1023/A%3A1021342912248" TargetMode="External"/><Relationship Id="rId17" Type="http://schemas.openxmlformats.org/officeDocument/2006/relationships/hyperlink" Target="https://link.springer.com/article/10.1007/s11199-018-0933-5" TargetMode="External"/><Relationship Id="rId38" Type="http://schemas.openxmlformats.org/officeDocument/2006/relationships/hyperlink" Target="https://link.springer.com/article/10.1007/s11199-018-0933-5" TargetMode="External"/><Relationship Id="rId59" Type="http://schemas.openxmlformats.org/officeDocument/2006/relationships/hyperlink" Target="https://link.springer.com/article/10.1007/s11199-018-0933-5" TargetMode="External"/><Relationship Id="rId103" Type="http://schemas.openxmlformats.org/officeDocument/2006/relationships/hyperlink" Target="https://link.springer.com/article/10.1007/s11199-018-0933-5" TargetMode="External"/><Relationship Id="rId124" Type="http://schemas.openxmlformats.org/officeDocument/2006/relationships/hyperlink" Target="https://link.springer.com/article/10.1007/s11199-018-0933-5" TargetMode="External"/><Relationship Id="rId70" Type="http://schemas.openxmlformats.org/officeDocument/2006/relationships/hyperlink" Target="https://link.springer.com/article/10.1007/s11199-018-0933-5" TargetMode="External"/><Relationship Id="rId91" Type="http://schemas.openxmlformats.org/officeDocument/2006/relationships/hyperlink" Target="https://link.springer.com/article/10.1007/s11199-018-0933-5" TargetMode="External"/><Relationship Id="rId145" Type="http://schemas.openxmlformats.org/officeDocument/2006/relationships/hyperlink" Target="https://link.springer.com/article/10.1007/s11199-018-0933-5" TargetMode="External"/><Relationship Id="rId166" Type="http://schemas.openxmlformats.org/officeDocument/2006/relationships/hyperlink" Target="https://link.springer.com/article/10.1007/s11199-018-0933-5" TargetMode="External"/><Relationship Id="rId187" Type="http://schemas.openxmlformats.org/officeDocument/2006/relationships/hyperlink" Target="https://doi.org/10.1007/s11199-009-9699-0" TargetMode="External"/><Relationship Id="rId1" Type="http://schemas.openxmlformats.org/officeDocument/2006/relationships/customXml" Target="../customXml/item1.xml"/><Relationship Id="rId212" Type="http://schemas.openxmlformats.org/officeDocument/2006/relationships/hyperlink" Target="https://doi.org/10.1080/10705519909540118" TargetMode="External"/><Relationship Id="rId233" Type="http://schemas.openxmlformats.org/officeDocument/2006/relationships/hyperlink" Target="https://doi.org/10.1037/t00700-000" TargetMode="External"/><Relationship Id="rId28" Type="http://schemas.openxmlformats.org/officeDocument/2006/relationships/hyperlink" Target="https://link.springer.com/article/10.1007/s11199-018-0933-5" TargetMode="External"/><Relationship Id="rId49" Type="http://schemas.openxmlformats.org/officeDocument/2006/relationships/hyperlink" Target="https://link.springer.com/article/10.1007/s11199-018-0933-5" TargetMode="External"/><Relationship Id="rId114" Type="http://schemas.openxmlformats.org/officeDocument/2006/relationships/hyperlink" Target="https://link.springer.com/article/10.1007/s11199-018-0933-5" TargetMode="External"/><Relationship Id="rId60" Type="http://schemas.openxmlformats.org/officeDocument/2006/relationships/hyperlink" Target="https://link.springer.com/article/10.1007/s11199-018-0933-5" TargetMode="External"/><Relationship Id="rId81" Type="http://schemas.openxmlformats.org/officeDocument/2006/relationships/hyperlink" Target="https://link.springer.com/article/10.1007/s11199-018-0933-5" TargetMode="External"/><Relationship Id="rId135" Type="http://schemas.openxmlformats.org/officeDocument/2006/relationships/hyperlink" Target="https://link.springer.com/article/10.1007/s11199-018-0933-5" TargetMode="External"/><Relationship Id="rId156" Type="http://schemas.openxmlformats.org/officeDocument/2006/relationships/hyperlink" Target="https://link.springer.com/article/10.1007/s11199-018-0933-5" TargetMode="External"/><Relationship Id="rId177" Type="http://schemas.openxmlformats.org/officeDocument/2006/relationships/hyperlink" Target="https://link.springer.com/article/10.1007/s11199-018-0933-5" TargetMode="External"/><Relationship Id="rId198" Type="http://schemas.openxmlformats.org/officeDocument/2006/relationships/hyperlink" Target="https://doi.org/10.1023/A%3A1024704320683" TargetMode="External"/><Relationship Id="rId202" Type="http://schemas.openxmlformats.org/officeDocument/2006/relationships/hyperlink" Target="https://doi.org/10.1177/0146167207310022" TargetMode="External"/><Relationship Id="rId223" Type="http://schemas.openxmlformats.org/officeDocument/2006/relationships/hyperlink" Target="https://doi.org/10.1007/s11199-004-5470-8" TargetMode="External"/><Relationship Id="rId244" Type="http://schemas.openxmlformats.org/officeDocument/2006/relationships/hyperlink" Target="https://doi.org/10.1023/A%3A1025888824749" TargetMode="External"/><Relationship Id="rId18" Type="http://schemas.openxmlformats.org/officeDocument/2006/relationships/hyperlink" Target="https://link.springer.com/article/10.1007/s11199-018-0933-5" TargetMode="External"/><Relationship Id="rId39" Type="http://schemas.openxmlformats.org/officeDocument/2006/relationships/hyperlink" Target="https://link.springer.com/article/10.1007/s11199-018-0933-5" TargetMode="External"/><Relationship Id="rId50" Type="http://schemas.openxmlformats.org/officeDocument/2006/relationships/hyperlink" Target="https://link.springer.com/article/10.1007/s11199-018-0933-5" TargetMode="External"/><Relationship Id="rId104" Type="http://schemas.openxmlformats.org/officeDocument/2006/relationships/hyperlink" Target="https://link.springer.com/article/10.1007/s11199-018-0933-5" TargetMode="External"/><Relationship Id="rId125" Type="http://schemas.openxmlformats.org/officeDocument/2006/relationships/hyperlink" Target="https://link.springer.com/article/10.1007/s11199-018-0933-5" TargetMode="External"/><Relationship Id="rId146" Type="http://schemas.openxmlformats.org/officeDocument/2006/relationships/hyperlink" Target="https://link.springer.com/article/10.1007/s11199-018-0933-5" TargetMode="External"/><Relationship Id="rId167" Type="http://schemas.openxmlformats.org/officeDocument/2006/relationships/hyperlink" Target="https://link.springer.com/article/10.1007/s11199-018-0933-5" TargetMode="External"/><Relationship Id="rId188" Type="http://schemas.openxmlformats.org/officeDocument/2006/relationships/hyperlink" Target="https://doi.org/10.1177/0361684310397509" TargetMode="External"/><Relationship Id="rId71" Type="http://schemas.openxmlformats.org/officeDocument/2006/relationships/hyperlink" Target="https://link.springer.com/article/10.1007/s11199-018-0933-5" TargetMode="External"/><Relationship Id="rId92" Type="http://schemas.openxmlformats.org/officeDocument/2006/relationships/hyperlink" Target="https://link.springer.com/article/10.1007/s11199-018-0933-5" TargetMode="External"/><Relationship Id="rId213" Type="http://schemas.openxmlformats.org/officeDocument/2006/relationships/hyperlink" Target="https://doi.org/10.1108/GM-07-2013-0086" TargetMode="External"/><Relationship Id="rId234" Type="http://schemas.openxmlformats.org/officeDocument/2006/relationships/hyperlink" Target="https://doi.org/10.1207/s15327752jpa5104_14" TargetMode="External"/><Relationship Id="rId2" Type="http://schemas.openxmlformats.org/officeDocument/2006/relationships/customXml" Target="../customXml/item2.xml"/><Relationship Id="rId29" Type="http://schemas.openxmlformats.org/officeDocument/2006/relationships/hyperlink" Target="https://link.springer.com/article/10.1007/s11199-018-0933-5" TargetMode="External"/><Relationship Id="rId40" Type="http://schemas.openxmlformats.org/officeDocument/2006/relationships/hyperlink" Target="https://link.springer.com/article/10.1007/s11199-018-0933-5" TargetMode="External"/><Relationship Id="rId115" Type="http://schemas.openxmlformats.org/officeDocument/2006/relationships/hyperlink" Target="https://link.springer.com/article/10.1007/s11199-018-0933-5" TargetMode="External"/><Relationship Id="rId136" Type="http://schemas.openxmlformats.org/officeDocument/2006/relationships/hyperlink" Target="https://link.springer.com/article/10.1007/s11199-018-0933-5" TargetMode="External"/><Relationship Id="rId157" Type="http://schemas.openxmlformats.org/officeDocument/2006/relationships/hyperlink" Target="https://link.springer.com/article/10.1007/s11199-018-0933-5" TargetMode="External"/><Relationship Id="rId178" Type="http://schemas.openxmlformats.org/officeDocument/2006/relationships/hyperlink" Target="https://link.springer.com/article/10.1007/s11199-018-0933-5" TargetMode="External"/><Relationship Id="rId61" Type="http://schemas.openxmlformats.org/officeDocument/2006/relationships/hyperlink" Target="https://link.springer.com/article/10.1007/s11199-018-0933-5" TargetMode="External"/><Relationship Id="rId82" Type="http://schemas.openxmlformats.org/officeDocument/2006/relationships/hyperlink" Target="https://link.springer.com/article/10.1007/s11199-018-0933-5" TargetMode="External"/><Relationship Id="rId199" Type="http://schemas.openxmlformats.org/officeDocument/2006/relationships/hyperlink" Target="https://doi.org/10.1007/sll205-009-9493-y" TargetMode="External"/><Relationship Id="rId203" Type="http://schemas.openxmlformats.org/officeDocument/2006/relationships/hyperlink" Target="https://doi.org/10.1007/s11199-011-0115-1" TargetMode="External"/><Relationship Id="rId19" Type="http://schemas.openxmlformats.org/officeDocument/2006/relationships/hyperlink" Target="https://link.springer.com/article/10.1007/s11199-018-0933-5" TargetMode="External"/><Relationship Id="rId224" Type="http://schemas.openxmlformats.org/officeDocument/2006/relationships/hyperlink" Target="https://doi.org/10.1007/s11199-004-5470-8" TargetMode="External"/><Relationship Id="rId245" Type="http://schemas.openxmlformats.org/officeDocument/2006/relationships/hyperlink" Target="https://doi.org/10.1023/B%3ALAHU.0000029140.72880.69" TargetMode="External"/><Relationship Id="rId30" Type="http://schemas.openxmlformats.org/officeDocument/2006/relationships/hyperlink" Target="https://link.springer.com/article/10.1007/s11199-018-0933-5" TargetMode="External"/><Relationship Id="rId105" Type="http://schemas.openxmlformats.org/officeDocument/2006/relationships/hyperlink" Target="https://link.springer.com/article/10.1007/s11199-018-0933-5" TargetMode="External"/><Relationship Id="rId126" Type="http://schemas.openxmlformats.org/officeDocument/2006/relationships/hyperlink" Target="https://link.springer.com/article/10.1007/s11199-018-0933-5" TargetMode="External"/><Relationship Id="rId147" Type="http://schemas.openxmlformats.org/officeDocument/2006/relationships/hyperlink" Target="https://link.springer.com/article/10.1007/s11199-018-0933-5" TargetMode="External"/><Relationship Id="rId168" Type="http://schemas.openxmlformats.org/officeDocument/2006/relationships/hyperlink" Target="https://link.springer.com/article/10.1007/s11199-018-0933-5" TargetMode="External"/><Relationship Id="rId51" Type="http://schemas.openxmlformats.org/officeDocument/2006/relationships/hyperlink" Target="https://link.springer.com/article/10.1007/s11199-018-0933-5" TargetMode="External"/><Relationship Id="rId72" Type="http://schemas.openxmlformats.org/officeDocument/2006/relationships/hyperlink" Target="https://link.springer.com/article/10.1007/s11199-018-0933-5" TargetMode="External"/><Relationship Id="rId93" Type="http://schemas.openxmlformats.org/officeDocument/2006/relationships/hyperlink" Target="https://link.springer.com/article/10.1007/s11199-018-0933-5" TargetMode="External"/><Relationship Id="rId189" Type="http://schemas.openxmlformats.org/officeDocument/2006/relationships/hyperlink" Target="https://doi.org/10.1037/a0022615" TargetMode="External"/><Relationship Id="rId3" Type="http://schemas.openxmlformats.org/officeDocument/2006/relationships/customXml" Target="../customXml/item3.xml"/><Relationship Id="rId214" Type="http://schemas.openxmlformats.org/officeDocument/2006/relationships/hyperlink" Target="https://doi.org/10.1037/0022-3514.88.3.498" TargetMode="External"/><Relationship Id="rId235" Type="http://schemas.openxmlformats.org/officeDocument/2006/relationships/hyperlink" Target="https://doi.org/10.1023/B%3ASERS.0000023075.32252.fd" TargetMode="External"/><Relationship Id="rId116" Type="http://schemas.openxmlformats.org/officeDocument/2006/relationships/hyperlink" Target="https://link.springer.com/article/10.1007/s11199-018-0933-5" TargetMode="External"/><Relationship Id="rId137" Type="http://schemas.openxmlformats.org/officeDocument/2006/relationships/hyperlink" Target="https://link.springer.com/article/10.1007/s11199-018-0933-5" TargetMode="External"/><Relationship Id="rId158" Type="http://schemas.openxmlformats.org/officeDocument/2006/relationships/hyperlink" Target="https://link.springer.com/article/10.1007/s11199-018-0933-5" TargetMode="External"/><Relationship Id="rId20" Type="http://schemas.openxmlformats.org/officeDocument/2006/relationships/hyperlink" Target="https://link.springer.com/article/10.1007/s11199-018-0933-5" TargetMode="External"/><Relationship Id="rId41" Type="http://schemas.openxmlformats.org/officeDocument/2006/relationships/hyperlink" Target="https://link.springer.com/article/10.1007/s11199-018-0933-5" TargetMode="External"/><Relationship Id="rId62" Type="http://schemas.openxmlformats.org/officeDocument/2006/relationships/hyperlink" Target="https://link.springer.com/article/10.1007/s11199-018-0933-5" TargetMode="External"/><Relationship Id="rId83" Type="http://schemas.openxmlformats.org/officeDocument/2006/relationships/hyperlink" Target="https://link.springer.com/article/10.1007/s11199-018-0933-5" TargetMode="External"/><Relationship Id="rId179" Type="http://schemas.openxmlformats.org/officeDocument/2006/relationships/hyperlink" Target="https://link.springer.com/article/10.1007/s11199-018-0933-5" TargetMode="External"/><Relationship Id="rId190" Type="http://schemas.openxmlformats.org/officeDocument/2006/relationships/hyperlink" Target="https://doi.org/10.1002/ejsp.823" TargetMode="External"/><Relationship Id="rId204" Type="http://schemas.openxmlformats.org/officeDocument/2006/relationships/hyperlink" Target="https://doi.org/10.1037/0022-3514.70.3.491" TargetMode="External"/><Relationship Id="rId225" Type="http://schemas.openxmlformats.org/officeDocument/2006/relationships/hyperlink" Target="http://scholar.google.com/scholar_lookup?title=Reinforcing%20the%20glass%20ceiling%3A%20The%20consequences%20of%20hostile%20sexism%20for%20female%20managerial%20candidates&amp;author=BM.%20Masser&amp;author=D.%20Abrams&amp;journal=Sex%20Roles&amp;volume=51&amp;pages=609-615&amp;publication_year=2004&amp;doi=10.1007%2Fs11199-004-5470-8" TargetMode="External"/><Relationship Id="rId246" Type="http://schemas.openxmlformats.org/officeDocument/2006/relationships/hyperlink" Target="https://doi.org/10.1177/0361684316670628" TargetMode="External"/><Relationship Id="rId106" Type="http://schemas.openxmlformats.org/officeDocument/2006/relationships/hyperlink" Target="https://link.springer.com/article/10.1007/s11199-018-0933-5" TargetMode="External"/><Relationship Id="rId127" Type="http://schemas.openxmlformats.org/officeDocument/2006/relationships/hyperlink" Target="https://link.springer.com/article/10.1007/s11199-018-093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DED861-BE61-42A9-BCE0-F1B74F5D3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16CC49-A427-4CF0-BE3D-F5018D99EAB7}">
  <ds:schemaRefs>
    <ds:schemaRef ds:uri="http://schemas.microsoft.com/sharepoint/v3/contenttype/forms"/>
  </ds:schemaRefs>
</ds:datastoreItem>
</file>

<file path=customXml/itemProps3.xml><?xml version="1.0" encoding="utf-8"?>
<ds:datastoreItem xmlns:ds="http://schemas.openxmlformats.org/officeDocument/2006/customXml" ds:itemID="{792D990E-B725-4F54-B055-B294A6EA61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27</Pages>
  <Words>18364</Words>
  <Characters>109820</Characters>
  <Application>Microsoft Office Word</Application>
  <DocSecurity>8</DocSecurity>
  <Lines>1800</Lines>
  <Paragraphs>724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41</cp:revision>
  <dcterms:created xsi:type="dcterms:W3CDTF">2019-07-30T16:50:00Z</dcterms:created>
  <dcterms:modified xsi:type="dcterms:W3CDTF">2019-12-06T18:55:00Z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