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B32E49F" w:rsidR="000A7622" w:rsidRPr="00C04F25" w:rsidRDefault="00736502"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24622BAF" w:rsidR="00440BC4" w:rsidRDefault="00212162" w:rsidP="00D14423">
      <w:pPr>
        <w:rPr>
          <w:rFonts w:cstheme="minorHAnsi"/>
          <w:b/>
          <w:bCs/>
          <w:sz w:val="24"/>
          <w:szCs w:val="24"/>
        </w:rPr>
      </w:pPr>
      <w:r>
        <w:rPr>
          <w:rFonts w:cstheme="minorHAnsi"/>
          <w:i/>
          <w:sz w:val="24"/>
          <w:szCs w:val="24"/>
          <w:lang w:val="fr-FR"/>
        </w:rPr>
        <w:t xml:space="preserve">Dental </w:t>
      </w:r>
      <w:proofErr w:type="spellStart"/>
      <w:r>
        <w:rPr>
          <w:rFonts w:cstheme="minorHAnsi"/>
          <w:i/>
          <w:sz w:val="24"/>
          <w:szCs w:val="24"/>
          <w:lang w:val="fr-FR"/>
        </w:rPr>
        <w:t>Traumatology</w:t>
      </w:r>
      <w:proofErr w:type="spellEnd"/>
      <w:r w:rsidR="000A7622" w:rsidRPr="00C04F25">
        <w:rPr>
          <w:rFonts w:cstheme="minorHAnsi"/>
          <w:sz w:val="24"/>
          <w:szCs w:val="24"/>
          <w:lang w:val="fr-FR"/>
        </w:rPr>
        <w:t xml:space="preserve">, Vol. </w:t>
      </w:r>
      <w:r>
        <w:rPr>
          <w:rFonts w:cstheme="minorHAnsi"/>
          <w:sz w:val="24"/>
          <w:szCs w:val="24"/>
          <w:lang w:val="fr-FR"/>
        </w:rPr>
        <w:t>23</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Pr>
          <w:rFonts w:cstheme="minorHAnsi"/>
          <w:sz w:val="24"/>
          <w:szCs w:val="24"/>
          <w:lang w:val="fr-FR"/>
        </w:rPr>
        <w:t>June 2007</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173-176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F677F4">
        <w:rPr>
          <w:rFonts w:cstheme="minorHAnsi"/>
          <w:sz w:val="24"/>
          <w:szCs w:val="24"/>
        </w:rPr>
        <w:t>Wiley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F677F4">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F677F4">
        <w:rPr>
          <w:rFonts w:cstheme="minorHAnsi"/>
          <w:sz w:val="24"/>
          <w:szCs w:val="24"/>
        </w:rPr>
        <w:t>Wiley</w:t>
      </w:r>
      <w:r w:rsidR="000A7622" w:rsidRPr="00E77278">
        <w:rPr>
          <w:rFonts w:cstheme="minorHAnsi"/>
          <w:sz w:val="24"/>
          <w:szCs w:val="24"/>
        </w:rPr>
        <w:t>.</w:t>
      </w:r>
      <w:r w:rsidR="000A7622" w:rsidRPr="00FB28B7">
        <w:rPr>
          <w:rFonts w:cstheme="minorHAnsi"/>
          <w:b/>
          <w:bCs/>
          <w:sz w:val="24"/>
          <w:szCs w:val="24"/>
        </w:rPr>
        <w:t xml:space="preserve"> </w:t>
      </w:r>
      <w:bookmarkEnd w:id="1"/>
    </w:p>
    <w:p w14:paraId="2EEEB50B" w14:textId="773A38E4" w:rsidR="00171D8A" w:rsidRDefault="00171D8A" w:rsidP="00736502">
      <w:pPr>
        <w:pStyle w:val="Title"/>
      </w:pPr>
      <w:r w:rsidRPr="00171D8A">
        <w:t xml:space="preserve">Root </w:t>
      </w:r>
      <w:r w:rsidR="00736502" w:rsidRPr="00171D8A">
        <w:t>Fracture in Immature Tooth: Report of A Case</w:t>
      </w:r>
    </w:p>
    <w:p w14:paraId="58E33B35" w14:textId="77777777" w:rsidR="00736502" w:rsidRPr="00736502" w:rsidRDefault="00736502" w:rsidP="00736502"/>
    <w:p w14:paraId="0269359D" w14:textId="77777777" w:rsidR="00736502" w:rsidRPr="00E452D1" w:rsidRDefault="00171D8A" w:rsidP="00F00AF2">
      <w:pPr>
        <w:pStyle w:val="NoSpacing"/>
        <w:rPr>
          <w:sz w:val="32"/>
          <w:szCs w:val="32"/>
        </w:rPr>
      </w:pPr>
      <w:r w:rsidRPr="00E452D1">
        <w:rPr>
          <w:sz w:val="32"/>
          <w:szCs w:val="32"/>
        </w:rPr>
        <w:t>H. Cem Güngör</w:t>
      </w:r>
    </w:p>
    <w:p w14:paraId="721753FB" w14:textId="7A0BA48A" w:rsidR="00736502" w:rsidRPr="00E452D1" w:rsidRDefault="00647AC3" w:rsidP="00F00AF2">
      <w:pPr>
        <w:pStyle w:val="NoSpacing"/>
        <w:rPr>
          <w:sz w:val="24"/>
          <w:szCs w:val="24"/>
        </w:rPr>
      </w:pPr>
      <w:r w:rsidRPr="00E452D1">
        <w:rPr>
          <w:sz w:val="24"/>
          <w:szCs w:val="24"/>
        </w:rPr>
        <w:t xml:space="preserve">Department of Pedodontics, </w:t>
      </w:r>
      <w:proofErr w:type="spellStart"/>
      <w:r w:rsidRPr="00E452D1">
        <w:rPr>
          <w:sz w:val="24"/>
          <w:szCs w:val="24"/>
        </w:rPr>
        <w:t>Hacettepe</w:t>
      </w:r>
      <w:proofErr w:type="spellEnd"/>
      <w:r w:rsidRPr="00E452D1">
        <w:rPr>
          <w:sz w:val="24"/>
          <w:szCs w:val="24"/>
        </w:rPr>
        <w:t xml:space="preserve"> University, Faculty of Dentistry, Ankara, Turkey</w:t>
      </w:r>
    </w:p>
    <w:p w14:paraId="054F4B3E" w14:textId="77777777" w:rsidR="00736502" w:rsidRPr="00E452D1" w:rsidRDefault="00171D8A" w:rsidP="00F00AF2">
      <w:pPr>
        <w:pStyle w:val="NoSpacing"/>
        <w:rPr>
          <w:sz w:val="32"/>
          <w:szCs w:val="32"/>
        </w:rPr>
      </w:pPr>
      <w:proofErr w:type="spellStart"/>
      <w:r w:rsidRPr="00E452D1">
        <w:rPr>
          <w:sz w:val="32"/>
          <w:szCs w:val="32"/>
        </w:rPr>
        <w:t>Bülent</w:t>
      </w:r>
      <w:proofErr w:type="spellEnd"/>
      <w:r w:rsidRPr="00E452D1">
        <w:rPr>
          <w:sz w:val="32"/>
          <w:szCs w:val="32"/>
        </w:rPr>
        <w:t xml:space="preserve"> </w:t>
      </w:r>
      <w:proofErr w:type="spellStart"/>
      <w:r w:rsidRPr="00E452D1">
        <w:rPr>
          <w:sz w:val="32"/>
          <w:szCs w:val="32"/>
        </w:rPr>
        <w:t>Büyükgüral</w:t>
      </w:r>
      <w:proofErr w:type="spellEnd"/>
    </w:p>
    <w:p w14:paraId="623C2534" w14:textId="3A4BFFD2" w:rsidR="00736502" w:rsidRPr="00E452D1" w:rsidRDefault="00E452D1" w:rsidP="00F00AF2">
      <w:pPr>
        <w:pStyle w:val="NoSpacing"/>
        <w:rPr>
          <w:sz w:val="24"/>
          <w:szCs w:val="24"/>
        </w:rPr>
      </w:pPr>
      <w:r w:rsidRPr="00E452D1">
        <w:rPr>
          <w:sz w:val="24"/>
          <w:szCs w:val="24"/>
        </w:rPr>
        <w:t xml:space="preserve">Department of Pedodontics, </w:t>
      </w:r>
      <w:proofErr w:type="spellStart"/>
      <w:r w:rsidRPr="00E452D1">
        <w:rPr>
          <w:sz w:val="24"/>
          <w:szCs w:val="24"/>
        </w:rPr>
        <w:t>Hacettepe</w:t>
      </w:r>
      <w:proofErr w:type="spellEnd"/>
      <w:r w:rsidRPr="00E452D1">
        <w:rPr>
          <w:sz w:val="24"/>
          <w:szCs w:val="24"/>
        </w:rPr>
        <w:t xml:space="preserve"> University, Faculty of Dentistry, Ankara, Turkey</w:t>
      </w:r>
    </w:p>
    <w:p w14:paraId="47B3341A" w14:textId="4E064970" w:rsidR="00171D8A" w:rsidRPr="00E452D1" w:rsidRDefault="00171D8A" w:rsidP="00F00AF2">
      <w:pPr>
        <w:pStyle w:val="NoSpacing"/>
        <w:rPr>
          <w:sz w:val="32"/>
          <w:szCs w:val="32"/>
        </w:rPr>
      </w:pPr>
      <w:r w:rsidRPr="00E452D1">
        <w:rPr>
          <w:sz w:val="32"/>
          <w:szCs w:val="32"/>
        </w:rPr>
        <w:t xml:space="preserve">Serdar </w:t>
      </w:r>
      <w:proofErr w:type="spellStart"/>
      <w:r w:rsidRPr="00E452D1">
        <w:rPr>
          <w:sz w:val="32"/>
          <w:szCs w:val="32"/>
        </w:rPr>
        <w:t>Uysal</w:t>
      </w:r>
      <w:proofErr w:type="spellEnd"/>
    </w:p>
    <w:p w14:paraId="26706E43" w14:textId="148803A4" w:rsidR="00736502" w:rsidRPr="00E452D1" w:rsidRDefault="00F00AF2" w:rsidP="00F00AF2">
      <w:pPr>
        <w:pStyle w:val="NoSpacing"/>
        <w:rPr>
          <w:sz w:val="24"/>
          <w:szCs w:val="24"/>
        </w:rPr>
      </w:pPr>
      <w:r w:rsidRPr="00E452D1">
        <w:rPr>
          <w:sz w:val="24"/>
          <w:szCs w:val="24"/>
        </w:rPr>
        <w:t xml:space="preserve">Department of Oral Diagnosis and Radiology, </w:t>
      </w:r>
      <w:proofErr w:type="spellStart"/>
      <w:r w:rsidRPr="00E452D1">
        <w:rPr>
          <w:sz w:val="24"/>
          <w:szCs w:val="24"/>
        </w:rPr>
        <w:t>Hacettepe</w:t>
      </w:r>
      <w:proofErr w:type="spellEnd"/>
      <w:r w:rsidRPr="00E452D1">
        <w:rPr>
          <w:sz w:val="24"/>
          <w:szCs w:val="24"/>
        </w:rPr>
        <w:t xml:space="preserve"> University Faculty of Dentistry, Ankara, Turkey</w:t>
      </w:r>
    </w:p>
    <w:p w14:paraId="163DD07A" w14:textId="77777777" w:rsidR="00736502" w:rsidRDefault="00736502" w:rsidP="00171D8A">
      <w:pPr>
        <w:rPr>
          <w:rFonts w:cstheme="minorHAnsi"/>
          <w:b/>
          <w:bCs/>
          <w:sz w:val="24"/>
          <w:szCs w:val="24"/>
        </w:rPr>
      </w:pPr>
    </w:p>
    <w:p w14:paraId="0C7AF96E" w14:textId="77777777" w:rsidR="00E452D1" w:rsidRDefault="00E452D1" w:rsidP="00E452D1">
      <w:pPr>
        <w:pStyle w:val="Heading1"/>
      </w:pPr>
      <w:r w:rsidRPr="00E452D1">
        <w:t>Abstract</w:t>
      </w:r>
    </w:p>
    <w:p w14:paraId="59704FA4" w14:textId="4D9FF4B1" w:rsidR="00736502" w:rsidRDefault="00E452D1" w:rsidP="00171D8A">
      <w:pPr>
        <w:rPr>
          <w:rFonts w:cstheme="minorHAnsi"/>
          <w:sz w:val="24"/>
          <w:szCs w:val="24"/>
        </w:rPr>
      </w:pPr>
      <w:r w:rsidRPr="00E452D1">
        <w:rPr>
          <w:rFonts w:cstheme="minorHAnsi"/>
          <w:sz w:val="24"/>
          <w:szCs w:val="24"/>
        </w:rPr>
        <w:t>Root fracture injuries affect 0.5–7% of permanent teeth. Although this type of injury is rarely seen in teeth with immature root formation, the prognosis is generally good depending on the site of the fracture. A case report of horizontal root fracture in maxillary central incisor of an 8-year and 3-month-old girl and its treatment was presented.</w:t>
      </w:r>
    </w:p>
    <w:p w14:paraId="27B806FD" w14:textId="77777777" w:rsidR="00E452D1" w:rsidRPr="00E452D1" w:rsidRDefault="00E452D1" w:rsidP="00171D8A">
      <w:pPr>
        <w:rPr>
          <w:rFonts w:cstheme="minorHAnsi"/>
          <w:sz w:val="24"/>
          <w:szCs w:val="24"/>
        </w:rPr>
      </w:pPr>
    </w:p>
    <w:p w14:paraId="32595354" w14:textId="6A928CD9" w:rsidR="00AB1877" w:rsidRPr="00AB1877" w:rsidRDefault="00AB1877" w:rsidP="00AB1877">
      <w:pPr>
        <w:rPr>
          <w:rFonts w:cstheme="minorHAnsi"/>
          <w:sz w:val="24"/>
          <w:szCs w:val="24"/>
        </w:rPr>
      </w:pPr>
      <w:r w:rsidRPr="00AB1877">
        <w:rPr>
          <w:rFonts w:cstheme="minorHAnsi"/>
          <w:sz w:val="24"/>
          <w:szCs w:val="24"/>
        </w:rPr>
        <w:t xml:space="preserve">Andreasen and Andreasen have defined root fractures as injuries involving dentin, </w:t>
      </w:r>
      <w:proofErr w:type="gramStart"/>
      <w:r w:rsidRPr="00AB1877">
        <w:rPr>
          <w:rFonts w:cstheme="minorHAnsi"/>
          <w:sz w:val="24"/>
          <w:szCs w:val="24"/>
        </w:rPr>
        <w:t>cementum</w:t>
      </w:r>
      <w:proofErr w:type="gramEnd"/>
      <w:r w:rsidRPr="00AB1877">
        <w:rPr>
          <w:rFonts w:cstheme="minorHAnsi"/>
          <w:sz w:val="24"/>
          <w:szCs w:val="24"/>
        </w:rPr>
        <w:t xml:space="preserve"> and pulp (</w:t>
      </w:r>
      <w:r w:rsidRPr="002F4C8F">
        <w:rPr>
          <w:rFonts w:cstheme="minorHAnsi"/>
          <w:b/>
          <w:bCs/>
          <w:sz w:val="24"/>
          <w:szCs w:val="24"/>
        </w:rPr>
        <w:t>1</w:t>
      </w:r>
      <w:r w:rsidRPr="00AB1877">
        <w:rPr>
          <w:rFonts w:cstheme="minorHAnsi"/>
          <w:sz w:val="24"/>
          <w:szCs w:val="24"/>
        </w:rPr>
        <w:t>). This type of injury has been reported to affect 0.5–7% of teeth in the permanent dentition (</w:t>
      </w:r>
      <w:r w:rsidRPr="002F4C8F">
        <w:rPr>
          <w:rFonts w:cstheme="minorHAnsi"/>
          <w:b/>
          <w:bCs/>
          <w:sz w:val="24"/>
          <w:szCs w:val="24"/>
        </w:rPr>
        <w:t>2</w:t>
      </w:r>
      <w:r w:rsidRPr="00AB1877">
        <w:rPr>
          <w:rFonts w:cstheme="minorHAnsi"/>
          <w:sz w:val="24"/>
          <w:szCs w:val="24"/>
        </w:rPr>
        <w:t>-</w:t>
      </w:r>
      <w:r w:rsidRPr="002F4C8F">
        <w:rPr>
          <w:rFonts w:cstheme="minorHAnsi"/>
          <w:b/>
          <w:bCs/>
          <w:sz w:val="24"/>
          <w:szCs w:val="24"/>
        </w:rPr>
        <w:t>4</w:t>
      </w:r>
      <w:r w:rsidRPr="00AB1877">
        <w:rPr>
          <w:rFonts w:cstheme="minorHAnsi"/>
          <w:sz w:val="24"/>
          <w:szCs w:val="24"/>
        </w:rPr>
        <w:t>). Injuries caused by fighting and foreign bodies striking the teeth are the most common etiological factors for root fractures. As with other type of traumatic injuries, the maxillary central incisor region is predominantly affected. Root fractures are uncommon in teeth with incomplete root development and those in various stages of eruption (</w:t>
      </w:r>
      <w:r w:rsidRPr="002F4C8F">
        <w:rPr>
          <w:rFonts w:cstheme="minorHAnsi"/>
          <w:b/>
          <w:bCs/>
          <w:sz w:val="24"/>
          <w:szCs w:val="24"/>
        </w:rPr>
        <w:t>5</w:t>
      </w:r>
      <w:r w:rsidRPr="00AB1877">
        <w:rPr>
          <w:rFonts w:cstheme="minorHAnsi"/>
          <w:sz w:val="24"/>
          <w:szCs w:val="24"/>
        </w:rPr>
        <w:t>, </w:t>
      </w:r>
      <w:r w:rsidRPr="002F4C8F">
        <w:rPr>
          <w:rFonts w:cstheme="minorHAnsi"/>
          <w:b/>
          <w:bCs/>
          <w:sz w:val="24"/>
          <w:szCs w:val="24"/>
        </w:rPr>
        <w:t>6</w:t>
      </w:r>
      <w:r w:rsidRPr="00AB1877">
        <w:rPr>
          <w:rFonts w:cstheme="minorHAnsi"/>
          <w:sz w:val="24"/>
          <w:szCs w:val="24"/>
        </w:rPr>
        <w:t xml:space="preserve">). They may be transverse (horizontal), oblique or vertical, however, </w:t>
      </w:r>
      <w:proofErr w:type="gramStart"/>
      <w:r w:rsidRPr="00AB1877">
        <w:rPr>
          <w:rFonts w:cstheme="minorHAnsi"/>
          <w:sz w:val="24"/>
          <w:szCs w:val="24"/>
        </w:rPr>
        <w:t>horizontal</w:t>
      </w:r>
      <w:proofErr w:type="gramEnd"/>
      <w:r w:rsidRPr="00AB1877">
        <w:rPr>
          <w:rFonts w:cstheme="minorHAnsi"/>
          <w:sz w:val="24"/>
          <w:szCs w:val="24"/>
        </w:rPr>
        <w:t xml:space="preserve"> and oblique fractures are the most commonly seen types (</w:t>
      </w:r>
      <w:r w:rsidRPr="002F4C8F">
        <w:rPr>
          <w:rFonts w:cstheme="minorHAnsi"/>
          <w:b/>
          <w:bCs/>
          <w:sz w:val="24"/>
          <w:szCs w:val="24"/>
        </w:rPr>
        <w:t>7</w:t>
      </w:r>
      <w:r w:rsidRPr="00AB1877">
        <w:rPr>
          <w:rFonts w:cstheme="minorHAnsi"/>
          <w:sz w:val="24"/>
          <w:szCs w:val="24"/>
        </w:rPr>
        <w:t>).</w:t>
      </w:r>
    </w:p>
    <w:p w14:paraId="27DE9482" w14:textId="361A0D12" w:rsidR="00AB1877" w:rsidRPr="00AB1877" w:rsidRDefault="00AB1877" w:rsidP="00AB1877">
      <w:pPr>
        <w:rPr>
          <w:rFonts w:cstheme="minorHAnsi"/>
          <w:sz w:val="24"/>
          <w:szCs w:val="24"/>
        </w:rPr>
      </w:pPr>
      <w:r w:rsidRPr="00AB1877">
        <w:rPr>
          <w:rFonts w:cstheme="minorHAnsi"/>
          <w:sz w:val="24"/>
          <w:szCs w:val="24"/>
        </w:rPr>
        <w:t>Horizontal root fractures, comprising less than 3% of all dental injuries (</w:t>
      </w:r>
      <w:r w:rsidRPr="002F4C8F">
        <w:rPr>
          <w:rFonts w:cstheme="minorHAnsi"/>
          <w:b/>
          <w:bCs/>
          <w:sz w:val="24"/>
          <w:szCs w:val="24"/>
        </w:rPr>
        <w:t>8</w:t>
      </w:r>
      <w:r w:rsidRPr="00AB1877">
        <w:rPr>
          <w:rFonts w:cstheme="minorHAnsi"/>
          <w:sz w:val="24"/>
          <w:szCs w:val="24"/>
        </w:rPr>
        <w:t>), are more likely to take place in fully erupted permanent maxillary central incisors with completely formed root (</w:t>
      </w:r>
      <w:r w:rsidRPr="002F4C8F">
        <w:rPr>
          <w:rFonts w:cstheme="minorHAnsi"/>
          <w:b/>
          <w:bCs/>
          <w:sz w:val="24"/>
          <w:szCs w:val="24"/>
        </w:rPr>
        <w:t>9</w:t>
      </w:r>
      <w:r w:rsidRPr="00AB1877">
        <w:rPr>
          <w:rFonts w:cstheme="minorHAnsi"/>
          <w:sz w:val="24"/>
          <w:szCs w:val="24"/>
        </w:rPr>
        <w:t>). They are frequently seen in the middle third of the root followed by apical and coronal third fractures (</w:t>
      </w:r>
      <w:r w:rsidRPr="002F4C8F">
        <w:rPr>
          <w:rFonts w:cstheme="minorHAnsi"/>
          <w:b/>
          <w:bCs/>
          <w:sz w:val="24"/>
          <w:szCs w:val="24"/>
        </w:rPr>
        <w:t>6</w:t>
      </w:r>
      <w:r w:rsidRPr="00AB1877">
        <w:rPr>
          <w:rFonts w:cstheme="minorHAnsi"/>
          <w:sz w:val="24"/>
          <w:szCs w:val="24"/>
        </w:rPr>
        <w:t>, </w:t>
      </w:r>
      <w:r w:rsidRPr="002F4C8F">
        <w:rPr>
          <w:rFonts w:cstheme="minorHAnsi"/>
          <w:b/>
          <w:bCs/>
          <w:sz w:val="24"/>
          <w:szCs w:val="24"/>
        </w:rPr>
        <w:t>10</w:t>
      </w:r>
      <w:r w:rsidRPr="00AB1877">
        <w:rPr>
          <w:rFonts w:cstheme="minorHAnsi"/>
          <w:sz w:val="24"/>
          <w:szCs w:val="24"/>
        </w:rPr>
        <w:t>). There may be multiple or single fractures. Fractures, which are single and distant from the cervical level, are believed to have better prognosis (</w:t>
      </w:r>
      <w:r w:rsidRPr="002F4C8F">
        <w:rPr>
          <w:rFonts w:cstheme="minorHAnsi"/>
          <w:b/>
          <w:bCs/>
          <w:sz w:val="24"/>
          <w:szCs w:val="24"/>
        </w:rPr>
        <w:t>7</w:t>
      </w:r>
      <w:r w:rsidRPr="00AB1877">
        <w:rPr>
          <w:rFonts w:cstheme="minorHAnsi"/>
          <w:sz w:val="24"/>
          <w:szCs w:val="24"/>
        </w:rPr>
        <w:t>).</w:t>
      </w:r>
    </w:p>
    <w:p w14:paraId="20F414A6" w14:textId="77777777" w:rsidR="00AB1877" w:rsidRPr="00AB1877" w:rsidRDefault="00AB1877" w:rsidP="00AB1877">
      <w:pPr>
        <w:rPr>
          <w:rFonts w:cstheme="minorHAnsi"/>
          <w:sz w:val="24"/>
          <w:szCs w:val="24"/>
        </w:rPr>
      </w:pPr>
      <w:r w:rsidRPr="00AB1877">
        <w:rPr>
          <w:rFonts w:cstheme="minorHAnsi"/>
          <w:sz w:val="24"/>
          <w:szCs w:val="24"/>
        </w:rPr>
        <w:t>The presented case aims to report a root fracture injury in an immature tooth and its management.</w:t>
      </w:r>
    </w:p>
    <w:p w14:paraId="4EC8DA7A" w14:textId="77777777" w:rsidR="00AB1877" w:rsidRPr="00AB1877" w:rsidRDefault="00AB1877" w:rsidP="00E452D1">
      <w:pPr>
        <w:pStyle w:val="Heading1"/>
      </w:pPr>
      <w:r w:rsidRPr="00AB1877">
        <w:t>Case report</w:t>
      </w:r>
    </w:p>
    <w:p w14:paraId="0A7260AD" w14:textId="1B5C412D" w:rsidR="00AB1877" w:rsidRPr="00AB1877" w:rsidRDefault="00AB1877" w:rsidP="00AB1877">
      <w:pPr>
        <w:rPr>
          <w:rFonts w:cstheme="minorHAnsi"/>
          <w:sz w:val="24"/>
          <w:szCs w:val="24"/>
        </w:rPr>
      </w:pPr>
      <w:r w:rsidRPr="00AB1877">
        <w:rPr>
          <w:rFonts w:cstheme="minorHAnsi"/>
          <w:sz w:val="24"/>
          <w:szCs w:val="24"/>
        </w:rPr>
        <w:t>An 8-year and 3-month-old girl was brought to the pediatric dentistry clinic by her mother after she hit the desk at school 3</w:t>
      </w:r>
      <w:r w:rsidR="004B5E9D">
        <w:rPr>
          <w:rFonts w:cstheme="minorHAnsi"/>
          <w:sz w:val="24"/>
          <w:szCs w:val="24"/>
        </w:rPr>
        <w:t xml:space="preserve"> </w:t>
      </w:r>
      <w:r w:rsidRPr="00AB1877">
        <w:rPr>
          <w:rFonts w:cstheme="minorHAnsi"/>
          <w:sz w:val="24"/>
          <w:szCs w:val="24"/>
        </w:rPr>
        <w:t>h earlier. Her medical history was non-contributory. Clinical examination revealed markedly increased mobility of maxillary left central incisor. The crown was extruded 4</w:t>
      </w:r>
      <w:r w:rsidR="004B5E9D">
        <w:rPr>
          <w:rFonts w:cstheme="minorHAnsi"/>
          <w:sz w:val="24"/>
          <w:szCs w:val="24"/>
        </w:rPr>
        <w:t xml:space="preserve"> </w:t>
      </w:r>
      <w:r w:rsidRPr="00AB1877">
        <w:rPr>
          <w:rFonts w:cstheme="minorHAnsi"/>
          <w:sz w:val="24"/>
          <w:szCs w:val="24"/>
        </w:rPr>
        <w:t xml:space="preserve">mm and slightly dislocated in a palatal direction. Fracture of the labial socket wall was not noticed. The </w:t>
      </w:r>
      <w:r w:rsidRPr="00AB1877">
        <w:rPr>
          <w:rFonts w:cstheme="minorHAnsi"/>
          <w:sz w:val="24"/>
          <w:szCs w:val="24"/>
        </w:rPr>
        <w:lastRenderedPageBreak/>
        <w:t xml:space="preserve">clinical presentation of the case resembled a luxation </w:t>
      </w:r>
      <w:proofErr w:type="gramStart"/>
      <w:r w:rsidRPr="00AB1877">
        <w:rPr>
          <w:rFonts w:cstheme="minorHAnsi"/>
          <w:sz w:val="24"/>
          <w:szCs w:val="24"/>
        </w:rPr>
        <w:t>injury,</w:t>
      </w:r>
      <w:proofErr w:type="gramEnd"/>
      <w:r w:rsidRPr="00AB1877">
        <w:rPr>
          <w:rFonts w:cstheme="minorHAnsi"/>
          <w:sz w:val="24"/>
          <w:szCs w:val="24"/>
        </w:rPr>
        <w:t xml:space="preserve"> however, radiographic examination disclosed a horizontal fracture in the middle third of the root (</w:t>
      </w:r>
      <w:r w:rsidRPr="002F4C8F">
        <w:rPr>
          <w:rFonts w:cstheme="minorHAnsi"/>
          <w:b/>
          <w:bCs/>
          <w:sz w:val="24"/>
          <w:szCs w:val="24"/>
        </w:rPr>
        <w:t>Fig. 1</w:t>
      </w:r>
      <w:r w:rsidRPr="00AB1877">
        <w:rPr>
          <w:rFonts w:cstheme="minorHAnsi"/>
          <w:sz w:val="24"/>
          <w:szCs w:val="24"/>
        </w:rPr>
        <w:t>).</w:t>
      </w:r>
    </w:p>
    <w:p w14:paraId="60F384F8" w14:textId="0F736BCB" w:rsidR="00AB1877" w:rsidRPr="00AB1877" w:rsidRDefault="00AB1877" w:rsidP="00E452D1">
      <w:pPr>
        <w:pStyle w:val="NoSpacing"/>
      </w:pPr>
      <w:r w:rsidRPr="00AB1877">
        <w:rPr>
          <w:noProof/>
        </w:rPr>
        <w:drawing>
          <wp:inline distT="0" distB="0" distL="0" distR="0" wp14:anchorId="55532CB4" wp14:editId="1FE4BB36">
            <wp:extent cx="1261872" cy="1828800"/>
            <wp:effectExtent l="0" t="0" r="0" b="0"/>
            <wp:docPr id="4" name="Picture 4" descr="Details are in the caption following the imag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tails are in the caption following the image">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61872" cy="1828800"/>
                    </a:xfrm>
                    <a:prstGeom prst="rect">
                      <a:avLst/>
                    </a:prstGeom>
                    <a:noFill/>
                    <a:ln>
                      <a:noFill/>
                    </a:ln>
                  </pic:spPr>
                </pic:pic>
              </a:graphicData>
            </a:graphic>
          </wp:inline>
        </w:drawing>
      </w:r>
    </w:p>
    <w:p w14:paraId="6C1401DE" w14:textId="3E77AD24" w:rsidR="00AB1877" w:rsidRPr="00AB1877" w:rsidRDefault="00AB1877" w:rsidP="00E452D1">
      <w:pPr>
        <w:pStyle w:val="NoSpacing"/>
      </w:pPr>
      <w:r w:rsidRPr="00AB1877">
        <w:rPr>
          <w:b/>
          <w:bCs/>
        </w:rPr>
        <w:t>Figure 1</w:t>
      </w:r>
      <w:r w:rsidR="00E452D1">
        <w:t xml:space="preserve"> </w:t>
      </w:r>
      <w:r w:rsidRPr="00AB1877">
        <w:t>Initial radiograph of the patient showing severe dislocation of coronal fragment in maxillary left central incisor.</w:t>
      </w:r>
    </w:p>
    <w:p w14:paraId="001CB80A" w14:textId="77777777" w:rsidR="004B5E9D" w:rsidRDefault="004B5E9D" w:rsidP="00AB1877">
      <w:pPr>
        <w:rPr>
          <w:rFonts w:cstheme="minorHAnsi"/>
          <w:sz w:val="24"/>
          <w:szCs w:val="24"/>
        </w:rPr>
      </w:pPr>
    </w:p>
    <w:p w14:paraId="56988035" w14:textId="6AAD71FB" w:rsidR="00AB1877" w:rsidRPr="00AB1877" w:rsidRDefault="00AB1877" w:rsidP="00AB1877">
      <w:pPr>
        <w:rPr>
          <w:rFonts w:cstheme="minorHAnsi"/>
          <w:sz w:val="24"/>
          <w:szCs w:val="24"/>
        </w:rPr>
      </w:pPr>
      <w:r w:rsidRPr="00AB1877">
        <w:rPr>
          <w:rFonts w:cstheme="minorHAnsi"/>
          <w:sz w:val="24"/>
          <w:szCs w:val="24"/>
        </w:rPr>
        <w:t>The initial treatment plan comprised reduction, repositioning and rigid splinting of the coronal fragment. Under local anesthesia, the fragment was reduced and repositioned with ease using gentle digital manipulation. Rigid splinting, which was made up of composite and 0.5</w:t>
      </w:r>
      <w:r w:rsidR="004B5E9D">
        <w:rPr>
          <w:rFonts w:cstheme="minorHAnsi"/>
          <w:sz w:val="24"/>
          <w:szCs w:val="24"/>
        </w:rPr>
        <w:t xml:space="preserve"> </w:t>
      </w:r>
      <w:r w:rsidRPr="00AB1877">
        <w:rPr>
          <w:rFonts w:cstheme="minorHAnsi"/>
          <w:sz w:val="24"/>
          <w:szCs w:val="24"/>
        </w:rPr>
        <w:t xml:space="preserve">mm stainless steel orthodontic wire was planned. After etching of labial surfaces of both maxillary central incisors and primary canines on either side (permanent lateral incisors have not fully erupted), bonding agent was applied. Light-curing composite resin was applied to the etched enamel surfaces to secure the </w:t>
      </w:r>
      <w:proofErr w:type="gramStart"/>
      <w:r w:rsidRPr="00AB1877">
        <w:rPr>
          <w:rFonts w:cstheme="minorHAnsi"/>
          <w:sz w:val="24"/>
          <w:szCs w:val="24"/>
        </w:rPr>
        <w:t>stainless steel</w:t>
      </w:r>
      <w:proofErr w:type="gramEnd"/>
      <w:r w:rsidRPr="00AB1877">
        <w:rPr>
          <w:rFonts w:cstheme="minorHAnsi"/>
          <w:sz w:val="24"/>
          <w:szCs w:val="24"/>
        </w:rPr>
        <w:t xml:space="preserve"> wire on the teeth (</w:t>
      </w:r>
      <w:r w:rsidRPr="002F4C8F">
        <w:rPr>
          <w:rFonts w:cstheme="minorHAnsi"/>
          <w:b/>
          <w:bCs/>
          <w:sz w:val="24"/>
          <w:szCs w:val="24"/>
        </w:rPr>
        <w:t>Fig. 2</w:t>
      </w:r>
      <w:r w:rsidRPr="00AB1877">
        <w:rPr>
          <w:rFonts w:cstheme="minorHAnsi"/>
          <w:sz w:val="24"/>
          <w:szCs w:val="24"/>
        </w:rPr>
        <w:t>). The patient was reminded of importance of good oral hygiene. She was also prescribed antibiotics (</w:t>
      </w:r>
      <w:proofErr w:type="spellStart"/>
      <w:r w:rsidRPr="00AB1877">
        <w:rPr>
          <w:rFonts w:cstheme="minorHAnsi"/>
          <w:sz w:val="24"/>
          <w:szCs w:val="24"/>
        </w:rPr>
        <w:t>amoxycyline</w:t>
      </w:r>
      <w:proofErr w:type="spellEnd"/>
      <w:r w:rsidRPr="00AB1877">
        <w:rPr>
          <w:rFonts w:cstheme="minorHAnsi"/>
          <w:sz w:val="24"/>
          <w:szCs w:val="24"/>
        </w:rPr>
        <w:t xml:space="preserve">), analgesics, and chlorhexidine </w:t>
      </w:r>
      <w:proofErr w:type="spellStart"/>
      <w:r w:rsidRPr="00AB1877">
        <w:rPr>
          <w:rFonts w:cstheme="minorHAnsi"/>
          <w:sz w:val="24"/>
          <w:szCs w:val="24"/>
        </w:rPr>
        <w:t>mouthrinse</w:t>
      </w:r>
      <w:proofErr w:type="spellEnd"/>
      <w:r w:rsidRPr="00AB1877">
        <w:rPr>
          <w:rFonts w:cstheme="minorHAnsi"/>
          <w:sz w:val="24"/>
          <w:szCs w:val="24"/>
        </w:rPr>
        <w:t>.</w:t>
      </w:r>
    </w:p>
    <w:p w14:paraId="337B5416" w14:textId="660EA947" w:rsidR="00AB1877" w:rsidRPr="00AB1877" w:rsidRDefault="00AB1877" w:rsidP="004B5E9D">
      <w:pPr>
        <w:pStyle w:val="NoSpacing"/>
      </w:pPr>
      <w:r w:rsidRPr="00AB1877">
        <w:rPr>
          <w:noProof/>
        </w:rPr>
        <w:lastRenderedPageBreak/>
        <w:drawing>
          <wp:inline distT="0" distB="0" distL="0" distR="0" wp14:anchorId="72E6CABB" wp14:editId="68CD0AA8">
            <wp:extent cx="1261872" cy="1828800"/>
            <wp:effectExtent l="0" t="0" r="0" b="0"/>
            <wp:docPr id="3" name="Picture 3" descr="Details are in the caption following the imag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61872" cy="1828800"/>
                    </a:xfrm>
                    <a:prstGeom prst="rect">
                      <a:avLst/>
                    </a:prstGeom>
                    <a:noFill/>
                    <a:ln>
                      <a:noFill/>
                    </a:ln>
                  </pic:spPr>
                </pic:pic>
              </a:graphicData>
            </a:graphic>
          </wp:inline>
        </w:drawing>
      </w:r>
    </w:p>
    <w:p w14:paraId="3ACE0B67" w14:textId="2C93C3C6" w:rsidR="00AB1877" w:rsidRDefault="00AB1877" w:rsidP="004B5E9D">
      <w:pPr>
        <w:pStyle w:val="NoSpacing"/>
      </w:pPr>
      <w:r w:rsidRPr="00AB1877">
        <w:rPr>
          <w:b/>
          <w:bCs/>
        </w:rPr>
        <w:t>Figure 2</w:t>
      </w:r>
      <w:r w:rsidR="004B5E9D">
        <w:t xml:space="preserve"> </w:t>
      </w:r>
      <w:r w:rsidRPr="00AB1877">
        <w:t>Radiograph taken following repositioning and splinting of the tooth.</w:t>
      </w:r>
    </w:p>
    <w:p w14:paraId="59C96C1B" w14:textId="77777777" w:rsidR="004B5E9D" w:rsidRPr="00AB1877" w:rsidRDefault="004B5E9D" w:rsidP="00AB1877">
      <w:pPr>
        <w:rPr>
          <w:rFonts w:cstheme="minorHAnsi"/>
          <w:sz w:val="24"/>
          <w:szCs w:val="24"/>
        </w:rPr>
      </w:pPr>
    </w:p>
    <w:p w14:paraId="0D983993" w14:textId="44122EC3" w:rsidR="00AB1877" w:rsidRPr="00AB1877" w:rsidRDefault="00AB1877" w:rsidP="00AB1877">
      <w:pPr>
        <w:rPr>
          <w:rFonts w:cstheme="minorHAnsi"/>
          <w:sz w:val="24"/>
          <w:szCs w:val="24"/>
        </w:rPr>
      </w:pPr>
      <w:r w:rsidRPr="00AB1877">
        <w:rPr>
          <w:rFonts w:cstheme="minorHAnsi"/>
          <w:sz w:val="24"/>
          <w:szCs w:val="24"/>
        </w:rPr>
        <w:t>The splint was retained for 12</w:t>
      </w:r>
      <w:r w:rsidR="004B5E9D">
        <w:rPr>
          <w:rFonts w:cstheme="minorHAnsi"/>
          <w:sz w:val="24"/>
          <w:szCs w:val="24"/>
        </w:rPr>
        <w:t xml:space="preserve"> </w:t>
      </w:r>
      <w:r w:rsidRPr="00AB1877">
        <w:rPr>
          <w:rFonts w:cstheme="minorHAnsi"/>
          <w:sz w:val="24"/>
          <w:szCs w:val="24"/>
        </w:rPr>
        <w:t xml:space="preserve">weeks. Radiographic and clinical examination (sensibility and percussion tests) were performed each month following repositioning. At the first two recalls, the tooth did not respond to electrical and cold sensibility tests. However, the tooth was not tender to percussion tests and radiographic examination did not reveal any signs of developing pulp necrosis. </w:t>
      </w:r>
      <w:proofErr w:type="gramStart"/>
      <w:r w:rsidRPr="00AB1877">
        <w:rPr>
          <w:rFonts w:cstheme="minorHAnsi"/>
          <w:sz w:val="24"/>
          <w:szCs w:val="24"/>
        </w:rPr>
        <w:t>Therefore</w:t>
      </w:r>
      <w:proofErr w:type="gramEnd"/>
      <w:r w:rsidRPr="00AB1877">
        <w:rPr>
          <w:rFonts w:cstheme="minorHAnsi"/>
          <w:sz w:val="24"/>
          <w:szCs w:val="24"/>
        </w:rPr>
        <w:t xml:space="preserve"> endodontic intervention was not initiated. At the end of the third month the splint was </w:t>
      </w:r>
      <w:proofErr w:type="gramStart"/>
      <w:r w:rsidRPr="00AB1877">
        <w:rPr>
          <w:rFonts w:cstheme="minorHAnsi"/>
          <w:sz w:val="24"/>
          <w:szCs w:val="24"/>
        </w:rPr>
        <w:t>removed</w:t>
      </w:r>
      <w:proofErr w:type="gramEnd"/>
      <w:r w:rsidRPr="00AB1877">
        <w:rPr>
          <w:rFonts w:cstheme="minorHAnsi"/>
          <w:sz w:val="24"/>
          <w:szCs w:val="24"/>
        </w:rPr>
        <w:t xml:space="preserve"> and the patient was scheduled for follow-up visits at 3-month intervals (</w:t>
      </w:r>
      <w:r w:rsidRPr="002F4C8F">
        <w:rPr>
          <w:rFonts w:cstheme="minorHAnsi"/>
          <w:b/>
          <w:bCs/>
          <w:sz w:val="24"/>
          <w:szCs w:val="24"/>
        </w:rPr>
        <w:t>Fig. 3</w:t>
      </w:r>
      <w:r w:rsidRPr="00AB1877">
        <w:rPr>
          <w:rFonts w:cstheme="minorHAnsi"/>
          <w:sz w:val="24"/>
          <w:szCs w:val="24"/>
        </w:rPr>
        <w:t>).</w:t>
      </w:r>
    </w:p>
    <w:p w14:paraId="23E57700" w14:textId="430FB110" w:rsidR="00AB1877" w:rsidRPr="00AB1877" w:rsidRDefault="00AB1877" w:rsidP="004B5E9D">
      <w:pPr>
        <w:pStyle w:val="NoSpacing"/>
      </w:pPr>
      <w:r w:rsidRPr="00AB1877">
        <w:rPr>
          <w:noProof/>
        </w:rPr>
        <w:drawing>
          <wp:inline distT="0" distB="0" distL="0" distR="0" wp14:anchorId="1AFC63DE" wp14:editId="03FC86AA">
            <wp:extent cx="1261872" cy="1828800"/>
            <wp:effectExtent l="0" t="0" r="0" b="0"/>
            <wp:docPr id="2" name="Picture 2" descr="Details are in the caption following the image">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tails are in the caption following the image">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61872" cy="1828800"/>
                    </a:xfrm>
                    <a:prstGeom prst="rect">
                      <a:avLst/>
                    </a:prstGeom>
                    <a:noFill/>
                    <a:ln>
                      <a:noFill/>
                    </a:ln>
                  </pic:spPr>
                </pic:pic>
              </a:graphicData>
            </a:graphic>
          </wp:inline>
        </w:drawing>
      </w:r>
    </w:p>
    <w:p w14:paraId="44D4F642" w14:textId="75E33310" w:rsidR="00AB1877" w:rsidRPr="00AB1877" w:rsidRDefault="00AB1877" w:rsidP="004B5E9D">
      <w:pPr>
        <w:pStyle w:val="NoSpacing"/>
      </w:pPr>
      <w:r w:rsidRPr="00AB1877">
        <w:rPr>
          <w:b/>
          <w:bCs/>
        </w:rPr>
        <w:t>Figure 3</w:t>
      </w:r>
      <w:r w:rsidR="004B5E9D">
        <w:t xml:space="preserve"> </w:t>
      </w:r>
      <w:r w:rsidRPr="00AB1877">
        <w:t>Postoperative 3-month radiograph of the tooth showing external surface resorption distal to the fracture line.</w:t>
      </w:r>
    </w:p>
    <w:p w14:paraId="1055357A" w14:textId="77777777" w:rsidR="004B5E9D" w:rsidRDefault="004B5E9D" w:rsidP="00AB1877">
      <w:pPr>
        <w:rPr>
          <w:rFonts w:cstheme="minorHAnsi"/>
          <w:sz w:val="24"/>
          <w:szCs w:val="24"/>
        </w:rPr>
      </w:pPr>
    </w:p>
    <w:p w14:paraId="38F81872" w14:textId="4F32D17C" w:rsidR="00AB1877" w:rsidRPr="00AB1877" w:rsidRDefault="00AB1877" w:rsidP="00AB1877">
      <w:pPr>
        <w:rPr>
          <w:rFonts w:cstheme="minorHAnsi"/>
          <w:sz w:val="24"/>
          <w:szCs w:val="24"/>
        </w:rPr>
      </w:pPr>
      <w:r w:rsidRPr="00AB1877">
        <w:rPr>
          <w:rFonts w:cstheme="minorHAnsi"/>
          <w:sz w:val="24"/>
          <w:szCs w:val="24"/>
        </w:rPr>
        <w:t>At the 14-month recall, the patient reported no discomfort with her tooth. Clinically, the mobility of the tooth was in physiologic limits and no pain was observed in horizontal and vertical percussion tests. The tooth also responded normally to the electrical and thermal stimulation tests. In the radiographic examination, however, along with thickening of dentinal walls of the root, apex closure was noticed. Healing of the fracture with calcified tissue was evident (</w:t>
      </w:r>
      <w:r w:rsidRPr="002F4C8F">
        <w:rPr>
          <w:rFonts w:cstheme="minorHAnsi"/>
          <w:b/>
          <w:bCs/>
          <w:sz w:val="24"/>
          <w:szCs w:val="24"/>
        </w:rPr>
        <w:t>Fig. 4</w:t>
      </w:r>
      <w:r w:rsidRPr="00AB1877">
        <w:rPr>
          <w:rFonts w:cstheme="minorHAnsi"/>
          <w:sz w:val="24"/>
          <w:szCs w:val="24"/>
        </w:rPr>
        <w:t>).</w:t>
      </w:r>
    </w:p>
    <w:p w14:paraId="20CE986B" w14:textId="1B75838A" w:rsidR="00AB1877" w:rsidRPr="00AB1877" w:rsidRDefault="00AB1877" w:rsidP="004B5E9D">
      <w:pPr>
        <w:pStyle w:val="NoSpacing"/>
      </w:pPr>
      <w:r w:rsidRPr="00AB1877">
        <w:rPr>
          <w:noProof/>
        </w:rPr>
        <w:drawing>
          <wp:inline distT="0" distB="0" distL="0" distR="0" wp14:anchorId="5F8FFFE8" wp14:editId="4845274B">
            <wp:extent cx="1261872" cy="1828800"/>
            <wp:effectExtent l="0" t="0" r="0" b="0"/>
            <wp:docPr id="1" name="Picture 1" descr="Details are in the caption following the image">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tails are in the caption following the image">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61872" cy="1828800"/>
                    </a:xfrm>
                    <a:prstGeom prst="rect">
                      <a:avLst/>
                    </a:prstGeom>
                    <a:noFill/>
                    <a:ln>
                      <a:noFill/>
                    </a:ln>
                  </pic:spPr>
                </pic:pic>
              </a:graphicData>
            </a:graphic>
          </wp:inline>
        </w:drawing>
      </w:r>
    </w:p>
    <w:p w14:paraId="466E3FB9" w14:textId="15A3B414" w:rsidR="00AB1877" w:rsidRPr="00AB1877" w:rsidRDefault="00AB1877" w:rsidP="004B5E9D">
      <w:pPr>
        <w:pStyle w:val="NoSpacing"/>
      </w:pPr>
      <w:r w:rsidRPr="00AB1877">
        <w:rPr>
          <w:b/>
          <w:bCs/>
        </w:rPr>
        <w:t>Figure 4</w:t>
      </w:r>
      <w:r w:rsidR="004B5E9D">
        <w:t xml:space="preserve"> </w:t>
      </w:r>
      <w:r w:rsidRPr="00AB1877">
        <w:t>In the radiograph taken at postoperative 14</w:t>
      </w:r>
      <w:r w:rsidR="004B5E9D">
        <w:t xml:space="preserve"> </w:t>
      </w:r>
      <w:r w:rsidRPr="00AB1877">
        <w:t>months, the fracture line is discernible. Satisfactory healing is evident.</w:t>
      </w:r>
    </w:p>
    <w:p w14:paraId="0E8F6EDB" w14:textId="77777777" w:rsidR="00AB1877" w:rsidRPr="00AB1877" w:rsidRDefault="00AB1877" w:rsidP="004B5E9D">
      <w:pPr>
        <w:pStyle w:val="Heading1"/>
      </w:pPr>
      <w:r w:rsidRPr="00AB1877">
        <w:t>Discussion</w:t>
      </w:r>
    </w:p>
    <w:p w14:paraId="2F9C8873" w14:textId="40337D39" w:rsidR="00AB1877" w:rsidRPr="00AB1877" w:rsidRDefault="00AB1877" w:rsidP="00AB1877">
      <w:pPr>
        <w:rPr>
          <w:rFonts w:cstheme="minorHAnsi"/>
          <w:sz w:val="24"/>
          <w:szCs w:val="24"/>
        </w:rPr>
      </w:pPr>
      <w:r w:rsidRPr="00AB1877">
        <w:rPr>
          <w:rFonts w:cstheme="minorHAnsi"/>
          <w:sz w:val="24"/>
          <w:szCs w:val="24"/>
        </w:rPr>
        <w:t>It has been reported that, in up to 80% of cases, healing of the horizontal root fractures could take place with or without initial treatment (</w:t>
      </w:r>
      <w:r w:rsidRPr="002F4C8F">
        <w:rPr>
          <w:rFonts w:cstheme="minorHAnsi"/>
          <w:b/>
          <w:bCs/>
          <w:sz w:val="24"/>
          <w:szCs w:val="24"/>
        </w:rPr>
        <w:t>3</w:t>
      </w:r>
      <w:r w:rsidRPr="00AB1877">
        <w:rPr>
          <w:rFonts w:cstheme="minorHAnsi"/>
          <w:sz w:val="24"/>
          <w:szCs w:val="24"/>
        </w:rPr>
        <w:t>, </w:t>
      </w:r>
      <w:r w:rsidRPr="002F4C8F">
        <w:rPr>
          <w:rFonts w:cstheme="minorHAnsi"/>
          <w:b/>
          <w:bCs/>
          <w:sz w:val="24"/>
          <w:szCs w:val="24"/>
        </w:rPr>
        <w:t>5</w:t>
      </w:r>
      <w:r w:rsidRPr="00AB1877">
        <w:rPr>
          <w:rFonts w:cstheme="minorHAnsi"/>
          <w:sz w:val="24"/>
          <w:szCs w:val="24"/>
        </w:rPr>
        <w:t>, </w:t>
      </w:r>
      <w:r w:rsidRPr="002F4C8F">
        <w:rPr>
          <w:rFonts w:cstheme="minorHAnsi"/>
          <w:b/>
          <w:bCs/>
          <w:sz w:val="24"/>
          <w:szCs w:val="24"/>
        </w:rPr>
        <w:t>11</w:t>
      </w:r>
      <w:r w:rsidRPr="00AB1877">
        <w:rPr>
          <w:rFonts w:cstheme="minorHAnsi"/>
          <w:sz w:val="24"/>
          <w:szCs w:val="24"/>
        </w:rPr>
        <w:t>-</w:t>
      </w:r>
      <w:r w:rsidRPr="002F4C8F">
        <w:rPr>
          <w:rFonts w:cstheme="minorHAnsi"/>
          <w:b/>
          <w:bCs/>
          <w:sz w:val="24"/>
          <w:szCs w:val="24"/>
        </w:rPr>
        <w:t>13</w:t>
      </w:r>
      <w:r w:rsidRPr="00AB1877">
        <w:rPr>
          <w:rFonts w:cstheme="minorHAnsi"/>
          <w:sz w:val="24"/>
          <w:szCs w:val="24"/>
        </w:rPr>
        <w:t>). The healing sequelae of root fractures include:</w:t>
      </w:r>
    </w:p>
    <w:p w14:paraId="5279D65E" w14:textId="3CACDDB3" w:rsidR="00AB1877" w:rsidRPr="004B5E9D" w:rsidRDefault="00AB1877" w:rsidP="002F4C8F">
      <w:pPr>
        <w:spacing w:after="0"/>
        <w:ind w:left="360"/>
        <w:rPr>
          <w:rFonts w:cstheme="minorHAnsi"/>
          <w:sz w:val="24"/>
          <w:szCs w:val="24"/>
        </w:rPr>
      </w:pPr>
      <w:r w:rsidRPr="004B5E9D">
        <w:rPr>
          <w:rFonts w:cstheme="minorHAnsi"/>
          <w:sz w:val="24"/>
          <w:szCs w:val="24"/>
        </w:rPr>
        <w:t>1</w:t>
      </w:r>
      <w:r w:rsidR="004B5E9D" w:rsidRPr="004B5E9D">
        <w:rPr>
          <w:rFonts w:cstheme="minorHAnsi"/>
          <w:sz w:val="24"/>
          <w:szCs w:val="24"/>
        </w:rPr>
        <w:t xml:space="preserve"> </w:t>
      </w:r>
      <w:r w:rsidRPr="004B5E9D">
        <w:rPr>
          <w:rFonts w:cstheme="minorHAnsi"/>
          <w:sz w:val="24"/>
          <w:szCs w:val="24"/>
        </w:rPr>
        <w:t>Repair with calcified tissue, giving union across the fracture.</w:t>
      </w:r>
    </w:p>
    <w:p w14:paraId="54ABF718" w14:textId="51F486B0" w:rsidR="00AB1877" w:rsidRPr="004B5E9D" w:rsidRDefault="00AB1877" w:rsidP="002F4C8F">
      <w:pPr>
        <w:spacing w:after="0"/>
        <w:ind w:left="360"/>
        <w:rPr>
          <w:rFonts w:cstheme="minorHAnsi"/>
          <w:sz w:val="24"/>
          <w:szCs w:val="24"/>
        </w:rPr>
      </w:pPr>
      <w:r w:rsidRPr="004B5E9D">
        <w:rPr>
          <w:rFonts w:cstheme="minorHAnsi"/>
          <w:sz w:val="24"/>
          <w:szCs w:val="24"/>
        </w:rPr>
        <w:t>2</w:t>
      </w:r>
      <w:r w:rsidR="004B5E9D" w:rsidRPr="004B5E9D">
        <w:rPr>
          <w:rFonts w:cstheme="minorHAnsi"/>
          <w:sz w:val="24"/>
          <w:szCs w:val="24"/>
        </w:rPr>
        <w:t xml:space="preserve"> </w:t>
      </w:r>
      <w:r w:rsidRPr="004B5E9D">
        <w:rPr>
          <w:rFonts w:cstheme="minorHAnsi"/>
          <w:sz w:val="24"/>
          <w:szCs w:val="24"/>
        </w:rPr>
        <w:t>Healing with connective tissue.</w:t>
      </w:r>
    </w:p>
    <w:p w14:paraId="1D41B7C6" w14:textId="26DC2A65" w:rsidR="00AB1877" w:rsidRPr="004B5E9D" w:rsidRDefault="00AB1877" w:rsidP="002F4C8F">
      <w:pPr>
        <w:spacing w:after="0"/>
        <w:ind w:left="360"/>
        <w:rPr>
          <w:rFonts w:cstheme="minorHAnsi"/>
          <w:sz w:val="24"/>
          <w:szCs w:val="24"/>
        </w:rPr>
      </w:pPr>
      <w:r w:rsidRPr="004B5E9D">
        <w:rPr>
          <w:rFonts w:cstheme="minorHAnsi"/>
          <w:sz w:val="24"/>
          <w:szCs w:val="24"/>
        </w:rPr>
        <w:t>3</w:t>
      </w:r>
      <w:r w:rsidR="004B5E9D" w:rsidRPr="004B5E9D">
        <w:rPr>
          <w:rFonts w:cstheme="minorHAnsi"/>
          <w:sz w:val="24"/>
          <w:szCs w:val="24"/>
        </w:rPr>
        <w:t xml:space="preserve"> </w:t>
      </w:r>
      <w:r w:rsidRPr="004B5E9D">
        <w:rPr>
          <w:rFonts w:cstheme="minorHAnsi"/>
          <w:sz w:val="24"/>
          <w:szCs w:val="24"/>
        </w:rPr>
        <w:t>Healing with calcified tissue and connective tissue.</w:t>
      </w:r>
    </w:p>
    <w:p w14:paraId="4D596AE5" w14:textId="319D2950" w:rsidR="00AB1877" w:rsidRPr="004B5E9D" w:rsidRDefault="00AB1877" w:rsidP="002F4C8F">
      <w:pPr>
        <w:spacing w:after="0"/>
        <w:ind w:left="360"/>
        <w:rPr>
          <w:rFonts w:cstheme="minorHAnsi"/>
          <w:sz w:val="24"/>
          <w:szCs w:val="24"/>
        </w:rPr>
      </w:pPr>
      <w:r w:rsidRPr="004B5E9D">
        <w:rPr>
          <w:rFonts w:cstheme="minorHAnsi"/>
          <w:sz w:val="24"/>
          <w:szCs w:val="24"/>
        </w:rPr>
        <w:t>4</w:t>
      </w:r>
      <w:r w:rsidR="004B5E9D" w:rsidRPr="004B5E9D">
        <w:rPr>
          <w:rFonts w:cstheme="minorHAnsi"/>
          <w:sz w:val="24"/>
          <w:szCs w:val="24"/>
        </w:rPr>
        <w:t xml:space="preserve"> </w:t>
      </w:r>
      <w:r w:rsidRPr="004B5E9D">
        <w:rPr>
          <w:rFonts w:cstheme="minorHAnsi"/>
          <w:sz w:val="24"/>
          <w:szCs w:val="24"/>
        </w:rPr>
        <w:t>Healing with granulation tissue.</w:t>
      </w:r>
    </w:p>
    <w:p w14:paraId="1F09028F" w14:textId="77777777" w:rsidR="002F4C8F" w:rsidRDefault="002F4C8F" w:rsidP="00AB1877">
      <w:pPr>
        <w:rPr>
          <w:rFonts w:cstheme="minorHAnsi"/>
          <w:sz w:val="24"/>
          <w:szCs w:val="24"/>
        </w:rPr>
      </w:pPr>
    </w:p>
    <w:p w14:paraId="7A66B951" w14:textId="717B002F" w:rsidR="00AB1877" w:rsidRPr="00AB1877" w:rsidRDefault="00AB1877" w:rsidP="00AB1877">
      <w:pPr>
        <w:rPr>
          <w:rFonts w:cstheme="minorHAnsi"/>
          <w:sz w:val="24"/>
          <w:szCs w:val="24"/>
        </w:rPr>
      </w:pPr>
      <w:r w:rsidRPr="00AB1877">
        <w:rPr>
          <w:rFonts w:cstheme="minorHAnsi"/>
          <w:sz w:val="24"/>
          <w:szCs w:val="24"/>
        </w:rPr>
        <w:t>The ideal outcome for horizontal root fracture injuries is healing by hard tissue union. This is thought to be most likely to occur if the fracture is fully reduced and fracture edges are rigidly held in close apposition for a period of 12–14</w:t>
      </w:r>
      <w:r w:rsidR="004B5E9D">
        <w:rPr>
          <w:rFonts w:cstheme="minorHAnsi"/>
          <w:sz w:val="24"/>
          <w:szCs w:val="24"/>
        </w:rPr>
        <w:t xml:space="preserve"> </w:t>
      </w:r>
      <w:r w:rsidRPr="00AB1877">
        <w:rPr>
          <w:rFonts w:cstheme="minorHAnsi"/>
          <w:sz w:val="24"/>
          <w:szCs w:val="24"/>
        </w:rPr>
        <w:t>weeks (</w:t>
      </w:r>
      <w:r w:rsidRPr="002F4C8F">
        <w:rPr>
          <w:rFonts w:cstheme="minorHAnsi"/>
          <w:b/>
          <w:bCs/>
          <w:sz w:val="24"/>
          <w:szCs w:val="24"/>
        </w:rPr>
        <w:t>7</w:t>
      </w:r>
      <w:r w:rsidRPr="00AB1877">
        <w:rPr>
          <w:rFonts w:cstheme="minorHAnsi"/>
          <w:sz w:val="24"/>
          <w:szCs w:val="24"/>
        </w:rPr>
        <w:t>). Fracture healing of this type requires an intact pulp and slight or no dislocation of the coronal fragment. In teeth with immature root formation calcified tissue healing is most often observed (</w:t>
      </w:r>
      <w:r w:rsidRPr="002F4C8F">
        <w:rPr>
          <w:rFonts w:cstheme="minorHAnsi"/>
          <w:b/>
          <w:bCs/>
          <w:sz w:val="24"/>
          <w:szCs w:val="24"/>
        </w:rPr>
        <w:t>6</w:t>
      </w:r>
      <w:r w:rsidRPr="00AB1877">
        <w:rPr>
          <w:rFonts w:cstheme="minorHAnsi"/>
          <w:sz w:val="24"/>
          <w:szCs w:val="24"/>
        </w:rPr>
        <w:t>).</w:t>
      </w:r>
    </w:p>
    <w:p w14:paraId="51E0485E" w14:textId="67628CD9" w:rsidR="00AB1877" w:rsidRPr="00AB1877" w:rsidRDefault="00AB1877" w:rsidP="00AB1877">
      <w:pPr>
        <w:rPr>
          <w:rFonts w:cstheme="minorHAnsi"/>
          <w:sz w:val="24"/>
          <w:szCs w:val="24"/>
        </w:rPr>
      </w:pPr>
      <w:r w:rsidRPr="00AB1877">
        <w:rPr>
          <w:rFonts w:cstheme="minorHAnsi"/>
          <w:sz w:val="24"/>
          <w:szCs w:val="24"/>
        </w:rPr>
        <w:t>In this type of healing the fracture is repaired by formation of a dentin-like callus on the pulpal aspect, which is followed by ingrowth of cementum-like tissue from the periodontal aspect (</w:t>
      </w:r>
      <w:r w:rsidRPr="002F4C8F">
        <w:rPr>
          <w:rFonts w:cstheme="minorHAnsi"/>
          <w:b/>
          <w:bCs/>
          <w:sz w:val="24"/>
          <w:szCs w:val="24"/>
        </w:rPr>
        <w:t>1</w:t>
      </w:r>
      <w:r w:rsidRPr="00AB1877">
        <w:rPr>
          <w:rFonts w:cstheme="minorHAnsi"/>
          <w:sz w:val="24"/>
          <w:szCs w:val="24"/>
        </w:rPr>
        <w:t>). Cementum deposition in the fracture line is often preceded by resorptive processes. Most often, cementum will not completely bridge the gap between fracture surfaces, but it is interspersed with connective tissue originating from the periodontal ligament (</w:t>
      </w:r>
      <w:r w:rsidRPr="002F4C8F">
        <w:rPr>
          <w:rFonts w:cstheme="minorHAnsi"/>
          <w:b/>
          <w:bCs/>
          <w:sz w:val="24"/>
          <w:szCs w:val="24"/>
        </w:rPr>
        <w:t>1</w:t>
      </w:r>
      <w:r w:rsidRPr="00AB1877">
        <w:rPr>
          <w:rFonts w:cstheme="minorHAnsi"/>
          <w:sz w:val="24"/>
          <w:szCs w:val="24"/>
        </w:rPr>
        <w:t>). This and the radiodensity difference between cementum and dentin have been used to explain the fracture line often discernible in radiographs of horizontal root fractures healed with calcified tissue (</w:t>
      </w:r>
      <w:r w:rsidRPr="002F4C8F">
        <w:rPr>
          <w:rFonts w:cstheme="minorHAnsi"/>
          <w:b/>
          <w:bCs/>
          <w:sz w:val="24"/>
          <w:szCs w:val="24"/>
        </w:rPr>
        <w:t>1</w:t>
      </w:r>
      <w:r w:rsidRPr="00AB1877">
        <w:rPr>
          <w:rFonts w:cstheme="minorHAnsi"/>
          <w:sz w:val="24"/>
          <w:szCs w:val="24"/>
        </w:rPr>
        <w:t>).</w:t>
      </w:r>
    </w:p>
    <w:p w14:paraId="24452660" w14:textId="51E581B7" w:rsidR="00AB1877" w:rsidRPr="00AB1877" w:rsidRDefault="00AB1877" w:rsidP="00AB1877">
      <w:pPr>
        <w:rPr>
          <w:rFonts w:cstheme="minorHAnsi"/>
          <w:sz w:val="24"/>
          <w:szCs w:val="24"/>
        </w:rPr>
      </w:pPr>
      <w:r w:rsidRPr="00AB1877">
        <w:rPr>
          <w:rFonts w:cstheme="minorHAnsi"/>
          <w:sz w:val="24"/>
          <w:szCs w:val="24"/>
        </w:rPr>
        <w:t>The literature indicates that many factors may influence the type of healing which occurs. The elapsed time following trauma until presentation for treatment, the stage of root development and any associated signs and symptoms such as mobility and pain are among these factors (</w:t>
      </w:r>
      <w:r w:rsidRPr="002F4C8F">
        <w:rPr>
          <w:rFonts w:cstheme="minorHAnsi"/>
          <w:b/>
          <w:bCs/>
          <w:sz w:val="24"/>
          <w:szCs w:val="24"/>
        </w:rPr>
        <w:t>14</w:t>
      </w:r>
      <w:r w:rsidRPr="00AB1877">
        <w:rPr>
          <w:rFonts w:cstheme="minorHAnsi"/>
          <w:sz w:val="24"/>
          <w:szCs w:val="24"/>
        </w:rPr>
        <w:t>). In an extensive retrospective study by Andreasen et al. (</w:t>
      </w:r>
      <w:r w:rsidRPr="002F4C8F">
        <w:rPr>
          <w:rFonts w:cstheme="minorHAnsi"/>
          <w:b/>
          <w:bCs/>
          <w:sz w:val="24"/>
          <w:szCs w:val="24"/>
        </w:rPr>
        <w:t>15</w:t>
      </w:r>
      <w:r w:rsidRPr="00AB1877">
        <w:rPr>
          <w:rFonts w:cstheme="minorHAnsi"/>
          <w:sz w:val="24"/>
          <w:szCs w:val="24"/>
        </w:rPr>
        <w:t>), it has been reported that treatment delay of up to several days played no significant role, optimal repositioning of root fractures with dislocation of the coronal fragment of up to 1</w:t>
      </w:r>
      <w:r w:rsidR="004B5E9D">
        <w:rPr>
          <w:rFonts w:cstheme="minorHAnsi"/>
          <w:sz w:val="24"/>
          <w:szCs w:val="24"/>
        </w:rPr>
        <w:t xml:space="preserve"> </w:t>
      </w:r>
      <w:r w:rsidRPr="00AB1877">
        <w:rPr>
          <w:rFonts w:cstheme="minorHAnsi"/>
          <w:sz w:val="24"/>
          <w:szCs w:val="24"/>
        </w:rPr>
        <w:t>mm favored both healing with hard tissue and at the same time reduced the risk of pulp necrosis. However, the age of the patient, stage of root development, mobility and dislocation of the coronal fragment, and diastasis between fragments have been reported to have the greatest influence upon healing of root fractures (</w:t>
      </w:r>
      <w:r w:rsidRPr="002F4C8F">
        <w:rPr>
          <w:rFonts w:cstheme="minorHAnsi"/>
          <w:b/>
          <w:bCs/>
          <w:sz w:val="24"/>
          <w:szCs w:val="24"/>
        </w:rPr>
        <w:t>16</w:t>
      </w:r>
      <w:r w:rsidRPr="00AB1877">
        <w:rPr>
          <w:rFonts w:cstheme="minorHAnsi"/>
          <w:sz w:val="24"/>
          <w:szCs w:val="24"/>
        </w:rPr>
        <w:t>).</w:t>
      </w:r>
    </w:p>
    <w:p w14:paraId="0BDDFDC1" w14:textId="49FB46D4" w:rsidR="00AB1877" w:rsidRPr="00AB1877" w:rsidRDefault="00AB1877" w:rsidP="00AB1877">
      <w:pPr>
        <w:rPr>
          <w:rFonts w:cstheme="minorHAnsi"/>
          <w:sz w:val="24"/>
          <w:szCs w:val="24"/>
        </w:rPr>
      </w:pPr>
      <w:r w:rsidRPr="00AB1877">
        <w:rPr>
          <w:rFonts w:cstheme="minorHAnsi"/>
          <w:sz w:val="24"/>
          <w:szCs w:val="24"/>
        </w:rPr>
        <w:t>The frequency of pulp necrosis following root fractures is relatively low. It occurs in 5–25% of the affected teeth (</w:t>
      </w:r>
      <w:r w:rsidRPr="002F4C8F">
        <w:rPr>
          <w:rFonts w:cstheme="minorHAnsi"/>
          <w:b/>
          <w:bCs/>
          <w:sz w:val="24"/>
          <w:szCs w:val="24"/>
        </w:rPr>
        <w:t>1</w:t>
      </w:r>
      <w:r w:rsidRPr="00AB1877">
        <w:rPr>
          <w:rFonts w:cstheme="minorHAnsi"/>
          <w:sz w:val="24"/>
          <w:szCs w:val="24"/>
        </w:rPr>
        <w:t>). The risk is higher in mature teeth and those where significant dislocation of the coronal fragment has occurred (</w:t>
      </w:r>
      <w:r w:rsidRPr="002F4C8F">
        <w:rPr>
          <w:rFonts w:cstheme="minorHAnsi"/>
          <w:b/>
          <w:bCs/>
          <w:sz w:val="24"/>
          <w:szCs w:val="24"/>
        </w:rPr>
        <w:t>9</w:t>
      </w:r>
      <w:r w:rsidRPr="00AB1877">
        <w:rPr>
          <w:rFonts w:cstheme="minorHAnsi"/>
          <w:sz w:val="24"/>
          <w:szCs w:val="24"/>
        </w:rPr>
        <w:t>). It is generally accepted that roots with incomplete root formation have a greater potential for maintenance of pulp vitality than those with closed apices (</w:t>
      </w:r>
      <w:r w:rsidRPr="002F4C8F">
        <w:rPr>
          <w:rFonts w:cstheme="minorHAnsi"/>
          <w:b/>
          <w:bCs/>
          <w:sz w:val="24"/>
          <w:szCs w:val="24"/>
        </w:rPr>
        <w:t>1</w:t>
      </w:r>
      <w:r w:rsidRPr="00AB1877">
        <w:rPr>
          <w:rFonts w:cstheme="minorHAnsi"/>
          <w:sz w:val="24"/>
          <w:szCs w:val="24"/>
        </w:rPr>
        <w:t>). Feely et al. (</w:t>
      </w:r>
      <w:r w:rsidRPr="002F4C8F">
        <w:rPr>
          <w:rFonts w:cstheme="minorHAnsi"/>
          <w:b/>
          <w:bCs/>
          <w:sz w:val="24"/>
          <w:szCs w:val="24"/>
        </w:rPr>
        <w:t>14</w:t>
      </w:r>
      <w:r w:rsidRPr="00AB1877">
        <w:rPr>
          <w:rFonts w:cstheme="minorHAnsi"/>
          <w:sz w:val="24"/>
          <w:szCs w:val="24"/>
        </w:rPr>
        <w:t>) have reported a statistically significant correlation between the stage of root development and the type of healing. They concluded that root-fractured teeth with immature roots had a better chance of healing than teeth with mature roots.</w:t>
      </w:r>
    </w:p>
    <w:p w14:paraId="5E5C9686" w14:textId="20BD1524" w:rsidR="00AB1877" w:rsidRPr="00AB1877" w:rsidRDefault="00AB1877" w:rsidP="00AB1877">
      <w:pPr>
        <w:rPr>
          <w:rFonts w:cstheme="minorHAnsi"/>
          <w:sz w:val="24"/>
          <w:szCs w:val="24"/>
        </w:rPr>
      </w:pPr>
      <w:r w:rsidRPr="00AB1877">
        <w:rPr>
          <w:rFonts w:cstheme="minorHAnsi"/>
          <w:sz w:val="24"/>
          <w:szCs w:val="24"/>
        </w:rPr>
        <w:t>Pulp canal obliteration and root resorption are also commonly seen following root fractures. Pulp canal obliteration has been reported to occur in more than two-thirds of root fractured permanent incisors (</w:t>
      </w:r>
      <w:r w:rsidRPr="002F4C8F">
        <w:rPr>
          <w:rFonts w:cstheme="minorHAnsi"/>
          <w:b/>
          <w:bCs/>
          <w:sz w:val="24"/>
          <w:szCs w:val="24"/>
        </w:rPr>
        <w:t>9</w:t>
      </w:r>
      <w:r w:rsidRPr="00AB1877">
        <w:rPr>
          <w:rFonts w:cstheme="minorHAnsi"/>
          <w:sz w:val="24"/>
          <w:szCs w:val="24"/>
        </w:rPr>
        <w:t>). On the other hand, root resorption is seen in about 60% of root-fractured incisors (</w:t>
      </w:r>
      <w:r w:rsidRPr="002F4C8F">
        <w:rPr>
          <w:rFonts w:cstheme="minorHAnsi"/>
          <w:b/>
          <w:bCs/>
          <w:sz w:val="24"/>
          <w:szCs w:val="24"/>
        </w:rPr>
        <w:t>17</w:t>
      </w:r>
      <w:r w:rsidRPr="00AB1877">
        <w:rPr>
          <w:rFonts w:cstheme="minorHAnsi"/>
          <w:sz w:val="24"/>
          <w:szCs w:val="24"/>
        </w:rPr>
        <w:t>). In healing with calcified tissue, external surface resorption (peripheral rounding) mesial and distal to the fracture site is a characteristic finding which can be detected radiographically (</w:t>
      </w:r>
      <w:r w:rsidRPr="002F4C8F">
        <w:rPr>
          <w:rFonts w:cstheme="minorHAnsi"/>
          <w:b/>
          <w:bCs/>
          <w:sz w:val="24"/>
          <w:szCs w:val="24"/>
        </w:rPr>
        <w:t>1</w:t>
      </w:r>
      <w:r w:rsidRPr="00AB1877">
        <w:rPr>
          <w:rFonts w:cstheme="minorHAnsi"/>
          <w:sz w:val="24"/>
          <w:szCs w:val="24"/>
        </w:rPr>
        <w:t>).</w:t>
      </w:r>
    </w:p>
    <w:p w14:paraId="2107827A" w14:textId="77777777" w:rsidR="00AB1877" w:rsidRPr="00AB1877" w:rsidRDefault="00AB1877" w:rsidP="00AB1877">
      <w:pPr>
        <w:rPr>
          <w:rFonts w:cstheme="minorHAnsi"/>
          <w:sz w:val="24"/>
          <w:szCs w:val="24"/>
        </w:rPr>
      </w:pPr>
      <w:r w:rsidRPr="00AB1877">
        <w:rPr>
          <w:rFonts w:cstheme="minorHAnsi"/>
          <w:sz w:val="24"/>
          <w:szCs w:val="24"/>
        </w:rPr>
        <w:t>In the presented case, patient's timely referral was an important factor, which made repositioning easy and comfortable for the operators. The displacement of the coronal part was so severe that favorable healing would be compromised if the tooth were not repositioned at the initial examination. Along with appropriate management, careful follow up of trauma cases is needed. Potential regenerative properties of the pulp in young permanent teeth such as in this case are worth the wait to obtain better healing of the root fracture.</w:t>
      </w:r>
    </w:p>
    <w:p w14:paraId="38253619" w14:textId="77777777" w:rsidR="00AB1877" w:rsidRPr="00AB1877" w:rsidRDefault="00AB1877" w:rsidP="002F4C8F">
      <w:pPr>
        <w:pStyle w:val="Heading1"/>
      </w:pPr>
      <w:r w:rsidRPr="00AB1877">
        <w:t>References</w:t>
      </w:r>
    </w:p>
    <w:p w14:paraId="06992445" w14:textId="77777777" w:rsidR="00AB1877" w:rsidRPr="002F4C8F" w:rsidRDefault="00AB1877" w:rsidP="002F4C8F">
      <w:pPr>
        <w:pStyle w:val="NoSpacing"/>
        <w:ind w:left="720" w:hanging="720"/>
        <w:rPr>
          <w:sz w:val="24"/>
          <w:szCs w:val="24"/>
        </w:rPr>
      </w:pPr>
      <w:r w:rsidRPr="002F4C8F">
        <w:rPr>
          <w:sz w:val="24"/>
          <w:szCs w:val="24"/>
        </w:rPr>
        <w:t>1 Andreasen FM, Andreasen JO. Root fractures. In: JO Andreasen, FM Andreasen, editors. </w:t>
      </w:r>
      <w:r w:rsidRPr="002F4C8F">
        <w:rPr>
          <w:i/>
          <w:iCs/>
          <w:sz w:val="24"/>
          <w:szCs w:val="24"/>
        </w:rPr>
        <w:t>Textbook and color atlas of traumatic injuries to the teeth</w:t>
      </w:r>
      <w:r w:rsidRPr="002F4C8F">
        <w:rPr>
          <w:sz w:val="24"/>
          <w:szCs w:val="24"/>
        </w:rPr>
        <w:t xml:space="preserve">, 3rd </w:t>
      </w:r>
      <w:proofErr w:type="spellStart"/>
      <w:r w:rsidRPr="002F4C8F">
        <w:rPr>
          <w:sz w:val="24"/>
          <w:szCs w:val="24"/>
        </w:rPr>
        <w:t>edn</w:t>
      </w:r>
      <w:proofErr w:type="spellEnd"/>
      <w:r w:rsidRPr="002F4C8F">
        <w:rPr>
          <w:sz w:val="24"/>
          <w:szCs w:val="24"/>
        </w:rPr>
        <w:t xml:space="preserve">. Copenhagen: </w:t>
      </w:r>
      <w:proofErr w:type="spellStart"/>
      <w:r w:rsidRPr="002F4C8F">
        <w:rPr>
          <w:sz w:val="24"/>
          <w:szCs w:val="24"/>
        </w:rPr>
        <w:t>Munksgaard</w:t>
      </w:r>
      <w:proofErr w:type="spellEnd"/>
      <w:r w:rsidRPr="002F4C8F">
        <w:rPr>
          <w:sz w:val="24"/>
          <w:szCs w:val="24"/>
        </w:rPr>
        <w:t>, 1994; pp. 279– 314.</w:t>
      </w:r>
    </w:p>
    <w:p w14:paraId="7543E965" w14:textId="77777777" w:rsidR="00AB1877" w:rsidRPr="002F4C8F" w:rsidRDefault="00AB1877" w:rsidP="002F4C8F">
      <w:pPr>
        <w:pStyle w:val="NoSpacing"/>
        <w:ind w:left="720" w:hanging="720"/>
        <w:rPr>
          <w:sz w:val="24"/>
          <w:szCs w:val="24"/>
        </w:rPr>
      </w:pPr>
      <w:r w:rsidRPr="002F4C8F">
        <w:rPr>
          <w:sz w:val="24"/>
          <w:szCs w:val="24"/>
        </w:rPr>
        <w:t>2 Andreasen JO. Etiology and pathogenesis of traumatic dental injuries. A clinical study of 1298 cases. </w:t>
      </w:r>
      <w:proofErr w:type="spellStart"/>
      <w:r w:rsidRPr="002F4C8F">
        <w:rPr>
          <w:i/>
          <w:iCs/>
          <w:sz w:val="24"/>
          <w:szCs w:val="24"/>
        </w:rPr>
        <w:t>Scand</w:t>
      </w:r>
      <w:proofErr w:type="spellEnd"/>
      <w:r w:rsidRPr="002F4C8F">
        <w:rPr>
          <w:i/>
          <w:iCs/>
          <w:sz w:val="24"/>
          <w:szCs w:val="24"/>
        </w:rPr>
        <w:t xml:space="preserve"> J Dent Res</w:t>
      </w:r>
      <w:r w:rsidRPr="002F4C8F">
        <w:rPr>
          <w:sz w:val="24"/>
          <w:szCs w:val="24"/>
        </w:rPr>
        <w:t> 1970; </w:t>
      </w:r>
      <w:r w:rsidRPr="002F4C8F">
        <w:rPr>
          <w:b/>
          <w:bCs/>
          <w:sz w:val="24"/>
          <w:szCs w:val="24"/>
        </w:rPr>
        <w:t>78</w:t>
      </w:r>
      <w:r w:rsidRPr="002F4C8F">
        <w:rPr>
          <w:sz w:val="24"/>
          <w:szCs w:val="24"/>
        </w:rPr>
        <w:t>: 329– 42.</w:t>
      </w:r>
    </w:p>
    <w:p w14:paraId="29919E91" w14:textId="77777777" w:rsidR="00AB1877" w:rsidRPr="002F4C8F" w:rsidRDefault="00AB1877" w:rsidP="002F4C8F">
      <w:pPr>
        <w:pStyle w:val="NoSpacing"/>
        <w:ind w:left="720" w:hanging="720"/>
        <w:rPr>
          <w:sz w:val="24"/>
          <w:szCs w:val="24"/>
        </w:rPr>
      </w:pPr>
      <w:r w:rsidRPr="002F4C8F">
        <w:rPr>
          <w:sz w:val="24"/>
          <w:szCs w:val="24"/>
        </w:rPr>
        <w:t>3 Birch R, Rock WB. The incidence of complications following root fractures in permanent anterior teeth. </w:t>
      </w:r>
      <w:r w:rsidRPr="002F4C8F">
        <w:rPr>
          <w:i/>
          <w:iCs/>
          <w:sz w:val="24"/>
          <w:szCs w:val="24"/>
        </w:rPr>
        <w:t>Br Dent J</w:t>
      </w:r>
      <w:r w:rsidRPr="002F4C8F">
        <w:rPr>
          <w:sz w:val="24"/>
          <w:szCs w:val="24"/>
        </w:rPr>
        <w:t> 1986; </w:t>
      </w:r>
      <w:r w:rsidRPr="002F4C8F">
        <w:rPr>
          <w:b/>
          <w:bCs/>
          <w:sz w:val="24"/>
          <w:szCs w:val="24"/>
        </w:rPr>
        <w:t>160</w:t>
      </w:r>
      <w:r w:rsidRPr="002F4C8F">
        <w:rPr>
          <w:sz w:val="24"/>
          <w:szCs w:val="24"/>
        </w:rPr>
        <w:t>: 119– 22.</w:t>
      </w:r>
    </w:p>
    <w:p w14:paraId="1D1CA8BA" w14:textId="77777777" w:rsidR="00AB1877" w:rsidRPr="002F4C8F" w:rsidRDefault="00AB1877" w:rsidP="002F4C8F">
      <w:pPr>
        <w:pStyle w:val="NoSpacing"/>
        <w:ind w:left="720" w:hanging="720"/>
        <w:rPr>
          <w:sz w:val="24"/>
          <w:szCs w:val="24"/>
        </w:rPr>
      </w:pPr>
      <w:r w:rsidRPr="002F4C8F">
        <w:rPr>
          <w:sz w:val="24"/>
          <w:szCs w:val="24"/>
        </w:rPr>
        <w:t xml:space="preserve">4 Altay N, Güngör HC. A retrospective study of </w:t>
      </w:r>
      <w:proofErr w:type="spellStart"/>
      <w:r w:rsidRPr="002F4C8F">
        <w:rPr>
          <w:sz w:val="24"/>
          <w:szCs w:val="24"/>
        </w:rPr>
        <w:t>dento</w:t>
      </w:r>
      <w:proofErr w:type="spellEnd"/>
      <w:r w:rsidRPr="002F4C8F">
        <w:rPr>
          <w:sz w:val="24"/>
          <w:szCs w:val="24"/>
        </w:rPr>
        <w:t>-alveolar injuries of children in Ankara, Turkey. </w:t>
      </w:r>
      <w:r w:rsidRPr="002F4C8F">
        <w:rPr>
          <w:i/>
          <w:iCs/>
          <w:sz w:val="24"/>
          <w:szCs w:val="24"/>
        </w:rPr>
        <w:t xml:space="preserve">Dent </w:t>
      </w:r>
      <w:proofErr w:type="spellStart"/>
      <w:r w:rsidRPr="002F4C8F">
        <w:rPr>
          <w:i/>
          <w:iCs/>
          <w:sz w:val="24"/>
          <w:szCs w:val="24"/>
        </w:rPr>
        <w:t>Traumatol</w:t>
      </w:r>
      <w:proofErr w:type="spellEnd"/>
      <w:r w:rsidRPr="002F4C8F">
        <w:rPr>
          <w:sz w:val="24"/>
          <w:szCs w:val="24"/>
        </w:rPr>
        <w:t> 2001; </w:t>
      </w:r>
      <w:r w:rsidRPr="002F4C8F">
        <w:rPr>
          <w:b/>
          <w:bCs/>
          <w:sz w:val="24"/>
          <w:szCs w:val="24"/>
        </w:rPr>
        <w:t>17</w:t>
      </w:r>
      <w:r w:rsidRPr="002F4C8F">
        <w:rPr>
          <w:sz w:val="24"/>
          <w:szCs w:val="24"/>
        </w:rPr>
        <w:t>: 201– 4.</w:t>
      </w:r>
    </w:p>
    <w:p w14:paraId="5B0EC28E" w14:textId="77777777" w:rsidR="00AB1877" w:rsidRPr="002F4C8F" w:rsidRDefault="00AB1877" w:rsidP="002F4C8F">
      <w:pPr>
        <w:pStyle w:val="NoSpacing"/>
        <w:ind w:left="720" w:hanging="720"/>
        <w:rPr>
          <w:sz w:val="24"/>
          <w:szCs w:val="24"/>
        </w:rPr>
      </w:pPr>
      <w:r w:rsidRPr="002F4C8F">
        <w:rPr>
          <w:sz w:val="24"/>
          <w:szCs w:val="24"/>
        </w:rPr>
        <w:t>5 Andreasen JO, </w:t>
      </w:r>
      <w:proofErr w:type="spellStart"/>
      <w:r w:rsidRPr="002F4C8F">
        <w:rPr>
          <w:sz w:val="24"/>
          <w:szCs w:val="24"/>
        </w:rPr>
        <w:t>Hjorting</w:t>
      </w:r>
      <w:proofErr w:type="spellEnd"/>
      <w:r w:rsidRPr="002F4C8F">
        <w:rPr>
          <w:sz w:val="24"/>
          <w:szCs w:val="24"/>
        </w:rPr>
        <w:t>-Hansen E. Intra-alveolar root fractures: radiographic and histologic study of 50 cases. </w:t>
      </w:r>
      <w:r w:rsidRPr="002F4C8F">
        <w:rPr>
          <w:i/>
          <w:iCs/>
          <w:sz w:val="24"/>
          <w:szCs w:val="24"/>
        </w:rPr>
        <w:t>J Oral Surg</w:t>
      </w:r>
      <w:r w:rsidRPr="002F4C8F">
        <w:rPr>
          <w:sz w:val="24"/>
          <w:szCs w:val="24"/>
        </w:rPr>
        <w:t> 1967; </w:t>
      </w:r>
      <w:r w:rsidRPr="002F4C8F">
        <w:rPr>
          <w:b/>
          <w:bCs/>
          <w:sz w:val="24"/>
          <w:szCs w:val="24"/>
        </w:rPr>
        <w:t>25</w:t>
      </w:r>
      <w:r w:rsidRPr="002F4C8F">
        <w:rPr>
          <w:sz w:val="24"/>
          <w:szCs w:val="24"/>
        </w:rPr>
        <w:t>: 414– 26.</w:t>
      </w:r>
    </w:p>
    <w:p w14:paraId="2AE2E322" w14:textId="77777777" w:rsidR="00AB1877" w:rsidRPr="002F4C8F" w:rsidRDefault="00AB1877" w:rsidP="002F4C8F">
      <w:pPr>
        <w:pStyle w:val="NoSpacing"/>
        <w:ind w:left="720" w:hanging="720"/>
        <w:rPr>
          <w:sz w:val="24"/>
          <w:szCs w:val="24"/>
        </w:rPr>
      </w:pPr>
      <w:r w:rsidRPr="002F4C8F">
        <w:rPr>
          <w:sz w:val="24"/>
          <w:szCs w:val="24"/>
        </w:rPr>
        <w:t>6 Jacobsen I. Root fractures in permanent anterior teeth with incomplete root formation. </w:t>
      </w:r>
      <w:proofErr w:type="spellStart"/>
      <w:r w:rsidRPr="002F4C8F">
        <w:rPr>
          <w:i/>
          <w:iCs/>
          <w:sz w:val="24"/>
          <w:szCs w:val="24"/>
        </w:rPr>
        <w:t>Scand</w:t>
      </w:r>
      <w:proofErr w:type="spellEnd"/>
      <w:r w:rsidRPr="002F4C8F">
        <w:rPr>
          <w:i/>
          <w:iCs/>
          <w:sz w:val="24"/>
          <w:szCs w:val="24"/>
        </w:rPr>
        <w:t xml:space="preserve"> J Dent Res</w:t>
      </w:r>
      <w:r w:rsidRPr="002F4C8F">
        <w:rPr>
          <w:sz w:val="24"/>
          <w:szCs w:val="24"/>
        </w:rPr>
        <w:t> 1976; </w:t>
      </w:r>
      <w:r w:rsidRPr="002F4C8F">
        <w:rPr>
          <w:b/>
          <w:bCs/>
          <w:sz w:val="24"/>
          <w:szCs w:val="24"/>
        </w:rPr>
        <w:t>84</w:t>
      </w:r>
      <w:r w:rsidRPr="002F4C8F">
        <w:rPr>
          <w:sz w:val="24"/>
          <w:szCs w:val="24"/>
        </w:rPr>
        <w:t>: 210– 7.</w:t>
      </w:r>
    </w:p>
    <w:p w14:paraId="2004CABE" w14:textId="77777777" w:rsidR="00AB1877" w:rsidRPr="002F4C8F" w:rsidRDefault="00AB1877" w:rsidP="002F4C8F">
      <w:pPr>
        <w:pStyle w:val="NoSpacing"/>
        <w:ind w:left="720" w:hanging="720"/>
        <w:rPr>
          <w:sz w:val="24"/>
          <w:szCs w:val="24"/>
        </w:rPr>
      </w:pPr>
      <w:r w:rsidRPr="002F4C8F">
        <w:rPr>
          <w:sz w:val="24"/>
          <w:szCs w:val="24"/>
        </w:rPr>
        <w:t>7 </w:t>
      </w:r>
      <w:proofErr w:type="spellStart"/>
      <w:r w:rsidRPr="002F4C8F">
        <w:rPr>
          <w:sz w:val="24"/>
          <w:szCs w:val="24"/>
        </w:rPr>
        <w:t>Fayle</w:t>
      </w:r>
      <w:proofErr w:type="spellEnd"/>
      <w:r w:rsidRPr="002F4C8F">
        <w:rPr>
          <w:sz w:val="24"/>
          <w:szCs w:val="24"/>
        </w:rPr>
        <w:t xml:space="preserve"> SA. Root fractures. In: MEJ Curzon, ed. </w:t>
      </w:r>
      <w:r w:rsidRPr="002F4C8F">
        <w:rPr>
          <w:i/>
          <w:iCs/>
          <w:sz w:val="24"/>
          <w:szCs w:val="24"/>
        </w:rPr>
        <w:t>Handbook of dental trauma</w:t>
      </w:r>
      <w:r w:rsidRPr="002F4C8F">
        <w:rPr>
          <w:sz w:val="24"/>
          <w:szCs w:val="24"/>
        </w:rPr>
        <w:t xml:space="preserve">, 1st </w:t>
      </w:r>
      <w:proofErr w:type="spellStart"/>
      <w:r w:rsidRPr="002F4C8F">
        <w:rPr>
          <w:sz w:val="24"/>
          <w:szCs w:val="24"/>
        </w:rPr>
        <w:t>edn</w:t>
      </w:r>
      <w:proofErr w:type="spellEnd"/>
      <w:r w:rsidRPr="002F4C8F">
        <w:rPr>
          <w:sz w:val="24"/>
          <w:szCs w:val="24"/>
        </w:rPr>
        <w:t>. Boston: Wright, 1999; pp. 99– 105.</w:t>
      </w:r>
    </w:p>
    <w:p w14:paraId="78C69311" w14:textId="77777777" w:rsidR="00AB1877" w:rsidRPr="002F4C8F" w:rsidRDefault="00AB1877" w:rsidP="002F4C8F">
      <w:pPr>
        <w:pStyle w:val="NoSpacing"/>
        <w:ind w:left="720" w:hanging="720"/>
        <w:rPr>
          <w:sz w:val="24"/>
          <w:szCs w:val="24"/>
        </w:rPr>
      </w:pPr>
      <w:r w:rsidRPr="002F4C8F">
        <w:rPr>
          <w:sz w:val="24"/>
          <w:szCs w:val="24"/>
        </w:rPr>
        <w:t>8 Trope M, </w:t>
      </w:r>
      <w:proofErr w:type="spellStart"/>
      <w:r w:rsidRPr="002F4C8F">
        <w:rPr>
          <w:sz w:val="24"/>
          <w:szCs w:val="24"/>
        </w:rPr>
        <w:t>Chivian</w:t>
      </w:r>
      <w:proofErr w:type="spellEnd"/>
      <w:r w:rsidRPr="002F4C8F">
        <w:rPr>
          <w:sz w:val="24"/>
          <w:szCs w:val="24"/>
        </w:rPr>
        <w:t xml:space="preserve"> N, Sigurdsson A. Traumatic injuries. In: S Cohen, RC Burns, eds. </w:t>
      </w:r>
      <w:r w:rsidRPr="002F4C8F">
        <w:rPr>
          <w:i/>
          <w:iCs/>
          <w:sz w:val="24"/>
          <w:szCs w:val="24"/>
        </w:rPr>
        <w:t>Pathways of the pulp</w:t>
      </w:r>
      <w:r w:rsidRPr="002F4C8F">
        <w:rPr>
          <w:sz w:val="24"/>
          <w:szCs w:val="24"/>
        </w:rPr>
        <w:t>. St. Louis: Mosby, 1998; pp. 567– 72.</w:t>
      </w:r>
    </w:p>
    <w:p w14:paraId="569B48C8" w14:textId="77777777" w:rsidR="00AB1877" w:rsidRPr="002F4C8F" w:rsidRDefault="00AB1877" w:rsidP="002F4C8F">
      <w:pPr>
        <w:pStyle w:val="NoSpacing"/>
        <w:ind w:left="720" w:hanging="720"/>
        <w:rPr>
          <w:sz w:val="24"/>
          <w:szCs w:val="24"/>
        </w:rPr>
      </w:pPr>
      <w:r w:rsidRPr="002F4C8F">
        <w:rPr>
          <w:sz w:val="24"/>
          <w:szCs w:val="24"/>
        </w:rPr>
        <w:t>9 Andreasen FM, Andreasen JO, Bayer T. Prognosis of root fractured permanent incisors: prediction of healing modalities. </w:t>
      </w:r>
      <w:proofErr w:type="spellStart"/>
      <w:r w:rsidRPr="002F4C8F">
        <w:rPr>
          <w:i/>
          <w:iCs/>
          <w:sz w:val="24"/>
          <w:szCs w:val="24"/>
        </w:rPr>
        <w:t>Endod</w:t>
      </w:r>
      <w:proofErr w:type="spellEnd"/>
      <w:r w:rsidRPr="002F4C8F">
        <w:rPr>
          <w:i/>
          <w:iCs/>
          <w:sz w:val="24"/>
          <w:szCs w:val="24"/>
        </w:rPr>
        <w:t xml:space="preserve"> Dent </w:t>
      </w:r>
      <w:proofErr w:type="spellStart"/>
      <w:r w:rsidRPr="002F4C8F">
        <w:rPr>
          <w:i/>
          <w:iCs/>
          <w:sz w:val="24"/>
          <w:szCs w:val="24"/>
        </w:rPr>
        <w:t>Traumatol</w:t>
      </w:r>
      <w:proofErr w:type="spellEnd"/>
      <w:r w:rsidRPr="002F4C8F">
        <w:rPr>
          <w:sz w:val="24"/>
          <w:szCs w:val="24"/>
        </w:rPr>
        <w:t> 1989; </w:t>
      </w:r>
      <w:r w:rsidRPr="002F4C8F">
        <w:rPr>
          <w:b/>
          <w:bCs/>
          <w:sz w:val="24"/>
          <w:szCs w:val="24"/>
        </w:rPr>
        <w:t>5</w:t>
      </w:r>
      <w:r w:rsidRPr="002F4C8F">
        <w:rPr>
          <w:sz w:val="24"/>
          <w:szCs w:val="24"/>
        </w:rPr>
        <w:t>: 11– 2.</w:t>
      </w:r>
    </w:p>
    <w:p w14:paraId="3338116D" w14:textId="77777777" w:rsidR="00AB1877" w:rsidRPr="002F4C8F" w:rsidRDefault="00AB1877" w:rsidP="002F4C8F">
      <w:pPr>
        <w:pStyle w:val="NoSpacing"/>
        <w:ind w:left="720" w:hanging="720"/>
        <w:rPr>
          <w:sz w:val="24"/>
          <w:szCs w:val="24"/>
        </w:rPr>
      </w:pPr>
      <w:r w:rsidRPr="002F4C8F">
        <w:rPr>
          <w:sz w:val="24"/>
          <w:szCs w:val="24"/>
        </w:rPr>
        <w:t>10 </w:t>
      </w:r>
      <w:proofErr w:type="spellStart"/>
      <w:r w:rsidRPr="002F4C8F">
        <w:rPr>
          <w:sz w:val="24"/>
          <w:szCs w:val="24"/>
        </w:rPr>
        <w:t>Caliskan</w:t>
      </w:r>
      <w:proofErr w:type="spellEnd"/>
      <w:r w:rsidRPr="002F4C8F">
        <w:rPr>
          <w:sz w:val="24"/>
          <w:szCs w:val="24"/>
        </w:rPr>
        <w:t xml:space="preserve"> MK, </w:t>
      </w:r>
      <w:proofErr w:type="spellStart"/>
      <w:r w:rsidRPr="002F4C8F">
        <w:rPr>
          <w:sz w:val="24"/>
          <w:szCs w:val="24"/>
        </w:rPr>
        <w:t>Pehlivan</w:t>
      </w:r>
      <w:proofErr w:type="spellEnd"/>
      <w:r w:rsidRPr="002F4C8F">
        <w:rPr>
          <w:sz w:val="24"/>
          <w:szCs w:val="24"/>
        </w:rPr>
        <w:t xml:space="preserve"> V. Prognosis of root-fractured permanent incisors. </w:t>
      </w:r>
      <w:proofErr w:type="spellStart"/>
      <w:r w:rsidRPr="002F4C8F">
        <w:rPr>
          <w:i/>
          <w:iCs/>
          <w:sz w:val="24"/>
          <w:szCs w:val="24"/>
        </w:rPr>
        <w:t>Endod</w:t>
      </w:r>
      <w:proofErr w:type="spellEnd"/>
      <w:r w:rsidRPr="002F4C8F">
        <w:rPr>
          <w:i/>
          <w:iCs/>
          <w:sz w:val="24"/>
          <w:szCs w:val="24"/>
        </w:rPr>
        <w:t xml:space="preserve"> Dent </w:t>
      </w:r>
      <w:proofErr w:type="spellStart"/>
      <w:r w:rsidRPr="002F4C8F">
        <w:rPr>
          <w:i/>
          <w:iCs/>
          <w:sz w:val="24"/>
          <w:szCs w:val="24"/>
        </w:rPr>
        <w:t>Traumatol</w:t>
      </w:r>
      <w:proofErr w:type="spellEnd"/>
      <w:r w:rsidRPr="002F4C8F">
        <w:rPr>
          <w:sz w:val="24"/>
          <w:szCs w:val="24"/>
        </w:rPr>
        <w:t> 1996; </w:t>
      </w:r>
      <w:r w:rsidRPr="002F4C8F">
        <w:rPr>
          <w:b/>
          <w:bCs/>
          <w:sz w:val="24"/>
          <w:szCs w:val="24"/>
        </w:rPr>
        <w:t>12</w:t>
      </w:r>
      <w:r w:rsidRPr="002F4C8F">
        <w:rPr>
          <w:sz w:val="24"/>
          <w:szCs w:val="24"/>
        </w:rPr>
        <w:t>: 129– 36.</w:t>
      </w:r>
    </w:p>
    <w:p w14:paraId="14B14173" w14:textId="77777777" w:rsidR="00AB1877" w:rsidRPr="002F4C8F" w:rsidRDefault="00AB1877" w:rsidP="002F4C8F">
      <w:pPr>
        <w:pStyle w:val="NoSpacing"/>
        <w:ind w:left="720" w:hanging="720"/>
        <w:rPr>
          <w:sz w:val="24"/>
          <w:szCs w:val="24"/>
        </w:rPr>
      </w:pPr>
      <w:r w:rsidRPr="002F4C8F">
        <w:rPr>
          <w:sz w:val="24"/>
          <w:szCs w:val="24"/>
        </w:rPr>
        <w:t>11 </w:t>
      </w:r>
      <w:proofErr w:type="spellStart"/>
      <w:r w:rsidRPr="002F4C8F">
        <w:rPr>
          <w:sz w:val="24"/>
          <w:szCs w:val="24"/>
        </w:rPr>
        <w:t>Öztan</w:t>
      </w:r>
      <w:proofErr w:type="spellEnd"/>
      <w:r w:rsidRPr="002F4C8F">
        <w:rPr>
          <w:sz w:val="24"/>
          <w:szCs w:val="24"/>
        </w:rPr>
        <w:t xml:space="preserve"> MD, </w:t>
      </w:r>
      <w:proofErr w:type="spellStart"/>
      <w:r w:rsidRPr="002F4C8F">
        <w:rPr>
          <w:sz w:val="24"/>
          <w:szCs w:val="24"/>
        </w:rPr>
        <w:t>Sonat</w:t>
      </w:r>
      <w:proofErr w:type="spellEnd"/>
      <w:r w:rsidRPr="002F4C8F">
        <w:rPr>
          <w:sz w:val="24"/>
          <w:szCs w:val="24"/>
        </w:rPr>
        <w:t xml:space="preserve"> B. Repair of untreated horizontal root fractures: two case reports. </w:t>
      </w:r>
      <w:r w:rsidRPr="002F4C8F">
        <w:rPr>
          <w:i/>
          <w:iCs/>
          <w:sz w:val="24"/>
          <w:szCs w:val="24"/>
        </w:rPr>
        <w:t xml:space="preserve">Dent </w:t>
      </w:r>
      <w:proofErr w:type="spellStart"/>
      <w:r w:rsidRPr="002F4C8F">
        <w:rPr>
          <w:i/>
          <w:iCs/>
          <w:sz w:val="24"/>
          <w:szCs w:val="24"/>
        </w:rPr>
        <w:t>Traumatol</w:t>
      </w:r>
      <w:proofErr w:type="spellEnd"/>
      <w:r w:rsidRPr="002F4C8F">
        <w:rPr>
          <w:sz w:val="24"/>
          <w:szCs w:val="24"/>
        </w:rPr>
        <w:t> 2001; </w:t>
      </w:r>
      <w:r w:rsidRPr="002F4C8F">
        <w:rPr>
          <w:b/>
          <w:bCs/>
          <w:sz w:val="24"/>
          <w:szCs w:val="24"/>
        </w:rPr>
        <w:t>17</w:t>
      </w:r>
      <w:r w:rsidRPr="002F4C8F">
        <w:rPr>
          <w:sz w:val="24"/>
          <w:szCs w:val="24"/>
        </w:rPr>
        <w:t>: 240– 3.</w:t>
      </w:r>
    </w:p>
    <w:p w14:paraId="010F717F" w14:textId="77777777" w:rsidR="00AB1877" w:rsidRPr="002F4C8F" w:rsidRDefault="00AB1877" w:rsidP="002F4C8F">
      <w:pPr>
        <w:pStyle w:val="NoSpacing"/>
        <w:ind w:left="720" w:hanging="720"/>
        <w:rPr>
          <w:sz w:val="24"/>
          <w:szCs w:val="24"/>
        </w:rPr>
      </w:pPr>
      <w:r w:rsidRPr="002F4C8F">
        <w:rPr>
          <w:sz w:val="24"/>
          <w:szCs w:val="24"/>
        </w:rPr>
        <w:t>12 </w:t>
      </w:r>
      <w:proofErr w:type="spellStart"/>
      <w:r w:rsidRPr="002F4C8F">
        <w:rPr>
          <w:sz w:val="24"/>
          <w:szCs w:val="24"/>
        </w:rPr>
        <w:t>Artvinli</w:t>
      </w:r>
      <w:proofErr w:type="spellEnd"/>
      <w:r w:rsidRPr="002F4C8F">
        <w:rPr>
          <w:sz w:val="24"/>
          <w:szCs w:val="24"/>
        </w:rPr>
        <w:t xml:space="preserve"> LB, Dural S. Spontaneously healed root fracture: report of a case. </w:t>
      </w:r>
      <w:r w:rsidRPr="002F4C8F">
        <w:rPr>
          <w:i/>
          <w:iCs/>
          <w:sz w:val="24"/>
          <w:szCs w:val="24"/>
        </w:rPr>
        <w:t xml:space="preserve">Dent </w:t>
      </w:r>
      <w:proofErr w:type="spellStart"/>
      <w:r w:rsidRPr="002F4C8F">
        <w:rPr>
          <w:i/>
          <w:iCs/>
          <w:sz w:val="24"/>
          <w:szCs w:val="24"/>
        </w:rPr>
        <w:t>Traumatol</w:t>
      </w:r>
      <w:proofErr w:type="spellEnd"/>
      <w:r w:rsidRPr="002F4C8F">
        <w:rPr>
          <w:sz w:val="24"/>
          <w:szCs w:val="24"/>
        </w:rPr>
        <w:t> 2003; </w:t>
      </w:r>
      <w:r w:rsidRPr="002F4C8F">
        <w:rPr>
          <w:b/>
          <w:bCs/>
          <w:sz w:val="24"/>
          <w:szCs w:val="24"/>
        </w:rPr>
        <w:t>19</w:t>
      </w:r>
      <w:r w:rsidRPr="002F4C8F">
        <w:rPr>
          <w:sz w:val="24"/>
          <w:szCs w:val="24"/>
        </w:rPr>
        <w:t>: 64– 6.</w:t>
      </w:r>
    </w:p>
    <w:p w14:paraId="36D476E1" w14:textId="77777777" w:rsidR="00AB1877" w:rsidRPr="002F4C8F" w:rsidRDefault="00AB1877" w:rsidP="002F4C8F">
      <w:pPr>
        <w:pStyle w:val="NoSpacing"/>
        <w:ind w:left="720" w:hanging="720"/>
        <w:rPr>
          <w:sz w:val="24"/>
          <w:szCs w:val="24"/>
        </w:rPr>
      </w:pPr>
      <w:r w:rsidRPr="002F4C8F">
        <w:rPr>
          <w:sz w:val="24"/>
          <w:szCs w:val="24"/>
        </w:rPr>
        <w:t>13 </w:t>
      </w:r>
      <w:proofErr w:type="spellStart"/>
      <w:r w:rsidRPr="002F4C8F">
        <w:rPr>
          <w:sz w:val="24"/>
          <w:szCs w:val="24"/>
        </w:rPr>
        <w:t>Özbek</w:t>
      </w:r>
      <w:proofErr w:type="spellEnd"/>
      <w:r w:rsidRPr="002F4C8F">
        <w:rPr>
          <w:sz w:val="24"/>
          <w:szCs w:val="24"/>
        </w:rPr>
        <w:t xml:space="preserve"> M, </w:t>
      </w:r>
      <w:proofErr w:type="spellStart"/>
      <w:r w:rsidRPr="002F4C8F">
        <w:rPr>
          <w:sz w:val="24"/>
          <w:szCs w:val="24"/>
        </w:rPr>
        <w:t>Serper</w:t>
      </w:r>
      <w:proofErr w:type="spellEnd"/>
      <w:r w:rsidRPr="002F4C8F">
        <w:rPr>
          <w:sz w:val="24"/>
          <w:szCs w:val="24"/>
        </w:rPr>
        <w:t xml:space="preserve"> A, </w:t>
      </w:r>
      <w:proofErr w:type="spellStart"/>
      <w:r w:rsidRPr="002F4C8F">
        <w:rPr>
          <w:sz w:val="24"/>
          <w:szCs w:val="24"/>
        </w:rPr>
        <w:t>Çalt</w:t>
      </w:r>
      <w:proofErr w:type="spellEnd"/>
      <w:r w:rsidRPr="002F4C8F">
        <w:rPr>
          <w:sz w:val="24"/>
          <w:szCs w:val="24"/>
        </w:rPr>
        <w:t xml:space="preserve"> S. Repair of untreated horizontal root fracture: a case report. </w:t>
      </w:r>
      <w:r w:rsidRPr="002F4C8F">
        <w:rPr>
          <w:i/>
          <w:iCs/>
          <w:sz w:val="24"/>
          <w:szCs w:val="24"/>
        </w:rPr>
        <w:t xml:space="preserve">Dent </w:t>
      </w:r>
      <w:proofErr w:type="spellStart"/>
      <w:r w:rsidRPr="002F4C8F">
        <w:rPr>
          <w:i/>
          <w:iCs/>
          <w:sz w:val="24"/>
          <w:szCs w:val="24"/>
        </w:rPr>
        <w:t>Traumatol</w:t>
      </w:r>
      <w:proofErr w:type="spellEnd"/>
      <w:r w:rsidRPr="002F4C8F">
        <w:rPr>
          <w:sz w:val="24"/>
          <w:szCs w:val="24"/>
        </w:rPr>
        <w:t> 2003; </w:t>
      </w:r>
      <w:r w:rsidRPr="002F4C8F">
        <w:rPr>
          <w:b/>
          <w:bCs/>
          <w:sz w:val="24"/>
          <w:szCs w:val="24"/>
        </w:rPr>
        <w:t>19</w:t>
      </w:r>
      <w:r w:rsidRPr="002F4C8F">
        <w:rPr>
          <w:sz w:val="24"/>
          <w:szCs w:val="24"/>
        </w:rPr>
        <w:t>: 296– 7.</w:t>
      </w:r>
    </w:p>
    <w:p w14:paraId="57376A4A" w14:textId="77777777" w:rsidR="00AB1877" w:rsidRPr="002F4C8F" w:rsidRDefault="00AB1877" w:rsidP="002F4C8F">
      <w:pPr>
        <w:pStyle w:val="NoSpacing"/>
        <w:ind w:left="720" w:hanging="720"/>
        <w:rPr>
          <w:sz w:val="24"/>
          <w:szCs w:val="24"/>
        </w:rPr>
      </w:pPr>
      <w:r w:rsidRPr="002F4C8F">
        <w:rPr>
          <w:sz w:val="24"/>
          <w:szCs w:val="24"/>
        </w:rPr>
        <w:t>14 Feely L, Mackie IC, Macfarlane T. An investigation of root-fractured permanent incisor teeth in children. </w:t>
      </w:r>
      <w:r w:rsidRPr="002F4C8F">
        <w:rPr>
          <w:i/>
          <w:iCs/>
          <w:sz w:val="24"/>
          <w:szCs w:val="24"/>
        </w:rPr>
        <w:t xml:space="preserve">Dent </w:t>
      </w:r>
      <w:proofErr w:type="spellStart"/>
      <w:r w:rsidRPr="002F4C8F">
        <w:rPr>
          <w:i/>
          <w:iCs/>
          <w:sz w:val="24"/>
          <w:szCs w:val="24"/>
        </w:rPr>
        <w:t>Traumatol</w:t>
      </w:r>
      <w:proofErr w:type="spellEnd"/>
      <w:r w:rsidRPr="002F4C8F">
        <w:rPr>
          <w:sz w:val="24"/>
          <w:szCs w:val="24"/>
        </w:rPr>
        <w:t> 2003; </w:t>
      </w:r>
      <w:r w:rsidRPr="002F4C8F">
        <w:rPr>
          <w:b/>
          <w:bCs/>
          <w:sz w:val="24"/>
          <w:szCs w:val="24"/>
        </w:rPr>
        <w:t>19</w:t>
      </w:r>
      <w:r w:rsidRPr="002F4C8F">
        <w:rPr>
          <w:sz w:val="24"/>
          <w:szCs w:val="24"/>
        </w:rPr>
        <w:t>: 52– 4.</w:t>
      </w:r>
    </w:p>
    <w:p w14:paraId="7B83C643" w14:textId="77777777" w:rsidR="00AB1877" w:rsidRPr="002F4C8F" w:rsidRDefault="00AB1877" w:rsidP="002F4C8F">
      <w:pPr>
        <w:pStyle w:val="NoSpacing"/>
        <w:ind w:left="720" w:hanging="720"/>
        <w:rPr>
          <w:sz w:val="24"/>
          <w:szCs w:val="24"/>
        </w:rPr>
      </w:pPr>
      <w:r w:rsidRPr="002F4C8F">
        <w:rPr>
          <w:sz w:val="24"/>
          <w:szCs w:val="24"/>
        </w:rPr>
        <w:t>15 Andreasen JO, Andreasen FM, </w:t>
      </w:r>
      <w:proofErr w:type="spellStart"/>
      <w:r w:rsidRPr="002F4C8F">
        <w:rPr>
          <w:sz w:val="24"/>
          <w:szCs w:val="24"/>
        </w:rPr>
        <w:t>Mejare</w:t>
      </w:r>
      <w:proofErr w:type="spellEnd"/>
      <w:r w:rsidRPr="002F4C8F">
        <w:rPr>
          <w:sz w:val="24"/>
          <w:szCs w:val="24"/>
        </w:rPr>
        <w:t xml:space="preserve"> I, </w:t>
      </w:r>
      <w:proofErr w:type="spellStart"/>
      <w:r w:rsidRPr="002F4C8F">
        <w:rPr>
          <w:sz w:val="24"/>
          <w:szCs w:val="24"/>
        </w:rPr>
        <w:t>Cvek</w:t>
      </w:r>
      <w:proofErr w:type="spellEnd"/>
      <w:r w:rsidRPr="002F4C8F">
        <w:rPr>
          <w:sz w:val="24"/>
          <w:szCs w:val="24"/>
        </w:rPr>
        <w:t xml:space="preserve"> M. Healing of 400 intra-alveolar root fractures. 2. Effect of treatment factors such as treatment delay, repositioning, splinting type and period and antibiotics. </w:t>
      </w:r>
      <w:r w:rsidRPr="002F4C8F">
        <w:rPr>
          <w:i/>
          <w:iCs/>
          <w:sz w:val="24"/>
          <w:szCs w:val="24"/>
        </w:rPr>
        <w:t xml:space="preserve">Dent </w:t>
      </w:r>
      <w:proofErr w:type="spellStart"/>
      <w:r w:rsidRPr="002F4C8F">
        <w:rPr>
          <w:i/>
          <w:iCs/>
          <w:sz w:val="24"/>
          <w:szCs w:val="24"/>
        </w:rPr>
        <w:t>Traumatol</w:t>
      </w:r>
      <w:proofErr w:type="spellEnd"/>
      <w:r w:rsidRPr="002F4C8F">
        <w:rPr>
          <w:sz w:val="24"/>
          <w:szCs w:val="24"/>
        </w:rPr>
        <w:t> 2004; </w:t>
      </w:r>
      <w:r w:rsidRPr="002F4C8F">
        <w:rPr>
          <w:b/>
          <w:bCs/>
          <w:sz w:val="24"/>
          <w:szCs w:val="24"/>
        </w:rPr>
        <w:t>20</w:t>
      </w:r>
      <w:r w:rsidRPr="002F4C8F">
        <w:rPr>
          <w:sz w:val="24"/>
          <w:szCs w:val="24"/>
        </w:rPr>
        <w:t>: 203– 11.</w:t>
      </w:r>
    </w:p>
    <w:p w14:paraId="5AC36846" w14:textId="77777777" w:rsidR="00AB1877" w:rsidRPr="002F4C8F" w:rsidRDefault="00AB1877" w:rsidP="002F4C8F">
      <w:pPr>
        <w:pStyle w:val="NoSpacing"/>
        <w:ind w:left="720" w:hanging="720"/>
        <w:rPr>
          <w:sz w:val="24"/>
          <w:szCs w:val="24"/>
        </w:rPr>
      </w:pPr>
      <w:r w:rsidRPr="002F4C8F">
        <w:rPr>
          <w:sz w:val="24"/>
          <w:szCs w:val="24"/>
        </w:rPr>
        <w:t>16 Andreasen JO, Andreasen FM, </w:t>
      </w:r>
      <w:proofErr w:type="spellStart"/>
      <w:r w:rsidRPr="002F4C8F">
        <w:rPr>
          <w:sz w:val="24"/>
          <w:szCs w:val="24"/>
        </w:rPr>
        <w:t>Mejare</w:t>
      </w:r>
      <w:proofErr w:type="spellEnd"/>
      <w:r w:rsidRPr="002F4C8F">
        <w:rPr>
          <w:sz w:val="24"/>
          <w:szCs w:val="24"/>
        </w:rPr>
        <w:t xml:space="preserve"> I, </w:t>
      </w:r>
      <w:proofErr w:type="spellStart"/>
      <w:r w:rsidRPr="002F4C8F">
        <w:rPr>
          <w:sz w:val="24"/>
          <w:szCs w:val="24"/>
        </w:rPr>
        <w:t>Cvek</w:t>
      </w:r>
      <w:proofErr w:type="spellEnd"/>
      <w:r w:rsidRPr="002F4C8F">
        <w:rPr>
          <w:sz w:val="24"/>
          <w:szCs w:val="24"/>
        </w:rPr>
        <w:t xml:space="preserve"> M. Healing of 400 intra-alveolar root fractures. 1. Effect of pre-injury and injury factors such as sex, age, stage of root development, fracture type, location of fracture and severity of dislocation. </w:t>
      </w:r>
      <w:r w:rsidRPr="002F4C8F">
        <w:rPr>
          <w:i/>
          <w:iCs/>
          <w:sz w:val="24"/>
          <w:szCs w:val="24"/>
        </w:rPr>
        <w:t xml:space="preserve">Dent </w:t>
      </w:r>
      <w:proofErr w:type="spellStart"/>
      <w:r w:rsidRPr="002F4C8F">
        <w:rPr>
          <w:i/>
          <w:iCs/>
          <w:sz w:val="24"/>
          <w:szCs w:val="24"/>
        </w:rPr>
        <w:t>Traumatol</w:t>
      </w:r>
      <w:proofErr w:type="spellEnd"/>
      <w:r w:rsidRPr="002F4C8F">
        <w:rPr>
          <w:sz w:val="24"/>
          <w:szCs w:val="24"/>
        </w:rPr>
        <w:t> 2004; </w:t>
      </w:r>
      <w:r w:rsidRPr="002F4C8F">
        <w:rPr>
          <w:b/>
          <w:bCs/>
          <w:sz w:val="24"/>
          <w:szCs w:val="24"/>
        </w:rPr>
        <w:t>20</w:t>
      </w:r>
      <w:r w:rsidRPr="002F4C8F">
        <w:rPr>
          <w:sz w:val="24"/>
          <w:szCs w:val="24"/>
        </w:rPr>
        <w:t>: 192– 202.</w:t>
      </w:r>
    </w:p>
    <w:p w14:paraId="0C45627D" w14:textId="77777777" w:rsidR="00AB1877" w:rsidRPr="002F4C8F" w:rsidRDefault="00AB1877" w:rsidP="002F4C8F">
      <w:pPr>
        <w:pStyle w:val="NoSpacing"/>
        <w:ind w:left="720" w:hanging="720"/>
        <w:rPr>
          <w:sz w:val="24"/>
          <w:szCs w:val="24"/>
        </w:rPr>
      </w:pPr>
      <w:r w:rsidRPr="002F4C8F">
        <w:rPr>
          <w:sz w:val="24"/>
          <w:szCs w:val="24"/>
        </w:rPr>
        <w:t>17 Jacobsen I, </w:t>
      </w:r>
      <w:proofErr w:type="spellStart"/>
      <w:r w:rsidRPr="002F4C8F">
        <w:rPr>
          <w:sz w:val="24"/>
          <w:szCs w:val="24"/>
        </w:rPr>
        <w:t>Zachrisson</w:t>
      </w:r>
      <w:proofErr w:type="spellEnd"/>
      <w:r w:rsidRPr="002F4C8F">
        <w:rPr>
          <w:sz w:val="24"/>
          <w:szCs w:val="24"/>
        </w:rPr>
        <w:t xml:space="preserve"> BU. Repair characteristics of root fractures in permanent anterior teeth. </w:t>
      </w:r>
      <w:proofErr w:type="spellStart"/>
      <w:r w:rsidRPr="002F4C8F">
        <w:rPr>
          <w:i/>
          <w:iCs/>
          <w:sz w:val="24"/>
          <w:szCs w:val="24"/>
        </w:rPr>
        <w:t>Scand</w:t>
      </w:r>
      <w:proofErr w:type="spellEnd"/>
      <w:r w:rsidRPr="002F4C8F">
        <w:rPr>
          <w:i/>
          <w:iCs/>
          <w:sz w:val="24"/>
          <w:szCs w:val="24"/>
        </w:rPr>
        <w:t xml:space="preserve"> J Dent Res</w:t>
      </w:r>
      <w:r w:rsidRPr="002F4C8F">
        <w:rPr>
          <w:sz w:val="24"/>
          <w:szCs w:val="24"/>
        </w:rPr>
        <w:t> 1975; </w:t>
      </w:r>
      <w:r w:rsidRPr="002F4C8F">
        <w:rPr>
          <w:b/>
          <w:bCs/>
          <w:sz w:val="24"/>
          <w:szCs w:val="24"/>
        </w:rPr>
        <w:t>83</w:t>
      </w:r>
      <w:r w:rsidRPr="002F4C8F">
        <w:rPr>
          <w:sz w:val="24"/>
          <w:szCs w:val="24"/>
        </w:rPr>
        <w:t>: 355– 64.</w:t>
      </w:r>
    </w:p>
    <w:p w14:paraId="0122A86C" w14:textId="77777777" w:rsidR="006A4082" w:rsidRPr="00AB1877" w:rsidRDefault="006A4082" w:rsidP="00171D8A">
      <w:pPr>
        <w:rPr>
          <w:rFonts w:cstheme="minorHAnsi"/>
          <w:sz w:val="24"/>
          <w:szCs w:val="24"/>
        </w:rPr>
      </w:pPr>
    </w:p>
    <w:sectPr w:rsidR="006A4082" w:rsidRPr="00AB1877"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23F4AC9"/>
    <w:multiLevelType w:val="multilevel"/>
    <w:tmpl w:val="EA8A627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C1035F3"/>
    <w:multiLevelType w:val="multilevel"/>
    <w:tmpl w:val="E6026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
  </w:num>
  <w:num w:numId="3">
    <w:abstractNumId w:val="2"/>
  </w:num>
  <w:num w:numId="4">
    <w:abstractNumId w:val="12"/>
  </w:num>
  <w:num w:numId="5">
    <w:abstractNumId w:val="13"/>
  </w:num>
  <w:num w:numId="6">
    <w:abstractNumId w:val="10"/>
  </w:num>
  <w:num w:numId="7">
    <w:abstractNumId w:val="6"/>
  </w:num>
  <w:num w:numId="8">
    <w:abstractNumId w:val="7"/>
  </w:num>
  <w:num w:numId="9">
    <w:abstractNumId w:val="4"/>
  </w:num>
  <w:num w:numId="10">
    <w:abstractNumId w:val="9"/>
  </w:num>
  <w:num w:numId="11">
    <w:abstractNumId w:val="8"/>
  </w:num>
  <w:num w:numId="12">
    <w:abstractNumId w:val="14"/>
  </w:num>
  <w:num w:numId="13">
    <w:abstractNumId w:val="15"/>
  </w:num>
  <w:num w:numId="14">
    <w:abstractNumId w:val="3"/>
  </w:num>
  <w:num w:numId="15">
    <w:abstractNumId w:val="0"/>
  </w:num>
  <w:num w:numId="16">
    <w:abstractNumId w:val="5"/>
  </w:num>
  <w:num w:numId="17">
    <w:abstractNumId w:val="16"/>
  </w:num>
  <w:num w:numId="18">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oNcDqVd00rcbitqamINbruzACSkuqD7hwASVX4iwubyFp9dn1hCUGhrXMLq4lIDbE5ZmbYUkqd0demaObApZpw==" w:salt="couDDatVpNQDmKXY9SN15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8A"/>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2162"/>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4C8F"/>
    <w:rsid w:val="002F538B"/>
    <w:rsid w:val="00300EE4"/>
    <w:rsid w:val="0030197F"/>
    <w:rsid w:val="0030223E"/>
    <w:rsid w:val="00303A1E"/>
    <w:rsid w:val="00303BBD"/>
    <w:rsid w:val="00313440"/>
    <w:rsid w:val="00314F2F"/>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B2226"/>
    <w:rsid w:val="004B5E9D"/>
    <w:rsid w:val="004B6BED"/>
    <w:rsid w:val="004B77C2"/>
    <w:rsid w:val="004C0AF2"/>
    <w:rsid w:val="004C0B3D"/>
    <w:rsid w:val="004C0C08"/>
    <w:rsid w:val="004C2D7B"/>
    <w:rsid w:val="004C45D2"/>
    <w:rsid w:val="004C4C7C"/>
    <w:rsid w:val="004C5EEF"/>
    <w:rsid w:val="004D118A"/>
    <w:rsid w:val="004D1CB9"/>
    <w:rsid w:val="004D21C9"/>
    <w:rsid w:val="004D22F5"/>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47AC3"/>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71E0"/>
    <w:rsid w:val="00693B53"/>
    <w:rsid w:val="00697377"/>
    <w:rsid w:val="006A0D31"/>
    <w:rsid w:val="006A1F61"/>
    <w:rsid w:val="006A4082"/>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36502"/>
    <w:rsid w:val="007441DA"/>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97E41"/>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17D9"/>
    <w:rsid w:val="00AB1877"/>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1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2D1"/>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AF2"/>
    <w:rsid w:val="00F00B9A"/>
    <w:rsid w:val="00F0246E"/>
    <w:rsid w:val="00F026DB"/>
    <w:rsid w:val="00F04133"/>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7F4"/>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502"/>
  </w:style>
  <w:style w:type="paragraph" w:styleId="Heading1">
    <w:name w:val="heading 1"/>
    <w:basedOn w:val="Normal"/>
    <w:next w:val="Normal"/>
    <w:link w:val="Heading1Char"/>
    <w:uiPriority w:val="9"/>
    <w:qFormat/>
    <w:rsid w:val="0073650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3650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3650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736502"/>
    <w:pPr>
      <w:keepNext/>
      <w:keepLines/>
      <w:spacing w:before="40" w:after="0"/>
      <w:outlineLvl w:val="3"/>
    </w:pPr>
    <w:rPr>
      <w:i/>
      <w:iCs/>
    </w:rPr>
  </w:style>
  <w:style w:type="paragraph" w:styleId="Heading5">
    <w:name w:val="heading 5"/>
    <w:basedOn w:val="Normal"/>
    <w:next w:val="Normal"/>
    <w:link w:val="Heading5Char"/>
    <w:uiPriority w:val="9"/>
    <w:unhideWhenUsed/>
    <w:qFormat/>
    <w:rsid w:val="0073650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736502"/>
    <w:pPr>
      <w:keepNext/>
      <w:keepLines/>
      <w:spacing w:before="40" w:after="0"/>
      <w:outlineLvl w:val="5"/>
    </w:pPr>
  </w:style>
  <w:style w:type="paragraph" w:styleId="Heading7">
    <w:name w:val="heading 7"/>
    <w:basedOn w:val="Normal"/>
    <w:next w:val="Normal"/>
    <w:link w:val="Heading7Char"/>
    <w:uiPriority w:val="9"/>
    <w:semiHidden/>
    <w:unhideWhenUsed/>
    <w:qFormat/>
    <w:rsid w:val="0073650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3650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3650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650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73650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73650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736502"/>
    <w:rPr>
      <w:i/>
      <w:iCs/>
    </w:rPr>
  </w:style>
  <w:style w:type="character" w:customStyle="1" w:styleId="Heading5Char">
    <w:name w:val="Heading 5 Char"/>
    <w:basedOn w:val="DefaultParagraphFont"/>
    <w:link w:val="Heading5"/>
    <w:uiPriority w:val="9"/>
    <w:rsid w:val="00736502"/>
    <w:rPr>
      <w:color w:val="404040" w:themeColor="text1" w:themeTint="BF"/>
    </w:rPr>
  </w:style>
  <w:style w:type="character" w:customStyle="1" w:styleId="Heading6Char">
    <w:name w:val="Heading 6 Char"/>
    <w:basedOn w:val="DefaultParagraphFont"/>
    <w:link w:val="Heading6"/>
    <w:uiPriority w:val="9"/>
    <w:rsid w:val="00736502"/>
  </w:style>
  <w:style w:type="character" w:customStyle="1" w:styleId="Heading7Char">
    <w:name w:val="Heading 7 Char"/>
    <w:basedOn w:val="DefaultParagraphFont"/>
    <w:link w:val="Heading7"/>
    <w:uiPriority w:val="9"/>
    <w:semiHidden/>
    <w:rsid w:val="0073650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36502"/>
    <w:rPr>
      <w:color w:val="262626" w:themeColor="text1" w:themeTint="D9"/>
      <w:sz w:val="21"/>
      <w:szCs w:val="21"/>
    </w:rPr>
  </w:style>
  <w:style w:type="character" w:customStyle="1" w:styleId="Heading9Char">
    <w:name w:val="Heading 9 Char"/>
    <w:basedOn w:val="DefaultParagraphFont"/>
    <w:link w:val="Heading9"/>
    <w:uiPriority w:val="9"/>
    <w:semiHidden/>
    <w:rsid w:val="0073650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3650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3650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3650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3650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36502"/>
    <w:rPr>
      <w:color w:val="5A5A5A" w:themeColor="text1" w:themeTint="A5"/>
      <w:spacing w:val="15"/>
    </w:rPr>
  </w:style>
  <w:style w:type="character" w:styleId="Strong">
    <w:name w:val="Strong"/>
    <w:basedOn w:val="DefaultParagraphFont"/>
    <w:uiPriority w:val="22"/>
    <w:qFormat/>
    <w:rsid w:val="00736502"/>
    <w:rPr>
      <w:b/>
      <w:bCs/>
      <w:color w:val="auto"/>
    </w:rPr>
  </w:style>
  <w:style w:type="character" w:styleId="Emphasis">
    <w:name w:val="Emphasis"/>
    <w:basedOn w:val="DefaultParagraphFont"/>
    <w:uiPriority w:val="20"/>
    <w:qFormat/>
    <w:rsid w:val="00736502"/>
    <w:rPr>
      <w:i/>
      <w:iCs/>
      <w:color w:val="auto"/>
    </w:rPr>
  </w:style>
  <w:style w:type="paragraph" w:styleId="NoSpacing">
    <w:name w:val="No Spacing"/>
    <w:uiPriority w:val="1"/>
    <w:qFormat/>
    <w:rsid w:val="0073650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73650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36502"/>
    <w:rPr>
      <w:i/>
      <w:iCs/>
      <w:color w:val="404040" w:themeColor="text1" w:themeTint="BF"/>
    </w:rPr>
  </w:style>
  <w:style w:type="paragraph" w:styleId="IntenseQuote">
    <w:name w:val="Intense Quote"/>
    <w:basedOn w:val="Normal"/>
    <w:next w:val="Normal"/>
    <w:link w:val="IntenseQuoteChar"/>
    <w:uiPriority w:val="30"/>
    <w:qFormat/>
    <w:rsid w:val="0073650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36502"/>
    <w:rPr>
      <w:i/>
      <w:iCs/>
      <w:color w:val="404040" w:themeColor="text1" w:themeTint="BF"/>
    </w:rPr>
  </w:style>
  <w:style w:type="character" w:styleId="SubtleEmphasis">
    <w:name w:val="Subtle Emphasis"/>
    <w:basedOn w:val="DefaultParagraphFont"/>
    <w:uiPriority w:val="19"/>
    <w:qFormat/>
    <w:rsid w:val="00736502"/>
    <w:rPr>
      <w:i/>
      <w:iCs/>
      <w:color w:val="404040" w:themeColor="text1" w:themeTint="BF"/>
    </w:rPr>
  </w:style>
  <w:style w:type="character" w:styleId="IntenseEmphasis">
    <w:name w:val="Intense Emphasis"/>
    <w:basedOn w:val="DefaultParagraphFont"/>
    <w:uiPriority w:val="21"/>
    <w:qFormat/>
    <w:rsid w:val="00736502"/>
    <w:rPr>
      <w:b/>
      <w:bCs/>
      <w:i/>
      <w:iCs/>
      <w:color w:val="auto"/>
    </w:rPr>
  </w:style>
  <w:style w:type="character" w:styleId="SubtleReference">
    <w:name w:val="Subtle Reference"/>
    <w:basedOn w:val="DefaultParagraphFont"/>
    <w:uiPriority w:val="31"/>
    <w:qFormat/>
    <w:rsid w:val="00736502"/>
    <w:rPr>
      <w:smallCaps/>
      <w:color w:val="404040" w:themeColor="text1" w:themeTint="BF"/>
    </w:rPr>
  </w:style>
  <w:style w:type="character" w:styleId="IntenseReference">
    <w:name w:val="Intense Reference"/>
    <w:basedOn w:val="DefaultParagraphFont"/>
    <w:uiPriority w:val="32"/>
    <w:qFormat/>
    <w:rsid w:val="00736502"/>
    <w:rPr>
      <w:b/>
      <w:bCs/>
      <w:smallCaps/>
      <w:color w:val="404040" w:themeColor="text1" w:themeTint="BF"/>
      <w:spacing w:val="5"/>
    </w:rPr>
  </w:style>
  <w:style w:type="character" w:styleId="BookTitle">
    <w:name w:val="Book Title"/>
    <w:basedOn w:val="DefaultParagraphFont"/>
    <w:uiPriority w:val="33"/>
    <w:qFormat/>
    <w:rsid w:val="00736502"/>
    <w:rPr>
      <w:b/>
      <w:bCs/>
      <w:i/>
      <w:iCs/>
      <w:spacing w:val="5"/>
    </w:rPr>
  </w:style>
  <w:style w:type="paragraph" w:styleId="TOCHeading">
    <w:name w:val="TOC Heading"/>
    <w:basedOn w:val="Heading1"/>
    <w:next w:val="Normal"/>
    <w:uiPriority w:val="39"/>
    <w:semiHidden/>
    <w:unhideWhenUsed/>
    <w:qFormat/>
    <w:rsid w:val="0073650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2194898">
      <w:bodyDiv w:val="1"/>
      <w:marLeft w:val="0"/>
      <w:marRight w:val="0"/>
      <w:marTop w:val="0"/>
      <w:marBottom w:val="0"/>
      <w:divBdr>
        <w:top w:val="none" w:sz="0" w:space="0" w:color="auto"/>
        <w:left w:val="none" w:sz="0" w:space="0" w:color="auto"/>
        <w:bottom w:val="none" w:sz="0" w:space="0" w:color="auto"/>
        <w:right w:val="none" w:sz="0" w:space="0" w:color="auto"/>
      </w:divBdr>
      <w:divsChild>
        <w:div w:id="577060674">
          <w:marLeft w:val="0"/>
          <w:marRight w:val="0"/>
          <w:marTop w:val="0"/>
          <w:marBottom w:val="0"/>
          <w:divBdr>
            <w:top w:val="none" w:sz="0" w:space="0" w:color="auto"/>
            <w:left w:val="none" w:sz="0" w:space="0" w:color="auto"/>
            <w:bottom w:val="none" w:sz="0" w:space="0" w:color="auto"/>
            <w:right w:val="none" w:sz="0" w:space="0" w:color="auto"/>
          </w:divBdr>
          <w:divsChild>
            <w:div w:id="587006296">
              <w:marLeft w:val="0"/>
              <w:marRight w:val="0"/>
              <w:marTop w:val="0"/>
              <w:marBottom w:val="0"/>
              <w:divBdr>
                <w:top w:val="none" w:sz="0" w:space="0" w:color="auto"/>
                <w:left w:val="none" w:sz="0" w:space="0" w:color="auto"/>
                <w:bottom w:val="none" w:sz="0" w:space="0" w:color="auto"/>
                <w:right w:val="none" w:sz="0" w:space="0" w:color="auto"/>
              </w:divBdr>
            </w:div>
          </w:divsChild>
        </w:div>
        <w:div w:id="1495487915">
          <w:marLeft w:val="0"/>
          <w:marRight w:val="0"/>
          <w:marTop w:val="0"/>
          <w:marBottom w:val="420"/>
          <w:divBdr>
            <w:top w:val="none" w:sz="0" w:space="0" w:color="auto"/>
            <w:left w:val="none" w:sz="0" w:space="0" w:color="auto"/>
            <w:bottom w:val="none" w:sz="0" w:space="0" w:color="auto"/>
            <w:right w:val="none" w:sz="0" w:space="0" w:color="auto"/>
          </w:divBdr>
        </w:div>
        <w:div w:id="1924336145">
          <w:marLeft w:val="0"/>
          <w:marRight w:val="0"/>
          <w:marTop w:val="0"/>
          <w:marBottom w:val="0"/>
          <w:divBdr>
            <w:top w:val="none" w:sz="0" w:space="0" w:color="auto"/>
            <w:left w:val="none" w:sz="0" w:space="0" w:color="auto"/>
            <w:bottom w:val="none" w:sz="0" w:space="0" w:color="auto"/>
            <w:right w:val="none" w:sz="0" w:space="0" w:color="auto"/>
          </w:divBdr>
          <w:divsChild>
            <w:div w:id="337922646">
              <w:marLeft w:val="0"/>
              <w:marRight w:val="0"/>
              <w:marTop w:val="0"/>
              <w:marBottom w:val="0"/>
              <w:divBdr>
                <w:top w:val="none" w:sz="0" w:space="0" w:color="auto"/>
                <w:left w:val="none" w:sz="0" w:space="0" w:color="auto"/>
                <w:bottom w:val="none" w:sz="0" w:space="0" w:color="auto"/>
                <w:right w:val="none" w:sz="0" w:space="0" w:color="auto"/>
              </w:divBdr>
            </w:div>
          </w:divsChild>
        </w:div>
        <w:div w:id="1050811826">
          <w:marLeft w:val="0"/>
          <w:marRight w:val="0"/>
          <w:marTop w:val="0"/>
          <w:marBottom w:val="420"/>
          <w:divBdr>
            <w:top w:val="none" w:sz="0" w:space="0" w:color="auto"/>
            <w:left w:val="none" w:sz="0" w:space="0" w:color="auto"/>
            <w:bottom w:val="none" w:sz="0" w:space="0" w:color="auto"/>
            <w:right w:val="none" w:sz="0" w:space="0" w:color="auto"/>
          </w:divBdr>
        </w:div>
        <w:div w:id="2080445036">
          <w:marLeft w:val="0"/>
          <w:marRight w:val="0"/>
          <w:marTop w:val="0"/>
          <w:marBottom w:val="0"/>
          <w:divBdr>
            <w:top w:val="none" w:sz="0" w:space="0" w:color="auto"/>
            <w:left w:val="none" w:sz="0" w:space="0" w:color="auto"/>
            <w:bottom w:val="none" w:sz="0" w:space="0" w:color="auto"/>
            <w:right w:val="none" w:sz="0" w:space="0" w:color="auto"/>
          </w:divBdr>
          <w:divsChild>
            <w:div w:id="1413314772">
              <w:marLeft w:val="0"/>
              <w:marRight w:val="0"/>
              <w:marTop w:val="0"/>
              <w:marBottom w:val="0"/>
              <w:divBdr>
                <w:top w:val="none" w:sz="0" w:space="0" w:color="auto"/>
                <w:left w:val="none" w:sz="0" w:space="0" w:color="auto"/>
                <w:bottom w:val="none" w:sz="0" w:space="0" w:color="auto"/>
                <w:right w:val="none" w:sz="0" w:space="0" w:color="auto"/>
              </w:divBdr>
            </w:div>
          </w:divsChild>
        </w:div>
        <w:div w:id="902562642">
          <w:marLeft w:val="0"/>
          <w:marRight w:val="0"/>
          <w:marTop w:val="0"/>
          <w:marBottom w:val="420"/>
          <w:divBdr>
            <w:top w:val="none" w:sz="0" w:space="0" w:color="auto"/>
            <w:left w:val="none" w:sz="0" w:space="0" w:color="auto"/>
            <w:bottom w:val="none" w:sz="0" w:space="0" w:color="auto"/>
            <w:right w:val="none" w:sz="0" w:space="0" w:color="auto"/>
          </w:divBdr>
        </w:div>
        <w:div w:id="682054547">
          <w:marLeft w:val="0"/>
          <w:marRight w:val="0"/>
          <w:marTop w:val="0"/>
          <w:marBottom w:val="0"/>
          <w:divBdr>
            <w:top w:val="none" w:sz="0" w:space="0" w:color="auto"/>
            <w:left w:val="none" w:sz="0" w:space="0" w:color="auto"/>
            <w:bottom w:val="none" w:sz="0" w:space="0" w:color="auto"/>
            <w:right w:val="none" w:sz="0" w:space="0" w:color="auto"/>
          </w:divBdr>
          <w:divsChild>
            <w:div w:id="1790784613">
              <w:marLeft w:val="0"/>
              <w:marRight w:val="0"/>
              <w:marTop w:val="0"/>
              <w:marBottom w:val="0"/>
              <w:divBdr>
                <w:top w:val="none" w:sz="0" w:space="0" w:color="auto"/>
                <w:left w:val="none" w:sz="0" w:space="0" w:color="auto"/>
                <w:bottom w:val="none" w:sz="0" w:space="0" w:color="auto"/>
                <w:right w:val="none" w:sz="0" w:space="0" w:color="auto"/>
              </w:divBdr>
            </w:div>
          </w:divsChild>
        </w:div>
        <w:div w:id="1276716114">
          <w:marLeft w:val="0"/>
          <w:marRight w:val="0"/>
          <w:marTop w:val="0"/>
          <w:marBottom w:val="420"/>
          <w:divBdr>
            <w:top w:val="none" w:sz="0" w:space="0" w:color="auto"/>
            <w:left w:val="none" w:sz="0" w:space="0" w:color="auto"/>
            <w:bottom w:val="none" w:sz="0" w:space="0" w:color="auto"/>
            <w:right w:val="none" w:sz="0" w:space="0" w:color="auto"/>
          </w:divBdr>
        </w:div>
        <w:div w:id="2140411389">
          <w:marLeft w:val="0"/>
          <w:marRight w:val="0"/>
          <w:marTop w:val="0"/>
          <w:marBottom w:val="240"/>
          <w:divBdr>
            <w:top w:val="none" w:sz="0" w:space="0" w:color="auto"/>
            <w:left w:val="none" w:sz="0" w:space="0" w:color="auto"/>
            <w:bottom w:val="none" w:sz="0" w:space="0" w:color="auto"/>
            <w:right w:val="none" w:sz="0" w:space="0" w:color="auto"/>
          </w:divBdr>
        </w:div>
        <w:div w:id="186215302">
          <w:marLeft w:val="0"/>
          <w:marRight w:val="0"/>
          <w:marTop w:val="480"/>
          <w:marBottom w:val="360"/>
          <w:divBdr>
            <w:top w:val="none" w:sz="0" w:space="0" w:color="auto"/>
            <w:left w:val="none" w:sz="0" w:space="0" w:color="auto"/>
            <w:bottom w:val="none" w:sz="0" w:space="0" w:color="auto"/>
            <w:right w:val="none" w:sz="0" w:space="0" w:color="auto"/>
          </w:divBdr>
          <w:divsChild>
            <w:div w:id="681199180">
              <w:marLeft w:val="0"/>
              <w:marRight w:val="0"/>
              <w:marTop w:val="0"/>
              <w:marBottom w:val="0"/>
              <w:divBdr>
                <w:top w:val="none" w:sz="0" w:space="0" w:color="auto"/>
                <w:left w:val="none" w:sz="0" w:space="0" w:color="auto"/>
                <w:bottom w:val="none" w:sz="0" w:space="0" w:color="auto"/>
                <w:right w:val="none" w:sz="0" w:space="0" w:color="auto"/>
              </w:divBdr>
            </w:div>
            <w:div w:id="869488533">
              <w:marLeft w:val="0"/>
              <w:marRight w:val="0"/>
              <w:marTop w:val="0"/>
              <w:marBottom w:val="0"/>
              <w:divBdr>
                <w:top w:val="single" w:sz="6" w:space="18" w:color="005274"/>
                <w:left w:val="single" w:sz="6" w:space="18" w:color="005274"/>
                <w:bottom w:val="single" w:sz="6" w:space="18" w:color="005274"/>
                <w:right w:val="single" w:sz="6" w:space="18" w:color="005274"/>
              </w:divBdr>
              <w:divsChild>
                <w:div w:id="66198183">
                  <w:marLeft w:val="0"/>
                  <w:marRight w:val="0"/>
                  <w:marTop w:val="0"/>
                  <w:marBottom w:val="0"/>
                  <w:divBdr>
                    <w:top w:val="none" w:sz="0" w:space="0" w:color="auto"/>
                    <w:left w:val="none" w:sz="0" w:space="0" w:color="auto"/>
                    <w:bottom w:val="none" w:sz="0" w:space="0" w:color="auto"/>
                    <w:right w:val="none" w:sz="0" w:space="0" w:color="auto"/>
                  </w:divBdr>
                </w:div>
                <w:div w:id="172451134">
                  <w:marLeft w:val="0"/>
                  <w:marRight w:val="0"/>
                  <w:marTop w:val="0"/>
                  <w:marBottom w:val="0"/>
                  <w:divBdr>
                    <w:top w:val="none" w:sz="0" w:space="0" w:color="auto"/>
                    <w:left w:val="none" w:sz="0" w:space="0" w:color="auto"/>
                    <w:bottom w:val="none" w:sz="0" w:space="0" w:color="auto"/>
                    <w:right w:val="none" w:sz="0" w:space="0" w:color="auto"/>
                  </w:divBdr>
                </w:div>
                <w:div w:id="311566550">
                  <w:marLeft w:val="0"/>
                  <w:marRight w:val="0"/>
                  <w:marTop w:val="0"/>
                  <w:marBottom w:val="0"/>
                  <w:divBdr>
                    <w:top w:val="none" w:sz="0" w:space="0" w:color="auto"/>
                    <w:left w:val="none" w:sz="0" w:space="0" w:color="auto"/>
                    <w:bottom w:val="none" w:sz="0" w:space="0" w:color="auto"/>
                    <w:right w:val="none" w:sz="0" w:space="0" w:color="auto"/>
                  </w:divBdr>
                </w:div>
                <w:div w:id="1323579593">
                  <w:marLeft w:val="0"/>
                  <w:marRight w:val="0"/>
                  <w:marTop w:val="0"/>
                  <w:marBottom w:val="0"/>
                  <w:divBdr>
                    <w:top w:val="none" w:sz="0" w:space="0" w:color="auto"/>
                    <w:left w:val="none" w:sz="0" w:space="0" w:color="auto"/>
                    <w:bottom w:val="none" w:sz="0" w:space="0" w:color="auto"/>
                    <w:right w:val="none" w:sz="0" w:space="0" w:color="auto"/>
                  </w:divBdr>
                </w:div>
                <w:div w:id="111945704">
                  <w:marLeft w:val="0"/>
                  <w:marRight w:val="0"/>
                  <w:marTop w:val="0"/>
                  <w:marBottom w:val="0"/>
                  <w:divBdr>
                    <w:top w:val="none" w:sz="0" w:space="0" w:color="auto"/>
                    <w:left w:val="none" w:sz="0" w:space="0" w:color="auto"/>
                    <w:bottom w:val="none" w:sz="0" w:space="0" w:color="auto"/>
                    <w:right w:val="none" w:sz="0" w:space="0" w:color="auto"/>
                  </w:divBdr>
                </w:div>
                <w:div w:id="154497058">
                  <w:marLeft w:val="0"/>
                  <w:marRight w:val="0"/>
                  <w:marTop w:val="0"/>
                  <w:marBottom w:val="0"/>
                  <w:divBdr>
                    <w:top w:val="none" w:sz="0" w:space="0" w:color="auto"/>
                    <w:left w:val="none" w:sz="0" w:space="0" w:color="auto"/>
                    <w:bottom w:val="none" w:sz="0" w:space="0" w:color="auto"/>
                    <w:right w:val="none" w:sz="0" w:space="0" w:color="auto"/>
                  </w:divBdr>
                </w:div>
                <w:div w:id="1707872509">
                  <w:marLeft w:val="0"/>
                  <w:marRight w:val="0"/>
                  <w:marTop w:val="0"/>
                  <w:marBottom w:val="0"/>
                  <w:divBdr>
                    <w:top w:val="none" w:sz="0" w:space="0" w:color="auto"/>
                    <w:left w:val="none" w:sz="0" w:space="0" w:color="auto"/>
                    <w:bottom w:val="none" w:sz="0" w:space="0" w:color="auto"/>
                    <w:right w:val="none" w:sz="0" w:space="0" w:color="auto"/>
                  </w:divBdr>
                </w:div>
                <w:div w:id="1291015180">
                  <w:marLeft w:val="0"/>
                  <w:marRight w:val="0"/>
                  <w:marTop w:val="0"/>
                  <w:marBottom w:val="0"/>
                  <w:divBdr>
                    <w:top w:val="none" w:sz="0" w:space="0" w:color="auto"/>
                    <w:left w:val="none" w:sz="0" w:space="0" w:color="auto"/>
                    <w:bottom w:val="none" w:sz="0" w:space="0" w:color="auto"/>
                    <w:right w:val="none" w:sz="0" w:space="0" w:color="auto"/>
                  </w:divBdr>
                </w:div>
                <w:div w:id="1784225049">
                  <w:marLeft w:val="0"/>
                  <w:marRight w:val="0"/>
                  <w:marTop w:val="0"/>
                  <w:marBottom w:val="0"/>
                  <w:divBdr>
                    <w:top w:val="none" w:sz="0" w:space="0" w:color="auto"/>
                    <w:left w:val="none" w:sz="0" w:space="0" w:color="auto"/>
                    <w:bottom w:val="none" w:sz="0" w:space="0" w:color="auto"/>
                    <w:right w:val="none" w:sz="0" w:space="0" w:color="auto"/>
                  </w:divBdr>
                </w:div>
                <w:div w:id="1394038811">
                  <w:marLeft w:val="0"/>
                  <w:marRight w:val="0"/>
                  <w:marTop w:val="0"/>
                  <w:marBottom w:val="0"/>
                  <w:divBdr>
                    <w:top w:val="none" w:sz="0" w:space="0" w:color="auto"/>
                    <w:left w:val="none" w:sz="0" w:space="0" w:color="auto"/>
                    <w:bottom w:val="none" w:sz="0" w:space="0" w:color="auto"/>
                    <w:right w:val="none" w:sz="0" w:space="0" w:color="auto"/>
                  </w:divBdr>
                </w:div>
                <w:div w:id="385490216">
                  <w:marLeft w:val="0"/>
                  <w:marRight w:val="0"/>
                  <w:marTop w:val="0"/>
                  <w:marBottom w:val="0"/>
                  <w:divBdr>
                    <w:top w:val="none" w:sz="0" w:space="0" w:color="auto"/>
                    <w:left w:val="none" w:sz="0" w:space="0" w:color="auto"/>
                    <w:bottom w:val="none" w:sz="0" w:space="0" w:color="auto"/>
                    <w:right w:val="none" w:sz="0" w:space="0" w:color="auto"/>
                  </w:divBdr>
                </w:div>
                <w:div w:id="547182789">
                  <w:marLeft w:val="0"/>
                  <w:marRight w:val="0"/>
                  <w:marTop w:val="0"/>
                  <w:marBottom w:val="0"/>
                  <w:divBdr>
                    <w:top w:val="none" w:sz="0" w:space="0" w:color="auto"/>
                    <w:left w:val="none" w:sz="0" w:space="0" w:color="auto"/>
                    <w:bottom w:val="none" w:sz="0" w:space="0" w:color="auto"/>
                    <w:right w:val="none" w:sz="0" w:space="0" w:color="auto"/>
                  </w:divBdr>
                </w:div>
                <w:div w:id="489559137">
                  <w:marLeft w:val="0"/>
                  <w:marRight w:val="0"/>
                  <w:marTop w:val="0"/>
                  <w:marBottom w:val="0"/>
                  <w:divBdr>
                    <w:top w:val="none" w:sz="0" w:space="0" w:color="auto"/>
                    <w:left w:val="none" w:sz="0" w:space="0" w:color="auto"/>
                    <w:bottom w:val="none" w:sz="0" w:space="0" w:color="auto"/>
                    <w:right w:val="none" w:sz="0" w:space="0" w:color="auto"/>
                  </w:divBdr>
                </w:div>
                <w:div w:id="1429615795">
                  <w:marLeft w:val="0"/>
                  <w:marRight w:val="0"/>
                  <w:marTop w:val="0"/>
                  <w:marBottom w:val="0"/>
                  <w:divBdr>
                    <w:top w:val="none" w:sz="0" w:space="0" w:color="auto"/>
                    <w:left w:val="none" w:sz="0" w:space="0" w:color="auto"/>
                    <w:bottom w:val="none" w:sz="0" w:space="0" w:color="auto"/>
                    <w:right w:val="none" w:sz="0" w:space="0" w:color="auto"/>
                  </w:divBdr>
                </w:div>
                <w:div w:id="1385326005">
                  <w:marLeft w:val="0"/>
                  <w:marRight w:val="0"/>
                  <w:marTop w:val="0"/>
                  <w:marBottom w:val="0"/>
                  <w:divBdr>
                    <w:top w:val="none" w:sz="0" w:space="0" w:color="auto"/>
                    <w:left w:val="none" w:sz="0" w:space="0" w:color="auto"/>
                    <w:bottom w:val="none" w:sz="0" w:space="0" w:color="auto"/>
                    <w:right w:val="none" w:sz="0" w:space="0" w:color="auto"/>
                  </w:divBdr>
                </w:div>
                <w:div w:id="40830537">
                  <w:marLeft w:val="0"/>
                  <w:marRight w:val="0"/>
                  <w:marTop w:val="0"/>
                  <w:marBottom w:val="0"/>
                  <w:divBdr>
                    <w:top w:val="none" w:sz="0" w:space="0" w:color="auto"/>
                    <w:left w:val="none" w:sz="0" w:space="0" w:color="auto"/>
                    <w:bottom w:val="none" w:sz="0" w:space="0" w:color="auto"/>
                    <w:right w:val="none" w:sz="0" w:space="0" w:color="auto"/>
                  </w:divBdr>
                </w:div>
                <w:div w:id="88618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4850830">
      <w:bodyDiv w:val="1"/>
      <w:marLeft w:val="0"/>
      <w:marRight w:val="0"/>
      <w:marTop w:val="0"/>
      <w:marBottom w:val="0"/>
      <w:divBdr>
        <w:top w:val="none" w:sz="0" w:space="0" w:color="auto"/>
        <w:left w:val="none" w:sz="0" w:space="0" w:color="auto"/>
        <w:bottom w:val="none" w:sz="0" w:space="0" w:color="auto"/>
        <w:right w:val="none" w:sz="0" w:space="0" w:color="auto"/>
      </w:divBdr>
      <w:divsChild>
        <w:div w:id="858592008">
          <w:marLeft w:val="0"/>
          <w:marRight w:val="0"/>
          <w:marTop w:val="225"/>
          <w:marBottom w:val="225"/>
          <w:divBdr>
            <w:top w:val="none" w:sz="0" w:space="0" w:color="auto"/>
            <w:left w:val="none" w:sz="0" w:space="0" w:color="auto"/>
            <w:bottom w:val="none" w:sz="0" w:space="0" w:color="auto"/>
            <w:right w:val="none" w:sz="0" w:space="0" w:color="auto"/>
          </w:divBdr>
          <w:divsChild>
            <w:div w:id="785738344">
              <w:marLeft w:val="0"/>
              <w:marRight w:val="0"/>
              <w:marTop w:val="0"/>
              <w:marBottom w:val="0"/>
              <w:divBdr>
                <w:top w:val="none" w:sz="0" w:space="0" w:color="auto"/>
                <w:left w:val="none" w:sz="0" w:space="0" w:color="auto"/>
                <w:bottom w:val="none" w:sz="0" w:space="0" w:color="auto"/>
                <w:right w:val="none" w:sz="0" w:space="0" w:color="auto"/>
              </w:divBdr>
              <w:divsChild>
                <w:div w:id="567806251">
                  <w:marLeft w:val="0"/>
                  <w:marRight w:val="0"/>
                  <w:marTop w:val="0"/>
                  <w:marBottom w:val="0"/>
                  <w:divBdr>
                    <w:top w:val="none" w:sz="0" w:space="0" w:color="auto"/>
                    <w:left w:val="none" w:sz="0" w:space="0" w:color="auto"/>
                    <w:bottom w:val="none" w:sz="0" w:space="0" w:color="auto"/>
                    <w:right w:val="none" w:sz="0" w:space="0" w:color="auto"/>
                  </w:divBdr>
                  <w:divsChild>
                    <w:div w:id="209466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j.1600-9657.2005.00402.x" TargetMode="External"/><Relationship Id="rId13" Type="http://schemas.openxmlformats.org/officeDocument/2006/relationships/image" Target="media/image2.gi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onlinelibrary.wiley.com/cms/asset/7173c2d8-bd74-4b9d-9a2e-8cf1391adbc5/edt_402_f2.gif" TargetMode="External"/><Relationship Id="rId17" Type="http://schemas.openxmlformats.org/officeDocument/2006/relationships/image" Target="media/image4.gif"/><Relationship Id="rId2" Type="http://schemas.openxmlformats.org/officeDocument/2006/relationships/customXml" Target="../customXml/item2.xml"/><Relationship Id="rId16" Type="http://schemas.openxmlformats.org/officeDocument/2006/relationships/hyperlink" Target="https://onlinelibrary.wiley.com/cms/asset/38ec88f3-fb1f-4c43-aede-5138940a7d2f/edt_402_f4.gi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5" Type="http://schemas.openxmlformats.org/officeDocument/2006/relationships/image" Target="media/image3.gif"/><Relationship Id="rId10" Type="http://schemas.openxmlformats.org/officeDocument/2006/relationships/hyperlink" Target="https://onlinelibrary.wiley.com/cms/asset/01a6b1fb-9f81-4fa9-b355-4cc37a5f3d14/edt_402_f1.gif"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onlinelibrary.wiley.com/cms/asset/7262123e-0c55-4e2b-9c5c-42a906e38e33/edt_402_f3.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1817</Words>
  <Characters>10360</Characters>
  <Application>Microsoft Office Word</Application>
  <DocSecurity>8</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17</cp:revision>
  <dcterms:created xsi:type="dcterms:W3CDTF">2022-04-01T14:30:00Z</dcterms:created>
  <dcterms:modified xsi:type="dcterms:W3CDTF">2022-04-04T17:06:00Z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