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3E204A86" w:rsidR="000A7622" w:rsidRPr="00C04F25" w:rsidRDefault="0034491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Dentistry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>
        <w:rPr>
          <w:rFonts w:cstheme="minorHAnsi"/>
          <w:b/>
          <w:bCs/>
          <w:i/>
          <w:iCs/>
          <w:sz w:val="32"/>
          <w:szCs w:val="32"/>
        </w:rPr>
        <w:t xml:space="preserve">School 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of </w:t>
      </w:r>
      <w:r>
        <w:rPr>
          <w:rFonts w:cstheme="minorHAnsi"/>
          <w:b/>
          <w:bCs/>
          <w:i/>
          <w:iCs/>
          <w:sz w:val="32"/>
          <w:szCs w:val="32"/>
        </w:rPr>
        <w:t>Dentistry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31C3EA48" w:rsidR="000A7622" w:rsidRPr="00C04F25" w:rsidRDefault="00196CC2" w:rsidP="00D14423">
      <w:pPr>
        <w:rPr>
          <w:rFonts w:cstheme="minorHAnsi"/>
          <w:sz w:val="24"/>
          <w:szCs w:val="24"/>
        </w:rPr>
      </w:pPr>
      <w:r w:rsidRPr="00196CC2">
        <w:rPr>
          <w:rFonts w:cstheme="minorHAnsi"/>
          <w:i/>
          <w:sz w:val="24"/>
          <w:szCs w:val="24"/>
          <w:lang w:val="fr-FR"/>
        </w:rPr>
        <w:t>Pesquisa Brasileira em Odontopediatria e Clinica Integrada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18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1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 w:rsidR="00A608DB">
        <w:rPr>
          <w:rFonts w:cstheme="minorHAnsi"/>
          <w:sz w:val="24"/>
          <w:szCs w:val="24"/>
          <w:lang w:val="fr-FR"/>
        </w:rPr>
        <w:t>2018</w:t>
      </w:r>
      <w:r w:rsidR="000A7622" w:rsidRPr="00C04F25">
        <w:rPr>
          <w:rFonts w:cstheme="minorHAnsi"/>
          <w:sz w:val="24"/>
          <w:szCs w:val="24"/>
          <w:lang w:val="fr-FR"/>
        </w:rPr>
        <w:t xml:space="preserve">): </w:t>
      </w:r>
      <w:r w:rsidR="00A608DB">
        <w:rPr>
          <w:rFonts w:cstheme="minorHAnsi"/>
          <w:sz w:val="24"/>
          <w:szCs w:val="24"/>
          <w:lang w:val="fr-FR"/>
        </w:rPr>
        <w:t>e3869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bookmarkStart w:id="2" w:name="_Hlk101171532"/>
      <w:r w:rsidR="008002C3">
        <w:rPr>
          <w:rFonts w:cstheme="minorHAnsi"/>
          <w:sz w:val="24"/>
          <w:szCs w:val="24"/>
        </w:rPr>
        <w:t>Associacao de Apoio a Pesquisa em Saude Bucal (APESB)</w:t>
      </w:r>
      <w:bookmarkEnd w:id="2"/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D0683D" w:rsidRPr="00D0683D">
        <w:rPr>
          <w:rFonts w:cstheme="minorHAnsi"/>
          <w:sz w:val="24"/>
          <w:szCs w:val="24"/>
        </w:rPr>
        <w:t>Associacao de Apoio a Pesquisa em Saude Bucal (APESB)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D0683D" w:rsidRPr="00D0683D">
        <w:rPr>
          <w:rFonts w:cstheme="minorHAnsi"/>
          <w:sz w:val="24"/>
          <w:szCs w:val="24"/>
        </w:rPr>
        <w:t>Associacao de Apoio a Pesquisa em Saude Bucal (APESB)</w:t>
      </w:r>
      <w:r w:rsidR="000A7622"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3E066754" w:rsidR="000A7622" w:rsidRDefault="000A7622" w:rsidP="000A7622">
      <w:pPr>
        <w:rPr>
          <w:rFonts w:cstheme="minorHAnsi"/>
        </w:rPr>
      </w:pPr>
    </w:p>
    <w:p w14:paraId="1D0649F2" w14:textId="16D14C3D" w:rsidR="00A27E3F" w:rsidRDefault="00A27E3F" w:rsidP="004D0BB0">
      <w:pPr>
        <w:pStyle w:val="Title"/>
      </w:pPr>
      <w:r w:rsidRPr="004D0BB0">
        <w:t>Hidden Behind Dental Trauma: Child Physical Abuse?</w:t>
      </w:r>
    </w:p>
    <w:p w14:paraId="76667D60" w14:textId="77777777" w:rsidR="004D0BB0" w:rsidRPr="004D0BB0" w:rsidRDefault="004D0BB0" w:rsidP="004D0BB0"/>
    <w:p w14:paraId="154F8862" w14:textId="54E4B513" w:rsidR="00A27E3F" w:rsidRPr="004D0BB0" w:rsidRDefault="00A27E3F" w:rsidP="004D0BB0">
      <w:pPr>
        <w:pStyle w:val="NoSpacing"/>
        <w:rPr>
          <w:sz w:val="32"/>
          <w:szCs w:val="32"/>
        </w:rPr>
      </w:pPr>
      <w:r w:rsidRPr="004D0BB0">
        <w:rPr>
          <w:sz w:val="32"/>
          <w:szCs w:val="32"/>
        </w:rPr>
        <w:t>Hamdi Cem Güngör</w:t>
      </w:r>
    </w:p>
    <w:p w14:paraId="272FC54F" w14:textId="650374A3" w:rsidR="00A27E3F" w:rsidRPr="004D0BB0" w:rsidRDefault="00A27E3F" w:rsidP="004D0BB0">
      <w:pPr>
        <w:pStyle w:val="NoSpacing"/>
        <w:rPr>
          <w:sz w:val="24"/>
          <w:szCs w:val="24"/>
        </w:rPr>
      </w:pPr>
      <w:r w:rsidRPr="004D0BB0">
        <w:rPr>
          <w:sz w:val="24"/>
          <w:szCs w:val="24"/>
        </w:rPr>
        <w:t>Professor, Department of Pediatric Dentistry, Hacettepe University, Ankara, Turkey.</w:t>
      </w:r>
    </w:p>
    <w:p w14:paraId="6E0CA9BD" w14:textId="77777777" w:rsidR="004D0BB0" w:rsidRDefault="004D0BB0" w:rsidP="004D0BB0">
      <w:pPr>
        <w:rPr>
          <w:rFonts w:cstheme="minorHAnsi"/>
          <w:sz w:val="24"/>
          <w:szCs w:val="24"/>
        </w:rPr>
      </w:pPr>
    </w:p>
    <w:p w14:paraId="272D5E9D" w14:textId="01B877B1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Child abuse, particularly physical abuse, is a massive and daily problem. The largest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compiled data on violence against children, which was published by the United Nations Children’s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Fund (UNICEF), suggest that around 6 in 10 children between the ages of 2 and 14 worldwide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(almost a billion) are subjected to physical punishment by their caregivers on a regular basis [1].</w:t>
      </w:r>
    </w:p>
    <w:p w14:paraId="52948798" w14:textId="28DAEAD2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Last November 20 was the 28th anniversary of the adoption of The United Nations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Convention on the Rights of the Child (CRC). As it is stated in the Article 19 of the CRC, children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should be protected from all forms of physical or mental violence, injury or abuse, neglect or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negligent treatment, maltreatment or exploitation. The 2nd article of the CRC ensures that the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rights of all children should be respected without discrimination. Yet, millions of children worldwide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from all socio-economic backgrounds, across all ages, religions and cultures suffer violence,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exploitation and abuse every day.</w:t>
      </w:r>
    </w:p>
    <w:p w14:paraId="4D8BE8C1" w14:textId="0F7145D3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lastRenderedPageBreak/>
        <w:t>World Health Organization (WHO), at its 49th Assembly in 1996, noted the dramatic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worldwide increase in the incidence of intentional injuries affecting people of all ages and both sexes,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but especially women and children. A particular attention should be directed to children with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 xml:space="preserve">disabilities as the records indicate that they are three times more likely to be abused than their </w:t>
      </w:r>
      <w:r w:rsidR="007C25E5" w:rsidRPr="004D0BB0">
        <w:rPr>
          <w:rFonts w:cstheme="minorHAnsi"/>
          <w:sz w:val="24"/>
          <w:szCs w:val="24"/>
        </w:rPr>
        <w:t>able-bodied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counterparts [2].</w:t>
      </w:r>
    </w:p>
    <w:p w14:paraId="00A1645C" w14:textId="32961768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Violence is recognized as a major and growing public health problem for which no country,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no city and no community is immune. According to the WHO, there were an estimated 57000 deaths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attributed to homicide among children under 15 years of age in 2000 [3]. In 2012 alone, homicide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took the lives of about 95000 children and adolescents under the age of 20 – almost 1 in 5 of all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homicide victims that year. Among the fatalities attributed to child abuse, the most common cause of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death is injury to the head, followed by injury to the abdomen [1].</w:t>
      </w:r>
    </w:p>
    <w:p w14:paraId="472EFE58" w14:textId="4EAC4D34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The United Nations Children's Fund (UNICEF) reports that infants and very young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children bear the greatest risk, as global estimates suggest that homicide rates for the 0-4-year-old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age group more than double those of 5-14-year-olds [1]. About 300 million children worldwide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between ages 2 and 4 are subject to physical or verbal abuse by parents or caregivers. No form of violence against children is justifiable and all violence is preventable provided that the violence is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recorded or registered [4]. However, organizational reports indicate that few countries have reliable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detection and surveillance systems, but even when they do, reports suggest that 90% of child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maltreatment goes unnoticed [3].</w:t>
      </w:r>
    </w:p>
    <w:p w14:paraId="08868683" w14:textId="23A92129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Child physical abuse is the most observed form of violence against children, after neglect.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Any kind of non-accidental injury inflicted in a child is defined as child physical abuse. In most cases,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the abusers are known to the victims, and in large proportion are family members. Physical abuse is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inversely proportional to the age of the child. Almost 50% of all physical abuse relates to injuries in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orofacial region. A recent study findings revealed a high prevalence of injuries to the head and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orofacial region of physically abused children and adolescents [5]. Bruising is the most common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injury sustained by children [6]. Other injuries may be observed as contusions, burns or lacerations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of the tongue, lips, buccal mucosa, palate (soft and hard), gingiva, alveolar mucosa or frenum;</w:t>
      </w:r>
      <w:r w:rsidR="007C25E5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fractured, displaced, or avulsed teeth; or facial bone and jaw fractures.</w:t>
      </w:r>
    </w:p>
    <w:p w14:paraId="3025D2F3" w14:textId="7D2782A6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No matter whether violence against children occurs in the family, school, community,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institution or workplace, health workers are the front line responders. Child protection is the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responsibility of every member of the dental team. Our profession, and especially pediatric dentistry,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has a unique opportunity to diagnose and report cases of abuse. Pediatric dentists can provide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valuable information and assistance to physicians about oral and dental aspects of child abuse [7].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An attentive intraoral and perioral examination and documentation performed by a pediatric dentist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is necessary in all cases of suspected abuse. To enhance care and protection of the children, our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abilities and efforts should be used to the fullest extent for detection and prevention of child abuse.</w:t>
      </w:r>
    </w:p>
    <w:p w14:paraId="5C3B0840" w14:textId="2AEC2DA9" w:rsidR="00A27E3F" w:rsidRPr="004D0BB0" w:rsidRDefault="00A27E3F" w:rsidP="004D0BB0">
      <w:pPr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However, there seems to be a combination of lack of education and awareness about the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problem among dental profession. The studies related to this side of the problem indicate that, for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example, dental students do not feel themselves to be sufficiently prepared for their role in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diagnosing suspected cases of child abuse [8,9]. Similarly, general dentists report uncertainity and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lack of self-confidence in recognizing and reporting child abuse due to their insufficient level of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 xml:space="preserve">knowledge [10-13]. </w:t>
      </w:r>
      <w:r w:rsidRPr="004D0BB0">
        <w:rPr>
          <w:rFonts w:cstheme="minorHAnsi"/>
          <w:sz w:val="24"/>
          <w:szCs w:val="24"/>
        </w:rPr>
        <w:lastRenderedPageBreak/>
        <w:t>However, dentists who have been educated to recognize signs of abuse are five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times more likely to make a report than dentists who are not [14]. In the light of current literature,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 comprehensive change in dental curricula towards better recognition of orofacial signs of child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physical abuse and responding seems warranted.</w:t>
      </w:r>
    </w:p>
    <w:p w14:paraId="5FB86E24" w14:textId="77777777" w:rsidR="00A27E3F" w:rsidRPr="004D0BB0" w:rsidRDefault="00A27E3F" w:rsidP="00047200">
      <w:pPr>
        <w:pStyle w:val="Heading1"/>
      </w:pPr>
      <w:r w:rsidRPr="004D0BB0">
        <w:t>References</w:t>
      </w:r>
    </w:p>
    <w:p w14:paraId="0DCBB636" w14:textId="3E6EA254" w:rsidR="00A27E3F" w:rsidRPr="004D0BB0" w:rsidRDefault="00A27E3F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1. UNICEF. A League Table of Child Maltreatment Deaths in Rich Nations. Innocenti Report Card No: 5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UNICEF Innocenti Research Centre, Florence, 2003. 36p.</w:t>
      </w:r>
    </w:p>
    <w:p w14:paraId="0E99B22B" w14:textId="39A5BDA5" w:rsidR="00A27E3F" w:rsidRPr="004D0BB0" w:rsidRDefault="00A27E3F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2. Pinheiro PS. The United Nations Secretary General’s Report on Violence Against Children. Geneva,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Switzerland: ATAR Roto Presse SA; 2006.</w:t>
      </w:r>
    </w:p>
    <w:p w14:paraId="16B6CE2C" w14:textId="0885EF91" w:rsidR="00414591" w:rsidRPr="004D0BB0" w:rsidRDefault="00A27E3F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3. Krug EG, Dahlberg LL, Mercy JA, Zwi AB, Lozano R. World Report on Violence and Health. World Health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Organization, Geneva, 2002.</w:t>
      </w:r>
    </w:p>
    <w:p w14:paraId="5B159B8E" w14:textId="12D4BF16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4. Rodrigues J, Lima APB, Nagata JY, Rigo L, Cericato GO, Franco A, et al. Domestic violence against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children detected and managed in the routine of dentistry - A systematic review. J Forensic Leg Med 2016;43:34-41. doi: 10.1016/j.jflm.2016.07.006.</w:t>
      </w:r>
    </w:p>
    <w:p w14:paraId="607B8912" w14:textId="409FC123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5. Cavalcanti AL. Prevalence and characteristics of injuries to the head and orofacial region in physically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abused children and adolescents - A retrospective study in a city of the Northeast of Brazil. Dent Traumatol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2010; 26(2):149-53. doi: 10.1111/j.1600-9657.2009.00859.x.</w:t>
      </w:r>
    </w:p>
    <w:p w14:paraId="6FB48DF8" w14:textId="5C1B1484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6. Kemp A, Maguire S, Nutall D, Collins P, Dunstan F. Bruising in children who are assessed for suspected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physical abuse. Arch Dis Child 2014; 99(2):108-113. doi: 10.1136/archdischild-2013-304339.</w:t>
      </w:r>
    </w:p>
    <w:p w14:paraId="21A5B527" w14:textId="5170D4BF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7. Mathur S, Chopra R. Combating child abuse: The role of a dentist. Oral Health Prev Dent 2013; 11(3):243-50. doi: 10.3290/j.ohpd.a29357.</w:t>
      </w:r>
    </w:p>
    <w:p w14:paraId="00FD8810" w14:textId="6566763F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8. Hazar Bodrumlu E, Avsar A, Arslan S. Assessment of knowledge and attitudes of dental students in regard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to child abuse in Turkey. Eur J Dent Educ 2016; doi: 10.1111/eje.12242.</w:t>
      </w:r>
    </w:p>
    <w:p w14:paraId="187FD40B" w14:textId="171FA1DB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9. Hashim R, Al-Ani A. Child physical abuse: Assessment of dental students' attitudes and knowledge in United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Arab Emirates. Eur Arch Paediatr Dent 2013; 14(5):301-5. doi: 10.1007/s40368-013-0063-2.</w:t>
      </w:r>
    </w:p>
    <w:p w14:paraId="5A42B77C" w14:textId="55FF5B40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10. Kaur H, Vinod KS, Singh H, Arya L, Verma P, Singh B. Child maltreatment: Cross-sectional survey ofgeneral dentists. J Forensic Dent Sci 2017; 9(1):24-30. doi: 10.4103/jfo.jfds_6_15.</w:t>
      </w:r>
    </w:p>
    <w:p w14:paraId="598F0F42" w14:textId="6E03F6F0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11. Cukovic-Bagic I, Dumancic J, Kujundzic Tiljak M, Drvaric I, Boric B, Kopic V, et al. Croatian dentists'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knowledge, experience, and attitudes in regard to child abuse and neglect. Int J Paediatr Dent 2015; 25(6):444-50. doi: 10.1111/ipd.12151.</w:t>
      </w:r>
    </w:p>
    <w:p w14:paraId="693441B6" w14:textId="6CD94E6D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12. Mogaddam M, Kamal I, Merdad L, Alamoudi N. Knowledge, attitudes, and behaviors of dentists regarding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child physical abuse in Jeddah, Saudi Arabia. Child Abuse Negl 2016; 54:43-56. doi:10.1016/j.chiabu.2016.02.004.</w:t>
      </w:r>
    </w:p>
    <w:p w14:paraId="3ABB47DF" w14:textId="2FE3F99A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13. Sonbol HN, Abu-Ghazaleh S, Rajab LD, Baqain ZH, Saman R, Al-Bitar ZB. Knowledge, educational</w:t>
      </w:r>
      <w:r w:rsidR="00047200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experiences and attitudes towards child abuse amongst Jordanian dentists. Eur J Dent Educ 2012; 16(1):e158-65. doi: 10.1111/j.1600-0579.2011.00691.x.</w:t>
      </w:r>
    </w:p>
    <w:p w14:paraId="623DF473" w14:textId="7BA1E565" w:rsidR="008779D4" w:rsidRPr="004D0BB0" w:rsidRDefault="008779D4" w:rsidP="00EF7691">
      <w:pPr>
        <w:spacing w:after="0"/>
        <w:ind w:left="720" w:hanging="720"/>
        <w:rPr>
          <w:rFonts w:cstheme="minorHAnsi"/>
          <w:sz w:val="24"/>
          <w:szCs w:val="24"/>
        </w:rPr>
      </w:pPr>
      <w:r w:rsidRPr="004D0BB0">
        <w:rPr>
          <w:rFonts w:cstheme="minorHAnsi"/>
          <w:sz w:val="24"/>
          <w:szCs w:val="24"/>
        </w:rPr>
        <w:t>14. Kassebaum DK, Dove SB, Cottone JA. Recognition and reporting of child abuse: A survey of dentists. Gen</w:t>
      </w:r>
      <w:r w:rsidR="00EF7691">
        <w:rPr>
          <w:rFonts w:cstheme="minorHAnsi"/>
          <w:sz w:val="24"/>
          <w:szCs w:val="24"/>
        </w:rPr>
        <w:t xml:space="preserve"> </w:t>
      </w:r>
      <w:r w:rsidRPr="004D0BB0">
        <w:rPr>
          <w:rFonts w:cstheme="minorHAnsi"/>
          <w:sz w:val="24"/>
          <w:szCs w:val="24"/>
        </w:rPr>
        <w:t>Dent 1991; 39(3):159-62.</w:t>
      </w:r>
    </w:p>
    <w:sectPr w:rsidR="008779D4" w:rsidRPr="004D0BB0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1NFI/D/BPoIOdkB0mps7zzNPLow4FORWnNeYHULs1/Hk3I0My5Eg6ciPpGtqHrd9wQNFJn6h4SGRUCPdx77PA==" w:salt="05TUj1B8f6SOtH1TjY65I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47200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96CC2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491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0BB0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2B69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C25E5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2C3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779D4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27E3F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08DB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0683D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EF7691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B0"/>
  </w:style>
  <w:style w:type="paragraph" w:styleId="Heading1">
    <w:name w:val="heading 1"/>
    <w:basedOn w:val="Normal"/>
    <w:next w:val="Normal"/>
    <w:link w:val="Heading1Char"/>
    <w:uiPriority w:val="9"/>
    <w:qFormat/>
    <w:rsid w:val="004D0B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0B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B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BB0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BB0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BB0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BB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BB0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B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BB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0BB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D0BB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D0BB0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BB0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BB0"/>
  </w:style>
  <w:style w:type="character" w:customStyle="1" w:styleId="Heading7Char">
    <w:name w:val="Heading 7 Char"/>
    <w:basedOn w:val="DefaultParagraphFont"/>
    <w:link w:val="Heading7"/>
    <w:uiPriority w:val="9"/>
    <w:semiHidden/>
    <w:rsid w:val="004D0BB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BB0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BB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D0BB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0B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BB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BB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D0BB0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4D0BB0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4D0BB0"/>
    <w:rPr>
      <w:i/>
      <w:iCs/>
      <w:color w:val="auto"/>
    </w:rPr>
  </w:style>
  <w:style w:type="paragraph" w:styleId="NoSpacing">
    <w:name w:val="No Spacing"/>
    <w:uiPriority w:val="1"/>
    <w:qFormat/>
    <w:rsid w:val="004D0B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D0BB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BB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BB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BB0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4D0BB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D0BB0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D0BB0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4D0BB0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4D0BB0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0BB0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dx.doi.org/10.4034/PBOCI.2018.181.ed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1313</Words>
  <Characters>7489</Characters>
  <Application>Microsoft Office Word</Application>
  <DocSecurity>8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2022-04-18T15:55:00Z</dcterms:created>
  <dcterms:modified xsi:type="dcterms:W3CDTF">2022-04-18T15:55:00Z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