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A49E40D" w:rsidR="000A7622" w:rsidRPr="00C04F25" w:rsidRDefault="000C5D62"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4DAD5F3C" w:rsidR="000A7622" w:rsidRDefault="00A07602" w:rsidP="00D14423">
      <w:pPr>
        <w:rPr>
          <w:rFonts w:cstheme="minorHAnsi"/>
          <w:sz w:val="24"/>
          <w:szCs w:val="24"/>
        </w:rPr>
      </w:pPr>
      <w:proofErr w:type="spellStart"/>
      <w:r>
        <w:rPr>
          <w:rFonts w:cstheme="minorHAnsi"/>
          <w:i/>
          <w:sz w:val="24"/>
          <w:szCs w:val="24"/>
          <w:lang w:val="fr-FR"/>
        </w:rPr>
        <w:t>Biotechnology</w:t>
      </w:r>
      <w:proofErr w:type="spellEnd"/>
      <w:r>
        <w:rPr>
          <w:rFonts w:cstheme="minorHAnsi"/>
          <w:i/>
          <w:sz w:val="24"/>
          <w:szCs w:val="24"/>
          <w:lang w:val="fr-FR"/>
        </w:rPr>
        <w:t xml:space="preserve"> and </w:t>
      </w:r>
      <w:proofErr w:type="spellStart"/>
      <w:r>
        <w:rPr>
          <w:rFonts w:cstheme="minorHAnsi"/>
          <w:i/>
          <w:sz w:val="24"/>
          <w:szCs w:val="24"/>
          <w:lang w:val="fr-FR"/>
        </w:rPr>
        <w:t>Applied</w:t>
      </w:r>
      <w:proofErr w:type="spellEnd"/>
      <w:r>
        <w:rPr>
          <w:rFonts w:cstheme="minorHAnsi"/>
          <w:i/>
          <w:sz w:val="24"/>
          <w:szCs w:val="24"/>
          <w:lang w:val="fr-FR"/>
        </w:rPr>
        <w:t xml:space="preserve"> </w:t>
      </w:r>
      <w:proofErr w:type="spellStart"/>
      <w:r>
        <w:rPr>
          <w:rFonts w:cstheme="minorHAnsi"/>
          <w:i/>
          <w:sz w:val="24"/>
          <w:szCs w:val="24"/>
          <w:lang w:val="fr-FR"/>
        </w:rPr>
        <w:t>Biochemistry</w:t>
      </w:r>
      <w:proofErr w:type="spellEnd"/>
      <w:r w:rsidR="000A7622" w:rsidRPr="00C04F25">
        <w:rPr>
          <w:rFonts w:cstheme="minorHAnsi"/>
          <w:sz w:val="24"/>
          <w:szCs w:val="24"/>
          <w:lang w:val="fr-FR"/>
        </w:rPr>
        <w:t xml:space="preserve">, Vol. </w:t>
      </w:r>
      <w:r>
        <w:rPr>
          <w:rFonts w:cstheme="minorHAnsi"/>
          <w:sz w:val="24"/>
          <w:szCs w:val="24"/>
          <w:lang w:val="fr-FR"/>
        </w:rPr>
        <w:t>68</w:t>
      </w:r>
      <w:r w:rsidR="000A7622" w:rsidRPr="00C04F25">
        <w:rPr>
          <w:rFonts w:cstheme="minorHAnsi"/>
          <w:sz w:val="24"/>
          <w:szCs w:val="24"/>
          <w:lang w:val="fr-FR"/>
        </w:rPr>
        <w:t xml:space="preserve">, No. </w:t>
      </w:r>
      <w:r>
        <w:rPr>
          <w:rFonts w:cstheme="minorHAnsi"/>
          <w:sz w:val="24"/>
          <w:szCs w:val="24"/>
          <w:lang w:val="fr-FR"/>
        </w:rPr>
        <w:t>3</w:t>
      </w:r>
      <w:r w:rsidR="000A7622" w:rsidRPr="00C04F25">
        <w:rPr>
          <w:rFonts w:cstheme="minorHAnsi"/>
          <w:sz w:val="24"/>
          <w:szCs w:val="24"/>
          <w:lang w:val="fr-FR"/>
        </w:rPr>
        <w:t xml:space="preserve"> (</w:t>
      </w:r>
      <w:r>
        <w:rPr>
          <w:rFonts w:cstheme="minorHAnsi"/>
          <w:sz w:val="24"/>
          <w:szCs w:val="24"/>
          <w:lang w:val="fr-FR"/>
        </w:rPr>
        <w:t>June 2021</w:t>
      </w:r>
      <w:r w:rsidR="000A7622" w:rsidRPr="00C04F25">
        <w:rPr>
          <w:rFonts w:cstheme="minorHAnsi"/>
          <w:sz w:val="24"/>
          <w:szCs w:val="24"/>
          <w:lang w:val="fr-FR"/>
        </w:rPr>
        <w:t xml:space="preserve">): </w:t>
      </w:r>
      <w:r>
        <w:rPr>
          <w:rFonts w:cstheme="minorHAnsi"/>
          <w:sz w:val="24"/>
          <w:szCs w:val="24"/>
          <w:lang w:val="fr-FR"/>
        </w:rPr>
        <w:t>616-625</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Wiley</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the express permission from </w:t>
      </w:r>
      <w:r>
        <w:rPr>
          <w:rFonts w:cstheme="minorHAnsi"/>
          <w:sz w:val="24"/>
          <w:szCs w:val="24"/>
        </w:rPr>
        <w:t>Wiley</w:t>
      </w:r>
      <w:r w:rsidR="000A7622" w:rsidRPr="00C04F25">
        <w:rPr>
          <w:rFonts w:cstheme="minorHAnsi"/>
          <w:sz w:val="24"/>
          <w:szCs w:val="24"/>
        </w:rPr>
        <w:t xml:space="preserve">. </w:t>
      </w:r>
      <w:bookmarkEnd w:id="1"/>
    </w:p>
    <w:p w14:paraId="79540ADB" w14:textId="77777777" w:rsidR="009C728A" w:rsidRDefault="009C728A" w:rsidP="00D14423">
      <w:pPr>
        <w:rPr>
          <w:rFonts w:cstheme="minorHAnsi"/>
          <w:sz w:val="24"/>
          <w:szCs w:val="24"/>
        </w:rPr>
      </w:pPr>
    </w:p>
    <w:p w14:paraId="6C810913" w14:textId="3F9A58CE" w:rsidR="00D42509" w:rsidRDefault="00D42509" w:rsidP="00AC156D">
      <w:pPr>
        <w:pStyle w:val="Title"/>
      </w:pPr>
      <w:r w:rsidRPr="00D42509">
        <w:t>Microfluidic</w:t>
      </w:r>
      <w:r w:rsidR="00AC156D" w:rsidRPr="00D42509">
        <w:t>-Assisted Fabrication of Reverse Micelle/</w:t>
      </w:r>
      <w:r w:rsidRPr="00D42509">
        <w:t xml:space="preserve">PLGA </w:t>
      </w:r>
      <w:r w:rsidR="00AC156D" w:rsidRPr="00D42509">
        <w:t>Hybrid Microspheres for Sustained Vascular Endothelial Growth Factor Delivery</w:t>
      </w:r>
    </w:p>
    <w:p w14:paraId="04823760" w14:textId="77777777" w:rsidR="00AC156D" w:rsidRPr="00AC156D" w:rsidRDefault="00AC156D" w:rsidP="00AC156D"/>
    <w:p w14:paraId="36746AD2" w14:textId="77777777" w:rsidR="006A1F89" w:rsidRPr="00E661EC" w:rsidRDefault="00D42509" w:rsidP="00E661EC">
      <w:pPr>
        <w:pStyle w:val="NoSpacing"/>
        <w:rPr>
          <w:sz w:val="32"/>
          <w:szCs w:val="32"/>
        </w:rPr>
      </w:pPr>
      <w:r w:rsidRPr="00E661EC">
        <w:rPr>
          <w:sz w:val="32"/>
          <w:szCs w:val="32"/>
        </w:rPr>
        <w:t>Meisam Omidi</w:t>
      </w:r>
    </w:p>
    <w:p w14:paraId="544392BA" w14:textId="226D065E" w:rsidR="006A1F89" w:rsidRPr="00E661EC" w:rsidRDefault="00364EDB" w:rsidP="00E661EC">
      <w:pPr>
        <w:pStyle w:val="NoSpacing"/>
        <w:rPr>
          <w:sz w:val="24"/>
          <w:szCs w:val="24"/>
        </w:rPr>
      </w:pPr>
      <w:r w:rsidRPr="00E661EC">
        <w:rPr>
          <w:sz w:val="24"/>
          <w:szCs w:val="24"/>
        </w:rPr>
        <w:t>Marquette University School of Dentistry, Milwaukee, WI</w:t>
      </w:r>
    </w:p>
    <w:p w14:paraId="119B8BDD" w14:textId="77777777" w:rsidR="006A1F89" w:rsidRPr="00E661EC" w:rsidRDefault="00D42509" w:rsidP="00E661EC">
      <w:pPr>
        <w:pStyle w:val="NoSpacing"/>
        <w:rPr>
          <w:sz w:val="32"/>
          <w:szCs w:val="32"/>
        </w:rPr>
      </w:pPr>
      <w:r w:rsidRPr="00E661EC">
        <w:rPr>
          <w:sz w:val="32"/>
          <w:szCs w:val="32"/>
        </w:rPr>
        <w:t>Luis Almeida</w:t>
      </w:r>
    </w:p>
    <w:p w14:paraId="273AA781" w14:textId="4E4B346D" w:rsidR="006A1F89" w:rsidRPr="00E661EC" w:rsidRDefault="00E661EC" w:rsidP="00E661EC">
      <w:pPr>
        <w:pStyle w:val="NoSpacing"/>
        <w:rPr>
          <w:sz w:val="24"/>
          <w:szCs w:val="24"/>
        </w:rPr>
      </w:pPr>
      <w:r w:rsidRPr="00E661EC">
        <w:rPr>
          <w:sz w:val="24"/>
          <w:szCs w:val="24"/>
        </w:rPr>
        <w:t>Marquette University School of Dentistry, Milwaukee, WI</w:t>
      </w:r>
    </w:p>
    <w:p w14:paraId="2D461D95" w14:textId="17515BC7" w:rsidR="00D42509" w:rsidRPr="00E661EC" w:rsidRDefault="00D42509" w:rsidP="00E661EC">
      <w:pPr>
        <w:pStyle w:val="NoSpacing"/>
        <w:rPr>
          <w:sz w:val="32"/>
          <w:szCs w:val="32"/>
        </w:rPr>
      </w:pPr>
      <w:r w:rsidRPr="00E661EC">
        <w:rPr>
          <w:sz w:val="32"/>
          <w:szCs w:val="32"/>
        </w:rPr>
        <w:t>Lobat Tayebi</w:t>
      </w:r>
    </w:p>
    <w:p w14:paraId="4842FBEF" w14:textId="58366D05" w:rsidR="00AC156D" w:rsidRPr="00E661EC" w:rsidRDefault="00E661EC" w:rsidP="00E661EC">
      <w:pPr>
        <w:pStyle w:val="NoSpacing"/>
        <w:rPr>
          <w:sz w:val="24"/>
          <w:szCs w:val="24"/>
        </w:rPr>
      </w:pPr>
      <w:r w:rsidRPr="00E661EC">
        <w:rPr>
          <w:sz w:val="24"/>
          <w:szCs w:val="24"/>
        </w:rPr>
        <w:t>Marquette University School of Dentistry, Milwaukee, WI</w:t>
      </w:r>
    </w:p>
    <w:p w14:paraId="2A57DC09" w14:textId="77777777" w:rsidR="00AC156D" w:rsidRDefault="00AC156D" w:rsidP="00D42509">
      <w:pPr>
        <w:rPr>
          <w:rFonts w:cstheme="minorHAnsi"/>
          <w:sz w:val="24"/>
          <w:szCs w:val="24"/>
        </w:rPr>
      </w:pPr>
    </w:p>
    <w:p w14:paraId="5625BEFE" w14:textId="4CC7DC36" w:rsidR="00D42509" w:rsidRPr="00D42509" w:rsidRDefault="00D42509" w:rsidP="00E661EC">
      <w:pPr>
        <w:pStyle w:val="Heading1"/>
      </w:pPr>
      <w:r w:rsidRPr="00D42509">
        <w:t>Abstract</w:t>
      </w:r>
    </w:p>
    <w:p w14:paraId="011CFCC8" w14:textId="77777777" w:rsidR="00D42509" w:rsidRPr="00D42509" w:rsidRDefault="00D42509" w:rsidP="00D42509">
      <w:pPr>
        <w:rPr>
          <w:rFonts w:cstheme="minorHAnsi"/>
          <w:sz w:val="24"/>
          <w:szCs w:val="24"/>
        </w:rPr>
      </w:pPr>
      <w:r w:rsidRPr="00D42509">
        <w:rPr>
          <w:rFonts w:cstheme="minorHAnsi"/>
          <w:sz w:val="24"/>
          <w:szCs w:val="24"/>
        </w:rPr>
        <w:t>In this study, poly (d, l-lactide-co-glycolide) (PLGA) composite microspheres containing anhydrous reverse micelle (R.M.) dipalmitoylphosphatidylcholine (DPPC) nanoparticles loaded vascular endothelial growth factor (VEGF) were produced using microfluidic platforms. The VEGF-loaded R.M. nanoparticles (VRM) were achieved by initial self-assembly and subsequent lipid inversion of the DPPC vesicles. The fabricated VRMs were encapsulated into the PLGA matrix by flow-focusing geometry microfluidic platforms. The encapsulation efficiency, </w:t>
      </w:r>
      <w:r w:rsidRPr="00D42509">
        <w:rPr>
          <w:rFonts w:cstheme="minorHAnsi"/>
          <w:i/>
          <w:iCs/>
          <w:sz w:val="24"/>
          <w:szCs w:val="24"/>
        </w:rPr>
        <w:t>in vitro</w:t>
      </w:r>
      <w:r w:rsidRPr="00D42509">
        <w:rPr>
          <w:rFonts w:cstheme="minorHAnsi"/>
          <w:sz w:val="24"/>
          <w:szCs w:val="24"/>
        </w:rPr>
        <w:t> release profile, and the bioactivity of the produced composite microspheres were investigated. The release study showed that VEGF was slowly released from the PLGA composite microspheres over 28 days with a reduced initial burst (18  ±  4.17% in the first 24 H). The VEGF stability during encapsulation and release period was also investigated, and the results indicated that encapsulated VEGF was well preserved. Also, the bioactivity assay of the PLGA composite microspheres on human umbilical vein endothelial cells was confirmed that the encapsulated VEGF was utterly active. The present monodisperse and controllable VEGF-loaded microspheres with reproducible manner could be widely used in tissue engineering and therapeutic applications.</w:t>
      </w:r>
    </w:p>
    <w:p w14:paraId="501A245A" w14:textId="77777777" w:rsidR="00D42509" w:rsidRPr="00D42509" w:rsidRDefault="00D42509" w:rsidP="00E661EC">
      <w:pPr>
        <w:pStyle w:val="Heading1"/>
      </w:pPr>
      <w:r w:rsidRPr="00D42509">
        <w:t>1 Introduction</w:t>
      </w:r>
    </w:p>
    <w:p w14:paraId="15F1642B" w14:textId="200AE9A5" w:rsidR="00D42509" w:rsidRPr="00D42509" w:rsidRDefault="00D42509" w:rsidP="00D42509">
      <w:pPr>
        <w:rPr>
          <w:rFonts w:cstheme="minorHAnsi"/>
          <w:sz w:val="24"/>
          <w:szCs w:val="24"/>
        </w:rPr>
      </w:pPr>
      <w:r w:rsidRPr="00D42509">
        <w:rPr>
          <w:rFonts w:cstheme="minorHAnsi"/>
          <w:sz w:val="24"/>
          <w:szCs w:val="24"/>
        </w:rPr>
        <w:t xml:space="preserve">Nowadays, biopharmaceuticals product include proteins such as growth factor have been used vastly in the clinic treatment </w:t>
      </w:r>
      <w:r w:rsidRPr="00D42509">
        <w:rPr>
          <w:rFonts w:cstheme="minorHAnsi"/>
          <w:b/>
          <w:bCs/>
          <w:sz w:val="24"/>
          <w:szCs w:val="24"/>
          <w:vertAlign w:val="superscript"/>
        </w:rPr>
        <w:t>1</w:t>
      </w:r>
      <w:r w:rsidRPr="00D42509">
        <w:rPr>
          <w:rFonts w:cstheme="minorHAnsi"/>
          <w:sz w:val="24"/>
          <w:szCs w:val="24"/>
          <w:vertAlign w:val="superscript"/>
        </w:rPr>
        <w:t>, </w:t>
      </w:r>
      <w:r w:rsidRPr="00D42509">
        <w:rPr>
          <w:rFonts w:cstheme="minorHAnsi"/>
          <w:b/>
          <w:bCs/>
          <w:sz w:val="24"/>
          <w:szCs w:val="24"/>
          <w:vertAlign w:val="superscript"/>
        </w:rPr>
        <w:t>2</w:t>
      </w:r>
      <w:r w:rsidRPr="00D42509">
        <w:rPr>
          <w:rFonts w:cstheme="minorHAnsi"/>
          <w:sz w:val="24"/>
          <w:szCs w:val="24"/>
        </w:rPr>
        <w:t xml:space="preserve">. However, proteins generally are very sensitive macromolecules, and their functionality can be affected by external conditions. Moreover, short half-lives of proteins are known as another critical issue in the maintenance of their effective therapeutic concentration </w:t>
      </w:r>
      <w:r w:rsidRPr="00D42509">
        <w:rPr>
          <w:rFonts w:cstheme="minorHAnsi"/>
          <w:b/>
          <w:bCs/>
          <w:sz w:val="24"/>
          <w:szCs w:val="24"/>
          <w:vertAlign w:val="superscript"/>
        </w:rPr>
        <w:t>3</w:t>
      </w:r>
      <w:r w:rsidRPr="00D42509">
        <w:rPr>
          <w:rFonts w:cstheme="minorHAnsi"/>
          <w:sz w:val="24"/>
          <w:szCs w:val="24"/>
        </w:rPr>
        <w:t xml:space="preserve">. On the other hand, the current biopharmaceuticals product are commonly used in the long-term treatment of chronic diseases </w:t>
      </w:r>
      <w:r w:rsidRPr="00D42509">
        <w:rPr>
          <w:rFonts w:cstheme="minorHAnsi"/>
          <w:b/>
          <w:bCs/>
          <w:sz w:val="24"/>
          <w:szCs w:val="24"/>
          <w:vertAlign w:val="superscript"/>
        </w:rPr>
        <w:t>4</w:t>
      </w:r>
      <w:r w:rsidRPr="00D42509">
        <w:rPr>
          <w:rFonts w:cstheme="minorHAnsi"/>
          <w:sz w:val="24"/>
          <w:szCs w:val="24"/>
        </w:rPr>
        <w:t xml:space="preserve">. Consequently, the application of drug delivery systems for long-term protein delivery can significantly improve treatment quality </w:t>
      </w:r>
      <w:r w:rsidRPr="00D42509">
        <w:rPr>
          <w:rFonts w:cstheme="minorHAnsi"/>
          <w:b/>
          <w:bCs/>
          <w:sz w:val="24"/>
          <w:szCs w:val="24"/>
          <w:vertAlign w:val="superscript"/>
        </w:rPr>
        <w:t>5</w:t>
      </w:r>
      <w:r w:rsidRPr="00D42509">
        <w:rPr>
          <w:rFonts w:cstheme="minorHAnsi"/>
          <w:sz w:val="24"/>
          <w:szCs w:val="24"/>
        </w:rPr>
        <w:t>.</w:t>
      </w:r>
    </w:p>
    <w:p w14:paraId="689C91E5" w14:textId="3F1B65FE" w:rsidR="00D42509" w:rsidRPr="00D42509" w:rsidRDefault="00D42509" w:rsidP="00D42509">
      <w:pPr>
        <w:rPr>
          <w:rFonts w:cstheme="minorHAnsi"/>
          <w:sz w:val="24"/>
          <w:szCs w:val="24"/>
        </w:rPr>
      </w:pPr>
      <w:r w:rsidRPr="00D42509">
        <w:rPr>
          <w:rFonts w:cstheme="minorHAnsi"/>
          <w:sz w:val="24"/>
          <w:szCs w:val="24"/>
        </w:rPr>
        <w:t xml:space="preserve">The formation of a functional vascular network is a key factor in tissue repair and regeneration </w:t>
      </w:r>
      <w:r w:rsidRPr="00D42509">
        <w:rPr>
          <w:rFonts w:cstheme="minorHAnsi"/>
          <w:sz w:val="24"/>
          <w:szCs w:val="24"/>
          <w:vertAlign w:val="superscript"/>
        </w:rPr>
        <w:t>6</w:t>
      </w:r>
      <w:r w:rsidRPr="00D42509">
        <w:rPr>
          <w:rFonts w:cstheme="minorHAnsi"/>
          <w:sz w:val="24"/>
          <w:szCs w:val="24"/>
        </w:rPr>
        <w:t xml:space="preserve">. During past decades, the physiological mechanisms involved in the vascularization process have been extensively investigated </w:t>
      </w:r>
      <w:r w:rsidRPr="00D42509">
        <w:rPr>
          <w:rFonts w:cstheme="minorHAnsi"/>
          <w:sz w:val="24"/>
          <w:szCs w:val="24"/>
          <w:vertAlign w:val="superscript"/>
        </w:rPr>
        <w:t>7, 8</w:t>
      </w:r>
      <w:r w:rsidRPr="00D42509">
        <w:rPr>
          <w:rFonts w:cstheme="minorHAnsi"/>
          <w:sz w:val="24"/>
          <w:szCs w:val="24"/>
        </w:rPr>
        <w:t xml:space="preserve">, and vascular endothelial growth factor (VEGF) has been identified as one of the critical regulator's factors in neovascularization. The potential use of VEGF, particularly in the vascular restoration of injured and ischemic tissues, has been indicated in the literature </w:t>
      </w:r>
      <w:r w:rsidRPr="00D42509">
        <w:rPr>
          <w:rFonts w:cstheme="minorHAnsi"/>
          <w:sz w:val="24"/>
          <w:szCs w:val="24"/>
          <w:vertAlign w:val="superscript"/>
        </w:rPr>
        <w:t>9-11</w:t>
      </w:r>
      <w:r w:rsidRPr="00D42509">
        <w:rPr>
          <w:rFonts w:cstheme="minorHAnsi"/>
          <w:sz w:val="24"/>
          <w:szCs w:val="24"/>
        </w:rPr>
        <w:t xml:space="preserve">. Despite the therapeutic benefits of VEGF via angiogenesis and vasculogenesis, its excessive amounts of exposure can lead to deleterious outcomes. VEGF has been implicated in a wide verity of the disease such as diabetic retinopathy </w:t>
      </w:r>
      <w:r w:rsidRPr="00D42509">
        <w:rPr>
          <w:rFonts w:cstheme="minorHAnsi"/>
          <w:sz w:val="24"/>
          <w:szCs w:val="24"/>
          <w:vertAlign w:val="superscript"/>
        </w:rPr>
        <w:t>12</w:t>
      </w:r>
      <w:r w:rsidRPr="00D42509">
        <w:rPr>
          <w:rFonts w:cstheme="minorHAnsi"/>
          <w:sz w:val="24"/>
          <w:szCs w:val="24"/>
        </w:rPr>
        <w:t xml:space="preserve">, non-Hodgkin's lymphoma, multiple myeloma, and acute/chronic leukemia </w:t>
      </w:r>
      <w:r w:rsidRPr="00D42509">
        <w:rPr>
          <w:rFonts w:cstheme="minorHAnsi"/>
          <w:sz w:val="24"/>
          <w:szCs w:val="24"/>
          <w:vertAlign w:val="superscript"/>
        </w:rPr>
        <w:t>13</w:t>
      </w:r>
      <w:r w:rsidRPr="00D42509">
        <w:rPr>
          <w:rFonts w:cstheme="minorHAnsi"/>
          <w:sz w:val="24"/>
          <w:szCs w:val="24"/>
        </w:rPr>
        <w:t xml:space="preserve">. Furthermore, excessive amounts of VEGF can aid tumor growth and intensely increase the risk of tumorigenesis </w:t>
      </w:r>
      <w:r w:rsidRPr="00D42509">
        <w:rPr>
          <w:rFonts w:cstheme="minorHAnsi"/>
          <w:sz w:val="24"/>
          <w:szCs w:val="24"/>
          <w:vertAlign w:val="superscript"/>
        </w:rPr>
        <w:t>14, 15</w:t>
      </w:r>
      <w:r w:rsidRPr="00D42509">
        <w:rPr>
          <w:rFonts w:cstheme="minorHAnsi"/>
          <w:sz w:val="24"/>
          <w:szCs w:val="24"/>
        </w:rPr>
        <w:t xml:space="preserve">. In addition to the biosafety issues, direct injection or seeding of VEGF into the target site has been not a cost-effective approach owing to its short half-life. As a result, the application of VEGF in a specific treatment or regenerative process entirely relies upon accurate control over the kinetic profiles of it in a target area </w:t>
      </w:r>
      <w:r w:rsidRPr="00D42509">
        <w:rPr>
          <w:rFonts w:cstheme="minorHAnsi"/>
          <w:sz w:val="24"/>
          <w:szCs w:val="24"/>
          <w:vertAlign w:val="superscript"/>
        </w:rPr>
        <w:t>7</w:t>
      </w:r>
      <w:r w:rsidRPr="00D42509">
        <w:rPr>
          <w:rFonts w:cstheme="minorHAnsi"/>
          <w:sz w:val="24"/>
          <w:szCs w:val="24"/>
        </w:rPr>
        <w:t xml:space="preserve">. Consequently, the need to develop the new delivery approaches of VEGF to the specific site has attracted the attention of several research groups </w:t>
      </w:r>
      <w:r w:rsidRPr="00D42509">
        <w:rPr>
          <w:rFonts w:cstheme="minorHAnsi"/>
          <w:sz w:val="24"/>
          <w:szCs w:val="24"/>
          <w:vertAlign w:val="superscript"/>
        </w:rPr>
        <w:t>16, 17</w:t>
      </w:r>
      <w:r w:rsidRPr="00D42509">
        <w:rPr>
          <w:rFonts w:cstheme="minorHAnsi"/>
          <w:sz w:val="24"/>
          <w:szCs w:val="24"/>
        </w:rPr>
        <w:t xml:space="preserve">. However, these propose approaches unable to address many key issues, including tissue targeting tunable release rates and low systemic exposure </w:t>
      </w:r>
      <w:r w:rsidRPr="00D42509">
        <w:rPr>
          <w:rFonts w:cstheme="minorHAnsi"/>
          <w:sz w:val="24"/>
          <w:szCs w:val="24"/>
          <w:vertAlign w:val="superscript"/>
        </w:rPr>
        <w:t>9, 10, 13</w:t>
      </w:r>
      <w:r w:rsidRPr="00D42509">
        <w:rPr>
          <w:rFonts w:cstheme="minorHAnsi"/>
          <w:sz w:val="24"/>
          <w:szCs w:val="24"/>
        </w:rPr>
        <w:t>.</w:t>
      </w:r>
    </w:p>
    <w:p w14:paraId="5995FAF2" w14:textId="77777777" w:rsidR="00D42509" w:rsidRPr="00D42509" w:rsidRDefault="00D42509" w:rsidP="00E661EC">
      <w:pPr>
        <w:pStyle w:val="Heading1"/>
      </w:pPr>
      <w:r w:rsidRPr="00D42509">
        <w:t>Highlights</w:t>
      </w:r>
    </w:p>
    <w:p w14:paraId="69C9004F" w14:textId="77777777" w:rsidR="00D42509" w:rsidRPr="00E661EC" w:rsidRDefault="00D42509" w:rsidP="00E661EC">
      <w:pPr>
        <w:pStyle w:val="ListParagraph"/>
        <w:numPr>
          <w:ilvl w:val="0"/>
          <w:numId w:val="6"/>
        </w:numPr>
        <w:rPr>
          <w:rFonts w:cstheme="minorHAnsi"/>
          <w:sz w:val="24"/>
          <w:szCs w:val="24"/>
        </w:rPr>
      </w:pPr>
      <w:r w:rsidRPr="00E661EC">
        <w:rPr>
          <w:rFonts w:cstheme="minorHAnsi"/>
          <w:sz w:val="24"/>
          <w:szCs w:val="24"/>
        </w:rPr>
        <w:t>PLGA composite microspheres containing anhydrous reverse micelle nanoparticles loaded VEGF were produced using microfluidic platforms.</w:t>
      </w:r>
    </w:p>
    <w:p w14:paraId="5F1DD434" w14:textId="77777777" w:rsidR="00D42509" w:rsidRPr="00E661EC" w:rsidRDefault="00D42509" w:rsidP="00E661EC">
      <w:pPr>
        <w:pStyle w:val="ListParagraph"/>
        <w:numPr>
          <w:ilvl w:val="0"/>
          <w:numId w:val="6"/>
        </w:numPr>
        <w:rPr>
          <w:rFonts w:cstheme="minorHAnsi"/>
          <w:sz w:val="24"/>
          <w:szCs w:val="24"/>
        </w:rPr>
      </w:pPr>
      <w:r w:rsidRPr="00E661EC">
        <w:rPr>
          <w:rFonts w:cstheme="minorHAnsi"/>
          <w:sz w:val="24"/>
          <w:szCs w:val="24"/>
        </w:rPr>
        <w:t>The release study showed that VEGF was slowly released from the PLGA composite microspheres over 28 days with a reduced initial burst.</w:t>
      </w:r>
    </w:p>
    <w:p w14:paraId="1662B240" w14:textId="77777777" w:rsidR="00D42509" w:rsidRPr="00E661EC" w:rsidRDefault="00D42509" w:rsidP="00E661EC">
      <w:pPr>
        <w:pStyle w:val="ListParagraph"/>
        <w:numPr>
          <w:ilvl w:val="0"/>
          <w:numId w:val="6"/>
        </w:numPr>
        <w:rPr>
          <w:rFonts w:cstheme="minorHAnsi"/>
          <w:sz w:val="24"/>
          <w:szCs w:val="24"/>
        </w:rPr>
      </w:pPr>
      <w:r w:rsidRPr="00E661EC">
        <w:rPr>
          <w:rFonts w:cstheme="minorHAnsi"/>
          <w:sz w:val="24"/>
          <w:szCs w:val="24"/>
        </w:rPr>
        <w:t>The VEGF stability during encapsulation and release period was well preserved.</w:t>
      </w:r>
    </w:p>
    <w:p w14:paraId="635CEF2E" w14:textId="1BAD8C49" w:rsidR="00D42509" w:rsidRPr="00D42509" w:rsidRDefault="00D42509" w:rsidP="00D42509">
      <w:pPr>
        <w:rPr>
          <w:rFonts w:cstheme="minorHAnsi"/>
          <w:sz w:val="24"/>
          <w:szCs w:val="24"/>
        </w:rPr>
      </w:pPr>
      <w:r w:rsidRPr="00D42509">
        <w:rPr>
          <w:rFonts w:cstheme="minorHAnsi"/>
          <w:sz w:val="24"/>
          <w:szCs w:val="24"/>
        </w:rPr>
        <w:t xml:space="preserve">Among the available biomaterials, biopolymers such as poly (d, l-lactide-co-glycolide) (PLGA) are promising options that can be used for the development of long-term protein delivery systems </w:t>
      </w:r>
      <w:r w:rsidRPr="00D42509">
        <w:rPr>
          <w:rFonts w:cstheme="minorHAnsi"/>
          <w:b/>
          <w:bCs/>
          <w:sz w:val="24"/>
          <w:szCs w:val="24"/>
          <w:vertAlign w:val="superscript"/>
        </w:rPr>
        <w:t>18</w:t>
      </w:r>
      <w:r w:rsidRPr="00D42509">
        <w:rPr>
          <w:rFonts w:cstheme="minorHAnsi"/>
          <w:sz w:val="24"/>
          <w:szCs w:val="24"/>
        </w:rPr>
        <w:t xml:space="preserve">. PLGA, as one of the United States Food and Drug Aadministration approved biopolymers, has been applied for developing therapeutic devices in recent years </w:t>
      </w:r>
      <w:r w:rsidRPr="00D42509">
        <w:rPr>
          <w:rFonts w:cstheme="minorHAnsi"/>
          <w:b/>
          <w:bCs/>
          <w:sz w:val="24"/>
          <w:szCs w:val="24"/>
          <w:vertAlign w:val="superscript"/>
        </w:rPr>
        <w:t>19</w:t>
      </w:r>
      <w:r w:rsidRPr="00D42509">
        <w:rPr>
          <w:rFonts w:cstheme="minorHAnsi"/>
          <w:sz w:val="24"/>
          <w:szCs w:val="24"/>
          <w:vertAlign w:val="superscript"/>
        </w:rPr>
        <w:t>-</w:t>
      </w:r>
      <w:r w:rsidRPr="00D42509">
        <w:rPr>
          <w:rFonts w:cstheme="minorHAnsi"/>
          <w:b/>
          <w:bCs/>
          <w:sz w:val="24"/>
          <w:szCs w:val="24"/>
          <w:vertAlign w:val="superscript"/>
        </w:rPr>
        <w:t>23</w:t>
      </w:r>
      <w:r w:rsidRPr="00D42509">
        <w:rPr>
          <w:rFonts w:cstheme="minorHAnsi"/>
          <w:sz w:val="24"/>
          <w:szCs w:val="24"/>
        </w:rPr>
        <w:t xml:space="preserve">. Due to the unique chemical, physical, and mechanical properties, as well as excellent biocompatibility and adjustable biodegradability properties, PLGA is known as an attractive candidate for VEGF delivery </w:t>
      </w:r>
      <w:r w:rsidRPr="00D42509">
        <w:rPr>
          <w:rFonts w:cstheme="minorHAnsi"/>
          <w:b/>
          <w:bCs/>
          <w:sz w:val="24"/>
          <w:szCs w:val="24"/>
          <w:vertAlign w:val="superscript"/>
        </w:rPr>
        <w:t>24</w:t>
      </w:r>
      <w:r w:rsidRPr="00D42509">
        <w:rPr>
          <w:rFonts w:cstheme="minorHAnsi"/>
          <w:sz w:val="24"/>
          <w:szCs w:val="24"/>
        </w:rPr>
        <w:t xml:space="preserve">. However, strong hydrophobic characteristics of PLGA has to be considered </w:t>
      </w:r>
      <w:r w:rsidRPr="00D42509">
        <w:rPr>
          <w:rFonts w:cstheme="minorHAnsi"/>
          <w:b/>
          <w:bCs/>
          <w:sz w:val="24"/>
          <w:szCs w:val="24"/>
          <w:vertAlign w:val="superscript"/>
        </w:rPr>
        <w:t>18</w:t>
      </w:r>
      <w:r w:rsidRPr="00D42509">
        <w:rPr>
          <w:rFonts w:cstheme="minorHAnsi"/>
          <w:sz w:val="24"/>
          <w:szCs w:val="24"/>
        </w:rPr>
        <w:t xml:space="preserve">. However, strong hydrophobic characteristics of PLGA have to be considered </w:t>
      </w:r>
      <w:r w:rsidRPr="00D42509">
        <w:rPr>
          <w:rFonts w:cstheme="minorHAnsi"/>
          <w:b/>
          <w:bCs/>
          <w:sz w:val="24"/>
          <w:szCs w:val="24"/>
          <w:vertAlign w:val="superscript"/>
        </w:rPr>
        <w:t>18</w:t>
      </w:r>
      <w:r w:rsidRPr="00D42509">
        <w:rPr>
          <w:rFonts w:cstheme="minorHAnsi"/>
          <w:sz w:val="24"/>
          <w:szCs w:val="24"/>
        </w:rPr>
        <w:t xml:space="preserve">. This hydrophobic property can lead to deleterious outcomes in protein-loaded PLGA microspheres such as low encapsulation efficacy and minimizing initial burst release, which increases potential risks in the initial period </w:t>
      </w:r>
      <w:r w:rsidRPr="00D42509">
        <w:rPr>
          <w:rFonts w:cstheme="minorHAnsi"/>
          <w:b/>
          <w:bCs/>
          <w:sz w:val="24"/>
          <w:szCs w:val="24"/>
          <w:vertAlign w:val="superscript"/>
        </w:rPr>
        <w:t>21</w:t>
      </w:r>
      <w:r w:rsidRPr="00D42509">
        <w:rPr>
          <w:rFonts w:cstheme="minorHAnsi"/>
          <w:sz w:val="24"/>
          <w:szCs w:val="24"/>
          <w:vertAlign w:val="superscript"/>
        </w:rPr>
        <w:t>, </w:t>
      </w:r>
      <w:r w:rsidRPr="00D42509">
        <w:rPr>
          <w:rFonts w:cstheme="minorHAnsi"/>
          <w:b/>
          <w:bCs/>
          <w:sz w:val="24"/>
          <w:szCs w:val="24"/>
          <w:vertAlign w:val="superscript"/>
        </w:rPr>
        <w:t>23</w:t>
      </w:r>
      <w:r w:rsidRPr="00D42509">
        <w:rPr>
          <w:rFonts w:cstheme="minorHAnsi"/>
          <w:sz w:val="24"/>
          <w:szCs w:val="24"/>
        </w:rPr>
        <w:t>.</w:t>
      </w:r>
    </w:p>
    <w:p w14:paraId="7F509ECF" w14:textId="294FCEC0" w:rsidR="00D42509" w:rsidRPr="00D42509" w:rsidRDefault="00D42509" w:rsidP="00D42509">
      <w:pPr>
        <w:rPr>
          <w:rFonts w:cstheme="minorHAnsi"/>
          <w:sz w:val="24"/>
          <w:szCs w:val="24"/>
        </w:rPr>
      </w:pPr>
      <w:r w:rsidRPr="00D42509">
        <w:rPr>
          <w:rFonts w:cstheme="minorHAnsi"/>
          <w:sz w:val="24"/>
          <w:szCs w:val="24"/>
        </w:rPr>
        <w:t xml:space="preserve">Owning to its rapid and straightforward preparation procedure, double emulsion techniques are conventional approaches to produce protein-loaded PLGA microspheres </w:t>
      </w:r>
      <w:r w:rsidRPr="00D42509">
        <w:rPr>
          <w:rFonts w:cstheme="minorHAnsi"/>
          <w:b/>
          <w:bCs/>
          <w:sz w:val="24"/>
          <w:szCs w:val="24"/>
          <w:vertAlign w:val="superscript"/>
        </w:rPr>
        <w:t>24</w:t>
      </w:r>
      <w:r w:rsidRPr="00D42509">
        <w:rPr>
          <w:rFonts w:cstheme="minorHAnsi"/>
          <w:sz w:val="24"/>
          <w:szCs w:val="24"/>
        </w:rPr>
        <w:t xml:space="preserve">. However, the resulting PLGA microspheres from double emulsion techniques are highly polydisperse particles. As a result, the different release profiles can be presented by the polydisperse protein-loaded microspheres </w:t>
      </w:r>
      <w:r w:rsidRPr="00D42509">
        <w:rPr>
          <w:rFonts w:cstheme="minorHAnsi"/>
          <w:b/>
          <w:bCs/>
          <w:sz w:val="24"/>
          <w:szCs w:val="24"/>
          <w:vertAlign w:val="superscript"/>
        </w:rPr>
        <w:t>25</w:t>
      </w:r>
      <w:r w:rsidRPr="00D42509">
        <w:rPr>
          <w:rFonts w:cstheme="minorHAnsi"/>
          <w:sz w:val="24"/>
          <w:szCs w:val="24"/>
        </w:rPr>
        <w:t xml:space="preserve">. The microfluidic technique is generally used to produce monodisperse PLGA microspheres in a highly controllable and reproducible manner </w:t>
      </w:r>
      <w:r w:rsidRPr="00D42509">
        <w:rPr>
          <w:rFonts w:cstheme="minorHAnsi"/>
          <w:b/>
          <w:bCs/>
          <w:sz w:val="24"/>
          <w:szCs w:val="24"/>
          <w:vertAlign w:val="superscript"/>
        </w:rPr>
        <w:t>26</w:t>
      </w:r>
      <w:r w:rsidRPr="00D42509">
        <w:rPr>
          <w:rFonts w:cstheme="minorHAnsi"/>
          <w:sz w:val="24"/>
          <w:szCs w:val="24"/>
        </w:rPr>
        <w:t xml:space="preserve">. The on-chip-based approaches have been extensively utilized to encapsulate different biomolecules and drugs </w:t>
      </w:r>
      <w:r w:rsidRPr="00D42509">
        <w:rPr>
          <w:rFonts w:cstheme="minorHAnsi"/>
          <w:b/>
          <w:bCs/>
          <w:sz w:val="24"/>
          <w:szCs w:val="24"/>
          <w:vertAlign w:val="superscript"/>
        </w:rPr>
        <w:t>25</w:t>
      </w:r>
      <w:r w:rsidRPr="00D42509">
        <w:rPr>
          <w:rFonts w:cstheme="minorHAnsi"/>
          <w:sz w:val="24"/>
          <w:szCs w:val="24"/>
          <w:vertAlign w:val="superscript"/>
        </w:rPr>
        <w:t>-</w:t>
      </w:r>
      <w:r w:rsidRPr="00D42509">
        <w:rPr>
          <w:rFonts w:cstheme="minorHAnsi"/>
          <w:b/>
          <w:bCs/>
          <w:sz w:val="24"/>
          <w:szCs w:val="24"/>
          <w:vertAlign w:val="superscript"/>
        </w:rPr>
        <w:t>27</w:t>
      </w:r>
      <w:r w:rsidRPr="00D42509">
        <w:rPr>
          <w:rFonts w:cstheme="minorHAnsi"/>
          <w:sz w:val="24"/>
          <w:szCs w:val="24"/>
        </w:rPr>
        <w:t xml:space="preserve">. However, many critical issues in the fabrication of proteins-loaded microspheres are remained </w:t>
      </w:r>
      <w:r w:rsidRPr="00D42509">
        <w:rPr>
          <w:rFonts w:cstheme="minorHAnsi"/>
          <w:b/>
          <w:bCs/>
          <w:sz w:val="24"/>
          <w:szCs w:val="24"/>
          <w:vertAlign w:val="superscript"/>
        </w:rPr>
        <w:t>27</w:t>
      </w:r>
      <w:r w:rsidRPr="00D42509">
        <w:rPr>
          <w:rFonts w:cstheme="minorHAnsi"/>
          <w:sz w:val="24"/>
          <w:szCs w:val="24"/>
        </w:rPr>
        <w:t>.</w:t>
      </w:r>
    </w:p>
    <w:p w14:paraId="52E96901" w14:textId="77777777" w:rsidR="00D42509" w:rsidRPr="00D42509" w:rsidRDefault="00D42509" w:rsidP="00D42509">
      <w:pPr>
        <w:rPr>
          <w:rFonts w:cstheme="minorHAnsi"/>
          <w:sz w:val="24"/>
          <w:szCs w:val="24"/>
        </w:rPr>
      </w:pPr>
      <w:r w:rsidRPr="00D42509">
        <w:rPr>
          <w:rFonts w:cstheme="minorHAnsi"/>
          <w:sz w:val="24"/>
          <w:szCs w:val="24"/>
        </w:rPr>
        <w:t>The present study aimed to develop PLGA composite microspheres containing anhydrous reverse micelle (R.M.) dipalmitoylphosphatidylcholine (DPPC) nanoparticles-loaded VEGF by microfluidic platforms to protect VEGF bioactivity and reduce the initial burst release. The VEGF-loaded R.M. (VRM) nanoparticles were achieved by initial self-assembly and subsequent lipid inversion of the DPPC vesicles. The fabricated VRMs were encapsulated into the PLGA matrix by flow-focusing geometry microfluidic platforms. The produced composite microspheres were fully characterized and release profile, and bioactivity of the loaded VEGF was also described.</w:t>
      </w:r>
    </w:p>
    <w:p w14:paraId="5F6E244D" w14:textId="77777777" w:rsidR="00D42509" w:rsidRPr="00D42509" w:rsidRDefault="00D42509" w:rsidP="00E661EC">
      <w:pPr>
        <w:pStyle w:val="Heading1"/>
      </w:pPr>
      <w:r w:rsidRPr="00D42509">
        <w:t>2 Materials and Methods</w:t>
      </w:r>
    </w:p>
    <w:p w14:paraId="1F738F1E" w14:textId="77777777" w:rsidR="00D42509" w:rsidRPr="00D42509" w:rsidRDefault="00D42509" w:rsidP="00E661EC">
      <w:pPr>
        <w:pStyle w:val="Heading2"/>
      </w:pPr>
      <w:r w:rsidRPr="00D42509">
        <w:t>2.1 Materials</w:t>
      </w:r>
    </w:p>
    <w:p w14:paraId="2F463004" w14:textId="77777777" w:rsidR="00D42509" w:rsidRPr="00D42509" w:rsidRDefault="00D42509" w:rsidP="00D42509">
      <w:pPr>
        <w:rPr>
          <w:rFonts w:cstheme="minorHAnsi"/>
          <w:sz w:val="24"/>
          <w:szCs w:val="24"/>
        </w:rPr>
      </w:pPr>
      <w:r w:rsidRPr="00D42509">
        <w:rPr>
          <w:rFonts w:cstheme="minorHAnsi"/>
          <w:sz w:val="24"/>
          <w:szCs w:val="24"/>
        </w:rPr>
        <w:t>Vascular endothelial growth factor-A(165) was purchased from Cell Applications (CA , USA). PLGA (75:25, Mw 76,000–115,000, a viscosity of 0.7 dL/g), human VEGF ELISA assay kit, endothelial cell growth medium 2 supplement, dichloromethane (DCM), and cell proliferation reagent WST kit were purchased from Sigma–Aldrich (WI, USA). 1,2-Dipalmitoyl-sn-glycero-3-phosphocholine was obtained from Avanti Polar (AL, USA). Polyvinyl alcohol (Mw 500–5,000) was gained from VWR (CO, USA).</w:t>
      </w:r>
    </w:p>
    <w:p w14:paraId="32ACD32F" w14:textId="77777777" w:rsidR="00D42509" w:rsidRPr="00D42509" w:rsidRDefault="00D42509" w:rsidP="00E661EC">
      <w:pPr>
        <w:pStyle w:val="Heading2"/>
      </w:pPr>
      <w:r w:rsidRPr="00D42509">
        <w:t>2.2 Preparation of VRM nanoparticles</w:t>
      </w:r>
    </w:p>
    <w:p w14:paraId="2B2E81B9" w14:textId="77777777" w:rsidR="00D42509" w:rsidRPr="00D42509" w:rsidRDefault="00D42509" w:rsidP="00D42509">
      <w:pPr>
        <w:rPr>
          <w:rFonts w:cstheme="minorHAnsi"/>
          <w:sz w:val="24"/>
          <w:szCs w:val="24"/>
        </w:rPr>
      </w:pPr>
      <w:r w:rsidRPr="00D42509">
        <w:rPr>
          <w:rFonts w:cstheme="minorHAnsi"/>
          <w:sz w:val="24"/>
          <w:szCs w:val="24"/>
        </w:rPr>
        <w:t>The VEGF-loaded DPPC nanoparticles were fabricated by the bottom-up method. Briefly, VEGF was dissolved in phosphate-buffered saline (PBS) (2 mg/mL) to form the aqueous phase, whereas DPPC was dissolved in DMSO (50 mg/mL). Subsequently, a 1 mL DPPC solution was added to 4 mL of the aqueous phase dropwise under stirring at 1,000 rpm for 20 Min at 37.0 °C. The resulting mixture was frozen and lyophilized.</w:t>
      </w:r>
    </w:p>
    <w:p w14:paraId="32337345" w14:textId="77777777" w:rsidR="00D42509" w:rsidRPr="00D42509" w:rsidRDefault="00D42509" w:rsidP="00824EBF">
      <w:pPr>
        <w:pStyle w:val="Heading2"/>
      </w:pPr>
      <w:r w:rsidRPr="00D42509">
        <w:t>2.3 Production of the VRM-loaded microspheres</w:t>
      </w:r>
    </w:p>
    <w:p w14:paraId="7AD9E878" w14:textId="537B587A" w:rsidR="00D42509" w:rsidRPr="00D42509" w:rsidRDefault="00D42509" w:rsidP="00D42509">
      <w:pPr>
        <w:rPr>
          <w:rFonts w:cstheme="minorHAnsi"/>
          <w:sz w:val="24"/>
          <w:szCs w:val="24"/>
        </w:rPr>
      </w:pPr>
      <w:r w:rsidRPr="00D42509">
        <w:rPr>
          <w:rFonts w:cstheme="minorHAnsi"/>
          <w:sz w:val="24"/>
          <w:szCs w:val="24"/>
        </w:rPr>
        <w:t>In this study, VRM-loaded PLGA microspheres (VMPs) were prepared by the microfluidic droplet approach. The droplets fluid or S/O phase (VEGF and PLGA solution) was obtained by solving 50 mg of PLGA, 0.1 mg VRM or native VEGF, and 1 mg Mg (OH)</w:t>
      </w:r>
      <w:r w:rsidRPr="00D42509">
        <w:rPr>
          <w:rFonts w:cstheme="minorHAnsi"/>
          <w:sz w:val="24"/>
          <w:szCs w:val="24"/>
          <w:vertAlign w:val="subscript"/>
        </w:rPr>
        <w:t>2</w:t>
      </w:r>
      <w:r w:rsidRPr="00D42509">
        <w:rPr>
          <w:rFonts w:cstheme="minorHAnsi"/>
          <w:sz w:val="24"/>
          <w:szCs w:val="24"/>
        </w:rPr>
        <w:t> in 5 mL (DCM). The mixture was vortexed and sonicated for 30 Sec. The carrier fluid or continuous phase was prepared by solving 500 mg PVA in a 25 mL water. To remove large particles, the droplets and carrier fluid was filtered by 0.2 µm filtrate. The fluids were transferred to 3D flow focusing droplet chip 100 µm hydrophilic (Part No. 3200433; Dolomite, UK) microfluidic chip by syringe pumps through FEP tubes (Fig. </w:t>
      </w:r>
      <w:r w:rsidRPr="00D42509">
        <w:rPr>
          <w:rFonts w:cstheme="minorHAnsi"/>
          <w:b/>
          <w:bCs/>
          <w:sz w:val="24"/>
          <w:szCs w:val="24"/>
        </w:rPr>
        <w:t>1</w:t>
      </w:r>
      <w:r w:rsidRPr="00D42509">
        <w:rPr>
          <w:rFonts w:cstheme="minorHAnsi"/>
          <w:sz w:val="24"/>
          <w:szCs w:val="24"/>
        </w:rPr>
        <w:t>). The chip outlet was collected in 100 mL of PVA solutions (2% wt% in PBS) and continuously stirred at 200 rpm. The VRM-loaded microspheres were lyophilized after centrifuged and washed with DI water.</w:t>
      </w:r>
    </w:p>
    <w:p w14:paraId="14B82B99" w14:textId="6656CDBA" w:rsidR="00D42509" w:rsidRPr="00D42509" w:rsidRDefault="00D42509" w:rsidP="00D42509">
      <w:pPr>
        <w:rPr>
          <w:rFonts w:cstheme="minorHAnsi"/>
          <w:sz w:val="24"/>
          <w:szCs w:val="24"/>
        </w:rPr>
      </w:pPr>
      <w:r w:rsidRPr="00D42509">
        <w:rPr>
          <w:rFonts w:cstheme="minorHAnsi"/>
          <w:sz w:val="24"/>
          <w:szCs w:val="24"/>
        </w:rPr>
        <w:drawing>
          <wp:inline distT="0" distB="0" distL="0" distR="0" wp14:anchorId="5E732FA2" wp14:editId="6F07AA2B">
            <wp:extent cx="2743200" cy="1810512"/>
            <wp:effectExtent l="0" t="0" r="0" b="0"/>
            <wp:docPr id="6" name="Picture 6" descr="Details are in the caption following the image">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tails are in the caption following the image">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810512"/>
                    </a:xfrm>
                    <a:prstGeom prst="rect">
                      <a:avLst/>
                    </a:prstGeom>
                    <a:noFill/>
                    <a:ln>
                      <a:noFill/>
                    </a:ln>
                  </pic:spPr>
                </pic:pic>
              </a:graphicData>
            </a:graphic>
          </wp:inline>
        </w:drawing>
      </w:r>
    </w:p>
    <w:p w14:paraId="7A98BD3D" w14:textId="6A172ED1" w:rsidR="00D42509" w:rsidRDefault="00D42509" w:rsidP="00824EBF">
      <w:pPr>
        <w:pStyle w:val="NoSpacing"/>
      </w:pPr>
      <w:r w:rsidRPr="00D42509">
        <w:rPr>
          <w:b/>
          <w:bCs/>
        </w:rPr>
        <w:t>FIG. 1</w:t>
      </w:r>
      <w:r w:rsidR="00824EBF">
        <w:t xml:space="preserve"> </w:t>
      </w:r>
      <w:r w:rsidRPr="00D42509">
        <w:t>Schematic representation of (A) VRM nanoparticle fabrication and (B) the microfluidic setup for VRM-loaded PLGA microspheres (VMPs) production.</w:t>
      </w:r>
    </w:p>
    <w:p w14:paraId="4713C798" w14:textId="77777777" w:rsidR="00824EBF" w:rsidRPr="00D42509" w:rsidRDefault="00824EBF" w:rsidP="00D42509">
      <w:pPr>
        <w:rPr>
          <w:rFonts w:cstheme="minorHAnsi"/>
          <w:sz w:val="24"/>
          <w:szCs w:val="24"/>
        </w:rPr>
      </w:pPr>
    </w:p>
    <w:p w14:paraId="50A0BFCD" w14:textId="77777777" w:rsidR="00D42509" w:rsidRPr="00D42509" w:rsidRDefault="00D42509" w:rsidP="00824EBF">
      <w:pPr>
        <w:pStyle w:val="Heading2"/>
      </w:pPr>
      <w:r w:rsidRPr="00D42509">
        <w:t>2.4 Encapsulation efficiency</w:t>
      </w:r>
    </w:p>
    <w:p w14:paraId="41EAF204" w14:textId="77777777" w:rsidR="00D42509" w:rsidRPr="00D42509" w:rsidRDefault="00D42509" w:rsidP="00D42509">
      <w:pPr>
        <w:rPr>
          <w:rFonts w:cstheme="minorHAnsi"/>
          <w:sz w:val="24"/>
          <w:szCs w:val="24"/>
        </w:rPr>
      </w:pPr>
      <w:r w:rsidRPr="00D42509">
        <w:rPr>
          <w:rFonts w:cstheme="minorHAnsi"/>
          <w:sz w:val="24"/>
          <w:szCs w:val="24"/>
        </w:rPr>
        <w:t>The amount of VEGF actual loading in PLGA microspheres was calculated by the degradation of 10 mg of the VMPs in 2 mL of 0.1 N NaOH. After 8 H, the mixtures were centrifuged (4000 g, 10 Min) and the supernatant was collected. ELISA assay kit was used to measure the VEGF content in this solution. The loading efficiency was calculated by the ratio of actual to theoretical loading × 100 ± standard deviations. The standard deviation value was defined by repeating this test for five different samples.</w:t>
      </w:r>
    </w:p>
    <w:p w14:paraId="6D53556C" w14:textId="77777777" w:rsidR="00D42509" w:rsidRPr="00D42509" w:rsidRDefault="00D42509" w:rsidP="00824EBF">
      <w:pPr>
        <w:pStyle w:val="Heading2"/>
      </w:pPr>
      <w:r w:rsidRPr="00D42509">
        <w:t>2.5 </w:t>
      </w:r>
      <w:r w:rsidRPr="00D42509">
        <w:rPr>
          <w:i/>
          <w:iCs/>
        </w:rPr>
        <w:t>In vitro</w:t>
      </w:r>
      <w:r w:rsidRPr="00D42509">
        <w:t> release</w:t>
      </w:r>
    </w:p>
    <w:p w14:paraId="31010580" w14:textId="3E47C480" w:rsidR="00D42509" w:rsidRPr="00D42509" w:rsidRDefault="00D42509" w:rsidP="00D42509">
      <w:pPr>
        <w:rPr>
          <w:rFonts w:cstheme="minorHAnsi"/>
          <w:sz w:val="24"/>
          <w:szCs w:val="24"/>
        </w:rPr>
      </w:pPr>
      <w:r w:rsidRPr="00D42509">
        <w:rPr>
          <w:rFonts w:cstheme="minorHAnsi"/>
          <w:sz w:val="24"/>
          <w:szCs w:val="24"/>
        </w:rPr>
        <w:t>For the </w:t>
      </w:r>
      <w:r w:rsidRPr="00D42509">
        <w:rPr>
          <w:rFonts w:cstheme="minorHAnsi"/>
          <w:i/>
          <w:iCs/>
          <w:sz w:val="24"/>
          <w:szCs w:val="24"/>
        </w:rPr>
        <w:t>in vitro</w:t>
      </w:r>
      <w:r w:rsidRPr="00D42509">
        <w:rPr>
          <w:rFonts w:cstheme="minorHAnsi"/>
          <w:sz w:val="24"/>
          <w:szCs w:val="24"/>
        </w:rPr>
        <w:t> release, 10 mg of VRM-loaded PLGA microspheres suspended in 1 mL PBS (1× pH 7.4) ) and incubated in a shaker incubator at 37.0 °C at 100 rpm. At predetermined time intervals, the samples were centrifuged (6,000 rpm, 10 Min), and the </w:t>
      </w:r>
      <w:r w:rsidRPr="00D42509">
        <w:rPr>
          <w:rFonts w:cstheme="minorHAnsi"/>
          <w:b/>
          <w:bCs/>
          <w:sz w:val="24"/>
          <w:szCs w:val="24"/>
        </w:rPr>
        <w:t>supernatants</w:t>
      </w:r>
      <w:r w:rsidRPr="00D42509">
        <w:rPr>
          <w:rFonts w:cstheme="minorHAnsi"/>
          <w:sz w:val="24"/>
          <w:szCs w:val="24"/>
        </w:rPr>
        <w:t> were replaced with the fresh PBS. The VEGF concentration in the collected samples was measured by ELISA assay kits.</w:t>
      </w:r>
    </w:p>
    <w:p w14:paraId="0F3CBD52" w14:textId="77777777" w:rsidR="00D42509" w:rsidRPr="00D42509" w:rsidRDefault="00D42509" w:rsidP="00824EBF">
      <w:pPr>
        <w:pStyle w:val="Heading2"/>
      </w:pPr>
      <w:r w:rsidRPr="00D42509">
        <w:t>2.6 VEGF bioactivity assay</w:t>
      </w:r>
    </w:p>
    <w:p w14:paraId="2837A0A6" w14:textId="77777777" w:rsidR="00D42509" w:rsidRPr="00D42509" w:rsidRDefault="00D42509" w:rsidP="00D42509">
      <w:pPr>
        <w:rPr>
          <w:rFonts w:cstheme="minorHAnsi"/>
          <w:sz w:val="24"/>
          <w:szCs w:val="24"/>
        </w:rPr>
      </w:pPr>
      <w:r w:rsidRPr="00D42509">
        <w:rPr>
          <w:rFonts w:cstheme="minorHAnsi"/>
          <w:sz w:val="24"/>
          <w:szCs w:val="24"/>
        </w:rPr>
        <w:t>Bioactivity of the VEGF released from VRM-loaded PLGA microspheres was evaluated using an assay measuring the proliferation of human umbilical vein cells (HUVECs) (ATCC® PCS100-013™). The HUVECs were expanded in T-25 cell culture flasks by endothelial cell growth medium-2 containing all necessary supplements and growth factors such as recombinant insulin-like growth factor, basic fibroblast growth factor, epidermal growth factor, VEGF, heparin, ascorbic acid, and hydrocortisone with 5% fetal bovine serum, and 1% streptomycin/penicillin. The cells were incubated at 37 °C and 5% CO</w:t>
      </w:r>
      <w:r w:rsidRPr="00D42509">
        <w:rPr>
          <w:rFonts w:cstheme="minorHAnsi"/>
          <w:sz w:val="24"/>
          <w:szCs w:val="24"/>
          <w:vertAlign w:val="subscript"/>
        </w:rPr>
        <w:t>2</w:t>
      </w:r>
      <w:r w:rsidRPr="00D42509">
        <w:rPr>
          <w:rFonts w:cstheme="minorHAnsi"/>
          <w:sz w:val="24"/>
          <w:szCs w:val="24"/>
        </w:rPr>
        <w:t>. The effect of cell number and culture medium on HUVEC proliferation assays was investigated, and optimized conditions for the bioactivity assay were obtained. The pilot study showed that culture 2,000 cells per well in the base medium contains serum only was the optimal condition for the bioactivity assay VEGF on HUVEC.</w:t>
      </w:r>
    </w:p>
    <w:p w14:paraId="791ABA12" w14:textId="348AF2C9" w:rsidR="00D42509" w:rsidRPr="00D42509" w:rsidRDefault="00D42509" w:rsidP="00D42509">
      <w:pPr>
        <w:rPr>
          <w:rFonts w:cstheme="minorHAnsi"/>
          <w:sz w:val="24"/>
          <w:szCs w:val="24"/>
        </w:rPr>
      </w:pPr>
      <w:r w:rsidRPr="00D42509">
        <w:rPr>
          <w:rFonts w:cstheme="minorHAnsi"/>
          <w:sz w:val="24"/>
          <w:szCs w:val="24"/>
        </w:rPr>
        <w:t>To perform the proliferation assay, 2 × 10</w:t>
      </w:r>
      <w:r w:rsidRPr="00D42509">
        <w:rPr>
          <w:rFonts w:cstheme="minorHAnsi"/>
          <w:sz w:val="24"/>
          <w:szCs w:val="24"/>
          <w:vertAlign w:val="superscript"/>
        </w:rPr>
        <w:t>3</w:t>
      </w:r>
      <w:r w:rsidRPr="00D42509">
        <w:rPr>
          <w:rFonts w:cstheme="minorHAnsi"/>
          <w:sz w:val="24"/>
          <w:szCs w:val="24"/>
        </w:rPr>
        <w:t> HUVECs were seeded in each well of 96-well plates using the base medium supplemented with 5% fetal bovine serum and 1% streptomycin/penicillin. After 24 H, the HUVECs were treated with 1 µg of VEGF-loaded or VRM-loaded PLGA microspheres (eight wells per group). Native VEGF (at the same concentrations corresponding to the released volume added daily) and PBS were used as positive and negative controls, respectively (eight wells per group). Number of cells in each treatment group was measured after 1, 2, 3, 5, and 8 days using metabolic WST-1 assay. In brief, 10 µL WST-1 reagent was added to each well and the plates were incubated in humidified atmosphere containing 5% CO</w:t>
      </w:r>
      <w:r w:rsidRPr="00D42509">
        <w:rPr>
          <w:rFonts w:cstheme="minorHAnsi"/>
          <w:sz w:val="24"/>
          <w:szCs w:val="24"/>
          <w:vertAlign w:val="subscript"/>
        </w:rPr>
        <w:t>2</w:t>
      </w:r>
      <w:r w:rsidRPr="00D42509">
        <w:rPr>
          <w:rFonts w:cstheme="minorHAnsi"/>
          <w:sz w:val="24"/>
          <w:szCs w:val="24"/>
        </w:rPr>
        <w:t xml:space="preserve"> at 37 °C for 4 H. Then, the light absorbance was measured at 600 nm </w:t>
      </w:r>
      <w:r w:rsidRPr="00D42509">
        <w:rPr>
          <w:rFonts w:cstheme="minorHAnsi"/>
          <w:b/>
          <w:bCs/>
          <w:sz w:val="24"/>
          <w:szCs w:val="24"/>
          <w:vertAlign w:val="superscript"/>
        </w:rPr>
        <w:t>28</w:t>
      </w:r>
      <w:r w:rsidRPr="00D42509">
        <w:rPr>
          <w:rFonts w:cstheme="minorHAnsi"/>
          <w:sz w:val="24"/>
          <w:szCs w:val="24"/>
          <w:vertAlign w:val="superscript"/>
        </w:rPr>
        <w:t>, </w:t>
      </w:r>
      <w:r w:rsidRPr="00D42509">
        <w:rPr>
          <w:rFonts w:cstheme="minorHAnsi"/>
          <w:b/>
          <w:bCs/>
          <w:sz w:val="24"/>
          <w:szCs w:val="24"/>
          <w:vertAlign w:val="superscript"/>
        </w:rPr>
        <w:t>29</w:t>
      </w:r>
      <w:r w:rsidRPr="00D42509">
        <w:rPr>
          <w:rFonts w:cstheme="minorHAnsi"/>
          <w:sz w:val="24"/>
          <w:szCs w:val="24"/>
        </w:rPr>
        <w:t>.</w:t>
      </w:r>
    </w:p>
    <w:p w14:paraId="11614678" w14:textId="176B15F0" w:rsidR="00D42509" w:rsidRPr="00D42509" w:rsidRDefault="00D42509" w:rsidP="00D42509">
      <w:pPr>
        <w:rPr>
          <w:rFonts w:cstheme="minorHAnsi"/>
          <w:sz w:val="24"/>
          <w:szCs w:val="24"/>
        </w:rPr>
      </w:pPr>
      <w:r w:rsidRPr="00D42509">
        <w:rPr>
          <w:rFonts w:cstheme="minorHAnsi"/>
          <w:sz w:val="24"/>
          <w:szCs w:val="24"/>
        </w:rPr>
        <w:t xml:space="preserve">Moreover, the potential of released VEGF from VRM-loaded PLGA microspheres to stimulate cellular responses by binding to VEGF receptor 2 (VEGFR2/KDR) was evaluated by the VEGF Bioassay kit (Promega® GA2001). In brief, the KDR/NFAT-RE HEK293 cells were treated by VRM-loaded PLGA microspheres. Then, the NFAT-RE-mediated luminescence induced by activation of KDR was measured by a luminometer after 3 days </w:t>
      </w:r>
      <w:r w:rsidRPr="00D42509">
        <w:rPr>
          <w:rFonts w:cstheme="minorHAnsi"/>
          <w:b/>
          <w:bCs/>
          <w:sz w:val="24"/>
          <w:szCs w:val="24"/>
          <w:vertAlign w:val="superscript"/>
        </w:rPr>
        <w:t>30</w:t>
      </w:r>
      <w:r w:rsidRPr="00D42509">
        <w:rPr>
          <w:rFonts w:cstheme="minorHAnsi"/>
          <w:sz w:val="24"/>
          <w:szCs w:val="24"/>
        </w:rPr>
        <w:t>. All experiments were replicated three times.</w:t>
      </w:r>
    </w:p>
    <w:p w14:paraId="5BD91BDF" w14:textId="77777777" w:rsidR="00D42509" w:rsidRPr="00D42509" w:rsidRDefault="00D42509" w:rsidP="00824EBF">
      <w:pPr>
        <w:pStyle w:val="Heading2"/>
      </w:pPr>
      <w:r w:rsidRPr="00D42509">
        <w:t>2.7 Characterization</w:t>
      </w:r>
    </w:p>
    <w:p w14:paraId="330F0F48" w14:textId="5BDBA195" w:rsidR="00D42509" w:rsidRPr="00D42509" w:rsidRDefault="00D42509" w:rsidP="00D42509">
      <w:pPr>
        <w:rPr>
          <w:rFonts w:cstheme="minorHAnsi"/>
          <w:sz w:val="24"/>
          <w:szCs w:val="24"/>
        </w:rPr>
      </w:pPr>
      <w:r w:rsidRPr="00D42509">
        <w:rPr>
          <w:rFonts w:cstheme="minorHAnsi"/>
          <w:sz w:val="24"/>
          <w:szCs w:val="24"/>
        </w:rPr>
        <w:t xml:space="preserve">The JEM-1400 transmission electron microscopy morphology (TEM) was used to examine VEGF-loaded DPPC nanoparticles. The size distribution of the VEGF-loaded DPPC nanoparticles sample was measured by Malvern ZEN 3600 dynamic light scattering (DLS) analysis. Briefly, 50 µL of VRM was diluted in 3 mL of PBS (1×, pH 7.4), and the sample was transferred to cuvet for DLS analysis. Hydrodynamic diameter size distribution was measured five times at room temperature. The size and microstructure of PLGA VMPs were studied by LEXT OLS4000 3D laser measuring microscope. The image analysis method that described previously was used to calculate the size of PLGA VMPs </w:t>
      </w:r>
      <w:r w:rsidRPr="00D42509">
        <w:rPr>
          <w:rFonts w:cstheme="minorHAnsi"/>
          <w:b/>
          <w:bCs/>
          <w:sz w:val="24"/>
          <w:szCs w:val="24"/>
          <w:vertAlign w:val="superscript"/>
        </w:rPr>
        <w:t>28</w:t>
      </w:r>
      <w:r w:rsidRPr="00D42509">
        <w:rPr>
          <w:rFonts w:cstheme="minorHAnsi"/>
          <w:sz w:val="24"/>
          <w:szCs w:val="24"/>
          <w:vertAlign w:val="superscript"/>
        </w:rPr>
        <w:t>, </w:t>
      </w:r>
      <w:r w:rsidRPr="00D42509">
        <w:rPr>
          <w:rFonts w:cstheme="minorHAnsi"/>
          <w:b/>
          <w:bCs/>
          <w:sz w:val="24"/>
          <w:szCs w:val="24"/>
          <w:vertAlign w:val="superscript"/>
        </w:rPr>
        <w:t>29</w:t>
      </w:r>
      <w:r w:rsidRPr="00D42509">
        <w:rPr>
          <w:rFonts w:cstheme="minorHAnsi"/>
          <w:sz w:val="24"/>
          <w:szCs w:val="24"/>
        </w:rPr>
        <w:t>. Briefly, for each sample, three different images were captured and processed by ImageJ software (ImageJ freeware; NIH, USA). Circular dichroism (CD) spectroscopy (Applied Photophysics Ltd.) was used to study the secondary structure of the VEGF extracted from VEGF and VRM-loaded PLGA microspheres. The collected released VEGF from the microspheres was transferred into a 1.0 mm path length quartz cuvette, and CD spectra of each sample were recorded at a wavelength range of 190–250 nm.</w:t>
      </w:r>
    </w:p>
    <w:p w14:paraId="63CA0BC1" w14:textId="77777777" w:rsidR="00D42509" w:rsidRPr="00D42509" w:rsidRDefault="00D42509" w:rsidP="00824EBF">
      <w:pPr>
        <w:pStyle w:val="Heading1"/>
      </w:pPr>
      <w:r w:rsidRPr="00D42509">
        <w:t>3 Results and Discussion</w:t>
      </w:r>
    </w:p>
    <w:p w14:paraId="5931D9B5" w14:textId="044010F0" w:rsidR="00D42509" w:rsidRPr="00D42509" w:rsidRDefault="00D42509" w:rsidP="00D42509">
      <w:pPr>
        <w:rPr>
          <w:rFonts w:cstheme="minorHAnsi"/>
          <w:sz w:val="24"/>
          <w:szCs w:val="24"/>
        </w:rPr>
      </w:pPr>
      <w:r w:rsidRPr="00D42509">
        <w:rPr>
          <w:rFonts w:cstheme="minorHAnsi"/>
          <w:sz w:val="24"/>
          <w:szCs w:val="24"/>
        </w:rPr>
        <w:t>The size and morphology of VEGF-loaded DPPC and VRM nanoparticles in DCM were investigated by TEM and DLS analysis (Figs. </w:t>
      </w:r>
      <w:r w:rsidRPr="00D42509">
        <w:rPr>
          <w:rFonts w:cstheme="minorHAnsi"/>
          <w:b/>
          <w:bCs/>
          <w:sz w:val="24"/>
          <w:szCs w:val="24"/>
        </w:rPr>
        <w:t>2A–2D</w:t>
      </w:r>
      <w:r w:rsidRPr="00D42509">
        <w:rPr>
          <w:rFonts w:cstheme="minorHAnsi"/>
          <w:sz w:val="24"/>
          <w:szCs w:val="24"/>
        </w:rPr>
        <w:t>). As present in Fig. </w:t>
      </w:r>
      <w:r w:rsidRPr="00D42509">
        <w:rPr>
          <w:rFonts w:cstheme="minorHAnsi"/>
          <w:b/>
          <w:bCs/>
          <w:sz w:val="24"/>
          <w:szCs w:val="24"/>
        </w:rPr>
        <w:t>2A</w:t>
      </w:r>
      <w:r w:rsidRPr="00D42509">
        <w:rPr>
          <w:rFonts w:cstheme="minorHAnsi"/>
          <w:sz w:val="24"/>
          <w:szCs w:val="24"/>
        </w:rPr>
        <w:t>, the synthesized VEGF-loaded DPPC nanoparticles have irregular shapes with an average particle size of around 160 nm, whereas VRM nanoparticles showed a relatively small particle size of approximately 90 nm (Fig. </w:t>
      </w:r>
      <w:r w:rsidRPr="00D42509">
        <w:rPr>
          <w:rFonts w:cstheme="minorHAnsi"/>
          <w:b/>
          <w:bCs/>
          <w:sz w:val="24"/>
          <w:szCs w:val="24"/>
        </w:rPr>
        <w:t>2B</w:t>
      </w:r>
      <w:r w:rsidRPr="00D42509">
        <w:rPr>
          <w:rFonts w:cstheme="minorHAnsi"/>
          <w:sz w:val="24"/>
          <w:szCs w:val="24"/>
        </w:rPr>
        <w:t xml:space="preserve">). Also, the hydrodynamic diameter of synthesized VEGF-loaded DPPC and VRM nanoparticles was 239 ± 15 and 150 ± 15 nm, respectively. The lipid inversion theory can be used to explain the mechanisms of VRM nanoparticle formation during the lyophilization process </w:t>
      </w:r>
      <w:r w:rsidRPr="00D42509">
        <w:rPr>
          <w:rFonts w:cstheme="minorHAnsi"/>
          <w:b/>
          <w:bCs/>
          <w:sz w:val="24"/>
          <w:szCs w:val="24"/>
          <w:vertAlign w:val="superscript"/>
        </w:rPr>
        <w:t>31</w:t>
      </w:r>
      <w:r w:rsidRPr="00D42509">
        <w:rPr>
          <w:rFonts w:cstheme="minorHAnsi"/>
          <w:sz w:val="24"/>
          <w:szCs w:val="24"/>
        </w:rPr>
        <w:t xml:space="preserve">. Briefly, the protein-loaded DPPC lipid bilayers nanoparticles were produced based on self-assembly of amphiphilic DPPC molecules with a fraction of dissolved VEGF. The VEGF can be existed simultaneously inside and outside of lipid vesicles. Because of phase separation and solvent evaporation during the lyophilization process, anhydrous nuclei were initially formed. The produced nuclei contained cryoprotectants and proteins. Subsequently, DPPC hydrophilic head groups accumulated onto the surface of the nuclei. By introducing organic solvent (DCM), DPPC hydrophobic tails around the nuclei dispersed and stretched in the organic solvent. On the other hand, owning to hydrophilic interaction of protein and DPPC hydrophilic head, DPPC absorbed on the surface of nuclei, and VRM nanoparticles were formed. In the produced VRM nanoparticles, VEGF was encapsulated in R.M., and it can be homogeneously dispersed in the organic solvent because of hydrophobic tails </w:t>
      </w:r>
      <w:r w:rsidRPr="00D42509">
        <w:rPr>
          <w:rFonts w:cstheme="minorHAnsi"/>
          <w:b/>
          <w:bCs/>
          <w:sz w:val="24"/>
          <w:szCs w:val="24"/>
          <w:vertAlign w:val="superscript"/>
        </w:rPr>
        <w:t>31</w:t>
      </w:r>
      <w:r w:rsidRPr="00D42509">
        <w:rPr>
          <w:rFonts w:cstheme="minorHAnsi"/>
          <w:sz w:val="24"/>
          <w:szCs w:val="24"/>
        </w:rPr>
        <w:t>. The R.M. could effectively protect the VEGF against organic solvents and preserve protein activity and stability during PLGA microspheres fabrication.</w:t>
      </w:r>
    </w:p>
    <w:p w14:paraId="6879D27D" w14:textId="471ADA44" w:rsidR="00D42509" w:rsidRPr="00D42509" w:rsidRDefault="00D42509" w:rsidP="00B36470">
      <w:pPr>
        <w:pStyle w:val="NoSpacing"/>
      </w:pPr>
      <w:r w:rsidRPr="00D42509">
        <w:drawing>
          <wp:inline distT="0" distB="0" distL="0" distR="0" wp14:anchorId="03F73053" wp14:editId="4304C32C">
            <wp:extent cx="2743200" cy="2340864"/>
            <wp:effectExtent l="0" t="0" r="0" b="2540"/>
            <wp:docPr id="5" name="Picture 5" descr="Details are in the caption following the image">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tails are in the caption following the image">
                      <a:hlinkClick r:id="rId13"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2340864"/>
                    </a:xfrm>
                    <a:prstGeom prst="rect">
                      <a:avLst/>
                    </a:prstGeom>
                    <a:noFill/>
                    <a:ln>
                      <a:noFill/>
                    </a:ln>
                  </pic:spPr>
                </pic:pic>
              </a:graphicData>
            </a:graphic>
          </wp:inline>
        </w:drawing>
      </w:r>
    </w:p>
    <w:p w14:paraId="1CBD4F1D" w14:textId="0229A5E5" w:rsidR="00D42509" w:rsidRDefault="00D42509" w:rsidP="00B36470">
      <w:pPr>
        <w:pStyle w:val="NoSpacing"/>
      </w:pPr>
      <w:r w:rsidRPr="00D42509">
        <w:rPr>
          <w:b/>
          <w:bCs/>
        </w:rPr>
        <w:t>FIG. 2</w:t>
      </w:r>
      <w:r w:rsidR="00AC52FE">
        <w:t xml:space="preserve"> </w:t>
      </w:r>
      <w:r w:rsidRPr="00D42509">
        <w:t>TEM micrographs of (A) VEGF-loaded DPPC and (B) VRM nanoparticles in the DCM. Hydrodynamic diameter of (C) synthesized VEGF-loaded DPPC and (D) VRM nanoparticles.</w:t>
      </w:r>
    </w:p>
    <w:p w14:paraId="03A9A38A" w14:textId="77777777" w:rsidR="00AC52FE" w:rsidRPr="00D42509" w:rsidRDefault="00AC52FE" w:rsidP="00D42509">
      <w:pPr>
        <w:rPr>
          <w:rFonts w:cstheme="minorHAnsi"/>
          <w:sz w:val="24"/>
          <w:szCs w:val="24"/>
        </w:rPr>
      </w:pPr>
    </w:p>
    <w:p w14:paraId="2590DFFB" w14:textId="7079A58C" w:rsidR="00D42509" w:rsidRPr="00D42509" w:rsidRDefault="00D42509" w:rsidP="00D42509">
      <w:pPr>
        <w:rPr>
          <w:rFonts w:cstheme="minorHAnsi"/>
          <w:sz w:val="24"/>
          <w:szCs w:val="24"/>
        </w:rPr>
      </w:pPr>
      <w:r w:rsidRPr="00D42509">
        <w:rPr>
          <w:rFonts w:cstheme="minorHAnsi"/>
          <w:sz w:val="24"/>
          <w:szCs w:val="24"/>
        </w:rPr>
        <w:t>The VRM-loaded PLGA microspheres were achieved by initial in chip droplets formation and subsequent solvent extraction from droplets. The effect of carrier (</w:t>
      </w:r>
      <w:r w:rsidRPr="00D42509">
        <w:rPr>
          <w:rFonts w:cstheme="minorHAnsi"/>
          <w:i/>
          <w:iCs/>
          <w:sz w:val="24"/>
          <w:szCs w:val="24"/>
        </w:rPr>
        <w:t>C</w:t>
      </w:r>
      <w:r w:rsidRPr="00D42509">
        <w:rPr>
          <w:rFonts w:cstheme="minorHAnsi"/>
          <w:sz w:val="24"/>
          <w:szCs w:val="24"/>
          <w:vertAlign w:val="subscript"/>
        </w:rPr>
        <w:t>f</w:t>
      </w:r>
      <w:r w:rsidRPr="00D42509">
        <w:rPr>
          <w:rFonts w:cstheme="minorHAnsi"/>
          <w:sz w:val="24"/>
          <w:szCs w:val="24"/>
        </w:rPr>
        <w:t>) and droplet flow rate (</w:t>
      </w:r>
      <w:r w:rsidRPr="00D42509">
        <w:rPr>
          <w:rFonts w:cstheme="minorHAnsi"/>
          <w:i/>
          <w:iCs/>
          <w:sz w:val="24"/>
          <w:szCs w:val="24"/>
        </w:rPr>
        <w:t>C</w:t>
      </w:r>
      <w:r w:rsidRPr="00D42509">
        <w:rPr>
          <w:rFonts w:cstheme="minorHAnsi"/>
          <w:sz w:val="24"/>
          <w:szCs w:val="24"/>
          <w:vertAlign w:val="subscript"/>
        </w:rPr>
        <w:t>d</w:t>
      </w:r>
      <w:r w:rsidRPr="00D42509">
        <w:rPr>
          <w:rFonts w:cstheme="minorHAnsi"/>
          <w:sz w:val="24"/>
          <w:szCs w:val="24"/>
        </w:rPr>
        <w:t>) on the formation of the PLGA droplets is presented in Fig. </w:t>
      </w:r>
      <w:r w:rsidRPr="00D42509">
        <w:rPr>
          <w:rFonts w:cstheme="minorHAnsi"/>
          <w:b/>
          <w:bCs/>
          <w:sz w:val="24"/>
          <w:szCs w:val="24"/>
        </w:rPr>
        <w:t>3</w:t>
      </w:r>
      <w:r w:rsidRPr="00D42509">
        <w:rPr>
          <w:rFonts w:cstheme="minorHAnsi"/>
          <w:sz w:val="24"/>
          <w:szCs w:val="24"/>
        </w:rPr>
        <w:t>. The typical image of the droplet formation in the microfluidic chip is shown in Figs. </w:t>
      </w:r>
      <w:r w:rsidRPr="00D42509">
        <w:rPr>
          <w:rFonts w:cstheme="minorHAnsi"/>
          <w:b/>
          <w:bCs/>
          <w:sz w:val="24"/>
          <w:szCs w:val="24"/>
        </w:rPr>
        <w:t>3A</w:t>
      </w:r>
      <w:r w:rsidRPr="00D42509">
        <w:rPr>
          <w:rFonts w:cstheme="minorHAnsi"/>
          <w:sz w:val="24"/>
          <w:szCs w:val="24"/>
        </w:rPr>
        <w:t> and </w:t>
      </w:r>
      <w:r w:rsidRPr="00D42509">
        <w:rPr>
          <w:rFonts w:cstheme="minorHAnsi"/>
          <w:b/>
          <w:bCs/>
          <w:sz w:val="24"/>
          <w:szCs w:val="24"/>
        </w:rPr>
        <w:t>3B</w:t>
      </w:r>
      <w:r w:rsidRPr="00D42509">
        <w:rPr>
          <w:rFonts w:cstheme="minorHAnsi"/>
          <w:sz w:val="24"/>
          <w:szCs w:val="24"/>
        </w:rPr>
        <w:t>. According to Figs. </w:t>
      </w:r>
      <w:r w:rsidRPr="00D42509">
        <w:rPr>
          <w:rFonts w:cstheme="minorHAnsi"/>
          <w:b/>
          <w:bCs/>
          <w:sz w:val="24"/>
          <w:szCs w:val="24"/>
        </w:rPr>
        <w:t>3A</w:t>
      </w:r>
      <w:r w:rsidRPr="00D42509">
        <w:rPr>
          <w:rFonts w:cstheme="minorHAnsi"/>
          <w:sz w:val="24"/>
          <w:szCs w:val="24"/>
        </w:rPr>
        <w:t> and </w:t>
      </w:r>
      <w:r w:rsidRPr="00D42509">
        <w:rPr>
          <w:rFonts w:cstheme="minorHAnsi"/>
          <w:b/>
          <w:bCs/>
          <w:sz w:val="24"/>
          <w:szCs w:val="24"/>
        </w:rPr>
        <w:t>3B</w:t>
      </w:r>
      <w:r w:rsidRPr="00D42509">
        <w:rPr>
          <w:rFonts w:cstheme="minorHAnsi"/>
          <w:sz w:val="24"/>
          <w:szCs w:val="24"/>
        </w:rPr>
        <w:t>, the droplet sizes and generation frequency rates were changed by increasing </w:t>
      </w:r>
      <w:r w:rsidRPr="00D42509">
        <w:rPr>
          <w:rFonts w:cstheme="minorHAnsi"/>
          <w:i/>
          <w:iCs/>
          <w:sz w:val="24"/>
          <w:szCs w:val="24"/>
        </w:rPr>
        <w:t>C</w:t>
      </w:r>
      <w:r w:rsidRPr="00D42509">
        <w:rPr>
          <w:rFonts w:cstheme="minorHAnsi"/>
          <w:sz w:val="24"/>
          <w:szCs w:val="24"/>
          <w:vertAlign w:val="subscript"/>
        </w:rPr>
        <w:t>f</w:t>
      </w:r>
      <w:r w:rsidRPr="00D42509">
        <w:rPr>
          <w:rFonts w:cstheme="minorHAnsi"/>
          <w:sz w:val="24"/>
          <w:szCs w:val="24"/>
        </w:rPr>
        <w:t>. The droplet size and frequency of the droplet formation for different values of </w:t>
      </w:r>
      <w:r w:rsidRPr="00D42509">
        <w:rPr>
          <w:rFonts w:cstheme="minorHAnsi"/>
          <w:i/>
          <w:iCs/>
          <w:sz w:val="24"/>
          <w:szCs w:val="24"/>
        </w:rPr>
        <w:t>C</w:t>
      </w:r>
      <w:r w:rsidRPr="00D42509">
        <w:rPr>
          <w:rFonts w:cstheme="minorHAnsi"/>
          <w:sz w:val="24"/>
          <w:szCs w:val="24"/>
          <w:vertAlign w:val="subscript"/>
        </w:rPr>
        <w:t>f</w:t>
      </w:r>
      <w:r w:rsidRPr="00D42509">
        <w:rPr>
          <w:rFonts w:cstheme="minorHAnsi"/>
          <w:sz w:val="24"/>
          <w:szCs w:val="24"/>
        </w:rPr>
        <w:t> and </w:t>
      </w:r>
      <w:r w:rsidRPr="00D42509">
        <w:rPr>
          <w:rFonts w:cstheme="minorHAnsi"/>
          <w:i/>
          <w:iCs/>
          <w:sz w:val="24"/>
          <w:szCs w:val="24"/>
        </w:rPr>
        <w:t>C</w:t>
      </w:r>
      <w:r w:rsidRPr="00D42509">
        <w:rPr>
          <w:rFonts w:cstheme="minorHAnsi"/>
          <w:sz w:val="24"/>
          <w:szCs w:val="24"/>
          <w:vertAlign w:val="subscript"/>
        </w:rPr>
        <w:t>d</w:t>
      </w:r>
      <w:r w:rsidRPr="00D42509">
        <w:rPr>
          <w:rFonts w:cstheme="minorHAnsi"/>
          <w:sz w:val="24"/>
          <w:szCs w:val="24"/>
        </w:rPr>
        <w:t> are shown in Figs. </w:t>
      </w:r>
      <w:r w:rsidRPr="00D42509">
        <w:rPr>
          <w:rFonts w:cstheme="minorHAnsi"/>
          <w:b/>
          <w:bCs/>
          <w:sz w:val="24"/>
          <w:szCs w:val="24"/>
        </w:rPr>
        <w:t>3C</w:t>
      </w:r>
      <w:r w:rsidRPr="00D42509">
        <w:rPr>
          <w:rFonts w:cstheme="minorHAnsi"/>
          <w:sz w:val="24"/>
          <w:szCs w:val="24"/>
        </w:rPr>
        <w:t> and </w:t>
      </w:r>
      <w:r w:rsidRPr="00D42509">
        <w:rPr>
          <w:rFonts w:cstheme="minorHAnsi"/>
          <w:b/>
          <w:bCs/>
          <w:sz w:val="24"/>
          <w:szCs w:val="24"/>
        </w:rPr>
        <w:t>3D</w:t>
      </w:r>
      <w:r w:rsidRPr="00D42509">
        <w:rPr>
          <w:rFonts w:cstheme="minorHAnsi"/>
          <w:sz w:val="24"/>
          <w:szCs w:val="24"/>
        </w:rPr>
        <w:t>, respectively. The generation frequency rate of droplet formation is defined by the ratio of </w:t>
      </w:r>
      <w:r w:rsidRPr="00D42509">
        <w:rPr>
          <w:rFonts w:cstheme="minorHAnsi"/>
          <w:i/>
          <w:iCs/>
          <w:sz w:val="24"/>
          <w:szCs w:val="24"/>
        </w:rPr>
        <w:t>C</w:t>
      </w:r>
      <w:r w:rsidRPr="00D42509">
        <w:rPr>
          <w:rFonts w:cstheme="minorHAnsi"/>
          <w:sz w:val="24"/>
          <w:szCs w:val="24"/>
          <w:vertAlign w:val="subscript"/>
        </w:rPr>
        <w:t>d</w:t>
      </w:r>
      <w:r w:rsidRPr="00D42509">
        <w:rPr>
          <w:rFonts w:cstheme="minorHAnsi"/>
          <w:sz w:val="24"/>
          <w:szCs w:val="24"/>
        </w:rPr>
        <w:t> to the volume of the droplet. Based on Figs. </w:t>
      </w:r>
      <w:r w:rsidRPr="00D42509">
        <w:rPr>
          <w:rFonts w:cstheme="minorHAnsi"/>
          <w:b/>
          <w:bCs/>
          <w:sz w:val="24"/>
          <w:szCs w:val="24"/>
        </w:rPr>
        <w:t>3C</w:t>
      </w:r>
      <w:r w:rsidRPr="00D42509">
        <w:rPr>
          <w:rFonts w:cstheme="minorHAnsi"/>
          <w:sz w:val="24"/>
          <w:szCs w:val="24"/>
        </w:rPr>
        <w:t> and </w:t>
      </w:r>
      <w:r w:rsidRPr="00D42509">
        <w:rPr>
          <w:rFonts w:cstheme="minorHAnsi"/>
          <w:b/>
          <w:bCs/>
          <w:sz w:val="24"/>
          <w:szCs w:val="24"/>
        </w:rPr>
        <w:t>3D</w:t>
      </w:r>
      <w:r w:rsidRPr="00D42509">
        <w:rPr>
          <w:rFonts w:cstheme="minorHAnsi"/>
          <w:sz w:val="24"/>
          <w:szCs w:val="24"/>
        </w:rPr>
        <w:t>, the PLGA droplets with a size range of 32–101 µm and the generation frequency rate range of 0.1–14 kHz are obtained in the present microfluidic platform.</w:t>
      </w:r>
    </w:p>
    <w:p w14:paraId="41ED6EDC" w14:textId="2B31398C" w:rsidR="00D42509" w:rsidRPr="00D42509" w:rsidRDefault="00D42509" w:rsidP="00B36470">
      <w:pPr>
        <w:pStyle w:val="NoSpacing"/>
      </w:pPr>
      <w:r w:rsidRPr="00D42509">
        <w:drawing>
          <wp:inline distT="0" distB="0" distL="0" distR="0" wp14:anchorId="3D0584CB" wp14:editId="76B11279">
            <wp:extent cx="2743200" cy="1636776"/>
            <wp:effectExtent l="0" t="0" r="0" b="1905"/>
            <wp:docPr id="4" name="Picture 4" descr="Details are in the caption following the image">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tails are in the caption following the image">
                      <a:hlinkClick r:id="rId15" tgtFrame="&quot;_blank&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1636776"/>
                    </a:xfrm>
                    <a:prstGeom prst="rect">
                      <a:avLst/>
                    </a:prstGeom>
                    <a:noFill/>
                    <a:ln>
                      <a:noFill/>
                    </a:ln>
                  </pic:spPr>
                </pic:pic>
              </a:graphicData>
            </a:graphic>
          </wp:inline>
        </w:drawing>
      </w:r>
    </w:p>
    <w:p w14:paraId="16AC9F82" w14:textId="7F25BC0B" w:rsidR="00D42509" w:rsidRDefault="00D42509" w:rsidP="00B36470">
      <w:pPr>
        <w:pStyle w:val="NoSpacing"/>
      </w:pPr>
      <w:r w:rsidRPr="00D42509">
        <w:rPr>
          <w:b/>
          <w:bCs/>
        </w:rPr>
        <w:t>FIG. 3</w:t>
      </w:r>
      <w:r w:rsidR="00B36470">
        <w:t xml:space="preserve"> </w:t>
      </w:r>
      <w:r w:rsidRPr="00D42509">
        <w:t>(A) PLGA droplets formation in X-junction chip at (A) </w:t>
      </w:r>
      <w:r w:rsidRPr="00D42509">
        <w:rPr>
          <w:i/>
          <w:iCs/>
        </w:rPr>
        <w:t>C</w:t>
      </w:r>
      <w:r w:rsidRPr="00D42509">
        <w:rPr>
          <w:vertAlign w:val="subscript"/>
        </w:rPr>
        <w:t>f</w:t>
      </w:r>
      <w:r w:rsidRPr="00D42509">
        <w:t> = 20 µL/Min, </w:t>
      </w:r>
      <w:r w:rsidRPr="00D42509">
        <w:rPr>
          <w:i/>
          <w:iCs/>
        </w:rPr>
        <w:t>C</w:t>
      </w:r>
      <w:r w:rsidRPr="00D42509">
        <w:rPr>
          <w:vertAlign w:val="subscript"/>
        </w:rPr>
        <w:t>d</w:t>
      </w:r>
      <w:r w:rsidRPr="00D42509">
        <w:t> = 1.3 µL/Min, and (B) </w:t>
      </w:r>
      <w:r w:rsidRPr="00D42509">
        <w:rPr>
          <w:i/>
          <w:iCs/>
        </w:rPr>
        <w:t>C</w:t>
      </w:r>
      <w:r w:rsidRPr="00D42509">
        <w:rPr>
          <w:vertAlign w:val="subscript"/>
        </w:rPr>
        <w:t>f</w:t>
      </w:r>
      <w:r w:rsidRPr="00D42509">
        <w:t> = 80 µL/Min, </w:t>
      </w:r>
      <w:r w:rsidRPr="00D42509">
        <w:rPr>
          <w:i/>
          <w:iCs/>
        </w:rPr>
        <w:t>C</w:t>
      </w:r>
      <w:r w:rsidRPr="00D42509">
        <w:rPr>
          <w:vertAlign w:val="subscript"/>
        </w:rPr>
        <w:t>d</w:t>
      </w:r>
      <w:r w:rsidRPr="00D42509">
        <w:t> = 1.3 µL/Min. (C) Droplet diameter and (D) droplet generation rate for different values of carrier flow rate (</w:t>
      </w:r>
      <w:r w:rsidRPr="00D42509">
        <w:rPr>
          <w:i/>
          <w:iCs/>
        </w:rPr>
        <w:t>C</w:t>
      </w:r>
      <w:r w:rsidRPr="00D42509">
        <w:rPr>
          <w:vertAlign w:val="subscript"/>
        </w:rPr>
        <w:t>f</w:t>
      </w:r>
      <w:r w:rsidRPr="00D42509">
        <w:t>) and droplet flow rate (</w:t>
      </w:r>
      <w:r w:rsidRPr="00D42509">
        <w:rPr>
          <w:i/>
          <w:iCs/>
        </w:rPr>
        <w:t>C</w:t>
      </w:r>
      <w:r w:rsidRPr="00D42509">
        <w:rPr>
          <w:vertAlign w:val="subscript"/>
        </w:rPr>
        <w:t>d</w:t>
      </w:r>
      <w:r w:rsidRPr="00D42509">
        <w:t>).</w:t>
      </w:r>
    </w:p>
    <w:p w14:paraId="114EF6A7" w14:textId="77777777" w:rsidR="00B36470" w:rsidRPr="00D42509" w:rsidRDefault="00B36470" w:rsidP="00D42509">
      <w:pPr>
        <w:rPr>
          <w:rFonts w:cstheme="minorHAnsi"/>
          <w:sz w:val="24"/>
          <w:szCs w:val="24"/>
        </w:rPr>
      </w:pPr>
    </w:p>
    <w:p w14:paraId="776FFD9D" w14:textId="705F5FEC" w:rsidR="00D42509" w:rsidRPr="00D42509" w:rsidRDefault="00D42509" w:rsidP="00D42509">
      <w:pPr>
        <w:rPr>
          <w:rFonts w:cstheme="minorHAnsi"/>
          <w:sz w:val="24"/>
          <w:szCs w:val="24"/>
        </w:rPr>
      </w:pPr>
      <w:r w:rsidRPr="00D42509">
        <w:rPr>
          <w:rFonts w:cstheme="minorHAnsi"/>
          <w:sz w:val="24"/>
          <w:szCs w:val="24"/>
        </w:rPr>
        <w:t>In order to form VRM-loaded PLGA microspheres, the solvent (DCM) should be extracted from the droplet. The size and morphology of VRM-loaded PLGA microspheres were studied by a 3D laser microscope (Figs. </w:t>
      </w:r>
      <w:r w:rsidRPr="00D42509">
        <w:rPr>
          <w:rFonts w:cstheme="minorHAnsi"/>
          <w:b/>
          <w:bCs/>
          <w:sz w:val="24"/>
          <w:szCs w:val="24"/>
        </w:rPr>
        <w:t>4A–4D</w:t>
      </w:r>
      <w:r w:rsidRPr="00D42509">
        <w:rPr>
          <w:rFonts w:cstheme="minorHAnsi"/>
          <w:sz w:val="24"/>
          <w:szCs w:val="24"/>
        </w:rPr>
        <w:t>). Figures </w:t>
      </w:r>
      <w:r w:rsidRPr="00D42509">
        <w:rPr>
          <w:rFonts w:cstheme="minorHAnsi"/>
          <w:b/>
          <w:bCs/>
          <w:sz w:val="24"/>
          <w:szCs w:val="24"/>
        </w:rPr>
        <w:t>4A–4D</w:t>
      </w:r>
      <w:r w:rsidRPr="00D42509">
        <w:rPr>
          <w:rFonts w:cstheme="minorHAnsi"/>
          <w:sz w:val="24"/>
          <w:szCs w:val="24"/>
        </w:rPr>
        <w:t> show that the VRM-loaded PLGA microspheres are highly monodisperse in size (CV &lt; 3%). According to the droplet size, the PLGA microsphere's size can be varied from 14 to 39 µm.</w:t>
      </w:r>
    </w:p>
    <w:p w14:paraId="1E616381" w14:textId="6768B538" w:rsidR="00D42509" w:rsidRPr="00D42509" w:rsidRDefault="00D42509" w:rsidP="00B36470">
      <w:pPr>
        <w:pStyle w:val="NoSpacing"/>
      </w:pPr>
      <w:r w:rsidRPr="00D42509">
        <w:drawing>
          <wp:inline distT="0" distB="0" distL="0" distR="0" wp14:anchorId="17C432C5" wp14:editId="084CF60C">
            <wp:extent cx="2743200" cy="3044952"/>
            <wp:effectExtent l="0" t="0" r="0" b="3175"/>
            <wp:docPr id="3" name="Picture 3" descr="Details are in the caption following the image">
              <a:hlinkClick xmlns:a="http://schemas.openxmlformats.org/drawingml/2006/main" r:id="rId1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tails are in the caption following the image">
                      <a:hlinkClick r:id="rId17" tgtFrame="&quot;_blank&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3200" cy="3044952"/>
                    </a:xfrm>
                    <a:prstGeom prst="rect">
                      <a:avLst/>
                    </a:prstGeom>
                    <a:noFill/>
                    <a:ln>
                      <a:noFill/>
                    </a:ln>
                  </pic:spPr>
                </pic:pic>
              </a:graphicData>
            </a:graphic>
          </wp:inline>
        </w:drawing>
      </w:r>
    </w:p>
    <w:p w14:paraId="29A43C37" w14:textId="25A2492F" w:rsidR="00D42509" w:rsidRDefault="00D42509" w:rsidP="00B36470">
      <w:pPr>
        <w:pStyle w:val="NoSpacing"/>
      </w:pPr>
      <w:r w:rsidRPr="00D42509">
        <w:rPr>
          <w:b/>
          <w:bCs/>
        </w:rPr>
        <w:t>FIG. 4</w:t>
      </w:r>
      <w:r w:rsidR="00B36470">
        <w:t xml:space="preserve"> </w:t>
      </w:r>
      <w:r w:rsidRPr="00D42509">
        <w:t>Micrographs of VRM-loaded PLGA microspheres (A) </w:t>
      </w:r>
      <w:r w:rsidRPr="00D42509">
        <w:rPr>
          <w:i/>
          <w:iCs/>
        </w:rPr>
        <w:t>C</w:t>
      </w:r>
      <w:r w:rsidRPr="00D42509">
        <w:rPr>
          <w:vertAlign w:val="subscript"/>
        </w:rPr>
        <w:t>f</w:t>
      </w:r>
      <w:r w:rsidRPr="00D42509">
        <w:t> = 10 µL/Min, </w:t>
      </w:r>
      <w:r w:rsidRPr="00D42509">
        <w:rPr>
          <w:i/>
          <w:iCs/>
        </w:rPr>
        <w:t>C</w:t>
      </w:r>
      <w:r w:rsidRPr="00D42509">
        <w:rPr>
          <w:vertAlign w:val="subscript"/>
        </w:rPr>
        <w:t>d</w:t>
      </w:r>
      <w:r w:rsidRPr="00D42509">
        <w:t> = 1.5 µL/Min, (B) </w:t>
      </w:r>
      <w:r w:rsidRPr="00D42509">
        <w:rPr>
          <w:i/>
          <w:iCs/>
        </w:rPr>
        <w:t>C</w:t>
      </w:r>
      <w:r w:rsidRPr="00D42509">
        <w:rPr>
          <w:vertAlign w:val="subscript"/>
        </w:rPr>
        <w:t>f</w:t>
      </w:r>
      <w:r w:rsidRPr="00D42509">
        <w:t> = 30 µL/Min, </w:t>
      </w:r>
      <w:r w:rsidRPr="00D42509">
        <w:rPr>
          <w:i/>
          <w:iCs/>
        </w:rPr>
        <w:t>C</w:t>
      </w:r>
      <w:r w:rsidRPr="00D42509">
        <w:rPr>
          <w:vertAlign w:val="subscript"/>
        </w:rPr>
        <w:t>d</w:t>
      </w:r>
      <w:r w:rsidRPr="00D42509">
        <w:t> = 1.5 µL/Min, (C) </w:t>
      </w:r>
      <w:r w:rsidRPr="00D42509">
        <w:rPr>
          <w:i/>
          <w:iCs/>
        </w:rPr>
        <w:t>C</w:t>
      </w:r>
      <w:r w:rsidRPr="00D42509">
        <w:rPr>
          <w:vertAlign w:val="subscript"/>
        </w:rPr>
        <w:t>f</w:t>
      </w:r>
      <w:r w:rsidRPr="00D42509">
        <w:t> = 80 µL/Min, </w:t>
      </w:r>
      <w:r w:rsidRPr="00D42509">
        <w:rPr>
          <w:i/>
          <w:iCs/>
        </w:rPr>
        <w:t>C</w:t>
      </w:r>
      <w:r w:rsidRPr="00D42509">
        <w:rPr>
          <w:vertAlign w:val="subscript"/>
        </w:rPr>
        <w:t>d</w:t>
      </w:r>
      <w:r w:rsidRPr="00D42509">
        <w:t> = 1.5 µL/Min, and (D) </w:t>
      </w:r>
      <w:r w:rsidRPr="00D42509">
        <w:rPr>
          <w:i/>
          <w:iCs/>
        </w:rPr>
        <w:t>C</w:t>
      </w:r>
      <w:r w:rsidRPr="00D42509">
        <w:rPr>
          <w:vertAlign w:val="subscript"/>
        </w:rPr>
        <w:t>f</w:t>
      </w:r>
      <w:r w:rsidRPr="00D42509">
        <w:t> = 100 µL/Min, </w:t>
      </w:r>
      <w:r w:rsidRPr="00D42509">
        <w:rPr>
          <w:i/>
          <w:iCs/>
        </w:rPr>
        <w:t>C</w:t>
      </w:r>
      <w:r w:rsidRPr="00D42509">
        <w:rPr>
          <w:vertAlign w:val="subscript"/>
        </w:rPr>
        <w:t>d</w:t>
      </w:r>
      <w:r w:rsidRPr="00D42509">
        <w:t> = 1.5 µL/Min (scale bar = 40 µm).</w:t>
      </w:r>
    </w:p>
    <w:p w14:paraId="352B0EDE" w14:textId="77777777" w:rsidR="00B36470" w:rsidRPr="00D42509" w:rsidRDefault="00B36470" w:rsidP="00D42509">
      <w:pPr>
        <w:rPr>
          <w:rFonts w:cstheme="minorHAnsi"/>
          <w:sz w:val="24"/>
          <w:szCs w:val="24"/>
        </w:rPr>
      </w:pPr>
    </w:p>
    <w:p w14:paraId="1CA6C6F9" w14:textId="3BE7A921" w:rsidR="00D42509" w:rsidRPr="00D42509" w:rsidRDefault="00D42509" w:rsidP="00D42509">
      <w:pPr>
        <w:rPr>
          <w:rFonts w:cstheme="minorHAnsi"/>
          <w:sz w:val="24"/>
          <w:szCs w:val="24"/>
        </w:rPr>
      </w:pPr>
      <w:r w:rsidRPr="00D42509">
        <w:rPr>
          <w:rFonts w:cstheme="minorHAnsi"/>
          <w:sz w:val="24"/>
          <w:szCs w:val="24"/>
        </w:rPr>
        <w:t>The loading efficiency of native VEGF and VRM in the PLGA microspheres with different particles size was presented in Fig. </w:t>
      </w:r>
      <w:r w:rsidRPr="00D42509">
        <w:rPr>
          <w:rFonts w:cstheme="minorHAnsi"/>
          <w:b/>
          <w:bCs/>
          <w:sz w:val="24"/>
          <w:szCs w:val="24"/>
        </w:rPr>
        <w:t>5A</w:t>
      </w:r>
      <w:r w:rsidRPr="00D42509">
        <w:rPr>
          <w:rFonts w:cstheme="minorHAnsi"/>
          <w:sz w:val="24"/>
          <w:szCs w:val="24"/>
        </w:rPr>
        <w:t xml:space="preserve">. Owning to microspheres size, encapsulation efficiency of the prepared microspheres was varied from 78% to 93% and 19% to 39% for VRM and native VEGF, respectively. The significant difference in loading efficiency for native VEGF and VRM could be attributed to the drug migration rates </w:t>
      </w:r>
      <w:r w:rsidRPr="00D42509">
        <w:rPr>
          <w:rFonts w:cstheme="minorHAnsi"/>
          <w:b/>
          <w:bCs/>
          <w:sz w:val="24"/>
          <w:szCs w:val="24"/>
          <w:vertAlign w:val="superscript"/>
        </w:rPr>
        <w:t>31</w:t>
      </w:r>
      <w:r w:rsidRPr="00D42509">
        <w:rPr>
          <w:rFonts w:cstheme="minorHAnsi"/>
          <w:sz w:val="24"/>
          <w:szCs w:val="24"/>
          <w:vertAlign w:val="superscript"/>
        </w:rPr>
        <w:t>, </w:t>
      </w:r>
      <w:r w:rsidRPr="00D42509">
        <w:rPr>
          <w:rFonts w:cstheme="minorHAnsi"/>
          <w:b/>
          <w:bCs/>
          <w:sz w:val="24"/>
          <w:szCs w:val="24"/>
          <w:vertAlign w:val="superscript"/>
        </w:rPr>
        <w:t>32</w:t>
      </w:r>
      <w:r w:rsidRPr="00D42509">
        <w:rPr>
          <w:rFonts w:cstheme="minorHAnsi"/>
          <w:sz w:val="24"/>
          <w:szCs w:val="24"/>
        </w:rPr>
        <w:t>. During the droplet formation and solvent extraction process, VEGF tended to escape to the external water phase due to its hydrophilic properties. In contrast, the drug migration could effectively prevent by hydrophobic properties of encapsulating VEGF into R.M. nanoparticles. Consequently, a much higher loading efficiency was achieved by VRM in comparison with native VEGF. Also, the encapsulation efficiency of proteins could be described as a function of microspheres particle size. Generally, the highest protein loading efficiency, which has been reported in the literature, is around 60% for similar particle sizes</w:t>
      </w:r>
      <w:r w:rsidRPr="00D42509">
        <w:rPr>
          <w:rFonts w:cstheme="minorHAnsi"/>
          <w:b/>
          <w:bCs/>
          <w:sz w:val="24"/>
          <w:szCs w:val="24"/>
          <w:vertAlign w:val="superscript"/>
        </w:rPr>
        <w:t>33</w:t>
      </w:r>
      <w:r w:rsidRPr="00D42509">
        <w:rPr>
          <w:rFonts w:cstheme="minorHAnsi"/>
          <w:sz w:val="24"/>
          <w:szCs w:val="24"/>
          <w:vertAlign w:val="superscript"/>
        </w:rPr>
        <w:t>-</w:t>
      </w:r>
      <w:r w:rsidRPr="00D42509">
        <w:rPr>
          <w:rFonts w:cstheme="minorHAnsi"/>
          <w:b/>
          <w:bCs/>
          <w:sz w:val="24"/>
          <w:szCs w:val="24"/>
          <w:vertAlign w:val="superscript"/>
        </w:rPr>
        <w:t>36</w:t>
      </w:r>
      <w:r w:rsidRPr="00D42509">
        <w:rPr>
          <w:rFonts w:cstheme="minorHAnsi"/>
          <w:sz w:val="24"/>
          <w:szCs w:val="24"/>
        </w:rPr>
        <w:t>.</w:t>
      </w:r>
    </w:p>
    <w:p w14:paraId="452C12C0" w14:textId="00A6D9F7" w:rsidR="00D42509" w:rsidRPr="00D42509" w:rsidRDefault="00D42509" w:rsidP="00B36470">
      <w:pPr>
        <w:pStyle w:val="NoSpacing"/>
      </w:pPr>
      <w:r w:rsidRPr="00D42509">
        <w:drawing>
          <wp:inline distT="0" distB="0" distL="0" distR="0" wp14:anchorId="5CDC6CEE" wp14:editId="376E45D3">
            <wp:extent cx="2743200" cy="2487168"/>
            <wp:effectExtent l="0" t="0" r="0" b="8890"/>
            <wp:docPr id="2" name="Picture 2" descr="Details are in the caption following the image">
              <a:hlinkClick xmlns:a="http://schemas.openxmlformats.org/drawingml/2006/main" r:id="rId1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tails are in the caption following the image">
                      <a:hlinkClick r:id="rId19"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43200" cy="2487168"/>
                    </a:xfrm>
                    <a:prstGeom prst="rect">
                      <a:avLst/>
                    </a:prstGeom>
                    <a:noFill/>
                    <a:ln>
                      <a:noFill/>
                    </a:ln>
                  </pic:spPr>
                </pic:pic>
              </a:graphicData>
            </a:graphic>
          </wp:inline>
        </w:drawing>
      </w:r>
    </w:p>
    <w:p w14:paraId="4599E614" w14:textId="7F646FB5" w:rsidR="00D42509" w:rsidRDefault="00D42509" w:rsidP="00B36470">
      <w:pPr>
        <w:pStyle w:val="NoSpacing"/>
      </w:pPr>
      <w:r w:rsidRPr="00D42509">
        <w:rPr>
          <w:b/>
          <w:bCs/>
        </w:rPr>
        <w:t>FIG. 5</w:t>
      </w:r>
      <w:r w:rsidR="00B36470">
        <w:t xml:space="preserve"> </w:t>
      </w:r>
      <w:r w:rsidRPr="00D42509">
        <w:t>(A) The loading efficiency of native VEGF and VRM-loaded PLGA microspheres. (B) Release profiles of VEGF released from PLGA microspheres in PBS (pH 7.4). (C) Far-UV CD spectra of native VEGF solution and VEGF extracted from VEGF and VRM-loaded PLGA microspheres.</w:t>
      </w:r>
    </w:p>
    <w:p w14:paraId="680ACB52" w14:textId="77777777" w:rsidR="00B36470" w:rsidRPr="00D42509" w:rsidRDefault="00B36470" w:rsidP="00D42509">
      <w:pPr>
        <w:rPr>
          <w:rFonts w:cstheme="minorHAnsi"/>
          <w:sz w:val="24"/>
          <w:szCs w:val="24"/>
        </w:rPr>
      </w:pPr>
    </w:p>
    <w:p w14:paraId="3C1C7797" w14:textId="62168D89" w:rsidR="00D42509" w:rsidRPr="00D42509" w:rsidRDefault="00D42509" w:rsidP="00D42509">
      <w:pPr>
        <w:rPr>
          <w:rFonts w:cstheme="minorHAnsi"/>
          <w:sz w:val="24"/>
          <w:szCs w:val="24"/>
        </w:rPr>
      </w:pPr>
      <w:r w:rsidRPr="00D42509">
        <w:rPr>
          <w:rFonts w:cstheme="minorHAnsi"/>
          <w:sz w:val="24"/>
          <w:szCs w:val="24"/>
        </w:rPr>
        <w:t>The </w:t>
      </w:r>
      <w:r w:rsidRPr="00D42509">
        <w:rPr>
          <w:rFonts w:cstheme="minorHAnsi"/>
          <w:i/>
          <w:iCs/>
          <w:sz w:val="24"/>
          <w:szCs w:val="24"/>
        </w:rPr>
        <w:t>in vitro</w:t>
      </w:r>
      <w:r w:rsidRPr="00D42509">
        <w:rPr>
          <w:rFonts w:cstheme="minorHAnsi"/>
          <w:sz w:val="24"/>
          <w:szCs w:val="24"/>
        </w:rPr>
        <w:t> release profiles of VEGF and VRM-loaded PLGA microspheres were shown in Fig. </w:t>
      </w:r>
      <w:r w:rsidRPr="00D42509">
        <w:rPr>
          <w:rFonts w:cstheme="minorHAnsi"/>
          <w:b/>
          <w:bCs/>
          <w:sz w:val="24"/>
          <w:szCs w:val="24"/>
        </w:rPr>
        <w:t>5B</w:t>
      </w:r>
      <w:r w:rsidRPr="00D42509">
        <w:rPr>
          <w:rFonts w:cstheme="minorHAnsi"/>
          <w:sz w:val="24"/>
          <w:szCs w:val="24"/>
        </w:rPr>
        <w:t xml:space="preserve">. The release of drug molecules from PLGA microparticles can happen from three possible ways (i) transport through the polymer, (ii) because of the encapsulating polymer dissolution, and (iii) transport through water-filled pores. In the case of too hydrophilic and too large biopharmaceutical such as a peptide or a protein, transport through water-filled pores is a major way of release. Diffusion and convection are two common ways of transport in transport through water-filled pores mechanism </w:t>
      </w:r>
      <w:r w:rsidRPr="00D42509">
        <w:rPr>
          <w:rFonts w:cstheme="minorHAnsi"/>
          <w:b/>
          <w:bCs/>
          <w:sz w:val="24"/>
          <w:szCs w:val="24"/>
          <w:vertAlign w:val="superscript"/>
        </w:rPr>
        <w:t>32</w:t>
      </w:r>
      <w:r w:rsidRPr="00D42509">
        <w:rPr>
          <w:rFonts w:cstheme="minorHAnsi"/>
          <w:sz w:val="24"/>
          <w:szCs w:val="24"/>
        </w:rPr>
        <w:t xml:space="preserve">. In contrast, transport through the polymer phase is a more convenient way of release for hydrophobic and small drugs. PLGA in aqueous media can swell by absorbing water due to its mobile polymer chains. The internal pressure of the polymer can increase water absorption, and this pressure can be probably compensated by rearrangement of the polymer chains and swelling </w:t>
      </w:r>
      <w:r w:rsidRPr="00D42509">
        <w:rPr>
          <w:rFonts w:cstheme="minorHAnsi"/>
          <w:b/>
          <w:bCs/>
          <w:sz w:val="24"/>
          <w:szCs w:val="24"/>
          <w:vertAlign w:val="superscript"/>
        </w:rPr>
        <w:t>37</w:t>
      </w:r>
      <w:r w:rsidRPr="00D42509">
        <w:rPr>
          <w:rFonts w:cstheme="minorHAnsi"/>
          <w:sz w:val="24"/>
          <w:szCs w:val="24"/>
        </w:rPr>
        <w:t>. However, before the drug being released, it must enter the aqueous phase, either in the inside pores or at the surface. Native VEGF-loaded PLGA microspheres exhibited initial burst release (38 ± 5.43% in the first 24 H). After this burst release, the slow and sustainable release profile (29% ± 4.43% in the 1–28 days) observed for native VEGF-loaded PLGA microspheres.</w:t>
      </w:r>
    </w:p>
    <w:p w14:paraId="2B24AC08" w14:textId="19DDBCCC" w:rsidR="00D42509" w:rsidRPr="00D42509" w:rsidRDefault="00D42509" w:rsidP="00D42509">
      <w:pPr>
        <w:rPr>
          <w:rFonts w:cstheme="minorHAnsi"/>
          <w:sz w:val="24"/>
          <w:szCs w:val="24"/>
        </w:rPr>
      </w:pPr>
      <w:r w:rsidRPr="00D42509">
        <w:rPr>
          <w:rFonts w:cstheme="minorHAnsi"/>
          <w:sz w:val="24"/>
          <w:szCs w:val="24"/>
        </w:rPr>
        <w:t xml:space="preserve">The VEGF was released from PLGA microspheres by diffusion through water-filled pores. In the initial phase, the burst release can be attributed to nonencapsulated VEGF on the surface or the molecules close to the surface of microspheres. The accumulation of VEGF at the surface of microspheres can be described by hydrophilic neuter of proteins. Similar results for VEGF and other proteins have been reported in other studies </w:t>
      </w:r>
      <w:r w:rsidRPr="00D42509">
        <w:rPr>
          <w:rFonts w:cstheme="minorHAnsi"/>
          <w:b/>
          <w:bCs/>
          <w:sz w:val="24"/>
          <w:szCs w:val="24"/>
          <w:vertAlign w:val="superscript"/>
        </w:rPr>
        <w:t>31</w:t>
      </w:r>
      <w:r w:rsidRPr="00D42509">
        <w:rPr>
          <w:rFonts w:cstheme="minorHAnsi"/>
          <w:sz w:val="24"/>
          <w:szCs w:val="24"/>
          <w:vertAlign w:val="superscript"/>
        </w:rPr>
        <w:t>, </w:t>
      </w:r>
      <w:r w:rsidRPr="00D42509">
        <w:rPr>
          <w:rFonts w:cstheme="minorHAnsi"/>
          <w:b/>
          <w:bCs/>
          <w:sz w:val="24"/>
          <w:szCs w:val="24"/>
          <w:vertAlign w:val="superscript"/>
        </w:rPr>
        <w:t>32</w:t>
      </w:r>
      <w:r w:rsidRPr="00D42509">
        <w:rPr>
          <w:rFonts w:cstheme="minorHAnsi"/>
          <w:sz w:val="24"/>
          <w:szCs w:val="24"/>
        </w:rPr>
        <w:t>. In contrast, VRM-loaded PLGA microspheres showed zero-order controlled release with a highly reduced initial burst (18 ± 4.17% in the first 24 H). The uniform distribution of drugs in PLGA microspheres is one of the most important factors in decrease initial burst release. As presented in Table </w:t>
      </w:r>
      <w:r w:rsidRPr="00D42509">
        <w:rPr>
          <w:rFonts w:cstheme="minorHAnsi"/>
          <w:b/>
          <w:bCs/>
          <w:sz w:val="24"/>
          <w:szCs w:val="24"/>
        </w:rPr>
        <w:t>1</w:t>
      </w:r>
      <w:r w:rsidRPr="00D42509">
        <w:rPr>
          <w:rFonts w:cstheme="minorHAnsi"/>
          <w:sz w:val="24"/>
          <w:szCs w:val="24"/>
        </w:rPr>
        <w:t xml:space="preserve">, initial burst release was observed for vast verity drugs such as VEGF, lysozyme, and piroxicam. A significant reduction of initial burst release of VEGF in VRM-loaded PLGA microspheres could be related to good dispersion of VEGF in the microspheres </w:t>
      </w:r>
      <w:r w:rsidRPr="00D42509">
        <w:rPr>
          <w:rFonts w:cstheme="minorHAnsi"/>
          <w:b/>
          <w:bCs/>
          <w:sz w:val="24"/>
          <w:szCs w:val="24"/>
          <w:vertAlign w:val="superscript"/>
        </w:rPr>
        <w:t>31</w:t>
      </w:r>
      <w:r w:rsidRPr="00D42509">
        <w:rPr>
          <w:rFonts w:cstheme="minorHAnsi"/>
          <w:sz w:val="24"/>
          <w:szCs w:val="24"/>
          <w:vertAlign w:val="superscript"/>
        </w:rPr>
        <w:t>, </w:t>
      </w:r>
      <w:r w:rsidRPr="00D42509">
        <w:rPr>
          <w:rFonts w:cstheme="minorHAnsi"/>
          <w:b/>
          <w:bCs/>
          <w:sz w:val="24"/>
          <w:szCs w:val="24"/>
          <w:vertAlign w:val="superscript"/>
        </w:rPr>
        <w:t>32</w:t>
      </w:r>
      <w:r w:rsidRPr="00D42509">
        <w:rPr>
          <w:rFonts w:cstheme="minorHAnsi"/>
          <w:sz w:val="24"/>
          <w:szCs w:val="24"/>
        </w:rPr>
        <w:t xml:space="preserve">. As mention above, the uniform VEGF distribution into the PLGA microspheres was improved by encapsulating VRM nanoparticles. Also, the formation of aggregated unreleasable VEGF was prevented by using VRM </w:t>
      </w:r>
      <w:r w:rsidRPr="00D42509">
        <w:rPr>
          <w:rFonts w:cstheme="minorHAnsi"/>
          <w:b/>
          <w:bCs/>
          <w:sz w:val="24"/>
          <w:szCs w:val="24"/>
          <w:vertAlign w:val="superscript"/>
        </w:rPr>
        <w:t>33</w:t>
      </w:r>
      <w:r w:rsidRPr="00D42509">
        <w:rPr>
          <w:rFonts w:cstheme="minorHAnsi"/>
          <w:sz w:val="24"/>
          <w:szCs w:val="24"/>
        </w:rPr>
        <w:t>.</w:t>
      </w:r>
    </w:p>
    <w:p w14:paraId="38E87005" w14:textId="77777777" w:rsidR="00D42509" w:rsidRPr="00D42509" w:rsidRDefault="00D42509" w:rsidP="00B36470">
      <w:pPr>
        <w:spacing w:after="0"/>
        <w:rPr>
          <w:rFonts w:cstheme="minorHAnsi"/>
          <w:sz w:val="24"/>
          <w:szCs w:val="24"/>
        </w:rPr>
      </w:pPr>
      <w:r w:rsidRPr="00D42509">
        <w:rPr>
          <w:rFonts w:cstheme="minorHAnsi"/>
          <w:b/>
          <w:bCs/>
          <w:sz w:val="24"/>
          <w:szCs w:val="24"/>
        </w:rPr>
        <w:t>TABLE 1. </w:t>
      </w:r>
      <w:r w:rsidRPr="00D42509">
        <w:rPr>
          <w:rFonts w:cstheme="minorHAnsi"/>
          <w:sz w:val="24"/>
          <w:szCs w:val="24"/>
        </w:rPr>
        <w:t>Drug release from PLGA microparticles in the first 24 H</w:t>
      </w:r>
    </w:p>
    <w:tbl>
      <w:tblPr>
        <w:tblStyle w:val="TableGrid"/>
        <w:tblW w:w="0" w:type="auto"/>
        <w:tblLook w:val="04A0" w:firstRow="1" w:lastRow="0" w:firstColumn="1" w:lastColumn="0" w:noHBand="0" w:noVBand="1"/>
      </w:tblPr>
      <w:tblGrid>
        <w:gridCol w:w="1554"/>
        <w:gridCol w:w="3239"/>
        <w:gridCol w:w="1673"/>
        <w:gridCol w:w="2992"/>
        <w:gridCol w:w="612"/>
      </w:tblGrid>
      <w:tr w:rsidR="00D42509" w:rsidRPr="00D42509" w14:paraId="401EDFED" w14:textId="77777777" w:rsidTr="00B36470">
        <w:tc>
          <w:tcPr>
            <w:tcW w:w="0" w:type="auto"/>
            <w:hideMark/>
          </w:tcPr>
          <w:p w14:paraId="481E43BC" w14:textId="77777777" w:rsidR="00D42509" w:rsidRPr="00D42509" w:rsidRDefault="00D42509" w:rsidP="00B36470">
            <w:pPr>
              <w:spacing w:line="259" w:lineRule="auto"/>
              <w:rPr>
                <w:rFonts w:cstheme="minorHAnsi"/>
                <w:b/>
                <w:bCs/>
                <w:sz w:val="24"/>
                <w:szCs w:val="24"/>
              </w:rPr>
            </w:pPr>
            <w:r w:rsidRPr="00D42509">
              <w:rPr>
                <w:rFonts w:cstheme="minorHAnsi"/>
                <w:b/>
                <w:bCs/>
                <w:sz w:val="24"/>
                <w:szCs w:val="24"/>
              </w:rPr>
              <w:t>Drug</w:t>
            </w:r>
          </w:p>
        </w:tc>
        <w:tc>
          <w:tcPr>
            <w:tcW w:w="0" w:type="auto"/>
            <w:hideMark/>
          </w:tcPr>
          <w:p w14:paraId="4C196DEB" w14:textId="77777777" w:rsidR="00D42509" w:rsidRPr="00D42509" w:rsidRDefault="00D42509" w:rsidP="00B36470">
            <w:pPr>
              <w:spacing w:line="259" w:lineRule="auto"/>
              <w:rPr>
                <w:rFonts w:cstheme="minorHAnsi"/>
                <w:b/>
                <w:bCs/>
                <w:sz w:val="24"/>
                <w:szCs w:val="24"/>
              </w:rPr>
            </w:pPr>
            <w:r w:rsidRPr="00D42509">
              <w:rPr>
                <w:rFonts w:cstheme="minorHAnsi"/>
                <w:b/>
                <w:bCs/>
                <w:sz w:val="24"/>
                <w:szCs w:val="24"/>
              </w:rPr>
              <w:t>Polymer/copolymer</w:t>
            </w:r>
          </w:p>
        </w:tc>
        <w:tc>
          <w:tcPr>
            <w:tcW w:w="0" w:type="auto"/>
            <w:hideMark/>
          </w:tcPr>
          <w:p w14:paraId="069ABC6C" w14:textId="77777777" w:rsidR="00D42509" w:rsidRPr="00D42509" w:rsidRDefault="00D42509" w:rsidP="00B36470">
            <w:pPr>
              <w:spacing w:line="259" w:lineRule="auto"/>
              <w:rPr>
                <w:rFonts w:cstheme="minorHAnsi"/>
                <w:b/>
                <w:bCs/>
                <w:sz w:val="24"/>
                <w:szCs w:val="24"/>
              </w:rPr>
            </w:pPr>
            <w:r w:rsidRPr="00D42509">
              <w:rPr>
                <w:rFonts w:cstheme="minorHAnsi"/>
                <w:b/>
                <w:bCs/>
                <w:sz w:val="24"/>
                <w:szCs w:val="24"/>
              </w:rPr>
              <w:t>Size</w:t>
            </w:r>
          </w:p>
        </w:tc>
        <w:tc>
          <w:tcPr>
            <w:tcW w:w="0" w:type="auto"/>
            <w:hideMark/>
          </w:tcPr>
          <w:p w14:paraId="793B2BDC" w14:textId="77777777" w:rsidR="00D42509" w:rsidRPr="00D42509" w:rsidRDefault="00D42509" w:rsidP="00B36470">
            <w:pPr>
              <w:spacing w:line="259" w:lineRule="auto"/>
              <w:rPr>
                <w:rFonts w:cstheme="minorHAnsi"/>
                <w:b/>
                <w:bCs/>
                <w:sz w:val="24"/>
                <w:szCs w:val="24"/>
              </w:rPr>
            </w:pPr>
            <w:r w:rsidRPr="00D42509">
              <w:rPr>
                <w:rFonts w:cstheme="minorHAnsi"/>
                <w:b/>
                <w:bCs/>
                <w:sz w:val="24"/>
                <w:szCs w:val="24"/>
              </w:rPr>
              <w:t>Release amount after 24 H (%)</w:t>
            </w:r>
          </w:p>
        </w:tc>
        <w:tc>
          <w:tcPr>
            <w:tcW w:w="0" w:type="auto"/>
            <w:hideMark/>
          </w:tcPr>
          <w:p w14:paraId="6E0E92B3" w14:textId="77777777" w:rsidR="00D42509" w:rsidRPr="00D42509" w:rsidRDefault="00D42509" w:rsidP="00B36470">
            <w:pPr>
              <w:spacing w:line="259" w:lineRule="auto"/>
              <w:rPr>
                <w:rFonts w:cstheme="minorHAnsi"/>
                <w:b/>
                <w:bCs/>
                <w:sz w:val="24"/>
                <w:szCs w:val="24"/>
              </w:rPr>
            </w:pPr>
            <w:r w:rsidRPr="00D42509">
              <w:rPr>
                <w:rFonts w:cstheme="minorHAnsi"/>
                <w:b/>
                <w:bCs/>
                <w:sz w:val="24"/>
                <w:szCs w:val="24"/>
              </w:rPr>
              <w:t>Ref.</w:t>
            </w:r>
          </w:p>
        </w:tc>
      </w:tr>
      <w:tr w:rsidR="00D42509" w:rsidRPr="00D42509" w14:paraId="14277BE2" w14:textId="77777777" w:rsidTr="00B36470">
        <w:tc>
          <w:tcPr>
            <w:tcW w:w="0" w:type="auto"/>
            <w:hideMark/>
          </w:tcPr>
          <w:p w14:paraId="7B816D85" w14:textId="77777777" w:rsidR="00D42509" w:rsidRPr="00D42509" w:rsidRDefault="00D42509" w:rsidP="00B36470">
            <w:pPr>
              <w:spacing w:line="259" w:lineRule="auto"/>
              <w:rPr>
                <w:rFonts w:cstheme="minorHAnsi"/>
                <w:sz w:val="24"/>
                <w:szCs w:val="24"/>
              </w:rPr>
            </w:pPr>
            <w:r w:rsidRPr="00D42509">
              <w:rPr>
                <w:rFonts w:cstheme="minorHAnsi"/>
                <w:sz w:val="24"/>
                <w:szCs w:val="24"/>
              </w:rPr>
              <w:t>VEGF</w:t>
            </w:r>
          </w:p>
        </w:tc>
        <w:tc>
          <w:tcPr>
            <w:tcW w:w="0" w:type="auto"/>
            <w:hideMark/>
          </w:tcPr>
          <w:p w14:paraId="2F539322" w14:textId="77777777" w:rsidR="00D42509" w:rsidRPr="00D42509" w:rsidRDefault="00D42509" w:rsidP="00B36470">
            <w:pPr>
              <w:spacing w:line="259" w:lineRule="auto"/>
              <w:rPr>
                <w:rFonts w:cstheme="minorHAnsi"/>
                <w:sz w:val="24"/>
                <w:szCs w:val="24"/>
              </w:rPr>
            </w:pPr>
            <w:r w:rsidRPr="00D42509">
              <w:rPr>
                <w:rFonts w:cstheme="minorHAnsi"/>
                <w:sz w:val="24"/>
                <w:szCs w:val="24"/>
              </w:rPr>
              <w:t>50:50 PLGA copolymer</w:t>
            </w:r>
          </w:p>
        </w:tc>
        <w:tc>
          <w:tcPr>
            <w:tcW w:w="0" w:type="auto"/>
            <w:hideMark/>
          </w:tcPr>
          <w:p w14:paraId="34405718" w14:textId="77777777" w:rsidR="00D42509" w:rsidRPr="00D42509" w:rsidRDefault="00D42509" w:rsidP="00B36470">
            <w:pPr>
              <w:spacing w:line="259" w:lineRule="auto"/>
              <w:rPr>
                <w:rFonts w:cstheme="minorHAnsi"/>
                <w:sz w:val="24"/>
                <w:szCs w:val="24"/>
              </w:rPr>
            </w:pPr>
            <w:r w:rsidRPr="00D42509">
              <w:rPr>
                <w:rFonts w:cstheme="minorHAnsi"/>
                <w:sz w:val="24"/>
                <w:szCs w:val="24"/>
              </w:rPr>
              <w:t>200–600 nm</w:t>
            </w:r>
          </w:p>
        </w:tc>
        <w:tc>
          <w:tcPr>
            <w:tcW w:w="0" w:type="auto"/>
            <w:hideMark/>
          </w:tcPr>
          <w:p w14:paraId="235A0219" w14:textId="77777777" w:rsidR="00D42509" w:rsidRPr="00D42509" w:rsidRDefault="00D42509" w:rsidP="00B36470">
            <w:pPr>
              <w:spacing w:line="259" w:lineRule="auto"/>
              <w:rPr>
                <w:rFonts w:cstheme="minorHAnsi"/>
                <w:sz w:val="24"/>
                <w:szCs w:val="24"/>
              </w:rPr>
            </w:pPr>
            <w:r w:rsidRPr="00D42509">
              <w:rPr>
                <w:rFonts w:cstheme="minorHAnsi"/>
                <w:sz w:val="24"/>
                <w:szCs w:val="24"/>
              </w:rPr>
              <w:t>42%</w:t>
            </w:r>
          </w:p>
        </w:tc>
        <w:tc>
          <w:tcPr>
            <w:tcW w:w="0" w:type="auto"/>
            <w:hideMark/>
          </w:tcPr>
          <w:p w14:paraId="4F0F2C68" w14:textId="05E32B03" w:rsidR="00D42509" w:rsidRPr="00D42509" w:rsidRDefault="00D42509" w:rsidP="00B36470">
            <w:pPr>
              <w:spacing w:line="259" w:lineRule="auto"/>
              <w:rPr>
                <w:rFonts w:cstheme="minorHAnsi"/>
                <w:sz w:val="24"/>
                <w:szCs w:val="24"/>
                <w:vertAlign w:val="superscript"/>
              </w:rPr>
            </w:pPr>
            <w:r w:rsidRPr="00D42509">
              <w:rPr>
                <w:rFonts w:cstheme="minorHAnsi"/>
                <w:sz w:val="24"/>
                <w:szCs w:val="24"/>
                <w:vertAlign w:val="superscript"/>
              </w:rPr>
              <w:t>38</w:t>
            </w:r>
          </w:p>
        </w:tc>
      </w:tr>
      <w:tr w:rsidR="00D42509" w:rsidRPr="00D42509" w14:paraId="1D4F9C4B" w14:textId="77777777" w:rsidTr="00B36470">
        <w:tc>
          <w:tcPr>
            <w:tcW w:w="0" w:type="auto"/>
            <w:hideMark/>
          </w:tcPr>
          <w:p w14:paraId="49C8485F" w14:textId="77777777" w:rsidR="00D42509" w:rsidRPr="00D42509" w:rsidRDefault="00D42509" w:rsidP="00B36470">
            <w:pPr>
              <w:spacing w:line="259" w:lineRule="auto"/>
              <w:rPr>
                <w:rFonts w:cstheme="minorHAnsi"/>
                <w:sz w:val="24"/>
                <w:szCs w:val="24"/>
              </w:rPr>
            </w:pPr>
            <w:r w:rsidRPr="00D42509">
              <w:rPr>
                <w:rFonts w:cstheme="minorHAnsi"/>
                <w:sz w:val="24"/>
                <w:szCs w:val="24"/>
              </w:rPr>
              <w:t>VEGF</w:t>
            </w:r>
          </w:p>
        </w:tc>
        <w:tc>
          <w:tcPr>
            <w:tcW w:w="0" w:type="auto"/>
            <w:hideMark/>
          </w:tcPr>
          <w:p w14:paraId="238D31FD" w14:textId="77777777" w:rsidR="00D42509" w:rsidRPr="00D42509" w:rsidRDefault="00D42509" w:rsidP="00B36470">
            <w:pPr>
              <w:spacing w:line="259" w:lineRule="auto"/>
              <w:rPr>
                <w:rFonts w:cstheme="minorHAnsi"/>
                <w:sz w:val="24"/>
                <w:szCs w:val="24"/>
              </w:rPr>
            </w:pPr>
            <w:r w:rsidRPr="00D42509">
              <w:rPr>
                <w:rFonts w:cstheme="minorHAnsi"/>
                <w:sz w:val="24"/>
                <w:szCs w:val="24"/>
              </w:rPr>
              <w:t>50:50 PLGA copolymer</w:t>
            </w:r>
          </w:p>
        </w:tc>
        <w:tc>
          <w:tcPr>
            <w:tcW w:w="0" w:type="auto"/>
            <w:hideMark/>
          </w:tcPr>
          <w:p w14:paraId="7AC389B4" w14:textId="77777777" w:rsidR="00D42509" w:rsidRPr="00D42509" w:rsidRDefault="00D42509" w:rsidP="00B36470">
            <w:pPr>
              <w:spacing w:line="259" w:lineRule="auto"/>
              <w:rPr>
                <w:rFonts w:cstheme="minorHAnsi"/>
                <w:sz w:val="24"/>
                <w:szCs w:val="24"/>
              </w:rPr>
            </w:pPr>
            <w:r w:rsidRPr="00D42509">
              <w:rPr>
                <w:rFonts w:cstheme="minorHAnsi"/>
                <w:sz w:val="24"/>
                <w:szCs w:val="24"/>
              </w:rPr>
              <w:t>10–60 µm</w:t>
            </w:r>
          </w:p>
        </w:tc>
        <w:tc>
          <w:tcPr>
            <w:tcW w:w="0" w:type="auto"/>
            <w:hideMark/>
          </w:tcPr>
          <w:p w14:paraId="3A86B394" w14:textId="77777777" w:rsidR="00D42509" w:rsidRPr="00D42509" w:rsidRDefault="00D42509" w:rsidP="00B36470">
            <w:pPr>
              <w:spacing w:line="259" w:lineRule="auto"/>
              <w:rPr>
                <w:rFonts w:cstheme="minorHAnsi"/>
                <w:sz w:val="24"/>
                <w:szCs w:val="24"/>
              </w:rPr>
            </w:pPr>
            <w:r w:rsidRPr="00D42509">
              <w:rPr>
                <w:rFonts w:cstheme="minorHAnsi"/>
                <w:sz w:val="24"/>
                <w:szCs w:val="24"/>
              </w:rPr>
              <w:t>48%</w:t>
            </w:r>
          </w:p>
        </w:tc>
        <w:tc>
          <w:tcPr>
            <w:tcW w:w="0" w:type="auto"/>
            <w:hideMark/>
          </w:tcPr>
          <w:p w14:paraId="5CA411E6" w14:textId="4DEAB5D0" w:rsidR="00D42509" w:rsidRPr="00D42509" w:rsidRDefault="00D42509" w:rsidP="00B36470">
            <w:pPr>
              <w:spacing w:line="259" w:lineRule="auto"/>
              <w:rPr>
                <w:rFonts w:cstheme="minorHAnsi"/>
                <w:sz w:val="24"/>
                <w:szCs w:val="24"/>
                <w:vertAlign w:val="superscript"/>
              </w:rPr>
            </w:pPr>
            <w:r w:rsidRPr="00D42509">
              <w:rPr>
                <w:rFonts w:cstheme="minorHAnsi"/>
                <w:sz w:val="24"/>
                <w:szCs w:val="24"/>
                <w:vertAlign w:val="superscript"/>
              </w:rPr>
              <w:t>39</w:t>
            </w:r>
          </w:p>
        </w:tc>
      </w:tr>
      <w:tr w:rsidR="00D42509" w:rsidRPr="00D42509" w14:paraId="1B18EDBD" w14:textId="77777777" w:rsidTr="00B36470">
        <w:tc>
          <w:tcPr>
            <w:tcW w:w="0" w:type="auto"/>
            <w:hideMark/>
          </w:tcPr>
          <w:p w14:paraId="122BA6C4" w14:textId="77777777" w:rsidR="00D42509" w:rsidRPr="00D42509" w:rsidRDefault="00D42509" w:rsidP="00B36470">
            <w:pPr>
              <w:spacing w:line="259" w:lineRule="auto"/>
              <w:rPr>
                <w:rFonts w:cstheme="minorHAnsi"/>
                <w:sz w:val="24"/>
                <w:szCs w:val="24"/>
              </w:rPr>
            </w:pPr>
            <w:r w:rsidRPr="00D42509">
              <w:rPr>
                <w:rFonts w:cstheme="minorHAnsi"/>
                <w:sz w:val="24"/>
                <w:szCs w:val="24"/>
              </w:rPr>
              <w:t>VEGF</w:t>
            </w:r>
          </w:p>
        </w:tc>
        <w:tc>
          <w:tcPr>
            <w:tcW w:w="0" w:type="auto"/>
            <w:hideMark/>
          </w:tcPr>
          <w:p w14:paraId="2FA9658D" w14:textId="77777777" w:rsidR="00D42509" w:rsidRPr="00D42509" w:rsidRDefault="00D42509" w:rsidP="00B36470">
            <w:pPr>
              <w:spacing w:line="259" w:lineRule="auto"/>
              <w:rPr>
                <w:rFonts w:cstheme="minorHAnsi"/>
                <w:sz w:val="24"/>
                <w:szCs w:val="24"/>
              </w:rPr>
            </w:pPr>
            <w:r w:rsidRPr="00D42509">
              <w:rPr>
                <w:rFonts w:cstheme="minorHAnsi"/>
                <w:sz w:val="24"/>
                <w:szCs w:val="24"/>
              </w:rPr>
              <w:t>50:50 PLGA copolymer</w:t>
            </w:r>
          </w:p>
        </w:tc>
        <w:tc>
          <w:tcPr>
            <w:tcW w:w="0" w:type="auto"/>
            <w:hideMark/>
          </w:tcPr>
          <w:p w14:paraId="10A99C7B" w14:textId="77777777" w:rsidR="00D42509" w:rsidRPr="00D42509" w:rsidRDefault="00D42509" w:rsidP="00B36470">
            <w:pPr>
              <w:spacing w:line="259" w:lineRule="auto"/>
              <w:rPr>
                <w:rFonts w:cstheme="minorHAnsi"/>
                <w:sz w:val="24"/>
                <w:szCs w:val="24"/>
              </w:rPr>
            </w:pPr>
            <w:r w:rsidRPr="00D42509">
              <w:rPr>
                <w:rFonts w:cstheme="minorHAnsi"/>
                <w:sz w:val="24"/>
                <w:szCs w:val="24"/>
              </w:rPr>
              <w:t>6.61 ± 0.35 µm</w:t>
            </w:r>
          </w:p>
        </w:tc>
        <w:tc>
          <w:tcPr>
            <w:tcW w:w="0" w:type="auto"/>
            <w:hideMark/>
          </w:tcPr>
          <w:p w14:paraId="55E4CE62" w14:textId="77777777" w:rsidR="00D42509" w:rsidRPr="00D42509" w:rsidRDefault="00D42509" w:rsidP="00B36470">
            <w:pPr>
              <w:spacing w:line="259" w:lineRule="auto"/>
              <w:rPr>
                <w:rFonts w:cstheme="minorHAnsi"/>
                <w:sz w:val="24"/>
                <w:szCs w:val="24"/>
              </w:rPr>
            </w:pPr>
            <w:r w:rsidRPr="00D42509">
              <w:rPr>
                <w:rFonts w:cstheme="minorHAnsi"/>
                <w:sz w:val="24"/>
                <w:szCs w:val="24"/>
              </w:rPr>
              <w:t>38%</w:t>
            </w:r>
          </w:p>
        </w:tc>
        <w:tc>
          <w:tcPr>
            <w:tcW w:w="0" w:type="auto"/>
            <w:hideMark/>
          </w:tcPr>
          <w:p w14:paraId="45CE6C2E" w14:textId="01F9C719" w:rsidR="00D42509" w:rsidRPr="00D42509" w:rsidRDefault="00D42509" w:rsidP="00B36470">
            <w:pPr>
              <w:spacing w:line="259" w:lineRule="auto"/>
              <w:rPr>
                <w:rFonts w:cstheme="minorHAnsi"/>
                <w:sz w:val="24"/>
                <w:szCs w:val="24"/>
                <w:vertAlign w:val="superscript"/>
              </w:rPr>
            </w:pPr>
            <w:r w:rsidRPr="00D42509">
              <w:rPr>
                <w:rFonts w:cstheme="minorHAnsi"/>
                <w:sz w:val="24"/>
                <w:szCs w:val="24"/>
                <w:vertAlign w:val="superscript"/>
              </w:rPr>
              <w:t>40</w:t>
            </w:r>
          </w:p>
        </w:tc>
      </w:tr>
      <w:tr w:rsidR="00D42509" w:rsidRPr="00D42509" w14:paraId="6D3AB59A" w14:textId="77777777" w:rsidTr="00B36470">
        <w:tc>
          <w:tcPr>
            <w:tcW w:w="0" w:type="auto"/>
            <w:hideMark/>
          </w:tcPr>
          <w:p w14:paraId="26653B03" w14:textId="77777777" w:rsidR="00D42509" w:rsidRPr="00D42509" w:rsidRDefault="00D42509" w:rsidP="00B36470">
            <w:pPr>
              <w:spacing w:line="259" w:lineRule="auto"/>
              <w:rPr>
                <w:rFonts w:cstheme="minorHAnsi"/>
                <w:sz w:val="24"/>
                <w:szCs w:val="24"/>
              </w:rPr>
            </w:pPr>
          </w:p>
        </w:tc>
        <w:tc>
          <w:tcPr>
            <w:tcW w:w="0" w:type="auto"/>
            <w:hideMark/>
          </w:tcPr>
          <w:p w14:paraId="1495A348" w14:textId="77777777" w:rsidR="00D42509" w:rsidRPr="00D42509" w:rsidRDefault="00D42509" w:rsidP="00B36470">
            <w:pPr>
              <w:spacing w:line="259" w:lineRule="auto"/>
              <w:rPr>
                <w:rFonts w:cstheme="minorHAnsi"/>
                <w:sz w:val="24"/>
                <w:szCs w:val="24"/>
              </w:rPr>
            </w:pPr>
            <w:r w:rsidRPr="00D42509">
              <w:rPr>
                <w:rFonts w:cstheme="minorHAnsi"/>
                <w:sz w:val="24"/>
                <w:szCs w:val="24"/>
              </w:rPr>
              <w:t>50:50 PLGA copolymer (5% PEG)</w:t>
            </w:r>
          </w:p>
        </w:tc>
        <w:tc>
          <w:tcPr>
            <w:tcW w:w="0" w:type="auto"/>
            <w:hideMark/>
          </w:tcPr>
          <w:p w14:paraId="4BA5B5AE" w14:textId="77777777" w:rsidR="00D42509" w:rsidRPr="00D42509" w:rsidRDefault="00D42509" w:rsidP="00B36470">
            <w:pPr>
              <w:spacing w:line="259" w:lineRule="auto"/>
              <w:rPr>
                <w:rFonts w:cstheme="minorHAnsi"/>
                <w:sz w:val="24"/>
                <w:szCs w:val="24"/>
              </w:rPr>
            </w:pPr>
          </w:p>
        </w:tc>
        <w:tc>
          <w:tcPr>
            <w:tcW w:w="0" w:type="auto"/>
            <w:hideMark/>
          </w:tcPr>
          <w:p w14:paraId="2F37BAB7" w14:textId="77777777" w:rsidR="00D42509" w:rsidRPr="00D42509" w:rsidRDefault="00D42509" w:rsidP="00B36470">
            <w:pPr>
              <w:spacing w:line="259" w:lineRule="auto"/>
              <w:rPr>
                <w:rFonts w:cstheme="minorHAnsi"/>
                <w:sz w:val="24"/>
                <w:szCs w:val="24"/>
              </w:rPr>
            </w:pPr>
            <w:r w:rsidRPr="00D42509">
              <w:rPr>
                <w:rFonts w:cstheme="minorHAnsi"/>
                <w:sz w:val="24"/>
                <w:szCs w:val="24"/>
              </w:rPr>
              <w:t>64%</w:t>
            </w:r>
          </w:p>
        </w:tc>
        <w:tc>
          <w:tcPr>
            <w:tcW w:w="0" w:type="auto"/>
            <w:hideMark/>
          </w:tcPr>
          <w:p w14:paraId="0802C48B" w14:textId="77777777" w:rsidR="00D42509" w:rsidRPr="00D42509" w:rsidRDefault="00D42509" w:rsidP="00B36470">
            <w:pPr>
              <w:spacing w:line="259" w:lineRule="auto"/>
              <w:rPr>
                <w:rFonts w:cstheme="minorHAnsi"/>
                <w:sz w:val="24"/>
                <w:szCs w:val="24"/>
              </w:rPr>
            </w:pPr>
          </w:p>
        </w:tc>
      </w:tr>
      <w:tr w:rsidR="00D42509" w:rsidRPr="00D42509" w14:paraId="013328F7" w14:textId="77777777" w:rsidTr="00B36470">
        <w:tc>
          <w:tcPr>
            <w:tcW w:w="0" w:type="auto"/>
            <w:hideMark/>
          </w:tcPr>
          <w:p w14:paraId="0055BC20" w14:textId="77777777" w:rsidR="00D42509" w:rsidRPr="00D42509" w:rsidRDefault="00D42509" w:rsidP="00B36470">
            <w:pPr>
              <w:spacing w:line="259" w:lineRule="auto"/>
              <w:rPr>
                <w:rFonts w:cstheme="minorHAnsi"/>
                <w:sz w:val="24"/>
                <w:szCs w:val="24"/>
              </w:rPr>
            </w:pPr>
            <w:r w:rsidRPr="00D42509">
              <w:rPr>
                <w:rFonts w:cstheme="minorHAnsi"/>
                <w:sz w:val="24"/>
                <w:szCs w:val="24"/>
              </w:rPr>
              <w:t>VEGF</w:t>
            </w:r>
          </w:p>
        </w:tc>
        <w:tc>
          <w:tcPr>
            <w:tcW w:w="0" w:type="auto"/>
            <w:hideMark/>
          </w:tcPr>
          <w:p w14:paraId="741ECFBE" w14:textId="77777777" w:rsidR="00D42509" w:rsidRPr="00D42509" w:rsidRDefault="00D42509" w:rsidP="00B36470">
            <w:pPr>
              <w:spacing w:line="259" w:lineRule="auto"/>
              <w:rPr>
                <w:rFonts w:cstheme="minorHAnsi"/>
                <w:sz w:val="24"/>
                <w:szCs w:val="24"/>
              </w:rPr>
            </w:pPr>
            <w:r w:rsidRPr="00D42509">
              <w:rPr>
                <w:rFonts w:cstheme="minorHAnsi"/>
                <w:sz w:val="24"/>
                <w:szCs w:val="24"/>
              </w:rPr>
              <w:t>50:50 PLGA copolymer</w:t>
            </w:r>
          </w:p>
        </w:tc>
        <w:tc>
          <w:tcPr>
            <w:tcW w:w="0" w:type="auto"/>
            <w:hideMark/>
          </w:tcPr>
          <w:p w14:paraId="5D14AE19" w14:textId="77777777" w:rsidR="00D42509" w:rsidRPr="00D42509" w:rsidRDefault="00D42509" w:rsidP="00B36470">
            <w:pPr>
              <w:spacing w:line="259" w:lineRule="auto"/>
              <w:rPr>
                <w:rFonts w:cstheme="minorHAnsi"/>
                <w:sz w:val="24"/>
                <w:szCs w:val="24"/>
              </w:rPr>
            </w:pPr>
            <w:r w:rsidRPr="00D42509">
              <w:rPr>
                <w:rFonts w:cstheme="minorHAnsi"/>
                <w:sz w:val="24"/>
                <w:szCs w:val="24"/>
              </w:rPr>
              <w:t>2.1–205 µm</w:t>
            </w:r>
          </w:p>
        </w:tc>
        <w:tc>
          <w:tcPr>
            <w:tcW w:w="0" w:type="auto"/>
            <w:hideMark/>
          </w:tcPr>
          <w:p w14:paraId="7D67E9E4" w14:textId="77777777" w:rsidR="00D42509" w:rsidRPr="00D42509" w:rsidRDefault="00D42509" w:rsidP="00B36470">
            <w:pPr>
              <w:spacing w:line="259" w:lineRule="auto"/>
              <w:rPr>
                <w:rFonts w:cstheme="minorHAnsi"/>
                <w:sz w:val="24"/>
                <w:szCs w:val="24"/>
              </w:rPr>
            </w:pPr>
            <w:r w:rsidRPr="00D42509">
              <w:rPr>
                <w:rFonts w:cstheme="minorHAnsi"/>
                <w:sz w:val="24"/>
                <w:szCs w:val="24"/>
              </w:rPr>
              <w:t>64%</w:t>
            </w:r>
          </w:p>
        </w:tc>
        <w:tc>
          <w:tcPr>
            <w:tcW w:w="0" w:type="auto"/>
            <w:hideMark/>
          </w:tcPr>
          <w:p w14:paraId="1684D6DA" w14:textId="152CE07D" w:rsidR="00D42509" w:rsidRPr="00D42509" w:rsidRDefault="00D42509" w:rsidP="00B36470">
            <w:pPr>
              <w:spacing w:line="259" w:lineRule="auto"/>
              <w:rPr>
                <w:rFonts w:cstheme="minorHAnsi"/>
                <w:sz w:val="24"/>
                <w:szCs w:val="24"/>
                <w:vertAlign w:val="superscript"/>
              </w:rPr>
            </w:pPr>
            <w:r w:rsidRPr="00D42509">
              <w:rPr>
                <w:rFonts w:cstheme="minorHAnsi"/>
                <w:sz w:val="24"/>
                <w:szCs w:val="24"/>
                <w:vertAlign w:val="superscript"/>
              </w:rPr>
              <w:t>41</w:t>
            </w:r>
          </w:p>
        </w:tc>
      </w:tr>
      <w:tr w:rsidR="00D42509" w:rsidRPr="00D42509" w14:paraId="22E290A1" w14:textId="77777777" w:rsidTr="00B36470">
        <w:tc>
          <w:tcPr>
            <w:tcW w:w="0" w:type="auto"/>
            <w:hideMark/>
          </w:tcPr>
          <w:p w14:paraId="22B72EF3" w14:textId="77777777" w:rsidR="00D42509" w:rsidRPr="00D42509" w:rsidRDefault="00D42509" w:rsidP="00B36470">
            <w:pPr>
              <w:spacing w:line="259" w:lineRule="auto"/>
              <w:rPr>
                <w:rFonts w:cstheme="minorHAnsi"/>
                <w:sz w:val="24"/>
                <w:szCs w:val="24"/>
              </w:rPr>
            </w:pPr>
            <w:r w:rsidRPr="00D42509">
              <w:rPr>
                <w:rFonts w:cstheme="minorHAnsi"/>
                <w:sz w:val="24"/>
                <w:szCs w:val="24"/>
              </w:rPr>
              <w:t>lysozyme</w:t>
            </w:r>
          </w:p>
        </w:tc>
        <w:tc>
          <w:tcPr>
            <w:tcW w:w="0" w:type="auto"/>
            <w:hideMark/>
          </w:tcPr>
          <w:p w14:paraId="6890E1FD" w14:textId="77777777" w:rsidR="00D42509" w:rsidRPr="00D42509" w:rsidRDefault="00D42509" w:rsidP="00B36470">
            <w:pPr>
              <w:spacing w:line="259" w:lineRule="auto"/>
              <w:rPr>
                <w:rFonts w:cstheme="minorHAnsi"/>
                <w:sz w:val="24"/>
                <w:szCs w:val="24"/>
              </w:rPr>
            </w:pPr>
            <w:r w:rsidRPr="00D42509">
              <w:rPr>
                <w:rFonts w:cstheme="minorHAnsi"/>
                <w:sz w:val="24"/>
                <w:szCs w:val="24"/>
              </w:rPr>
              <w:t>50:50 PLGA copolymer</w:t>
            </w:r>
          </w:p>
        </w:tc>
        <w:tc>
          <w:tcPr>
            <w:tcW w:w="0" w:type="auto"/>
            <w:hideMark/>
          </w:tcPr>
          <w:p w14:paraId="193A97B8" w14:textId="77777777" w:rsidR="00D42509" w:rsidRPr="00D42509" w:rsidRDefault="00D42509" w:rsidP="00B36470">
            <w:pPr>
              <w:spacing w:line="259" w:lineRule="auto"/>
              <w:rPr>
                <w:rFonts w:cstheme="minorHAnsi"/>
                <w:sz w:val="24"/>
                <w:szCs w:val="24"/>
              </w:rPr>
            </w:pPr>
            <w:r w:rsidRPr="00D42509">
              <w:rPr>
                <w:rFonts w:cstheme="minorHAnsi"/>
                <w:sz w:val="24"/>
                <w:szCs w:val="24"/>
              </w:rPr>
              <w:t>0.2–6.5 µm</w:t>
            </w:r>
          </w:p>
        </w:tc>
        <w:tc>
          <w:tcPr>
            <w:tcW w:w="0" w:type="auto"/>
            <w:hideMark/>
          </w:tcPr>
          <w:p w14:paraId="77DB1FBE" w14:textId="77777777" w:rsidR="00D42509" w:rsidRPr="00D42509" w:rsidRDefault="00D42509" w:rsidP="00B36470">
            <w:pPr>
              <w:spacing w:line="259" w:lineRule="auto"/>
              <w:rPr>
                <w:rFonts w:cstheme="minorHAnsi"/>
                <w:sz w:val="24"/>
                <w:szCs w:val="24"/>
              </w:rPr>
            </w:pPr>
            <w:r w:rsidRPr="00D42509">
              <w:rPr>
                <w:rFonts w:cstheme="minorHAnsi"/>
                <w:sz w:val="24"/>
                <w:szCs w:val="24"/>
              </w:rPr>
              <w:t>52%</w:t>
            </w:r>
          </w:p>
        </w:tc>
        <w:tc>
          <w:tcPr>
            <w:tcW w:w="0" w:type="auto"/>
            <w:hideMark/>
          </w:tcPr>
          <w:p w14:paraId="2C5DBB2E" w14:textId="77F29766" w:rsidR="00D42509" w:rsidRPr="00D42509" w:rsidRDefault="00D42509" w:rsidP="00B36470">
            <w:pPr>
              <w:spacing w:line="259" w:lineRule="auto"/>
              <w:rPr>
                <w:rFonts w:cstheme="minorHAnsi"/>
                <w:sz w:val="24"/>
                <w:szCs w:val="24"/>
                <w:vertAlign w:val="superscript"/>
              </w:rPr>
            </w:pPr>
            <w:r w:rsidRPr="00D42509">
              <w:rPr>
                <w:rFonts w:cstheme="minorHAnsi"/>
                <w:sz w:val="24"/>
                <w:szCs w:val="24"/>
                <w:vertAlign w:val="superscript"/>
              </w:rPr>
              <w:t>42</w:t>
            </w:r>
          </w:p>
        </w:tc>
      </w:tr>
      <w:tr w:rsidR="00D42509" w:rsidRPr="00D42509" w14:paraId="31EFCF66" w14:textId="77777777" w:rsidTr="00B36470">
        <w:tc>
          <w:tcPr>
            <w:tcW w:w="0" w:type="auto"/>
            <w:hideMark/>
          </w:tcPr>
          <w:p w14:paraId="68D33DD0" w14:textId="77777777" w:rsidR="00D42509" w:rsidRPr="00D42509" w:rsidRDefault="00D42509" w:rsidP="00B36470">
            <w:pPr>
              <w:spacing w:line="259" w:lineRule="auto"/>
              <w:rPr>
                <w:rFonts w:cstheme="minorHAnsi"/>
                <w:sz w:val="24"/>
                <w:szCs w:val="24"/>
              </w:rPr>
            </w:pPr>
            <w:r w:rsidRPr="00D42509">
              <w:rPr>
                <w:rFonts w:cstheme="minorHAnsi"/>
                <w:sz w:val="24"/>
                <w:szCs w:val="24"/>
              </w:rPr>
              <w:t>Piroxicam</w:t>
            </w:r>
          </w:p>
        </w:tc>
        <w:tc>
          <w:tcPr>
            <w:tcW w:w="0" w:type="auto"/>
            <w:hideMark/>
          </w:tcPr>
          <w:p w14:paraId="0AF73FCA" w14:textId="77777777" w:rsidR="00D42509" w:rsidRPr="00D42509" w:rsidRDefault="00D42509" w:rsidP="00B36470">
            <w:pPr>
              <w:spacing w:line="259" w:lineRule="auto"/>
              <w:rPr>
                <w:rFonts w:cstheme="minorHAnsi"/>
                <w:sz w:val="24"/>
                <w:szCs w:val="24"/>
              </w:rPr>
            </w:pPr>
            <w:r w:rsidRPr="00D42509">
              <w:rPr>
                <w:rFonts w:cstheme="minorHAnsi"/>
                <w:sz w:val="24"/>
                <w:szCs w:val="24"/>
              </w:rPr>
              <w:t>50:50 PLGA copolymer</w:t>
            </w:r>
          </w:p>
        </w:tc>
        <w:tc>
          <w:tcPr>
            <w:tcW w:w="0" w:type="auto"/>
            <w:hideMark/>
          </w:tcPr>
          <w:p w14:paraId="4A56D916" w14:textId="77777777" w:rsidR="00D42509" w:rsidRPr="00D42509" w:rsidRDefault="00D42509" w:rsidP="00B36470">
            <w:pPr>
              <w:spacing w:line="259" w:lineRule="auto"/>
              <w:rPr>
                <w:rFonts w:cstheme="minorHAnsi"/>
                <w:sz w:val="24"/>
                <w:szCs w:val="24"/>
              </w:rPr>
            </w:pPr>
            <w:r w:rsidRPr="00D42509">
              <w:rPr>
                <w:rFonts w:cstheme="minorHAnsi"/>
                <w:sz w:val="24"/>
                <w:szCs w:val="24"/>
              </w:rPr>
              <w:t>10–50 µm</w:t>
            </w:r>
          </w:p>
        </w:tc>
        <w:tc>
          <w:tcPr>
            <w:tcW w:w="0" w:type="auto"/>
            <w:hideMark/>
          </w:tcPr>
          <w:p w14:paraId="00D2FD62" w14:textId="77777777" w:rsidR="00D42509" w:rsidRPr="00D42509" w:rsidRDefault="00D42509" w:rsidP="00B36470">
            <w:pPr>
              <w:spacing w:line="259" w:lineRule="auto"/>
              <w:rPr>
                <w:rFonts w:cstheme="minorHAnsi"/>
                <w:sz w:val="24"/>
                <w:szCs w:val="24"/>
              </w:rPr>
            </w:pPr>
            <w:r w:rsidRPr="00D42509">
              <w:rPr>
                <w:rFonts w:cstheme="minorHAnsi"/>
                <w:sz w:val="24"/>
                <w:szCs w:val="24"/>
              </w:rPr>
              <w:t>68%</w:t>
            </w:r>
          </w:p>
        </w:tc>
        <w:tc>
          <w:tcPr>
            <w:tcW w:w="0" w:type="auto"/>
            <w:hideMark/>
          </w:tcPr>
          <w:p w14:paraId="394F4AA8" w14:textId="5472D31C" w:rsidR="00D42509" w:rsidRPr="00D42509" w:rsidRDefault="00D42509" w:rsidP="00B36470">
            <w:pPr>
              <w:spacing w:line="259" w:lineRule="auto"/>
              <w:rPr>
                <w:rFonts w:cstheme="minorHAnsi"/>
                <w:sz w:val="24"/>
                <w:szCs w:val="24"/>
                <w:vertAlign w:val="superscript"/>
              </w:rPr>
            </w:pPr>
            <w:r w:rsidRPr="00D42509">
              <w:rPr>
                <w:rFonts w:cstheme="minorHAnsi"/>
                <w:sz w:val="24"/>
                <w:szCs w:val="24"/>
                <w:vertAlign w:val="superscript"/>
              </w:rPr>
              <w:t>43</w:t>
            </w:r>
          </w:p>
        </w:tc>
      </w:tr>
      <w:tr w:rsidR="00D42509" w:rsidRPr="00D42509" w14:paraId="76DFBE31" w14:textId="77777777" w:rsidTr="00B36470">
        <w:tc>
          <w:tcPr>
            <w:tcW w:w="0" w:type="auto"/>
            <w:hideMark/>
          </w:tcPr>
          <w:p w14:paraId="57F43C1E" w14:textId="77777777" w:rsidR="00D42509" w:rsidRPr="00D42509" w:rsidRDefault="00D42509" w:rsidP="00B36470">
            <w:pPr>
              <w:spacing w:line="259" w:lineRule="auto"/>
              <w:rPr>
                <w:rFonts w:cstheme="minorHAnsi"/>
                <w:sz w:val="24"/>
                <w:szCs w:val="24"/>
              </w:rPr>
            </w:pPr>
            <w:r w:rsidRPr="00D42509">
              <w:rPr>
                <w:rFonts w:cstheme="minorHAnsi"/>
                <w:sz w:val="24"/>
                <w:szCs w:val="24"/>
              </w:rPr>
              <w:t>Ibuprofen</w:t>
            </w:r>
          </w:p>
        </w:tc>
        <w:tc>
          <w:tcPr>
            <w:tcW w:w="0" w:type="auto"/>
            <w:hideMark/>
          </w:tcPr>
          <w:p w14:paraId="4FB3305A" w14:textId="77777777" w:rsidR="00D42509" w:rsidRPr="00D42509" w:rsidRDefault="00D42509" w:rsidP="00B36470">
            <w:pPr>
              <w:spacing w:line="259" w:lineRule="auto"/>
              <w:rPr>
                <w:rFonts w:cstheme="minorHAnsi"/>
                <w:sz w:val="24"/>
                <w:szCs w:val="24"/>
              </w:rPr>
            </w:pPr>
            <w:r w:rsidRPr="00D42509">
              <w:rPr>
                <w:rFonts w:cstheme="minorHAnsi"/>
                <w:sz w:val="24"/>
                <w:szCs w:val="24"/>
              </w:rPr>
              <w:t>50:50 PLGA copolymer</w:t>
            </w:r>
          </w:p>
        </w:tc>
        <w:tc>
          <w:tcPr>
            <w:tcW w:w="0" w:type="auto"/>
            <w:hideMark/>
          </w:tcPr>
          <w:p w14:paraId="2852C44A" w14:textId="77777777" w:rsidR="00D42509" w:rsidRPr="00D42509" w:rsidRDefault="00D42509" w:rsidP="00B36470">
            <w:pPr>
              <w:spacing w:line="259" w:lineRule="auto"/>
              <w:rPr>
                <w:rFonts w:cstheme="minorHAnsi"/>
                <w:sz w:val="24"/>
                <w:szCs w:val="24"/>
              </w:rPr>
            </w:pPr>
            <w:r w:rsidRPr="00D42509">
              <w:rPr>
                <w:rFonts w:cstheme="minorHAnsi"/>
                <w:sz w:val="24"/>
                <w:szCs w:val="24"/>
              </w:rPr>
              <w:t>24–141 µm</w:t>
            </w:r>
          </w:p>
        </w:tc>
        <w:tc>
          <w:tcPr>
            <w:tcW w:w="0" w:type="auto"/>
            <w:hideMark/>
          </w:tcPr>
          <w:p w14:paraId="0A410B53" w14:textId="77777777" w:rsidR="00D42509" w:rsidRPr="00D42509" w:rsidRDefault="00D42509" w:rsidP="00B36470">
            <w:pPr>
              <w:spacing w:line="259" w:lineRule="auto"/>
              <w:rPr>
                <w:rFonts w:cstheme="minorHAnsi"/>
                <w:sz w:val="24"/>
                <w:szCs w:val="24"/>
              </w:rPr>
            </w:pPr>
            <w:r w:rsidRPr="00D42509">
              <w:rPr>
                <w:rFonts w:cstheme="minorHAnsi"/>
                <w:sz w:val="24"/>
                <w:szCs w:val="24"/>
              </w:rPr>
              <w:t>28%</w:t>
            </w:r>
          </w:p>
        </w:tc>
        <w:tc>
          <w:tcPr>
            <w:tcW w:w="0" w:type="auto"/>
            <w:hideMark/>
          </w:tcPr>
          <w:p w14:paraId="7C5C2AB8" w14:textId="5978BA25" w:rsidR="00D42509" w:rsidRPr="00D42509" w:rsidRDefault="00D42509" w:rsidP="00B36470">
            <w:pPr>
              <w:spacing w:line="259" w:lineRule="auto"/>
              <w:rPr>
                <w:rFonts w:cstheme="minorHAnsi"/>
                <w:sz w:val="24"/>
                <w:szCs w:val="24"/>
                <w:vertAlign w:val="superscript"/>
              </w:rPr>
            </w:pPr>
            <w:r w:rsidRPr="00D42509">
              <w:rPr>
                <w:rFonts w:cstheme="minorHAnsi"/>
                <w:sz w:val="24"/>
                <w:szCs w:val="24"/>
                <w:vertAlign w:val="superscript"/>
              </w:rPr>
              <w:t>44</w:t>
            </w:r>
          </w:p>
        </w:tc>
      </w:tr>
      <w:tr w:rsidR="00D42509" w:rsidRPr="00D42509" w14:paraId="3FCE4DC3" w14:textId="77777777" w:rsidTr="00B36470">
        <w:tc>
          <w:tcPr>
            <w:tcW w:w="0" w:type="auto"/>
            <w:hideMark/>
          </w:tcPr>
          <w:p w14:paraId="009046A1" w14:textId="77777777" w:rsidR="00D42509" w:rsidRPr="00D42509" w:rsidRDefault="00D42509" w:rsidP="00B36470">
            <w:pPr>
              <w:spacing w:line="259" w:lineRule="auto"/>
              <w:rPr>
                <w:rFonts w:cstheme="minorHAnsi"/>
                <w:sz w:val="24"/>
                <w:szCs w:val="24"/>
              </w:rPr>
            </w:pPr>
            <w:r w:rsidRPr="00D42509">
              <w:rPr>
                <w:rFonts w:cstheme="minorHAnsi"/>
                <w:sz w:val="24"/>
                <w:szCs w:val="24"/>
              </w:rPr>
              <w:t>5-Fluorouracil</w:t>
            </w:r>
          </w:p>
        </w:tc>
        <w:tc>
          <w:tcPr>
            <w:tcW w:w="0" w:type="auto"/>
            <w:hideMark/>
          </w:tcPr>
          <w:p w14:paraId="39F24676" w14:textId="77777777" w:rsidR="00D42509" w:rsidRPr="00D42509" w:rsidRDefault="00D42509" w:rsidP="00B36470">
            <w:pPr>
              <w:spacing w:line="259" w:lineRule="auto"/>
              <w:rPr>
                <w:rFonts w:cstheme="minorHAnsi"/>
                <w:sz w:val="24"/>
                <w:szCs w:val="24"/>
              </w:rPr>
            </w:pPr>
            <w:r w:rsidRPr="00D42509">
              <w:rPr>
                <w:rFonts w:cstheme="minorHAnsi"/>
                <w:sz w:val="24"/>
                <w:szCs w:val="24"/>
              </w:rPr>
              <w:t>50:50 PLGA copolymer</w:t>
            </w:r>
          </w:p>
        </w:tc>
        <w:tc>
          <w:tcPr>
            <w:tcW w:w="0" w:type="auto"/>
            <w:hideMark/>
          </w:tcPr>
          <w:p w14:paraId="1E85EAA5" w14:textId="77777777" w:rsidR="00D42509" w:rsidRPr="00D42509" w:rsidRDefault="00D42509" w:rsidP="00B36470">
            <w:pPr>
              <w:spacing w:line="259" w:lineRule="auto"/>
              <w:rPr>
                <w:rFonts w:cstheme="minorHAnsi"/>
                <w:sz w:val="24"/>
                <w:szCs w:val="24"/>
              </w:rPr>
            </w:pPr>
            <w:r w:rsidRPr="00D42509">
              <w:rPr>
                <w:rFonts w:cstheme="minorHAnsi"/>
                <w:sz w:val="24"/>
                <w:szCs w:val="24"/>
              </w:rPr>
              <w:t>36–56 µm</w:t>
            </w:r>
          </w:p>
        </w:tc>
        <w:tc>
          <w:tcPr>
            <w:tcW w:w="0" w:type="auto"/>
            <w:hideMark/>
          </w:tcPr>
          <w:p w14:paraId="12878FB7" w14:textId="77777777" w:rsidR="00D42509" w:rsidRPr="00D42509" w:rsidRDefault="00D42509" w:rsidP="00B36470">
            <w:pPr>
              <w:spacing w:line="259" w:lineRule="auto"/>
              <w:rPr>
                <w:rFonts w:cstheme="minorHAnsi"/>
                <w:sz w:val="24"/>
                <w:szCs w:val="24"/>
              </w:rPr>
            </w:pPr>
            <w:r w:rsidRPr="00D42509">
              <w:rPr>
                <w:rFonts w:cstheme="minorHAnsi"/>
                <w:sz w:val="24"/>
                <w:szCs w:val="24"/>
              </w:rPr>
              <w:t>21%</w:t>
            </w:r>
          </w:p>
        </w:tc>
        <w:tc>
          <w:tcPr>
            <w:tcW w:w="0" w:type="auto"/>
            <w:hideMark/>
          </w:tcPr>
          <w:p w14:paraId="75A115CD" w14:textId="690F04DC" w:rsidR="00D42509" w:rsidRPr="00D42509" w:rsidRDefault="00D42509" w:rsidP="00B36470">
            <w:pPr>
              <w:spacing w:line="259" w:lineRule="auto"/>
              <w:rPr>
                <w:rFonts w:cstheme="minorHAnsi"/>
                <w:sz w:val="24"/>
                <w:szCs w:val="24"/>
                <w:vertAlign w:val="superscript"/>
              </w:rPr>
            </w:pPr>
            <w:r w:rsidRPr="00D42509">
              <w:rPr>
                <w:rFonts w:cstheme="minorHAnsi"/>
                <w:sz w:val="24"/>
                <w:szCs w:val="24"/>
                <w:vertAlign w:val="superscript"/>
              </w:rPr>
              <w:t>45</w:t>
            </w:r>
          </w:p>
        </w:tc>
      </w:tr>
    </w:tbl>
    <w:p w14:paraId="20E58E67" w14:textId="77777777" w:rsidR="0096399A" w:rsidRDefault="0096399A" w:rsidP="00D42509">
      <w:pPr>
        <w:rPr>
          <w:rFonts w:cstheme="minorHAnsi"/>
          <w:sz w:val="24"/>
          <w:szCs w:val="24"/>
        </w:rPr>
      </w:pPr>
    </w:p>
    <w:p w14:paraId="688A0815" w14:textId="69723DDB" w:rsidR="00D42509" w:rsidRPr="00D42509" w:rsidRDefault="00D42509" w:rsidP="00D42509">
      <w:pPr>
        <w:rPr>
          <w:rFonts w:cstheme="minorHAnsi"/>
          <w:sz w:val="24"/>
          <w:szCs w:val="24"/>
        </w:rPr>
      </w:pPr>
      <w:r w:rsidRPr="00D42509">
        <w:rPr>
          <w:rFonts w:cstheme="minorHAnsi"/>
          <w:sz w:val="24"/>
          <w:szCs w:val="24"/>
        </w:rPr>
        <w:t>Far-ultraviolet CD spectroscopy was used to study the secondary structure of VEGF extracted from the microspheres (Fig. </w:t>
      </w:r>
      <w:r w:rsidRPr="00D42509">
        <w:rPr>
          <w:rFonts w:cstheme="minorHAnsi"/>
          <w:b/>
          <w:bCs/>
          <w:sz w:val="24"/>
          <w:szCs w:val="24"/>
        </w:rPr>
        <w:t>5C</w:t>
      </w:r>
      <w:r w:rsidRPr="00D42509">
        <w:rPr>
          <w:rFonts w:cstheme="minorHAnsi"/>
          <w:sz w:val="24"/>
          <w:szCs w:val="24"/>
        </w:rPr>
        <w:t xml:space="preserve">). The CD spectrum of native VEGF shows an intense dichroic band around 190 nm and a broad negative band between 200 and 208 nm, which associated with β-sheets and α-helical structure </w:t>
      </w:r>
      <w:r w:rsidRPr="00D42509">
        <w:rPr>
          <w:rFonts w:cstheme="minorHAnsi"/>
          <w:b/>
          <w:bCs/>
          <w:sz w:val="24"/>
          <w:szCs w:val="24"/>
          <w:vertAlign w:val="superscript"/>
        </w:rPr>
        <w:t>32</w:t>
      </w:r>
      <w:r w:rsidRPr="00D42509">
        <w:rPr>
          <w:rFonts w:cstheme="minorHAnsi"/>
          <w:sz w:val="24"/>
          <w:szCs w:val="24"/>
        </w:rPr>
        <w:t>. Although the extracted VEGF from the VRM-MP depicted almost identical spectra to the native VEGF, the CD spectra of the VEGF-MP showed more significant changes. This result indicated that the secondary structure of encapsulated VEGF was more preserved in the VRM-MP sample.</w:t>
      </w:r>
    </w:p>
    <w:p w14:paraId="1264EA18" w14:textId="1A216D36" w:rsidR="00D42509" w:rsidRPr="00D42509" w:rsidRDefault="00D42509" w:rsidP="00D42509">
      <w:pPr>
        <w:rPr>
          <w:rFonts w:cstheme="minorHAnsi"/>
          <w:sz w:val="24"/>
          <w:szCs w:val="24"/>
        </w:rPr>
      </w:pPr>
      <w:r w:rsidRPr="00D42509">
        <w:rPr>
          <w:rFonts w:cstheme="minorHAnsi"/>
          <w:sz w:val="24"/>
          <w:szCs w:val="24"/>
        </w:rPr>
        <w:t>The biological activity of native VEGF- and VRM-loaded PLGA microspheres was investigated by HUVEC proliferation assay and VEGF bioassay using KDR/NFAT-RE HEK293 cells (Fig. </w:t>
      </w:r>
      <w:r w:rsidRPr="00D42509">
        <w:rPr>
          <w:rFonts w:cstheme="minorHAnsi"/>
          <w:b/>
          <w:bCs/>
          <w:sz w:val="24"/>
          <w:szCs w:val="24"/>
        </w:rPr>
        <w:t>6</w:t>
      </w:r>
      <w:r w:rsidRPr="00D42509">
        <w:rPr>
          <w:rFonts w:cstheme="minorHAnsi"/>
          <w:sz w:val="24"/>
          <w:szCs w:val="24"/>
        </w:rPr>
        <w:t>). As shown in Fig. </w:t>
      </w:r>
      <w:r w:rsidRPr="00D42509">
        <w:rPr>
          <w:rFonts w:cstheme="minorHAnsi"/>
          <w:b/>
          <w:bCs/>
          <w:sz w:val="24"/>
          <w:szCs w:val="24"/>
        </w:rPr>
        <w:t>6A</w:t>
      </w:r>
      <w:r w:rsidRPr="00D42509">
        <w:rPr>
          <w:rFonts w:cstheme="minorHAnsi"/>
          <w:sz w:val="24"/>
          <w:szCs w:val="24"/>
        </w:rPr>
        <w:t>, native VEGF-loaded microspheres (5 µg/mL) induced a 1.15, 1.18, 1.2, 1.22, and 1.23 fold increase in HUVEC proliferation in comparison with the control group after 1, 2, 3, 5, and 8 days (</w:t>
      </w:r>
      <w:r w:rsidRPr="00D42509">
        <w:rPr>
          <w:rFonts w:cstheme="minorHAnsi"/>
          <w:i/>
          <w:iCs/>
          <w:sz w:val="24"/>
          <w:szCs w:val="24"/>
        </w:rPr>
        <w:t>P</w:t>
      </w:r>
      <w:r w:rsidRPr="00D42509">
        <w:rPr>
          <w:rFonts w:cstheme="minorHAnsi"/>
          <w:sz w:val="24"/>
          <w:szCs w:val="24"/>
        </w:rPr>
        <w:t> &lt; 0.05). However, VRM-loaded microspheres induced HUVECs proliferation significantly higher than control and native VEGF-loaded microspheres (1.1, 1.2, 1.3, 1.35, and 1.43 fold increase at 1, 2, 3, 5, and 8 days in culture (</w:t>
      </w:r>
      <w:r w:rsidRPr="00D42509">
        <w:rPr>
          <w:rFonts w:cstheme="minorHAnsi"/>
          <w:i/>
          <w:iCs/>
          <w:sz w:val="24"/>
          <w:szCs w:val="24"/>
        </w:rPr>
        <w:t>P</w:t>
      </w:r>
      <w:r w:rsidRPr="00D42509">
        <w:rPr>
          <w:rFonts w:cstheme="minorHAnsi"/>
          <w:sz w:val="24"/>
          <w:szCs w:val="24"/>
        </w:rPr>
        <w:t> &lt; 0.01), respectively). A similar increase in HUVECs proliferation was also observed in cells treated with native VEGF (</w:t>
      </w:r>
      <w:r w:rsidRPr="00D42509">
        <w:rPr>
          <w:rFonts w:cstheme="minorHAnsi"/>
          <w:i/>
          <w:iCs/>
          <w:sz w:val="24"/>
          <w:szCs w:val="24"/>
        </w:rPr>
        <w:t>P</w:t>
      </w:r>
      <w:r w:rsidRPr="00D42509">
        <w:rPr>
          <w:rFonts w:cstheme="minorHAnsi"/>
          <w:sz w:val="24"/>
          <w:szCs w:val="24"/>
        </w:rPr>
        <w:t> &lt; 0.01; Fig. </w:t>
      </w:r>
      <w:r w:rsidRPr="00D42509">
        <w:rPr>
          <w:rFonts w:cstheme="minorHAnsi"/>
          <w:b/>
          <w:bCs/>
          <w:sz w:val="24"/>
          <w:szCs w:val="24"/>
        </w:rPr>
        <w:t>6A</w:t>
      </w:r>
      <w:r w:rsidRPr="00D42509">
        <w:rPr>
          <w:rFonts w:cstheme="minorHAnsi"/>
          <w:sz w:val="24"/>
          <w:szCs w:val="24"/>
        </w:rPr>
        <w:t>). Furthermore, the VEGF bioassay was used to evaluate the bioactivity of released VEGF, as assessed by activation of the KDR receptor signaling pathway. The NFAT-RE-mediated luminescence induced by activation of KDR was increased by 18.31, 15.77, and 21.64 folds after treatment of KDR/NFAT-RE HEK293 cells with VRM-loaded microspheres, native VEGF-loaded microspheres, and native VEGF (</w:t>
      </w:r>
      <w:r w:rsidRPr="00D42509">
        <w:rPr>
          <w:rFonts w:cstheme="minorHAnsi"/>
          <w:i/>
          <w:iCs/>
          <w:sz w:val="24"/>
          <w:szCs w:val="24"/>
        </w:rPr>
        <w:t>P</w:t>
      </w:r>
      <w:r w:rsidRPr="00D42509">
        <w:rPr>
          <w:rFonts w:cstheme="minorHAnsi"/>
          <w:sz w:val="24"/>
          <w:szCs w:val="24"/>
        </w:rPr>
        <w:t> &lt; 0.05; Fig. </w:t>
      </w:r>
      <w:r w:rsidRPr="00D42509">
        <w:rPr>
          <w:rFonts w:cstheme="minorHAnsi"/>
          <w:b/>
          <w:bCs/>
          <w:sz w:val="24"/>
          <w:szCs w:val="24"/>
        </w:rPr>
        <w:t>6D</w:t>
      </w:r>
      <w:r w:rsidRPr="00D42509">
        <w:rPr>
          <w:rFonts w:cstheme="minorHAnsi"/>
          <w:sz w:val="24"/>
          <w:szCs w:val="24"/>
        </w:rPr>
        <w:t>). This result indicates that the VEGF biofunctionality was preserved by R.M. nanoparticles. However, the biofunctionality of native VEGF was attenuated during the encapsulation process in native VEGF-loaded PLGA microspheres.</w:t>
      </w:r>
    </w:p>
    <w:p w14:paraId="447553BD" w14:textId="01719A0B" w:rsidR="00D42509" w:rsidRPr="00D42509" w:rsidRDefault="00D42509" w:rsidP="0096399A">
      <w:pPr>
        <w:pStyle w:val="NoSpacing"/>
      </w:pPr>
      <w:r w:rsidRPr="00D42509">
        <w:drawing>
          <wp:inline distT="0" distB="0" distL="0" distR="0" wp14:anchorId="0F4BDD9A" wp14:editId="2194C5EF">
            <wp:extent cx="2743200" cy="1197864"/>
            <wp:effectExtent l="0" t="0" r="0" b="2540"/>
            <wp:docPr id="1" name="Picture 1" descr="Details are in the caption following the image">
              <a:hlinkClick xmlns:a="http://schemas.openxmlformats.org/drawingml/2006/main" r:id="rId2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tails are in the caption following the image">
                      <a:hlinkClick r:id="rId21" tgtFrame="&quot;_blank&quo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43200" cy="1197864"/>
                    </a:xfrm>
                    <a:prstGeom prst="rect">
                      <a:avLst/>
                    </a:prstGeom>
                    <a:noFill/>
                    <a:ln>
                      <a:noFill/>
                    </a:ln>
                  </pic:spPr>
                </pic:pic>
              </a:graphicData>
            </a:graphic>
          </wp:inline>
        </w:drawing>
      </w:r>
    </w:p>
    <w:p w14:paraId="10D40196" w14:textId="7CA6C17B" w:rsidR="00D42509" w:rsidRDefault="00D42509" w:rsidP="0096399A">
      <w:pPr>
        <w:pStyle w:val="NoSpacing"/>
      </w:pPr>
      <w:r w:rsidRPr="00D42509">
        <w:rPr>
          <w:b/>
          <w:bCs/>
        </w:rPr>
        <w:t>FIG. 6</w:t>
      </w:r>
      <w:r w:rsidR="0096399A">
        <w:t xml:space="preserve"> </w:t>
      </w:r>
      <w:r w:rsidRPr="00D42509">
        <w:t>(A) The proliferation of HUVECs treated with native VEGF (10 ng/mL) or the same concentration of VRM-MP and VEGF-MP (25 ng/mL) in comparison with control group (culture medium alone). (B) KDR activation assay of native VEGF solution and VEGF extracted from VEGF and VRM-loaded PLGA microspheres. *</w:t>
      </w:r>
      <w:r w:rsidRPr="00D42509">
        <w:rPr>
          <w:i/>
          <w:iCs/>
        </w:rPr>
        <w:t>P </w:t>
      </w:r>
      <w:r w:rsidRPr="00D42509">
        <w:t>&lt; 0.05 and **</w:t>
      </w:r>
      <w:r w:rsidRPr="00D42509">
        <w:rPr>
          <w:i/>
          <w:iCs/>
        </w:rPr>
        <w:t>P </w:t>
      </w:r>
      <w:r w:rsidRPr="00D42509">
        <w:t>&lt; 0.01.</w:t>
      </w:r>
    </w:p>
    <w:p w14:paraId="1A55756B" w14:textId="77777777" w:rsidR="0096399A" w:rsidRPr="00D42509" w:rsidRDefault="0096399A" w:rsidP="00D42509">
      <w:pPr>
        <w:rPr>
          <w:rFonts w:cstheme="minorHAnsi"/>
          <w:sz w:val="24"/>
          <w:szCs w:val="24"/>
        </w:rPr>
      </w:pPr>
    </w:p>
    <w:p w14:paraId="304D84D3" w14:textId="77777777" w:rsidR="00D42509" w:rsidRPr="00D42509" w:rsidRDefault="00D42509" w:rsidP="0096399A">
      <w:pPr>
        <w:pStyle w:val="Heading1"/>
      </w:pPr>
      <w:r w:rsidRPr="00D42509">
        <w:t>4 Conclusion</w:t>
      </w:r>
    </w:p>
    <w:p w14:paraId="28ED685F" w14:textId="77777777" w:rsidR="00D42509" w:rsidRPr="00D42509" w:rsidRDefault="00D42509" w:rsidP="00D42509">
      <w:pPr>
        <w:rPr>
          <w:rFonts w:cstheme="minorHAnsi"/>
          <w:sz w:val="24"/>
          <w:szCs w:val="24"/>
        </w:rPr>
      </w:pPr>
      <w:r w:rsidRPr="00D42509">
        <w:rPr>
          <w:rFonts w:cstheme="minorHAnsi"/>
          <w:sz w:val="24"/>
          <w:szCs w:val="24"/>
        </w:rPr>
        <w:t>The VRM nanoparticles-loaded PLGA microspheres were successfully developed by microfluidic platforms. A significant improvement in VEGF loading efficacy and release properties was observed by using VRM nanoparticles. The encapsulated VEGF was fully protected from the organic solvent during the fabrication process through the anhydrous R.M. The VRM-loaded PLGA microspheres achieved zero-order controlled release behavior with a highly reduced initial burst. Furthermore, the HUVEC proliferation assay confirmed that the VEGF functionality was fully preserved by R.M. nanoparticles. In conclusion, the VRM nanoparticles-loaded PLGA microspheres show promising potential for long-term VEGF delivery.</w:t>
      </w:r>
    </w:p>
    <w:p w14:paraId="36C9D68F" w14:textId="77777777" w:rsidR="00D42509" w:rsidRPr="00D42509" w:rsidRDefault="00D42509" w:rsidP="0096399A">
      <w:pPr>
        <w:pStyle w:val="Heading1"/>
      </w:pPr>
      <w:r w:rsidRPr="00D42509">
        <w:t>5 Acknowledgements</w:t>
      </w:r>
    </w:p>
    <w:p w14:paraId="783901D0" w14:textId="77777777" w:rsidR="00D42509" w:rsidRPr="00D42509" w:rsidRDefault="00D42509" w:rsidP="00D42509">
      <w:pPr>
        <w:rPr>
          <w:rFonts w:cstheme="minorHAnsi"/>
          <w:sz w:val="24"/>
          <w:szCs w:val="24"/>
        </w:rPr>
      </w:pPr>
      <w:r w:rsidRPr="00D42509">
        <w:rPr>
          <w:rFonts w:cstheme="minorHAnsi"/>
          <w:sz w:val="24"/>
          <w:szCs w:val="24"/>
        </w:rPr>
        <w:t>The research reported in this paper was supported by Osteo Science Foundation through Peter Geistlich Award. The authors would like to thank the financial support from this foundation.</w:t>
      </w:r>
    </w:p>
    <w:p w14:paraId="3E078EE9" w14:textId="77777777" w:rsidR="00D42509" w:rsidRPr="00D42509" w:rsidRDefault="00D42509" w:rsidP="0096399A">
      <w:pPr>
        <w:pStyle w:val="Heading1"/>
      </w:pPr>
      <w:r w:rsidRPr="00D42509">
        <w:t>References</w:t>
      </w:r>
    </w:p>
    <w:p w14:paraId="0E2B2568" w14:textId="6C6C7531" w:rsidR="00AC156D" w:rsidRPr="0096399A" w:rsidRDefault="00AC156D" w:rsidP="0096399A">
      <w:pPr>
        <w:pStyle w:val="NoSpacing"/>
        <w:ind w:left="720" w:hanging="720"/>
        <w:rPr>
          <w:sz w:val="24"/>
          <w:szCs w:val="24"/>
        </w:rPr>
      </w:pPr>
      <w:r w:rsidRPr="0096399A">
        <w:rPr>
          <w:sz w:val="24"/>
          <w:szCs w:val="24"/>
        </w:rPr>
        <w:t>1</w:t>
      </w:r>
      <w:r w:rsidR="0096399A">
        <w:rPr>
          <w:sz w:val="24"/>
          <w:szCs w:val="24"/>
        </w:rPr>
        <w:t xml:space="preserve"> </w:t>
      </w:r>
      <w:r w:rsidRPr="0096399A">
        <w:rPr>
          <w:sz w:val="24"/>
          <w:szCs w:val="24"/>
        </w:rPr>
        <w:t>Ugwoke, M, Agu, R, Verbeke, N, and Kinget, R. (2005) </w:t>
      </w:r>
      <w:r w:rsidRPr="0096399A">
        <w:rPr>
          <w:i/>
          <w:iCs/>
          <w:sz w:val="24"/>
          <w:szCs w:val="24"/>
        </w:rPr>
        <w:t>Adv. Drug. Deliv. Rev.</w:t>
      </w:r>
      <w:r w:rsidRPr="0096399A">
        <w:rPr>
          <w:sz w:val="24"/>
          <w:szCs w:val="24"/>
        </w:rPr>
        <w:t> </w:t>
      </w:r>
      <w:r w:rsidRPr="0096399A">
        <w:rPr>
          <w:b/>
          <w:bCs/>
          <w:sz w:val="24"/>
          <w:szCs w:val="24"/>
        </w:rPr>
        <w:t>57</w:t>
      </w:r>
      <w:r w:rsidRPr="0096399A">
        <w:rPr>
          <w:sz w:val="24"/>
          <w:szCs w:val="24"/>
        </w:rPr>
        <w:t>(11), 1640– 1665. </w:t>
      </w:r>
      <w:r w:rsidRPr="0096399A">
        <w:rPr>
          <w:rFonts w:cstheme="minorHAnsi"/>
          <w:sz w:val="24"/>
          <w:szCs w:val="24"/>
        </w:rPr>
        <w:t>https://doi.org/10.1016/j.addr.2005.07.009</w:t>
      </w:r>
      <w:r w:rsidRPr="0096399A">
        <w:rPr>
          <w:sz w:val="24"/>
          <w:szCs w:val="24"/>
        </w:rPr>
        <w:t>.</w:t>
      </w:r>
    </w:p>
    <w:p w14:paraId="2677D9CE" w14:textId="17D8D183" w:rsidR="00AC156D" w:rsidRPr="0096399A" w:rsidRDefault="00AC156D" w:rsidP="0096399A">
      <w:pPr>
        <w:pStyle w:val="NoSpacing"/>
        <w:ind w:left="720" w:hanging="720"/>
        <w:rPr>
          <w:sz w:val="24"/>
          <w:szCs w:val="24"/>
        </w:rPr>
      </w:pPr>
      <w:r w:rsidRPr="0096399A">
        <w:rPr>
          <w:sz w:val="24"/>
          <w:szCs w:val="24"/>
        </w:rPr>
        <w:t>2</w:t>
      </w:r>
      <w:r w:rsidR="0096399A">
        <w:rPr>
          <w:sz w:val="24"/>
          <w:szCs w:val="24"/>
        </w:rPr>
        <w:t xml:space="preserve"> </w:t>
      </w:r>
      <w:r w:rsidRPr="0096399A">
        <w:rPr>
          <w:sz w:val="24"/>
          <w:szCs w:val="24"/>
        </w:rPr>
        <w:t>Thwala, L. N., Préat, V., and Csaba, N. S. (2017) </w:t>
      </w:r>
      <w:r w:rsidRPr="0096399A">
        <w:rPr>
          <w:i/>
          <w:iCs/>
          <w:sz w:val="24"/>
          <w:szCs w:val="24"/>
        </w:rPr>
        <w:t>Exp. Opin. Drug Deliv.</w:t>
      </w:r>
      <w:r w:rsidRPr="0096399A">
        <w:rPr>
          <w:sz w:val="24"/>
          <w:szCs w:val="24"/>
        </w:rPr>
        <w:t> </w:t>
      </w:r>
      <w:r w:rsidRPr="0096399A">
        <w:rPr>
          <w:b/>
          <w:bCs/>
          <w:sz w:val="24"/>
          <w:szCs w:val="24"/>
        </w:rPr>
        <w:t>14</w:t>
      </w:r>
      <w:r w:rsidRPr="0096399A">
        <w:rPr>
          <w:sz w:val="24"/>
          <w:szCs w:val="24"/>
        </w:rPr>
        <w:t>(1), 23– 36. </w:t>
      </w:r>
      <w:r w:rsidRPr="0096399A">
        <w:rPr>
          <w:rFonts w:cstheme="minorHAnsi"/>
          <w:sz w:val="24"/>
          <w:szCs w:val="24"/>
        </w:rPr>
        <w:t>https://doi.org/10.1080/17425247.2016.1206074</w:t>
      </w:r>
      <w:r w:rsidRPr="0096399A">
        <w:rPr>
          <w:sz w:val="24"/>
          <w:szCs w:val="24"/>
        </w:rPr>
        <w:t>.</w:t>
      </w:r>
    </w:p>
    <w:p w14:paraId="2FD992D2" w14:textId="73EA5A0A" w:rsidR="00AC156D" w:rsidRPr="0096399A" w:rsidRDefault="00AC156D" w:rsidP="0096399A">
      <w:pPr>
        <w:pStyle w:val="NoSpacing"/>
        <w:ind w:left="720" w:hanging="720"/>
        <w:rPr>
          <w:sz w:val="24"/>
          <w:szCs w:val="24"/>
        </w:rPr>
      </w:pPr>
      <w:r w:rsidRPr="0096399A">
        <w:rPr>
          <w:sz w:val="24"/>
          <w:szCs w:val="24"/>
        </w:rPr>
        <w:t>3</w:t>
      </w:r>
      <w:r w:rsidR="0096399A">
        <w:rPr>
          <w:sz w:val="24"/>
          <w:szCs w:val="24"/>
        </w:rPr>
        <w:t xml:space="preserve"> </w:t>
      </w:r>
      <w:r w:rsidRPr="0096399A">
        <w:rPr>
          <w:sz w:val="24"/>
          <w:szCs w:val="24"/>
        </w:rPr>
        <w:t>Visser, R., Rico-Llanos, G. A., Pulkkinen, H., and Becerra, J. (2016) </w:t>
      </w:r>
      <w:r w:rsidRPr="0096399A">
        <w:rPr>
          <w:i/>
          <w:iCs/>
          <w:sz w:val="24"/>
          <w:szCs w:val="24"/>
        </w:rPr>
        <w:t>J. Control. Release</w:t>
      </w:r>
      <w:r w:rsidRPr="0096399A">
        <w:rPr>
          <w:sz w:val="24"/>
          <w:szCs w:val="24"/>
        </w:rPr>
        <w:t> </w:t>
      </w:r>
      <w:r w:rsidRPr="0096399A">
        <w:rPr>
          <w:b/>
          <w:bCs/>
          <w:sz w:val="24"/>
          <w:szCs w:val="24"/>
        </w:rPr>
        <w:t>244</w:t>
      </w:r>
      <w:r w:rsidRPr="0096399A">
        <w:rPr>
          <w:sz w:val="24"/>
          <w:szCs w:val="24"/>
        </w:rPr>
        <w:t>, 122– 135. </w:t>
      </w:r>
      <w:r w:rsidRPr="0096399A">
        <w:rPr>
          <w:rFonts w:cstheme="minorHAnsi"/>
          <w:sz w:val="24"/>
          <w:szCs w:val="24"/>
        </w:rPr>
        <w:t>https://doi.org/10.1016/j.jconrel.2016.10.024</w:t>
      </w:r>
      <w:r w:rsidRPr="0096399A">
        <w:rPr>
          <w:sz w:val="24"/>
          <w:szCs w:val="24"/>
        </w:rPr>
        <w:t>.</w:t>
      </w:r>
    </w:p>
    <w:p w14:paraId="39C37BE5" w14:textId="008D2E78" w:rsidR="00AC156D" w:rsidRPr="0096399A" w:rsidRDefault="00AC156D" w:rsidP="0096399A">
      <w:pPr>
        <w:pStyle w:val="NoSpacing"/>
        <w:ind w:left="720" w:hanging="720"/>
        <w:rPr>
          <w:sz w:val="24"/>
          <w:szCs w:val="24"/>
        </w:rPr>
      </w:pPr>
      <w:r w:rsidRPr="0096399A">
        <w:rPr>
          <w:sz w:val="24"/>
          <w:szCs w:val="24"/>
        </w:rPr>
        <w:t>4</w:t>
      </w:r>
      <w:r w:rsidR="0096399A">
        <w:rPr>
          <w:sz w:val="24"/>
          <w:szCs w:val="24"/>
        </w:rPr>
        <w:t xml:space="preserve"> </w:t>
      </w:r>
      <w:r w:rsidRPr="0096399A">
        <w:rPr>
          <w:sz w:val="24"/>
          <w:szCs w:val="24"/>
        </w:rPr>
        <w:t>Yuan, W., Geng, Y., Wu, F., Liu, Y., Guo, M., Zhao, H., and Jin, T. (2009) </w:t>
      </w:r>
      <w:r w:rsidRPr="0096399A">
        <w:rPr>
          <w:i/>
          <w:iCs/>
          <w:sz w:val="24"/>
          <w:szCs w:val="24"/>
        </w:rPr>
        <w:t>Int. J. Pharm.</w:t>
      </w:r>
      <w:r w:rsidRPr="0096399A">
        <w:rPr>
          <w:sz w:val="24"/>
          <w:szCs w:val="24"/>
        </w:rPr>
        <w:t> </w:t>
      </w:r>
      <w:r w:rsidRPr="0096399A">
        <w:rPr>
          <w:b/>
          <w:bCs/>
          <w:sz w:val="24"/>
          <w:szCs w:val="24"/>
        </w:rPr>
        <w:t>366</w:t>
      </w:r>
      <w:r w:rsidRPr="0096399A">
        <w:rPr>
          <w:sz w:val="24"/>
          <w:szCs w:val="24"/>
        </w:rPr>
        <w:t>(1-2), 154– 159. </w:t>
      </w:r>
      <w:r w:rsidRPr="0096399A">
        <w:rPr>
          <w:rFonts w:cstheme="minorHAnsi"/>
          <w:sz w:val="24"/>
          <w:szCs w:val="24"/>
        </w:rPr>
        <w:t>https://doi.org/10.1016/j.ijpharm.2008.09.007</w:t>
      </w:r>
      <w:r w:rsidRPr="0096399A">
        <w:rPr>
          <w:sz w:val="24"/>
          <w:szCs w:val="24"/>
        </w:rPr>
        <w:t>.</w:t>
      </w:r>
    </w:p>
    <w:p w14:paraId="0EF6EB2E" w14:textId="433C5662" w:rsidR="00AC156D" w:rsidRPr="0096399A" w:rsidRDefault="00AC156D" w:rsidP="0096399A">
      <w:pPr>
        <w:pStyle w:val="NoSpacing"/>
        <w:ind w:left="720" w:hanging="720"/>
        <w:rPr>
          <w:sz w:val="24"/>
          <w:szCs w:val="24"/>
        </w:rPr>
      </w:pPr>
      <w:r w:rsidRPr="0096399A">
        <w:rPr>
          <w:sz w:val="24"/>
          <w:szCs w:val="24"/>
        </w:rPr>
        <w:t>5</w:t>
      </w:r>
      <w:r w:rsidR="0096399A">
        <w:rPr>
          <w:sz w:val="24"/>
          <w:szCs w:val="24"/>
        </w:rPr>
        <w:t xml:space="preserve"> </w:t>
      </w:r>
      <w:r w:rsidRPr="0096399A">
        <w:rPr>
          <w:sz w:val="24"/>
          <w:szCs w:val="24"/>
        </w:rPr>
        <w:t>Chowdhury, M. A. (2016) </w:t>
      </w:r>
      <w:r w:rsidRPr="0096399A">
        <w:rPr>
          <w:i/>
          <w:iCs/>
          <w:sz w:val="24"/>
          <w:szCs w:val="24"/>
        </w:rPr>
        <w:t>Curr. Drug Deliv.</w:t>
      </w:r>
      <w:r w:rsidRPr="0096399A">
        <w:rPr>
          <w:sz w:val="24"/>
          <w:szCs w:val="24"/>
        </w:rPr>
        <w:t> </w:t>
      </w:r>
      <w:r w:rsidRPr="0096399A">
        <w:rPr>
          <w:b/>
          <w:bCs/>
          <w:sz w:val="24"/>
          <w:szCs w:val="24"/>
        </w:rPr>
        <w:t>13</w:t>
      </w:r>
      <w:r w:rsidRPr="0096399A">
        <w:rPr>
          <w:sz w:val="24"/>
          <w:szCs w:val="24"/>
        </w:rPr>
        <w:t>(6), 839– 856. </w:t>
      </w:r>
      <w:r w:rsidRPr="0096399A">
        <w:rPr>
          <w:rFonts w:cstheme="minorHAnsi"/>
          <w:sz w:val="24"/>
          <w:szCs w:val="24"/>
        </w:rPr>
        <w:t>https://doi.org/10.2174/1567201813666151202195104</w:t>
      </w:r>
      <w:r w:rsidRPr="0096399A">
        <w:rPr>
          <w:sz w:val="24"/>
          <w:szCs w:val="24"/>
        </w:rPr>
        <w:t>.</w:t>
      </w:r>
    </w:p>
    <w:p w14:paraId="02CD3A82" w14:textId="7CCACE8E" w:rsidR="00AC156D" w:rsidRPr="0096399A" w:rsidRDefault="00AC156D" w:rsidP="0096399A">
      <w:pPr>
        <w:pStyle w:val="NoSpacing"/>
        <w:ind w:left="720" w:hanging="720"/>
        <w:rPr>
          <w:sz w:val="24"/>
          <w:szCs w:val="24"/>
        </w:rPr>
      </w:pPr>
      <w:r w:rsidRPr="0096399A">
        <w:rPr>
          <w:sz w:val="24"/>
          <w:szCs w:val="24"/>
        </w:rPr>
        <w:t>6</w:t>
      </w:r>
      <w:r w:rsidR="0096399A">
        <w:rPr>
          <w:sz w:val="24"/>
          <w:szCs w:val="24"/>
        </w:rPr>
        <w:t xml:space="preserve"> </w:t>
      </w:r>
      <w:r w:rsidRPr="0096399A">
        <w:rPr>
          <w:sz w:val="24"/>
          <w:szCs w:val="24"/>
        </w:rPr>
        <w:t>Place, E. S., Evans, N. D., and Stevens, M. M. (2009) </w:t>
      </w:r>
      <w:r w:rsidRPr="0096399A">
        <w:rPr>
          <w:i/>
          <w:iCs/>
          <w:sz w:val="24"/>
          <w:szCs w:val="24"/>
        </w:rPr>
        <w:t>Nat. Mater.</w:t>
      </w:r>
      <w:r w:rsidRPr="0096399A">
        <w:rPr>
          <w:sz w:val="24"/>
          <w:szCs w:val="24"/>
        </w:rPr>
        <w:t> </w:t>
      </w:r>
      <w:r w:rsidRPr="0096399A">
        <w:rPr>
          <w:b/>
          <w:bCs/>
          <w:sz w:val="24"/>
          <w:szCs w:val="24"/>
        </w:rPr>
        <w:t>8</w:t>
      </w:r>
      <w:r w:rsidRPr="0096399A">
        <w:rPr>
          <w:sz w:val="24"/>
          <w:szCs w:val="24"/>
        </w:rPr>
        <w:t>(6), 457– 470. </w:t>
      </w:r>
      <w:r w:rsidRPr="0096399A">
        <w:rPr>
          <w:rFonts w:cstheme="minorHAnsi"/>
          <w:sz w:val="24"/>
          <w:szCs w:val="24"/>
        </w:rPr>
        <w:t>https://doi.org/10.1038/nmat2441</w:t>
      </w:r>
      <w:r w:rsidRPr="0096399A">
        <w:rPr>
          <w:sz w:val="24"/>
          <w:szCs w:val="24"/>
        </w:rPr>
        <w:t>.</w:t>
      </w:r>
    </w:p>
    <w:p w14:paraId="5BAB9369" w14:textId="0B632AE7" w:rsidR="00AC156D" w:rsidRPr="0096399A" w:rsidRDefault="00AC156D" w:rsidP="0096399A">
      <w:pPr>
        <w:pStyle w:val="NoSpacing"/>
        <w:ind w:left="720" w:hanging="720"/>
        <w:rPr>
          <w:sz w:val="24"/>
          <w:szCs w:val="24"/>
        </w:rPr>
      </w:pPr>
      <w:r w:rsidRPr="0096399A">
        <w:rPr>
          <w:sz w:val="24"/>
          <w:szCs w:val="24"/>
        </w:rPr>
        <w:t>7</w:t>
      </w:r>
      <w:r w:rsidR="0096399A">
        <w:rPr>
          <w:sz w:val="24"/>
          <w:szCs w:val="24"/>
        </w:rPr>
        <w:t xml:space="preserve"> </w:t>
      </w:r>
      <w:r w:rsidRPr="0096399A">
        <w:rPr>
          <w:sz w:val="24"/>
          <w:szCs w:val="24"/>
        </w:rPr>
        <w:t>Folkman, J. (2007) </w:t>
      </w:r>
      <w:r w:rsidRPr="0096399A">
        <w:rPr>
          <w:i/>
          <w:iCs/>
          <w:sz w:val="24"/>
          <w:szCs w:val="24"/>
        </w:rPr>
        <w:t>Nat. Rev. Drug Discov.</w:t>
      </w:r>
      <w:r w:rsidRPr="0096399A">
        <w:rPr>
          <w:sz w:val="24"/>
          <w:szCs w:val="24"/>
        </w:rPr>
        <w:t> </w:t>
      </w:r>
      <w:r w:rsidRPr="0096399A">
        <w:rPr>
          <w:b/>
          <w:bCs/>
          <w:sz w:val="24"/>
          <w:szCs w:val="24"/>
        </w:rPr>
        <w:t>6</w:t>
      </w:r>
      <w:r w:rsidRPr="0096399A">
        <w:rPr>
          <w:sz w:val="24"/>
          <w:szCs w:val="24"/>
        </w:rPr>
        <w:t>(4), 273– 286.</w:t>
      </w:r>
    </w:p>
    <w:p w14:paraId="38EAD8C3" w14:textId="7671A992" w:rsidR="00AC156D" w:rsidRPr="0096399A" w:rsidRDefault="00AC156D" w:rsidP="0096399A">
      <w:pPr>
        <w:pStyle w:val="NoSpacing"/>
        <w:ind w:left="720" w:hanging="720"/>
        <w:rPr>
          <w:sz w:val="24"/>
          <w:szCs w:val="24"/>
        </w:rPr>
      </w:pPr>
      <w:r w:rsidRPr="0096399A">
        <w:rPr>
          <w:sz w:val="24"/>
          <w:szCs w:val="24"/>
        </w:rPr>
        <w:t>8</w:t>
      </w:r>
      <w:r w:rsidR="0096399A">
        <w:rPr>
          <w:sz w:val="24"/>
          <w:szCs w:val="24"/>
        </w:rPr>
        <w:t xml:space="preserve"> </w:t>
      </w:r>
      <w:r w:rsidRPr="0096399A">
        <w:rPr>
          <w:sz w:val="24"/>
          <w:szCs w:val="24"/>
        </w:rPr>
        <w:t>Carmeliet, P. (2005) </w:t>
      </w:r>
      <w:r w:rsidRPr="0096399A">
        <w:rPr>
          <w:i/>
          <w:iCs/>
          <w:sz w:val="24"/>
          <w:szCs w:val="24"/>
        </w:rPr>
        <w:t>Nature</w:t>
      </w:r>
      <w:r w:rsidRPr="0096399A">
        <w:rPr>
          <w:sz w:val="24"/>
          <w:szCs w:val="24"/>
        </w:rPr>
        <w:t> </w:t>
      </w:r>
      <w:r w:rsidRPr="0096399A">
        <w:rPr>
          <w:b/>
          <w:bCs/>
          <w:sz w:val="24"/>
          <w:szCs w:val="24"/>
        </w:rPr>
        <w:t>438</w:t>
      </w:r>
      <w:r w:rsidRPr="0096399A">
        <w:rPr>
          <w:sz w:val="24"/>
          <w:szCs w:val="24"/>
        </w:rPr>
        <w:t>, 932– 936.</w:t>
      </w:r>
    </w:p>
    <w:p w14:paraId="42F7A999" w14:textId="01833516" w:rsidR="00AC156D" w:rsidRPr="0096399A" w:rsidRDefault="00AC156D" w:rsidP="0096399A">
      <w:pPr>
        <w:pStyle w:val="NoSpacing"/>
        <w:ind w:left="720" w:hanging="720"/>
        <w:rPr>
          <w:sz w:val="24"/>
          <w:szCs w:val="24"/>
        </w:rPr>
      </w:pPr>
      <w:r w:rsidRPr="0096399A">
        <w:rPr>
          <w:sz w:val="24"/>
          <w:szCs w:val="24"/>
        </w:rPr>
        <w:t>9</w:t>
      </w:r>
      <w:r w:rsidR="0096399A">
        <w:rPr>
          <w:sz w:val="24"/>
          <w:szCs w:val="24"/>
        </w:rPr>
        <w:t xml:space="preserve"> </w:t>
      </w:r>
      <w:r w:rsidRPr="0096399A">
        <w:rPr>
          <w:sz w:val="24"/>
          <w:szCs w:val="24"/>
        </w:rPr>
        <w:t>Van Bruggen, N., Thibodeaux, H., Palmer, J. T., Lee, W. P., Fu, L., Cairns, B., Tumas, D., Gerlai, R., Williams, S. P., van Lookeren Campagne, M., and Ferrara, N. (1999) </w:t>
      </w:r>
      <w:r w:rsidRPr="0096399A">
        <w:rPr>
          <w:i/>
          <w:iCs/>
          <w:sz w:val="24"/>
          <w:szCs w:val="24"/>
        </w:rPr>
        <w:t>J. Clin. Invest.</w:t>
      </w:r>
      <w:r w:rsidRPr="0096399A">
        <w:rPr>
          <w:sz w:val="24"/>
          <w:szCs w:val="24"/>
        </w:rPr>
        <w:t> </w:t>
      </w:r>
      <w:r w:rsidRPr="0096399A">
        <w:rPr>
          <w:b/>
          <w:bCs/>
          <w:sz w:val="24"/>
          <w:szCs w:val="24"/>
        </w:rPr>
        <w:t>104</w:t>
      </w:r>
      <w:r w:rsidRPr="0096399A">
        <w:rPr>
          <w:sz w:val="24"/>
          <w:szCs w:val="24"/>
        </w:rPr>
        <w:t>(11), 1613– 1620.</w:t>
      </w:r>
    </w:p>
    <w:p w14:paraId="00A8367D" w14:textId="219847F7" w:rsidR="00AC156D" w:rsidRPr="0096399A" w:rsidRDefault="00AC156D" w:rsidP="0096399A">
      <w:pPr>
        <w:pStyle w:val="NoSpacing"/>
        <w:ind w:left="720" w:hanging="720"/>
        <w:rPr>
          <w:sz w:val="24"/>
          <w:szCs w:val="24"/>
        </w:rPr>
      </w:pPr>
      <w:r w:rsidRPr="0096399A">
        <w:rPr>
          <w:sz w:val="24"/>
          <w:szCs w:val="24"/>
        </w:rPr>
        <w:t>10</w:t>
      </w:r>
      <w:r w:rsidR="0096399A">
        <w:rPr>
          <w:sz w:val="24"/>
          <w:szCs w:val="24"/>
        </w:rPr>
        <w:t xml:space="preserve"> </w:t>
      </w:r>
      <w:r w:rsidRPr="0096399A">
        <w:rPr>
          <w:sz w:val="24"/>
          <w:szCs w:val="24"/>
        </w:rPr>
        <w:t>Crafts, T. D., Jensen, A. R., Blocher-Smith, E. C., and Markel, T. A. (2015) </w:t>
      </w:r>
      <w:r w:rsidRPr="0096399A">
        <w:rPr>
          <w:i/>
          <w:iCs/>
          <w:sz w:val="24"/>
          <w:szCs w:val="24"/>
        </w:rPr>
        <w:t>Cytokine</w:t>
      </w:r>
      <w:r w:rsidRPr="0096399A">
        <w:rPr>
          <w:sz w:val="24"/>
          <w:szCs w:val="24"/>
        </w:rPr>
        <w:t> </w:t>
      </w:r>
      <w:r w:rsidRPr="0096399A">
        <w:rPr>
          <w:b/>
          <w:bCs/>
          <w:sz w:val="24"/>
          <w:szCs w:val="24"/>
        </w:rPr>
        <w:t>71</w:t>
      </w:r>
      <w:r w:rsidRPr="0096399A">
        <w:rPr>
          <w:sz w:val="24"/>
          <w:szCs w:val="24"/>
        </w:rPr>
        <w:t>, 385– 393.</w:t>
      </w:r>
    </w:p>
    <w:p w14:paraId="705680A2" w14:textId="6A0D8055" w:rsidR="00AC156D" w:rsidRPr="0096399A" w:rsidRDefault="00AC156D" w:rsidP="0096399A">
      <w:pPr>
        <w:pStyle w:val="NoSpacing"/>
        <w:ind w:left="720" w:hanging="720"/>
        <w:rPr>
          <w:sz w:val="24"/>
          <w:szCs w:val="24"/>
        </w:rPr>
      </w:pPr>
      <w:r w:rsidRPr="0096399A">
        <w:rPr>
          <w:sz w:val="24"/>
          <w:szCs w:val="24"/>
        </w:rPr>
        <w:t>11</w:t>
      </w:r>
      <w:r w:rsidR="0096399A">
        <w:rPr>
          <w:sz w:val="24"/>
          <w:szCs w:val="24"/>
        </w:rPr>
        <w:t xml:space="preserve"> </w:t>
      </w:r>
      <w:r w:rsidRPr="0096399A">
        <w:rPr>
          <w:sz w:val="24"/>
          <w:szCs w:val="24"/>
        </w:rPr>
        <w:t>Dashnyam, K., Jin, G. Z., Kim, J. H., Perez, R., Jang, J. H., and Kim, H. W. (2017) </w:t>
      </w:r>
      <w:r w:rsidRPr="0096399A">
        <w:rPr>
          <w:i/>
          <w:iCs/>
          <w:sz w:val="24"/>
          <w:szCs w:val="24"/>
        </w:rPr>
        <w:t>Biomaterials</w:t>
      </w:r>
      <w:r w:rsidRPr="0096399A">
        <w:rPr>
          <w:sz w:val="24"/>
          <w:szCs w:val="24"/>
        </w:rPr>
        <w:t> </w:t>
      </w:r>
      <w:r w:rsidRPr="0096399A">
        <w:rPr>
          <w:b/>
          <w:bCs/>
          <w:sz w:val="24"/>
          <w:szCs w:val="24"/>
        </w:rPr>
        <w:t>116</w:t>
      </w:r>
      <w:r w:rsidRPr="0096399A">
        <w:rPr>
          <w:sz w:val="24"/>
          <w:szCs w:val="24"/>
        </w:rPr>
        <w:t>, 145– 157.</w:t>
      </w:r>
    </w:p>
    <w:p w14:paraId="5043AC86" w14:textId="23012BAA" w:rsidR="00AC156D" w:rsidRPr="0096399A" w:rsidRDefault="00AC156D" w:rsidP="0096399A">
      <w:pPr>
        <w:pStyle w:val="NoSpacing"/>
        <w:ind w:left="720" w:hanging="720"/>
        <w:rPr>
          <w:sz w:val="24"/>
          <w:szCs w:val="24"/>
        </w:rPr>
      </w:pPr>
      <w:r w:rsidRPr="0096399A">
        <w:rPr>
          <w:sz w:val="24"/>
          <w:szCs w:val="24"/>
        </w:rPr>
        <w:t>12</w:t>
      </w:r>
      <w:r w:rsidR="0096399A">
        <w:rPr>
          <w:sz w:val="24"/>
          <w:szCs w:val="24"/>
        </w:rPr>
        <w:t xml:space="preserve"> </w:t>
      </w:r>
      <w:r w:rsidRPr="0096399A">
        <w:rPr>
          <w:sz w:val="24"/>
          <w:szCs w:val="24"/>
        </w:rPr>
        <w:t>Maharaj, A. S. R., and D'Amore, P. A. (2007) </w:t>
      </w:r>
      <w:r w:rsidRPr="0096399A">
        <w:rPr>
          <w:i/>
          <w:iCs/>
          <w:sz w:val="24"/>
          <w:szCs w:val="24"/>
        </w:rPr>
        <w:t>Microvasc. Res.</w:t>
      </w:r>
      <w:r w:rsidRPr="0096399A">
        <w:rPr>
          <w:sz w:val="24"/>
          <w:szCs w:val="24"/>
        </w:rPr>
        <w:t> </w:t>
      </w:r>
      <w:r w:rsidRPr="0096399A">
        <w:rPr>
          <w:b/>
          <w:bCs/>
          <w:sz w:val="24"/>
          <w:szCs w:val="24"/>
        </w:rPr>
        <w:t>74</w:t>
      </w:r>
      <w:r w:rsidRPr="0096399A">
        <w:rPr>
          <w:sz w:val="24"/>
          <w:szCs w:val="24"/>
        </w:rPr>
        <w:t>, 100– 113.</w:t>
      </w:r>
    </w:p>
    <w:p w14:paraId="3861989F" w14:textId="7EF4CE67" w:rsidR="00AC156D" w:rsidRPr="0096399A" w:rsidRDefault="00AC156D" w:rsidP="0096399A">
      <w:pPr>
        <w:pStyle w:val="NoSpacing"/>
        <w:ind w:left="720" w:hanging="720"/>
        <w:rPr>
          <w:sz w:val="24"/>
          <w:szCs w:val="24"/>
        </w:rPr>
      </w:pPr>
      <w:r w:rsidRPr="0096399A">
        <w:rPr>
          <w:sz w:val="24"/>
          <w:szCs w:val="24"/>
        </w:rPr>
        <w:t>13</w:t>
      </w:r>
      <w:r w:rsidR="0096399A">
        <w:rPr>
          <w:sz w:val="24"/>
          <w:szCs w:val="24"/>
        </w:rPr>
        <w:t xml:space="preserve"> </w:t>
      </w:r>
      <w:r w:rsidRPr="0096399A">
        <w:rPr>
          <w:sz w:val="24"/>
          <w:szCs w:val="24"/>
        </w:rPr>
        <w:t>List, A. F. (2001) </w:t>
      </w:r>
      <w:r w:rsidRPr="0096399A">
        <w:rPr>
          <w:i/>
          <w:iCs/>
          <w:sz w:val="24"/>
          <w:szCs w:val="24"/>
        </w:rPr>
        <w:t>Oncologist</w:t>
      </w:r>
      <w:r w:rsidRPr="0096399A">
        <w:rPr>
          <w:sz w:val="24"/>
          <w:szCs w:val="24"/>
        </w:rPr>
        <w:t> </w:t>
      </w:r>
      <w:r w:rsidRPr="0096399A">
        <w:rPr>
          <w:b/>
          <w:bCs/>
          <w:sz w:val="24"/>
          <w:szCs w:val="24"/>
        </w:rPr>
        <w:t>6</w:t>
      </w:r>
      <w:r w:rsidRPr="0096399A">
        <w:rPr>
          <w:sz w:val="24"/>
          <w:szCs w:val="24"/>
        </w:rPr>
        <w:t>(5), 24– 31.</w:t>
      </w:r>
    </w:p>
    <w:p w14:paraId="6C63AC16" w14:textId="109F47B9" w:rsidR="00AC156D" w:rsidRPr="0096399A" w:rsidRDefault="00AC156D" w:rsidP="0096399A">
      <w:pPr>
        <w:pStyle w:val="NoSpacing"/>
        <w:ind w:left="720" w:hanging="720"/>
        <w:rPr>
          <w:sz w:val="24"/>
          <w:szCs w:val="24"/>
        </w:rPr>
      </w:pPr>
      <w:r w:rsidRPr="0096399A">
        <w:rPr>
          <w:sz w:val="24"/>
          <w:szCs w:val="24"/>
        </w:rPr>
        <w:t>14</w:t>
      </w:r>
      <w:r w:rsidR="0096399A">
        <w:rPr>
          <w:sz w:val="24"/>
          <w:szCs w:val="24"/>
        </w:rPr>
        <w:t xml:space="preserve"> </w:t>
      </w:r>
      <w:r w:rsidRPr="0096399A">
        <w:rPr>
          <w:sz w:val="24"/>
          <w:szCs w:val="24"/>
        </w:rPr>
        <w:t>Zietz, C., Rössle, M., Haas, C., Sendelhofert, A., Hirschmann, A., Stürzl, M., and Löhrs, U. (1998) </w:t>
      </w:r>
      <w:r w:rsidRPr="0096399A">
        <w:rPr>
          <w:i/>
          <w:iCs/>
          <w:sz w:val="24"/>
          <w:szCs w:val="24"/>
        </w:rPr>
        <w:t>Am. J. Pathol.</w:t>
      </w:r>
      <w:r w:rsidRPr="0096399A">
        <w:rPr>
          <w:sz w:val="24"/>
          <w:szCs w:val="24"/>
        </w:rPr>
        <w:t> </w:t>
      </w:r>
      <w:r w:rsidRPr="0096399A">
        <w:rPr>
          <w:b/>
          <w:bCs/>
          <w:sz w:val="24"/>
          <w:szCs w:val="24"/>
        </w:rPr>
        <w:t>153</w:t>
      </w:r>
      <w:r w:rsidRPr="0096399A">
        <w:rPr>
          <w:sz w:val="24"/>
          <w:szCs w:val="24"/>
        </w:rPr>
        <w:t>(5), 1425– 1433.</w:t>
      </w:r>
    </w:p>
    <w:p w14:paraId="1F54C246" w14:textId="498F32E3" w:rsidR="00AC156D" w:rsidRPr="0096399A" w:rsidRDefault="00AC156D" w:rsidP="0096399A">
      <w:pPr>
        <w:pStyle w:val="NoSpacing"/>
        <w:ind w:left="720" w:hanging="720"/>
        <w:rPr>
          <w:sz w:val="24"/>
          <w:szCs w:val="24"/>
        </w:rPr>
      </w:pPr>
      <w:r w:rsidRPr="0096399A">
        <w:rPr>
          <w:sz w:val="24"/>
          <w:szCs w:val="24"/>
        </w:rPr>
        <w:t>15</w:t>
      </w:r>
      <w:r w:rsidR="0096399A">
        <w:rPr>
          <w:sz w:val="24"/>
          <w:szCs w:val="24"/>
        </w:rPr>
        <w:t xml:space="preserve"> </w:t>
      </w:r>
      <w:r w:rsidRPr="0096399A">
        <w:rPr>
          <w:sz w:val="24"/>
          <w:szCs w:val="24"/>
        </w:rPr>
        <w:t>Adamis, A. P., Aiello, L. P., and D'Amato, R. A. (1999) </w:t>
      </w:r>
      <w:r w:rsidRPr="0096399A">
        <w:rPr>
          <w:i/>
          <w:iCs/>
          <w:sz w:val="24"/>
          <w:szCs w:val="24"/>
        </w:rPr>
        <w:t>Angiogenesis</w:t>
      </w:r>
      <w:r w:rsidRPr="0096399A">
        <w:rPr>
          <w:sz w:val="24"/>
          <w:szCs w:val="24"/>
        </w:rPr>
        <w:t> </w:t>
      </w:r>
      <w:r w:rsidRPr="0096399A">
        <w:rPr>
          <w:b/>
          <w:bCs/>
          <w:sz w:val="24"/>
          <w:szCs w:val="24"/>
        </w:rPr>
        <w:t>3</w:t>
      </w:r>
      <w:r w:rsidRPr="0096399A">
        <w:rPr>
          <w:sz w:val="24"/>
          <w:szCs w:val="24"/>
        </w:rPr>
        <w:t>, 9– 14.</w:t>
      </w:r>
    </w:p>
    <w:p w14:paraId="6B0CC29E" w14:textId="15A00E87" w:rsidR="00AC156D" w:rsidRPr="0096399A" w:rsidRDefault="00AC156D" w:rsidP="0096399A">
      <w:pPr>
        <w:pStyle w:val="NoSpacing"/>
        <w:ind w:left="720" w:hanging="720"/>
        <w:rPr>
          <w:sz w:val="24"/>
          <w:szCs w:val="24"/>
        </w:rPr>
      </w:pPr>
      <w:r w:rsidRPr="0096399A">
        <w:rPr>
          <w:sz w:val="24"/>
          <w:szCs w:val="24"/>
        </w:rPr>
        <w:t>16</w:t>
      </w:r>
      <w:r w:rsidR="0096399A">
        <w:rPr>
          <w:sz w:val="24"/>
          <w:szCs w:val="24"/>
        </w:rPr>
        <w:t xml:space="preserve"> </w:t>
      </w:r>
      <w:r w:rsidRPr="0096399A">
        <w:rPr>
          <w:sz w:val="24"/>
          <w:szCs w:val="24"/>
        </w:rPr>
        <w:t>Ozawa, C. R., Banfi, A., Glazer, N. L., Thurston, G., Springer, M. L., Kraft, P. E., McDonald, D. M., and Blau, H. M. (2004) </w:t>
      </w:r>
      <w:r w:rsidRPr="0096399A">
        <w:rPr>
          <w:i/>
          <w:iCs/>
          <w:sz w:val="24"/>
          <w:szCs w:val="24"/>
        </w:rPr>
        <w:t>J. Clin. Invest.</w:t>
      </w:r>
      <w:r w:rsidRPr="0096399A">
        <w:rPr>
          <w:sz w:val="24"/>
          <w:szCs w:val="24"/>
        </w:rPr>
        <w:t> </w:t>
      </w:r>
      <w:r w:rsidRPr="0096399A">
        <w:rPr>
          <w:b/>
          <w:bCs/>
          <w:sz w:val="24"/>
          <w:szCs w:val="24"/>
        </w:rPr>
        <w:t>113</w:t>
      </w:r>
      <w:r w:rsidRPr="0096399A">
        <w:rPr>
          <w:sz w:val="24"/>
          <w:szCs w:val="24"/>
        </w:rPr>
        <w:t>(4), 516– 527.</w:t>
      </w:r>
    </w:p>
    <w:p w14:paraId="3371963A" w14:textId="3859FF46" w:rsidR="00AC156D" w:rsidRPr="0096399A" w:rsidRDefault="00AC156D" w:rsidP="0096399A">
      <w:pPr>
        <w:pStyle w:val="NoSpacing"/>
        <w:ind w:left="720" w:hanging="720"/>
        <w:rPr>
          <w:sz w:val="24"/>
          <w:szCs w:val="24"/>
        </w:rPr>
      </w:pPr>
      <w:r w:rsidRPr="0096399A">
        <w:rPr>
          <w:sz w:val="24"/>
          <w:szCs w:val="24"/>
        </w:rPr>
        <w:t>17</w:t>
      </w:r>
      <w:r w:rsidR="0096399A">
        <w:rPr>
          <w:sz w:val="24"/>
          <w:szCs w:val="24"/>
        </w:rPr>
        <w:t xml:space="preserve"> </w:t>
      </w:r>
      <w:r w:rsidRPr="0096399A">
        <w:rPr>
          <w:sz w:val="24"/>
          <w:szCs w:val="24"/>
        </w:rPr>
        <w:t>Simons, M., and Ware, J. A. (2003) </w:t>
      </w:r>
      <w:r w:rsidRPr="0096399A">
        <w:rPr>
          <w:i/>
          <w:iCs/>
          <w:sz w:val="24"/>
          <w:szCs w:val="24"/>
        </w:rPr>
        <w:t>Nat. Rev. Drug Discov.</w:t>
      </w:r>
      <w:r w:rsidRPr="0096399A">
        <w:rPr>
          <w:sz w:val="24"/>
          <w:szCs w:val="24"/>
        </w:rPr>
        <w:t> </w:t>
      </w:r>
      <w:r w:rsidRPr="0096399A">
        <w:rPr>
          <w:b/>
          <w:bCs/>
          <w:sz w:val="24"/>
          <w:szCs w:val="24"/>
        </w:rPr>
        <w:t>2</w:t>
      </w:r>
      <w:r w:rsidRPr="0096399A">
        <w:rPr>
          <w:sz w:val="24"/>
          <w:szCs w:val="24"/>
        </w:rPr>
        <w:t>, 863– 871.</w:t>
      </w:r>
    </w:p>
    <w:p w14:paraId="40B82331" w14:textId="6FA2FD0A" w:rsidR="00AC156D" w:rsidRPr="0096399A" w:rsidRDefault="00AC156D" w:rsidP="0096399A">
      <w:pPr>
        <w:pStyle w:val="NoSpacing"/>
        <w:ind w:left="720" w:hanging="720"/>
        <w:rPr>
          <w:sz w:val="24"/>
          <w:szCs w:val="24"/>
        </w:rPr>
      </w:pPr>
      <w:r w:rsidRPr="0096399A">
        <w:rPr>
          <w:sz w:val="24"/>
          <w:szCs w:val="24"/>
        </w:rPr>
        <w:t>18</w:t>
      </w:r>
      <w:r w:rsidR="0096399A">
        <w:rPr>
          <w:sz w:val="24"/>
          <w:szCs w:val="24"/>
        </w:rPr>
        <w:t xml:space="preserve"> </w:t>
      </w:r>
      <w:r w:rsidRPr="0096399A">
        <w:rPr>
          <w:sz w:val="24"/>
          <w:szCs w:val="24"/>
        </w:rPr>
        <w:t>da Silva Bitencourt, C., da Silva, L. B., Pereira, P. A. T., Gelfuso, G. M., and Faccioli, L. H. (2015) </w:t>
      </w:r>
      <w:r w:rsidRPr="0096399A">
        <w:rPr>
          <w:i/>
          <w:iCs/>
          <w:sz w:val="24"/>
          <w:szCs w:val="24"/>
        </w:rPr>
        <w:t>Colloids Surf. B Biointerfaces</w:t>
      </w:r>
      <w:r w:rsidRPr="0096399A">
        <w:rPr>
          <w:sz w:val="24"/>
          <w:szCs w:val="24"/>
        </w:rPr>
        <w:t> </w:t>
      </w:r>
      <w:r w:rsidRPr="0096399A">
        <w:rPr>
          <w:b/>
          <w:bCs/>
          <w:sz w:val="24"/>
          <w:szCs w:val="24"/>
        </w:rPr>
        <w:t>136</w:t>
      </w:r>
      <w:r w:rsidRPr="0096399A">
        <w:rPr>
          <w:sz w:val="24"/>
          <w:szCs w:val="24"/>
        </w:rPr>
        <w:t>, 678– 686.</w:t>
      </w:r>
    </w:p>
    <w:p w14:paraId="24AA7965" w14:textId="5AD255F4" w:rsidR="00AC156D" w:rsidRPr="0096399A" w:rsidRDefault="00AC156D" w:rsidP="0096399A">
      <w:pPr>
        <w:pStyle w:val="NoSpacing"/>
        <w:ind w:left="720" w:hanging="720"/>
        <w:rPr>
          <w:sz w:val="24"/>
          <w:szCs w:val="24"/>
        </w:rPr>
      </w:pPr>
      <w:r w:rsidRPr="0096399A">
        <w:rPr>
          <w:sz w:val="24"/>
          <w:szCs w:val="24"/>
        </w:rPr>
        <w:t>19</w:t>
      </w:r>
      <w:r w:rsidR="0096399A">
        <w:rPr>
          <w:sz w:val="24"/>
          <w:szCs w:val="24"/>
        </w:rPr>
        <w:t xml:space="preserve"> </w:t>
      </w:r>
      <w:r w:rsidRPr="0096399A">
        <w:rPr>
          <w:sz w:val="24"/>
          <w:szCs w:val="24"/>
        </w:rPr>
        <w:t>Chen, M. M., Cao, H., Liu, Y. Y., Liu, Y., Song, F. F., Chen, J. D., Zhang, Q. Q., and Yang, W. Z. (2017) </w:t>
      </w:r>
      <w:r w:rsidRPr="0096399A">
        <w:rPr>
          <w:i/>
          <w:iCs/>
          <w:sz w:val="24"/>
          <w:szCs w:val="24"/>
        </w:rPr>
        <w:t>Colloids Surf. B Biointerfaces</w:t>
      </w:r>
      <w:r w:rsidRPr="0096399A">
        <w:rPr>
          <w:sz w:val="24"/>
          <w:szCs w:val="24"/>
        </w:rPr>
        <w:t> </w:t>
      </w:r>
      <w:r w:rsidRPr="0096399A">
        <w:rPr>
          <w:b/>
          <w:bCs/>
          <w:sz w:val="24"/>
          <w:szCs w:val="24"/>
        </w:rPr>
        <w:t>151</w:t>
      </w:r>
      <w:r w:rsidRPr="0096399A">
        <w:rPr>
          <w:sz w:val="24"/>
          <w:szCs w:val="24"/>
        </w:rPr>
        <w:t>, 189– 195.</w:t>
      </w:r>
    </w:p>
    <w:p w14:paraId="577C2BDE" w14:textId="52384C14" w:rsidR="00AC156D" w:rsidRPr="0096399A" w:rsidRDefault="00AC156D" w:rsidP="0096399A">
      <w:pPr>
        <w:pStyle w:val="NoSpacing"/>
        <w:ind w:left="720" w:hanging="720"/>
        <w:rPr>
          <w:sz w:val="24"/>
          <w:szCs w:val="24"/>
        </w:rPr>
      </w:pPr>
      <w:r w:rsidRPr="0096399A">
        <w:rPr>
          <w:sz w:val="24"/>
          <w:szCs w:val="24"/>
        </w:rPr>
        <w:t>20</w:t>
      </w:r>
      <w:r w:rsidR="0096399A">
        <w:rPr>
          <w:sz w:val="24"/>
          <w:szCs w:val="24"/>
        </w:rPr>
        <w:t xml:space="preserve"> </w:t>
      </w:r>
      <w:r w:rsidRPr="0096399A">
        <w:rPr>
          <w:sz w:val="24"/>
          <w:szCs w:val="24"/>
        </w:rPr>
        <w:t>Fornaguera, C., Feiner-Gracia, N., Calderó, G., García-Celma, M. J., and Solans, C. (2016) </w:t>
      </w:r>
      <w:r w:rsidRPr="0096399A">
        <w:rPr>
          <w:i/>
          <w:iCs/>
          <w:sz w:val="24"/>
          <w:szCs w:val="24"/>
        </w:rPr>
        <w:t>Colloids Surf. B Biointerfaces</w:t>
      </w:r>
      <w:r w:rsidRPr="0096399A">
        <w:rPr>
          <w:sz w:val="24"/>
          <w:szCs w:val="24"/>
        </w:rPr>
        <w:t> </w:t>
      </w:r>
      <w:r w:rsidRPr="0096399A">
        <w:rPr>
          <w:b/>
          <w:bCs/>
          <w:sz w:val="24"/>
          <w:szCs w:val="24"/>
        </w:rPr>
        <w:t>147</w:t>
      </w:r>
      <w:r w:rsidRPr="0096399A">
        <w:rPr>
          <w:sz w:val="24"/>
          <w:szCs w:val="24"/>
        </w:rPr>
        <w:t>, 201– 209.</w:t>
      </w:r>
    </w:p>
    <w:p w14:paraId="4D9801F4" w14:textId="54CB7E52" w:rsidR="00AC156D" w:rsidRPr="0096399A" w:rsidRDefault="00AC156D" w:rsidP="0096399A">
      <w:pPr>
        <w:pStyle w:val="NoSpacing"/>
        <w:ind w:left="720" w:hanging="720"/>
        <w:rPr>
          <w:sz w:val="24"/>
          <w:szCs w:val="24"/>
        </w:rPr>
      </w:pPr>
      <w:r w:rsidRPr="0096399A">
        <w:rPr>
          <w:sz w:val="24"/>
          <w:szCs w:val="24"/>
        </w:rPr>
        <w:t>21</w:t>
      </w:r>
      <w:r w:rsidR="0096399A">
        <w:rPr>
          <w:sz w:val="24"/>
          <w:szCs w:val="24"/>
        </w:rPr>
        <w:t xml:space="preserve"> </w:t>
      </w:r>
      <w:r w:rsidRPr="0096399A">
        <w:rPr>
          <w:sz w:val="24"/>
          <w:szCs w:val="24"/>
        </w:rPr>
        <w:t>Sun, L., Liu, Z., Wang, L., Cun, D., Tong, H. H. Y., Yan, R., Chen, X., Wang, R., and Zheng, Y. (2017) </w:t>
      </w:r>
      <w:r w:rsidRPr="0096399A">
        <w:rPr>
          <w:i/>
          <w:iCs/>
          <w:sz w:val="24"/>
          <w:szCs w:val="24"/>
        </w:rPr>
        <w:t>J. Control. Release</w:t>
      </w:r>
      <w:r w:rsidRPr="0096399A">
        <w:rPr>
          <w:sz w:val="24"/>
          <w:szCs w:val="24"/>
        </w:rPr>
        <w:t> </w:t>
      </w:r>
      <w:r w:rsidRPr="0096399A">
        <w:rPr>
          <w:b/>
          <w:bCs/>
          <w:sz w:val="24"/>
          <w:szCs w:val="24"/>
        </w:rPr>
        <w:t>254</w:t>
      </w:r>
      <w:r w:rsidRPr="0096399A">
        <w:rPr>
          <w:sz w:val="24"/>
          <w:szCs w:val="24"/>
        </w:rPr>
        <w:t>, 44– 54.</w:t>
      </w:r>
    </w:p>
    <w:p w14:paraId="51A20BA8" w14:textId="1DB9EE93" w:rsidR="00AC156D" w:rsidRPr="0096399A" w:rsidRDefault="00AC156D" w:rsidP="0096399A">
      <w:pPr>
        <w:pStyle w:val="NoSpacing"/>
        <w:ind w:left="720" w:hanging="720"/>
        <w:rPr>
          <w:sz w:val="24"/>
          <w:szCs w:val="24"/>
        </w:rPr>
      </w:pPr>
      <w:r w:rsidRPr="0096399A">
        <w:rPr>
          <w:sz w:val="24"/>
          <w:szCs w:val="24"/>
        </w:rPr>
        <w:t>22</w:t>
      </w:r>
      <w:r w:rsidR="0096399A">
        <w:rPr>
          <w:sz w:val="24"/>
          <w:szCs w:val="24"/>
        </w:rPr>
        <w:t xml:space="preserve"> </w:t>
      </w:r>
      <w:r w:rsidRPr="0096399A">
        <w:rPr>
          <w:sz w:val="24"/>
          <w:szCs w:val="24"/>
        </w:rPr>
        <w:t>Liu, Z., Zhu, Y., Liu, X., Yeung, K. W. K., and Wu, S. (2017)</w:t>
      </w:r>
      <w:r w:rsidRPr="0096399A">
        <w:rPr>
          <w:i/>
          <w:iCs/>
          <w:sz w:val="24"/>
          <w:szCs w:val="24"/>
        </w:rPr>
        <w:t>Colloids Surf. B Biointerfaces</w:t>
      </w:r>
      <w:r w:rsidRPr="0096399A">
        <w:rPr>
          <w:sz w:val="24"/>
          <w:szCs w:val="24"/>
        </w:rPr>
        <w:t> </w:t>
      </w:r>
      <w:r w:rsidRPr="0096399A">
        <w:rPr>
          <w:b/>
          <w:bCs/>
          <w:sz w:val="24"/>
          <w:szCs w:val="24"/>
        </w:rPr>
        <w:t>151</w:t>
      </w:r>
      <w:r w:rsidRPr="0096399A">
        <w:rPr>
          <w:sz w:val="24"/>
          <w:szCs w:val="24"/>
        </w:rPr>
        <w:t>, 165– 177.</w:t>
      </w:r>
    </w:p>
    <w:p w14:paraId="256CA46C" w14:textId="01024EA1" w:rsidR="00AC156D" w:rsidRPr="0096399A" w:rsidRDefault="00AC156D" w:rsidP="0096399A">
      <w:pPr>
        <w:pStyle w:val="NoSpacing"/>
        <w:ind w:left="720" w:hanging="720"/>
        <w:rPr>
          <w:sz w:val="24"/>
          <w:szCs w:val="24"/>
        </w:rPr>
      </w:pPr>
      <w:r w:rsidRPr="0096399A">
        <w:rPr>
          <w:sz w:val="24"/>
          <w:szCs w:val="24"/>
        </w:rPr>
        <w:t>23</w:t>
      </w:r>
      <w:r w:rsidR="0096399A">
        <w:rPr>
          <w:sz w:val="24"/>
          <w:szCs w:val="24"/>
        </w:rPr>
        <w:t xml:space="preserve"> </w:t>
      </w:r>
      <w:r w:rsidRPr="0096399A">
        <w:rPr>
          <w:sz w:val="24"/>
          <w:szCs w:val="24"/>
        </w:rPr>
        <w:t>Qiao, T., Jiang, S., Song, P., Song, X., Liu, Q., Wang, L., and Chen, X. (2016) </w:t>
      </w:r>
      <w:r w:rsidRPr="0096399A">
        <w:rPr>
          <w:i/>
          <w:iCs/>
          <w:sz w:val="24"/>
          <w:szCs w:val="24"/>
        </w:rPr>
        <w:t>Colloids Surf. B Biointerfaces</w:t>
      </w:r>
      <w:r w:rsidRPr="0096399A">
        <w:rPr>
          <w:sz w:val="24"/>
          <w:szCs w:val="24"/>
        </w:rPr>
        <w:t> </w:t>
      </w:r>
      <w:r w:rsidRPr="0096399A">
        <w:rPr>
          <w:b/>
          <w:bCs/>
          <w:sz w:val="24"/>
          <w:szCs w:val="24"/>
        </w:rPr>
        <w:t>146</w:t>
      </w:r>
      <w:r w:rsidRPr="0096399A">
        <w:rPr>
          <w:sz w:val="24"/>
          <w:szCs w:val="24"/>
        </w:rPr>
        <w:t>, 221– 227.</w:t>
      </w:r>
    </w:p>
    <w:p w14:paraId="7FBF5250" w14:textId="508F2611" w:rsidR="00AC156D" w:rsidRPr="0096399A" w:rsidRDefault="00AC156D" w:rsidP="0096399A">
      <w:pPr>
        <w:pStyle w:val="NoSpacing"/>
        <w:ind w:left="720" w:hanging="720"/>
        <w:rPr>
          <w:sz w:val="24"/>
          <w:szCs w:val="24"/>
        </w:rPr>
      </w:pPr>
      <w:r w:rsidRPr="0096399A">
        <w:rPr>
          <w:sz w:val="24"/>
          <w:szCs w:val="24"/>
        </w:rPr>
        <w:t>24</w:t>
      </w:r>
      <w:r w:rsidR="0096399A">
        <w:rPr>
          <w:sz w:val="24"/>
          <w:szCs w:val="24"/>
        </w:rPr>
        <w:t xml:space="preserve"> </w:t>
      </w:r>
      <w:r w:rsidRPr="0096399A">
        <w:rPr>
          <w:sz w:val="24"/>
          <w:szCs w:val="24"/>
        </w:rPr>
        <w:t>Mir, M., Ahmed, N., and Rehman, A. U. </w:t>
      </w:r>
      <w:r w:rsidRPr="0096399A">
        <w:rPr>
          <w:i/>
          <w:iCs/>
          <w:sz w:val="24"/>
          <w:szCs w:val="24"/>
        </w:rPr>
        <w:t>Colloids Surf. B.</w:t>
      </w:r>
      <w:r w:rsidRPr="0096399A">
        <w:rPr>
          <w:sz w:val="24"/>
          <w:szCs w:val="24"/>
        </w:rPr>
        <w:t> </w:t>
      </w:r>
      <w:r w:rsidRPr="0096399A">
        <w:rPr>
          <w:b/>
          <w:bCs/>
          <w:sz w:val="24"/>
          <w:szCs w:val="24"/>
        </w:rPr>
        <w:t>159</w:t>
      </w:r>
      <w:r w:rsidRPr="0096399A">
        <w:rPr>
          <w:sz w:val="24"/>
          <w:szCs w:val="24"/>
        </w:rPr>
        <w:t>, 217– 231.</w:t>
      </w:r>
    </w:p>
    <w:p w14:paraId="20FAA0C4" w14:textId="1EB44121" w:rsidR="00AC156D" w:rsidRPr="0096399A" w:rsidRDefault="00AC156D" w:rsidP="0096399A">
      <w:pPr>
        <w:pStyle w:val="NoSpacing"/>
        <w:ind w:left="720" w:hanging="720"/>
        <w:rPr>
          <w:sz w:val="24"/>
          <w:szCs w:val="24"/>
        </w:rPr>
      </w:pPr>
      <w:r w:rsidRPr="0096399A">
        <w:rPr>
          <w:sz w:val="24"/>
          <w:szCs w:val="24"/>
        </w:rPr>
        <w:t>25</w:t>
      </w:r>
      <w:r w:rsidR="0096399A">
        <w:rPr>
          <w:sz w:val="24"/>
          <w:szCs w:val="24"/>
        </w:rPr>
        <w:t xml:space="preserve"> </w:t>
      </w:r>
      <w:r w:rsidRPr="0096399A">
        <w:rPr>
          <w:sz w:val="24"/>
          <w:szCs w:val="24"/>
        </w:rPr>
        <w:t>Omidi, M., Hashemi, M., and Tayebi, L. (2019) </w:t>
      </w:r>
      <w:r w:rsidRPr="0096399A">
        <w:rPr>
          <w:i/>
          <w:iCs/>
          <w:sz w:val="24"/>
          <w:szCs w:val="24"/>
        </w:rPr>
        <w:t>RSC Adv.</w:t>
      </w:r>
      <w:r w:rsidRPr="0096399A">
        <w:rPr>
          <w:sz w:val="24"/>
          <w:szCs w:val="24"/>
        </w:rPr>
        <w:t> </w:t>
      </w:r>
      <w:r w:rsidRPr="0096399A">
        <w:rPr>
          <w:b/>
          <w:bCs/>
          <w:sz w:val="24"/>
          <w:szCs w:val="24"/>
        </w:rPr>
        <w:t>9</w:t>
      </w:r>
      <w:r w:rsidRPr="0096399A">
        <w:rPr>
          <w:sz w:val="24"/>
          <w:szCs w:val="24"/>
        </w:rPr>
        <w:t>(57), 33246– 3356.</w:t>
      </w:r>
    </w:p>
    <w:p w14:paraId="129EAA96" w14:textId="043363F6" w:rsidR="00AC156D" w:rsidRPr="0096399A" w:rsidRDefault="00AC156D" w:rsidP="0096399A">
      <w:pPr>
        <w:pStyle w:val="NoSpacing"/>
        <w:ind w:left="720" w:hanging="720"/>
        <w:rPr>
          <w:sz w:val="24"/>
          <w:szCs w:val="24"/>
        </w:rPr>
      </w:pPr>
      <w:r w:rsidRPr="0096399A">
        <w:rPr>
          <w:sz w:val="24"/>
          <w:szCs w:val="24"/>
        </w:rPr>
        <w:t>26</w:t>
      </w:r>
      <w:r w:rsidR="0096399A">
        <w:rPr>
          <w:sz w:val="24"/>
          <w:szCs w:val="24"/>
        </w:rPr>
        <w:t xml:space="preserve"> </w:t>
      </w:r>
      <w:r w:rsidRPr="0096399A">
        <w:rPr>
          <w:sz w:val="24"/>
          <w:szCs w:val="24"/>
        </w:rPr>
        <w:t>Guimarães Sá Correia, M., Briuglia, M. L., Niosi, F., and Lamprou, D. A. (2017) </w:t>
      </w:r>
      <w:r w:rsidRPr="0096399A">
        <w:rPr>
          <w:i/>
          <w:iCs/>
          <w:sz w:val="24"/>
          <w:szCs w:val="24"/>
        </w:rPr>
        <w:t>Int. J. Pharm.</w:t>
      </w:r>
      <w:r w:rsidRPr="0096399A">
        <w:rPr>
          <w:sz w:val="24"/>
          <w:szCs w:val="24"/>
        </w:rPr>
        <w:t> </w:t>
      </w:r>
      <w:r w:rsidRPr="0096399A">
        <w:rPr>
          <w:b/>
          <w:bCs/>
          <w:sz w:val="24"/>
          <w:szCs w:val="24"/>
        </w:rPr>
        <w:t>516</w:t>
      </w:r>
      <w:r w:rsidRPr="0096399A">
        <w:rPr>
          <w:sz w:val="24"/>
          <w:szCs w:val="24"/>
        </w:rPr>
        <w:t>(1–2), 91– 99.</w:t>
      </w:r>
    </w:p>
    <w:p w14:paraId="1BA4B991" w14:textId="428E8718" w:rsidR="00AC156D" w:rsidRPr="0096399A" w:rsidRDefault="00AC156D" w:rsidP="0096399A">
      <w:pPr>
        <w:pStyle w:val="NoSpacing"/>
        <w:ind w:left="720" w:hanging="720"/>
        <w:rPr>
          <w:sz w:val="24"/>
          <w:szCs w:val="24"/>
        </w:rPr>
      </w:pPr>
      <w:r w:rsidRPr="0096399A">
        <w:rPr>
          <w:sz w:val="24"/>
          <w:szCs w:val="24"/>
        </w:rPr>
        <w:t>27</w:t>
      </w:r>
      <w:r w:rsidR="0096399A">
        <w:rPr>
          <w:sz w:val="24"/>
          <w:szCs w:val="24"/>
        </w:rPr>
        <w:t xml:space="preserve"> </w:t>
      </w:r>
      <w:r w:rsidRPr="0096399A">
        <w:rPr>
          <w:sz w:val="24"/>
          <w:szCs w:val="24"/>
        </w:rPr>
        <w:t>Maeki, M., Kimura, N., Sato, Y., Harashima, H., and Tokeshi, M. (2018) </w:t>
      </w:r>
      <w:r w:rsidRPr="0096399A">
        <w:rPr>
          <w:i/>
          <w:iCs/>
          <w:sz w:val="24"/>
          <w:szCs w:val="24"/>
        </w:rPr>
        <w:t>Adv. Drug Deliv. Rev.</w:t>
      </w:r>
      <w:r w:rsidRPr="0096399A">
        <w:rPr>
          <w:sz w:val="24"/>
          <w:szCs w:val="24"/>
        </w:rPr>
        <w:t> </w:t>
      </w:r>
      <w:r w:rsidRPr="0096399A">
        <w:rPr>
          <w:b/>
          <w:bCs/>
          <w:sz w:val="24"/>
          <w:szCs w:val="24"/>
        </w:rPr>
        <w:t>128</w:t>
      </w:r>
      <w:r w:rsidRPr="0096399A">
        <w:rPr>
          <w:sz w:val="24"/>
          <w:szCs w:val="24"/>
        </w:rPr>
        <w:t>, 84– 100.</w:t>
      </w:r>
    </w:p>
    <w:p w14:paraId="1E6E0720" w14:textId="70E17C6E" w:rsidR="00AC156D" w:rsidRPr="0096399A" w:rsidRDefault="00AC156D" w:rsidP="0096399A">
      <w:pPr>
        <w:pStyle w:val="NoSpacing"/>
        <w:ind w:left="720" w:hanging="720"/>
        <w:rPr>
          <w:sz w:val="24"/>
          <w:szCs w:val="24"/>
        </w:rPr>
      </w:pPr>
      <w:r w:rsidRPr="0096399A">
        <w:rPr>
          <w:sz w:val="24"/>
          <w:szCs w:val="24"/>
        </w:rPr>
        <w:t>28</w:t>
      </w:r>
      <w:r w:rsidR="0096399A">
        <w:rPr>
          <w:sz w:val="24"/>
          <w:szCs w:val="24"/>
        </w:rPr>
        <w:t xml:space="preserve"> </w:t>
      </w:r>
      <w:r w:rsidRPr="0096399A">
        <w:rPr>
          <w:sz w:val="24"/>
          <w:szCs w:val="24"/>
        </w:rPr>
        <w:t>Hashemi, M., Yadegari, A., Yazdanpanah, G., Jabbehdari, S., Omidi, M., and Tayebi, L. (2016) </w:t>
      </w:r>
      <w:r w:rsidRPr="0096399A">
        <w:rPr>
          <w:i/>
          <w:iCs/>
          <w:sz w:val="24"/>
          <w:szCs w:val="24"/>
        </w:rPr>
        <w:t>RSC Adv.</w:t>
      </w:r>
      <w:r w:rsidRPr="0096399A">
        <w:rPr>
          <w:sz w:val="24"/>
          <w:szCs w:val="24"/>
        </w:rPr>
        <w:t> </w:t>
      </w:r>
      <w:r w:rsidRPr="0096399A">
        <w:rPr>
          <w:b/>
          <w:bCs/>
          <w:sz w:val="24"/>
          <w:szCs w:val="24"/>
        </w:rPr>
        <w:t>6</w:t>
      </w:r>
      <w:r w:rsidRPr="0096399A">
        <w:rPr>
          <w:sz w:val="24"/>
          <w:szCs w:val="24"/>
        </w:rPr>
        <w:t>(78), 74072– 74084.</w:t>
      </w:r>
    </w:p>
    <w:p w14:paraId="551D1284" w14:textId="156F8A90" w:rsidR="00AC156D" w:rsidRPr="0096399A" w:rsidRDefault="00AC156D" w:rsidP="0096399A">
      <w:pPr>
        <w:pStyle w:val="NoSpacing"/>
        <w:ind w:left="720" w:hanging="720"/>
        <w:rPr>
          <w:sz w:val="24"/>
          <w:szCs w:val="24"/>
        </w:rPr>
      </w:pPr>
      <w:r w:rsidRPr="0096399A">
        <w:rPr>
          <w:sz w:val="24"/>
          <w:szCs w:val="24"/>
        </w:rPr>
        <w:t>29</w:t>
      </w:r>
      <w:r w:rsidR="0096399A">
        <w:rPr>
          <w:sz w:val="24"/>
          <w:szCs w:val="24"/>
        </w:rPr>
        <w:t xml:space="preserve"> </w:t>
      </w:r>
      <w:r w:rsidRPr="0096399A">
        <w:rPr>
          <w:sz w:val="24"/>
          <w:szCs w:val="24"/>
        </w:rPr>
        <w:t>Omidi, M., Yadegari, A., and Tayebi, L. (2017) </w:t>
      </w:r>
      <w:r w:rsidRPr="0096399A">
        <w:rPr>
          <w:i/>
          <w:iCs/>
          <w:sz w:val="24"/>
          <w:szCs w:val="24"/>
        </w:rPr>
        <w:t>RSC Adv.</w:t>
      </w:r>
      <w:r w:rsidRPr="0096399A">
        <w:rPr>
          <w:sz w:val="24"/>
          <w:szCs w:val="24"/>
        </w:rPr>
        <w:t> </w:t>
      </w:r>
      <w:r w:rsidRPr="0096399A">
        <w:rPr>
          <w:b/>
          <w:bCs/>
          <w:sz w:val="24"/>
          <w:szCs w:val="24"/>
        </w:rPr>
        <w:t>7</w:t>
      </w:r>
      <w:r w:rsidRPr="0096399A">
        <w:rPr>
          <w:sz w:val="24"/>
          <w:szCs w:val="24"/>
        </w:rPr>
        <w:t>(18), 10638– 49.</w:t>
      </w:r>
    </w:p>
    <w:p w14:paraId="16EACAC0" w14:textId="732380DD" w:rsidR="00AC156D" w:rsidRPr="0096399A" w:rsidRDefault="00AC156D" w:rsidP="0096399A">
      <w:pPr>
        <w:pStyle w:val="NoSpacing"/>
        <w:ind w:left="720" w:hanging="720"/>
        <w:rPr>
          <w:sz w:val="24"/>
          <w:szCs w:val="24"/>
        </w:rPr>
      </w:pPr>
      <w:r w:rsidRPr="0096399A">
        <w:rPr>
          <w:sz w:val="24"/>
          <w:szCs w:val="24"/>
        </w:rPr>
        <w:t>30</w:t>
      </w:r>
      <w:r w:rsidR="0096399A">
        <w:rPr>
          <w:sz w:val="24"/>
          <w:szCs w:val="24"/>
        </w:rPr>
        <w:t xml:space="preserve"> </w:t>
      </w:r>
      <w:r w:rsidRPr="0096399A">
        <w:rPr>
          <w:sz w:val="24"/>
          <w:szCs w:val="24"/>
        </w:rPr>
        <w:t>Wentink, M. Q., Broxterman, H. J., Lam, S. W., Boven, E., Walraven, M., Griffioen, A. W., Pili, R., van der Vliet, H. J., de Gruijl, T. D., and Verheul, H. M. W. (2016) </w:t>
      </w:r>
      <w:r w:rsidRPr="0096399A">
        <w:rPr>
          <w:i/>
          <w:iCs/>
          <w:sz w:val="24"/>
          <w:szCs w:val="24"/>
        </w:rPr>
        <w:t>Br. J. Cancer</w:t>
      </w:r>
      <w:r w:rsidRPr="0096399A">
        <w:rPr>
          <w:sz w:val="24"/>
          <w:szCs w:val="24"/>
        </w:rPr>
        <w:t> </w:t>
      </w:r>
      <w:r w:rsidRPr="0096399A">
        <w:rPr>
          <w:b/>
          <w:bCs/>
          <w:sz w:val="24"/>
          <w:szCs w:val="24"/>
        </w:rPr>
        <w:t>115</w:t>
      </w:r>
      <w:r w:rsidRPr="0096399A">
        <w:rPr>
          <w:sz w:val="24"/>
          <w:szCs w:val="24"/>
        </w:rPr>
        <w:t>(8), 940– 948.</w:t>
      </w:r>
    </w:p>
    <w:p w14:paraId="6FEC8C81" w14:textId="34139439" w:rsidR="00AC156D" w:rsidRPr="0096399A" w:rsidRDefault="00AC156D" w:rsidP="0096399A">
      <w:pPr>
        <w:pStyle w:val="NoSpacing"/>
        <w:ind w:left="720" w:hanging="720"/>
        <w:rPr>
          <w:sz w:val="24"/>
          <w:szCs w:val="24"/>
        </w:rPr>
      </w:pPr>
      <w:r w:rsidRPr="0096399A">
        <w:rPr>
          <w:sz w:val="24"/>
          <w:szCs w:val="24"/>
        </w:rPr>
        <w:t>31</w:t>
      </w:r>
      <w:r w:rsidR="0096399A">
        <w:rPr>
          <w:sz w:val="24"/>
          <w:szCs w:val="24"/>
        </w:rPr>
        <w:t xml:space="preserve"> </w:t>
      </w:r>
      <w:r w:rsidRPr="0096399A">
        <w:rPr>
          <w:sz w:val="24"/>
          <w:szCs w:val="24"/>
        </w:rPr>
        <w:t>Huang, Z., Wu, H., Yang, B., Chen, L., Huang, Y., Quan, G., Zhu, C., Li, X., Pan, X., and Wu, C. (2017) </w:t>
      </w:r>
      <w:r w:rsidRPr="0096399A">
        <w:rPr>
          <w:i/>
          <w:iCs/>
          <w:sz w:val="24"/>
          <w:szCs w:val="24"/>
        </w:rPr>
        <w:t>Drug Deliv.</w:t>
      </w:r>
      <w:r w:rsidRPr="0096399A">
        <w:rPr>
          <w:sz w:val="24"/>
          <w:szCs w:val="24"/>
        </w:rPr>
        <w:t> </w:t>
      </w:r>
      <w:r w:rsidRPr="0096399A">
        <w:rPr>
          <w:b/>
          <w:bCs/>
          <w:sz w:val="24"/>
          <w:szCs w:val="24"/>
        </w:rPr>
        <w:t>24</w:t>
      </w:r>
      <w:r w:rsidRPr="0096399A">
        <w:rPr>
          <w:sz w:val="24"/>
          <w:szCs w:val="24"/>
        </w:rPr>
        <w:t>(1), 527– 538.</w:t>
      </w:r>
    </w:p>
    <w:p w14:paraId="0D449B87" w14:textId="6E2A24F2" w:rsidR="00AC156D" w:rsidRPr="0096399A" w:rsidRDefault="00AC156D" w:rsidP="0096399A">
      <w:pPr>
        <w:pStyle w:val="NoSpacing"/>
        <w:ind w:left="720" w:hanging="720"/>
        <w:rPr>
          <w:sz w:val="24"/>
          <w:szCs w:val="24"/>
        </w:rPr>
      </w:pPr>
      <w:r w:rsidRPr="0096399A">
        <w:rPr>
          <w:sz w:val="24"/>
          <w:szCs w:val="24"/>
        </w:rPr>
        <w:t>32</w:t>
      </w:r>
      <w:r w:rsidR="0096399A">
        <w:rPr>
          <w:sz w:val="24"/>
          <w:szCs w:val="24"/>
        </w:rPr>
        <w:t xml:space="preserve"> </w:t>
      </w:r>
      <w:r w:rsidRPr="0096399A">
        <w:rPr>
          <w:sz w:val="24"/>
          <w:szCs w:val="24"/>
        </w:rPr>
        <w:t>Chen, L., Mei, L., Feng, D., Huang, D., Tong, X., Pan, X., Zhu, C,. and Wu, C. (2018) </w:t>
      </w:r>
      <w:r w:rsidRPr="0096399A">
        <w:rPr>
          <w:i/>
          <w:iCs/>
          <w:sz w:val="24"/>
          <w:szCs w:val="24"/>
        </w:rPr>
        <w:t>Colloids Surf. B Biointerfaces</w:t>
      </w:r>
      <w:r w:rsidRPr="0096399A">
        <w:rPr>
          <w:sz w:val="24"/>
          <w:szCs w:val="24"/>
        </w:rPr>
        <w:t> </w:t>
      </w:r>
      <w:r w:rsidRPr="0096399A">
        <w:rPr>
          <w:b/>
          <w:bCs/>
          <w:sz w:val="24"/>
          <w:szCs w:val="24"/>
        </w:rPr>
        <w:t>163</w:t>
      </w:r>
      <w:r w:rsidRPr="0096399A">
        <w:rPr>
          <w:sz w:val="24"/>
          <w:szCs w:val="24"/>
        </w:rPr>
        <w:t>, 146– 154.</w:t>
      </w:r>
    </w:p>
    <w:p w14:paraId="621BE1B9" w14:textId="61D85ABD" w:rsidR="00AC156D" w:rsidRPr="0096399A" w:rsidRDefault="00AC156D" w:rsidP="0096399A">
      <w:pPr>
        <w:pStyle w:val="NoSpacing"/>
        <w:ind w:left="720" w:hanging="720"/>
        <w:rPr>
          <w:sz w:val="24"/>
          <w:szCs w:val="24"/>
        </w:rPr>
      </w:pPr>
      <w:r w:rsidRPr="0096399A">
        <w:rPr>
          <w:sz w:val="24"/>
          <w:szCs w:val="24"/>
        </w:rPr>
        <w:t>33</w:t>
      </w:r>
      <w:r w:rsidR="0096399A">
        <w:rPr>
          <w:sz w:val="24"/>
          <w:szCs w:val="24"/>
        </w:rPr>
        <w:t xml:space="preserve"> </w:t>
      </w:r>
      <w:r w:rsidRPr="0096399A">
        <w:rPr>
          <w:sz w:val="24"/>
          <w:szCs w:val="24"/>
        </w:rPr>
        <w:t>Taluja, A., Youn, Y. S., and Bae, Y. H. (2007) </w:t>
      </w:r>
      <w:r w:rsidRPr="0096399A">
        <w:rPr>
          <w:i/>
          <w:iCs/>
          <w:sz w:val="24"/>
          <w:szCs w:val="24"/>
        </w:rPr>
        <w:t>J. Mater. Chem.</w:t>
      </w:r>
      <w:r w:rsidRPr="0096399A">
        <w:rPr>
          <w:sz w:val="24"/>
          <w:szCs w:val="24"/>
        </w:rPr>
        <w:t> </w:t>
      </w:r>
      <w:r w:rsidRPr="0096399A">
        <w:rPr>
          <w:b/>
          <w:bCs/>
          <w:sz w:val="24"/>
          <w:szCs w:val="24"/>
        </w:rPr>
        <w:t>17</w:t>
      </w:r>
      <w:r w:rsidRPr="0096399A">
        <w:rPr>
          <w:sz w:val="24"/>
          <w:szCs w:val="24"/>
        </w:rPr>
        <w:t>(38), 4002– 4014.</w:t>
      </w:r>
    </w:p>
    <w:p w14:paraId="307B3FF5" w14:textId="441DE432" w:rsidR="00AC156D" w:rsidRPr="0096399A" w:rsidRDefault="00AC156D" w:rsidP="0096399A">
      <w:pPr>
        <w:pStyle w:val="NoSpacing"/>
        <w:ind w:left="720" w:hanging="720"/>
        <w:rPr>
          <w:sz w:val="24"/>
          <w:szCs w:val="24"/>
        </w:rPr>
      </w:pPr>
      <w:r w:rsidRPr="0096399A">
        <w:rPr>
          <w:sz w:val="24"/>
          <w:szCs w:val="24"/>
        </w:rPr>
        <w:t>34</w:t>
      </w:r>
      <w:r w:rsidR="0096399A">
        <w:rPr>
          <w:sz w:val="24"/>
          <w:szCs w:val="24"/>
        </w:rPr>
        <w:t xml:space="preserve"> </w:t>
      </w:r>
      <w:r w:rsidRPr="0096399A">
        <w:rPr>
          <w:sz w:val="24"/>
          <w:szCs w:val="24"/>
        </w:rPr>
        <w:t>Pessi, J., Santos, H. A., Miroshnyk, I., Yliruusi, J., Weitz, D. A., and Mirza, S. (2014) </w:t>
      </w:r>
      <w:r w:rsidRPr="0096399A">
        <w:rPr>
          <w:i/>
          <w:iCs/>
          <w:sz w:val="24"/>
          <w:szCs w:val="24"/>
        </w:rPr>
        <w:t>Int. J. Pharm.</w:t>
      </w:r>
      <w:r w:rsidRPr="0096399A">
        <w:rPr>
          <w:sz w:val="24"/>
          <w:szCs w:val="24"/>
        </w:rPr>
        <w:t> </w:t>
      </w:r>
      <w:r w:rsidRPr="0096399A">
        <w:rPr>
          <w:b/>
          <w:bCs/>
          <w:sz w:val="24"/>
          <w:szCs w:val="24"/>
        </w:rPr>
        <w:t>472</w:t>
      </w:r>
      <w:r w:rsidRPr="0096399A">
        <w:rPr>
          <w:sz w:val="24"/>
          <w:szCs w:val="24"/>
        </w:rPr>
        <w:t>(1–2), 82– 87.</w:t>
      </w:r>
    </w:p>
    <w:p w14:paraId="4C378995" w14:textId="49C81C58" w:rsidR="00AC156D" w:rsidRPr="0096399A" w:rsidRDefault="00AC156D" w:rsidP="0096399A">
      <w:pPr>
        <w:pStyle w:val="NoSpacing"/>
        <w:ind w:left="720" w:hanging="720"/>
        <w:rPr>
          <w:sz w:val="24"/>
          <w:szCs w:val="24"/>
        </w:rPr>
      </w:pPr>
      <w:r w:rsidRPr="0096399A">
        <w:rPr>
          <w:sz w:val="24"/>
          <w:szCs w:val="24"/>
        </w:rPr>
        <w:t>35</w:t>
      </w:r>
      <w:r w:rsidR="0096399A">
        <w:rPr>
          <w:sz w:val="24"/>
          <w:szCs w:val="24"/>
        </w:rPr>
        <w:t xml:space="preserve"> </w:t>
      </w:r>
      <w:r w:rsidRPr="0096399A">
        <w:rPr>
          <w:sz w:val="24"/>
          <w:szCs w:val="24"/>
        </w:rPr>
        <w:t>Sanjay, S. T., Zhou, W., Dou, M., Tavakoli, H., Ma, L., Xu, F., Le, X. (2018) </w:t>
      </w:r>
      <w:r w:rsidRPr="0096399A">
        <w:rPr>
          <w:i/>
          <w:iCs/>
          <w:sz w:val="24"/>
          <w:szCs w:val="24"/>
        </w:rPr>
        <w:t>Adv. Drug Deliv. Rev.</w:t>
      </w:r>
      <w:r w:rsidRPr="0096399A">
        <w:rPr>
          <w:sz w:val="24"/>
          <w:szCs w:val="24"/>
        </w:rPr>
        <w:t> </w:t>
      </w:r>
      <w:r w:rsidRPr="0096399A">
        <w:rPr>
          <w:b/>
          <w:bCs/>
          <w:sz w:val="24"/>
          <w:szCs w:val="24"/>
        </w:rPr>
        <w:t>128</w:t>
      </w:r>
      <w:r w:rsidRPr="0096399A">
        <w:rPr>
          <w:sz w:val="24"/>
          <w:szCs w:val="24"/>
        </w:rPr>
        <w:t>, 3– 28.</w:t>
      </w:r>
    </w:p>
    <w:p w14:paraId="7A3AA151" w14:textId="1CF42F11" w:rsidR="00AC156D" w:rsidRPr="0096399A" w:rsidRDefault="00AC156D" w:rsidP="0096399A">
      <w:pPr>
        <w:pStyle w:val="NoSpacing"/>
        <w:ind w:left="720" w:hanging="720"/>
        <w:rPr>
          <w:sz w:val="24"/>
          <w:szCs w:val="24"/>
        </w:rPr>
      </w:pPr>
      <w:r w:rsidRPr="0096399A">
        <w:rPr>
          <w:sz w:val="24"/>
          <w:szCs w:val="24"/>
        </w:rPr>
        <w:t>36</w:t>
      </w:r>
      <w:r w:rsidR="0096399A">
        <w:rPr>
          <w:sz w:val="24"/>
          <w:szCs w:val="24"/>
        </w:rPr>
        <w:t xml:space="preserve"> </w:t>
      </w:r>
      <w:r w:rsidRPr="0096399A">
        <w:rPr>
          <w:sz w:val="24"/>
          <w:szCs w:val="24"/>
        </w:rPr>
        <w:t>King, T. W., and Patrick, C. W. (2000) </w:t>
      </w:r>
      <w:r w:rsidRPr="0096399A">
        <w:rPr>
          <w:i/>
          <w:iCs/>
          <w:sz w:val="24"/>
          <w:szCs w:val="24"/>
        </w:rPr>
        <w:t>J. Biomed. Mater. Res.</w:t>
      </w:r>
      <w:r w:rsidRPr="0096399A">
        <w:rPr>
          <w:sz w:val="24"/>
          <w:szCs w:val="24"/>
        </w:rPr>
        <w:t> </w:t>
      </w:r>
      <w:r w:rsidRPr="0096399A">
        <w:rPr>
          <w:b/>
          <w:bCs/>
          <w:sz w:val="24"/>
          <w:szCs w:val="24"/>
        </w:rPr>
        <w:t>51</w:t>
      </w:r>
      <w:r w:rsidRPr="0096399A">
        <w:rPr>
          <w:sz w:val="24"/>
          <w:szCs w:val="24"/>
        </w:rPr>
        <w:t>(3), 383– 390.</w:t>
      </w:r>
    </w:p>
    <w:p w14:paraId="395311FE" w14:textId="5EBE6382" w:rsidR="00AC156D" w:rsidRPr="0096399A" w:rsidRDefault="00AC156D" w:rsidP="0096399A">
      <w:pPr>
        <w:pStyle w:val="NoSpacing"/>
        <w:ind w:left="720" w:hanging="720"/>
        <w:rPr>
          <w:sz w:val="24"/>
          <w:szCs w:val="24"/>
        </w:rPr>
      </w:pPr>
      <w:r w:rsidRPr="0096399A">
        <w:rPr>
          <w:sz w:val="24"/>
          <w:szCs w:val="24"/>
        </w:rPr>
        <w:t>37</w:t>
      </w:r>
      <w:r w:rsidR="0096399A">
        <w:rPr>
          <w:sz w:val="24"/>
          <w:szCs w:val="24"/>
        </w:rPr>
        <w:t xml:space="preserve"> </w:t>
      </w:r>
      <w:r w:rsidRPr="0096399A">
        <w:rPr>
          <w:sz w:val="24"/>
          <w:szCs w:val="24"/>
        </w:rPr>
        <w:t>Raman, C., Berkland, C., Kim, K., and Pack, D. W. (2005) </w:t>
      </w:r>
      <w:r w:rsidRPr="0096399A">
        <w:rPr>
          <w:i/>
          <w:iCs/>
          <w:sz w:val="24"/>
          <w:szCs w:val="24"/>
        </w:rPr>
        <w:t>J. Control. Release.</w:t>
      </w:r>
      <w:r w:rsidRPr="0096399A">
        <w:rPr>
          <w:sz w:val="24"/>
          <w:szCs w:val="24"/>
        </w:rPr>
        <w:t> </w:t>
      </w:r>
      <w:r w:rsidRPr="0096399A">
        <w:rPr>
          <w:b/>
          <w:bCs/>
          <w:sz w:val="24"/>
          <w:szCs w:val="24"/>
        </w:rPr>
        <w:t>103</w:t>
      </w:r>
      <w:r w:rsidRPr="0096399A">
        <w:rPr>
          <w:sz w:val="24"/>
          <w:szCs w:val="24"/>
        </w:rPr>
        <w:t>(1), 149– 158.</w:t>
      </w:r>
    </w:p>
    <w:p w14:paraId="39F6CE3A" w14:textId="48FC653E" w:rsidR="00AC156D" w:rsidRPr="0096399A" w:rsidRDefault="00AC156D" w:rsidP="0096399A">
      <w:pPr>
        <w:pStyle w:val="NoSpacing"/>
        <w:ind w:left="720" w:hanging="720"/>
        <w:rPr>
          <w:sz w:val="24"/>
          <w:szCs w:val="24"/>
        </w:rPr>
      </w:pPr>
      <w:r w:rsidRPr="0096399A">
        <w:rPr>
          <w:sz w:val="24"/>
          <w:szCs w:val="24"/>
        </w:rPr>
        <w:t>38</w:t>
      </w:r>
      <w:r w:rsidR="0096399A">
        <w:rPr>
          <w:sz w:val="24"/>
          <w:szCs w:val="24"/>
        </w:rPr>
        <w:t xml:space="preserve"> </w:t>
      </w:r>
      <w:r w:rsidRPr="0096399A">
        <w:rPr>
          <w:sz w:val="24"/>
          <w:szCs w:val="24"/>
        </w:rPr>
        <w:t>Golub, J. S., Kim, Y. T., Duvall, C. L., Bellamkonda, R. V., Gupta, D., Lin, A. S., Weiss, D., Robert Taylor, W., and Guldberg, R. E. (2010) </w:t>
      </w:r>
      <w:r w:rsidRPr="0096399A">
        <w:rPr>
          <w:i/>
          <w:iCs/>
          <w:sz w:val="24"/>
          <w:szCs w:val="24"/>
        </w:rPr>
        <w:t>Am. J. Physiol. – Hear. Circ. Physiol.</w:t>
      </w:r>
      <w:r w:rsidRPr="0096399A">
        <w:rPr>
          <w:sz w:val="24"/>
          <w:szCs w:val="24"/>
        </w:rPr>
        <w:t> </w:t>
      </w:r>
      <w:r w:rsidRPr="0096399A">
        <w:rPr>
          <w:b/>
          <w:bCs/>
          <w:sz w:val="24"/>
          <w:szCs w:val="24"/>
        </w:rPr>
        <w:t>298</w:t>
      </w:r>
      <w:r w:rsidRPr="0096399A">
        <w:rPr>
          <w:sz w:val="24"/>
          <w:szCs w:val="24"/>
        </w:rPr>
        <w:t>(6), H1959– H1965.</w:t>
      </w:r>
    </w:p>
    <w:p w14:paraId="7AE9F03D" w14:textId="15C4CE66" w:rsidR="00AC156D" w:rsidRPr="0096399A" w:rsidRDefault="00AC156D" w:rsidP="0096399A">
      <w:pPr>
        <w:pStyle w:val="NoSpacing"/>
        <w:ind w:left="720" w:hanging="720"/>
        <w:rPr>
          <w:sz w:val="24"/>
          <w:szCs w:val="24"/>
        </w:rPr>
      </w:pPr>
      <w:r w:rsidRPr="0096399A">
        <w:rPr>
          <w:sz w:val="24"/>
          <w:szCs w:val="24"/>
        </w:rPr>
        <w:t>39</w:t>
      </w:r>
      <w:r w:rsidR="0096399A">
        <w:rPr>
          <w:sz w:val="24"/>
          <w:szCs w:val="24"/>
        </w:rPr>
        <w:t xml:space="preserve"> </w:t>
      </w:r>
      <w:r w:rsidRPr="0096399A">
        <w:rPr>
          <w:sz w:val="24"/>
          <w:szCs w:val="24"/>
        </w:rPr>
        <w:t>Karal-Yılmaz, O., Serhatlı, M., Baysal, K., and Baysal, B. M. (2011) </w:t>
      </w:r>
      <w:r w:rsidRPr="0096399A">
        <w:rPr>
          <w:i/>
          <w:iCs/>
          <w:sz w:val="24"/>
          <w:szCs w:val="24"/>
        </w:rPr>
        <w:t>J. Microencapsul.</w:t>
      </w:r>
      <w:r w:rsidRPr="0096399A">
        <w:rPr>
          <w:sz w:val="24"/>
          <w:szCs w:val="24"/>
        </w:rPr>
        <w:t> </w:t>
      </w:r>
      <w:r w:rsidRPr="0096399A">
        <w:rPr>
          <w:b/>
          <w:bCs/>
          <w:sz w:val="24"/>
          <w:szCs w:val="24"/>
        </w:rPr>
        <w:t>28</w:t>
      </w:r>
      <w:r w:rsidRPr="0096399A">
        <w:rPr>
          <w:sz w:val="24"/>
          <w:szCs w:val="24"/>
        </w:rPr>
        <w:t>(1), 46– 54.</w:t>
      </w:r>
    </w:p>
    <w:p w14:paraId="5EB98F63" w14:textId="3A2ECE7C" w:rsidR="00AC156D" w:rsidRPr="0096399A" w:rsidRDefault="00AC156D" w:rsidP="0096399A">
      <w:pPr>
        <w:pStyle w:val="NoSpacing"/>
        <w:ind w:left="720" w:hanging="720"/>
        <w:rPr>
          <w:sz w:val="24"/>
          <w:szCs w:val="24"/>
        </w:rPr>
      </w:pPr>
      <w:r w:rsidRPr="0096399A">
        <w:rPr>
          <w:sz w:val="24"/>
          <w:szCs w:val="24"/>
        </w:rPr>
        <w:t>40</w:t>
      </w:r>
      <w:r w:rsidR="0096399A">
        <w:rPr>
          <w:sz w:val="24"/>
          <w:szCs w:val="24"/>
        </w:rPr>
        <w:t xml:space="preserve"> </w:t>
      </w:r>
      <w:r w:rsidRPr="0096399A">
        <w:rPr>
          <w:sz w:val="24"/>
          <w:szCs w:val="24"/>
        </w:rPr>
        <w:t>Simón-Yarza, T., Formiga, F. R., Tamayo, E., Pelacho, B., Prosper, F., and Blanco–Prieto, M. J. (2013) </w:t>
      </w:r>
      <w:r w:rsidRPr="0096399A">
        <w:rPr>
          <w:i/>
          <w:iCs/>
          <w:sz w:val="24"/>
          <w:szCs w:val="24"/>
        </w:rPr>
        <w:t>Int. J. Pharm.</w:t>
      </w:r>
      <w:r w:rsidRPr="0096399A">
        <w:rPr>
          <w:sz w:val="24"/>
          <w:szCs w:val="24"/>
        </w:rPr>
        <w:t> </w:t>
      </w:r>
      <w:r w:rsidRPr="0096399A">
        <w:rPr>
          <w:b/>
          <w:bCs/>
          <w:sz w:val="24"/>
          <w:szCs w:val="24"/>
        </w:rPr>
        <w:t>440</w:t>
      </w:r>
      <w:r w:rsidRPr="0096399A">
        <w:rPr>
          <w:sz w:val="24"/>
          <w:szCs w:val="24"/>
        </w:rPr>
        <w:t>(1), 13– 18.</w:t>
      </w:r>
    </w:p>
    <w:p w14:paraId="3A4DF773" w14:textId="665579CD" w:rsidR="00AC156D" w:rsidRPr="0096399A" w:rsidRDefault="00AC156D" w:rsidP="0096399A">
      <w:pPr>
        <w:pStyle w:val="NoSpacing"/>
        <w:ind w:left="720" w:hanging="720"/>
        <w:rPr>
          <w:sz w:val="24"/>
          <w:szCs w:val="24"/>
        </w:rPr>
      </w:pPr>
      <w:r w:rsidRPr="0096399A">
        <w:rPr>
          <w:sz w:val="24"/>
          <w:szCs w:val="24"/>
        </w:rPr>
        <w:t>41</w:t>
      </w:r>
      <w:r w:rsidR="0096399A">
        <w:rPr>
          <w:sz w:val="24"/>
          <w:szCs w:val="24"/>
        </w:rPr>
        <w:t xml:space="preserve"> </w:t>
      </w:r>
      <w:r w:rsidRPr="0096399A">
        <w:rPr>
          <w:sz w:val="24"/>
          <w:szCs w:val="24"/>
        </w:rPr>
        <w:t>Rui, J., Dadsetan, M., Runge, M. B., Spinner, R. J., Yaszemski, M. J., Windebank, A. J., and Wang, H. (2012) </w:t>
      </w:r>
      <w:r w:rsidRPr="0096399A">
        <w:rPr>
          <w:i/>
          <w:iCs/>
          <w:sz w:val="24"/>
          <w:szCs w:val="24"/>
        </w:rPr>
        <w:t>Acta. Biomater.</w:t>
      </w:r>
      <w:r w:rsidRPr="0096399A">
        <w:rPr>
          <w:sz w:val="24"/>
          <w:szCs w:val="24"/>
        </w:rPr>
        <w:t> </w:t>
      </w:r>
      <w:r w:rsidRPr="0096399A">
        <w:rPr>
          <w:b/>
          <w:bCs/>
          <w:sz w:val="24"/>
          <w:szCs w:val="24"/>
        </w:rPr>
        <w:t>8</w:t>
      </w:r>
      <w:r w:rsidRPr="0096399A">
        <w:rPr>
          <w:sz w:val="24"/>
          <w:szCs w:val="24"/>
        </w:rPr>
        <w:t>(2), 511– 518.</w:t>
      </w:r>
    </w:p>
    <w:p w14:paraId="5C1AC7D9" w14:textId="782E9FF6" w:rsidR="00AC156D" w:rsidRPr="0096399A" w:rsidRDefault="00AC156D" w:rsidP="0096399A">
      <w:pPr>
        <w:pStyle w:val="NoSpacing"/>
        <w:ind w:left="720" w:hanging="720"/>
        <w:rPr>
          <w:sz w:val="24"/>
          <w:szCs w:val="24"/>
        </w:rPr>
      </w:pPr>
      <w:r w:rsidRPr="0096399A">
        <w:rPr>
          <w:sz w:val="24"/>
          <w:szCs w:val="24"/>
        </w:rPr>
        <w:t>42</w:t>
      </w:r>
      <w:r w:rsidR="0096399A">
        <w:rPr>
          <w:sz w:val="24"/>
          <w:szCs w:val="24"/>
        </w:rPr>
        <w:t xml:space="preserve"> </w:t>
      </w:r>
      <w:r w:rsidRPr="0096399A">
        <w:rPr>
          <w:sz w:val="24"/>
          <w:szCs w:val="24"/>
        </w:rPr>
        <w:t>Yadav, A. K., Mishra, P., Mishra, A. K., Mishra, P., Jain, S., and Agrawal, G. P. (2007) </w:t>
      </w:r>
      <w:r w:rsidRPr="0096399A">
        <w:rPr>
          <w:i/>
          <w:iCs/>
          <w:sz w:val="24"/>
          <w:szCs w:val="24"/>
        </w:rPr>
        <w:t>Nanomedicine Nanotechnology, Biol Med.</w:t>
      </w:r>
      <w:r w:rsidRPr="0096399A">
        <w:rPr>
          <w:sz w:val="24"/>
          <w:szCs w:val="24"/>
        </w:rPr>
        <w:t> </w:t>
      </w:r>
      <w:r w:rsidRPr="0096399A">
        <w:rPr>
          <w:b/>
          <w:bCs/>
          <w:sz w:val="24"/>
          <w:szCs w:val="24"/>
        </w:rPr>
        <w:t>3</w:t>
      </w:r>
      <w:r w:rsidRPr="0096399A">
        <w:rPr>
          <w:sz w:val="24"/>
          <w:szCs w:val="24"/>
        </w:rPr>
        <w:t>(4), 246– 257.</w:t>
      </w:r>
    </w:p>
    <w:p w14:paraId="4765C384" w14:textId="2FBB8F30" w:rsidR="00AC156D" w:rsidRPr="0096399A" w:rsidRDefault="00AC156D" w:rsidP="0096399A">
      <w:pPr>
        <w:pStyle w:val="NoSpacing"/>
        <w:ind w:left="720" w:hanging="720"/>
        <w:rPr>
          <w:sz w:val="24"/>
          <w:szCs w:val="24"/>
        </w:rPr>
      </w:pPr>
      <w:r w:rsidRPr="0096399A">
        <w:rPr>
          <w:sz w:val="24"/>
          <w:szCs w:val="24"/>
        </w:rPr>
        <w:t>43</w:t>
      </w:r>
      <w:r w:rsidR="0096399A">
        <w:rPr>
          <w:sz w:val="24"/>
          <w:szCs w:val="24"/>
        </w:rPr>
        <w:t xml:space="preserve"> </w:t>
      </w:r>
      <w:r w:rsidRPr="0096399A">
        <w:rPr>
          <w:sz w:val="24"/>
          <w:szCs w:val="24"/>
        </w:rPr>
        <w:t>Diwan, M., and Park, T. G. (2001) </w:t>
      </w:r>
      <w:r w:rsidRPr="0096399A">
        <w:rPr>
          <w:i/>
          <w:iCs/>
          <w:sz w:val="24"/>
          <w:szCs w:val="24"/>
        </w:rPr>
        <w:t>J. Control Release</w:t>
      </w:r>
      <w:r w:rsidRPr="0096399A">
        <w:rPr>
          <w:sz w:val="24"/>
          <w:szCs w:val="24"/>
        </w:rPr>
        <w:t> </w:t>
      </w:r>
      <w:r w:rsidRPr="0096399A">
        <w:rPr>
          <w:b/>
          <w:bCs/>
          <w:sz w:val="24"/>
          <w:szCs w:val="24"/>
        </w:rPr>
        <w:t>73</w:t>
      </w:r>
      <w:r w:rsidRPr="0096399A">
        <w:rPr>
          <w:sz w:val="24"/>
          <w:szCs w:val="24"/>
        </w:rPr>
        <w:t>(23), 233– 244.</w:t>
      </w:r>
    </w:p>
    <w:p w14:paraId="07FEE1EE" w14:textId="4970F0CA" w:rsidR="00AC156D" w:rsidRPr="0096399A" w:rsidRDefault="00AC156D" w:rsidP="0096399A">
      <w:pPr>
        <w:pStyle w:val="NoSpacing"/>
        <w:ind w:left="720" w:hanging="720"/>
        <w:rPr>
          <w:sz w:val="24"/>
          <w:szCs w:val="24"/>
        </w:rPr>
      </w:pPr>
      <w:r w:rsidRPr="0096399A">
        <w:rPr>
          <w:sz w:val="24"/>
          <w:szCs w:val="24"/>
        </w:rPr>
        <w:t>44</w:t>
      </w:r>
      <w:r w:rsidR="0096399A">
        <w:rPr>
          <w:sz w:val="24"/>
          <w:szCs w:val="24"/>
        </w:rPr>
        <w:t xml:space="preserve"> </w:t>
      </w:r>
      <w:r w:rsidRPr="0096399A">
        <w:rPr>
          <w:sz w:val="24"/>
          <w:szCs w:val="24"/>
        </w:rPr>
        <w:t>Klose, D., Siepmann, F., Elkharraz, K., and Siepmann, J. (2008) </w:t>
      </w:r>
      <w:r w:rsidRPr="0096399A">
        <w:rPr>
          <w:i/>
          <w:iCs/>
          <w:sz w:val="24"/>
          <w:szCs w:val="24"/>
        </w:rPr>
        <w:t>Int. J. Pharm.</w:t>
      </w:r>
      <w:r w:rsidRPr="0096399A">
        <w:rPr>
          <w:sz w:val="24"/>
          <w:szCs w:val="24"/>
        </w:rPr>
        <w:t> </w:t>
      </w:r>
      <w:r w:rsidRPr="0096399A">
        <w:rPr>
          <w:b/>
          <w:bCs/>
          <w:sz w:val="24"/>
          <w:szCs w:val="24"/>
        </w:rPr>
        <w:t>354</w:t>
      </w:r>
      <w:r w:rsidRPr="0096399A">
        <w:rPr>
          <w:sz w:val="24"/>
          <w:szCs w:val="24"/>
        </w:rPr>
        <w:t>(1-2), 95– 103.</w:t>
      </w:r>
    </w:p>
    <w:p w14:paraId="5A631781" w14:textId="0CD252BF" w:rsidR="00AC156D" w:rsidRPr="0096399A" w:rsidRDefault="00AC156D" w:rsidP="0096399A">
      <w:pPr>
        <w:pStyle w:val="NoSpacing"/>
        <w:ind w:left="720" w:hanging="720"/>
        <w:rPr>
          <w:sz w:val="24"/>
          <w:szCs w:val="24"/>
        </w:rPr>
      </w:pPr>
      <w:r w:rsidRPr="0096399A">
        <w:rPr>
          <w:sz w:val="24"/>
          <w:szCs w:val="24"/>
        </w:rPr>
        <w:t>45</w:t>
      </w:r>
      <w:r w:rsidR="0096399A">
        <w:rPr>
          <w:sz w:val="24"/>
          <w:szCs w:val="24"/>
        </w:rPr>
        <w:t xml:space="preserve"> </w:t>
      </w:r>
      <w:r w:rsidRPr="0096399A">
        <w:rPr>
          <w:sz w:val="24"/>
          <w:szCs w:val="24"/>
        </w:rPr>
        <w:t>Siepmann, J., Faisant, N., Akiki, J., Richard, J., and Benoit, J. P. (2004) </w:t>
      </w:r>
      <w:r w:rsidRPr="0096399A">
        <w:rPr>
          <w:i/>
          <w:iCs/>
          <w:sz w:val="24"/>
          <w:szCs w:val="24"/>
        </w:rPr>
        <w:t>J. Control Release</w:t>
      </w:r>
      <w:r w:rsidRPr="0096399A">
        <w:rPr>
          <w:sz w:val="24"/>
          <w:szCs w:val="24"/>
        </w:rPr>
        <w:t> </w:t>
      </w:r>
      <w:r w:rsidRPr="0096399A">
        <w:rPr>
          <w:b/>
          <w:bCs/>
          <w:sz w:val="24"/>
          <w:szCs w:val="24"/>
        </w:rPr>
        <w:t>96</w:t>
      </w:r>
      <w:r w:rsidRPr="0096399A">
        <w:rPr>
          <w:sz w:val="24"/>
          <w:szCs w:val="24"/>
        </w:rPr>
        <w:t>(1), 123– 134.</w:t>
      </w:r>
    </w:p>
    <w:p w14:paraId="22220375" w14:textId="77777777" w:rsidR="000C5D62" w:rsidRDefault="000C5D62" w:rsidP="00D14423">
      <w:pPr>
        <w:rPr>
          <w:rFonts w:cstheme="minorHAnsi"/>
          <w:sz w:val="24"/>
          <w:szCs w:val="24"/>
        </w:rPr>
      </w:pPr>
    </w:p>
    <w:sectPr w:rsidR="000C5D62"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A5912"/>
    <w:multiLevelType w:val="multilevel"/>
    <w:tmpl w:val="C630B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F2771DF"/>
    <w:multiLevelType w:val="hybridMultilevel"/>
    <w:tmpl w:val="B15EF2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BE85B14"/>
    <w:multiLevelType w:val="multilevel"/>
    <w:tmpl w:val="C400D2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1"/>
  </w:num>
  <w:num w:numId="2" w16cid:durableId="42485251">
    <w:abstractNumId w:val="5"/>
  </w:num>
  <w:num w:numId="3" w16cid:durableId="962153638">
    <w:abstractNumId w:val="4"/>
  </w:num>
  <w:num w:numId="4" w16cid:durableId="1885485953">
    <w:abstractNumId w:val="0"/>
  </w:num>
  <w:num w:numId="5" w16cid:durableId="1130324498">
    <w:abstractNumId w:val="3"/>
  </w:num>
  <w:num w:numId="6" w16cid:durableId="1238167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ye5DJQF3BimXPvaJ4X4rCK1FNGGDV63OfGsZzHUB1aYKZyadrK2AxgK6kNK8f7tmZPIL7pichRT2WhU/LXpynA==" w:salt="h5coHM1p9Eog8+DvT97NU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5D62"/>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29D7"/>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4EDB"/>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1F89"/>
    <w:rsid w:val="006A533C"/>
    <w:rsid w:val="006A5E52"/>
    <w:rsid w:val="006A712D"/>
    <w:rsid w:val="006A7B71"/>
    <w:rsid w:val="006B20FD"/>
    <w:rsid w:val="006B3B2B"/>
    <w:rsid w:val="006C024E"/>
    <w:rsid w:val="006C7ED1"/>
    <w:rsid w:val="006D236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232"/>
    <w:rsid w:val="007A3B3A"/>
    <w:rsid w:val="007B0BBA"/>
    <w:rsid w:val="007B4B60"/>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24EBF"/>
    <w:rsid w:val="008322E3"/>
    <w:rsid w:val="00834DF7"/>
    <w:rsid w:val="00836F01"/>
    <w:rsid w:val="008406F5"/>
    <w:rsid w:val="00841F1E"/>
    <w:rsid w:val="00842203"/>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399A"/>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602"/>
    <w:rsid w:val="00A07F07"/>
    <w:rsid w:val="00A11F34"/>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32C"/>
    <w:rsid w:val="00AA493D"/>
    <w:rsid w:val="00AB4807"/>
    <w:rsid w:val="00AB4813"/>
    <w:rsid w:val="00AC0052"/>
    <w:rsid w:val="00AC04D6"/>
    <w:rsid w:val="00AC156D"/>
    <w:rsid w:val="00AC428F"/>
    <w:rsid w:val="00AC52FE"/>
    <w:rsid w:val="00AD0685"/>
    <w:rsid w:val="00AD1A1F"/>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6470"/>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509"/>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661EC"/>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156D"/>
  </w:style>
  <w:style w:type="paragraph" w:styleId="Heading1">
    <w:name w:val="heading 1"/>
    <w:basedOn w:val="Normal"/>
    <w:next w:val="Normal"/>
    <w:link w:val="Heading1Char"/>
    <w:uiPriority w:val="9"/>
    <w:qFormat/>
    <w:rsid w:val="00AC156D"/>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C156D"/>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C156D"/>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C156D"/>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C156D"/>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C156D"/>
    <w:pPr>
      <w:keepNext/>
      <w:keepLines/>
      <w:spacing w:before="40" w:after="0"/>
      <w:outlineLvl w:val="5"/>
    </w:pPr>
  </w:style>
  <w:style w:type="paragraph" w:styleId="Heading7">
    <w:name w:val="heading 7"/>
    <w:basedOn w:val="Normal"/>
    <w:next w:val="Normal"/>
    <w:link w:val="Heading7Char"/>
    <w:uiPriority w:val="9"/>
    <w:semiHidden/>
    <w:unhideWhenUsed/>
    <w:qFormat/>
    <w:rsid w:val="00AC156D"/>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C156D"/>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C156D"/>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156D"/>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C156D"/>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C156D"/>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C156D"/>
    <w:rPr>
      <w:i/>
      <w:iCs/>
    </w:rPr>
  </w:style>
  <w:style w:type="character" w:customStyle="1" w:styleId="Heading5Char">
    <w:name w:val="Heading 5 Char"/>
    <w:basedOn w:val="DefaultParagraphFont"/>
    <w:link w:val="Heading5"/>
    <w:uiPriority w:val="9"/>
    <w:semiHidden/>
    <w:rsid w:val="00AC156D"/>
    <w:rPr>
      <w:color w:val="404040" w:themeColor="text1" w:themeTint="BF"/>
    </w:rPr>
  </w:style>
  <w:style w:type="character" w:customStyle="1" w:styleId="Heading6Char">
    <w:name w:val="Heading 6 Char"/>
    <w:basedOn w:val="DefaultParagraphFont"/>
    <w:link w:val="Heading6"/>
    <w:uiPriority w:val="9"/>
    <w:semiHidden/>
    <w:rsid w:val="00AC156D"/>
  </w:style>
  <w:style w:type="character" w:customStyle="1" w:styleId="Heading7Char">
    <w:name w:val="Heading 7 Char"/>
    <w:basedOn w:val="DefaultParagraphFont"/>
    <w:link w:val="Heading7"/>
    <w:uiPriority w:val="9"/>
    <w:semiHidden/>
    <w:rsid w:val="00AC156D"/>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C156D"/>
    <w:rPr>
      <w:color w:val="262626" w:themeColor="text1" w:themeTint="D9"/>
      <w:sz w:val="21"/>
      <w:szCs w:val="21"/>
    </w:rPr>
  </w:style>
  <w:style w:type="character" w:customStyle="1" w:styleId="Heading9Char">
    <w:name w:val="Heading 9 Char"/>
    <w:basedOn w:val="DefaultParagraphFont"/>
    <w:link w:val="Heading9"/>
    <w:uiPriority w:val="9"/>
    <w:semiHidden/>
    <w:rsid w:val="00AC156D"/>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C156D"/>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C156D"/>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C156D"/>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C156D"/>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C156D"/>
    <w:rPr>
      <w:color w:val="5A5A5A" w:themeColor="text1" w:themeTint="A5"/>
      <w:spacing w:val="15"/>
    </w:rPr>
  </w:style>
  <w:style w:type="character" w:styleId="Strong">
    <w:name w:val="Strong"/>
    <w:basedOn w:val="DefaultParagraphFont"/>
    <w:uiPriority w:val="22"/>
    <w:qFormat/>
    <w:rsid w:val="00AC156D"/>
    <w:rPr>
      <w:b/>
      <w:bCs/>
      <w:color w:val="auto"/>
    </w:rPr>
  </w:style>
  <w:style w:type="character" w:styleId="Emphasis">
    <w:name w:val="Emphasis"/>
    <w:basedOn w:val="DefaultParagraphFont"/>
    <w:uiPriority w:val="20"/>
    <w:qFormat/>
    <w:rsid w:val="00AC156D"/>
    <w:rPr>
      <w:i/>
      <w:iCs/>
      <w:color w:val="auto"/>
    </w:rPr>
  </w:style>
  <w:style w:type="paragraph" w:styleId="NoSpacing">
    <w:name w:val="No Spacing"/>
    <w:uiPriority w:val="1"/>
    <w:qFormat/>
    <w:rsid w:val="00AC156D"/>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C156D"/>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C156D"/>
    <w:rPr>
      <w:i/>
      <w:iCs/>
      <w:color w:val="404040" w:themeColor="text1" w:themeTint="BF"/>
    </w:rPr>
  </w:style>
  <w:style w:type="paragraph" w:styleId="IntenseQuote">
    <w:name w:val="Intense Quote"/>
    <w:basedOn w:val="Normal"/>
    <w:next w:val="Normal"/>
    <w:link w:val="IntenseQuoteChar"/>
    <w:uiPriority w:val="30"/>
    <w:qFormat/>
    <w:rsid w:val="00AC156D"/>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C156D"/>
    <w:rPr>
      <w:i/>
      <w:iCs/>
      <w:color w:val="404040" w:themeColor="text1" w:themeTint="BF"/>
    </w:rPr>
  </w:style>
  <w:style w:type="character" w:styleId="SubtleEmphasis">
    <w:name w:val="Subtle Emphasis"/>
    <w:basedOn w:val="DefaultParagraphFont"/>
    <w:uiPriority w:val="19"/>
    <w:qFormat/>
    <w:rsid w:val="00AC156D"/>
    <w:rPr>
      <w:i/>
      <w:iCs/>
      <w:color w:val="404040" w:themeColor="text1" w:themeTint="BF"/>
    </w:rPr>
  </w:style>
  <w:style w:type="character" w:styleId="IntenseEmphasis">
    <w:name w:val="Intense Emphasis"/>
    <w:basedOn w:val="DefaultParagraphFont"/>
    <w:uiPriority w:val="21"/>
    <w:qFormat/>
    <w:rsid w:val="00AC156D"/>
    <w:rPr>
      <w:b/>
      <w:bCs/>
      <w:i/>
      <w:iCs/>
      <w:color w:val="auto"/>
    </w:rPr>
  </w:style>
  <w:style w:type="character" w:styleId="SubtleReference">
    <w:name w:val="Subtle Reference"/>
    <w:basedOn w:val="DefaultParagraphFont"/>
    <w:uiPriority w:val="31"/>
    <w:qFormat/>
    <w:rsid w:val="00AC156D"/>
    <w:rPr>
      <w:smallCaps/>
      <w:color w:val="404040" w:themeColor="text1" w:themeTint="BF"/>
    </w:rPr>
  </w:style>
  <w:style w:type="character" w:styleId="IntenseReference">
    <w:name w:val="Intense Reference"/>
    <w:basedOn w:val="DefaultParagraphFont"/>
    <w:uiPriority w:val="32"/>
    <w:qFormat/>
    <w:rsid w:val="00AC156D"/>
    <w:rPr>
      <w:b/>
      <w:bCs/>
      <w:smallCaps/>
      <w:color w:val="404040" w:themeColor="text1" w:themeTint="BF"/>
      <w:spacing w:val="5"/>
    </w:rPr>
  </w:style>
  <w:style w:type="character" w:styleId="BookTitle">
    <w:name w:val="Book Title"/>
    <w:basedOn w:val="DefaultParagraphFont"/>
    <w:uiPriority w:val="33"/>
    <w:qFormat/>
    <w:rsid w:val="00AC156D"/>
    <w:rPr>
      <w:b/>
      <w:bCs/>
      <w:i/>
      <w:iCs/>
      <w:spacing w:val="5"/>
    </w:rPr>
  </w:style>
  <w:style w:type="paragraph" w:styleId="TOCHeading">
    <w:name w:val="TOC Heading"/>
    <w:basedOn w:val="Heading1"/>
    <w:next w:val="Normal"/>
    <w:uiPriority w:val="39"/>
    <w:semiHidden/>
    <w:unhideWhenUsed/>
    <w:qFormat/>
    <w:rsid w:val="00AC156D"/>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bullet">
    <w:name w:val="bullet"/>
    <w:basedOn w:val="DefaultParagraphFont"/>
    <w:rsid w:val="00AC156D"/>
  </w:style>
  <w:style w:type="character" w:customStyle="1" w:styleId="author">
    <w:name w:val="author"/>
    <w:basedOn w:val="DefaultParagraphFont"/>
    <w:rsid w:val="00AC156D"/>
  </w:style>
  <w:style w:type="character" w:customStyle="1" w:styleId="pubyear">
    <w:name w:val="pubyear"/>
    <w:basedOn w:val="DefaultParagraphFont"/>
    <w:rsid w:val="00AC156D"/>
  </w:style>
  <w:style w:type="character" w:customStyle="1" w:styleId="vol">
    <w:name w:val="vol"/>
    <w:basedOn w:val="DefaultParagraphFont"/>
    <w:rsid w:val="00AC156D"/>
  </w:style>
  <w:style w:type="character" w:customStyle="1" w:styleId="citedissue">
    <w:name w:val="citedissue"/>
    <w:basedOn w:val="DefaultParagraphFont"/>
    <w:rsid w:val="00AC156D"/>
  </w:style>
  <w:style w:type="character" w:customStyle="1" w:styleId="pagefirst">
    <w:name w:val="pagefirst"/>
    <w:basedOn w:val="DefaultParagraphFont"/>
    <w:rsid w:val="00AC156D"/>
  </w:style>
  <w:style w:type="character" w:customStyle="1" w:styleId="pagelast">
    <w:name w:val="pagelast"/>
    <w:basedOn w:val="DefaultParagraphFont"/>
    <w:rsid w:val="00AC156D"/>
  </w:style>
  <w:style w:type="paragraph" w:customStyle="1" w:styleId="getftritem">
    <w:name w:val="getftr__item"/>
    <w:basedOn w:val="Normal"/>
    <w:rsid w:val="00AC156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782616">
      <w:bodyDiv w:val="1"/>
      <w:marLeft w:val="0"/>
      <w:marRight w:val="0"/>
      <w:marTop w:val="0"/>
      <w:marBottom w:val="0"/>
      <w:divBdr>
        <w:top w:val="none" w:sz="0" w:space="0" w:color="auto"/>
        <w:left w:val="none" w:sz="0" w:space="0" w:color="auto"/>
        <w:bottom w:val="none" w:sz="0" w:space="0" w:color="auto"/>
        <w:right w:val="none" w:sz="0" w:space="0" w:color="auto"/>
      </w:divBdr>
      <w:divsChild>
        <w:div w:id="766577960">
          <w:marLeft w:val="0"/>
          <w:marRight w:val="0"/>
          <w:marTop w:val="0"/>
          <w:marBottom w:val="0"/>
          <w:divBdr>
            <w:top w:val="none" w:sz="0" w:space="0" w:color="auto"/>
            <w:left w:val="none" w:sz="0" w:space="0" w:color="auto"/>
            <w:bottom w:val="none" w:sz="0" w:space="0" w:color="auto"/>
            <w:right w:val="none" w:sz="0" w:space="0" w:color="auto"/>
          </w:divBdr>
          <w:divsChild>
            <w:div w:id="1026056523">
              <w:marLeft w:val="0"/>
              <w:marRight w:val="0"/>
              <w:marTop w:val="0"/>
              <w:marBottom w:val="0"/>
              <w:divBdr>
                <w:top w:val="none" w:sz="0" w:space="0" w:color="auto"/>
                <w:left w:val="none" w:sz="0" w:space="0" w:color="auto"/>
                <w:bottom w:val="none" w:sz="0" w:space="0" w:color="auto"/>
                <w:right w:val="none" w:sz="0" w:space="0" w:color="auto"/>
              </w:divBdr>
              <w:divsChild>
                <w:div w:id="401677523">
                  <w:marLeft w:val="0"/>
                  <w:marRight w:val="0"/>
                  <w:marTop w:val="0"/>
                  <w:marBottom w:val="0"/>
                  <w:divBdr>
                    <w:top w:val="none" w:sz="0" w:space="0" w:color="auto"/>
                    <w:left w:val="none" w:sz="0" w:space="0" w:color="auto"/>
                    <w:bottom w:val="none" w:sz="0" w:space="0" w:color="auto"/>
                    <w:right w:val="none" w:sz="0" w:space="0" w:color="auto"/>
                  </w:divBdr>
                  <w:divsChild>
                    <w:div w:id="654606272">
                      <w:marLeft w:val="0"/>
                      <w:marRight w:val="0"/>
                      <w:marTop w:val="0"/>
                      <w:marBottom w:val="0"/>
                      <w:divBdr>
                        <w:top w:val="none" w:sz="0" w:space="0" w:color="auto"/>
                        <w:left w:val="none" w:sz="0" w:space="0" w:color="auto"/>
                        <w:bottom w:val="none" w:sz="0" w:space="0" w:color="auto"/>
                        <w:right w:val="none" w:sz="0" w:space="0" w:color="auto"/>
                      </w:divBdr>
                      <w:divsChild>
                        <w:div w:id="531186770">
                          <w:marLeft w:val="0"/>
                          <w:marRight w:val="0"/>
                          <w:marTop w:val="0"/>
                          <w:marBottom w:val="0"/>
                          <w:divBdr>
                            <w:top w:val="none" w:sz="0" w:space="0" w:color="auto"/>
                            <w:left w:val="none" w:sz="0" w:space="0" w:color="auto"/>
                            <w:bottom w:val="none" w:sz="0" w:space="0" w:color="auto"/>
                            <w:right w:val="none" w:sz="0" w:space="0" w:color="auto"/>
                          </w:divBdr>
                          <w:divsChild>
                            <w:div w:id="178410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844902">
                  <w:marLeft w:val="0"/>
                  <w:marRight w:val="0"/>
                  <w:marTop w:val="0"/>
                  <w:marBottom w:val="0"/>
                  <w:divBdr>
                    <w:top w:val="none" w:sz="0" w:space="0" w:color="auto"/>
                    <w:left w:val="none" w:sz="0" w:space="0" w:color="auto"/>
                    <w:bottom w:val="none" w:sz="0" w:space="0" w:color="auto"/>
                    <w:right w:val="none" w:sz="0" w:space="0" w:color="auto"/>
                  </w:divBdr>
                  <w:divsChild>
                    <w:div w:id="1523742295">
                      <w:marLeft w:val="0"/>
                      <w:marRight w:val="0"/>
                      <w:marTop w:val="0"/>
                      <w:marBottom w:val="0"/>
                      <w:divBdr>
                        <w:top w:val="none" w:sz="0" w:space="0" w:color="auto"/>
                        <w:left w:val="none" w:sz="0" w:space="0" w:color="auto"/>
                        <w:bottom w:val="none" w:sz="0" w:space="0" w:color="auto"/>
                        <w:right w:val="none" w:sz="0" w:space="0" w:color="auto"/>
                      </w:divBdr>
                    </w:div>
                    <w:div w:id="627710772">
                      <w:marLeft w:val="0"/>
                      <w:marRight w:val="0"/>
                      <w:marTop w:val="0"/>
                      <w:marBottom w:val="0"/>
                      <w:divBdr>
                        <w:top w:val="none" w:sz="0" w:space="0" w:color="auto"/>
                        <w:left w:val="none" w:sz="0" w:space="0" w:color="auto"/>
                        <w:bottom w:val="none" w:sz="0" w:space="0" w:color="auto"/>
                        <w:right w:val="none" w:sz="0" w:space="0" w:color="auto"/>
                      </w:divBdr>
                    </w:div>
                    <w:div w:id="452869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357228">
          <w:marLeft w:val="0"/>
          <w:marRight w:val="0"/>
          <w:marTop w:val="0"/>
          <w:marBottom w:val="0"/>
          <w:divBdr>
            <w:top w:val="none" w:sz="0" w:space="0" w:color="auto"/>
            <w:left w:val="none" w:sz="0" w:space="0" w:color="auto"/>
            <w:bottom w:val="none" w:sz="0" w:space="0" w:color="auto"/>
            <w:right w:val="none" w:sz="0" w:space="0" w:color="auto"/>
          </w:divBdr>
          <w:divsChild>
            <w:div w:id="35544342">
              <w:marLeft w:val="0"/>
              <w:marRight w:val="0"/>
              <w:marTop w:val="0"/>
              <w:marBottom w:val="0"/>
              <w:divBdr>
                <w:top w:val="none" w:sz="0" w:space="0" w:color="auto"/>
                <w:left w:val="none" w:sz="0" w:space="0" w:color="auto"/>
                <w:bottom w:val="single" w:sz="12" w:space="0" w:color="D8D9DA"/>
                <w:right w:val="none" w:sz="0" w:space="0" w:color="auto"/>
              </w:divBdr>
              <w:divsChild>
                <w:div w:id="1889609730">
                  <w:marLeft w:val="0"/>
                  <w:marRight w:val="0"/>
                  <w:marTop w:val="0"/>
                  <w:marBottom w:val="0"/>
                  <w:divBdr>
                    <w:top w:val="none" w:sz="0" w:space="0" w:color="auto"/>
                    <w:left w:val="none" w:sz="0" w:space="0" w:color="auto"/>
                    <w:bottom w:val="none" w:sz="0" w:space="0" w:color="auto"/>
                    <w:right w:val="none" w:sz="0" w:space="0" w:color="auto"/>
                  </w:divBdr>
                  <w:divsChild>
                    <w:div w:id="935678070">
                      <w:marLeft w:val="0"/>
                      <w:marRight w:val="0"/>
                      <w:marTop w:val="0"/>
                      <w:marBottom w:val="0"/>
                      <w:divBdr>
                        <w:top w:val="none" w:sz="0" w:space="0" w:color="auto"/>
                        <w:left w:val="none" w:sz="0" w:space="0" w:color="auto"/>
                        <w:bottom w:val="none" w:sz="0" w:space="0" w:color="auto"/>
                        <w:right w:val="none" w:sz="0" w:space="0" w:color="auto"/>
                      </w:divBdr>
                    </w:div>
                  </w:divsChild>
                </w:div>
                <w:div w:id="89787069">
                  <w:marLeft w:val="0"/>
                  <w:marRight w:val="0"/>
                  <w:marTop w:val="0"/>
                  <w:marBottom w:val="0"/>
                  <w:divBdr>
                    <w:top w:val="none" w:sz="0" w:space="0" w:color="auto"/>
                    <w:left w:val="none" w:sz="0" w:space="0" w:color="auto"/>
                    <w:bottom w:val="none" w:sz="0" w:space="0" w:color="auto"/>
                    <w:right w:val="none" w:sz="0" w:space="0" w:color="auto"/>
                  </w:divBdr>
                  <w:divsChild>
                    <w:div w:id="1766225651">
                      <w:marLeft w:val="0"/>
                      <w:marRight w:val="0"/>
                      <w:marTop w:val="0"/>
                      <w:marBottom w:val="0"/>
                      <w:divBdr>
                        <w:top w:val="none" w:sz="0" w:space="0" w:color="auto"/>
                        <w:left w:val="none" w:sz="0" w:space="0" w:color="auto"/>
                        <w:bottom w:val="none" w:sz="0" w:space="0" w:color="auto"/>
                        <w:right w:val="none" w:sz="0" w:space="0" w:color="auto"/>
                      </w:divBdr>
                    </w:div>
                    <w:div w:id="1865556074">
                      <w:marLeft w:val="0"/>
                      <w:marRight w:val="0"/>
                      <w:marTop w:val="0"/>
                      <w:marBottom w:val="0"/>
                      <w:divBdr>
                        <w:top w:val="none" w:sz="0" w:space="0" w:color="auto"/>
                        <w:left w:val="none" w:sz="0" w:space="0" w:color="auto"/>
                        <w:bottom w:val="none" w:sz="0" w:space="0" w:color="auto"/>
                        <w:right w:val="none" w:sz="0" w:space="0" w:color="auto"/>
                      </w:divBdr>
                    </w:div>
                    <w:div w:id="45784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911857">
          <w:marLeft w:val="0"/>
          <w:marRight w:val="0"/>
          <w:marTop w:val="0"/>
          <w:marBottom w:val="0"/>
          <w:divBdr>
            <w:top w:val="none" w:sz="0" w:space="0" w:color="auto"/>
            <w:left w:val="none" w:sz="0" w:space="0" w:color="auto"/>
            <w:bottom w:val="none" w:sz="0" w:space="0" w:color="auto"/>
            <w:right w:val="none" w:sz="0" w:space="0" w:color="auto"/>
          </w:divBdr>
          <w:divsChild>
            <w:div w:id="1719619587">
              <w:marLeft w:val="0"/>
              <w:marRight w:val="0"/>
              <w:marTop w:val="0"/>
              <w:marBottom w:val="0"/>
              <w:divBdr>
                <w:top w:val="none" w:sz="0" w:space="0" w:color="auto"/>
                <w:left w:val="none" w:sz="0" w:space="0" w:color="auto"/>
                <w:bottom w:val="none" w:sz="0" w:space="0" w:color="auto"/>
                <w:right w:val="none" w:sz="0" w:space="0" w:color="auto"/>
              </w:divBdr>
              <w:divsChild>
                <w:div w:id="1490902659">
                  <w:marLeft w:val="0"/>
                  <w:marRight w:val="0"/>
                  <w:marTop w:val="0"/>
                  <w:marBottom w:val="0"/>
                  <w:divBdr>
                    <w:top w:val="none" w:sz="0" w:space="0" w:color="auto"/>
                    <w:left w:val="none" w:sz="0" w:space="0" w:color="auto"/>
                    <w:bottom w:val="none" w:sz="0" w:space="0" w:color="auto"/>
                    <w:right w:val="none" w:sz="0" w:space="0" w:color="auto"/>
                  </w:divBdr>
                </w:div>
              </w:divsChild>
            </w:div>
            <w:div w:id="1920670714">
              <w:marLeft w:val="0"/>
              <w:marRight w:val="0"/>
              <w:marTop w:val="0"/>
              <w:marBottom w:val="0"/>
              <w:divBdr>
                <w:top w:val="none" w:sz="0" w:space="0" w:color="auto"/>
                <w:left w:val="none" w:sz="0" w:space="0" w:color="auto"/>
                <w:bottom w:val="none" w:sz="0" w:space="0" w:color="auto"/>
                <w:right w:val="none" w:sz="0" w:space="0" w:color="auto"/>
              </w:divBdr>
              <w:divsChild>
                <w:div w:id="373821437">
                  <w:marLeft w:val="0"/>
                  <w:marRight w:val="0"/>
                  <w:marTop w:val="360"/>
                  <w:marBottom w:val="360"/>
                  <w:divBdr>
                    <w:top w:val="none" w:sz="0" w:space="0" w:color="auto"/>
                    <w:left w:val="none" w:sz="0" w:space="0" w:color="auto"/>
                    <w:bottom w:val="none" w:sz="0" w:space="0" w:color="auto"/>
                    <w:right w:val="none" w:sz="0" w:space="0" w:color="auto"/>
                  </w:divBdr>
                  <w:divsChild>
                    <w:div w:id="399133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697076">
              <w:marLeft w:val="0"/>
              <w:marRight w:val="0"/>
              <w:marTop w:val="0"/>
              <w:marBottom w:val="0"/>
              <w:divBdr>
                <w:top w:val="none" w:sz="0" w:space="0" w:color="auto"/>
                <w:left w:val="none" w:sz="0" w:space="0" w:color="auto"/>
                <w:bottom w:val="none" w:sz="0" w:space="0" w:color="auto"/>
                <w:right w:val="none" w:sz="0" w:space="0" w:color="auto"/>
              </w:divBdr>
              <w:divsChild>
                <w:div w:id="1624383463">
                  <w:marLeft w:val="0"/>
                  <w:marRight w:val="0"/>
                  <w:marTop w:val="0"/>
                  <w:marBottom w:val="0"/>
                  <w:divBdr>
                    <w:top w:val="none" w:sz="0" w:space="0" w:color="auto"/>
                    <w:left w:val="none" w:sz="0" w:space="0" w:color="auto"/>
                    <w:bottom w:val="none" w:sz="0" w:space="0" w:color="auto"/>
                    <w:right w:val="none" w:sz="0" w:space="0" w:color="auto"/>
                  </w:divBdr>
                </w:div>
              </w:divsChild>
            </w:div>
            <w:div w:id="499808565">
              <w:marLeft w:val="0"/>
              <w:marRight w:val="0"/>
              <w:marTop w:val="0"/>
              <w:marBottom w:val="0"/>
              <w:divBdr>
                <w:top w:val="none" w:sz="0" w:space="0" w:color="auto"/>
                <w:left w:val="none" w:sz="0" w:space="0" w:color="auto"/>
                <w:bottom w:val="none" w:sz="0" w:space="0" w:color="auto"/>
                <w:right w:val="none" w:sz="0" w:space="0" w:color="auto"/>
              </w:divBdr>
            </w:div>
            <w:div w:id="1564948243">
              <w:marLeft w:val="0"/>
              <w:marRight w:val="0"/>
              <w:marTop w:val="0"/>
              <w:marBottom w:val="0"/>
              <w:divBdr>
                <w:top w:val="none" w:sz="0" w:space="0" w:color="auto"/>
                <w:left w:val="none" w:sz="0" w:space="0" w:color="auto"/>
                <w:bottom w:val="none" w:sz="0" w:space="0" w:color="auto"/>
                <w:right w:val="none" w:sz="0" w:space="0" w:color="auto"/>
              </w:divBdr>
              <w:divsChild>
                <w:div w:id="403257017">
                  <w:marLeft w:val="0"/>
                  <w:marRight w:val="0"/>
                  <w:marTop w:val="0"/>
                  <w:marBottom w:val="0"/>
                  <w:divBdr>
                    <w:top w:val="none" w:sz="0" w:space="0" w:color="auto"/>
                    <w:left w:val="none" w:sz="0" w:space="0" w:color="auto"/>
                    <w:bottom w:val="none" w:sz="0" w:space="0" w:color="auto"/>
                    <w:right w:val="none" w:sz="0" w:space="0" w:color="auto"/>
                  </w:divBdr>
                </w:div>
              </w:divsChild>
            </w:div>
            <w:div w:id="1497070215">
              <w:marLeft w:val="0"/>
              <w:marRight w:val="0"/>
              <w:marTop w:val="0"/>
              <w:marBottom w:val="0"/>
              <w:divBdr>
                <w:top w:val="none" w:sz="0" w:space="0" w:color="auto"/>
                <w:left w:val="none" w:sz="0" w:space="0" w:color="auto"/>
                <w:bottom w:val="none" w:sz="0" w:space="0" w:color="auto"/>
                <w:right w:val="none" w:sz="0" w:space="0" w:color="auto"/>
              </w:divBdr>
            </w:div>
            <w:div w:id="1258249335">
              <w:marLeft w:val="0"/>
              <w:marRight w:val="0"/>
              <w:marTop w:val="0"/>
              <w:marBottom w:val="0"/>
              <w:divBdr>
                <w:top w:val="none" w:sz="0" w:space="0" w:color="auto"/>
                <w:left w:val="none" w:sz="0" w:space="0" w:color="auto"/>
                <w:bottom w:val="none" w:sz="0" w:space="0" w:color="auto"/>
                <w:right w:val="none" w:sz="0" w:space="0" w:color="auto"/>
              </w:divBdr>
              <w:divsChild>
                <w:div w:id="1284844886">
                  <w:marLeft w:val="0"/>
                  <w:marRight w:val="0"/>
                  <w:marTop w:val="0"/>
                  <w:marBottom w:val="0"/>
                  <w:divBdr>
                    <w:top w:val="none" w:sz="0" w:space="0" w:color="auto"/>
                    <w:left w:val="none" w:sz="0" w:space="0" w:color="auto"/>
                    <w:bottom w:val="none" w:sz="0" w:space="0" w:color="auto"/>
                    <w:right w:val="none" w:sz="0" w:space="0" w:color="auto"/>
                  </w:divBdr>
                </w:div>
              </w:divsChild>
            </w:div>
            <w:div w:id="1442990942">
              <w:marLeft w:val="0"/>
              <w:marRight w:val="0"/>
              <w:marTop w:val="0"/>
              <w:marBottom w:val="0"/>
              <w:divBdr>
                <w:top w:val="none" w:sz="0" w:space="0" w:color="auto"/>
                <w:left w:val="none" w:sz="0" w:space="0" w:color="auto"/>
                <w:bottom w:val="none" w:sz="0" w:space="0" w:color="auto"/>
                <w:right w:val="none" w:sz="0" w:space="0" w:color="auto"/>
              </w:divBdr>
            </w:div>
            <w:div w:id="2128115568">
              <w:marLeft w:val="0"/>
              <w:marRight w:val="0"/>
              <w:marTop w:val="0"/>
              <w:marBottom w:val="0"/>
              <w:divBdr>
                <w:top w:val="none" w:sz="0" w:space="0" w:color="auto"/>
                <w:left w:val="none" w:sz="0" w:space="0" w:color="auto"/>
                <w:bottom w:val="none" w:sz="0" w:space="0" w:color="auto"/>
                <w:right w:val="none" w:sz="0" w:space="0" w:color="auto"/>
              </w:divBdr>
              <w:divsChild>
                <w:div w:id="2040083650">
                  <w:marLeft w:val="0"/>
                  <w:marRight w:val="0"/>
                  <w:marTop w:val="0"/>
                  <w:marBottom w:val="0"/>
                  <w:divBdr>
                    <w:top w:val="none" w:sz="0" w:space="0" w:color="auto"/>
                    <w:left w:val="none" w:sz="0" w:space="0" w:color="auto"/>
                    <w:bottom w:val="none" w:sz="0" w:space="0" w:color="auto"/>
                    <w:right w:val="none" w:sz="0" w:space="0" w:color="auto"/>
                  </w:divBdr>
                </w:div>
              </w:divsChild>
            </w:div>
            <w:div w:id="697585527">
              <w:marLeft w:val="0"/>
              <w:marRight w:val="0"/>
              <w:marTop w:val="0"/>
              <w:marBottom w:val="0"/>
              <w:divBdr>
                <w:top w:val="none" w:sz="0" w:space="0" w:color="auto"/>
                <w:left w:val="none" w:sz="0" w:space="0" w:color="auto"/>
                <w:bottom w:val="none" w:sz="0" w:space="0" w:color="auto"/>
                <w:right w:val="none" w:sz="0" w:space="0" w:color="auto"/>
              </w:divBdr>
            </w:div>
            <w:div w:id="540091391">
              <w:marLeft w:val="0"/>
              <w:marRight w:val="0"/>
              <w:marTop w:val="0"/>
              <w:marBottom w:val="0"/>
              <w:divBdr>
                <w:top w:val="none" w:sz="0" w:space="0" w:color="auto"/>
                <w:left w:val="none" w:sz="0" w:space="0" w:color="auto"/>
                <w:bottom w:val="none" w:sz="0" w:space="0" w:color="auto"/>
                <w:right w:val="none" w:sz="0" w:space="0" w:color="auto"/>
              </w:divBdr>
              <w:divsChild>
                <w:div w:id="567617546">
                  <w:marLeft w:val="0"/>
                  <w:marRight w:val="0"/>
                  <w:marTop w:val="0"/>
                  <w:marBottom w:val="0"/>
                  <w:divBdr>
                    <w:top w:val="none" w:sz="0" w:space="0" w:color="auto"/>
                    <w:left w:val="none" w:sz="0" w:space="0" w:color="auto"/>
                    <w:bottom w:val="none" w:sz="0" w:space="0" w:color="auto"/>
                    <w:right w:val="none" w:sz="0" w:space="0" w:color="auto"/>
                  </w:divBdr>
                </w:div>
              </w:divsChild>
            </w:div>
            <w:div w:id="1908034263">
              <w:marLeft w:val="0"/>
              <w:marRight w:val="0"/>
              <w:marTop w:val="0"/>
              <w:marBottom w:val="0"/>
              <w:divBdr>
                <w:top w:val="none" w:sz="0" w:space="0" w:color="auto"/>
                <w:left w:val="none" w:sz="0" w:space="0" w:color="auto"/>
                <w:bottom w:val="none" w:sz="0" w:space="0" w:color="auto"/>
                <w:right w:val="none" w:sz="0" w:space="0" w:color="auto"/>
              </w:divBdr>
            </w:div>
            <w:div w:id="1813523814">
              <w:marLeft w:val="0"/>
              <w:marRight w:val="0"/>
              <w:marTop w:val="0"/>
              <w:marBottom w:val="0"/>
              <w:divBdr>
                <w:top w:val="none" w:sz="0" w:space="0" w:color="auto"/>
                <w:left w:val="none" w:sz="0" w:space="0" w:color="auto"/>
                <w:bottom w:val="none" w:sz="0" w:space="0" w:color="auto"/>
                <w:right w:val="none" w:sz="0" w:space="0" w:color="auto"/>
              </w:divBdr>
              <w:divsChild>
                <w:div w:id="1501627819">
                  <w:marLeft w:val="0"/>
                  <w:marRight w:val="0"/>
                  <w:marTop w:val="0"/>
                  <w:marBottom w:val="0"/>
                  <w:divBdr>
                    <w:top w:val="none" w:sz="0" w:space="0" w:color="auto"/>
                    <w:left w:val="none" w:sz="0" w:space="0" w:color="auto"/>
                    <w:bottom w:val="none" w:sz="0" w:space="0" w:color="auto"/>
                    <w:right w:val="none" w:sz="0" w:space="0" w:color="auto"/>
                  </w:divBdr>
                </w:div>
              </w:divsChild>
            </w:div>
            <w:div w:id="1604344380">
              <w:marLeft w:val="0"/>
              <w:marRight w:val="0"/>
              <w:marTop w:val="0"/>
              <w:marBottom w:val="0"/>
              <w:divBdr>
                <w:top w:val="none" w:sz="0" w:space="0" w:color="auto"/>
                <w:left w:val="none" w:sz="0" w:space="0" w:color="auto"/>
                <w:bottom w:val="none" w:sz="0" w:space="0" w:color="auto"/>
                <w:right w:val="none" w:sz="0" w:space="0" w:color="auto"/>
              </w:divBdr>
              <w:divsChild>
                <w:div w:id="1162625825">
                  <w:marLeft w:val="0"/>
                  <w:marRight w:val="0"/>
                  <w:marTop w:val="0"/>
                  <w:marBottom w:val="0"/>
                  <w:divBdr>
                    <w:top w:val="none" w:sz="0" w:space="0" w:color="auto"/>
                    <w:left w:val="none" w:sz="0" w:space="0" w:color="auto"/>
                    <w:bottom w:val="none" w:sz="0" w:space="0" w:color="auto"/>
                    <w:right w:val="none" w:sz="0" w:space="0" w:color="auto"/>
                  </w:divBdr>
                </w:div>
              </w:divsChild>
            </w:div>
            <w:div w:id="1104809190">
              <w:marLeft w:val="0"/>
              <w:marRight w:val="0"/>
              <w:marTop w:val="0"/>
              <w:marBottom w:val="0"/>
              <w:divBdr>
                <w:top w:val="none" w:sz="0" w:space="0" w:color="auto"/>
                <w:left w:val="none" w:sz="0" w:space="0" w:color="auto"/>
                <w:bottom w:val="none" w:sz="0" w:space="0" w:color="auto"/>
                <w:right w:val="none" w:sz="0" w:space="0" w:color="auto"/>
              </w:divBdr>
            </w:div>
            <w:div w:id="1282105219">
              <w:marLeft w:val="0"/>
              <w:marRight w:val="0"/>
              <w:marTop w:val="0"/>
              <w:marBottom w:val="0"/>
              <w:divBdr>
                <w:top w:val="none" w:sz="0" w:space="0" w:color="auto"/>
                <w:left w:val="none" w:sz="0" w:space="0" w:color="auto"/>
                <w:bottom w:val="none" w:sz="0" w:space="0" w:color="auto"/>
                <w:right w:val="none" w:sz="0" w:space="0" w:color="auto"/>
              </w:divBdr>
            </w:div>
            <w:div w:id="1086027989">
              <w:marLeft w:val="0"/>
              <w:marRight w:val="0"/>
              <w:marTop w:val="0"/>
              <w:marBottom w:val="0"/>
              <w:divBdr>
                <w:top w:val="none" w:sz="0" w:space="0" w:color="auto"/>
                <w:left w:val="none" w:sz="0" w:space="0" w:color="auto"/>
                <w:bottom w:val="none" w:sz="0" w:space="0" w:color="auto"/>
                <w:right w:val="none" w:sz="0" w:space="0" w:color="auto"/>
              </w:divBdr>
              <w:divsChild>
                <w:div w:id="107269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1902712867">
      <w:bodyDiv w:val="1"/>
      <w:marLeft w:val="0"/>
      <w:marRight w:val="0"/>
      <w:marTop w:val="0"/>
      <w:marBottom w:val="0"/>
      <w:divBdr>
        <w:top w:val="none" w:sz="0" w:space="0" w:color="auto"/>
        <w:left w:val="none" w:sz="0" w:space="0" w:color="auto"/>
        <w:bottom w:val="none" w:sz="0" w:space="0" w:color="auto"/>
        <w:right w:val="none" w:sz="0" w:space="0" w:color="auto"/>
      </w:divBdr>
      <w:divsChild>
        <w:div w:id="1787700963">
          <w:marLeft w:val="0"/>
          <w:marRight w:val="0"/>
          <w:marTop w:val="0"/>
          <w:marBottom w:val="0"/>
          <w:divBdr>
            <w:top w:val="none" w:sz="0" w:space="0" w:color="auto"/>
            <w:left w:val="none" w:sz="0" w:space="0" w:color="auto"/>
            <w:bottom w:val="none" w:sz="0" w:space="0" w:color="auto"/>
            <w:right w:val="none" w:sz="0" w:space="0" w:color="auto"/>
          </w:divBdr>
        </w:div>
        <w:div w:id="1620448453">
          <w:marLeft w:val="0"/>
          <w:marRight w:val="0"/>
          <w:marTop w:val="0"/>
          <w:marBottom w:val="0"/>
          <w:divBdr>
            <w:top w:val="none" w:sz="0" w:space="0" w:color="auto"/>
            <w:left w:val="none" w:sz="0" w:space="0" w:color="auto"/>
            <w:bottom w:val="none" w:sz="0" w:space="0" w:color="auto"/>
            <w:right w:val="none" w:sz="0" w:space="0" w:color="auto"/>
          </w:divBdr>
        </w:div>
        <w:div w:id="1287394917">
          <w:marLeft w:val="0"/>
          <w:marRight w:val="0"/>
          <w:marTop w:val="0"/>
          <w:marBottom w:val="0"/>
          <w:divBdr>
            <w:top w:val="none" w:sz="0" w:space="0" w:color="auto"/>
            <w:left w:val="none" w:sz="0" w:space="0" w:color="auto"/>
            <w:bottom w:val="none" w:sz="0" w:space="0" w:color="auto"/>
            <w:right w:val="none" w:sz="0" w:space="0" w:color="auto"/>
          </w:divBdr>
        </w:div>
        <w:div w:id="954992576">
          <w:marLeft w:val="0"/>
          <w:marRight w:val="0"/>
          <w:marTop w:val="0"/>
          <w:marBottom w:val="0"/>
          <w:divBdr>
            <w:top w:val="none" w:sz="0" w:space="0" w:color="auto"/>
            <w:left w:val="none" w:sz="0" w:space="0" w:color="auto"/>
            <w:bottom w:val="none" w:sz="0" w:space="0" w:color="auto"/>
            <w:right w:val="none" w:sz="0" w:space="0" w:color="auto"/>
          </w:divBdr>
        </w:div>
        <w:div w:id="1765834128">
          <w:marLeft w:val="0"/>
          <w:marRight w:val="0"/>
          <w:marTop w:val="0"/>
          <w:marBottom w:val="0"/>
          <w:divBdr>
            <w:top w:val="none" w:sz="0" w:space="0" w:color="auto"/>
            <w:left w:val="none" w:sz="0" w:space="0" w:color="auto"/>
            <w:bottom w:val="none" w:sz="0" w:space="0" w:color="auto"/>
            <w:right w:val="none" w:sz="0" w:space="0" w:color="auto"/>
          </w:divBdr>
        </w:div>
        <w:div w:id="628433891">
          <w:marLeft w:val="0"/>
          <w:marRight w:val="0"/>
          <w:marTop w:val="0"/>
          <w:marBottom w:val="0"/>
          <w:divBdr>
            <w:top w:val="none" w:sz="0" w:space="0" w:color="auto"/>
            <w:left w:val="none" w:sz="0" w:space="0" w:color="auto"/>
            <w:bottom w:val="none" w:sz="0" w:space="0" w:color="auto"/>
            <w:right w:val="none" w:sz="0" w:space="0" w:color="auto"/>
          </w:divBdr>
        </w:div>
        <w:div w:id="1137646247">
          <w:marLeft w:val="0"/>
          <w:marRight w:val="0"/>
          <w:marTop w:val="0"/>
          <w:marBottom w:val="0"/>
          <w:divBdr>
            <w:top w:val="none" w:sz="0" w:space="0" w:color="auto"/>
            <w:left w:val="none" w:sz="0" w:space="0" w:color="auto"/>
            <w:bottom w:val="none" w:sz="0" w:space="0" w:color="auto"/>
            <w:right w:val="none" w:sz="0" w:space="0" w:color="auto"/>
          </w:divBdr>
        </w:div>
        <w:div w:id="2115709889">
          <w:marLeft w:val="0"/>
          <w:marRight w:val="0"/>
          <w:marTop w:val="0"/>
          <w:marBottom w:val="0"/>
          <w:divBdr>
            <w:top w:val="none" w:sz="0" w:space="0" w:color="auto"/>
            <w:left w:val="none" w:sz="0" w:space="0" w:color="auto"/>
            <w:bottom w:val="none" w:sz="0" w:space="0" w:color="auto"/>
            <w:right w:val="none" w:sz="0" w:space="0" w:color="auto"/>
          </w:divBdr>
        </w:div>
        <w:div w:id="698357066">
          <w:marLeft w:val="0"/>
          <w:marRight w:val="0"/>
          <w:marTop w:val="0"/>
          <w:marBottom w:val="0"/>
          <w:divBdr>
            <w:top w:val="none" w:sz="0" w:space="0" w:color="auto"/>
            <w:left w:val="none" w:sz="0" w:space="0" w:color="auto"/>
            <w:bottom w:val="none" w:sz="0" w:space="0" w:color="auto"/>
            <w:right w:val="none" w:sz="0" w:space="0" w:color="auto"/>
          </w:divBdr>
        </w:div>
        <w:div w:id="1495099464">
          <w:marLeft w:val="0"/>
          <w:marRight w:val="0"/>
          <w:marTop w:val="0"/>
          <w:marBottom w:val="0"/>
          <w:divBdr>
            <w:top w:val="none" w:sz="0" w:space="0" w:color="auto"/>
            <w:left w:val="none" w:sz="0" w:space="0" w:color="auto"/>
            <w:bottom w:val="none" w:sz="0" w:space="0" w:color="auto"/>
            <w:right w:val="none" w:sz="0" w:space="0" w:color="auto"/>
          </w:divBdr>
        </w:div>
        <w:div w:id="1023744252">
          <w:marLeft w:val="0"/>
          <w:marRight w:val="0"/>
          <w:marTop w:val="0"/>
          <w:marBottom w:val="0"/>
          <w:divBdr>
            <w:top w:val="none" w:sz="0" w:space="0" w:color="auto"/>
            <w:left w:val="none" w:sz="0" w:space="0" w:color="auto"/>
            <w:bottom w:val="none" w:sz="0" w:space="0" w:color="auto"/>
            <w:right w:val="none" w:sz="0" w:space="0" w:color="auto"/>
          </w:divBdr>
        </w:div>
        <w:div w:id="2097819665">
          <w:marLeft w:val="0"/>
          <w:marRight w:val="0"/>
          <w:marTop w:val="0"/>
          <w:marBottom w:val="0"/>
          <w:divBdr>
            <w:top w:val="none" w:sz="0" w:space="0" w:color="auto"/>
            <w:left w:val="none" w:sz="0" w:space="0" w:color="auto"/>
            <w:bottom w:val="none" w:sz="0" w:space="0" w:color="auto"/>
            <w:right w:val="none" w:sz="0" w:space="0" w:color="auto"/>
          </w:divBdr>
        </w:div>
        <w:div w:id="424035818">
          <w:marLeft w:val="0"/>
          <w:marRight w:val="0"/>
          <w:marTop w:val="0"/>
          <w:marBottom w:val="0"/>
          <w:divBdr>
            <w:top w:val="none" w:sz="0" w:space="0" w:color="auto"/>
            <w:left w:val="none" w:sz="0" w:space="0" w:color="auto"/>
            <w:bottom w:val="none" w:sz="0" w:space="0" w:color="auto"/>
            <w:right w:val="none" w:sz="0" w:space="0" w:color="auto"/>
          </w:divBdr>
        </w:div>
        <w:div w:id="1083603731">
          <w:marLeft w:val="0"/>
          <w:marRight w:val="0"/>
          <w:marTop w:val="0"/>
          <w:marBottom w:val="0"/>
          <w:divBdr>
            <w:top w:val="none" w:sz="0" w:space="0" w:color="auto"/>
            <w:left w:val="none" w:sz="0" w:space="0" w:color="auto"/>
            <w:bottom w:val="none" w:sz="0" w:space="0" w:color="auto"/>
            <w:right w:val="none" w:sz="0" w:space="0" w:color="auto"/>
          </w:divBdr>
        </w:div>
        <w:div w:id="651132816">
          <w:marLeft w:val="0"/>
          <w:marRight w:val="0"/>
          <w:marTop w:val="0"/>
          <w:marBottom w:val="0"/>
          <w:divBdr>
            <w:top w:val="none" w:sz="0" w:space="0" w:color="auto"/>
            <w:left w:val="none" w:sz="0" w:space="0" w:color="auto"/>
            <w:bottom w:val="none" w:sz="0" w:space="0" w:color="auto"/>
            <w:right w:val="none" w:sz="0" w:space="0" w:color="auto"/>
          </w:divBdr>
        </w:div>
        <w:div w:id="1881672014">
          <w:marLeft w:val="0"/>
          <w:marRight w:val="0"/>
          <w:marTop w:val="0"/>
          <w:marBottom w:val="0"/>
          <w:divBdr>
            <w:top w:val="none" w:sz="0" w:space="0" w:color="auto"/>
            <w:left w:val="none" w:sz="0" w:space="0" w:color="auto"/>
            <w:bottom w:val="none" w:sz="0" w:space="0" w:color="auto"/>
            <w:right w:val="none" w:sz="0" w:space="0" w:color="auto"/>
          </w:divBdr>
        </w:div>
        <w:div w:id="1910919773">
          <w:marLeft w:val="0"/>
          <w:marRight w:val="0"/>
          <w:marTop w:val="0"/>
          <w:marBottom w:val="0"/>
          <w:divBdr>
            <w:top w:val="none" w:sz="0" w:space="0" w:color="auto"/>
            <w:left w:val="none" w:sz="0" w:space="0" w:color="auto"/>
            <w:bottom w:val="none" w:sz="0" w:space="0" w:color="auto"/>
            <w:right w:val="none" w:sz="0" w:space="0" w:color="auto"/>
          </w:divBdr>
        </w:div>
        <w:div w:id="1244800695">
          <w:marLeft w:val="0"/>
          <w:marRight w:val="0"/>
          <w:marTop w:val="0"/>
          <w:marBottom w:val="0"/>
          <w:divBdr>
            <w:top w:val="none" w:sz="0" w:space="0" w:color="auto"/>
            <w:left w:val="none" w:sz="0" w:space="0" w:color="auto"/>
            <w:bottom w:val="none" w:sz="0" w:space="0" w:color="auto"/>
            <w:right w:val="none" w:sz="0" w:space="0" w:color="auto"/>
          </w:divBdr>
        </w:div>
        <w:div w:id="1284968389">
          <w:marLeft w:val="0"/>
          <w:marRight w:val="0"/>
          <w:marTop w:val="0"/>
          <w:marBottom w:val="0"/>
          <w:divBdr>
            <w:top w:val="none" w:sz="0" w:space="0" w:color="auto"/>
            <w:left w:val="none" w:sz="0" w:space="0" w:color="auto"/>
            <w:bottom w:val="none" w:sz="0" w:space="0" w:color="auto"/>
            <w:right w:val="none" w:sz="0" w:space="0" w:color="auto"/>
          </w:divBdr>
        </w:div>
        <w:div w:id="1931352613">
          <w:marLeft w:val="0"/>
          <w:marRight w:val="0"/>
          <w:marTop w:val="0"/>
          <w:marBottom w:val="0"/>
          <w:divBdr>
            <w:top w:val="none" w:sz="0" w:space="0" w:color="auto"/>
            <w:left w:val="none" w:sz="0" w:space="0" w:color="auto"/>
            <w:bottom w:val="none" w:sz="0" w:space="0" w:color="auto"/>
            <w:right w:val="none" w:sz="0" w:space="0" w:color="auto"/>
          </w:divBdr>
        </w:div>
        <w:div w:id="2121142845">
          <w:marLeft w:val="0"/>
          <w:marRight w:val="0"/>
          <w:marTop w:val="0"/>
          <w:marBottom w:val="0"/>
          <w:divBdr>
            <w:top w:val="none" w:sz="0" w:space="0" w:color="auto"/>
            <w:left w:val="none" w:sz="0" w:space="0" w:color="auto"/>
            <w:bottom w:val="none" w:sz="0" w:space="0" w:color="auto"/>
            <w:right w:val="none" w:sz="0" w:space="0" w:color="auto"/>
          </w:divBdr>
        </w:div>
        <w:div w:id="944386983">
          <w:marLeft w:val="0"/>
          <w:marRight w:val="0"/>
          <w:marTop w:val="0"/>
          <w:marBottom w:val="0"/>
          <w:divBdr>
            <w:top w:val="none" w:sz="0" w:space="0" w:color="auto"/>
            <w:left w:val="none" w:sz="0" w:space="0" w:color="auto"/>
            <w:bottom w:val="none" w:sz="0" w:space="0" w:color="auto"/>
            <w:right w:val="none" w:sz="0" w:space="0" w:color="auto"/>
          </w:divBdr>
        </w:div>
        <w:div w:id="520707929">
          <w:marLeft w:val="0"/>
          <w:marRight w:val="0"/>
          <w:marTop w:val="0"/>
          <w:marBottom w:val="0"/>
          <w:divBdr>
            <w:top w:val="none" w:sz="0" w:space="0" w:color="auto"/>
            <w:left w:val="none" w:sz="0" w:space="0" w:color="auto"/>
            <w:bottom w:val="none" w:sz="0" w:space="0" w:color="auto"/>
            <w:right w:val="none" w:sz="0" w:space="0" w:color="auto"/>
          </w:divBdr>
        </w:div>
        <w:div w:id="1008060">
          <w:marLeft w:val="0"/>
          <w:marRight w:val="0"/>
          <w:marTop w:val="0"/>
          <w:marBottom w:val="0"/>
          <w:divBdr>
            <w:top w:val="none" w:sz="0" w:space="0" w:color="auto"/>
            <w:left w:val="none" w:sz="0" w:space="0" w:color="auto"/>
            <w:bottom w:val="none" w:sz="0" w:space="0" w:color="auto"/>
            <w:right w:val="none" w:sz="0" w:space="0" w:color="auto"/>
          </w:divBdr>
        </w:div>
        <w:div w:id="2083525732">
          <w:marLeft w:val="0"/>
          <w:marRight w:val="0"/>
          <w:marTop w:val="0"/>
          <w:marBottom w:val="0"/>
          <w:divBdr>
            <w:top w:val="none" w:sz="0" w:space="0" w:color="auto"/>
            <w:left w:val="none" w:sz="0" w:space="0" w:color="auto"/>
            <w:bottom w:val="none" w:sz="0" w:space="0" w:color="auto"/>
            <w:right w:val="none" w:sz="0" w:space="0" w:color="auto"/>
          </w:divBdr>
        </w:div>
        <w:div w:id="1420635774">
          <w:marLeft w:val="0"/>
          <w:marRight w:val="0"/>
          <w:marTop w:val="0"/>
          <w:marBottom w:val="0"/>
          <w:divBdr>
            <w:top w:val="none" w:sz="0" w:space="0" w:color="auto"/>
            <w:left w:val="none" w:sz="0" w:space="0" w:color="auto"/>
            <w:bottom w:val="none" w:sz="0" w:space="0" w:color="auto"/>
            <w:right w:val="none" w:sz="0" w:space="0" w:color="auto"/>
          </w:divBdr>
        </w:div>
        <w:div w:id="765423711">
          <w:marLeft w:val="0"/>
          <w:marRight w:val="0"/>
          <w:marTop w:val="0"/>
          <w:marBottom w:val="0"/>
          <w:divBdr>
            <w:top w:val="none" w:sz="0" w:space="0" w:color="auto"/>
            <w:left w:val="none" w:sz="0" w:space="0" w:color="auto"/>
            <w:bottom w:val="none" w:sz="0" w:space="0" w:color="auto"/>
            <w:right w:val="none" w:sz="0" w:space="0" w:color="auto"/>
          </w:divBdr>
        </w:div>
        <w:div w:id="489716751">
          <w:marLeft w:val="0"/>
          <w:marRight w:val="0"/>
          <w:marTop w:val="0"/>
          <w:marBottom w:val="0"/>
          <w:divBdr>
            <w:top w:val="none" w:sz="0" w:space="0" w:color="auto"/>
            <w:left w:val="none" w:sz="0" w:space="0" w:color="auto"/>
            <w:bottom w:val="none" w:sz="0" w:space="0" w:color="auto"/>
            <w:right w:val="none" w:sz="0" w:space="0" w:color="auto"/>
          </w:divBdr>
        </w:div>
        <w:div w:id="1891920495">
          <w:marLeft w:val="0"/>
          <w:marRight w:val="0"/>
          <w:marTop w:val="0"/>
          <w:marBottom w:val="0"/>
          <w:divBdr>
            <w:top w:val="none" w:sz="0" w:space="0" w:color="auto"/>
            <w:left w:val="none" w:sz="0" w:space="0" w:color="auto"/>
            <w:bottom w:val="none" w:sz="0" w:space="0" w:color="auto"/>
            <w:right w:val="none" w:sz="0" w:space="0" w:color="auto"/>
          </w:divBdr>
        </w:div>
        <w:div w:id="1343317894">
          <w:marLeft w:val="0"/>
          <w:marRight w:val="0"/>
          <w:marTop w:val="0"/>
          <w:marBottom w:val="0"/>
          <w:divBdr>
            <w:top w:val="none" w:sz="0" w:space="0" w:color="auto"/>
            <w:left w:val="none" w:sz="0" w:space="0" w:color="auto"/>
            <w:bottom w:val="none" w:sz="0" w:space="0" w:color="auto"/>
            <w:right w:val="none" w:sz="0" w:space="0" w:color="auto"/>
          </w:divBdr>
        </w:div>
        <w:div w:id="617027477">
          <w:marLeft w:val="0"/>
          <w:marRight w:val="0"/>
          <w:marTop w:val="0"/>
          <w:marBottom w:val="0"/>
          <w:divBdr>
            <w:top w:val="none" w:sz="0" w:space="0" w:color="auto"/>
            <w:left w:val="none" w:sz="0" w:space="0" w:color="auto"/>
            <w:bottom w:val="none" w:sz="0" w:space="0" w:color="auto"/>
            <w:right w:val="none" w:sz="0" w:space="0" w:color="auto"/>
          </w:divBdr>
        </w:div>
        <w:div w:id="1310398586">
          <w:marLeft w:val="0"/>
          <w:marRight w:val="0"/>
          <w:marTop w:val="0"/>
          <w:marBottom w:val="0"/>
          <w:divBdr>
            <w:top w:val="none" w:sz="0" w:space="0" w:color="auto"/>
            <w:left w:val="none" w:sz="0" w:space="0" w:color="auto"/>
            <w:bottom w:val="none" w:sz="0" w:space="0" w:color="auto"/>
            <w:right w:val="none" w:sz="0" w:space="0" w:color="auto"/>
          </w:divBdr>
        </w:div>
        <w:div w:id="2120830283">
          <w:marLeft w:val="0"/>
          <w:marRight w:val="0"/>
          <w:marTop w:val="0"/>
          <w:marBottom w:val="0"/>
          <w:divBdr>
            <w:top w:val="none" w:sz="0" w:space="0" w:color="auto"/>
            <w:left w:val="none" w:sz="0" w:space="0" w:color="auto"/>
            <w:bottom w:val="none" w:sz="0" w:space="0" w:color="auto"/>
            <w:right w:val="none" w:sz="0" w:space="0" w:color="auto"/>
          </w:divBdr>
        </w:div>
        <w:div w:id="1510751351">
          <w:marLeft w:val="0"/>
          <w:marRight w:val="0"/>
          <w:marTop w:val="0"/>
          <w:marBottom w:val="0"/>
          <w:divBdr>
            <w:top w:val="none" w:sz="0" w:space="0" w:color="auto"/>
            <w:left w:val="none" w:sz="0" w:space="0" w:color="auto"/>
            <w:bottom w:val="none" w:sz="0" w:space="0" w:color="auto"/>
            <w:right w:val="none" w:sz="0" w:space="0" w:color="auto"/>
          </w:divBdr>
        </w:div>
        <w:div w:id="886642353">
          <w:marLeft w:val="0"/>
          <w:marRight w:val="0"/>
          <w:marTop w:val="0"/>
          <w:marBottom w:val="0"/>
          <w:divBdr>
            <w:top w:val="none" w:sz="0" w:space="0" w:color="auto"/>
            <w:left w:val="none" w:sz="0" w:space="0" w:color="auto"/>
            <w:bottom w:val="none" w:sz="0" w:space="0" w:color="auto"/>
            <w:right w:val="none" w:sz="0" w:space="0" w:color="auto"/>
          </w:divBdr>
        </w:div>
        <w:div w:id="581111615">
          <w:marLeft w:val="0"/>
          <w:marRight w:val="0"/>
          <w:marTop w:val="0"/>
          <w:marBottom w:val="0"/>
          <w:divBdr>
            <w:top w:val="none" w:sz="0" w:space="0" w:color="auto"/>
            <w:left w:val="none" w:sz="0" w:space="0" w:color="auto"/>
            <w:bottom w:val="none" w:sz="0" w:space="0" w:color="auto"/>
            <w:right w:val="none" w:sz="0" w:space="0" w:color="auto"/>
          </w:divBdr>
        </w:div>
        <w:div w:id="1825244340">
          <w:marLeft w:val="0"/>
          <w:marRight w:val="0"/>
          <w:marTop w:val="0"/>
          <w:marBottom w:val="0"/>
          <w:divBdr>
            <w:top w:val="none" w:sz="0" w:space="0" w:color="auto"/>
            <w:left w:val="none" w:sz="0" w:space="0" w:color="auto"/>
            <w:bottom w:val="none" w:sz="0" w:space="0" w:color="auto"/>
            <w:right w:val="none" w:sz="0" w:space="0" w:color="auto"/>
          </w:divBdr>
        </w:div>
        <w:div w:id="1739472493">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ubmb.onlinelibrary.wiley.com/cms/asset/de46c16f-8b15-4ed2-be4f-be653ef9562f/bab1971-fig-0002-m.jpg" TargetMode="Externa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hyperlink" Target="https://iubmb.onlinelibrary.wiley.com/cms/asset/01ea8b24-e460-4354-8ea7-8ff2b62b42e7/bab1971-fig-0006-m.jpg"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iubmb.onlinelibrary.wiley.com/cms/asset/b3afff1b-bb09-4018-affc-7f8885834b7a/bab1971-fig-0004-m.jpg"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ubmb.onlinelibrary.wiley.com/cms/asset/cca541d5-00b7-4e73-81b4-9c0fce82c81c/bab1971-fig-0001-m.jpg"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iubmb.onlinelibrary.wiley.com/cms/asset/95af3e92-633b-4798-a852-1f32bf8dd975/bab1971-fig-0003-m.jpg" TargetMode="External"/><Relationship Id="rId23" Type="http://schemas.openxmlformats.org/officeDocument/2006/relationships/fontTable" Target="fontTable.xml"/><Relationship Id="rId10" Type="http://schemas.openxmlformats.org/officeDocument/2006/relationships/hyperlink" Target="http://epublications.marquette.edu/" TargetMode="External"/><Relationship Id="rId19" Type="http://schemas.openxmlformats.org/officeDocument/2006/relationships/hyperlink" Target="https://iubmb.onlinelibrary.wiley.com/cms/asset/f77f8dc5-0655-49e5-aa58-8e3148ae0e4f/bab1971-fig-0005-m.jpg" TargetMode="External"/><Relationship Id="rId4" Type="http://schemas.openxmlformats.org/officeDocument/2006/relationships/customXml" Target="../customXml/item4.xml"/><Relationship Id="rId9" Type="http://schemas.openxmlformats.org/officeDocument/2006/relationships/hyperlink" Target="https://doi.org/10.1002/bab.1971" TargetMode="External"/><Relationship Id="rId14" Type="http://schemas.openxmlformats.org/officeDocument/2006/relationships/image" Target="media/image2.png"/><Relationship Id="rId22"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12</Pages>
  <Words>4521</Words>
  <Characters>25774</Characters>
  <Application>Microsoft Office Word</Application>
  <DocSecurity>8</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15</cp:revision>
  <dcterms:created xsi:type="dcterms:W3CDTF">2023-03-09T19:59:00Z</dcterms:created>
  <dcterms:modified xsi:type="dcterms:W3CDTF">2023-03-09T20:21:00Z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