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47BAA" w14:textId="77777777" w:rsidR="000A7622" w:rsidRPr="00F83267" w:rsidRDefault="000A7622" w:rsidP="000A762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538F7F5" w14:textId="77777777" w:rsidR="000A7622" w:rsidRPr="00F83267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28"/>
          <w:szCs w:val="26"/>
        </w:rPr>
      </w:pPr>
      <w:bookmarkStart w:id="0" w:name="_Hlk505159787"/>
      <w:bookmarkStart w:id="1" w:name="_Hlk510431162"/>
      <w:r w:rsidRPr="00F83267">
        <w:rPr>
          <w:rFonts w:cstheme="minorHAnsi"/>
          <w:b/>
          <w:bCs/>
          <w:color w:val="316192"/>
          <w:sz w:val="28"/>
          <w:szCs w:val="26"/>
        </w:rPr>
        <w:t>Marquette University</w:t>
      </w:r>
    </w:p>
    <w:p w14:paraId="158D4B9F" w14:textId="77777777" w:rsidR="000A7622" w:rsidRPr="00F83267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40"/>
          <w:szCs w:val="36"/>
        </w:rPr>
      </w:pPr>
      <w:proofErr w:type="spellStart"/>
      <w:r w:rsidRPr="00F83267">
        <w:rPr>
          <w:rFonts w:cstheme="minorHAnsi"/>
          <w:b/>
          <w:bCs/>
          <w:color w:val="316192"/>
          <w:sz w:val="40"/>
          <w:szCs w:val="36"/>
        </w:rPr>
        <w:t>e-Publications@Marquette</w:t>
      </w:r>
      <w:proofErr w:type="spellEnd"/>
    </w:p>
    <w:p w14:paraId="689ACF87" w14:textId="77777777" w:rsidR="000A7622" w:rsidRPr="00F83267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</w:rPr>
      </w:pPr>
    </w:p>
    <w:bookmarkEnd w:id="0"/>
    <w:p w14:paraId="2A38AFE1" w14:textId="7E2210A6" w:rsidR="000A7622" w:rsidRPr="00F83267" w:rsidRDefault="00530DDD" w:rsidP="00D14423">
      <w:pPr>
        <w:rPr>
          <w:rFonts w:cstheme="minorHAnsi"/>
          <w:sz w:val="24"/>
          <w:szCs w:val="24"/>
        </w:rPr>
      </w:pPr>
      <w:r w:rsidRPr="00336445">
        <w:rPr>
          <w:rFonts w:cstheme="minorHAnsi"/>
          <w:i/>
          <w:sz w:val="24"/>
          <w:szCs w:val="24"/>
          <w:lang w:val="fr-FR"/>
        </w:rPr>
        <w:t xml:space="preserve">Modern </w:t>
      </w:r>
      <w:proofErr w:type="spellStart"/>
      <w:r w:rsidRPr="00336445">
        <w:rPr>
          <w:rFonts w:cstheme="minorHAnsi"/>
          <w:i/>
          <w:sz w:val="24"/>
          <w:szCs w:val="24"/>
          <w:lang w:val="fr-FR"/>
        </w:rPr>
        <w:t>Philology</w:t>
      </w:r>
      <w:proofErr w:type="spellEnd"/>
      <w:r w:rsidRPr="00336445">
        <w:rPr>
          <w:rFonts w:cstheme="minorHAnsi"/>
          <w:i/>
          <w:sz w:val="24"/>
          <w:szCs w:val="24"/>
          <w:lang w:val="fr-FR"/>
        </w:rPr>
        <w:t xml:space="preserve"> : Critical and </w:t>
      </w:r>
      <w:proofErr w:type="spellStart"/>
      <w:r w:rsidRPr="00336445">
        <w:rPr>
          <w:rFonts w:cstheme="minorHAnsi"/>
          <w:i/>
          <w:sz w:val="24"/>
          <w:szCs w:val="24"/>
          <w:lang w:val="fr-FR"/>
        </w:rPr>
        <w:t>Historical</w:t>
      </w:r>
      <w:proofErr w:type="spellEnd"/>
      <w:r w:rsidRPr="00336445">
        <w:rPr>
          <w:rFonts w:cstheme="minorHAnsi"/>
          <w:i/>
          <w:sz w:val="24"/>
          <w:szCs w:val="24"/>
          <w:lang w:val="fr-FR"/>
        </w:rPr>
        <w:t xml:space="preserve"> </w:t>
      </w:r>
      <w:proofErr w:type="spellStart"/>
      <w:r w:rsidRPr="00336445">
        <w:rPr>
          <w:rFonts w:cstheme="minorHAnsi"/>
          <w:i/>
          <w:sz w:val="24"/>
          <w:szCs w:val="24"/>
          <w:lang w:val="fr-FR"/>
        </w:rPr>
        <w:t>Studies</w:t>
      </w:r>
      <w:proofErr w:type="spellEnd"/>
      <w:r w:rsidRPr="00336445">
        <w:rPr>
          <w:rFonts w:cstheme="minorHAnsi"/>
          <w:i/>
          <w:sz w:val="24"/>
          <w:szCs w:val="24"/>
          <w:lang w:val="fr-FR"/>
        </w:rPr>
        <w:t xml:space="preserve"> in </w:t>
      </w:r>
      <w:proofErr w:type="spellStart"/>
      <w:r w:rsidRPr="00336445">
        <w:rPr>
          <w:rFonts w:cstheme="minorHAnsi"/>
          <w:i/>
          <w:sz w:val="24"/>
          <w:szCs w:val="24"/>
          <w:lang w:val="fr-FR"/>
        </w:rPr>
        <w:t>Literatu</w:t>
      </w:r>
      <w:r w:rsidR="00A07CF2" w:rsidRPr="00336445">
        <w:rPr>
          <w:rFonts w:cstheme="minorHAnsi"/>
          <w:i/>
          <w:sz w:val="24"/>
          <w:szCs w:val="24"/>
          <w:lang w:val="fr-FR"/>
        </w:rPr>
        <w:t>re</w:t>
      </w:r>
      <w:proofErr w:type="spellEnd"/>
      <w:r w:rsidR="000A7622" w:rsidRPr="00336445">
        <w:rPr>
          <w:rFonts w:cstheme="minorHAnsi"/>
          <w:i/>
          <w:sz w:val="24"/>
          <w:szCs w:val="24"/>
          <w:lang w:val="fr-FR"/>
        </w:rPr>
        <w:t>,</w:t>
      </w:r>
      <w:r w:rsidR="00A07CF2" w:rsidRPr="00336445">
        <w:rPr>
          <w:rFonts w:cstheme="minorHAnsi"/>
          <w:i/>
          <w:sz w:val="24"/>
          <w:szCs w:val="24"/>
          <w:lang w:val="fr-FR"/>
        </w:rPr>
        <w:t xml:space="preserve"> </w:t>
      </w:r>
      <w:proofErr w:type="spellStart"/>
      <w:r w:rsidR="00A07CF2" w:rsidRPr="00336445">
        <w:rPr>
          <w:rFonts w:cstheme="minorHAnsi"/>
          <w:i/>
          <w:sz w:val="24"/>
          <w:szCs w:val="24"/>
          <w:lang w:val="fr-FR"/>
        </w:rPr>
        <w:t>Medieval</w:t>
      </w:r>
      <w:proofErr w:type="spellEnd"/>
      <w:r w:rsidR="00A07CF2" w:rsidRPr="00336445">
        <w:rPr>
          <w:rFonts w:cstheme="minorHAnsi"/>
          <w:i/>
          <w:sz w:val="24"/>
          <w:szCs w:val="24"/>
          <w:lang w:val="fr-FR"/>
        </w:rPr>
        <w:t xml:space="preserve"> </w:t>
      </w:r>
      <w:proofErr w:type="spellStart"/>
      <w:r w:rsidR="00A07CF2" w:rsidRPr="00336445">
        <w:rPr>
          <w:rFonts w:cstheme="minorHAnsi"/>
          <w:i/>
          <w:sz w:val="24"/>
          <w:szCs w:val="24"/>
          <w:lang w:val="fr-FR"/>
        </w:rPr>
        <w:t>through</w:t>
      </w:r>
      <w:proofErr w:type="spellEnd"/>
      <w:r w:rsidR="00A07CF2" w:rsidRPr="00336445">
        <w:rPr>
          <w:rFonts w:cstheme="minorHAnsi"/>
          <w:i/>
          <w:sz w:val="24"/>
          <w:szCs w:val="24"/>
          <w:lang w:val="fr-FR"/>
        </w:rPr>
        <w:t xml:space="preserve"> </w:t>
      </w:r>
      <w:proofErr w:type="spellStart"/>
      <w:r w:rsidR="00A07CF2" w:rsidRPr="00336445">
        <w:rPr>
          <w:rFonts w:cstheme="minorHAnsi"/>
          <w:i/>
          <w:sz w:val="24"/>
          <w:szCs w:val="24"/>
          <w:lang w:val="fr-FR"/>
        </w:rPr>
        <w:t>Contemporary</w:t>
      </w:r>
      <w:proofErr w:type="spellEnd"/>
      <w:r w:rsidR="000A7622" w:rsidRPr="00F83267">
        <w:rPr>
          <w:rFonts w:cstheme="minorHAnsi"/>
          <w:sz w:val="24"/>
          <w:szCs w:val="24"/>
          <w:lang w:val="fr-FR"/>
        </w:rPr>
        <w:t xml:space="preserve"> Vol. </w:t>
      </w:r>
      <w:r w:rsidR="00336445">
        <w:rPr>
          <w:rFonts w:cstheme="minorHAnsi"/>
          <w:sz w:val="24"/>
          <w:szCs w:val="24"/>
          <w:lang w:val="fr-FR"/>
        </w:rPr>
        <w:t>116</w:t>
      </w:r>
      <w:r w:rsidR="000A7622" w:rsidRPr="00F83267">
        <w:rPr>
          <w:rFonts w:cstheme="minorHAnsi"/>
          <w:sz w:val="24"/>
          <w:szCs w:val="24"/>
          <w:lang w:val="fr-FR"/>
        </w:rPr>
        <w:t xml:space="preserve">, No. </w:t>
      </w:r>
      <w:r w:rsidR="00336445">
        <w:rPr>
          <w:rFonts w:cstheme="minorHAnsi"/>
          <w:sz w:val="24"/>
          <w:szCs w:val="24"/>
          <w:lang w:val="fr-FR"/>
        </w:rPr>
        <w:t>1</w:t>
      </w:r>
      <w:r w:rsidR="000A7622" w:rsidRPr="00F83267">
        <w:rPr>
          <w:rFonts w:cstheme="minorHAnsi"/>
          <w:sz w:val="24"/>
          <w:szCs w:val="24"/>
          <w:lang w:val="fr-FR"/>
        </w:rPr>
        <w:t xml:space="preserve"> (</w:t>
      </w:r>
      <w:r w:rsidR="00336445">
        <w:rPr>
          <w:rFonts w:cstheme="minorHAnsi"/>
          <w:sz w:val="24"/>
          <w:szCs w:val="24"/>
          <w:lang w:val="fr-FR"/>
        </w:rPr>
        <w:t>August 2018</w:t>
      </w:r>
      <w:proofErr w:type="gramStart"/>
      <w:r w:rsidR="000A7622" w:rsidRPr="00F83267">
        <w:rPr>
          <w:rFonts w:cstheme="minorHAnsi"/>
          <w:sz w:val="24"/>
          <w:szCs w:val="24"/>
          <w:lang w:val="fr-FR"/>
        </w:rPr>
        <w:t>):</w:t>
      </w:r>
      <w:proofErr w:type="gramEnd"/>
      <w:r w:rsidR="000A7622" w:rsidRPr="00F83267">
        <w:rPr>
          <w:rFonts w:cstheme="minorHAnsi"/>
          <w:sz w:val="24"/>
          <w:szCs w:val="24"/>
          <w:lang w:val="fr-FR"/>
        </w:rPr>
        <w:t xml:space="preserve"> </w:t>
      </w:r>
      <w:r w:rsidR="00456EB6" w:rsidRPr="00456EB6">
        <w:rPr>
          <w:rFonts w:cstheme="minorHAnsi"/>
          <w:sz w:val="24"/>
          <w:szCs w:val="24"/>
          <w:lang w:val="fr-FR"/>
        </w:rPr>
        <w:t>E37-E39</w:t>
      </w:r>
      <w:r w:rsidR="000A7622" w:rsidRPr="00F83267">
        <w:rPr>
          <w:rFonts w:cstheme="minorHAnsi"/>
          <w:sz w:val="24"/>
          <w:szCs w:val="24"/>
          <w:lang w:val="fr-FR"/>
        </w:rPr>
        <w:t xml:space="preserve">. </w:t>
      </w:r>
      <w:hyperlink r:id="rId7" w:history="1">
        <w:r w:rsidR="000A7622" w:rsidRPr="00F83267">
          <w:rPr>
            <w:rFonts w:cstheme="minorHAnsi"/>
            <w:color w:val="0563C1" w:themeColor="hyperlink"/>
            <w:sz w:val="24"/>
            <w:szCs w:val="24"/>
            <w:u w:val="single"/>
            <w:lang w:val="fr-FR"/>
          </w:rPr>
          <w:t>DOI</w:t>
        </w:r>
      </w:hyperlink>
      <w:r w:rsidR="000A7622" w:rsidRPr="00F83267">
        <w:rPr>
          <w:rFonts w:cstheme="minorHAnsi"/>
          <w:sz w:val="24"/>
          <w:szCs w:val="24"/>
          <w:lang w:val="fr-FR"/>
        </w:rPr>
        <w:t xml:space="preserve">. </w:t>
      </w:r>
      <w:r w:rsidR="000A7622" w:rsidRPr="00F83267">
        <w:rPr>
          <w:rFonts w:cstheme="minorHAnsi"/>
          <w:sz w:val="24"/>
          <w:szCs w:val="24"/>
        </w:rPr>
        <w:t xml:space="preserve">This article is © </w:t>
      </w:r>
      <w:r w:rsidR="009705CA">
        <w:rPr>
          <w:rFonts w:cstheme="minorHAnsi"/>
          <w:sz w:val="24"/>
          <w:szCs w:val="24"/>
        </w:rPr>
        <w:t>The University of Chicago Press</w:t>
      </w:r>
      <w:r w:rsidR="000A7622" w:rsidRPr="00F83267">
        <w:rPr>
          <w:rFonts w:cstheme="minorHAnsi"/>
          <w:sz w:val="24"/>
          <w:szCs w:val="24"/>
        </w:rPr>
        <w:t xml:space="preserve"> and permission has been granted for this version to appear in </w:t>
      </w:r>
      <w:hyperlink r:id="rId8" w:history="1">
        <w:proofErr w:type="spellStart"/>
        <w:r w:rsidR="000A7622" w:rsidRPr="00F83267">
          <w:rPr>
            <w:rFonts w:cstheme="minorHAnsi"/>
            <w:color w:val="0563C1" w:themeColor="hyperlink"/>
            <w:sz w:val="24"/>
            <w:szCs w:val="24"/>
            <w:u w:val="single"/>
          </w:rPr>
          <w:t>e-Publications@Marquette</w:t>
        </w:r>
        <w:proofErr w:type="spellEnd"/>
      </w:hyperlink>
      <w:r w:rsidR="000A7622" w:rsidRPr="00F83267">
        <w:rPr>
          <w:rFonts w:cstheme="minorHAnsi"/>
          <w:sz w:val="24"/>
          <w:szCs w:val="24"/>
        </w:rPr>
        <w:t xml:space="preserve">. </w:t>
      </w:r>
      <w:r w:rsidR="009705CA">
        <w:rPr>
          <w:rFonts w:cstheme="minorHAnsi"/>
          <w:sz w:val="24"/>
          <w:szCs w:val="24"/>
        </w:rPr>
        <w:t>The University of Chicago Press</w:t>
      </w:r>
      <w:r w:rsidR="000A7622" w:rsidRPr="00F83267">
        <w:rPr>
          <w:rFonts w:cstheme="minorHAnsi"/>
          <w:sz w:val="24"/>
          <w:szCs w:val="24"/>
        </w:rPr>
        <w:t xml:space="preserve"> does not grant permission for this article to be further copied/distributed or hosted elsewhere without the express permission from </w:t>
      </w:r>
      <w:r w:rsidR="009705CA">
        <w:rPr>
          <w:rFonts w:cstheme="minorHAnsi"/>
          <w:sz w:val="24"/>
          <w:szCs w:val="24"/>
        </w:rPr>
        <w:t>The University of Chicago Press</w:t>
      </w:r>
      <w:r w:rsidR="000A7622" w:rsidRPr="00F83267">
        <w:rPr>
          <w:rFonts w:cstheme="minorHAnsi"/>
          <w:sz w:val="24"/>
          <w:szCs w:val="24"/>
        </w:rPr>
        <w:t xml:space="preserve">. </w:t>
      </w:r>
    </w:p>
    <w:p w14:paraId="47D615C4" w14:textId="5813165E" w:rsidR="0080347B" w:rsidRPr="00F83267" w:rsidRDefault="0080347B" w:rsidP="00D14423">
      <w:pPr>
        <w:rPr>
          <w:rFonts w:cstheme="minorHAnsi"/>
          <w:sz w:val="24"/>
          <w:szCs w:val="24"/>
        </w:rPr>
      </w:pPr>
    </w:p>
    <w:p w14:paraId="102643E2" w14:textId="77777777" w:rsidR="008A172B" w:rsidRPr="00F83267" w:rsidRDefault="008A172B" w:rsidP="00F83267">
      <w:pPr>
        <w:pStyle w:val="Title"/>
      </w:pPr>
      <w:r w:rsidRPr="00F83267">
        <w:t>Book Review</w:t>
      </w:r>
    </w:p>
    <w:p w14:paraId="2706E44F" w14:textId="77777777" w:rsidR="008A172B" w:rsidRPr="00F83267" w:rsidRDefault="008A172B" w:rsidP="00F83267">
      <w:pPr>
        <w:pStyle w:val="Title"/>
        <w:rPr>
          <w:sz w:val="27"/>
          <w:szCs w:val="27"/>
        </w:rPr>
      </w:pPr>
      <w:r w:rsidRPr="00F83267">
        <w:rPr>
          <w:rStyle w:val="nlmsource"/>
          <w:rFonts w:asciiTheme="minorHAnsi" w:hAnsiTheme="minorHAnsi" w:cstheme="minorHAnsi"/>
          <w:b/>
          <w:bCs/>
          <w:i/>
          <w:iCs/>
          <w:color w:val="000000"/>
          <w:sz w:val="27"/>
          <w:szCs w:val="27"/>
        </w:rPr>
        <w:t>Conscience in Early Modern English Literature</w:t>
      </w:r>
      <w:r w:rsidRPr="00F83267">
        <w:rPr>
          <w:b/>
          <w:bCs/>
          <w:sz w:val="27"/>
          <w:szCs w:val="27"/>
        </w:rPr>
        <w:t>. </w:t>
      </w:r>
      <w:r w:rsidRPr="00F83267">
        <w:rPr>
          <w:rStyle w:val="nlmsourcecontrib"/>
          <w:rFonts w:asciiTheme="minorHAnsi" w:hAnsiTheme="minorHAnsi" w:cstheme="minorHAnsi"/>
          <w:b/>
          <w:bCs/>
          <w:color w:val="000000"/>
          <w:sz w:val="27"/>
          <w:szCs w:val="27"/>
        </w:rPr>
        <w:t>Abraham Stoll</w:t>
      </w:r>
      <w:r w:rsidRPr="00F83267">
        <w:rPr>
          <w:b/>
          <w:bCs/>
          <w:sz w:val="27"/>
          <w:szCs w:val="27"/>
        </w:rPr>
        <w:t>. Cambridge: Cambridge University Press, 2017. Pp. ix+216.</w:t>
      </w:r>
    </w:p>
    <w:p w14:paraId="7B448B09" w14:textId="77777777" w:rsidR="00F83267" w:rsidRDefault="00F83267" w:rsidP="008A172B">
      <w:pPr>
        <w:shd w:val="clear" w:color="auto" w:fill="FFFFFF"/>
        <w:spacing w:line="360" w:lineRule="atLeast"/>
        <w:rPr>
          <w:rStyle w:val="entryauthor"/>
          <w:rFonts w:cstheme="minorHAnsi"/>
          <w:b/>
          <w:bCs/>
          <w:color w:val="000000"/>
          <w:sz w:val="21"/>
          <w:szCs w:val="21"/>
        </w:rPr>
      </w:pPr>
    </w:p>
    <w:p w14:paraId="4E716ECF" w14:textId="52896069" w:rsidR="008A172B" w:rsidRPr="00F83267" w:rsidRDefault="008A172B" w:rsidP="00F83267">
      <w:pPr>
        <w:pStyle w:val="NoSpacing"/>
        <w:rPr>
          <w:sz w:val="28"/>
        </w:rPr>
      </w:pPr>
      <w:r w:rsidRPr="00F83267">
        <w:rPr>
          <w:rStyle w:val="entryauthor"/>
          <w:rFonts w:cstheme="minorHAnsi"/>
          <w:b/>
          <w:bCs/>
          <w:color w:val="000000"/>
          <w:sz w:val="28"/>
        </w:rPr>
        <w:t>John E. Curran Jr.</w:t>
      </w:r>
    </w:p>
    <w:p w14:paraId="70B4D94E" w14:textId="77777777" w:rsidR="008A172B" w:rsidRPr="00F83267" w:rsidRDefault="008A172B" w:rsidP="00F83267">
      <w:pPr>
        <w:pStyle w:val="NoSpacing"/>
      </w:pPr>
      <w:r w:rsidRPr="00F83267">
        <w:t>Marquette University</w:t>
      </w:r>
    </w:p>
    <w:p w14:paraId="6F4DEFEF" w14:textId="65018AEE" w:rsidR="0080347B" w:rsidRPr="00F83267" w:rsidRDefault="0080347B" w:rsidP="00D14423">
      <w:pPr>
        <w:rPr>
          <w:rFonts w:cstheme="minorHAnsi"/>
          <w:sz w:val="24"/>
          <w:szCs w:val="24"/>
        </w:rPr>
      </w:pPr>
    </w:p>
    <w:p w14:paraId="1844F9B3" w14:textId="61A3193A" w:rsidR="00A57007" w:rsidRPr="00F83267" w:rsidRDefault="00A57007" w:rsidP="001D50B5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0"/>
          <w:szCs w:val="20"/>
        </w:rPr>
      </w:pPr>
      <w:r w:rsidRPr="00F83267">
        <w:rPr>
          <w:rFonts w:cstheme="minorHAnsi"/>
          <w:sz w:val="20"/>
          <w:szCs w:val="20"/>
        </w:rPr>
        <w:t xml:space="preserve">Illuminating in </w:t>
      </w:r>
      <w:proofErr w:type="gramStart"/>
      <w:r w:rsidRPr="00F83267">
        <w:rPr>
          <w:rFonts w:cstheme="minorHAnsi"/>
          <w:sz w:val="20"/>
          <w:szCs w:val="20"/>
        </w:rPr>
        <w:t>a number of</w:t>
      </w:r>
      <w:proofErr w:type="gramEnd"/>
      <w:r w:rsidRPr="00F83267">
        <w:rPr>
          <w:rFonts w:cstheme="minorHAnsi"/>
          <w:sz w:val="20"/>
          <w:szCs w:val="20"/>
        </w:rPr>
        <w:t xml:space="preserve"> specific ways, and well worth the reader’s time</w:t>
      </w:r>
      <w:r w:rsidR="00F83267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 xml:space="preserve">for them, Abraham Stoll’s </w:t>
      </w:r>
      <w:r w:rsidRPr="00851544">
        <w:rPr>
          <w:rFonts w:cstheme="minorHAnsi"/>
          <w:i/>
          <w:sz w:val="20"/>
          <w:szCs w:val="20"/>
        </w:rPr>
        <w:t>Conscience in Early Modern English Literature</w:t>
      </w:r>
      <w:r w:rsidRPr="00F83267">
        <w:rPr>
          <w:rFonts w:cstheme="minorHAnsi"/>
          <w:sz w:val="20"/>
          <w:szCs w:val="20"/>
        </w:rPr>
        <w:t xml:space="preserve"> is disappointing</w:t>
      </w:r>
      <w:r w:rsidR="00F83267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in a number of more general respects. The title promises the</w:t>
      </w:r>
      <w:r w:rsidR="00851544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magisterial, as does the identity of the author, whose impressive record of</w:t>
      </w:r>
      <w:r w:rsidR="00851544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scholarship eminently qualifies him to offer a perspective both unique and</w:t>
      </w:r>
      <w:r w:rsidR="00851544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authoritative on this massively important topic. In its overall design and argument,</w:t>
      </w:r>
      <w:r w:rsidR="00851544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 xml:space="preserve">however, it strikes me as thin, having many of the quirks of </w:t>
      </w:r>
      <w:bookmarkStart w:id="2" w:name="_GoBack"/>
      <w:r w:rsidRPr="00F83267">
        <w:rPr>
          <w:rFonts w:cstheme="minorHAnsi"/>
          <w:sz w:val="20"/>
          <w:szCs w:val="20"/>
        </w:rPr>
        <w:t>a</w:t>
      </w:r>
      <w:bookmarkEnd w:id="2"/>
      <w:r w:rsidRPr="00F83267">
        <w:rPr>
          <w:rFonts w:cstheme="minorHAnsi"/>
          <w:sz w:val="20"/>
          <w:szCs w:val="20"/>
        </w:rPr>
        <w:t xml:space="preserve"> first</w:t>
      </w:r>
      <w:r w:rsidR="00851544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book: obligatory chapters on Spenser, Shakespeare, and Milton, as though</w:t>
      </w:r>
      <w:r w:rsidR="00851544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to cover the bases desirable for academic job candidacy; large portions already</w:t>
      </w:r>
      <w:r w:rsidR="00851544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 xml:space="preserve">published as articles, including in </w:t>
      </w:r>
      <w:r w:rsidRPr="001D50B5">
        <w:rPr>
          <w:rFonts w:cstheme="minorHAnsi"/>
          <w:i/>
          <w:sz w:val="20"/>
          <w:szCs w:val="20"/>
        </w:rPr>
        <w:t>Modern Philology</w:t>
      </w:r>
      <w:r w:rsidRPr="00F83267">
        <w:rPr>
          <w:rFonts w:cstheme="minorHAnsi"/>
          <w:sz w:val="20"/>
          <w:szCs w:val="20"/>
        </w:rPr>
        <w:t>; the theme rather</w:t>
      </w:r>
      <w:r w:rsidR="00851544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loosely tying together the various discrete sections, with connecting ideas</w:t>
      </w:r>
      <w:r w:rsidR="00851544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here and there superimposed repetitively; claims beating the old dead horse</w:t>
      </w:r>
      <w:r w:rsidR="00851544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of subjectivity that are at once overreaching, referencing sweeping generalizations</w:t>
      </w:r>
      <w:r w:rsidR="00851544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about phenomenological history, and bland, guarding against saying</w:t>
      </w:r>
      <w:r w:rsidR="00851544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anything contrary to conventional wisdom (as: “The early modern conscience</w:t>
      </w:r>
      <w:r w:rsidR="001D50B5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does not create early modern subjectivity, but it does provide a</w:t>
      </w:r>
      <w:r w:rsidR="001D50B5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uniquely detailed way to observe how subjectivity works” [17]; or, “Lady</w:t>
      </w:r>
      <w:r w:rsidR="001D50B5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Macbeth does not become a saint or an ascetic. Rather, she becomes a subject</w:t>
      </w:r>
      <w:r w:rsidR="001D50B5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in Butler’s sense” [103]).</w:t>
      </w:r>
    </w:p>
    <w:p w14:paraId="03ACDBE5" w14:textId="7BD73965" w:rsidR="00A57007" w:rsidRPr="00F83267" w:rsidRDefault="00A57007" w:rsidP="009519D9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0"/>
          <w:szCs w:val="20"/>
        </w:rPr>
      </w:pPr>
      <w:r w:rsidRPr="00F83267">
        <w:rPr>
          <w:rFonts w:cstheme="minorHAnsi"/>
          <w:sz w:val="20"/>
          <w:szCs w:val="20"/>
        </w:rPr>
        <w:t>To the extent there is a thesis, it involves tracing the ways in which the</w:t>
      </w:r>
      <w:r w:rsidR="009519D9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“</w:t>
      </w:r>
      <w:proofErr w:type="spellStart"/>
      <w:r w:rsidRPr="00F83267">
        <w:rPr>
          <w:rFonts w:cstheme="minorHAnsi"/>
          <w:sz w:val="20"/>
          <w:szCs w:val="20"/>
        </w:rPr>
        <w:t>destructuring</w:t>
      </w:r>
      <w:proofErr w:type="spellEnd"/>
      <w:r w:rsidRPr="00F83267">
        <w:rPr>
          <w:rFonts w:cstheme="minorHAnsi"/>
          <w:sz w:val="20"/>
          <w:szCs w:val="20"/>
        </w:rPr>
        <w:t>” of the conscience, in the wake of the Reformation, affected</w:t>
      </w:r>
      <w:r w:rsidR="009519D9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England’s religious and political psychology through the Civil War. Reliance</w:t>
      </w:r>
      <w:r w:rsidR="009519D9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on this notion of “</w:t>
      </w:r>
      <w:proofErr w:type="spellStart"/>
      <w:r w:rsidRPr="00F83267">
        <w:rPr>
          <w:rFonts w:cstheme="minorHAnsi"/>
          <w:sz w:val="20"/>
          <w:szCs w:val="20"/>
        </w:rPr>
        <w:t>destructuring</w:t>
      </w:r>
      <w:proofErr w:type="spellEnd"/>
      <w:r w:rsidRPr="00F83267">
        <w:rPr>
          <w:rFonts w:cstheme="minorHAnsi"/>
          <w:sz w:val="20"/>
          <w:szCs w:val="20"/>
        </w:rPr>
        <w:t>” as a unifying principle is one of</w:t>
      </w:r>
      <w:r w:rsidR="009519D9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the book’s main flaws, for it is highly questionable—or, more precisely,</w:t>
      </w:r>
      <w:r w:rsidR="009519D9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it is highly oversimplified, capturing only half of the dynamic. Certainly,</w:t>
      </w:r>
    </w:p>
    <w:p w14:paraId="49E5F98A" w14:textId="77777777" w:rsidR="009519D9" w:rsidRDefault="009519D9" w:rsidP="00A57007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</w:p>
    <w:p w14:paraId="197CA222" w14:textId="0AC1DA72" w:rsidR="00A57007" w:rsidRPr="00B1327D" w:rsidRDefault="00A57007" w:rsidP="00B1327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B1327D">
        <w:rPr>
          <w:rFonts w:cstheme="minorHAnsi"/>
        </w:rPr>
        <w:t>Modern Philology, volume 116, number 1. Published online March 23, 2018</w:t>
      </w:r>
    </w:p>
    <w:p w14:paraId="5D649FD5" w14:textId="77777777" w:rsidR="00A57007" w:rsidRPr="00B1327D" w:rsidRDefault="00A57007" w:rsidP="00B1327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B1327D">
        <w:rPr>
          <w:rFonts w:cstheme="minorHAnsi"/>
        </w:rPr>
        <w:t>For permission to reuse, please contact journalpermissions@press.uchicago.edu.</w:t>
      </w:r>
    </w:p>
    <w:p w14:paraId="073BC792" w14:textId="5F732D13" w:rsidR="008A172B" w:rsidRPr="00B1327D" w:rsidRDefault="00A57007" w:rsidP="00B1327D">
      <w:pPr>
        <w:spacing w:after="0"/>
        <w:jc w:val="right"/>
        <w:rPr>
          <w:rFonts w:cstheme="minorHAnsi"/>
        </w:rPr>
      </w:pPr>
      <w:r w:rsidRPr="00B1327D">
        <w:rPr>
          <w:rFonts w:cstheme="minorHAnsi"/>
        </w:rPr>
        <w:t>E37</w:t>
      </w:r>
    </w:p>
    <w:p w14:paraId="04EF2B7A" w14:textId="0868B812" w:rsidR="00394136" w:rsidRPr="00B1327D" w:rsidRDefault="00394136" w:rsidP="00B1327D">
      <w:pPr>
        <w:jc w:val="right"/>
        <w:rPr>
          <w:rFonts w:cstheme="minorHAnsi"/>
        </w:rPr>
      </w:pPr>
      <w:r w:rsidRPr="00B1327D">
        <w:rPr>
          <w:rFonts w:cstheme="minorHAnsi"/>
        </w:rPr>
        <w:t>E38</w:t>
      </w:r>
      <w:r w:rsidR="00FB5303" w:rsidRPr="00B1327D">
        <w:rPr>
          <w:rFonts w:cstheme="minorHAnsi"/>
        </w:rPr>
        <w:t xml:space="preserve"> </w:t>
      </w:r>
      <w:r w:rsidR="00B1327D" w:rsidRPr="00B1327D">
        <w:rPr>
          <w:i/>
        </w:rPr>
        <w:t>Modern Philology</w:t>
      </w:r>
    </w:p>
    <w:p w14:paraId="566C0D7E" w14:textId="2F1B2F08" w:rsidR="00394136" w:rsidRPr="00F83267" w:rsidRDefault="00394136" w:rsidP="0039413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83267">
        <w:rPr>
          <w:rFonts w:cstheme="minorHAnsi"/>
          <w:sz w:val="20"/>
          <w:szCs w:val="20"/>
        </w:rPr>
        <w:t>there would have been a huge impact on paradigms of conscience from the</w:t>
      </w:r>
      <w:r w:rsidR="001F121C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dismantling of the legalistic, externalized, systematized apparatus of Catholic</w:t>
      </w:r>
      <w:r w:rsidR="001F121C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tradition, an impact describable as a “</w:t>
      </w:r>
      <w:proofErr w:type="spellStart"/>
      <w:r w:rsidRPr="00F83267">
        <w:rPr>
          <w:rFonts w:cstheme="minorHAnsi"/>
          <w:sz w:val="20"/>
          <w:szCs w:val="20"/>
        </w:rPr>
        <w:t>destructuring</w:t>
      </w:r>
      <w:proofErr w:type="spellEnd"/>
      <w:r w:rsidRPr="00F83267">
        <w:rPr>
          <w:rFonts w:cstheme="minorHAnsi"/>
          <w:sz w:val="20"/>
          <w:szCs w:val="20"/>
        </w:rPr>
        <w:t>” effect; but too, much</w:t>
      </w:r>
      <w:r w:rsidR="001F121C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evidence points to a counteracting force in boilerplate Protestant doctrines</w:t>
      </w:r>
      <w:r w:rsidR="001F121C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of assurance and regeneration. Though he consults such authorities as Kendall</w:t>
      </w:r>
      <w:r w:rsidR="001F121C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and Slights who navigate this complexity, Stoll posits a Protestant conscience</w:t>
      </w:r>
      <w:r w:rsidR="001F121C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 xml:space="preserve">generative of only </w:t>
      </w:r>
      <w:r w:rsidRPr="00F83267">
        <w:rPr>
          <w:rFonts w:cstheme="minorHAnsi"/>
          <w:sz w:val="20"/>
          <w:szCs w:val="20"/>
        </w:rPr>
        <w:lastRenderedPageBreak/>
        <w:t>“inchoate,” nebulous, solipsistic thought. Discussing</w:t>
      </w:r>
      <w:r w:rsidR="001F121C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 xml:space="preserve">Perkins, Stoll has it that “without </w:t>
      </w:r>
      <w:r w:rsidRPr="00B71442">
        <w:rPr>
          <w:rFonts w:cstheme="minorHAnsi"/>
          <w:i/>
          <w:sz w:val="20"/>
          <w:szCs w:val="20"/>
        </w:rPr>
        <w:t>synderesis</w:t>
      </w:r>
      <w:r w:rsidRPr="00F83267">
        <w:rPr>
          <w:rFonts w:cstheme="minorHAnsi"/>
          <w:sz w:val="20"/>
          <w:szCs w:val="20"/>
        </w:rPr>
        <w:t>, the ability to think of</w:t>
      </w:r>
      <w:r w:rsidR="001F121C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conscience functioning as a structured process becomes impossible”</w:t>
      </w:r>
      <w:r w:rsidR="00B71442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(41). But what writer of this period thinks, and models thinking, in more</w:t>
      </w:r>
      <w:r w:rsidR="00B71442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structured a way than Perkins? Leaving out or marginalizing foundational</w:t>
      </w:r>
      <w:r w:rsidR="00B71442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 xml:space="preserve">concepts such as the “practical syllogism,” and frameworks such as </w:t>
      </w:r>
      <w:proofErr w:type="spellStart"/>
      <w:r w:rsidRPr="00F83267">
        <w:rPr>
          <w:rFonts w:cstheme="minorHAnsi"/>
          <w:sz w:val="20"/>
          <w:szCs w:val="20"/>
        </w:rPr>
        <w:t>Ramist</w:t>
      </w:r>
      <w:proofErr w:type="spellEnd"/>
      <w:r w:rsidR="00B71442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logic, Stoll greatly underestimates how a Protestant-styled conscience could</w:t>
      </w:r>
      <w:r w:rsidR="00B71442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 xml:space="preserve">reinforce certainty and clarity. This oversight leads to </w:t>
      </w:r>
      <w:proofErr w:type="gramStart"/>
      <w:r w:rsidRPr="00F83267">
        <w:rPr>
          <w:rFonts w:cstheme="minorHAnsi"/>
          <w:sz w:val="20"/>
          <w:szCs w:val="20"/>
        </w:rPr>
        <w:t>a number of</w:t>
      </w:r>
      <w:proofErr w:type="gramEnd"/>
      <w:r w:rsidRPr="00F83267">
        <w:rPr>
          <w:rFonts w:cstheme="minorHAnsi"/>
          <w:sz w:val="20"/>
          <w:szCs w:val="20"/>
        </w:rPr>
        <w:t xml:space="preserve"> peculiar,</w:t>
      </w:r>
      <w:r w:rsidR="00B71442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and quite disputable, suggestions, among the most serious of which, for its</w:t>
      </w:r>
      <w:r w:rsidR="00B71442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 xml:space="preserve">ligatures to the book’s story arc, is that Perkins was an </w:t>
      </w:r>
      <w:proofErr w:type="spellStart"/>
      <w:r w:rsidRPr="00F83267">
        <w:rPr>
          <w:rFonts w:cstheme="minorHAnsi"/>
          <w:sz w:val="20"/>
          <w:szCs w:val="20"/>
        </w:rPr>
        <w:t>anticasuist</w:t>
      </w:r>
      <w:proofErr w:type="spellEnd"/>
      <w:r w:rsidRPr="00F83267">
        <w:rPr>
          <w:rFonts w:cstheme="minorHAnsi"/>
          <w:sz w:val="20"/>
          <w:szCs w:val="20"/>
        </w:rPr>
        <w:t xml:space="preserve"> casuist, an</w:t>
      </w:r>
      <w:r w:rsidR="00B71442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antecedent for antinomianism (121). But some of the more self-contained</w:t>
      </w:r>
      <w:r w:rsidR="00B71442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readings are similarly vulnerable, an example being the take on Macbeth.</w:t>
      </w:r>
      <w:r w:rsidR="00B71442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Stoll would locate something akin to the Freudian “uncanny” in the experience</w:t>
      </w:r>
      <w:r w:rsidR="002C4BA1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of the Macbeths, the “</w:t>
      </w:r>
      <w:proofErr w:type="spellStart"/>
      <w:r w:rsidRPr="00F83267">
        <w:rPr>
          <w:rFonts w:cstheme="minorHAnsi"/>
          <w:sz w:val="20"/>
          <w:szCs w:val="20"/>
        </w:rPr>
        <w:t>destructured</w:t>
      </w:r>
      <w:proofErr w:type="spellEnd"/>
      <w:r w:rsidRPr="00F83267">
        <w:rPr>
          <w:rFonts w:cstheme="minorHAnsi"/>
          <w:sz w:val="20"/>
          <w:szCs w:val="20"/>
        </w:rPr>
        <w:t>,” protomodern conscience encountering</w:t>
      </w:r>
      <w:r w:rsidR="002C4BA1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aftershocks of the obsolete “animist” world; but couldn’t it rather</w:t>
      </w:r>
      <w:r w:rsidR="002C4BA1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be that the invisible truth they try, and fail, to live with or ignore strikes</w:t>
      </w:r>
      <w:r w:rsidR="002C4BA1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them</w:t>
      </w:r>
      <w:r w:rsidR="002C4BA1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as it does because of its terrifying simplicity and starkness? That would</w:t>
      </w:r>
      <w:r w:rsidR="002C4BA1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explain readily the dagger speech that so puzzles Stoll (86): conscience</w:t>
      </w:r>
      <w:r w:rsidR="002C4BA1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rings out so emphatically and unmistakably that Macbeth already feels</w:t>
      </w:r>
      <w:r w:rsidR="002C4BA1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like Tarquin, already feels punished and destroyed by the crime even before</w:t>
      </w:r>
      <w:r w:rsidR="002C4BA1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committing it.</w:t>
      </w:r>
    </w:p>
    <w:p w14:paraId="5693F938" w14:textId="05CCC1CC" w:rsidR="00B1327D" w:rsidRDefault="00394136" w:rsidP="00B1327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0"/>
          <w:szCs w:val="20"/>
        </w:rPr>
      </w:pPr>
      <w:r w:rsidRPr="00F83267">
        <w:rPr>
          <w:rFonts w:cstheme="minorHAnsi"/>
          <w:sz w:val="20"/>
          <w:szCs w:val="20"/>
        </w:rPr>
        <w:t>With these problems noted, however, the book more than compensates</w:t>
      </w:r>
      <w:r w:rsidR="002C4BA1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for them with its wealth of incisive, persuasive, thought-provoking points,</w:t>
      </w:r>
      <w:r w:rsidR="002C4BA1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which appear more frequently the deeper into the seventeenth century it</w:t>
      </w:r>
      <w:r w:rsidR="002C4BA1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ventures. In the early going, St. German is well handled, and the account</w:t>
      </w:r>
      <w:r w:rsidR="002C4BA1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 xml:space="preserve">of the Cave of </w:t>
      </w:r>
      <w:proofErr w:type="spellStart"/>
      <w:r w:rsidRPr="00F83267">
        <w:rPr>
          <w:rFonts w:cstheme="minorHAnsi"/>
          <w:sz w:val="20"/>
          <w:szCs w:val="20"/>
        </w:rPr>
        <w:t>Despaire</w:t>
      </w:r>
      <w:proofErr w:type="spellEnd"/>
      <w:r w:rsidRPr="00F83267">
        <w:rPr>
          <w:rFonts w:cstheme="minorHAnsi"/>
          <w:sz w:val="20"/>
          <w:szCs w:val="20"/>
        </w:rPr>
        <w:t xml:space="preserve"> in </w:t>
      </w:r>
      <w:r w:rsidRPr="002C4BA1">
        <w:rPr>
          <w:rFonts w:cstheme="minorHAnsi"/>
          <w:i/>
          <w:sz w:val="20"/>
          <w:szCs w:val="20"/>
        </w:rPr>
        <w:t xml:space="preserve">The Faerie </w:t>
      </w:r>
      <w:proofErr w:type="spellStart"/>
      <w:r w:rsidRPr="002C4BA1">
        <w:rPr>
          <w:rFonts w:cstheme="minorHAnsi"/>
          <w:i/>
          <w:sz w:val="20"/>
          <w:szCs w:val="20"/>
        </w:rPr>
        <w:t>Queene</w:t>
      </w:r>
      <w:proofErr w:type="spellEnd"/>
      <w:r w:rsidRPr="00F83267">
        <w:rPr>
          <w:rFonts w:cstheme="minorHAnsi"/>
          <w:sz w:val="20"/>
          <w:szCs w:val="20"/>
        </w:rPr>
        <w:t xml:space="preserve"> contains many fine insights,</w:t>
      </w:r>
      <w:r w:rsidR="002C4BA1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particularly those applying the figure of catachresis to the representation</w:t>
      </w:r>
      <w:r w:rsidR="002C4BA1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 xml:space="preserve">of </w:t>
      </w:r>
      <w:proofErr w:type="spellStart"/>
      <w:r w:rsidRPr="00F83267">
        <w:rPr>
          <w:rFonts w:cstheme="minorHAnsi"/>
          <w:sz w:val="20"/>
          <w:szCs w:val="20"/>
        </w:rPr>
        <w:t>Redcrosse’s</w:t>
      </w:r>
      <w:proofErr w:type="spellEnd"/>
      <w:r w:rsidRPr="00F83267">
        <w:rPr>
          <w:rFonts w:cstheme="minorHAnsi"/>
          <w:sz w:val="20"/>
          <w:szCs w:val="20"/>
        </w:rPr>
        <w:t xml:space="preserve"> affliction (56). The book gains momentum as Stoll relates</w:t>
      </w:r>
      <w:r w:rsidR="002C4BA1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 xml:space="preserve">his distinction between </w:t>
      </w:r>
      <w:proofErr w:type="spellStart"/>
      <w:r w:rsidRPr="00F83267">
        <w:rPr>
          <w:rFonts w:cstheme="minorHAnsi"/>
          <w:sz w:val="20"/>
          <w:szCs w:val="20"/>
        </w:rPr>
        <w:t>casuistical</w:t>
      </w:r>
      <w:proofErr w:type="spellEnd"/>
      <w:r w:rsidRPr="00F83267">
        <w:rPr>
          <w:rFonts w:cstheme="minorHAnsi"/>
          <w:sz w:val="20"/>
          <w:szCs w:val="20"/>
        </w:rPr>
        <w:t xml:space="preserve"> and antinomian concepts of conscience</w:t>
      </w:r>
      <w:r w:rsidR="00B1327D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 xml:space="preserve">to matters of politics and toleration. He is very strong on the </w:t>
      </w:r>
      <w:proofErr w:type="spellStart"/>
      <w:r w:rsidRPr="00F83267">
        <w:rPr>
          <w:rFonts w:cstheme="minorHAnsi"/>
          <w:sz w:val="20"/>
          <w:szCs w:val="20"/>
        </w:rPr>
        <w:t>Levellers</w:t>
      </w:r>
      <w:proofErr w:type="spellEnd"/>
      <w:r w:rsidRPr="00F83267">
        <w:rPr>
          <w:rFonts w:cstheme="minorHAnsi"/>
          <w:sz w:val="20"/>
          <w:szCs w:val="20"/>
        </w:rPr>
        <w:t xml:space="preserve"> and</w:t>
      </w:r>
      <w:r w:rsidR="00B1327D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then on Hobbes, with the latter’s ambiguities of public and private conscience</w:t>
      </w:r>
      <w:r w:rsidR="00B1327D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and will sorted out clearly and crisply. Then we move on to Milton,</w:t>
      </w:r>
      <w:r w:rsidR="00B1327D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 xml:space="preserve">and to some truly excellent analysis. On the </w:t>
      </w:r>
      <w:r w:rsidRPr="00B1327D">
        <w:rPr>
          <w:rFonts w:cstheme="minorHAnsi"/>
          <w:i/>
          <w:sz w:val="20"/>
          <w:szCs w:val="20"/>
        </w:rPr>
        <w:t xml:space="preserve">De </w:t>
      </w:r>
      <w:proofErr w:type="spellStart"/>
      <w:r w:rsidRPr="00B1327D">
        <w:rPr>
          <w:rFonts w:cstheme="minorHAnsi"/>
          <w:i/>
          <w:sz w:val="20"/>
          <w:szCs w:val="20"/>
        </w:rPr>
        <w:t>doctrina</w:t>
      </w:r>
      <w:proofErr w:type="spellEnd"/>
      <w:r w:rsidRPr="00F83267">
        <w:rPr>
          <w:rFonts w:cstheme="minorHAnsi"/>
          <w:sz w:val="20"/>
          <w:szCs w:val="20"/>
        </w:rPr>
        <w:t>, Stoll deftly observes</w:t>
      </w:r>
      <w:r w:rsidR="00B1327D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the antinomian overtones of Milton’s suspicions about the reliability of</w:t>
      </w:r>
      <w:r w:rsidR="00B1327D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the biblical text: “In a remarkable example of Milton’s eclectic theology,</w:t>
      </w:r>
      <w:r w:rsidR="00B1327D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scholarship itself becomes proof of an antinomian Spirit” (175). Thereafter,</w:t>
      </w:r>
      <w:r w:rsidR="00B1327D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 xml:space="preserve">as </w:t>
      </w:r>
      <w:proofErr w:type="spellStart"/>
      <w:r w:rsidRPr="00F83267">
        <w:rPr>
          <w:rFonts w:cstheme="minorHAnsi"/>
          <w:sz w:val="20"/>
          <w:szCs w:val="20"/>
        </w:rPr>
        <w:t>Miltonists</w:t>
      </w:r>
      <w:proofErr w:type="spellEnd"/>
      <w:r w:rsidRPr="00F83267">
        <w:rPr>
          <w:rFonts w:cstheme="minorHAnsi"/>
          <w:sz w:val="20"/>
          <w:szCs w:val="20"/>
        </w:rPr>
        <w:t xml:space="preserve"> of all stripes should recognize, Stoll’s examination of </w:t>
      </w:r>
      <w:r w:rsidRPr="00EA1B55">
        <w:rPr>
          <w:rFonts w:cstheme="minorHAnsi"/>
          <w:i/>
          <w:sz w:val="20"/>
          <w:szCs w:val="20"/>
        </w:rPr>
        <w:t>A</w:t>
      </w:r>
      <w:r w:rsidR="00B1327D">
        <w:rPr>
          <w:rFonts w:cstheme="minorHAnsi"/>
          <w:sz w:val="20"/>
          <w:szCs w:val="20"/>
        </w:rPr>
        <w:t xml:space="preserve"> </w:t>
      </w:r>
    </w:p>
    <w:p w14:paraId="1B336A88" w14:textId="77777777" w:rsidR="00B1327D" w:rsidRDefault="00B1327D" w:rsidP="00B1327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0"/>
          <w:szCs w:val="20"/>
        </w:rPr>
      </w:pPr>
    </w:p>
    <w:p w14:paraId="4051D4E2" w14:textId="6776E09E" w:rsidR="00FB5303" w:rsidRPr="00B1327D" w:rsidRDefault="00FB5303" w:rsidP="00B1327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18"/>
        </w:rPr>
      </w:pPr>
      <w:r w:rsidRPr="00B1327D">
        <w:rPr>
          <w:rFonts w:cstheme="minorHAnsi"/>
          <w:sz w:val="20"/>
          <w:szCs w:val="18"/>
        </w:rPr>
        <w:t>Book Review</w:t>
      </w:r>
      <w:r w:rsidRPr="00B1327D">
        <w:rPr>
          <w:rFonts w:cstheme="minorHAnsi"/>
          <w:sz w:val="20"/>
          <w:szCs w:val="18"/>
        </w:rPr>
        <w:t xml:space="preserve"> </w:t>
      </w:r>
      <w:r w:rsidR="00F83267" w:rsidRPr="00B1327D">
        <w:rPr>
          <w:rFonts w:cstheme="minorHAnsi"/>
          <w:sz w:val="20"/>
          <w:szCs w:val="18"/>
        </w:rPr>
        <w:t>E39</w:t>
      </w:r>
    </w:p>
    <w:p w14:paraId="5611278F" w14:textId="77777777" w:rsidR="00B1327D" w:rsidRDefault="00B1327D" w:rsidP="00F8326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3EEBE4B2" w14:textId="67E93E5D" w:rsidR="00F83267" w:rsidRPr="00F83267" w:rsidRDefault="00F83267" w:rsidP="00F8326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1B55">
        <w:rPr>
          <w:rFonts w:cstheme="minorHAnsi"/>
          <w:i/>
          <w:sz w:val="20"/>
          <w:szCs w:val="20"/>
        </w:rPr>
        <w:t>Treatise of Civil Power</w:t>
      </w:r>
      <w:r w:rsidRPr="00F83267">
        <w:rPr>
          <w:rFonts w:cstheme="minorHAnsi"/>
          <w:sz w:val="20"/>
          <w:szCs w:val="20"/>
        </w:rPr>
        <w:t xml:space="preserve"> makes an invaluable contribution, surely being one</w:t>
      </w:r>
      <w:r w:rsidR="00B1327D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of the most nuanced and suggestive ever. For Stoll, in this work Milton’s</w:t>
      </w:r>
      <w:r w:rsidR="00B1327D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antinomianism turns back on itself, though not to undermine, but to bolster</w:t>
      </w:r>
      <w:r w:rsidR="00B1327D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the case for toleration: “Humans have a hard time knowing when they</w:t>
      </w:r>
      <w:r w:rsidR="00B1327D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are inspired. No one can rely on the Spirit to be consistently present, authorizing</w:t>
      </w:r>
      <w:r w:rsidR="00B1327D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every biblical interpretation</w:t>
      </w:r>
      <w:proofErr w:type="gramStart"/>
      <w:r w:rsidRPr="00F83267">
        <w:rPr>
          <w:rFonts w:cstheme="minorHAnsi"/>
          <w:sz w:val="20"/>
          <w:szCs w:val="20"/>
        </w:rPr>
        <w:t>. . . .</w:t>
      </w:r>
      <w:proofErr w:type="gramEnd"/>
      <w:r w:rsidRPr="00F83267">
        <w:rPr>
          <w:rFonts w:cstheme="minorHAnsi"/>
          <w:sz w:val="20"/>
          <w:szCs w:val="20"/>
        </w:rPr>
        <w:t xml:space="preserve"> Then, precisely from this space</w:t>
      </w:r>
      <w:r w:rsidR="00EA1B55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of uncertainty, follows Milton’s claim for liberty of conscience</w:t>
      </w:r>
      <w:proofErr w:type="gramStart"/>
      <w:r w:rsidRPr="00F83267">
        <w:rPr>
          <w:rFonts w:cstheme="minorHAnsi"/>
          <w:sz w:val="20"/>
          <w:szCs w:val="20"/>
        </w:rPr>
        <w:t>. . . .</w:t>
      </w:r>
      <w:proofErr w:type="gramEnd"/>
      <w:r w:rsidRPr="00F83267">
        <w:rPr>
          <w:rFonts w:cstheme="minorHAnsi"/>
          <w:sz w:val="20"/>
          <w:szCs w:val="20"/>
        </w:rPr>
        <w:t xml:space="preserve"> What</w:t>
      </w:r>
      <w:r w:rsidR="00EA1B55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prevents forcing, in Milton’s argument, is this limit to the communicability</w:t>
      </w:r>
      <w:r w:rsidR="00EA1B55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of inspired knowledge” (180). As the author proceeds to point out, such a</w:t>
      </w:r>
      <w:r w:rsidR="00EA1B55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view would seem to have negative consequences for Milton’s Samson and</w:t>
      </w:r>
      <w:r w:rsidR="00EA1B55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his notorious rousing motions; but as he also points out, such is the means</w:t>
      </w:r>
      <w:r w:rsidR="00EA1B55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by which Milton’s drama poses a challenge to us to reaffirm Civil Power’s</w:t>
      </w:r>
      <w:r w:rsidR="00EA1B55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premises: “Precisely because we cannot fully understand Samson’s experience</w:t>
      </w:r>
      <w:r w:rsidR="00EA1B55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of conscience, his inward persuasion and final action must be admitted</w:t>
      </w:r>
      <w:r w:rsidR="00EA1B55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into public toleration” (195). In all, Stoll lays out economically and helpfully</w:t>
      </w:r>
      <w:r w:rsidR="00EA1B55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how a focus on Milton’s concepts of conscience can shed light on,</w:t>
      </w:r>
      <w:r w:rsidR="00EA1B55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though not resolve, the heart of the matter for Milton studies, the tension</w:t>
      </w:r>
      <w:r w:rsidR="00EA1B55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between reason and inspiration (182).</w:t>
      </w:r>
    </w:p>
    <w:p w14:paraId="2C8A4B68" w14:textId="0A92B22B" w:rsidR="00F83267" w:rsidRDefault="00F83267" w:rsidP="00EA1B55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0"/>
          <w:szCs w:val="20"/>
        </w:rPr>
      </w:pPr>
      <w:r w:rsidRPr="00F83267">
        <w:rPr>
          <w:rFonts w:cstheme="minorHAnsi"/>
          <w:sz w:val="20"/>
          <w:szCs w:val="20"/>
        </w:rPr>
        <w:t>While they are most heavily concentrated in the Milton chapter, bright moments</w:t>
      </w:r>
      <w:r w:rsidR="00EA1B55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can be found throughout the book. I recommend it happily, though</w:t>
      </w:r>
      <w:r w:rsidR="00EA1B55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with the caveat that the reader should keep expectations low for a fresh address</w:t>
      </w:r>
      <w:r w:rsidR="00EA1B55">
        <w:rPr>
          <w:rFonts w:cstheme="minorHAnsi"/>
          <w:sz w:val="20"/>
          <w:szCs w:val="20"/>
        </w:rPr>
        <w:t xml:space="preserve"> </w:t>
      </w:r>
      <w:r w:rsidRPr="00F83267">
        <w:rPr>
          <w:rFonts w:cstheme="minorHAnsi"/>
          <w:sz w:val="20"/>
          <w:szCs w:val="20"/>
        </w:rPr>
        <w:t>to broader issues.</w:t>
      </w:r>
    </w:p>
    <w:p w14:paraId="38C9D697" w14:textId="77777777" w:rsidR="00EA1B55" w:rsidRPr="00F83267" w:rsidRDefault="00EA1B55" w:rsidP="00EA1B55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0"/>
          <w:szCs w:val="20"/>
        </w:rPr>
      </w:pPr>
    </w:p>
    <w:p w14:paraId="507B9239" w14:textId="77777777" w:rsidR="00F83267" w:rsidRPr="00F83267" w:rsidRDefault="00F83267" w:rsidP="00EA1B5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F83267">
        <w:rPr>
          <w:rFonts w:cstheme="minorHAnsi"/>
          <w:sz w:val="20"/>
          <w:szCs w:val="20"/>
        </w:rPr>
        <w:t>John E. Curran Jr.</w:t>
      </w:r>
    </w:p>
    <w:p w14:paraId="2352E55A" w14:textId="2FA56C73" w:rsidR="00F83267" w:rsidRPr="00F83267" w:rsidRDefault="00F83267" w:rsidP="00EA1B55">
      <w:pPr>
        <w:jc w:val="right"/>
        <w:rPr>
          <w:rFonts w:cstheme="minorHAnsi"/>
          <w:sz w:val="24"/>
          <w:szCs w:val="24"/>
        </w:rPr>
      </w:pPr>
      <w:r w:rsidRPr="00F83267">
        <w:rPr>
          <w:rFonts w:cstheme="minorHAnsi"/>
          <w:sz w:val="20"/>
          <w:szCs w:val="20"/>
        </w:rPr>
        <w:t>Marquette University</w:t>
      </w:r>
    </w:p>
    <w:bookmarkEnd w:id="1"/>
    <w:sectPr w:rsidR="00F83267" w:rsidRPr="00F83267" w:rsidSect="00D64EFB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83mPp+n64dr9n9mUav5JqWGfHi3X3SpcGz4YQ7x4DqZInFersVJqRC9jG8HJcEjdeCY0YQ7gNVMOj0mtFl+TZg==" w:salt="zndqQsFKPkZ0y9qKjrFCOg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22"/>
    <w:rsid w:val="00003562"/>
    <w:rsid w:val="0000729D"/>
    <w:rsid w:val="0001072F"/>
    <w:rsid w:val="00014F38"/>
    <w:rsid w:val="000233C1"/>
    <w:rsid w:val="00024048"/>
    <w:rsid w:val="00026BC7"/>
    <w:rsid w:val="0003036D"/>
    <w:rsid w:val="00034205"/>
    <w:rsid w:val="00035704"/>
    <w:rsid w:val="00041C27"/>
    <w:rsid w:val="000437DE"/>
    <w:rsid w:val="00043C8E"/>
    <w:rsid w:val="00044EBA"/>
    <w:rsid w:val="0004637E"/>
    <w:rsid w:val="0004717F"/>
    <w:rsid w:val="000525F1"/>
    <w:rsid w:val="0005413F"/>
    <w:rsid w:val="00057D20"/>
    <w:rsid w:val="000606A8"/>
    <w:rsid w:val="00061102"/>
    <w:rsid w:val="00064ECB"/>
    <w:rsid w:val="00071537"/>
    <w:rsid w:val="00072612"/>
    <w:rsid w:val="000735D6"/>
    <w:rsid w:val="00074B64"/>
    <w:rsid w:val="000769FD"/>
    <w:rsid w:val="00077000"/>
    <w:rsid w:val="00082637"/>
    <w:rsid w:val="00083102"/>
    <w:rsid w:val="000846CC"/>
    <w:rsid w:val="00085797"/>
    <w:rsid w:val="00087367"/>
    <w:rsid w:val="0009064A"/>
    <w:rsid w:val="00091815"/>
    <w:rsid w:val="00092DFF"/>
    <w:rsid w:val="00093C1A"/>
    <w:rsid w:val="00097FBC"/>
    <w:rsid w:val="000A0975"/>
    <w:rsid w:val="000A266C"/>
    <w:rsid w:val="000A7622"/>
    <w:rsid w:val="000A7F84"/>
    <w:rsid w:val="000B1EEB"/>
    <w:rsid w:val="000B22D3"/>
    <w:rsid w:val="000B2768"/>
    <w:rsid w:val="000B3464"/>
    <w:rsid w:val="000B389E"/>
    <w:rsid w:val="000B501D"/>
    <w:rsid w:val="000B5170"/>
    <w:rsid w:val="000C0E5B"/>
    <w:rsid w:val="000C6BA7"/>
    <w:rsid w:val="000D3573"/>
    <w:rsid w:val="000D4F0B"/>
    <w:rsid w:val="000D6BF2"/>
    <w:rsid w:val="000E69EF"/>
    <w:rsid w:val="000E7C46"/>
    <w:rsid w:val="000F0449"/>
    <w:rsid w:val="000F08DA"/>
    <w:rsid w:val="000F14F0"/>
    <w:rsid w:val="000F1D5E"/>
    <w:rsid w:val="000F33D0"/>
    <w:rsid w:val="00101A98"/>
    <w:rsid w:val="00104CE6"/>
    <w:rsid w:val="00107EA8"/>
    <w:rsid w:val="00114114"/>
    <w:rsid w:val="00117F89"/>
    <w:rsid w:val="00120313"/>
    <w:rsid w:val="001233A5"/>
    <w:rsid w:val="00123BC0"/>
    <w:rsid w:val="00123E80"/>
    <w:rsid w:val="00131A15"/>
    <w:rsid w:val="00131C28"/>
    <w:rsid w:val="00134CF7"/>
    <w:rsid w:val="0014182B"/>
    <w:rsid w:val="0014490B"/>
    <w:rsid w:val="00146A5C"/>
    <w:rsid w:val="00146E50"/>
    <w:rsid w:val="00150DB6"/>
    <w:rsid w:val="00154D34"/>
    <w:rsid w:val="00160E1F"/>
    <w:rsid w:val="00161372"/>
    <w:rsid w:val="001622DB"/>
    <w:rsid w:val="00163F71"/>
    <w:rsid w:val="00166192"/>
    <w:rsid w:val="00173556"/>
    <w:rsid w:val="0018114F"/>
    <w:rsid w:val="00181ADF"/>
    <w:rsid w:val="00183A38"/>
    <w:rsid w:val="001854EA"/>
    <w:rsid w:val="00185C26"/>
    <w:rsid w:val="00196C7C"/>
    <w:rsid w:val="001A1C71"/>
    <w:rsid w:val="001A1DF4"/>
    <w:rsid w:val="001A34C4"/>
    <w:rsid w:val="001B6E76"/>
    <w:rsid w:val="001C3A3F"/>
    <w:rsid w:val="001D1087"/>
    <w:rsid w:val="001D2448"/>
    <w:rsid w:val="001D3ADE"/>
    <w:rsid w:val="001D50B5"/>
    <w:rsid w:val="001D58D3"/>
    <w:rsid w:val="001D776C"/>
    <w:rsid w:val="001D7BCC"/>
    <w:rsid w:val="001E18FE"/>
    <w:rsid w:val="001F121C"/>
    <w:rsid w:val="001F70BC"/>
    <w:rsid w:val="001F7FBE"/>
    <w:rsid w:val="002016B1"/>
    <w:rsid w:val="00201875"/>
    <w:rsid w:val="00201AFD"/>
    <w:rsid w:val="00201FDC"/>
    <w:rsid w:val="002022D8"/>
    <w:rsid w:val="00206486"/>
    <w:rsid w:val="00206CC8"/>
    <w:rsid w:val="00211422"/>
    <w:rsid w:val="00212109"/>
    <w:rsid w:val="00224240"/>
    <w:rsid w:val="00226FA2"/>
    <w:rsid w:val="0024134B"/>
    <w:rsid w:val="00251132"/>
    <w:rsid w:val="002535DF"/>
    <w:rsid w:val="002558EB"/>
    <w:rsid w:val="00255B43"/>
    <w:rsid w:val="00255BDC"/>
    <w:rsid w:val="00255BEA"/>
    <w:rsid w:val="00261403"/>
    <w:rsid w:val="00261F59"/>
    <w:rsid w:val="00272AF4"/>
    <w:rsid w:val="00276C06"/>
    <w:rsid w:val="00280198"/>
    <w:rsid w:val="00282094"/>
    <w:rsid w:val="002843BC"/>
    <w:rsid w:val="00284A84"/>
    <w:rsid w:val="0029129F"/>
    <w:rsid w:val="00296B90"/>
    <w:rsid w:val="00297296"/>
    <w:rsid w:val="002A0668"/>
    <w:rsid w:val="002A6B8B"/>
    <w:rsid w:val="002A7FBB"/>
    <w:rsid w:val="002B1ED8"/>
    <w:rsid w:val="002B45EC"/>
    <w:rsid w:val="002B62C6"/>
    <w:rsid w:val="002C17A7"/>
    <w:rsid w:val="002C2DA5"/>
    <w:rsid w:val="002C4714"/>
    <w:rsid w:val="002C4BA1"/>
    <w:rsid w:val="002C6160"/>
    <w:rsid w:val="002D02F2"/>
    <w:rsid w:val="002D28EA"/>
    <w:rsid w:val="002D51BB"/>
    <w:rsid w:val="002D5BAE"/>
    <w:rsid w:val="002D5DDC"/>
    <w:rsid w:val="002D6AA3"/>
    <w:rsid w:val="002E5C33"/>
    <w:rsid w:val="002E5D29"/>
    <w:rsid w:val="00300EE4"/>
    <w:rsid w:val="0030197F"/>
    <w:rsid w:val="0030223E"/>
    <w:rsid w:val="00303A1E"/>
    <w:rsid w:val="00303BBD"/>
    <w:rsid w:val="00313440"/>
    <w:rsid w:val="00314FCD"/>
    <w:rsid w:val="00324290"/>
    <w:rsid w:val="00331737"/>
    <w:rsid w:val="0033243D"/>
    <w:rsid w:val="00336445"/>
    <w:rsid w:val="0033652E"/>
    <w:rsid w:val="00340617"/>
    <w:rsid w:val="00340B13"/>
    <w:rsid w:val="00340CDB"/>
    <w:rsid w:val="003427C6"/>
    <w:rsid w:val="00343472"/>
    <w:rsid w:val="003455AA"/>
    <w:rsid w:val="00347634"/>
    <w:rsid w:val="00351E90"/>
    <w:rsid w:val="00360206"/>
    <w:rsid w:val="003624EE"/>
    <w:rsid w:val="003632E1"/>
    <w:rsid w:val="00363CD3"/>
    <w:rsid w:val="003656A9"/>
    <w:rsid w:val="00366852"/>
    <w:rsid w:val="003706EF"/>
    <w:rsid w:val="00370BE4"/>
    <w:rsid w:val="00371D56"/>
    <w:rsid w:val="0037755D"/>
    <w:rsid w:val="00381F0E"/>
    <w:rsid w:val="0038549B"/>
    <w:rsid w:val="0038628A"/>
    <w:rsid w:val="0038634F"/>
    <w:rsid w:val="00391C48"/>
    <w:rsid w:val="00394136"/>
    <w:rsid w:val="00394337"/>
    <w:rsid w:val="00394F28"/>
    <w:rsid w:val="00395F63"/>
    <w:rsid w:val="003A437A"/>
    <w:rsid w:val="003A503E"/>
    <w:rsid w:val="003A6039"/>
    <w:rsid w:val="003B47FA"/>
    <w:rsid w:val="003B6208"/>
    <w:rsid w:val="003B7F8F"/>
    <w:rsid w:val="003C4172"/>
    <w:rsid w:val="003C437D"/>
    <w:rsid w:val="003C4456"/>
    <w:rsid w:val="003C6C95"/>
    <w:rsid w:val="003D3301"/>
    <w:rsid w:val="003D4641"/>
    <w:rsid w:val="003E05B7"/>
    <w:rsid w:val="003E0C0A"/>
    <w:rsid w:val="003E6CFF"/>
    <w:rsid w:val="004010E3"/>
    <w:rsid w:val="004055B8"/>
    <w:rsid w:val="0040709D"/>
    <w:rsid w:val="004122F9"/>
    <w:rsid w:val="004124D3"/>
    <w:rsid w:val="004139BA"/>
    <w:rsid w:val="00421CBC"/>
    <w:rsid w:val="0043008C"/>
    <w:rsid w:val="00430B91"/>
    <w:rsid w:val="004374EF"/>
    <w:rsid w:val="00440F61"/>
    <w:rsid w:val="004441CB"/>
    <w:rsid w:val="00450DB8"/>
    <w:rsid w:val="00453D2C"/>
    <w:rsid w:val="00454851"/>
    <w:rsid w:val="00456070"/>
    <w:rsid w:val="00456B26"/>
    <w:rsid w:val="00456EB6"/>
    <w:rsid w:val="004570E7"/>
    <w:rsid w:val="00460A1D"/>
    <w:rsid w:val="004613DF"/>
    <w:rsid w:val="00461BB2"/>
    <w:rsid w:val="00463F96"/>
    <w:rsid w:val="004647A3"/>
    <w:rsid w:val="004660BE"/>
    <w:rsid w:val="0046696C"/>
    <w:rsid w:val="00466DD7"/>
    <w:rsid w:val="00471F7D"/>
    <w:rsid w:val="00473B19"/>
    <w:rsid w:val="00474CB3"/>
    <w:rsid w:val="00474ECD"/>
    <w:rsid w:val="004757B5"/>
    <w:rsid w:val="004816ED"/>
    <w:rsid w:val="004834F0"/>
    <w:rsid w:val="00487185"/>
    <w:rsid w:val="004873AE"/>
    <w:rsid w:val="00487718"/>
    <w:rsid w:val="00490ABE"/>
    <w:rsid w:val="004932A8"/>
    <w:rsid w:val="00497E47"/>
    <w:rsid w:val="004A0368"/>
    <w:rsid w:val="004A2715"/>
    <w:rsid w:val="004A2894"/>
    <w:rsid w:val="004A2B41"/>
    <w:rsid w:val="004A3B3E"/>
    <w:rsid w:val="004B2226"/>
    <w:rsid w:val="004B5E72"/>
    <w:rsid w:val="004B6BED"/>
    <w:rsid w:val="004B77C2"/>
    <w:rsid w:val="004C0B3D"/>
    <w:rsid w:val="004C2D7B"/>
    <w:rsid w:val="004C45D2"/>
    <w:rsid w:val="004C5EEF"/>
    <w:rsid w:val="004D118A"/>
    <w:rsid w:val="004D1CB9"/>
    <w:rsid w:val="004D21C9"/>
    <w:rsid w:val="004E34F8"/>
    <w:rsid w:val="004E3C84"/>
    <w:rsid w:val="004E528B"/>
    <w:rsid w:val="004F146C"/>
    <w:rsid w:val="004F1F3C"/>
    <w:rsid w:val="0050408D"/>
    <w:rsid w:val="00504C6A"/>
    <w:rsid w:val="00510364"/>
    <w:rsid w:val="005116C9"/>
    <w:rsid w:val="00511BEE"/>
    <w:rsid w:val="005175E9"/>
    <w:rsid w:val="00520368"/>
    <w:rsid w:val="0052658A"/>
    <w:rsid w:val="00530DDD"/>
    <w:rsid w:val="00533270"/>
    <w:rsid w:val="00540146"/>
    <w:rsid w:val="00543C22"/>
    <w:rsid w:val="0054405B"/>
    <w:rsid w:val="0054567F"/>
    <w:rsid w:val="00546B44"/>
    <w:rsid w:val="00553291"/>
    <w:rsid w:val="005546FF"/>
    <w:rsid w:val="00556B72"/>
    <w:rsid w:val="005605E4"/>
    <w:rsid w:val="00563D7B"/>
    <w:rsid w:val="00563E3B"/>
    <w:rsid w:val="005643C8"/>
    <w:rsid w:val="005673D1"/>
    <w:rsid w:val="00570F38"/>
    <w:rsid w:val="00573955"/>
    <w:rsid w:val="00580E33"/>
    <w:rsid w:val="00583225"/>
    <w:rsid w:val="0058724D"/>
    <w:rsid w:val="00596593"/>
    <w:rsid w:val="00596A35"/>
    <w:rsid w:val="005979CD"/>
    <w:rsid w:val="005A12F0"/>
    <w:rsid w:val="005A5291"/>
    <w:rsid w:val="005A6FD1"/>
    <w:rsid w:val="005B08F1"/>
    <w:rsid w:val="005B47BC"/>
    <w:rsid w:val="005C00EC"/>
    <w:rsid w:val="005C15C9"/>
    <w:rsid w:val="005C30E9"/>
    <w:rsid w:val="005C663B"/>
    <w:rsid w:val="005D1C38"/>
    <w:rsid w:val="005D1ED6"/>
    <w:rsid w:val="005D767A"/>
    <w:rsid w:val="005E2628"/>
    <w:rsid w:val="005E2AF4"/>
    <w:rsid w:val="005E5F66"/>
    <w:rsid w:val="005F46EC"/>
    <w:rsid w:val="005F49C9"/>
    <w:rsid w:val="005F71CE"/>
    <w:rsid w:val="005F7A68"/>
    <w:rsid w:val="00601980"/>
    <w:rsid w:val="0060332C"/>
    <w:rsid w:val="00604C5A"/>
    <w:rsid w:val="00607F1D"/>
    <w:rsid w:val="00612DE8"/>
    <w:rsid w:val="00615A83"/>
    <w:rsid w:val="00620EA0"/>
    <w:rsid w:val="00623E47"/>
    <w:rsid w:val="00624CD2"/>
    <w:rsid w:val="0062795C"/>
    <w:rsid w:val="00631A06"/>
    <w:rsid w:val="00632909"/>
    <w:rsid w:val="00633D28"/>
    <w:rsid w:val="00633F1B"/>
    <w:rsid w:val="00634D07"/>
    <w:rsid w:val="00635799"/>
    <w:rsid w:val="00636A77"/>
    <w:rsid w:val="00636C7A"/>
    <w:rsid w:val="0064051B"/>
    <w:rsid w:val="00645D2C"/>
    <w:rsid w:val="00650724"/>
    <w:rsid w:val="006517B5"/>
    <w:rsid w:val="00652076"/>
    <w:rsid w:val="00653DA3"/>
    <w:rsid w:val="00654D37"/>
    <w:rsid w:val="006621F0"/>
    <w:rsid w:val="006647E7"/>
    <w:rsid w:val="00666FD4"/>
    <w:rsid w:val="00667217"/>
    <w:rsid w:val="006702C6"/>
    <w:rsid w:val="006756A6"/>
    <w:rsid w:val="006769E6"/>
    <w:rsid w:val="00676C63"/>
    <w:rsid w:val="00682333"/>
    <w:rsid w:val="006844CA"/>
    <w:rsid w:val="006871E0"/>
    <w:rsid w:val="00693B53"/>
    <w:rsid w:val="00697377"/>
    <w:rsid w:val="006A1F61"/>
    <w:rsid w:val="006A533C"/>
    <w:rsid w:val="006A5E52"/>
    <w:rsid w:val="006A712D"/>
    <w:rsid w:val="006A7B71"/>
    <w:rsid w:val="006B20FD"/>
    <w:rsid w:val="006B3B2B"/>
    <w:rsid w:val="006C024E"/>
    <w:rsid w:val="006C7ED1"/>
    <w:rsid w:val="006D75E1"/>
    <w:rsid w:val="006D7670"/>
    <w:rsid w:val="006E10F4"/>
    <w:rsid w:val="006E10FD"/>
    <w:rsid w:val="006E2996"/>
    <w:rsid w:val="006E2EEC"/>
    <w:rsid w:val="006E471E"/>
    <w:rsid w:val="006E4859"/>
    <w:rsid w:val="006F24E3"/>
    <w:rsid w:val="007065D3"/>
    <w:rsid w:val="007071B1"/>
    <w:rsid w:val="00707EC1"/>
    <w:rsid w:val="00710582"/>
    <w:rsid w:val="00714EE9"/>
    <w:rsid w:val="007246B0"/>
    <w:rsid w:val="007258CB"/>
    <w:rsid w:val="00730E29"/>
    <w:rsid w:val="00732FF6"/>
    <w:rsid w:val="00735393"/>
    <w:rsid w:val="00745E32"/>
    <w:rsid w:val="007466F7"/>
    <w:rsid w:val="00757D89"/>
    <w:rsid w:val="0076194B"/>
    <w:rsid w:val="00762505"/>
    <w:rsid w:val="00763676"/>
    <w:rsid w:val="00772776"/>
    <w:rsid w:val="00776E56"/>
    <w:rsid w:val="00776E8C"/>
    <w:rsid w:val="00781619"/>
    <w:rsid w:val="0079146B"/>
    <w:rsid w:val="00791DD5"/>
    <w:rsid w:val="00796875"/>
    <w:rsid w:val="0079756E"/>
    <w:rsid w:val="007A1233"/>
    <w:rsid w:val="007A258F"/>
    <w:rsid w:val="007A3B3A"/>
    <w:rsid w:val="007B0BBA"/>
    <w:rsid w:val="007C16F7"/>
    <w:rsid w:val="007D25DB"/>
    <w:rsid w:val="007D51E8"/>
    <w:rsid w:val="007D655B"/>
    <w:rsid w:val="007D762B"/>
    <w:rsid w:val="007D7C64"/>
    <w:rsid w:val="007E2E07"/>
    <w:rsid w:val="007E491C"/>
    <w:rsid w:val="007E53E2"/>
    <w:rsid w:val="007E604C"/>
    <w:rsid w:val="007E714E"/>
    <w:rsid w:val="007F0413"/>
    <w:rsid w:val="007F12C0"/>
    <w:rsid w:val="007F336A"/>
    <w:rsid w:val="007F4E20"/>
    <w:rsid w:val="007F54FA"/>
    <w:rsid w:val="007F7A0B"/>
    <w:rsid w:val="0080037D"/>
    <w:rsid w:val="0080347B"/>
    <w:rsid w:val="008061E0"/>
    <w:rsid w:val="0080711D"/>
    <w:rsid w:val="00813292"/>
    <w:rsid w:val="00813E40"/>
    <w:rsid w:val="00816489"/>
    <w:rsid w:val="00817C16"/>
    <w:rsid w:val="00820049"/>
    <w:rsid w:val="0082013E"/>
    <w:rsid w:val="00822617"/>
    <w:rsid w:val="00824B15"/>
    <w:rsid w:val="008322E3"/>
    <w:rsid w:val="00834DF7"/>
    <w:rsid w:val="00836F01"/>
    <w:rsid w:val="008406F5"/>
    <w:rsid w:val="00841F1E"/>
    <w:rsid w:val="00842203"/>
    <w:rsid w:val="00850E3E"/>
    <w:rsid w:val="00851544"/>
    <w:rsid w:val="00864432"/>
    <w:rsid w:val="008649A3"/>
    <w:rsid w:val="0086670A"/>
    <w:rsid w:val="00870BA1"/>
    <w:rsid w:val="00873CDE"/>
    <w:rsid w:val="00874421"/>
    <w:rsid w:val="00875997"/>
    <w:rsid w:val="0087796C"/>
    <w:rsid w:val="00880932"/>
    <w:rsid w:val="008825B5"/>
    <w:rsid w:val="00885E74"/>
    <w:rsid w:val="00886B14"/>
    <w:rsid w:val="008927F4"/>
    <w:rsid w:val="00893B58"/>
    <w:rsid w:val="00894E4C"/>
    <w:rsid w:val="0089642A"/>
    <w:rsid w:val="008A172B"/>
    <w:rsid w:val="008A1743"/>
    <w:rsid w:val="008A23DD"/>
    <w:rsid w:val="008A6C51"/>
    <w:rsid w:val="008B15CF"/>
    <w:rsid w:val="008B2242"/>
    <w:rsid w:val="008B4AD1"/>
    <w:rsid w:val="008B6D93"/>
    <w:rsid w:val="008B7AF1"/>
    <w:rsid w:val="008C3543"/>
    <w:rsid w:val="008D0F0D"/>
    <w:rsid w:val="008D0FF2"/>
    <w:rsid w:val="008D14D6"/>
    <w:rsid w:val="008D1D7F"/>
    <w:rsid w:val="008D3526"/>
    <w:rsid w:val="008F0401"/>
    <w:rsid w:val="008F04C1"/>
    <w:rsid w:val="008F2457"/>
    <w:rsid w:val="008F252A"/>
    <w:rsid w:val="008F6AFD"/>
    <w:rsid w:val="008F7645"/>
    <w:rsid w:val="0090248F"/>
    <w:rsid w:val="00902F25"/>
    <w:rsid w:val="0090407E"/>
    <w:rsid w:val="00905334"/>
    <w:rsid w:val="00907ABB"/>
    <w:rsid w:val="00911307"/>
    <w:rsid w:val="00915110"/>
    <w:rsid w:val="009151B5"/>
    <w:rsid w:val="00916ADA"/>
    <w:rsid w:val="00916C64"/>
    <w:rsid w:val="00925107"/>
    <w:rsid w:val="00925421"/>
    <w:rsid w:val="009267EE"/>
    <w:rsid w:val="00927998"/>
    <w:rsid w:val="00932185"/>
    <w:rsid w:val="009346E4"/>
    <w:rsid w:val="00935F23"/>
    <w:rsid w:val="009372D8"/>
    <w:rsid w:val="00937D12"/>
    <w:rsid w:val="00940ED2"/>
    <w:rsid w:val="00946997"/>
    <w:rsid w:val="0094737A"/>
    <w:rsid w:val="00950094"/>
    <w:rsid w:val="0095139E"/>
    <w:rsid w:val="00951536"/>
    <w:rsid w:val="009519D9"/>
    <w:rsid w:val="00952B32"/>
    <w:rsid w:val="00952C61"/>
    <w:rsid w:val="00954B3E"/>
    <w:rsid w:val="009554A6"/>
    <w:rsid w:val="00956FEB"/>
    <w:rsid w:val="009650D5"/>
    <w:rsid w:val="0096535F"/>
    <w:rsid w:val="00965F35"/>
    <w:rsid w:val="00966500"/>
    <w:rsid w:val="009705CA"/>
    <w:rsid w:val="009729A3"/>
    <w:rsid w:val="009732A9"/>
    <w:rsid w:val="00977F1D"/>
    <w:rsid w:val="00981BDD"/>
    <w:rsid w:val="00982217"/>
    <w:rsid w:val="00984B39"/>
    <w:rsid w:val="00986A83"/>
    <w:rsid w:val="00990645"/>
    <w:rsid w:val="009A130B"/>
    <w:rsid w:val="009A2639"/>
    <w:rsid w:val="009A397F"/>
    <w:rsid w:val="009B4F83"/>
    <w:rsid w:val="009B6983"/>
    <w:rsid w:val="009C5450"/>
    <w:rsid w:val="009C5716"/>
    <w:rsid w:val="009D316A"/>
    <w:rsid w:val="009D3527"/>
    <w:rsid w:val="009D5368"/>
    <w:rsid w:val="009D54DF"/>
    <w:rsid w:val="009E21E0"/>
    <w:rsid w:val="009E56AC"/>
    <w:rsid w:val="009E56AF"/>
    <w:rsid w:val="009E678D"/>
    <w:rsid w:val="009F28E2"/>
    <w:rsid w:val="009F4BDF"/>
    <w:rsid w:val="009F60BA"/>
    <w:rsid w:val="009F7F44"/>
    <w:rsid w:val="00A01B8D"/>
    <w:rsid w:val="00A034AE"/>
    <w:rsid w:val="00A035F5"/>
    <w:rsid w:val="00A07CF2"/>
    <w:rsid w:val="00A11F34"/>
    <w:rsid w:val="00A1350A"/>
    <w:rsid w:val="00A231A4"/>
    <w:rsid w:val="00A310DA"/>
    <w:rsid w:val="00A32FCB"/>
    <w:rsid w:val="00A3561C"/>
    <w:rsid w:val="00A400BC"/>
    <w:rsid w:val="00A40701"/>
    <w:rsid w:val="00A42169"/>
    <w:rsid w:val="00A424F1"/>
    <w:rsid w:val="00A426B2"/>
    <w:rsid w:val="00A45EE8"/>
    <w:rsid w:val="00A465FC"/>
    <w:rsid w:val="00A47B50"/>
    <w:rsid w:val="00A50459"/>
    <w:rsid w:val="00A506CB"/>
    <w:rsid w:val="00A52369"/>
    <w:rsid w:val="00A52A88"/>
    <w:rsid w:val="00A55701"/>
    <w:rsid w:val="00A56ED1"/>
    <w:rsid w:val="00A57007"/>
    <w:rsid w:val="00A648A4"/>
    <w:rsid w:val="00A650B2"/>
    <w:rsid w:val="00A7290A"/>
    <w:rsid w:val="00A75006"/>
    <w:rsid w:val="00A81E28"/>
    <w:rsid w:val="00A82932"/>
    <w:rsid w:val="00A82D07"/>
    <w:rsid w:val="00A868FB"/>
    <w:rsid w:val="00A915ED"/>
    <w:rsid w:val="00A91CF2"/>
    <w:rsid w:val="00A93BA4"/>
    <w:rsid w:val="00A9416E"/>
    <w:rsid w:val="00AA493D"/>
    <w:rsid w:val="00AB4807"/>
    <w:rsid w:val="00AB4813"/>
    <w:rsid w:val="00AC0052"/>
    <w:rsid w:val="00AC04D6"/>
    <w:rsid w:val="00AD0685"/>
    <w:rsid w:val="00AD38C1"/>
    <w:rsid w:val="00AD5A78"/>
    <w:rsid w:val="00AE1517"/>
    <w:rsid w:val="00AE4078"/>
    <w:rsid w:val="00AE4230"/>
    <w:rsid w:val="00AE69D7"/>
    <w:rsid w:val="00AE71AA"/>
    <w:rsid w:val="00AF1374"/>
    <w:rsid w:val="00AF1E8A"/>
    <w:rsid w:val="00AF2DE8"/>
    <w:rsid w:val="00AF5947"/>
    <w:rsid w:val="00AF692A"/>
    <w:rsid w:val="00AF6D69"/>
    <w:rsid w:val="00AF7626"/>
    <w:rsid w:val="00B03D08"/>
    <w:rsid w:val="00B05BF7"/>
    <w:rsid w:val="00B079F6"/>
    <w:rsid w:val="00B1094A"/>
    <w:rsid w:val="00B129D1"/>
    <w:rsid w:val="00B12F61"/>
    <w:rsid w:val="00B1327D"/>
    <w:rsid w:val="00B14CBC"/>
    <w:rsid w:val="00B1760D"/>
    <w:rsid w:val="00B17FF0"/>
    <w:rsid w:val="00B30468"/>
    <w:rsid w:val="00B32160"/>
    <w:rsid w:val="00B32B07"/>
    <w:rsid w:val="00B336E9"/>
    <w:rsid w:val="00B3397D"/>
    <w:rsid w:val="00B3426B"/>
    <w:rsid w:val="00B34F7B"/>
    <w:rsid w:val="00B35999"/>
    <w:rsid w:val="00B44237"/>
    <w:rsid w:val="00B47D09"/>
    <w:rsid w:val="00B50108"/>
    <w:rsid w:val="00B525D3"/>
    <w:rsid w:val="00B55B5C"/>
    <w:rsid w:val="00B56290"/>
    <w:rsid w:val="00B56873"/>
    <w:rsid w:val="00B61B54"/>
    <w:rsid w:val="00B6351D"/>
    <w:rsid w:val="00B64203"/>
    <w:rsid w:val="00B6519E"/>
    <w:rsid w:val="00B66AF1"/>
    <w:rsid w:val="00B70245"/>
    <w:rsid w:val="00B703C2"/>
    <w:rsid w:val="00B71442"/>
    <w:rsid w:val="00B74E41"/>
    <w:rsid w:val="00B7740D"/>
    <w:rsid w:val="00B82F58"/>
    <w:rsid w:val="00B839A9"/>
    <w:rsid w:val="00B84C63"/>
    <w:rsid w:val="00B86814"/>
    <w:rsid w:val="00B910CB"/>
    <w:rsid w:val="00B91743"/>
    <w:rsid w:val="00B91D38"/>
    <w:rsid w:val="00B927D2"/>
    <w:rsid w:val="00B935A4"/>
    <w:rsid w:val="00B945E5"/>
    <w:rsid w:val="00B9636B"/>
    <w:rsid w:val="00B974AD"/>
    <w:rsid w:val="00BA22C6"/>
    <w:rsid w:val="00BA316D"/>
    <w:rsid w:val="00BA5FEF"/>
    <w:rsid w:val="00BA7628"/>
    <w:rsid w:val="00BB2130"/>
    <w:rsid w:val="00BB30B6"/>
    <w:rsid w:val="00BB40CB"/>
    <w:rsid w:val="00BB7C37"/>
    <w:rsid w:val="00BC168F"/>
    <w:rsid w:val="00BC1E95"/>
    <w:rsid w:val="00BC2262"/>
    <w:rsid w:val="00BC3D81"/>
    <w:rsid w:val="00BC420A"/>
    <w:rsid w:val="00BC540B"/>
    <w:rsid w:val="00BC7302"/>
    <w:rsid w:val="00BD01F3"/>
    <w:rsid w:val="00BD0D8D"/>
    <w:rsid w:val="00BD439F"/>
    <w:rsid w:val="00BD4F14"/>
    <w:rsid w:val="00BE2644"/>
    <w:rsid w:val="00BE42F3"/>
    <w:rsid w:val="00BE551C"/>
    <w:rsid w:val="00BF6ECD"/>
    <w:rsid w:val="00BF790B"/>
    <w:rsid w:val="00C01E67"/>
    <w:rsid w:val="00C05302"/>
    <w:rsid w:val="00C06B6B"/>
    <w:rsid w:val="00C06F37"/>
    <w:rsid w:val="00C0799A"/>
    <w:rsid w:val="00C13438"/>
    <w:rsid w:val="00C170FF"/>
    <w:rsid w:val="00C173E1"/>
    <w:rsid w:val="00C2019E"/>
    <w:rsid w:val="00C25B68"/>
    <w:rsid w:val="00C27AEF"/>
    <w:rsid w:val="00C3110E"/>
    <w:rsid w:val="00C3466C"/>
    <w:rsid w:val="00C355FF"/>
    <w:rsid w:val="00C41A64"/>
    <w:rsid w:val="00C47122"/>
    <w:rsid w:val="00C47959"/>
    <w:rsid w:val="00C47CEA"/>
    <w:rsid w:val="00C515E0"/>
    <w:rsid w:val="00C531A3"/>
    <w:rsid w:val="00C57F24"/>
    <w:rsid w:val="00C63EA6"/>
    <w:rsid w:val="00C6619F"/>
    <w:rsid w:val="00C6624A"/>
    <w:rsid w:val="00C742C3"/>
    <w:rsid w:val="00C75559"/>
    <w:rsid w:val="00C76D88"/>
    <w:rsid w:val="00C7785D"/>
    <w:rsid w:val="00C77A26"/>
    <w:rsid w:val="00C85BDD"/>
    <w:rsid w:val="00C86B81"/>
    <w:rsid w:val="00C91557"/>
    <w:rsid w:val="00C92F74"/>
    <w:rsid w:val="00CA1C19"/>
    <w:rsid w:val="00CA204D"/>
    <w:rsid w:val="00CA2E14"/>
    <w:rsid w:val="00CA60CD"/>
    <w:rsid w:val="00CB10E9"/>
    <w:rsid w:val="00CB11D6"/>
    <w:rsid w:val="00CB5475"/>
    <w:rsid w:val="00CB665E"/>
    <w:rsid w:val="00CB6E09"/>
    <w:rsid w:val="00CC09A7"/>
    <w:rsid w:val="00CC0FD9"/>
    <w:rsid w:val="00CC1F8F"/>
    <w:rsid w:val="00CC5542"/>
    <w:rsid w:val="00CD139B"/>
    <w:rsid w:val="00CD5E59"/>
    <w:rsid w:val="00CD7831"/>
    <w:rsid w:val="00CE05D4"/>
    <w:rsid w:val="00CE4712"/>
    <w:rsid w:val="00CF53EE"/>
    <w:rsid w:val="00D01E5B"/>
    <w:rsid w:val="00D02378"/>
    <w:rsid w:val="00D02BE9"/>
    <w:rsid w:val="00D101DD"/>
    <w:rsid w:val="00D14423"/>
    <w:rsid w:val="00D15F27"/>
    <w:rsid w:val="00D17394"/>
    <w:rsid w:val="00D17B7F"/>
    <w:rsid w:val="00D21541"/>
    <w:rsid w:val="00D23FFF"/>
    <w:rsid w:val="00D2778A"/>
    <w:rsid w:val="00D31043"/>
    <w:rsid w:val="00D32077"/>
    <w:rsid w:val="00D324C0"/>
    <w:rsid w:val="00D34A13"/>
    <w:rsid w:val="00D3640D"/>
    <w:rsid w:val="00D42AE0"/>
    <w:rsid w:val="00D43F4A"/>
    <w:rsid w:val="00D45330"/>
    <w:rsid w:val="00D45705"/>
    <w:rsid w:val="00D45A48"/>
    <w:rsid w:val="00D45DB8"/>
    <w:rsid w:val="00D45FAE"/>
    <w:rsid w:val="00D505CD"/>
    <w:rsid w:val="00D50821"/>
    <w:rsid w:val="00D52D25"/>
    <w:rsid w:val="00D65A57"/>
    <w:rsid w:val="00D66306"/>
    <w:rsid w:val="00D66B18"/>
    <w:rsid w:val="00D726DB"/>
    <w:rsid w:val="00D73164"/>
    <w:rsid w:val="00D77E53"/>
    <w:rsid w:val="00D8135F"/>
    <w:rsid w:val="00D81DD5"/>
    <w:rsid w:val="00D87BB8"/>
    <w:rsid w:val="00D90BD9"/>
    <w:rsid w:val="00D932C5"/>
    <w:rsid w:val="00D939A7"/>
    <w:rsid w:val="00D9581C"/>
    <w:rsid w:val="00D95DCB"/>
    <w:rsid w:val="00D96228"/>
    <w:rsid w:val="00DA5459"/>
    <w:rsid w:val="00DB357A"/>
    <w:rsid w:val="00DB4233"/>
    <w:rsid w:val="00DB5097"/>
    <w:rsid w:val="00DC4F7C"/>
    <w:rsid w:val="00DC7134"/>
    <w:rsid w:val="00DC7C2C"/>
    <w:rsid w:val="00DD2256"/>
    <w:rsid w:val="00DD4B55"/>
    <w:rsid w:val="00DD5871"/>
    <w:rsid w:val="00DE2F66"/>
    <w:rsid w:val="00DE4173"/>
    <w:rsid w:val="00DE4592"/>
    <w:rsid w:val="00DF6125"/>
    <w:rsid w:val="00E13E05"/>
    <w:rsid w:val="00E15784"/>
    <w:rsid w:val="00E16734"/>
    <w:rsid w:val="00E179BE"/>
    <w:rsid w:val="00E20401"/>
    <w:rsid w:val="00E264D8"/>
    <w:rsid w:val="00E319F9"/>
    <w:rsid w:val="00E331C7"/>
    <w:rsid w:val="00E35240"/>
    <w:rsid w:val="00E36E18"/>
    <w:rsid w:val="00E37099"/>
    <w:rsid w:val="00E40A15"/>
    <w:rsid w:val="00E40CCE"/>
    <w:rsid w:val="00E43654"/>
    <w:rsid w:val="00E459FA"/>
    <w:rsid w:val="00E45A4B"/>
    <w:rsid w:val="00E46996"/>
    <w:rsid w:val="00E50522"/>
    <w:rsid w:val="00E52F87"/>
    <w:rsid w:val="00E6120D"/>
    <w:rsid w:val="00E61D06"/>
    <w:rsid w:val="00E7043E"/>
    <w:rsid w:val="00E747D9"/>
    <w:rsid w:val="00E75D5D"/>
    <w:rsid w:val="00E766CA"/>
    <w:rsid w:val="00E81F85"/>
    <w:rsid w:val="00E8413D"/>
    <w:rsid w:val="00E84C2A"/>
    <w:rsid w:val="00E90CA1"/>
    <w:rsid w:val="00E91D25"/>
    <w:rsid w:val="00E95F4D"/>
    <w:rsid w:val="00E97067"/>
    <w:rsid w:val="00EA1B55"/>
    <w:rsid w:val="00EA6E8E"/>
    <w:rsid w:val="00EA7978"/>
    <w:rsid w:val="00EA7D19"/>
    <w:rsid w:val="00EB7F70"/>
    <w:rsid w:val="00EC4C2A"/>
    <w:rsid w:val="00EC6764"/>
    <w:rsid w:val="00EC726F"/>
    <w:rsid w:val="00EC7743"/>
    <w:rsid w:val="00EC7B8C"/>
    <w:rsid w:val="00ED2540"/>
    <w:rsid w:val="00ED48A6"/>
    <w:rsid w:val="00ED521A"/>
    <w:rsid w:val="00EE1F48"/>
    <w:rsid w:val="00EE3C5A"/>
    <w:rsid w:val="00EE4E0F"/>
    <w:rsid w:val="00EE504D"/>
    <w:rsid w:val="00EE75E3"/>
    <w:rsid w:val="00EE7777"/>
    <w:rsid w:val="00EF0C86"/>
    <w:rsid w:val="00EF2D7A"/>
    <w:rsid w:val="00EF586D"/>
    <w:rsid w:val="00F00B9A"/>
    <w:rsid w:val="00F0246E"/>
    <w:rsid w:val="00F026DB"/>
    <w:rsid w:val="00F04133"/>
    <w:rsid w:val="00F12233"/>
    <w:rsid w:val="00F12CE1"/>
    <w:rsid w:val="00F14096"/>
    <w:rsid w:val="00F14820"/>
    <w:rsid w:val="00F30DED"/>
    <w:rsid w:val="00F31DB2"/>
    <w:rsid w:val="00F37720"/>
    <w:rsid w:val="00F4046D"/>
    <w:rsid w:val="00F40A6C"/>
    <w:rsid w:val="00F44EA5"/>
    <w:rsid w:val="00F4518D"/>
    <w:rsid w:val="00F46AEA"/>
    <w:rsid w:val="00F46C28"/>
    <w:rsid w:val="00F46CF6"/>
    <w:rsid w:val="00F51019"/>
    <w:rsid w:val="00F52179"/>
    <w:rsid w:val="00F52B79"/>
    <w:rsid w:val="00F559A5"/>
    <w:rsid w:val="00F55F9D"/>
    <w:rsid w:val="00F56E1A"/>
    <w:rsid w:val="00F60EEE"/>
    <w:rsid w:val="00F6204B"/>
    <w:rsid w:val="00F62CDA"/>
    <w:rsid w:val="00F6448C"/>
    <w:rsid w:val="00F65D8A"/>
    <w:rsid w:val="00F74422"/>
    <w:rsid w:val="00F76222"/>
    <w:rsid w:val="00F83267"/>
    <w:rsid w:val="00F83712"/>
    <w:rsid w:val="00F86BEC"/>
    <w:rsid w:val="00F9447B"/>
    <w:rsid w:val="00F944E0"/>
    <w:rsid w:val="00F95C39"/>
    <w:rsid w:val="00FA12C9"/>
    <w:rsid w:val="00FA132A"/>
    <w:rsid w:val="00FA1FC3"/>
    <w:rsid w:val="00FA431A"/>
    <w:rsid w:val="00FA54C6"/>
    <w:rsid w:val="00FA5E0B"/>
    <w:rsid w:val="00FA7BFA"/>
    <w:rsid w:val="00FB00F5"/>
    <w:rsid w:val="00FB0527"/>
    <w:rsid w:val="00FB3A37"/>
    <w:rsid w:val="00FB5303"/>
    <w:rsid w:val="00FB635D"/>
    <w:rsid w:val="00FB6BC1"/>
    <w:rsid w:val="00FC0EED"/>
    <w:rsid w:val="00FC11D2"/>
    <w:rsid w:val="00FC1405"/>
    <w:rsid w:val="00FD0FFF"/>
    <w:rsid w:val="00FE2208"/>
    <w:rsid w:val="00FE2769"/>
    <w:rsid w:val="00FE2ED0"/>
    <w:rsid w:val="00FE3C8C"/>
    <w:rsid w:val="00FE430B"/>
    <w:rsid w:val="00FE46AF"/>
    <w:rsid w:val="00FE73C3"/>
    <w:rsid w:val="00FF1F94"/>
    <w:rsid w:val="00FF2B49"/>
    <w:rsid w:val="00FF3001"/>
    <w:rsid w:val="00FF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910B3"/>
  <w15:chartTrackingRefBased/>
  <w15:docId w15:val="{8643C0D0-29B8-4DA0-936D-185F04A8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32A9"/>
  </w:style>
  <w:style w:type="paragraph" w:styleId="Heading1">
    <w:name w:val="heading 1"/>
    <w:basedOn w:val="Normal"/>
    <w:next w:val="Normal"/>
    <w:link w:val="Heading1Char"/>
    <w:uiPriority w:val="9"/>
    <w:qFormat/>
    <w:rsid w:val="009732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32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32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732A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32A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32A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32A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32A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32A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32A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732A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732A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732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32A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32A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32A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32A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32A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732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732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32A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32A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732A9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9732A9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9732A9"/>
    <w:rPr>
      <w:i/>
      <w:iCs/>
      <w:color w:val="auto"/>
    </w:rPr>
  </w:style>
  <w:style w:type="paragraph" w:styleId="NoSpacing">
    <w:name w:val="No Spacing"/>
    <w:uiPriority w:val="1"/>
    <w:qFormat/>
    <w:rsid w:val="009732A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732A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32A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32A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32A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9732A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732A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9732A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9732A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9732A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32A9"/>
    <w:pPr>
      <w:outlineLvl w:val="9"/>
    </w:pPr>
  </w:style>
  <w:style w:type="paragraph" w:customStyle="1" w:styleId="Default">
    <w:name w:val="Default"/>
    <w:rsid w:val="000A76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E5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lmsource">
    <w:name w:val="nlm_source"/>
    <w:basedOn w:val="DefaultParagraphFont"/>
    <w:rsid w:val="008A172B"/>
  </w:style>
  <w:style w:type="character" w:customStyle="1" w:styleId="nlmsourcecontrib">
    <w:name w:val="nlm_source_contrib"/>
    <w:basedOn w:val="DefaultParagraphFont"/>
    <w:rsid w:val="008A172B"/>
  </w:style>
  <w:style w:type="character" w:customStyle="1" w:styleId="entryauthor">
    <w:name w:val="entryauthor"/>
    <w:basedOn w:val="DefaultParagraphFont"/>
    <w:rsid w:val="008A172B"/>
  </w:style>
  <w:style w:type="paragraph" w:styleId="NormalWeb">
    <w:name w:val="Normal (Web)"/>
    <w:basedOn w:val="Normal"/>
    <w:uiPriority w:val="99"/>
    <w:semiHidden/>
    <w:unhideWhenUsed/>
    <w:rsid w:val="008A1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5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1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707550">
          <w:marLeft w:val="0"/>
          <w:marRight w:val="0"/>
          <w:marTop w:val="5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0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2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blications.marquette.edu/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doi.org/10.1086/697669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10" ma:contentTypeDescription="Create a new document." ma:contentTypeScope="" ma:versionID="1d822b10c24ef6f388e31084a596ae23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49edd2d7bf942d5bae8cf2f982a97614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4125B6-597B-46EB-BD71-26348F1612C7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455b151d-75b8-4438-a72d-e06b314124a1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1dc5a16d-a9e1-4107-81af-b56e13c8526c"/>
  </ds:schemaRefs>
</ds:datastoreItem>
</file>

<file path=customXml/itemProps2.xml><?xml version="1.0" encoding="utf-8"?>
<ds:datastoreItem xmlns:ds="http://schemas.openxmlformats.org/officeDocument/2006/customXml" ds:itemID="{5590331B-B796-4C45-915D-B81DA429D4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98371F-94F2-41B3-AD98-242382ECD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1127</Words>
  <Characters>6426</Characters>
  <Application>Microsoft Office Word</Application>
  <DocSecurity>8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25</cp:revision>
  <dcterms:created xsi:type="dcterms:W3CDTF">2019-06-24T15:39:00Z</dcterms:created>
  <dcterms:modified xsi:type="dcterms:W3CDTF">2019-06-24T16:03:00Z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