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7B44F8B" w:rsidR="000A7622" w:rsidRPr="00C04F25" w:rsidRDefault="008C6BC2"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C34854F" w:rsidR="00440BC4" w:rsidRPr="00CD1862" w:rsidRDefault="000A7622" w:rsidP="00A34223">
      <w:pPr>
        <w:rPr>
          <w:rFonts w:cstheme="minorHAnsi"/>
          <w:sz w:val="24"/>
          <w:szCs w:val="24"/>
        </w:rPr>
      </w:pPr>
      <w:r w:rsidRPr="00C04F25">
        <w:rPr>
          <w:rFonts w:cstheme="minorHAnsi"/>
          <w:i/>
          <w:sz w:val="24"/>
          <w:szCs w:val="24"/>
          <w:lang w:val="fr-FR"/>
        </w:rPr>
        <w:t>Journal</w:t>
      </w:r>
      <w:r w:rsidR="0042250A">
        <w:rPr>
          <w:rFonts w:cstheme="minorHAnsi"/>
          <w:i/>
          <w:sz w:val="24"/>
          <w:szCs w:val="24"/>
          <w:lang w:val="fr-FR"/>
        </w:rPr>
        <w:t xml:space="preserve"> of Latina/o Psychology</w:t>
      </w:r>
      <w:r w:rsidRPr="00C04F25">
        <w:rPr>
          <w:rFonts w:cstheme="minorHAnsi"/>
          <w:sz w:val="24"/>
          <w:szCs w:val="24"/>
          <w:lang w:val="fr-FR"/>
        </w:rPr>
        <w:t xml:space="preserve">, Vol. </w:t>
      </w:r>
      <w:r w:rsidR="0042250A">
        <w:rPr>
          <w:rFonts w:cstheme="minorHAnsi"/>
          <w:sz w:val="24"/>
          <w:szCs w:val="24"/>
          <w:lang w:val="fr-FR"/>
        </w:rPr>
        <w:t>8</w:t>
      </w:r>
      <w:r w:rsidRPr="00C04F25">
        <w:rPr>
          <w:rFonts w:cstheme="minorHAnsi"/>
          <w:sz w:val="24"/>
          <w:szCs w:val="24"/>
          <w:lang w:val="fr-FR"/>
        </w:rPr>
        <w:t xml:space="preserve">, No. </w:t>
      </w:r>
      <w:r w:rsidR="0042250A">
        <w:rPr>
          <w:rFonts w:cstheme="minorHAnsi"/>
          <w:sz w:val="24"/>
          <w:szCs w:val="24"/>
          <w:lang w:val="fr-FR"/>
        </w:rPr>
        <w:t>4</w:t>
      </w:r>
      <w:r w:rsidRPr="00C04F25">
        <w:rPr>
          <w:rFonts w:cstheme="minorHAnsi"/>
          <w:sz w:val="24"/>
          <w:szCs w:val="24"/>
          <w:lang w:val="fr-FR"/>
        </w:rPr>
        <w:t xml:space="preserve"> (</w:t>
      </w:r>
      <w:r w:rsidR="008B3DD4">
        <w:rPr>
          <w:rFonts w:cstheme="minorHAnsi"/>
          <w:sz w:val="24"/>
          <w:szCs w:val="24"/>
          <w:lang w:val="fr-FR"/>
        </w:rPr>
        <w:t>2020</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8B3DD4">
        <w:rPr>
          <w:rFonts w:cstheme="minorHAnsi"/>
          <w:sz w:val="24"/>
          <w:szCs w:val="24"/>
          <w:lang w:val="fr-FR"/>
        </w:rPr>
        <w:t>317-331</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bookmarkStart w:id="2" w:name="Ethnic Discrimination, Sexism, and Depre"/>
      <w:bookmarkEnd w:id="2"/>
      <w:r w:rsidR="00A34223" w:rsidRPr="00A34223">
        <w:rPr>
          <w:rFonts w:cstheme="minorHAnsi"/>
          <w:sz w:val="24"/>
          <w:szCs w:val="24"/>
        </w:rPr>
        <w:t>American Psychological Association</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A34223" w:rsidRPr="00A34223">
        <w:rPr>
          <w:rFonts w:cstheme="minorHAnsi"/>
          <w:sz w:val="24"/>
          <w:szCs w:val="24"/>
        </w:rPr>
        <w:t>American Psychological Association</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A34223" w:rsidRPr="00A34223">
        <w:rPr>
          <w:rFonts w:cstheme="minorHAnsi"/>
          <w:sz w:val="24"/>
          <w:szCs w:val="24"/>
        </w:rPr>
        <w:t>American Psychological Association</w:t>
      </w:r>
      <w:r w:rsidRPr="00E77278">
        <w:rPr>
          <w:rFonts w:cstheme="minorHAnsi"/>
          <w:sz w:val="24"/>
          <w:szCs w:val="24"/>
        </w:rPr>
        <w:t>.</w:t>
      </w:r>
      <w:r w:rsidRPr="00FB28B7">
        <w:rPr>
          <w:rFonts w:cstheme="minorHAnsi"/>
          <w:b/>
          <w:bCs/>
          <w:sz w:val="24"/>
          <w:szCs w:val="24"/>
        </w:rPr>
        <w:t xml:space="preserve"> </w:t>
      </w:r>
      <w:bookmarkEnd w:id="1"/>
    </w:p>
    <w:p w14:paraId="7CA34259" w14:textId="500CBC65" w:rsidR="005678D3" w:rsidRDefault="005678D3" w:rsidP="008C6BC2">
      <w:pPr>
        <w:pStyle w:val="Title"/>
      </w:pPr>
      <w:bookmarkStart w:id="3" w:name="citation"/>
      <w:r w:rsidRPr="005678D3">
        <w:t xml:space="preserve">Ethnic </w:t>
      </w:r>
      <w:r w:rsidR="008C6BC2" w:rsidRPr="005678D3">
        <w:t xml:space="preserve">Discrimination, Sexism, And Depression Among </w:t>
      </w:r>
      <w:r w:rsidRPr="005678D3">
        <w:t xml:space="preserve">Latinx </w:t>
      </w:r>
      <w:r w:rsidR="008C6BC2" w:rsidRPr="005678D3">
        <w:t xml:space="preserve">Women: </w:t>
      </w:r>
      <w:r w:rsidRPr="005678D3">
        <w:t xml:space="preserve">The </w:t>
      </w:r>
      <w:r w:rsidR="008C6BC2" w:rsidRPr="005678D3">
        <w:t>Roles of Anxiety Sensitivity and Expressive Suppression</w:t>
      </w:r>
    </w:p>
    <w:p w14:paraId="236D9953" w14:textId="77777777" w:rsidR="008C6BC2" w:rsidRDefault="008C6BC2" w:rsidP="008C6BC2"/>
    <w:bookmarkEnd w:id="3"/>
    <w:p w14:paraId="698567CD" w14:textId="77777777" w:rsidR="008C2B55" w:rsidRPr="008C2B55" w:rsidRDefault="008C2B55" w:rsidP="008C2B55">
      <w:pPr>
        <w:pStyle w:val="NoSpacing"/>
        <w:rPr>
          <w:sz w:val="32"/>
          <w:szCs w:val="32"/>
        </w:rPr>
      </w:pPr>
      <w:r w:rsidRPr="008C2B55">
        <w:rPr>
          <w:sz w:val="32"/>
          <w:szCs w:val="32"/>
        </w:rPr>
        <w:t xml:space="preserve">Felicia </w:t>
      </w:r>
      <w:r w:rsidR="005678D3" w:rsidRPr="008C2B55">
        <w:rPr>
          <w:sz w:val="32"/>
          <w:szCs w:val="32"/>
        </w:rPr>
        <w:t>Mata-</w:t>
      </w:r>
      <w:proofErr w:type="spellStart"/>
      <w:r w:rsidR="005678D3" w:rsidRPr="008C2B55">
        <w:rPr>
          <w:sz w:val="32"/>
          <w:szCs w:val="32"/>
        </w:rPr>
        <w:t>Greve</w:t>
      </w:r>
      <w:proofErr w:type="spellEnd"/>
    </w:p>
    <w:p w14:paraId="5622A91F" w14:textId="52AE937D" w:rsidR="008C2B55" w:rsidRPr="008C2B55" w:rsidRDefault="005678D3" w:rsidP="008C2B55">
      <w:pPr>
        <w:pStyle w:val="NoSpacing"/>
        <w:rPr>
          <w:sz w:val="32"/>
          <w:szCs w:val="32"/>
        </w:rPr>
      </w:pPr>
      <w:r w:rsidRPr="008C2B55">
        <w:rPr>
          <w:sz w:val="24"/>
          <w:szCs w:val="24"/>
        </w:rPr>
        <w:t>Department of Psychology, Marquette University, Milwaukee, WI</w:t>
      </w:r>
      <w:r w:rsidRPr="008C2B55">
        <w:rPr>
          <w:sz w:val="24"/>
          <w:szCs w:val="24"/>
        </w:rPr>
        <w:br/>
      </w:r>
      <w:r w:rsidR="008C2B55" w:rsidRPr="008C2B55">
        <w:rPr>
          <w:sz w:val="32"/>
          <w:szCs w:val="32"/>
        </w:rPr>
        <w:t xml:space="preserve">Lucas </w:t>
      </w:r>
      <w:r w:rsidRPr="008C2B55">
        <w:rPr>
          <w:sz w:val="32"/>
          <w:szCs w:val="32"/>
        </w:rPr>
        <w:t>Torres</w:t>
      </w:r>
    </w:p>
    <w:p w14:paraId="5B8C406A" w14:textId="40D0C3DF" w:rsidR="005678D3" w:rsidRPr="008C2B55" w:rsidRDefault="005678D3" w:rsidP="008C2B55">
      <w:pPr>
        <w:pStyle w:val="NoSpacing"/>
        <w:rPr>
          <w:sz w:val="24"/>
          <w:szCs w:val="24"/>
        </w:rPr>
      </w:pPr>
      <w:r w:rsidRPr="008C2B55">
        <w:rPr>
          <w:sz w:val="24"/>
          <w:szCs w:val="24"/>
        </w:rPr>
        <w:t>Department of Psychology, Marquette University, Milwaukee, WI</w:t>
      </w:r>
    </w:p>
    <w:p w14:paraId="5978B16D" w14:textId="77777777" w:rsidR="008C2B55" w:rsidRPr="008C2B55" w:rsidRDefault="008C2B55" w:rsidP="005678D3">
      <w:pPr>
        <w:rPr>
          <w:rFonts w:cstheme="minorHAnsi"/>
          <w:sz w:val="24"/>
          <w:szCs w:val="24"/>
        </w:rPr>
      </w:pPr>
    </w:p>
    <w:p w14:paraId="343F9494" w14:textId="58C92CC9" w:rsidR="00F40D69" w:rsidRPr="00F40D69" w:rsidRDefault="00F40D69" w:rsidP="00F40D69">
      <w:pPr>
        <w:pStyle w:val="Heading1"/>
      </w:pPr>
      <w:r w:rsidRPr="00F40D69">
        <w:t>Abstract</w:t>
      </w:r>
    </w:p>
    <w:p w14:paraId="6AB8C5B4" w14:textId="2FCEE822" w:rsidR="00F40D69" w:rsidRDefault="00060A86" w:rsidP="00430A13">
      <w:pPr>
        <w:rPr>
          <w:rFonts w:cstheme="minorHAnsi"/>
          <w:sz w:val="24"/>
          <w:szCs w:val="24"/>
        </w:rPr>
      </w:pPr>
      <w:r w:rsidRPr="00060A86">
        <w:rPr>
          <w:rFonts w:cstheme="minorHAnsi"/>
          <w:sz w:val="24"/>
          <w:szCs w:val="24"/>
        </w:rPr>
        <w:t>Latinx women are twice as likely to experience depression compared to Latinx men. Latinx women are also subjected to heightened stress in the form of ethnic and sexist discrimination. Limited research has sought to explore variables that may have explanatory roles between discrimination and mental health outcomes among women of color. The current study tested whether anxiety sensitivity and expressive suppression uniquely link discrimination and depression for Latinx women. This cross-sectional study included 246 Latinx women primarily of Mexican descent (</w:t>
      </w:r>
      <w:r w:rsidRPr="00060A86">
        <w:rPr>
          <w:rFonts w:cstheme="minorHAnsi"/>
          <w:i/>
          <w:iCs/>
          <w:sz w:val="24"/>
          <w:szCs w:val="24"/>
        </w:rPr>
        <w:t>n</w:t>
      </w:r>
      <w:r w:rsidRPr="00060A86">
        <w:rPr>
          <w:rFonts w:cstheme="minorHAnsi"/>
          <w:sz w:val="24"/>
          <w:szCs w:val="24"/>
        </w:rPr>
        <w:t> = 173) recruited from community events and Mechanical Turk. On average, participants were 36.29 years old (</w:t>
      </w:r>
      <w:r w:rsidRPr="00060A86">
        <w:rPr>
          <w:rFonts w:cstheme="minorHAnsi"/>
          <w:i/>
          <w:iCs/>
          <w:sz w:val="24"/>
          <w:szCs w:val="24"/>
        </w:rPr>
        <w:t>SD</w:t>
      </w:r>
      <w:r w:rsidRPr="00060A86">
        <w:rPr>
          <w:rFonts w:cstheme="minorHAnsi"/>
          <w:sz w:val="24"/>
          <w:szCs w:val="24"/>
        </w:rPr>
        <w:t xml:space="preserve"> = 12.61, range = 18–72). Participants completed several self-report measures on ethnic discrimination (Brief </w:t>
      </w:r>
      <w:r w:rsidRPr="00060A86">
        <w:rPr>
          <w:rFonts w:cstheme="minorHAnsi"/>
          <w:sz w:val="24"/>
          <w:szCs w:val="24"/>
        </w:rPr>
        <w:lastRenderedPageBreak/>
        <w:t>Perceived Ethnic Discrimination Questionnaire), sexism (Schedule of Sexist Events), anxiety sensitivity (Anxiety Sensitivity Index-3), expressive suppression (Emotion Regulation Questionnaire—Suppression), and depression (Brief Center for Epidemiologic Studies—Depression). Using the PROCESS macro (Hayes, 2013), two parallel mediation analyses examined whether discrimination had an indirect effect via anxiety sensitivity and expressive suppression on depression. Anxiety sensitivity (indirect effect = .65, </w:t>
      </w:r>
      <w:r w:rsidRPr="00060A86">
        <w:rPr>
          <w:rFonts w:cstheme="minorHAnsi"/>
          <w:i/>
          <w:iCs/>
          <w:sz w:val="24"/>
          <w:szCs w:val="24"/>
        </w:rPr>
        <w:t>SE</w:t>
      </w:r>
      <w:r w:rsidRPr="00060A86">
        <w:rPr>
          <w:rFonts w:cstheme="minorHAnsi"/>
          <w:sz w:val="24"/>
          <w:szCs w:val="24"/>
        </w:rPr>
        <w:t> = .24, 95% CI [.21, 1.15]) and expressive suppression (indirect effect = .25, </w:t>
      </w:r>
      <w:r w:rsidRPr="00060A86">
        <w:rPr>
          <w:rFonts w:cstheme="minorHAnsi"/>
          <w:i/>
          <w:iCs/>
          <w:sz w:val="24"/>
          <w:szCs w:val="24"/>
        </w:rPr>
        <w:t>SE</w:t>
      </w:r>
      <w:r w:rsidRPr="00060A86">
        <w:rPr>
          <w:rFonts w:cstheme="minorHAnsi"/>
          <w:sz w:val="24"/>
          <w:szCs w:val="24"/>
        </w:rPr>
        <w:t> = .13, 95% CI [.07, .56]) uniquely linked ethnic discrimination and depression. Anxiety sensitivity (indirect effect = .66, </w:t>
      </w:r>
      <w:r w:rsidRPr="00060A86">
        <w:rPr>
          <w:rFonts w:cstheme="minorHAnsi"/>
          <w:i/>
          <w:iCs/>
          <w:sz w:val="24"/>
          <w:szCs w:val="24"/>
        </w:rPr>
        <w:t>SE</w:t>
      </w:r>
      <w:r w:rsidRPr="00060A86">
        <w:rPr>
          <w:rFonts w:cstheme="minorHAnsi"/>
          <w:sz w:val="24"/>
          <w:szCs w:val="24"/>
        </w:rPr>
        <w:t> = .21, 95% CI [.29, 1.13]) uniquely linked sexist discrimination and depression symptoms, while expressive suppression did not (indirect effect = .13, </w:t>
      </w:r>
      <w:r w:rsidRPr="00060A86">
        <w:rPr>
          <w:rFonts w:cstheme="minorHAnsi"/>
          <w:i/>
          <w:iCs/>
          <w:sz w:val="24"/>
          <w:szCs w:val="24"/>
        </w:rPr>
        <w:t>SE</w:t>
      </w:r>
      <w:r w:rsidRPr="00060A86">
        <w:rPr>
          <w:rFonts w:cstheme="minorHAnsi"/>
          <w:sz w:val="24"/>
          <w:szCs w:val="24"/>
        </w:rPr>
        <w:t xml:space="preserve"> = .10, 95% CI [−.001, .40]). Anxiety sensitivity linked both ethnic and sexist discrimination with depression; however, expressive suppression only linked ethnic discrimination and depression. Evidence suggests that there are different links to depression depending on the type of discrimination for Latinx women. </w:t>
      </w:r>
    </w:p>
    <w:p w14:paraId="573D0A6E" w14:textId="77777777" w:rsidR="00A36D9A" w:rsidRPr="00A36D9A" w:rsidRDefault="00A36D9A" w:rsidP="00A36D9A">
      <w:pPr>
        <w:pStyle w:val="Heading1"/>
      </w:pPr>
      <w:r w:rsidRPr="00A36D9A">
        <w:t xml:space="preserve">Keywords: </w:t>
      </w:r>
    </w:p>
    <w:p w14:paraId="058F5D1E" w14:textId="711F423D" w:rsidR="00A36D9A" w:rsidRPr="00A36D9A" w:rsidRDefault="00A36D9A" w:rsidP="00A36D9A">
      <w:pPr>
        <w:rPr>
          <w:rFonts w:cstheme="minorHAnsi"/>
          <w:sz w:val="24"/>
          <w:szCs w:val="24"/>
        </w:rPr>
      </w:pPr>
      <w:r w:rsidRPr="00A36D9A">
        <w:rPr>
          <w:rFonts w:cstheme="minorHAnsi"/>
          <w:sz w:val="24"/>
          <w:szCs w:val="24"/>
        </w:rPr>
        <w:t xml:space="preserve">Latinx, ethnic discrimination, sexism, </w:t>
      </w:r>
      <w:bookmarkStart w:id="4" w:name="Ethnic_Discrimination,_Sexism,_and_Depre"/>
      <w:bookmarkEnd w:id="4"/>
      <w:r w:rsidRPr="00A36D9A">
        <w:rPr>
          <w:rFonts w:cstheme="minorHAnsi"/>
          <w:sz w:val="24"/>
          <w:szCs w:val="24"/>
        </w:rPr>
        <w:t>anxiety sensitivity, expressive suppression</w:t>
      </w:r>
    </w:p>
    <w:p w14:paraId="4D78D6A2" w14:textId="77777777" w:rsidR="00060A86" w:rsidRDefault="00060A86" w:rsidP="00430A13">
      <w:pPr>
        <w:rPr>
          <w:rFonts w:cstheme="minorHAnsi"/>
          <w:b/>
          <w:bCs/>
          <w:sz w:val="24"/>
          <w:szCs w:val="24"/>
        </w:rPr>
      </w:pPr>
    </w:p>
    <w:p w14:paraId="7083F2FC" w14:textId="196F1840" w:rsidR="00430A13" w:rsidRPr="00430A13" w:rsidRDefault="00430A13" w:rsidP="00430A13">
      <w:pPr>
        <w:rPr>
          <w:rFonts w:cstheme="minorHAnsi"/>
          <w:sz w:val="24"/>
          <w:szCs w:val="24"/>
        </w:rPr>
      </w:pPr>
      <w:r w:rsidRPr="00430A13">
        <w:rPr>
          <w:rFonts w:cstheme="minorHAnsi"/>
          <w:sz w:val="24"/>
          <w:szCs w:val="24"/>
        </w:rPr>
        <w:t>Major depressive disorder affects approximately 9% of adults in the United States annually. In fact, it is estimated that almost one fifth of adults in the United States will experience depression at least once in their life (</w:t>
      </w:r>
      <w:r w:rsidRPr="0042250A">
        <w:rPr>
          <w:rFonts w:cstheme="minorHAnsi"/>
          <w:sz w:val="24"/>
          <w:szCs w:val="24"/>
        </w:rPr>
        <w:t>Kessler et al., 2005</w:t>
      </w:r>
      <w:r w:rsidRPr="00430A13">
        <w:rPr>
          <w:rFonts w:cstheme="minorHAnsi"/>
          <w:sz w:val="24"/>
          <w:szCs w:val="24"/>
        </w:rPr>
        <w:t>). Furthermore, women across racial and ethnic minority groups, including Latinx women (</w:t>
      </w:r>
      <w:proofErr w:type="spellStart"/>
      <w:r w:rsidRPr="0042250A">
        <w:rPr>
          <w:rFonts w:cstheme="minorHAnsi"/>
          <w:sz w:val="24"/>
          <w:szCs w:val="24"/>
        </w:rPr>
        <w:t>Alegría</w:t>
      </w:r>
      <w:proofErr w:type="spellEnd"/>
      <w:r w:rsidRPr="0042250A">
        <w:rPr>
          <w:rFonts w:cstheme="minorHAnsi"/>
          <w:sz w:val="24"/>
          <w:szCs w:val="24"/>
        </w:rPr>
        <w:t xml:space="preserve"> et al., 2007</w:t>
      </w:r>
      <w:r w:rsidRPr="00430A13">
        <w:rPr>
          <w:rFonts w:cstheme="minorHAnsi"/>
          <w:sz w:val="24"/>
          <w:szCs w:val="24"/>
        </w:rPr>
        <w:t>), have at least doubled rates of major depressive disorder compared to men (</w:t>
      </w:r>
      <w:r w:rsidRPr="0042250A">
        <w:rPr>
          <w:rFonts w:cstheme="minorHAnsi"/>
          <w:sz w:val="24"/>
          <w:szCs w:val="24"/>
        </w:rPr>
        <w:t>Kessler et al., 2005</w:t>
      </w:r>
      <w:r w:rsidRPr="00430A13">
        <w:rPr>
          <w:rFonts w:cstheme="minorHAnsi"/>
          <w:sz w:val="24"/>
          <w:szCs w:val="24"/>
        </w:rPr>
        <w:t>). One theory proposes that women experience these elevated rates due to increased life stress, such as sexism, or the unequal treatment of women (</w:t>
      </w:r>
      <w:proofErr w:type="spellStart"/>
      <w:r w:rsidRPr="0042250A">
        <w:rPr>
          <w:rFonts w:cstheme="minorHAnsi"/>
          <w:sz w:val="24"/>
          <w:szCs w:val="24"/>
        </w:rPr>
        <w:t>Klonoff</w:t>
      </w:r>
      <w:proofErr w:type="spellEnd"/>
      <w:r w:rsidRPr="0042250A">
        <w:rPr>
          <w:rFonts w:cstheme="minorHAnsi"/>
          <w:sz w:val="24"/>
          <w:szCs w:val="24"/>
        </w:rPr>
        <w:t xml:space="preserve"> &amp; </w:t>
      </w:r>
      <w:proofErr w:type="spellStart"/>
      <w:r w:rsidRPr="0042250A">
        <w:rPr>
          <w:rFonts w:cstheme="minorHAnsi"/>
          <w:sz w:val="24"/>
          <w:szCs w:val="24"/>
        </w:rPr>
        <w:t>Landrine</w:t>
      </w:r>
      <w:proofErr w:type="spellEnd"/>
      <w:r w:rsidRPr="0042250A">
        <w:rPr>
          <w:rFonts w:cstheme="minorHAnsi"/>
          <w:sz w:val="24"/>
          <w:szCs w:val="24"/>
        </w:rPr>
        <w:t>, 1995</w:t>
      </w:r>
      <w:r w:rsidRPr="00430A13">
        <w:rPr>
          <w:rFonts w:cstheme="minorHAnsi"/>
          <w:sz w:val="24"/>
          <w:szCs w:val="24"/>
        </w:rPr>
        <w:t>). Women of color experience not only sexism but also ethnic discrimination. Despite being the largest ethnic minority group in the United States (</w:t>
      </w:r>
      <w:r w:rsidRPr="0042250A">
        <w:rPr>
          <w:rFonts w:cstheme="minorHAnsi"/>
          <w:sz w:val="24"/>
          <w:szCs w:val="24"/>
        </w:rPr>
        <w:t>U.S. Census Bureau, 2016</w:t>
      </w:r>
      <w:r w:rsidRPr="00430A13">
        <w:rPr>
          <w:rFonts w:cstheme="minorHAnsi"/>
          <w:sz w:val="24"/>
          <w:szCs w:val="24"/>
        </w:rPr>
        <w:t>), few studies have explored how ethnic and sexist discrimination relate to depression among Latinx women.</w:t>
      </w:r>
    </w:p>
    <w:p w14:paraId="110DA7AF" w14:textId="6A02E516" w:rsidR="00430A13" w:rsidRPr="00430A13" w:rsidRDefault="00430A13" w:rsidP="00430A13">
      <w:pPr>
        <w:rPr>
          <w:rFonts w:cstheme="minorHAnsi"/>
          <w:sz w:val="24"/>
          <w:szCs w:val="24"/>
        </w:rPr>
      </w:pPr>
      <w:r w:rsidRPr="00430A13">
        <w:rPr>
          <w:rFonts w:cstheme="minorHAnsi"/>
          <w:sz w:val="24"/>
          <w:szCs w:val="24"/>
        </w:rPr>
        <w:t>Empirical research consistently links discrimination to numerous psychological consequences, including depression (</w:t>
      </w:r>
      <w:r w:rsidRPr="0042250A">
        <w:rPr>
          <w:rFonts w:cstheme="minorHAnsi"/>
          <w:sz w:val="24"/>
          <w:szCs w:val="24"/>
        </w:rPr>
        <w:t xml:space="preserve">Jones, Peddie, </w:t>
      </w:r>
      <w:proofErr w:type="spellStart"/>
      <w:r w:rsidRPr="0042250A">
        <w:rPr>
          <w:rFonts w:cstheme="minorHAnsi"/>
          <w:sz w:val="24"/>
          <w:szCs w:val="24"/>
        </w:rPr>
        <w:t>Gilrane</w:t>
      </w:r>
      <w:proofErr w:type="spellEnd"/>
      <w:r w:rsidRPr="0042250A">
        <w:rPr>
          <w:rFonts w:cstheme="minorHAnsi"/>
          <w:sz w:val="24"/>
          <w:szCs w:val="24"/>
        </w:rPr>
        <w:t>, King, &amp; Gray, 2016</w:t>
      </w:r>
      <w:r w:rsidRPr="00430A13">
        <w:rPr>
          <w:rFonts w:cstheme="minorHAnsi"/>
          <w:sz w:val="24"/>
          <w:szCs w:val="24"/>
        </w:rPr>
        <w:t xml:space="preserve">). Still, work is needed to clarify the pathways in which ethnic discrimination and sexism contribute to depression. Informed by the stress and coping framework, </w:t>
      </w:r>
      <w:proofErr w:type="gramStart"/>
      <w:r w:rsidRPr="0042250A">
        <w:rPr>
          <w:rFonts w:cstheme="minorHAnsi"/>
          <w:sz w:val="24"/>
          <w:szCs w:val="24"/>
        </w:rPr>
        <w:t>Pascoe</w:t>
      </w:r>
      <w:proofErr w:type="gramEnd"/>
      <w:r w:rsidRPr="0042250A">
        <w:rPr>
          <w:rFonts w:cstheme="minorHAnsi"/>
          <w:sz w:val="24"/>
          <w:szCs w:val="24"/>
        </w:rPr>
        <w:t xml:space="preserve"> and Smart Richman (2009)</w:t>
      </w:r>
      <w:r w:rsidRPr="00430A13">
        <w:rPr>
          <w:rFonts w:cstheme="minorHAnsi"/>
          <w:sz w:val="24"/>
          <w:szCs w:val="24"/>
        </w:rPr>
        <w:t xml:space="preserve"> purported that the pathways that link discrimination to poor mental health outcomes, such as depression, include heightened emotional stress responses. Traditionally, these models have been critical in identifying the potential constructs and vulnerabilities underlying the relationship between cultural stressors and psychological health (</w:t>
      </w:r>
      <w:r w:rsidRPr="0042250A">
        <w:rPr>
          <w:rFonts w:cstheme="minorHAnsi"/>
          <w:sz w:val="24"/>
          <w:szCs w:val="24"/>
        </w:rPr>
        <w:t>Chun, Moos, &amp; Cronkite, 2006</w:t>
      </w:r>
      <w:r w:rsidRPr="00430A13">
        <w:rPr>
          <w:rFonts w:cstheme="minorHAnsi"/>
          <w:sz w:val="24"/>
          <w:szCs w:val="24"/>
        </w:rPr>
        <w:t xml:space="preserve">; </w:t>
      </w:r>
      <w:r w:rsidRPr="0042250A">
        <w:rPr>
          <w:rFonts w:cstheme="minorHAnsi"/>
          <w:sz w:val="24"/>
          <w:szCs w:val="24"/>
        </w:rPr>
        <w:t>Lazarus &amp; Folkman, 1984</w:t>
      </w:r>
      <w:r w:rsidRPr="00430A13">
        <w:rPr>
          <w:rFonts w:cstheme="minorHAnsi"/>
          <w:sz w:val="24"/>
          <w:szCs w:val="24"/>
        </w:rPr>
        <w:t xml:space="preserve">). As such, empirical work has highlighted the role of </w:t>
      </w:r>
      <w:r w:rsidRPr="00430A13">
        <w:rPr>
          <w:rFonts w:cstheme="minorHAnsi"/>
          <w:i/>
          <w:iCs/>
          <w:sz w:val="24"/>
          <w:szCs w:val="24"/>
        </w:rPr>
        <w:t>anxiety sensitivity</w:t>
      </w:r>
      <w:r w:rsidRPr="00430A13">
        <w:rPr>
          <w:rFonts w:cstheme="minorHAnsi"/>
          <w:sz w:val="24"/>
          <w:szCs w:val="24"/>
        </w:rPr>
        <w:t>, or one’s heightened awareness and negative interpretation of autonomic arousal (</w:t>
      </w:r>
      <w:r w:rsidRPr="0042250A">
        <w:rPr>
          <w:rFonts w:cstheme="minorHAnsi"/>
          <w:sz w:val="24"/>
          <w:szCs w:val="24"/>
        </w:rPr>
        <w:t xml:space="preserve">Reiss, Peterson, </w:t>
      </w:r>
      <w:proofErr w:type="spellStart"/>
      <w:r w:rsidRPr="0042250A">
        <w:rPr>
          <w:rFonts w:cstheme="minorHAnsi"/>
          <w:sz w:val="24"/>
          <w:szCs w:val="24"/>
        </w:rPr>
        <w:t>Gursky</w:t>
      </w:r>
      <w:proofErr w:type="spellEnd"/>
      <w:r w:rsidRPr="0042250A">
        <w:rPr>
          <w:rFonts w:cstheme="minorHAnsi"/>
          <w:sz w:val="24"/>
          <w:szCs w:val="24"/>
        </w:rPr>
        <w:t>, &amp; McNally, 1986</w:t>
      </w:r>
      <w:r w:rsidRPr="00430A13">
        <w:rPr>
          <w:rFonts w:cstheme="minorHAnsi"/>
          <w:sz w:val="24"/>
          <w:szCs w:val="24"/>
        </w:rPr>
        <w:t xml:space="preserve">), and </w:t>
      </w:r>
      <w:r w:rsidRPr="00430A13">
        <w:rPr>
          <w:rFonts w:cstheme="minorHAnsi"/>
          <w:i/>
          <w:iCs/>
          <w:sz w:val="24"/>
          <w:szCs w:val="24"/>
        </w:rPr>
        <w:t>expressive suppression</w:t>
      </w:r>
      <w:r w:rsidRPr="00430A13">
        <w:rPr>
          <w:rFonts w:cstheme="minorHAnsi"/>
          <w:sz w:val="24"/>
          <w:szCs w:val="24"/>
        </w:rPr>
        <w:t>, or inhibiting expression of emotion (</w:t>
      </w:r>
      <w:r w:rsidRPr="0042250A">
        <w:rPr>
          <w:rFonts w:cstheme="minorHAnsi"/>
          <w:sz w:val="24"/>
          <w:szCs w:val="24"/>
        </w:rPr>
        <w:t>Gross, 1998</w:t>
      </w:r>
      <w:r w:rsidRPr="00430A13">
        <w:rPr>
          <w:rFonts w:cstheme="minorHAnsi"/>
          <w:sz w:val="24"/>
          <w:szCs w:val="24"/>
        </w:rPr>
        <w:t>), as key mechanisms that contribute to negative mental health outcomes (</w:t>
      </w:r>
      <w:proofErr w:type="spellStart"/>
      <w:r w:rsidRPr="0042250A">
        <w:rPr>
          <w:rFonts w:cstheme="minorHAnsi"/>
          <w:sz w:val="24"/>
          <w:szCs w:val="24"/>
        </w:rPr>
        <w:t>Zvolensky</w:t>
      </w:r>
      <w:proofErr w:type="spellEnd"/>
      <w:r w:rsidRPr="0042250A">
        <w:rPr>
          <w:rFonts w:cstheme="minorHAnsi"/>
          <w:sz w:val="24"/>
          <w:szCs w:val="24"/>
        </w:rPr>
        <w:t xml:space="preserve"> et al., 2019</w:t>
      </w:r>
      <w:r w:rsidRPr="00430A13">
        <w:rPr>
          <w:rFonts w:cstheme="minorHAnsi"/>
          <w:sz w:val="24"/>
          <w:szCs w:val="24"/>
        </w:rPr>
        <w:t>). Still, the relative function of stress responses in changing psychological health is dependent on cultural context and environment (</w:t>
      </w:r>
      <w:r w:rsidRPr="0042250A">
        <w:rPr>
          <w:rFonts w:cstheme="minorHAnsi"/>
          <w:sz w:val="24"/>
          <w:szCs w:val="24"/>
        </w:rPr>
        <w:t>Driscoll &amp; Torres, 2013</w:t>
      </w:r>
      <w:r w:rsidRPr="00430A13">
        <w:rPr>
          <w:rFonts w:cstheme="minorHAnsi"/>
          <w:sz w:val="24"/>
          <w:szCs w:val="24"/>
        </w:rPr>
        <w:t>). As such, expressive suppression and anxiety sensitivity may be particularly salient among Latinx women given that they are, typically, socialized in a culture that emphasizes emotional restraint of negative emotions through prescribed gender norms (</w:t>
      </w:r>
      <w:r w:rsidRPr="0042250A">
        <w:rPr>
          <w:rFonts w:cstheme="minorHAnsi"/>
          <w:sz w:val="24"/>
          <w:szCs w:val="24"/>
        </w:rPr>
        <w:t xml:space="preserve">Castillo, Perez, Castillo, &amp; </w:t>
      </w:r>
      <w:proofErr w:type="spellStart"/>
      <w:r w:rsidRPr="0042250A">
        <w:rPr>
          <w:rFonts w:cstheme="minorHAnsi"/>
          <w:sz w:val="24"/>
          <w:szCs w:val="24"/>
        </w:rPr>
        <w:t>Ghosheh</w:t>
      </w:r>
      <w:proofErr w:type="spellEnd"/>
      <w:r w:rsidRPr="0042250A">
        <w:rPr>
          <w:rFonts w:cstheme="minorHAnsi"/>
          <w:sz w:val="24"/>
          <w:szCs w:val="24"/>
        </w:rPr>
        <w:t>, 2010</w:t>
      </w:r>
      <w:r w:rsidRPr="00430A13">
        <w:rPr>
          <w:rFonts w:cstheme="minorHAnsi"/>
          <w:sz w:val="24"/>
          <w:szCs w:val="24"/>
        </w:rPr>
        <w:t xml:space="preserve">; </w:t>
      </w:r>
      <w:r w:rsidRPr="0042250A">
        <w:rPr>
          <w:rFonts w:cstheme="minorHAnsi"/>
          <w:sz w:val="24"/>
          <w:szCs w:val="24"/>
        </w:rPr>
        <w:t>Varela, Weems, Berman, Hensley, &amp; de Bernal, 2007</w:t>
      </w:r>
      <w:r w:rsidRPr="00430A13">
        <w:rPr>
          <w:rFonts w:cstheme="minorHAnsi"/>
          <w:sz w:val="24"/>
          <w:szCs w:val="24"/>
        </w:rPr>
        <w:t xml:space="preserve">). Moreover, while recent research continues to uncover the physiological and psychological pathways that link discrimination to depression, very limited research has evaluated these unique pathways among Latinx </w:t>
      </w:r>
      <w:r w:rsidRPr="00430A13">
        <w:rPr>
          <w:rFonts w:cstheme="minorHAnsi"/>
          <w:i/>
          <w:iCs/>
          <w:sz w:val="24"/>
          <w:szCs w:val="24"/>
        </w:rPr>
        <w:t>women</w:t>
      </w:r>
      <w:r w:rsidRPr="00430A13">
        <w:rPr>
          <w:rFonts w:cstheme="minorHAnsi"/>
          <w:sz w:val="24"/>
          <w:szCs w:val="24"/>
        </w:rPr>
        <w:t xml:space="preserve"> (</w:t>
      </w:r>
      <w:r w:rsidRPr="0042250A">
        <w:rPr>
          <w:rFonts w:cstheme="minorHAnsi"/>
          <w:sz w:val="24"/>
          <w:szCs w:val="24"/>
        </w:rPr>
        <w:t>Pascoe &amp; Smart Richman, 2009</w:t>
      </w:r>
      <w:r w:rsidRPr="00430A13">
        <w:rPr>
          <w:rFonts w:cstheme="minorHAnsi"/>
          <w:sz w:val="24"/>
          <w:szCs w:val="24"/>
        </w:rPr>
        <w:t>). In sum, the current study examined whether anxiety sensitivity and expressive suppression indirectly relate to discrimination and depression among Latinx women.</w:t>
      </w:r>
    </w:p>
    <w:p w14:paraId="50D6F739" w14:textId="058AEF8F" w:rsidR="00430A13" w:rsidRPr="00430A13" w:rsidRDefault="00430A13" w:rsidP="00B942BD">
      <w:pPr>
        <w:pStyle w:val="Heading1"/>
        <w:rPr>
          <w:rFonts w:cstheme="minorHAnsi"/>
          <w:sz w:val="24"/>
          <w:szCs w:val="24"/>
        </w:rPr>
      </w:pPr>
      <w:r w:rsidRPr="0042250A">
        <w:t>Discrimination Predicts Depression</w:t>
      </w:r>
    </w:p>
    <w:p w14:paraId="61D713B5" w14:textId="5483404A" w:rsidR="00430A13" w:rsidRPr="00430A13" w:rsidRDefault="00430A13" w:rsidP="00430A13">
      <w:pPr>
        <w:rPr>
          <w:rFonts w:cstheme="minorHAnsi"/>
          <w:sz w:val="24"/>
          <w:szCs w:val="24"/>
        </w:rPr>
      </w:pPr>
      <w:r w:rsidRPr="00430A13">
        <w:rPr>
          <w:rFonts w:cstheme="minorHAnsi"/>
          <w:sz w:val="24"/>
          <w:szCs w:val="24"/>
        </w:rPr>
        <w:t>To review, discrimination has been deemed an uncontrollable and unpredictable stressor that exacerbates negative health outcomes (</w:t>
      </w:r>
      <w:r w:rsidRPr="0042250A">
        <w:rPr>
          <w:rFonts w:cstheme="minorHAnsi"/>
          <w:sz w:val="24"/>
          <w:szCs w:val="24"/>
        </w:rPr>
        <w:t>Pascoe &amp; Smart Richman, 2009</w:t>
      </w:r>
      <w:r w:rsidRPr="00430A13">
        <w:rPr>
          <w:rFonts w:cstheme="minorHAnsi"/>
          <w:sz w:val="24"/>
          <w:szCs w:val="24"/>
        </w:rPr>
        <w:t>). Latinx women may experience both ethnic discrimination and sexism. Some studies cite that 50% to 75% of Latinx individuals experience ethnic discrimination at least once in their lifetime (</w:t>
      </w:r>
      <w:r w:rsidRPr="0042250A">
        <w:rPr>
          <w:rFonts w:cstheme="minorHAnsi"/>
          <w:sz w:val="24"/>
          <w:szCs w:val="24"/>
        </w:rPr>
        <w:t>Arellano-Morales et al., 2015</w:t>
      </w:r>
      <w:r w:rsidRPr="00430A13">
        <w:rPr>
          <w:rFonts w:cstheme="minorHAnsi"/>
          <w:sz w:val="24"/>
          <w:szCs w:val="24"/>
        </w:rPr>
        <w:t xml:space="preserve">; </w:t>
      </w:r>
      <w:r w:rsidRPr="0042250A">
        <w:rPr>
          <w:rFonts w:cstheme="minorHAnsi"/>
          <w:sz w:val="24"/>
          <w:szCs w:val="24"/>
        </w:rPr>
        <w:t>Pew Research Center, 2016</w:t>
      </w:r>
      <w:r w:rsidRPr="00430A13">
        <w:rPr>
          <w:rFonts w:cstheme="minorHAnsi"/>
          <w:sz w:val="24"/>
          <w:szCs w:val="24"/>
        </w:rPr>
        <w:t>). Meta-analyses and systematic reviews have overwhelmingly shown that ethnic discrimination is associated with poor mental and physical health outcomes across cross-sectional and longitudinal studies (</w:t>
      </w:r>
      <w:r w:rsidRPr="0042250A">
        <w:rPr>
          <w:rFonts w:cstheme="minorHAnsi"/>
          <w:sz w:val="24"/>
          <w:szCs w:val="24"/>
        </w:rPr>
        <w:t>Benner et al., 2018</w:t>
      </w:r>
      <w:r w:rsidRPr="00430A13">
        <w:rPr>
          <w:rFonts w:cstheme="minorHAnsi"/>
          <w:sz w:val="24"/>
          <w:szCs w:val="24"/>
        </w:rPr>
        <w:t xml:space="preserve">; </w:t>
      </w:r>
      <w:r w:rsidRPr="0042250A">
        <w:rPr>
          <w:rFonts w:cstheme="minorHAnsi"/>
          <w:sz w:val="24"/>
          <w:szCs w:val="24"/>
        </w:rPr>
        <w:t xml:space="preserve">Lee &amp; </w:t>
      </w:r>
      <w:proofErr w:type="spellStart"/>
      <w:r w:rsidRPr="0042250A">
        <w:rPr>
          <w:rFonts w:cstheme="minorHAnsi"/>
          <w:sz w:val="24"/>
          <w:szCs w:val="24"/>
        </w:rPr>
        <w:t>Ahn</w:t>
      </w:r>
      <w:proofErr w:type="spellEnd"/>
      <w:r w:rsidRPr="0042250A">
        <w:rPr>
          <w:rFonts w:cstheme="minorHAnsi"/>
          <w:sz w:val="24"/>
          <w:szCs w:val="24"/>
        </w:rPr>
        <w:t>, 2012</w:t>
      </w:r>
      <w:r w:rsidRPr="00430A13">
        <w:rPr>
          <w:rFonts w:cstheme="minorHAnsi"/>
          <w:sz w:val="24"/>
          <w:szCs w:val="24"/>
        </w:rPr>
        <w:t xml:space="preserve">; </w:t>
      </w:r>
      <w:r w:rsidRPr="0042250A">
        <w:rPr>
          <w:rFonts w:cstheme="minorHAnsi"/>
          <w:sz w:val="24"/>
          <w:szCs w:val="24"/>
        </w:rPr>
        <w:t>T. T. Lewis, Cogburn, &amp; Williams, 2015</w:t>
      </w:r>
      <w:r w:rsidRPr="00430A13">
        <w:rPr>
          <w:rFonts w:cstheme="minorHAnsi"/>
          <w:sz w:val="24"/>
          <w:szCs w:val="24"/>
        </w:rPr>
        <w:t xml:space="preserve">; </w:t>
      </w:r>
      <w:proofErr w:type="spellStart"/>
      <w:r w:rsidRPr="0042250A">
        <w:rPr>
          <w:rFonts w:cstheme="minorHAnsi"/>
          <w:sz w:val="24"/>
          <w:szCs w:val="24"/>
        </w:rPr>
        <w:t>Paradies</w:t>
      </w:r>
      <w:proofErr w:type="spellEnd"/>
      <w:r w:rsidRPr="0042250A">
        <w:rPr>
          <w:rFonts w:cstheme="minorHAnsi"/>
          <w:sz w:val="24"/>
          <w:szCs w:val="24"/>
        </w:rPr>
        <w:t xml:space="preserve"> et al., 2015</w:t>
      </w:r>
      <w:r w:rsidRPr="00430A13">
        <w:rPr>
          <w:rFonts w:cstheme="minorHAnsi"/>
          <w:sz w:val="24"/>
          <w:szCs w:val="24"/>
        </w:rPr>
        <w:t>). Some of this work has noted that this relationship appears more robust among Latinxs when compared to other ethnic groups (</w:t>
      </w:r>
      <w:proofErr w:type="spellStart"/>
      <w:r w:rsidRPr="0042250A">
        <w:rPr>
          <w:rFonts w:cstheme="minorHAnsi"/>
          <w:sz w:val="24"/>
          <w:szCs w:val="24"/>
        </w:rPr>
        <w:t>Paradies</w:t>
      </w:r>
      <w:proofErr w:type="spellEnd"/>
      <w:r w:rsidRPr="0042250A">
        <w:rPr>
          <w:rFonts w:cstheme="minorHAnsi"/>
          <w:sz w:val="24"/>
          <w:szCs w:val="24"/>
        </w:rPr>
        <w:t xml:space="preserve"> et al., 2015</w:t>
      </w:r>
      <w:r w:rsidRPr="00430A13">
        <w:rPr>
          <w:rFonts w:cstheme="minorHAnsi"/>
          <w:sz w:val="24"/>
          <w:szCs w:val="24"/>
        </w:rPr>
        <w:t>). Similarly, cross-sectional data supports that discrimination predicts depression among young Latinx women (</w:t>
      </w:r>
      <w:r w:rsidRPr="0042250A">
        <w:rPr>
          <w:rFonts w:cstheme="minorHAnsi"/>
          <w:sz w:val="24"/>
          <w:szCs w:val="24"/>
        </w:rPr>
        <w:t>Cheng, Hitter, Adams, &amp; Williams, 2016</w:t>
      </w:r>
      <w:r w:rsidRPr="00430A13">
        <w:rPr>
          <w:rFonts w:cstheme="minorHAnsi"/>
          <w:sz w:val="24"/>
          <w:szCs w:val="24"/>
        </w:rPr>
        <w:t>) and sexual minority Latinx immigrant women (</w:t>
      </w:r>
      <w:proofErr w:type="spellStart"/>
      <w:r w:rsidRPr="0042250A">
        <w:rPr>
          <w:rFonts w:cstheme="minorHAnsi"/>
          <w:sz w:val="24"/>
          <w:szCs w:val="24"/>
        </w:rPr>
        <w:t>Cerezo</w:t>
      </w:r>
      <w:proofErr w:type="spellEnd"/>
      <w:r w:rsidRPr="0042250A">
        <w:rPr>
          <w:rFonts w:cstheme="minorHAnsi"/>
          <w:sz w:val="24"/>
          <w:szCs w:val="24"/>
        </w:rPr>
        <w:t>, 2016</w:t>
      </w:r>
      <w:r w:rsidRPr="00430A13">
        <w:rPr>
          <w:rFonts w:cstheme="minorHAnsi"/>
          <w:sz w:val="24"/>
          <w:szCs w:val="24"/>
        </w:rPr>
        <w:t>).</w:t>
      </w:r>
    </w:p>
    <w:p w14:paraId="131BE3F8" w14:textId="2A95EA74" w:rsidR="00430A13" w:rsidRPr="00430A13" w:rsidRDefault="00430A13" w:rsidP="00430A13">
      <w:pPr>
        <w:rPr>
          <w:rFonts w:cstheme="minorHAnsi"/>
          <w:sz w:val="24"/>
          <w:szCs w:val="24"/>
        </w:rPr>
      </w:pPr>
      <w:r w:rsidRPr="00430A13">
        <w:rPr>
          <w:rFonts w:cstheme="minorHAnsi"/>
          <w:sz w:val="24"/>
          <w:szCs w:val="24"/>
        </w:rPr>
        <w:t>Sexism may include day-to-day experiences, such as being overlooked, or institutional sexism, such as sexual harassment and unequal treatment (</w:t>
      </w:r>
      <w:proofErr w:type="spellStart"/>
      <w:r w:rsidRPr="0042250A">
        <w:rPr>
          <w:rFonts w:cstheme="minorHAnsi"/>
          <w:sz w:val="24"/>
          <w:szCs w:val="24"/>
        </w:rPr>
        <w:t>Klonoff</w:t>
      </w:r>
      <w:proofErr w:type="spellEnd"/>
      <w:r w:rsidRPr="0042250A">
        <w:rPr>
          <w:rFonts w:cstheme="minorHAnsi"/>
          <w:sz w:val="24"/>
          <w:szCs w:val="24"/>
        </w:rPr>
        <w:t xml:space="preserve"> &amp; </w:t>
      </w:r>
      <w:proofErr w:type="spellStart"/>
      <w:r w:rsidRPr="0042250A">
        <w:rPr>
          <w:rFonts w:cstheme="minorHAnsi"/>
          <w:sz w:val="24"/>
          <w:szCs w:val="24"/>
        </w:rPr>
        <w:t>Landrine</w:t>
      </w:r>
      <w:proofErr w:type="spellEnd"/>
      <w:r w:rsidRPr="0042250A">
        <w:rPr>
          <w:rFonts w:cstheme="minorHAnsi"/>
          <w:sz w:val="24"/>
          <w:szCs w:val="24"/>
        </w:rPr>
        <w:t>, 1995</w:t>
      </w:r>
      <w:r w:rsidRPr="00430A13">
        <w:rPr>
          <w:rFonts w:cstheme="minorHAnsi"/>
          <w:sz w:val="24"/>
          <w:szCs w:val="24"/>
        </w:rPr>
        <w:t xml:space="preserve">). Unfortunately, the research on sexism often overlooks women of color, especially Latinx women. For example, </w:t>
      </w:r>
      <w:r w:rsidRPr="0042250A">
        <w:rPr>
          <w:rFonts w:cstheme="minorHAnsi"/>
          <w:sz w:val="24"/>
          <w:szCs w:val="24"/>
        </w:rPr>
        <w:t xml:space="preserve">Moradi and </w:t>
      </w:r>
      <w:proofErr w:type="spellStart"/>
      <w:r w:rsidRPr="0042250A">
        <w:rPr>
          <w:rFonts w:cstheme="minorHAnsi"/>
          <w:sz w:val="24"/>
          <w:szCs w:val="24"/>
        </w:rPr>
        <w:t>DeBlaere</w:t>
      </w:r>
      <w:proofErr w:type="spellEnd"/>
      <w:r w:rsidRPr="0042250A">
        <w:rPr>
          <w:rFonts w:cstheme="minorHAnsi"/>
          <w:sz w:val="24"/>
          <w:szCs w:val="24"/>
        </w:rPr>
        <w:t xml:space="preserve"> (2010)</w:t>
      </w:r>
      <w:r w:rsidRPr="00430A13">
        <w:rPr>
          <w:rFonts w:cstheme="minorHAnsi"/>
          <w:sz w:val="24"/>
          <w:szCs w:val="24"/>
        </w:rPr>
        <w:t xml:space="preserve"> found that only 1% of the sexism literature included the terms “Hispanic,” “Hispanic American,” “Latina,” or “Latin.” Women of color have reported more recent and lifetime sexist events than non-Hispanic White women, with these experiences occurring among personal relationships with men, both within and outside their cultural group, and among family members (</w:t>
      </w:r>
      <w:proofErr w:type="spellStart"/>
      <w:r w:rsidRPr="0042250A">
        <w:rPr>
          <w:rFonts w:cstheme="minorHAnsi"/>
          <w:sz w:val="24"/>
          <w:szCs w:val="24"/>
        </w:rPr>
        <w:t>Klonoff</w:t>
      </w:r>
      <w:proofErr w:type="spellEnd"/>
      <w:r w:rsidRPr="0042250A">
        <w:rPr>
          <w:rFonts w:cstheme="minorHAnsi"/>
          <w:sz w:val="24"/>
          <w:szCs w:val="24"/>
        </w:rPr>
        <w:t xml:space="preserve"> &amp; </w:t>
      </w:r>
      <w:proofErr w:type="spellStart"/>
      <w:r w:rsidRPr="0042250A">
        <w:rPr>
          <w:rFonts w:cstheme="minorHAnsi"/>
          <w:sz w:val="24"/>
          <w:szCs w:val="24"/>
        </w:rPr>
        <w:t>Landrine</w:t>
      </w:r>
      <w:proofErr w:type="spellEnd"/>
      <w:r w:rsidRPr="0042250A">
        <w:rPr>
          <w:rFonts w:cstheme="minorHAnsi"/>
          <w:sz w:val="24"/>
          <w:szCs w:val="24"/>
        </w:rPr>
        <w:t>, 1995</w:t>
      </w:r>
      <w:r w:rsidRPr="00430A13">
        <w:rPr>
          <w:rFonts w:cstheme="minorHAnsi"/>
          <w:sz w:val="24"/>
          <w:szCs w:val="24"/>
        </w:rPr>
        <w:t>). Much like ethnic discrimination, sexist events have been shown to predict depression symptoms above and beyond daily- and major-life stressors (</w:t>
      </w:r>
      <w:r w:rsidRPr="0042250A">
        <w:rPr>
          <w:rFonts w:cstheme="minorHAnsi"/>
          <w:sz w:val="24"/>
          <w:szCs w:val="24"/>
        </w:rPr>
        <w:t>Belle &amp; Doucet, 2003</w:t>
      </w:r>
      <w:r w:rsidRPr="00430A13">
        <w:rPr>
          <w:rFonts w:cstheme="minorHAnsi"/>
          <w:sz w:val="24"/>
          <w:szCs w:val="24"/>
        </w:rPr>
        <w:t xml:space="preserve">; </w:t>
      </w:r>
      <w:proofErr w:type="spellStart"/>
      <w:r w:rsidRPr="0042250A">
        <w:rPr>
          <w:rFonts w:cstheme="minorHAnsi"/>
          <w:sz w:val="24"/>
          <w:szCs w:val="24"/>
        </w:rPr>
        <w:t>Klonoff</w:t>
      </w:r>
      <w:proofErr w:type="spellEnd"/>
      <w:r w:rsidRPr="0042250A">
        <w:rPr>
          <w:rFonts w:cstheme="minorHAnsi"/>
          <w:sz w:val="24"/>
          <w:szCs w:val="24"/>
        </w:rPr>
        <w:t xml:space="preserve">, </w:t>
      </w:r>
      <w:proofErr w:type="spellStart"/>
      <w:r w:rsidRPr="0042250A">
        <w:rPr>
          <w:rFonts w:cstheme="minorHAnsi"/>
          <w:sz w:val="24"/>
          <w:szCs w:val="24"/>
        </w:rPr>
        <w:t>Landrine</w:t>
      </w:r>
      <w:proofErr w:type="spellEnd"/>
      <w:r w:rsidRPr="0042250A">
        <w:rPr>
          <w:rFonts w:cstheme="minorHAnsi"/>
          <w:sz w:val="24"/>
          <w:szCs w:val="24"/>
        </w:rPr>
        <w:t>, &amp; Campbell, 2000</w:t>
      </w:r>
      <w:r w:rsidRPr="00430A13">
        <w:rPr>
          <w:rFonts w:cstheme="minorHAnsi"/>
          <w:sz w:val="24"/>
          <w:szCs w:val="24"/>
        </w:rPr>
        <w:t>). While there is substantial evidence that supports discriminatory experiences are linked to elevated depression, limited research has explored variables that may have explanatory relevance among Latinx women recruited from community samples.</w:t>
      </w:r>
    </w:p>
    <w:p w14:paraId="5750B94C" w14:textId="5640B51D" w:rsidR="00430A13" w:rsidRPr="00B942BD" w:rsidRDefault="00430A13" w:rsidP="00B942BD">
      <w:pPr>
        <w:pStyle w:val="Heading1"/>
      </w:pPr>
      <w:r w:rsidRPr="0042250A">
        <w:t>Mediation Pathways to Depression</w:t>
      </w:r>
    </w:p>
    <w:p w14:paraId="4EE177B1" w14:textId="57692575" w:rsidR="00430A13" w:rsidRPr="00430A13" w:rsidRDefault="00430A13" w:rsidP="00430A13">
      <w:pPr>
        <w:rPr>
          <w:rFonts w:cstheme="minorHAnsi"/>
          <w:sz w:val="24"/>
          <w:szCs w:val="24"/>
        </w:rPr>
      </w:pPr>
      <w:r w:rsidRPr="00430A13">
        <w:rPr>
          <w:rFonts w:cstheme="minorHAnsi"/>
          <w:sz w:val="24"/>
          <w:szCs w:val="24"/>
        </w:rPr>
        <w:t xml:space="preserve">Within a stress and coping framework, </w:t>
      </w:r>
      <w:proofErr w:type="gramStart"/>
      <w:r w:rsidRPr="0042250A">
        <w:rPr>
          <w:rFonts w:cstheme="minorHAnsi"/>
          <w:sz w:val="24"/>
          <w:szCs w:val="24"/>
        </w:rPr>
        <w:t>Pascoe</w:t>
      </w:r>
      <w:proofErr w:type="gramEnd"/>
      <w:r w:rsidRPr="0042250A">
        <w:rPr>
          <w:rFonts w:cstheme="minorHAnsi"/>
          <w:sz w:val="24"/>
          <w:szCs w:val="24"/>
        </w:rPr>
        <w:t xml:space="preserve"> and Smart Richman (2009)</w:t>
      </w:r>
      <w:r w:rsidRPr="00430A13">
        <w:rPr>
          <w:rFonts w:cstheme="minorHAnsi"/>
          <w:sz w:val="24"/>
          <w:szCs w:val="24"/>
        </w:rPr>
        <w:t xml:space="preserve"> postulated that experiences of discrimination are related to stress responses, which in turn contribute to elevated psychological distress, such as depression symptoms. Stress responses may be psychological, physiological, or “mental states caused by stress” (</w:t>
      </w:r>
      <w:r w:rsidRPr="0042250A">
        <w:rPr>
          <w:rFonts w:cstheme="minorHAnsi"/>
          <w:sz w:val="24"/>
          <w:szCs w:val="24"/>
        </w:rPr>
        <w:t>Pascoe &amp; Smart Richman, 2009</w:t>
      </w:r>
      <w:r w:rsidRPr="00430A13">
        <w:rPr>
          <w:rFonts w:cstheme="minorHAnsi"/>
          <w:sz w:val="24"/>
          <w:szCs w:val="24"/>
        </w:rPr>
        <w:t>, p. 22). Indeed, there has been recent attention focusing on underlying mechanisms, or mediators, that shape poor mental health outcomes (</w:t>
      </w:r>
      <w:r w:rsidRPr="0042250A">
        <w:rPr>
          <w:rFonts w:cstheme="minorHAnsi"/>
          <w:sz w:val="24"/>
          <w:szCs w:val="24"/>
        </w:rPr>
        <w:t>Dozois, Seeds, &amp; Collins, 2009</w:t>
      </w:r>
      <w:r w:rsidRPr="00430A13">
        <w:rPr>
          <w:rFonts w:cstheme="minorHAnsi"/>
          <w:sz w:val="24"/>
          <w:szCs w:val="24"/>
        </w:rPr>
        <w:t xml:space="preserve">; </w:t>
      </w:r>
      <w:r w:rsidRPr="0042250A">
        <w:rPr>
          <w:rFonts w:cstheme="minorHAnsi"/>
          <w:sz w:val="24"/>
          <w:szCs w:val="24"/>
        </w:rPr>
        <w:t>National Institute of Mental Health [NIMH], 2019</w:t>
      </w:r>
      <w:r w:rsidRPr="00430A13">
        <w:rPr>
          <w:rFonts w:cstheme="minorHAnsi"/>
          <w:sz w:val="24"/>
          <w:szCs w:val="24"/>
        </w:rPr>
        <w:t>) Furthermore, these pathways may differ for men versus women, necessitating further research to better understand the process by which discriminatory experiences are associated with poor mental health outcomes among women of color (</w:t>
      </w:r>
      <w:r w:rsidRPr="0042250A">
        <w:rPr>
          <w:rFonts w:cstheme="minorHAnsi"/>
          <w:sz w:val="24"/>
          <w:szCs w:val="24"/>
        </w:rPr>
        <w:t>NIMH, 2019</w:t>
      </w:r>
      <w:r w:rsidRPr="00430A13">
        <w:rPr>
          <w:rFonts w:cstheme="minorHAnsi"/>
          <w:sz w:val="24"/>
          <w:szCs w:val="24"/>
        </w:rPr>
        <w:t xml:space="preserve">; </w:t>
      </w:r>
      <w:r w:rsidRPr="0042250A">
        <w:rPr>
          <w:rFonts w:cstheme="minorHAnsi"/>
          <w:sz w:val="24"/>
          <w:szCs w:val="24"/>
        </w:rPr>
        <w:t>Pascoe &amp; Smart Richman, 2009</w:t>
      </w:r>
      <w:r w:rsidRPr="00430A13">
        <w:rPr>
          <w:rFonts w:cstheme="minorHAnsi"/>
          <w:sz w:val="24"/>
          <w:szCs w:val="24"/>
        </w:rPr>
        <w:t>). The current study examined anxiety sensitivity and expressive suppression as emotional stress responses that may link the relationship between discrimination and depression.</w:t>
      </w:r>
    </w:p>
    <w:p w14:paraId="3AB9AE66" w14:textId="77777777" w:rsidR="00430A13" w:rsidRPr="00430A13" w:rsidRDefault="00430A13" w:rsidP="00B942BD">
      <w:pPr>
        <w:pStyle w:val="Heading2"/>
      </w:pPr>
      <w:r w:rsidRPr="00430A13">
        <w:t>Anxiety Sensitivity</w:t>
      </w:r>
    </w:p>
    <w:p w14:paraId="00644484" w14:textId="4CAF7F99" w:rsidR="00430A13" w:rsidRPr="00430A13" w:rsidRDefault="00430A13" w:rsidP="00430A13">
      <w:pPr>
        <w:rPr>
          <w:rFonts w:cstheme="minorHAnsi"/>
          <w:sz w:val="24"/>
          <w:szCs w:val="24"/>
        </w:rPr>
      </w:pPr>
      <w:r w:rsidRPr="00430A13">
        <w:rPr>
          <w:rFonts w:cstheme="minorHAnsi"/>
          <w:sz w:val="24"/>
          <w:szCs w:val="24"/>
        </w:rPr>
        <w:t>Anxiety sensitivity, or the fearfulness of anxious and somatic symptoms, has been suggested as a potential mechanism that explains the relationship between stress and depression (</w:t>
      </w:r>
      <w:proofErr w:type="spellStart"/>
      <w:r w:rsidRPr="0042250A">
        <w:rPr>
          <w:rFonts w:cstheme="minorHAnsi"/>
          <w:sz w:val="24"/>
          <w:szCs w:val="24"/>
        </w:rPr>
        <w:t>Naragon</w:t>
      </w:r>
      <w:proofErr w:type="spellEnd"/>
      <w:r w:rsidRPr="0042250A">
        <w:rPr>
          <w:rFonts w:cstheme="minorHAnsi"/>
          <w:sz w:val="24"/>
          <w:szCs w:val="24"/>
        </w:rPr>
        <w:t>-Gainey &amp; Watson, 2018</w:t>
      </w:r>
      <w:r w:rsidRPr="00430A13">
        <w:rPr>
          <w:rFonts w:cstheme="minorHAnsi"/>
          <w:sz w:val="24"/>
          <w:szCs w:val="24"/>
        </w:rPr>
        <w:t>). Anxiety sensitivity and anxiety are separate constructs (</w:t>
      </w:r>
      <w:r w:rsidRPr="0042250A">
        <w:rPr>
          <w:rFonts w:cstheme="minorHAnsi"/>
          <w:sz w:val="24"/>
          <w:szCs w:val="24"/>
        </w:rPr>
        <w:t>Reiss et al., 1986</w:t>
      </w:r>
      <w:r w:rsidRPr="00430A13">
        <w:rPr>
          <w:rFonts w:cstheme="minorHAnsi"/>
          <w:sz w:val="24"/>
          <w:szCs w:val="24"/>
        </w:rPr>
        <w:t>): anxiety sensitivity is fear of symptoms and corresponding consequences, whereas anxiety refers to the symptoms of anxiety, such as feeling restless or rapid heartbeat (</w:t>
      </w:r>
      <w:r w:rsidRPr="0042250A">
        <w:rPr>
          <w:rFonts w:cstheme="minorHAnsi"/>
          <w:sz w:val="24"/>
          <w:szCs w:val="24"/>
        </w:rPr>
        <w:t>McNally, 1989</w:t>
      </w:r>
      <w:r w:rsidRPr="00430A13">
        <w:rPr>
          <w:rFonts w:cstheme="minorHAnsi"/>
          <w:sz w:val="24"/>
          <w:szCs w:val="24"/>
        </w:rPr>
        <w:t xml:space="preserve">; </w:t>
      </w:r>
      <w:r w:rsidRPr="0042250A">
        <w:rPr>
          <w:rFonts w:cstheme="minorHAnsi"/>
          <w:sz w:val="24"/>
          <w:szCs w:val="24"/>
        </w:rPr>
        <w:t xml:space="preserve">Olatunji &amp; </w:t>
      </w:r>
      <w:proofErr w:type="spellStart"/>
      <w:r w:rsidRPr="0042250A">
        <w:rPr>
          <w:rFonts w:cstheme="minorHAnsi"/>
          <w:sz w:val="24"/>
          <w:szCs w:val="24"/>
        </w:rPr>
        <w:t>Wolitzky</w:t>
      </w:r>
      <w:proofErr w:type="spellEnd"/>
      <w:r w:rsidRPr="0042250A">
        <w:rPr>
          <w:rFonts w:cstheme="minorHAnsi"/>
          <w:sz w:val="24"/>
          <w:szCs w:val="24"/>
        </w:rPr>
        <w:t>-Taylor, 2009</w:t>
      </w:r>
      <w:r w:rsidRPr="00430A13">
        <w:rPr>
          <w:rFonts w:cstheme="minorHAnsi"/>
          <w:sz w:val="24"/>
          <w:szCs w:val="24"/>
        </w:rPr>
        <w:t>). Anxiety sensitivity is thought to be a relatively stable, yet somewhat malleable, factor that is influenced by both genetic predisposition and social upbringing (</w:t>
      </w:r>
      <w:r w:rsidRPr="0042250A">
        <w:rPr>
          <w:rFonts w:cstheme="minorHAnsi"/>
          <w:sz w:val="24"/>
          <w:szCs w:val="24"/>
        </w:rPr>
        <w:t>Taylor, Jang, Stewart, &amp; Stein, 2008</w:t>
      </w:r>
      <w:r w:rsidRPr="00430A13">
        <w:rPr>
          <w:rFonts w:cstheme="minorHAnsi"/>
          <w:sz w:val="24"/>
          <w:szCs w:val="24"/>
        </w:rPr>
        <w:t>). In fact, it is estimated that Latinx individuals may report higher anxiety sensitivity (</w:t>
      </w:r>
      <w:r w:rsidRPr="0042250A">
        <w:rPr>
          <w:rFonts w:cstheme="minorHAnsi"/>
          <w:sz w:val="24"/>
          <w:szCs w:val="24"/>
        </w:rPr>
        <w:t>Piña &amp; Silverman, 2004</w:t>
      </w:r>
      <w:r w:rsidRPr="00430A13">
        <w:rPr>
          <w:rFonts w:cstheme="minorHAnsi"/>
          <w:sz w:val="24"/>
          <w:szCs w:val="24"/>
        </w:rPr>
        <w:t xml:space="preserve">; </w:t>
      </w:r>
      <w:r w:rsidRPr="0042250A">
        <w:rPr>
          <w:rFonts w:cstheme="minorHAnsi"/>
          <w:sz w:val="24"/>
          <w:szCs w:val="24"/>
        </w:rPr>
        <w:t>Weems, Hayward, Killen, &amp; Taylor, 2002</w:t>
      </w:r>
      <w:r w:rsidRPr="00430A13">
        <w:rPr>
          <w:rFonts w:cstheme="minorHAnsi"/>
          <w:sz w:val="24"/>
          <w:szCs w:val="24"/>
        </w:rPr>
        <w:t>) as well as generally higher sensitivity to somatic sensations (</w:t>
      </w:r>
      <w:r w:rsidRPr="0042250A">
        <w:rPr>
          <w:rFonts w:cstheme="minorHAnsi"/>
          <w:sz w:val="24"/>
          <w:szCs w:val="24"/>
        </w:rPr>
        <w:t>Varela et al., 2007</w:t>
      </w:r>
      <w:r w:rsidRPr="00430A13">
        <w:rPr>
          <w:rFonts w:cstheme="minorHAnsi"/>
          <w:sz w:val="24"/>
          <w:szCs w:val="24"/>
        </w:rPr>
        <w:t xml:space="preserve">) than non-Hispanic White individuals. Some work has suggested that traditional gender roles may contribute to anxiety sensitivity such that the importance placed on restraining one’s negative emotions to maintain harmony, a pillar of </w:t>
      </w:r>
      <w:r w:rsidRPr="00430A13">
        <w:rPr>
          <w:rFonts w:cstheme="minorHAnsi"/>
          <w:i/>
          <w:iCs/>
          <w:sz w:val="24"/>
          <w:szCs w:val="24"/>
        </w:rPr>
        <w:t>marianismo</w:t>
      </w:r>
      <w:r w:rsidRPr="00430A13">
        <w:rPr>
          <w:rFonts w:cstheme="minorHAnsi"/>
          <w:sz w:val="24"/>
          <w:szCs w:val="24"/>
        </w:rPr>
        <w:t>, may be associated with one’s fear of experiencing autonomic arousal (</w:t>
      </w:r>
      <w:r w:rsidRPr="0042250A">
        <w:rPr>
          <w:rFonts w:cstheme="minorHAnsi"/>
          <w:sz w:val="24"/>
          <w:szCs w:val="24"/>
        </w:rPr>
        <w:t>Castillo et al., 2010</w:t>
      </w:r>
      <w:r w:rsidRPr="00430A13">
        <w:rPr>
          <w:rFonts w:cstheme="minorHAnsi"/>
          <w:sz w:val="24"/>
          <w:szCs w:val="24"/>
        </w:rPr>
        <w:t xml:space="preserve">; </w:t>
      </w:r>
      <w:r w:rsidRPr="0042250A">
        <w:rPr>
          <w:rFonts w:cstheme="minorHAnsi"/>
          <w:sz w:val="24"/>
          <w:szCs w:val="24"/>
        </w:rPr>
        <w:t>Viana et al., 2017</w:t>
      </w:r>
      <w:r w:rsidRPr="00430A13">
        <w:rPr>
          <w:rFonts w:cstheme="minorHAnsi"/>
          <w:sz w:val="24"/>
          <w:szCs w:val="24"/>
        </w:rPr>
        <w:t>). Despite evidence that women frequently report higher anxiety sensitivity than men in general populations (</w:t>
      </w:r>
      <w:r w:rsidRPr="0042250A">
        <w:rPr>
          <w:rFonts w:cstheme="minorHAnsi"/>
          <w:sz w:val="24"/>
          <w:szCs w:val="24"/>
        </w:rPr>
        <w:t>Stewart, Taylor, &amp; Baker, 1997</w:t>
      </w:r>
      <w:r w:rsidRPr="00430A13">
        <w:rPr>
          <w:rFonts w:cstheme="minorHAnsi"/>
          <w:sz w:val="24"/>
          <w:szCs w:val="24"/>
        </w:rPr>
        <w:t>) and the increasing research that anxiety sensitivity is relevant to Latinx populations, few researchers have examined how the pathway of discrimination to depression via anxiety sensitivity holds among Latinx women.</w:t>
      </w:r>
    </w:p>
    <w:p w14:paraId="21A53E0B" w14:textId="5A3CED49" w:rsidR="00430A13" w:rsidRPr="00430A13" w:rsidRDefault="00430A13" w:rsidP="00430A13">
      <w:pPr>
        <w:rPr>
          <w:rFonts w:cstheme="minorHAnsi"/>
          <w:sz w:val="24"/>
          <w:szCs w:val="24"/>
        </w:rPr>
      </w:pPr>
      <w:r w:rsidRPr="00430A13">
        <w:rPr>
          <w:rFonts w:cstheme="minorHAnsi"/>
          <w:sz w:val="24"/>
          <w:szCs w:val="24"/>
        </w:rPr>
        <w:t>Longitudinal studies have shown that anxiety sensitivity is a significant mediator of the relationship between life stressors and negative affect (</w:t>
      </w:r>
      <w:r w:rsidRPr="0042250A">
        <w:rPr>
          <w:rFonts w:cstheme="minorHAnsi"/>
          <w:sz w:val="24"/>
          <w:szCs w:val="24"/>
        </w:rPr>
        <w:t xml:space="preserve">McLaughlin &amp; </w:t>
      </w:r>
      <w:proofErr w:type="spellStart"/>
      <w:r w:rsidRPr="0042250A">
        <w:rPr>
          <w:rFonts w:cstheme="minorHAnsi"/>
          <w:sz w:val="24"/>
          <w:szCs w:val="24"/>
        </w:rPr>
        <w:t>Hatzenbuehler</w:t>
      </w:r>
      <w:proofErr w:type="spellEnd"/>
      <w:r w:rsidRPr="0042250A">
        <w:rPr>
          <w:rFonts w:cstheme="minorHAnsi"/>
          <w:sz w:val="24"/>
          <w:szCs w:val="24"/>
        </w:rPr>
        <w:t>, 2009</w:t>
      </w:r>
      <w:r w:rsidRPr="00430A13">
        <w:rPr>
          <w:rFonts w:cstheme="minorHAnsi"/>
          <w:sz w:val="24"/>
          <w:szCs w:val="24"/>
        </w:rPr>
        <w:t xml:space="preserve">; </w:t>
      </w:r>
      <w:proofErr w:type="spellStart"/>
      <w:r w:rsidRPr="0042250A">
        <w:rPr>
          <w:rFonts w:cstheme="minorHAnsi"/>
          <w:sz w:val="24"/>
          <w:szCs w:val="24"/>
        </w:rPr>
        <w:t>Zavos</w:t>
      </w:r>
      <w:proofErr w:type="spellEnd"/>
      <w:r w:rsidRPr="0042250A">
        <w:rPr>
          <w:rFonts w:cstheme="minorHAnsi"/>
          <w:sz w:val="24"/>
          <w:szCs w:val="24"/>
        </w:rPr>
        <w:t xml:space="preserve"> et al., 2012</w:t>
      </w:r>
      <w:r w:rsidRPr="00430A13">
        <w:rPr>
          <w:rFonts w:cstheme="minorHAnsi"/>
          <w:sz w:val="24"/>
          <w:szCs w:val="24"/>
        </w:rPr>
        <w:t>). Furthermore, anxiety sensitivity has been found to function as a mediator between several cultural stressors, including acculturative stress (</w:t>
      </w:r>
      <w:proofErr w:type="spellStart"/>
      <w:r w:rsidRPr="0042250A">
        <w:rPr>
          <w:rFonts w:cstheme="minorHAnsi"/>
          <w:sz w:val="24"/>
          <w:szCs w:val="24"/>
        </w:rPr>
        <w:t>Bakhshaie</w:t>
      </w:r>
      <w:proofErr w:type="spellEnd"/>
      <w:r w:rsidRPr="0042250A">
        <w:rPr>
          <w:rFonts w:cstheme="minorHAnsi"/>
          <w:sz w:val="24"/>
          <w:szCs w:val="24"/>
        </w:rPr>
        <w:t xml:space="preserve"> et al., 2018</w:t>
      </w:r>
      <w:r w:rsidRPr="00430A13">
        <w:rPr>
          <w:rFonts w:cstheme="minorHAnsi"/>
          <w:sz w:val="24"/>
          <w:szCs w:val="24"/>
        </w:rPr>
        <w:t xml:space="preserve">; </w:t>
      </w:r>
      <w:proofErr w:type="spellStart"/>
      <w:r w:rsidRPr="0042250A">
        <w:rPr>
          <w:rFonts w:cstheme="minorHAnsi"/>
          <w:sz w:val="24"/>
          <w:szCs w:val="24"/>
        </w:rPr>
        <w:t>Jardín</w:t>
      </w:r>
      <w:proofErr w:type="spellEnd"/>
      <w:r w:rsidRPr="0042250A">
        <w:rPr>
          <w:rFonts w:cstheme="minorHAnsi"/>
          <w:sz w:val="24"/>
          <w:szCs w:val="24"/>
        </w:rPr>
        <w:t xml:space="preserve"> et al., 2018</w:t>
      </w:r>
      <w:r w:rsidRPr="00430A13">
        <w:rPr>
          <w:rFonts w:cstheme="minorHAnsi"/>
          <w:sz w:val="24"/>
          <w:szCs w:val="24"/>
        </w:rPr>
        <w:t>), ethnic discrimination (</w:t>
      </w:r>
      <w:proofErr w:type="spellStart"/>
      <w:r w:rsidRPr="0042250A">
        <w:rPr>
          <w:rFonts w:cstheme="minorHAnsi"/>
          <w:sz w:val="24"/>
          <w:szCs w:val="24"/>
        </w:rPr>
        <w:t>Zvolensky</w:t>
      </w:r>
      <w:proofErr w:type="spellEnd"/>
      <w:r w:rsidRPr="0042250A">
        <w:rPr>
          <w:rFonts w:cstheme="minorHAnsi"/>
          <w:sz w:val="24"/>
          <w:szCs w:val="24"/>
        </w:rPr>
        <w:t xml:space="preserve"> et al., 2019</w:t>
      </w:r>
      <w:r w:rsidRPr="00430A13">
        <w:rPr>
          <w:rFonts w:cstheme="minorHAnsi"/>
          <w:sz w:val="24"/>
          <w:szCs w:val="24"/>
        </w:rPr>
        <w:t>), and subjective social status (</w:t>
      </w:r>
      <w:proofErr w:type="spellStart"/>
      <w:r w:rsidRPr="0042250A">
        <w:rPr>
          <w:rFonts w:cstheme="minorHAnsi"/>
          <w:sz w:val="24"/>
          <w:szCs w:val="24"/>
        </w:rPr>
        <w:t>Zvolensky</w:t>
      </w:r>
      <w:proofErr w:type="spellEnd"/>
      <w:r w:rsidRPr="0042250A">
        <w:rPr>
          <w:rFonts w:cstheme="minorHAnsi"/>
          <w:sz w:val="24"/>
          <w:szCs w:val="24"/>
        </w:rPr>
        <w:t xml:space="preserve"> et al., 2015</w:t>
      </w:r>
      <w:r w:rsidRPr="00430A13">
        <w:rPr>
          <w:rFonts w:cstheme="minorHAnsi"/>
          <w:sz w:val="24"/>
          <w:szCs w:val="24"/>
        </w:rPr>
        <w:t>) and depression among Latinx samples. Again, limited studies have tested whether these findings hold among Latinx women while including their experiences of sexism. Regardless, it seems that experiences of stress, especially those that are uncontrollable and unpredictable, may be associated with anxiety sensitivity, increasing an individual’s fear that their symptoms may have significant physical, mental, and social ramifications.</w:t>
      </w:r>
    </w:p>
    <w:p w14:paraId="5B49E76A" w14:textId="797B3A2A" w:rsidR="00430A13" w:rsidRPr="00430A13" w:rsidRDefault="00430A13" w:rsidP="00430A13">
      <w:pPr>
        <w:rPr>
          <w:rFonts w:cstheme="minorHAnsi"/>
          <w:sz w:val="24"/>
          <w:szCs w:val="24"/>
        </w:rPr>
      </w:pPr>
      <w:r w:rsidRPr="00430A13">
        <w:rPr>
          <w:rFonts w:cstheme="minorHAnsi"/>
          <w:sz w:val="24"/>
          <w:szCs w:val="24"/>
        </w:rPr>
        <w:t>While anxiety sensitivity was initially studied as a risk factor for anxiety symptoms, researchers currently conceptualize anxiety sensitivity as an underlying mechanism for development of both anxiety and mood disorders among women (</w:t>
      </w:r>
      <w:r w:rsidRPr="0042250A">
        <w:rPr>
          <w:rFonts w:cstheme="minorHAnsi"/>
          <w:sz w:val="24"/>
          <w:szCs w:val="24"/>
        </w:rPr>
        <w:t xml:space="preserve">Olatunji &amp; </w:t>
      </w:r>
      <w:proofErr w:type="spellStart"/>
      <w:r w:rsidRPr="0042250A">
        <w:rPr>
          <w:rFonts w:cstheme="minorHAnsi"/>
          <w:sz w:val="24"/>
          <w:szCs w:val="24"/>
        </w:rPr>
        <w:t>Wolitzky</w:t>
      </w:r>
      <w:proofErr w:type="spellEnd"/>
      <w:r w:rsidRPr="0042250A">
        <w:rPr>
          <w:rFonts w:cstheme="minorHAnsi"/>
          <w:sz w:val="24"/>
          <w:szCs w:val="24"/>
        </w:rPr>
        <w:t>-Taylor, 2009</w:t>
      </w:r>
      <w:r w:rsidRPr="00430A13">
        <w:rPr>
          <w:rFonts w:cstheme="minorHAnsi"/>
          <w:sz w:val="24"/>
          <w:szCs w:val="24"/>
        </w:rPr>
        <w:t>). Notably, one meta-analysis found that anxiety sensitivity was moderately related to depression symptoms. Specifically, dysphoria, suicidality, and changes in sleep were depressive symptoms connected with anxiety sensitivity (</w:t>
      </w:r>
      <w:proofErr w:type="spellStart"/>
      <w:r w:rsidRPr="0042250A">
        <w:rPr>
          <w:rFonts w:cstheme="minorHAnsi"/>
          <w:sz w:val="24"/>
          <w:szCs w:val="24"/>
        </w:rPr>
        <w:t>Naragon</w:t>
      </w:r>
      <w:proofErr w:type="spellEnd"/>
      <w:r w:rsidRPr="0042250A">
        <w:rPr>
          <w:rFonts w:cstheme="minorHAnsi"/>
          <w:sz w:val="24"/>
          <w:szCs w:val="24"/>
        </w:rPr>
        <w:t>-Gainey, 2010</w:t>
      </w:r>
      <w:r w:rsidRPr="00430A13">
        <w:rPr>
          <w:rFonts w:cstheme="minorHAnsi"/>
          <w:sz w:val="24"/>
          <w:szCs w:val="24"/>
        </w:rPr>
        <w:t>). Even among Latinx individuals (</w:t>
      </w:r>
      <w:proofErr w:type="spellStart"/>
      <w:r w:rsidRPr="0042250A">
        <w:rPr>
          <w:rFonts w:cstheme="minorHAnsi"/>
          <w:sz w:val="24"/>
          <w:szCs w:val="24"/>
        </w:rPr>
        <w:t>Jardín</w:t>
      </w:r>
      <w:proofErr w:type="spellEnd"/>
      <w:r w:rsidRPr="0042250A">
        <w:rPr>
          <w:rFonts w:cstheme="minorHAnsi"/>
          <w:sz w:val="24"/>
          <w:szCs w:val="24"/>
        </w:rPr>
        <w:t xml:space="preserve"> et al., 2018</w:t>
      </w:r>
      <w:r w:rsidRPr="00430A13">
        <w:rPr>
          <w:rFonts w:cstheme="minorHAnsi"/>
          <w:sz w:val="24"/>
          <w:szCs w:val="24"/>
        </w:rPr>
        <w:t xml:space="preserve">; </w:t>
      </w:r>
      <w:r w:rsidRPr="0042250A">
        <w:rPr>
          <w:rFonts w:cstheme="minorHAnsi"/>
          <w:sz w:val="24"/>
          <w:szCs w:val="24"/>
        </w:rPr>
        <w:t>Velasco et al., 2016</w:t>
      </w:r>
      <w:r w:rsidRPr="00430A13">
        <w:rPr>
          <w:rFonts w:cstheme="minorHAnsi"/>
          <w:sz w:val="24"/>
          <w:szCs w:val="24"/>
        </w:rPr>
        <w:t xml:space="preserve">; </w:t>
      </w:r>
      <w:proofErr w:type="spellStart"/>
      <w:r w:rsidRPr="0042250A">
        <w:rPr>
          <w:rFonts w:cstheme="minorHAnsi"/>
          <w:sz w:val="24"/>
          <w:szCs w:val="24"/>
        </w:rPr>
        <w:t>Zvolensky</w:t>
      </w:r>
      <w:proofErr w:type="spellEnd"/>
      <w:r w:rsidRPr="0042250A">
        <w:rPr>
          <w:rFonts w:cstheme="minorHAnsi"/>
          <w:sz w:val="24"/>
          <w:szCs w:val="24"/>
        </w:rPr>
        <w:t xml:space="preserve"> et al., 2015</w:t>
      </w:r>
      <w:r w:rsidRPr="00430A13">
        <w:rPr>
          <w:rFonts w:cstheme="minorHAnsi"/>
          <w:sz w:val="24"/>
          <w:szCs w:val="24"/>
        </w:rPr>
        <w:t>) and Latinx adolescents (</w:t>
      </w:r>
      <w:r w:rsidRPr="0042250A">
        <w:rPr>
          <w:rFonts w:cstheme="minorHAnsi"/>
          <w:sz w:val="24"/>
          <w:szCs w:val="24"/>
        </w:rPr>
        <w:t>Varela et al., 2007</w:t>
      </w:r>
      <w:r w:rsidRPr="00430A13">
        <w:rPr>
          <w:rFonts w:cstheme="minorHAnsi"/>
          <w:sz w:val="24"/>
          <w:szCs w:val="24"/>
        </w:rPr>
        <w:t>), anxiety sensitivity has predicted depressive symptoms. Again, no studies have closely examined this pathway among Latinx women.</w:t>
      </w:r>
    </w:p>
    <w:p w14:paraId="3D3FB74F" w14:textId="77777777" w:rsidR="00430A13" w:rsidRPr="00430A13" w:rsidRDefault="00430A13" w:rsidP="00B942BD">
      <w:pPr>
        <w:pStyle w:val="Heading2"/>
      </w:pPr>
      <w:r w:rsidRPr="00430A13">
        <w:t>Expressive Suppression</w:t>
      </w:r>
    </w:p>
    <w:p w14:paraId="50681775" w14:textId="0239D37F" w:rsidR="00430A13" w:rsidRPr="00430A13" w:rsidRDefault="00430A13" w:rsidP="00430A13">
      <w:pPr>
        <w:rPr>
          <w:rFonts w:cstheme="minorHAnsi"/>
          <w:sz w:val="24"/>
          <w:szCs w:val="24"/>
        </w:rPr>
      </w:pPr>
      <w:r w:rsidRPr="00430A13">
        <w:rPr>
          <w:rFonts w:cstheme="minorHAnsi"/>
          <w:sz w:val="24"/>
          <w:szCs w:val="24"/>
        </w:rPr>
        <w:t>Expressive suppression is an emotion regulation strategy where one inhibits their emotional and behavioral response to a situation. Though, despite the notion that individuals are suppressing their outward emotional response during a stressor, research demonstrates that they still experience internal changes, including activation of the sympathetic nervous system (</w:t>
      </w:r>
      <w:r w:rsidRPr="0042250A">
        <w:rPr>
          <w:rFonts w:cstheme="minorHAnsi"/>
          <w:sz w:val="24"/>
          <w:szCs w:val="24"/>
        </w:rPr>
        <w:t>Goldin, McRae, Ramel, &amp; Gross, 2008</w:t>
      </w:r>
      <w:r w:rsidRPr="00430A13">
        <w:rPr>
          <w:rFonts w:cstheme="minorHAnsi"/>
          <w:sz w:val="24"/>
          <w:szCs w:val="24"/>
        </w:rPr>
        <w:t xml:space="preserve">). </w:t>
      </w:r>
      <w:proofErr w:type="spellStart"/>
      <w:r w:rsidRPr="0042250A">
        <w:rPr>
          <w:rFonts w:cstheme="minorHAnsi"/>
          <w:sz w:val="24"/>
          <w:szCs w:val="24"/>
        </w:rPr>
        <w:t>Ehring</w:t>
      </w:r>
      <w:proofErr w:type="spellEnd"/>
      <w:r w:rsidRPr="0042250A">
        <w:rPr>
          <w:rFonts w:cstheme="minorHAnsi"/>
          <w:sz w:val="24"/>
          <w:szCs w:val="24"/>
        </w:rPr>
        <w:t xml:space="preserve">, </w:t>
      </w:r>
      <w:proofErr w:type="spellStart"/>
      <w:r w:rsidRPr="0042250A">
        <w:rPr>
          <w:rFonts w:cstheme="minorHAnsi"/>
          <w:sz w:val="24"/>
          <w:szCs w:val="24"/>
        </w:rPr>
        <w:t>Tuschen-Caffier</w:t>
      </w:r>
      <w:proofErr w:type="spellEnd"/>
      <w:r w:rsidRPr="0042250A">
        <w:rPr>
          <w:rFonts w:cstheme="minorHAnsi"/>
          <w:sz w:val="24"/>
          <w:szCs w:val="24"/>
        </w:rPr>
        <w:t xml:space="preserve">, </w:t>
      </w:r>
      <w:proofErr w:type="spellStart"/>
      <w:r w:rsidRPr="0042250A">
        <w:rPr>
          <w:rFonts w:cstheme="minorHAnsi"/>
          <w:sz w:val="24"/>
          <w:szCs w:val="24"/>
        </w:rPr>
        <w:t>Schnülle</w:t>
      </w:r>
      <w:proofErr w:type="spellEnd"/>
      <w:r w:rsidRPr="0042250A">
        <w:rPr>
          <w:rFonts w:cstheme="minorHAnsi"/>
          <w:sz w:val="24"/>
          <w:szCs w:val="24"/>
        </w:rPr>
        <w:t>, Fischer, and Gross (2010)</w:t>
      </w:r>
      <w:r w:rsidRPr="00430A13">
        <w:rPr>
          <w:rFonts w:cstheme="minorHAnsi"/>
          <w:sz w:val="24"/>
          <w:szCs w:val="24"/>
        </w:rPr>
        <w:t xml:space="preserve"> found evidence that individuals vulnerable to depressive symptoms were more likely to spontaneously use expressive suppression in response to stress. To the authors’ knowledge, no studies have explored expressive suppression among Latinx women. However, a review found that women use expressive suppression at a similar rate to men, and in fact, women are more likely to use expressive suppression as they get older (</w:t>
      </w:r>
      <w:r w:rsidRPr="0042250A">
        <w:rPr>
          <w:rFonts w:cstheme="minorHAnsi"/>
          <w:sz w:val="24"/>
          <w:szCs w:val="24"/>
        </w:rPr>
        <w:t xml:space="preserve">Nolen-Hoeksema &amp; </w:t>
      </w:r>
      <w:proofErr w:type="spellStart"/>
      <w:r w:rsidRPr="0042250A">
        <w:rPr>
          <w:rFonts w:cstheme="minorHAnsi"/>
          <w:sz w:val="24"/>
          <w:szCs w:val="24"/>
        </w:rPr>
        <w:t>Aldao</w:t>
      </w:r>
      <w:proofErr w:type="spellEnd"/>
      <w:r w:rsidRPr="0042250A">
        <w:rPr>
          <w:rFonts w:cstheme="minorHAnsi"/>
          <w:sz w:val="24"/>
          <w:szCs w:val="24"/>
        </w:rPr>
        <w:t>, 2011</w:t>
      </w:r>
      <w:r w:rsidRPr="00430A13">
        <w:rPr>
          <w:rFonts w:cstheme="minorHAnsi"/>
          <w:sz w:val="24"/>
          <w:szCs w:val="24"/>
        </w:rPr>
        <w:t>). Due to aspects of marianismo, namely silencing the self to maintain harmony and subordination to others (</w:t>
      </w:r>
      <w:r w:rsidRPr="0042250A">
        <w:rPr>
          <w:rFonts w:cstheme="minorHAnsi"/>
          <w:sz w:val="24"/>
          <w:szCs w:val="24"/>
        </w:rPr>
        <w:t>Castillo et al., 2010</w:t>
      </w:r>
      <w:r w:rsidRPr="00430A13">
        <w:rPr>
          <w:rFonts w:cstheme="minorHAnsi"/>
          <w:sz w:val="24"/>
          <w:szCs w:val="24"/>
        </w:rPr>
        <w:t xml:space="preserve">), Latinx women may have a propensity to suppress thoughts, feelings, and behaviors. Consistent with this idea, </w:t>
      </w:r>
      <w:proofErr w:type="spellStart"/>
      <w:r w:rsidRPr="0042250A">
        <w:rPr>
          <w:rFonts w:cstheme="minorHAnsi"/>
          <w:sz w:val="24"/>
          <w:szCs w:val="24"/>
        </w:rPr>
        <w:t>Morelen</w:t>
      </w:r>
      <w:proofErr w:type="spellEnd"/>
      <w:r w:rsidRPr="0042250A">
        <w:rPr>
          <w:rFonts w:cstheme="minorHAnsi"/>
          <w:sz w:val="24"/>
          <w:szCs w:val="24"/>
        </w:rPr>
        <w:t xml:space="preserve"> and </w:t>
      </w:r>
      <w:proofErr w:type="spellStart"/>
      <w:r w:rsidRPr="0042250A">
        <w:rPr>
          <w:rFonts w:cstheme="minorHAnsi"/>
          <w:sz w:val="24"/>
          <w:szCs w:val="24"/>
        </w:rPr>
        <w:t>Thomassin</w:t>
      </w:r>
      <w:proofErr w:type="spellEnd"/>
      <w:r w:rsidRPr="0042250A">
        <w:rPr>
          <w:rFonts w:cstheme="minorHAnsi"/>
          <w:sz w:val="24"/>
          <w:szCs w:val="24"/>
        </w:rPr>
        <w:t xml:space="preserve"> (2013)</w:t>
      </w:r>
      <w:r w:rsidRPr="00430A13">
        <w:rPr>
          <w:rFonts w:cstheme="minorHAnsi"/>
          <w:sz w:val="24"/>
          <w:szCs w:val="24"/>
        </w:rPr>
        <w:t xml:space="preserve"> reviewed that Latinx individuals may be socialized to emotionally suppress </w:t>
      </w:r>
      <w:proofErr w:type="gramStart"/>
      <w:r w:rsidRPr="00430A13">
        <w:rPr>
          <w:rFonts w:cstheme="minorHAnsi"/>
          <w:sz w:val="24"/>
          <w:szCs w:val="24"/>
        </w:rPr>
        <w:t>in order to</w:t>
      </w:r>
      <w:proofErr w:type="gramEnd"/>
      <w:r w:rsidRPr="00430A13">
        <w:rPr>
          <w:rFonts w:cstheme="minorHAnsi"/>
          <w:sz w:val="24"/>
          <w:szCs w:val="24"/>
        </w:rPr>
        <w:t xml:space="preserve"> maintain harmony, especially within familial relationships.</w:t>
      </w:r>
    </w:p>
    <w:p w14:paraId="4458C177" w14:textId="2C7C8499" w:rsidR="00430A13" w:rsidRPr="00430A13" w:rsidRDefault="00430A13" w:rsidP="00430A13">
      <w:pPr>
        <w:rPr>
          <w:rFonts w:cstheme="minorHAnsi"/>
          <w:sz w:val="24"/>
          <w:szCs w:val="24"/>
        </w:rPr>
      </w:pPr>
      <w:r w:rsidRPr="00430A13">
        <w:rPr>
          <w:rFonts w:cstheme="minorHAnsi"/>
          <w:sz w:val="24"/>
          <w:szCs w:val="24"/>
        </w:rPr>
        <w:t>Empirical studies suggest that the pathway by which discrimination contributes to depression may include expressive suppression. For instance, daily diary studies support that expressive suppression is a common response after discrimination (</w:t>
      </w:r>
      <w:proofErr w:type="spellStart"/>
      <w:r w:rsidRPr="0042250A">
        <w:rPr>
          <w:rFonts w:cstheme="minorHAnsi"/>
          <w:sz w:val="24"/>
          <w:szCs w:val="24"/>
        </w:rPr>
        <w:t>Hatzenbuehler</w:t>
      </w:r>
      <w:proofErr w:type="spellEnd"/>
      <w:r w:rsidRPr="0042250A">
        <w:rPr>
          <w:rFonts w:cstheme="minorHAnsi"/>
          <w:sz w:val="24"/>
          <w:szCs w:val="24"/>
        </w:rPr>
        <w:t>, Nolen-Hoeksema, &amp; Dovidio, 2009</w:t>
      </w:r>
      <w:r w:rsidRPr="00430A13">
        <w:rPr>
          <w:rFonts w:cstheme="minorHAnsi"/>
          <w:sz w:val="24"/>
          <w:szCs w:val="24"/>
        </w:rPr>
        <w:t>) and may be particularly relevant for people of color as this response may be a better fit for their environmental context, which may not facilitate more active ways of regulating emotion (</w:t>
      </w:r>
      <w:r w:rsidRPr="0042250A">
        <w:rPr>
          <w:rFonts w:cstheme="minorHAnsi"/>
          <w:sz w:val="24"/>
          <w:szCs w:val="24"/>
        </w:rPr>
        <w:t>Gross &amp; John, 2003</w:t>
      </w:r>
      <w:r w:rsidRPr="00430A13">
        <w:rPr>
          <w:rFonts w:cstheme="minorHAnsi"/>
          <w:sz w:val="24"/>
          <w:szCs w:val="24"/>
        </w:rPr>
        <w:t>). Still, mixed findings have been noted when examining expressive suppression in the context of ethnic discrimination. For instance, some evidence suggests that expressive suppression may be protective: among Mexican American adolescents, anger suppression buffered negative outcomes in the context of ethnic discrimination (</w:t>
      </w:r>
      <w:r w:rsidRPr="0042250A">
        <w:rPr>
          <w:rFonts w:cstheme="minorHAnsi"/>
          <w:sz w:val="24"/>
          <w:szCs w:val="24"/>
        </w:rPr>
        <w:t xml:space="preserve">Park, Wang, Williams, &amp; </w:t>
      </w:r>
      <w:proofErr w:type="spellStart"/>
      <w:r w:rsidRPr="0042250A">
        <w:rPr>
          <w:rFonts w:cstheme="minorHAnsi"/>
          <w:sz w:val="24"/>
          <w:szCs w:val="24"/>
        </w:rPr>
        <w:t>Alegría</w:t>
      </w:r>
      <w:proofErr w:type="spellEnd"/>
      <w:r w:rsidRPr="0042250A">
        <w:rPr>
          <w:rFonts w:cstheme="minorHAnsi"/>
          <w:sz w:val="24"/>
          <w:szCs w:val="24"/>
        </w:rPr>
        <w:t>, 2017</w:t>
      </w:r>
      <w:r w:rsidRPr="00430A13">
        <w:rPr>
          <w:rFonts w:cstheme="minorHAnsi"/>
          <w:sz w:val="24"/>
          <w:szCs w:val="24"/>
        </w:rPr>
        <w:t>). On the other hand, some empirical research indicated that little to no relationship exists between discrimination and expressive suppression among Latinx and Asian American individuals (</w:t>
      </w:r>
      <w:r w:rsidRPr="0042250A">
        <w:rPr>
          <w:rFonts w:cstheme="minorHAnsi"/>
          <w:sz w:val="24"/>
          <w:szCs w:val="24"/>
        </w:rPr>
        <w:t>Armenta et al., 2013</w:t>
      </w:r>
      <w:r w:rsidRPr="00430A13">
        <w:rPr>
          <w:rFonts w:cstheme="minorHAnsi"/>
          <w:sz w:val="24"/>
          <w:szCs w:val="24"/>
        </w:rPr>
        <w:t>). Finally, a bulk of empirical evidence points to a positive association between expressive suppression and distress (</w:t>
      </w:r>
      <w:proofErr w:type="spellStart"/>
      <w:r w:rsidRPr="0042250A">
        <w:rPr>
          <w:rFonts w:cstheme="minorHAnsi"/>
          <w:sz w:val="24"/>
          <w:szCs w:val="24"/>
        </w:rPr>
        <w:t>Brondolo</w:t>
      </w:r>
      <w:proofErr w:type="spellEnd"/>
      <w:r w:rsidRPr="0042250A">
        <w:rPr>
          <w:rFonts w:cstheme="minorHAnsi"/>
          <w:sz w:val="24"/>
          <w:szCs w:val="24"/>
        </w:rPr>
        <w:t xml:space="preserve">, Brady Ver Halen, </w:t>
      </w:r>
      <w:proofErr w:type="spellStart"/>
      <w:r w:rsidRPr="0042250A">
        <w:rPr>
          <w:rFonts w:cstheme="minorHAnsi"/>
          <w:sz w:val="24"/>
          <w:szCs w:val="24"/>
        </w:rPr>
        <w:t>Pencille</w:t>
      </w:r>
      <w:proofErr w:type="spellEnd"/>
      <w:r w:rsidRPr="0042250A">
        <w:rPr>
          <w:rFonts w:cstheme="minorHAnsi"/>
          <w:sz w:val="24"/>
          <w:szCs w:val="24"/>
        </w:rPr>
        <w:t xml:space="preserve">, Beatty, &amp; </w:t>
      </w:r>
      <w:proofErr w:type="spellStart"/>
      <w:r w:rsidRPr="0042250A">
        <w:rPr>
          <w:rFonts w:cstheme="minorHAnsi"/>
          <w:sz w:val="24"/>
          <w:szCs w:val="24"/>
        </w:rPr>
        <w:t>Contrada</w:t>
      </w:r>
      <w:proofErr w:type="spellEnd"/>
      <w:r w:rsidRPr="0042250A">
        <w:rPr>
          <w:rFonts w:cstheme="minorHAnsi"/>
          <w:sz w:val="24"/>
          <w:szCs w:val="24"/>
        </w:rPr>
        <w:t>, 2009</w:t>
      </w:r>
      <w:r w:rsidRPr="00430A13">
        <w:rPr>
          <w:rFonts w:cstheme="minorHAnsi"/>
          <w:sz w:val="24"/>
          <w:szCs w:val="24"/>
        </w:rPr>
        <w:t xml:space="preserve">; </w:t>
      </w:r>
      <w:proofErr w:type="spellStart"/>
      <w:r w:rsidRPr="0042250A">
        <w:rPr>
          <w:rFonts w:cstheme="minorHAnsi"/>
          <w:sz w:val="24"/>
          <w:szCs w:val="24"/>
        </w:rPr>
        <w:t>Juang</w:t>
      </w:r>
      <w:proofErr w:type="spellEnd"/>
      <w:r w:rsidRPr="0042250A">
        <w:rPr>
          <w:rFonts w:cstheme="minorHAnsi"/>
          <w:sz w:val="24"/>
          <w:szCs w:val="24"/>
        </w:rPr>
        <w:t xml:space="preserve"> et al., 2016</w:t>
      </w:r>
      <w:r w:rsidRPr="00430A13">
        <w:rPr>
          <w:rFonts w:cstheme="minorHAnsi"/>
          <w:sz w:val="24"/>
          <w:szCs w:val="24"/>
        </w:rPr>
        <w:t>). Minimal studies have examined expressive suppression in response to sexism even though some researchers suggest that expressive suppression is a more common response to day-to-day sexist events (</w:t>
      </w:r>
      <w:r w:rsidRPr="0042250A">
        <w:rPr>
          <w:rFonts w:cstheme="minorHAnsi"/>
          <w:sz w:val="24"/>
          <w:szCs w:val="24"/>
        </w:rPr>
        <w:t xml:space="preserve">Johnson, Mitchell, Bean, </w:t>
      </w:r>
      <w:proofErr w:type="spellStart"/>
      <w:r w:rsidRPr="0042250A">
        <w:rPr>
          <w:rFonts w:cstheme="minorHAnsi"/>
          <w:sz w:val="24"/>
          <w:szCs w:val="24"/>
        </w:rPr>
        <w:t>Richeson</w:t>
      </w:r>
      <w:proofErr w:type="spellEnd"/>
      <w:r w:rsidRPr="0042250A">
        <w:rPr>
          <w:rFonts w:cstheme="minorHAnsi"/>
          <w:sz w:val="24"/>
          <w:szCs w:val="24"/>
        </w:rPr>
        <w:t>, &amp; Shelton, 2010</w:t>
      </w:r>
      <w:r w:rsidRPr="00430A13">
        <w:rPr>
          <w:rFonts w:cstheme="minorHAnsi"/>
          <w:sz w:val="24"/>
          <w:szCs w:val="24"/>
        </w:rPr>
        <w:t>). Overall, additional research is needed to determine the role of expressive suppression for Latinx women in the context of discriminatory events.</w:t>
      </w:r>
    </w:p>
    <w:p w14:paraId="1C02C388" w14:textId="7D720C06" w:rsidR="00430A13" w:rsidRPr="00430A13" w:rsidRDefault="00430A13" w:rsidP="00430A13">
      <w:pPr>
        <w:rPr>
          <w:rFonts w:cstheme="minorHAnsi"/>
          <w:sz w:val="24"/>
          <w:szCs w:val="24"/>
        </w:rPr>
      </w:pPr>
      <w:r w:rsidRPr="00430A13">
        <w:rPr>
          <w:rFonts w:cstheme="minorHAnsi"/>
          <w:sz w:val="24"/>
          <w:szCs w:val="24"/>
        </w:rPr>
        <w:t>Expressive suppression has been linked to psychopathology, especially depression (</w:t>
      </w:r>
      <w:proofErr w:type="spellStart"/>
      <w:r w:rsidRPr="0042250A">
        <w:rPr>
          <w:rFonts w:cstheme="minorHAnsi"/>
          <w:sz w:val="24"/>
          <w:szCs w:val="24"/>
        </w:rPr>
        <w:t>Aldao</w:t>
      </w:r>
      <w:proofErr w:type="spellEnd"/>
      <w:r w:rsidRPr="0042250A">
        <w:rPr>
          <w:rFonts w:cstheme="minorHAnsi"/>
          <w:sz w:val="24"/>
          <w:szCs w:val="24"/>
        </w:rPr>
        <w:t>, Nolen-Hoeksema, &amp; Schweizer, 2010</w:t>
      </w:r>
      <w:r w:rsidRPr="00430A13">
        <w:rPr>
          <w:rFonts w:cstheme="minorHAnsi"/>
          <w:sz w:val="24"/>
          <w:szCs w:val="24"/>
        </w:rPr>
        <w:t>). Seminal findings revealed that individuals who used expressive suppression were less likely to tell others in their life about their positive or negative emotional experiences and reported more depression and less general life satisfaction (</w:t>
      </w:r>
      <w:r w:rsidRPr="0042250A">
        <w:rPr>
          <w:rFonts w:cstheme="minorHAnsi"/>
          <w:sz w:val="24"/>
          <w:szCs w:val="24"/>
        </w:rPr>
        <w:t>Gross &amp; John, 2003</w:t>
      </w:r>
      <w:r w:rsidRPr="00430A13">
        <w:rPr>
          <w:rFonts w:cstheme="minorHAnsi"/>
          <w:sz w:val="24"/>
          <w:szCs w:val="24"/>
        </w:rPr>
        <w:t>). Even among patients that endorsed clinical levels of depression, expressive suppression was linked to exacerbated symptoms (</w:t>
      </w:r>
      <w:proofErr w:type="spellStart"/>
      <w:r w:rsidRPr="0042250A">
        <w:rPr>
          <w:rFonts w:cstheme="minorHAnsi"/>
          <w:sz w:val="24"/>
          <w:szCs w:val="24"/>
        </w:rPr>
        <w:t>Beblo</w:t>
      </w:r>
      <w:proofErr w:type="spellEnd"/>
      <w:r w:rsidRPr="0042250A">
        <w:rPr>
          <w:rFonts w:cstheme="minorHAnsi"/>
          <w:sz w:val="24"/>
          <w:szCs w:val="24"/>
        </w:rPr>
        <w:t xml:space="preserve"> et al., 2012</w:t>
      </w:r>
      <w:r w:rsidRPr="00430A13">
        <w:rPr>
          <w:rFonts w:cstheme="minorHAnsi"/>
          <w:sz w:val="24"/>
          <w:szCs w:val="24"/>
        </w:rPr>
        <w:t>). Indeed, longitudinal studies confirm that the use of suppression tendencies predict depression symptoms months later (</w:t>
      </w:r>
      <w:proofErr w:type="spellStart"/>
      <w:r w:rsidRPr="0042250A">
        <w:rPr>
          <w:rFonts w:cstheme="minorHAnsi"/>
          <w:sz w:val="24"/>
          <w:szCs w:val="24"/>
        </w:rPr>
        <w:t>Aldao</w:t>
      </w:r>
      <w:proofErr w:type="spellEnd"/>
      <w:r w:rsidRPr="0042250A">
        <w:rPr>
          <w:rFonts w:cstheme="minorHAnsi"/>
          <w:sz w:val="24"/>
          <w:szCs w:val="24"/>
        </w:rPr>
        <w:t xml:space="preserve"> et al., 2010</w:t>
      </w:r>
      <w:r w:rsidRPr="00430A13">
        <w:rPr>
          <w:rFonts w:cstheme="minorHAnsi"/>
          <w:sz w:val="24"/>
          <w:szCs w:val="24"/>
        </w:rPr>
        <w:t>). As an example, a daily diary study found that when high levels of day-to-day stressors occurred, individuals that endorsed expressive suppression tendencies also reported lower positive emotionality (</w:t>
      </w:r>
      <w:r w:rsidRPr="0042250A">
        <w:rPr>
          <w:rFonts w:cstheme="minorHAnsi"/>
          <w:sz w:val="24"/>
          <w:szCs w:val="24"/>
        </w:rPr>
        <w:t>Richardson, 2017</w:t>
      </w:r>
      <w:r w:rsidRPr="00430A13">
        <w:rPr>
          <w:rFonts w:cstheme="minorHAnsi"/>
          <w:sz w:val="24"/>
          <w:szCs w:val="24"/>
        </w:rPr>
        <w:t>). In sum, expressive suppression likely contributes to depressive symptoms.</w:t>
      </w:r>
    </w:p>
    <w:p w14:paraId="64C2E978" w14:textId="1E74C93A" w:rsidR="00430A13" w:rsidRPr="00430A13" w:rsidRDefault="00430A13" w:rsidP="00B942BD">
      <w:pPr>
        <w:pStyle w:val="Heading1"/>
        <w:rPr>
          <w:rFonts w:cstheme="minorHAnsi"/>
          <w:sz w:val="24"/>
          <w:szCs w:val="24"/>
        </w:rPr>
      </w:pPr>
      <w:r w:rsidRPr="0042250A">
        <w:t>Current Study</w:t>
      </w:r>
    </w:p>
    <w:p w14:paraId="248390D7" w14:textId="393D0103" w:rsidR="00430A13" w:rsidRPr="00430A13" w:rsidRDefault="00430A13" w:rsidP="00430A13">
      <w:pPr>
        <w:rPr>
          <w:rFonts w:cstheme="minorHAnsi"/>
          <w:sz w:val="24"/>
          <w:szCs w:val="24"/>
        </w:rPr>
      </w:pPr>
      <w:r w:rsidRPr="00430A13">
        <w:rPr>
          <w:rFonts w:cstheme="minorHAnsi"/>
          <w:sz w:val="24"/>
          <w:szCs w:val="24"/>
        </w:rPr>
        <w:t xml:space="preserve">The current study explored the roles of anxiety sensitivity and expressive suppression in association with discrimination and depression symptoms among Latinx women. This cross-sectional work extends previous research stipulating </w:t>
      </w:r>
      <w:proofErr w:type="gramStart"/>
      <w:r w:rsidRPr="00430A13">
        <w:rPr>
          <w:rFonts w:cstheme="minorHAnsi"/>
          <w:sz w:val="24"/>
          <w:szCs w:val="24"/>
        </w:rPr>
        <w:t>that two emotional stress responses</w:t>
      </w:r>
      <w:proofErr w:type="gramEnd"/>
      <w:r w:rsidRPr="00430A13">
        <w:rPr>
          <w:rFonts w:cstheme="minorHAnsi"/>
          <w:sz w:val="24"/>
          <w:szCs w:val="24"/>
        </w:rPr>
        <w:t xml:space="preserve"> uniquely link discrimination and negative mental health outcomes (</w:t>
      </w:r>
      <w:r w:rsidRPr="0042250A">
        <w:rPr>
          <w:rFonts w:cstheme="minorHAnsi"/>
          <w:sz w:val="24"/>
          <w:szCs w:val="24"/>
        </w:rPr>
        <w:t>Pascoe &amp; Smart Richman, 2009</w:t>
      </w:r>
      <w:r w:rsidRPr="00430A13">
        <w:rPr>
          <w:rFonts w:cstheme="minorHAnsi"/>
          <w:sz w:val="24"/>
          <w:szCs w:val="24"/>
        </w:rPr>
        <w:t>). The first hypothesis anticipated that there would be an indirect effect of ethnic discrimination on depression via anxiety sensitivity and expressive suppression. Similarly, the second hypothesis indicated that there would be an indirect effect of sexism on depression via anxiety sensitivity and expressive suppression.</w:t>
      </w:r>
    </w:p>
    <w:p w14:paraId="66583F53" w14:textId="03B681F5" w:rsidR="00430A13" w:rsidRPr="00B942BD" w:rsidRDefault="00430A13" w:rsidP="00B942BD">
      <w:pPr>
        <w:pStyle w:val="Heading1"/>
      </w:pPr>
      <w:r w:rsidRPr="0042250A">
        <w:t>Method</w:t>
      </w:r>
    </w:p>
    <w:p w14:paraId="3C040465" w14:textId="77777777" w:rsidR="00430A13" w:rsidRPr="00430A13" w:rsidRDefault="00430A13" w:rsidP="00275F9C">
      <w:pPr>
        <w:pStyle w:val="Heading2"/>
      </w:pPr>
      <w:r w:rsidRPr="00430A13">
        <w:t>Sample</w:t>
      </w:r>
    </w:p>
    <w:p w14:paraId="012977A7" w14:textId="77777777" w:rsidR="00430A13" w:rsidRPr="00430A13" w:rsidRDefault="00430A13" w:rsidP="00430A13">
      <w:pPr>
        <w:rPr>
          <w:rFonts w:cstheme="minorHAnsi"/>
          <w:sz w:val="24"/>
          <w:szCs w:val="24"/>
        </w:rPr>
      </w:pPr>
      <w:r w:rsidRPr="00430A13">
        <w:rPr>
          <w:rFonts w:cstheme="minorHAnsi"/>
          <w:sz w:val="24"/>
          <w:szCs w:val="24"/>
        </w:rPr>
        <w:t>Participants included 246 Latinx women (</w:t>
      </w:r>
      <w:r w:rsidRPr="00430A13">
        <w:rPr>
          <w:rFonts w:cstheme="minorHAnsi"/>
          <w:i/>
          <w:iCs/>
          <w:sz w:val="24"/>
          <w:szCs w:val="24"/>
        </w:rPr>
        <w:t>M</w:t>
      </w:r>
      <w:r w:rsidRPr="00430A13">
        <w:rPr>
          <w:rFonts w:cstheme="minorHAnsi"/>
          <w:sz w:val="24"/>
          <w:szCs w:val="24"/>
        </w:rPr>
        <w:t xml:space="preserve">age = 36.29, </w:t>
      </w:r>
      <w:proofErr w:type="spellStart"/>
      <w:r w:rsidRPr="00430A13">
        <w:rPr>
          <w:rFonts w:cstheme="minorHAnsi"/>
          <w:i/>
          <w:iCs/>
          <w:sz w:val="24"/>
          <w:szCs w:val="24"/>
        </w:rPr>
        <w:t>SD</w:t>
      </w:r>
      <w:r w:rsidRPr="00430A13">
        <w:rPr>
          <w:rFonts w:cstheme="minorHAnsi"/>
          <w:sz w:val="24"/>
          <w:szCs w:val="24"/>
        </w:rPr>
        <w:t>age</w:t>
      </w:r>
      <w:proofErr w:type="spellEnd"/>
      <w:r w:rsidRPr="00430A13">
        <w:rPr>
          <w:rFonts w:cstheme="minorHAnsi"/>
          <w:sz w:val="24"/>
          <w:szCs w:val="24"/>
        </w:rPr>
        <w:t xml:space="preserve"> = 12.61, range = 18–72) who were recruited in person from community festivals in a moderately sized city located in the Midwest (</w:t>
      </w:r>
      <w:r w:rsidRPr="00430A13">
        <w:rPr>
          <w:rFonts w:cstheme="minorHAnsi"/>
          <w:i/>
          <w:iCs/>
          <w:sz w:val="24"/>
          <w:szCs w:val="24"/>
        </w:rPr>
        <w:t>n</w:t>
      </w:r>
      <w:r w:rsidRPr="00430A13">
        <w:rPr>
          <w:rFonts w:cstheme="minorHAnsi"/>
          <w:sz w:val="24"/>
          <w:szCs w:val="24"/>
        </w:rPr>
        <w:t xml:space="preserve"> = 147) and online (</w:t>
      </w:r>
      <w:r w:rsidRPr="00430A13">
        <w:rPr>
          <w:rFonts w:cstheme="minorHAnsi"/>
          <w:i/>
          <w:iCs/>
          <w:sz w:val="24"/>
          <w:szCs w:val="24"/>
        </w:rPr>
        <w:t>n</w:t>
      </w:r>
      <w:r w:rsidRPr="00430A13">
        <w:rPr>
          <w:rFonts w:cstheme="minorHAnsi"/>
          <w:sz w:val="24"/>
          <w:szCs w:val="24"/>
        </w:rPr>
        <w:t xml:space="preserve"> = 99). Most of the women identified as being of Mexican heritage (70%; </w:t>
      </w:r>
      <w:r w:rsidRPr="00430A13">
        <w:rPr>
          <w:rFonts w:cstheme="minorHAnsi"/>
          <w:i/>
          <w:iCs/>
          <w:sz w:val="24"/>
          <w:szCs w:val="24"/>
        </w:rPr>
        <w:t>n</w:t>
      </w:r>
      <w:r w:rsidRPr="00430A13">
        <w:rPr>
          <w:rFonts w:cstheme="minorHAnsi"/>
          <w:sz w:val="24"/>
          <w:szCs w:val="24"/>
        </w:rPr>
        <w:t xml:space="preserve"> = 173), followed by Puerto Rican (13%; </w:t>
      </w:r>
      <w:r w:rsidRPr="00430A13">
        <w:rPr>
          <w:rFonts w:cstheme="minorHAnsi"/>
          <w:i/>
          <w:iCs/>
          <w:sz w:val="24"/>
          <w:szCs w:val="24"/>
        </w:rPr>
        <w:t>n</w:t>
      </w:r>
      <w:r w:rsidRPr="00430A13">
        <w:rPr>
          <w:rFonts w:cstheme="minorHAnsi"/>
          <w:sz w:val="24"/>
          <w:szCs w:val="24"/>
        </w:rPr>
        <w:t xml:space="preserve"> = 33) and Central/South American (11%; </w:t>
      </w:r>
      <w:r w:rsidRPr="00430A13">
        <w:rPr>
          <w:rFonts w:cstheme="minorHAnsi"/>
          <w:i/>
          <w:iCs/>
          <w:sz w:val="24"/>
          <w:szCs w:val="24"/>
        </w:rPr>
        <w:t>n</w:t>
      </w:r>
      <w:r w:rsidRPr="00430A13">
        <w:rPr>
          <w:rFonts w:cstheme="minorHAnsi"/>
          <w:sz w:val="24"/>
          <w:szCs w:val="24"/>
        </w:rPr>
        <w:t xml:space="preserve"> = 26). Additionally, more than half (62%; </w:t>
      </w:r>
      <w:r w:rsidRPr="00430A13">
        <w:rPr>
          <w:rFonts w:cstheme="minorHAnsi"/>
          <w:i/>
          <w:iCs/>
          <w:sz w:val="24"/>
          <w:szCs w:val="24"/>
        </w:rPr>
        <w:t>n</w:t>
      </w:r>
      <w:r w:rsidRPr="00430A13">
        <w:rPr>
          <w:rFonts w:cstheme="minorHAnsi"/>
          <w:sz w:val="24"/>
          <w:szCs w:val="24"/>
        </w:rPr>
        <w:t xml:space="preserve"> = 152) were born in the United States. For those that were born outside of the United States. (38%; </w:t>
      </w:r>
      <w:r w:rsidRPr="00430A13">
        <w:rPr>
          <w:rFonts w:cstheme="minorHAnsi"/>
          <w:i/>
          <w:iCs/>
          <w:sz w:val="24"/>
          <w:szCs w:val="24"/>
        </w:rPr>
        <w:t>n</w:t>
      </w:r>
      <w:r w:rsidRPr="00430A13">
        <w:rPr>
          <w:rFonts w:cstheme="minorHAnsi"/>
          <w:sz w:val="24"/>
          <w:szCs w:val="24"/>
        </w:rPr>
        <w:t xml:space="preserve"> = 93), participants reported living in the United States for an average of 31 years. Almost half of the sample indicated having an annual household income between $20,000 and $50,000 (</w:t>
      </w:r>
      <w:r w:rsidRPr="00430A13">
        <w:rPr>
          <w:rFonts w:cstheme="minorHAnsi"/>
          <w:i/>
          <w:iCs/>
          <w:sz w:val="24"/>
          <w:szCs w:val="24"/>
        </w:rPr>
        <w:t>n</w:t>
      </w:r>
      <w:r w:rsidRPr="00430A13">
        <w:rPr>
          <w:rFonts w:cstheme="minorHAnsi"/>
          <w:sz w:val="24"/>
          <w:szCs w:val="24"/>
        </w:rPr>
        <w:t xml:space="preserve"> = 112). The remainder of the sample endorsed an annual income of over $50,000 (37%, </w:t>
      </w:r>
      <w:r w:rsidRPr="00430A13">
        <w:rPr>
          <w:rFonts w:cstheme="minorHAnsi"/>
          <w:i/>
          <w:iCs/>
          <w:sz w:val="24"/>
          <w:szCs w:val="24"/>
        </w:rPr>
        <w:t>n</w:t>
      </w:r>
      <w:r w:rsidRPr="00430A13">
        <w:rPr>
          <w:rFonts w:cstheme="minorHAnsi"/>
          <w:sz w:val="24"/>
          <w:szCs w:val="24"/>
        </w:rPr>
        <w:t xml:space="preserve"> = 91) and less than $20,000 (16%; </w:t>
      </w:r>
      <w:r w:rsidRPr="00430A13">
        <w:rPr>
          <w:rFonts w:cstheme="minorHAnsi"/>
          <w:i/>
          <w:iCs/>
          <w:sz w:val="24"/>
          <w:szCs w:val="24"/>
        </w:rPr>
        <w:t>n</w:t>
      </w:r>
      <w:r w:rsidRPr="00430A13">
        <w:rPr>
          <w:rFonts w:cstheme="minorHAnsi"/>
          <w:sz w:val="24"/>
          <w:szCs w:val="24"/>
        </w:rPr>
        <w:t xml:space="preserve"> = 39).</w:t>
      </w:r>
    </w:p>
    <w:p w14:paraId="2EDFF6CB" w14:textId="77777777" w:rsidR="00430A13" w:rsidRPr="00430A13" w:rsidRDefault="00430A13" w:rsidP="00275F9C">
      <w:pPr>
        <w:pStyle w:val="Heading2"/>
      </w:pPr>
      <w:r w:rsidRPr="00430A13">
        <w:t>Procedure</w:t>
      </w:r>
    </w:p>
    <w:p w14:paraId="610B9B44" w14:textId="77777777" w:rsidR="00430A13" w:rsidRPr="00275F9C" w:rsidRDefault="00430A13" w:rsidP="00275F9C">
      <w:pPr>
        <w:pStyle w:val="Heading3"/>
        <w:rPr>
          <w:i/>
          <w:iCs/>
        </w:rPr>
      </w:pPr>
      <w:r w:rsidRPr="00275F9C">
        <w:rPr>
          <w:i/>
          <w:iCs/>
        </w:rPr>
        <w:t>Community festival</w:t>
      </w:r>
    </w:p>
    <w:p w14:paraId="15507D06" w14:textId="77777777" w:rsidR="00430A13" w:rsidRPr="00430A13" w:rsidRDefault="00430A13" w:rsidP="00430A13">
      <w:pPr>
        <w:rPr>
          <w:rFonts w:cstheme="minorHAnsi"/>
          <w:sz w:val="24"/>
          <w:szCs w:val="24"/>
        </w:rPr>
      </w:pPr>
      <w:r w:rsidRPr="00430A13">
        <w:rPr>
          <w:rFonts w:cstheme="minorHAnsi"/>
          <w:sz w:val="24"/>
          <w:szCs w:val="24"/>
        </w:rPr>
        <w:t>Researchers received approval from the institution’s affiliated review board. Participants were recruited from cultural events in person. Informed consent was provided verbally, responses were anonymous, and participants were compensated with $10.</w:t>
      </w:r>
    </w:p>
    <w:p w14:paraId="4BD90DF8" w14:textId="77777777" w:rsidR="00430A13" w:rsidRPr="00275F9C" w:rsidRDefault="00430A13" w:rsidP="00275F9C">
      <w:pPr>
        <w:pStyle w:val="Heading3"/>
        <w:rPr>
          <w:i/>
          <w:iCs/>
        </w:rPr>
      </w:pPr>
      <w:r w:rsidRPr="00275F9C">
        <w:rPr>
          <w:i/>
          <w:iCs/>
        </w:rPr>
        <w:t>Mechanical Turk</w:t>
      </w:r>
    </w:p>
    <w:p w14:paraId="60F9C52C" w14:textId="77777777" w:rsidR="00430A13" w:rsidRPr="00430A13" w:rsidRDefault="00430A13" w:rsidP="00430A13">
      <w:pPr>
        <w:rPr>
          <w:rFonts w:cstheme="minorHAnsi"/>
          <w:sz w:val="24"/>
          <w:szCs w:val="24"/>
        </w:rPr>
      </w:pPr>
      <w:r w:rsidRPr="00430A13">
        <w:rPr>
          <w:rFonts w:cstheme="minorHAnsi"/>
          <w:sz w:val="24"/>
          <w:szCs w:val="24"/>
        </w:rPr>
        <w:t>The institution’s affiliated review board approved the online survey via Amazon Mechanical Turk, an online recruitment source. The advertisement on Mechanical Turk described a questionnaire on Latinx cultural experiences in the United States. Only participants that lived in the United States and identified as Latinx/Hispanic were eligible to complete the survey. Informed consent was provided online, responses were anonymous, and participants were compensated with $10.</w:t>
      </w:r>
    </w:p>
    <w:p w14:paraId="690E2045" w14:textId="77777777" w:rsidR="00430A13" w:rsidRPr="00275F9C" w:rsidRDefault="00430A13" w:rsidP="00275F9C">
      <w:pPr>
        <w:pStyle w:val="Heading2"/>
      </w:pPr>
      <w:r w:rsidRPr="00275F9C">
        <w:t>Materials</w:t>
      </w:r>
    </w:p>
    <w:p w14:paraId="5DF8D77F" w14:textId="77777777" w:rsidR="00430A13" w:rsidRPr="00275F9C" w:rsidRDefault="00430A13" w:rsidP="00275F9C">
      <w:pPr>
        <w:pStyle w:val="Heading3"/>
        <w:rPr>
          <w:i/>
          <w:iCs/>
        </w:rPr>
      </w:pPr>
      <w:r w:rsidRPr="00275F9C">
        <w:rPr>
          <w:i/>
          <w:iCs/>
        </w:rPr>
        <w:t>Brief Perceived Ethnic Discrimination Questionnaire (B-PEDQ)</w:t>
      </w:r>
    </w:p>
    <w:p w14:paraId="2E701A93" w14:textId="205F0711" w:rsidR="00430A13" w:rsidRPr="00430A13" w:rsidRDefault="00430A13" w:rsidP="00430A13">
      <w:pPr>
        <w:rPr>
          <w:rFonts w:cstheme="minorHAnsi"/>
          <w:sz w:val="24"/>
          <w:szCs w:val="24"/>
        </w:rPr>
      </w:pPr>
      <w:r w:rsidRPr="00430A13">
        <w:rPr>
          <w:rFonts w:cstheme="minorHAnsi"/>
          <w:sz w:val="24"/>
          <w:szCs w:val="24"/>
        </w:rPr>
        <w:t>The B-PEDQ (</w:t>
      </w:r>
      <w:proofErr w:type="spellStart"/>
      <w:r w:rsidRPr="0042250A">
        <w:rPr>
          <w:rFonts w:cstheme="minorHAnsi"/>
          <w:sz w:val="24"/>
          <w:szCs w:val="24"/>
        </w:rPr>
        <w:t>Brondolo</w:t>
      </w:r>
      <w:proofErr w:type="spellEnd"/>
      <w:r w:rsidRPr="0042250A">
        <w:rPr>
          <w:rFonts w:cstheme="minorHAnsi"/>
          <w:sz w:val="24"/>
          <w:szCs w:val="24"/>
        </w:rPr>
        <w:t xml:space="preserve"> et al., 2005</w:t>
      </w:r>
      <w:r w:rsidRPr="00430A13">
        <w:rPr>
          <w:rFonts w:cstheme="minorHAnsi"/>
          <w:sz w:val="24"/>
          <w:szCs w:val="24"/>
        </w:rPr>
        <w:t>) is a 17-item questionnaire that assesses frequency of lifetime discriminatory events. It was validated with a community sample of Latinx individuals (</w:t>
      </w:r>
      <w:proofErr w:type="spellStart"/>
      <w:r w:rsidRPr="0042250A">
        <w:rPr>
          <w:rFonts w:cstheme="minorHAnsi"/>
          <w:sz w:val="24"/>
          <w:szCs w:val="24"/>
        </w:rPr>
        <w:t>Brondolo</w:t>
      </w:r>
      <w:proofErr w:type="spellEnd"/>
      <w:r w:rsidRPr="0042250A">
        <w:rPr>
          <w:rFonts w:cstheme="minorHAnsi"/>
          <w:sz w:val="24"/>
          <w:szCs w:val="24"/>
        </w:rPr>
        <w:t xml:space="preserve"> et al., 2005</w:t>
      </w:r>
      <w:r w:rsidRPr="00430A13">
        <w:rPr>
          <w:rFonts w:cstheme="minorHAnsi"/>
          <w:sz w:val="24"/>
          <w:szCs w:val="24"/>
        </w:rPr>
        <w:t>). Sample items include “Because of your ethnicity, how often have you been treated unfairly by teachers, principals, or other staff at school?” and “Because of your ethnicity, how often have others hinted that you are dishonest or can’t be trusted?” Participants respond on a scale from 1 (</w:t>
      </w:r>
      <w:r w:rsidRPr="00430A13">
        <w:rPr>
          <w:rFonts w:cstheme="minorHAnsi"/>
          <w:i/>
          <w:iCs/>
          <w:sz w:val="24"/>
          <w:szCs w:val="24"/>
        </w:rPr>
        <w:t>never</w:t>
      </w:r>
      <w:r w:rsidRPr="00430A13">
        <w:rPr>
          <w:rFonts w:cstheme="minorHAnsi"/>
          <w:sz w:val="24"/>
          <w:szCs w:val="24"/>
        </w:rPr>
        <w:t>) to 5 (</w:t>
      </w:r>
      <w:r w:rsidRPr="00430A13">
        <w:rPr>
          <w:rFonts w:cstheme="minorHAnsi"/>
          <w:i/>
          <w:iCs/>
          <w:sz w:val="24"/>
          <w:szCs w:val="24"/>
        </w:rPr>
        <w:t>very often</w:t>
      </w:r>
      <w:r w:rsidRPr="00430A13">
        <w:rPr>
          <w:rFonts w:cstheme="minorHAnsi"/>
          <w:sz w:val="24"/>
          <w:szCs w:val="24"/>
        </w:rPr>
        <w:t>). A mean score is calculated, with higher scores indicating higher reported frequency of ethnic discriminatory events. A previous study used this scale with U.S. Latinx individuals and had a Cronbach’s alpha of .88 (</w:t>
      </w:r>
      <w:r w:rsidRPr="0042250A">
        <w:rPr>
          <w:rFonts w:cstheme="minorHAnsi"/>
          <w:sz w:val="24"/>
          <w:szCs w:val="24"/>
        </w:rPr>
        <w:t>Arellano-Morales et al., 2015</w:t>
      </w:r>
      <w:r w:rsidRPr="00430A13">
        <w:rPr>
          <w:rFonts w:cstheme="minorHAnsi"/>
          <w:sz w:val="24"/>
          <w:szCs w:val="24"/>
        </w:rPr>
        <w:t>). Similarly, the Cronbach’s alpha in the current study was .92.</w:t>
      </w:r>
    </w:p>
    <w:p w14:paraId="1DB84169" w14:textId="77777777" w:rsidR="00430A13" w:rsidRPr="00275F9C" w:rsidRDefault="00430A13" w:rsidP="00275F9C">
      <w:pPr>
        <w:pStyle w:val="Heading3"/>
        <w:rPr>
          <w:i/>
          <w:iCs/>
        </w:rPr>
      </w:pPr>
      <w:r w:rsidRPr="00275F9C">
        <w:rPr>
          <w:i/>
          <w:iCs/>
        </w:rPr>
        <w:t>Schedule of Sexist Events (SSE)</w:t>
      </w:r>
    </w:p>
    <w:p w14:paraId="40B221FA" w14:textId="463079FD" w:rsidR="00430A13" w:rsidRPr="00430A13" w:rsidRDefault="00430A13" w:rsidP="00430A13">
      <w:pPr>
        <w:rPr>
          <w:rFonts w:cstheme="minorHAnsi"/>
          <w:sz w:val="24"/>
          <w:szCs w:val="24"/>
        </w:rPr>
      </w:pPr>
      <w:r w:rsidRPr="00430A13">
        <w:rPr>
          <w:rFonts w:cstheme="minorHAnsi"/>
          <w:sz w:val="24"/>
          <w:szCs w:val="24"/>
        </w:rPr>
        <w:t>The SSE (</w:t>
      </w:r>
      <w:proofErr w:type="spellStart"/>
      <w:r w:rsidRPr="0042250A">
        <w:rPr>
          <w:rFonts w:cstheme="minorHAnsi"/>
          <w:sz w:val="24"/>
          <w:szCs w:val="24"/>
        </w:rPr>
        <w:t>Klonoff</w:t>
      </w:r>
      <w:proofErr w:type="spellEnd"/>
      <w:r w:rsidRPr="0042250A">
        <w:rPr>
          <w:rFonts w:cstheme="minorHAnsi"/>
          <w:sz w:val="24"/>
          <w:szCs w:val="24"/>
        </w:rPr>
        <w:t xml:space="preserve"> &amp; </w:t>
      </w:r>
      <w:proofErr w:type="spellStart"/>
      <w:r w:rsidRPr="0042250A">
        <w:rPr>
          <w:rFonts w:cstheme="minorHAnsi"/>
          <w:sz w:val="24"/>
          <w:szCs w:val="24"/>
        </w:rPr>
        <w:t>Landrine</w:t>
      </w:r>
      <w:proofErr w:type="spellEnd"/>
      <w:r w:rsidRPr="0042250A">
        <w:rPr>
          <w:rFonts w:cstheme="minorHAnsi"/>
          <w:sz w:val="24"/>
          <w:szCs w:val="24"/>
        </w:rPr>
        <w:t>, 1995</w:t>
      </w:r>
      <w:r w:rsidRPr="00430A13">
        <w:rPr>
          <w:rFonts w:cstheme="minorHAnsi"/>
          <w:sz w:val="24"/>
          <w:szCs w:val="24"/>
        </w:rPr>
        <w:t>) is a 20-item questionnaire that examines frequency of sexist events in the past year. The development and validation of this measure contained a diverse group of women recruited from college and community sources. Sample items include “How many times have you been treated unfairly by teachers or professors because you are a woman?” and “How many times have you wanted to tell someone off for being sexist?” Participants reply on a scale from 1 (</w:t>
      </w:r>
      <w:r w:rsidRPr="00430A13">
        <w:rPr>
          <w:rFonts w:cstheme="minorHAnsi"/>
          <w:i/>
          <w:iCs/>
          <w:sz w:val="24"/>
          <w:szCs w:val="24"/>
        </w:rPr>
        <w:t>never</w:t>
      </w:r>
      <w:r w:rsidRPr="00430A13">
        <w:rPr>
          <w:rFonts w:cstheme="minorHAnsi"/>
          <w:sz w:val="24"/>
          <w:szCs w:val="24"/>
        </w:rPr>
        <w:t>) to 6 (</w:t>
      </w:r>
      <w:proofErr w:type="gramStart"/>
      <w:r w:rsidRPr="00430A13">
        <w:rPr>
          <w:rFonts w:cstheme="minorHAnsi"/>
          <w:i/>
          <w:iCs/>
          <w:sz w:val="24"/>
          <w:szCs w:val="24"/>
        </w:rPr>
        <w:t>all of</w:t>
      </w:r>
      <w:proofErr w:type="gramEnd"/>
      <w:r w:rsidRPr="00430A13">
        <w:rPr>
          <w:rFonts w:cstheme="minorHAnsi"/>
          <w:i/>
          <w:iCs/>
          <w:sz w:val="24"/>
          <w:szCs w:val="24"/>
        </w:rPr>
        <w:t xml:space="preserve"> the time [more than 70% of the time]</w:t>
      </w:r>
      <w:r w:rsidRPr="00430A13">
        <w:rPr>
          <w:rFonts w:cstheme="minorHAnsi"/>
          <w:sz w:val="24"/>
          <w:szCs w:val="24"/>
        </w:rPr>
        <w:t xml:space="preserve">). A mean score is calculated. </w:t>
      </w:r>
      <w:proofErr w:type="spellStart"/>
      <w:r w:rsidRPr="0042250A">
        <w:rPr>
          <w:rFonts w:cstheme="minorHAnsi"/>
          <w:sz w:val="24"/>
          <w:szCs w:val="24"/>
        </w:rPr>
        <w:t>DeBlaere</w:t>
      </w:r>
      <w:proofErr w:type="spellEnd"/>
      <w:r w:rsidRPr="0042250A">
        <w:rPr>
          <w:rFonts w:cstheme="minorHAnsi"/>
          <w:sz w:val="24"/>
          <w:szCs w:val="24"/>
        </w:rPr>
        <w:t xml:space="preserve"> and Bertsch (2013)</w:t>
      </w:r>
      <w:r w:rsidRPr="00430A13">
        <w:rPr>
          <w:rFonts w:cstheme="minorHAnsi"/>
          <w:sz w:val="24"/>
          <w:szCs w:val="24"/>
        </w:rPr>
        <w:t xml:space="preserve"> used this measure with diverse college women and reported a Cronbach’s alpha of .94. The Cronbach’s alpha in the current study was .95.</w:t>
      </w:r>
    </w:p>
    <w:p w14:paraId="0CCE3C94" w14:textId="77777777" w:rsidR="00430A13" w:rsidRPr="00275F9C" w:rsidRDefault="00430A13" w:rsidP="00275F9C">
      <w:pPr>
        <w:pStyle w:val="Heading3"/>
        <w:rPr>
          <w:i/>
          <w:iCs/>
        </w:rPr>
      </w:pPr>
      <w:r w:rsidRPr="00275F9C">
        <w:rPr>
          <w:i/>
          <w:iCs/>
        </w:rPr>
        <w:t>Anxiety Sensitivity Index-3 (ASI-3)</w:t>
      </w:r>
    </w:p>
    <w:p w14:paraId="5EF6BB8D" w14:textId="2861EA66" w:rsidR="00430A13" w:rsidRPr="00430A13" w:rsidRDefault="00430A13" w:rsidP="00430A13">
      <w:pPr>
        <w:rPr>
          <w:rFonts w:cstheme="minorHAnsi"/>
          <w:sz w:val="24"/>
          <w:szCs w:val="24"/>
        </w:rPr>
      </w:pPr>
      <w:r w:rsidRPr="00430A13">
        <w:rPr>
          <w:rFonts w:cstheme="minorHAnsi"/>
          <w:sz w:val="24"/>
          <w:szCs w:val="24"/>
        </w:rPr>
        <w:t>The ASI-3 (</w:t>
      </w:r>
      <w:r w:rsidRPr="0042250A">
        <w:rPr>
          <w:rFonts w:cstheme="minorHAnsi"/>
          <w:sz w:val="24"/>
          <w:szCs w:val="24"/>
        </w:rPr>
        <w:t>Taylor et al., 2007</w:t>
      </w:r>
      <w:r w:rsidRPr="00430A13">
        <w:rPr>
          <w:rFonts w:cstheme="minorHAnsi"/>
          <w:sz w:val="24"/>
          <w:szCs w:val="24"/>
        </w:rPr>
        <w:t>) is an 18-item self-report measure that examines how one habitually perceives their own anxious bodily sensations or behaviors. As an example, participants are given the item “It is important for me not to appear nervous” and asked to respond how much they agree from 0 (</w:t>
      </w:r>
      <w:r w:rsidRPr="00430A13">
        <w:rPr>
          <w:rFonts w:cstheme="minorHAnsi"/>
          <w:i/>
          <w:iCs/>
          <w:sz w:val="24"/>
          <w:szCs w:val="24"/>
        </w:rPr>
        <w:t>very little</w:t>
      </w:r>
      <w:r w:rsidRPr="00430A13">
        <w:rPr>
          <w:rFonts w:cstheme="minorHAnsi"/>
          <w:sz w:val="24"/>
          <w:szCs w:val="24"/>
        </w:rPr>
        <w:t>) to 4 (</w:t>
      </w:r>
      <w:r w:rsidRPr="00430A13">
        <w:rPr>
          <w:rFonts w:cstheme="minorHAnsi"/>
          <w:i/>
          <w:iCs/>
          <w:sz w:val="24"/>
          <w:szCs w:val="24"/>
        </w:rPr>
        <w:t>very much</w:t>
      </w:r>
      <w:r w:rsidRPr="00430A13">
        <w:rPr>
          <w:rFonts w:cstheme="minorHAnsi"/>
          <w:sz w:val="24"/>
          <w:szCs w:val="24"/>
        </w:rPr>
        <w:t>). The current study used the total anxiety sensitivity score, which ranges from 0 to 72, such that higher scores indicate higher anxiety sensitivity. A previous study used this scale with a community sample of Latinx adults and reported a Cronbach’s alpha of .96 (</w:t>
      </w:r>
      <w:r w:rsidRPr="0042250A">
        <w:rPr>
          <w:rFonts w:cstheme="minorHAnsi"/>
          <w:sz w:val="24"/>
          <w:szCs w:val="24"/>
        </w:rPr>
        <w:t>Torres &amp; Mata-</w:t>
      </w:r>
      <w:proofErr w:type="spellStart"/>
      <w:r w:rsidRPr="0042250A">
        <w:rPr>
          <w:rFonts w:cstheme="minorHAnsi"/>
          <w:sz w:val="24"/>
          <w:szCs w:val="24"/>
        </w:rPr>
        <w:t>Greve</w:t>
      </w:r>
      <w:proofErr w:type="spellEnd"/>
      <w:r w:rsidRPr="0042250A">
        <w:rPr>
          <w:rFonts w:cstheme="minorHAnsi"/>
          <w:sz w:val="24"/>
          <w:szCs w:val="24"/>
        </w:rPr>
        <w:t>, 2017</w:t>
      </w:r>
      <w:r w:rsidRPr="00430A13">
        <w:rPr>
          <w:rFonts w:cstheme="minorHAnsi"/>
          <w:sz w:val="24"/>
          <w:szCs w:val="24"/>
        </w:rPr>
        <w:t>). The current study had a Cronbach’s alpha of .94.</w:t>
      </w:r>
    </w:p>
    <w:p w14:paraId="3A85FC7F" w14:textId="77777777" w:rsidR="00430A13" w:rsidRPr="00275F9C" w:rsidRDefault="00430A13" w:rsidP="00275F9C">
      <w:pPr>
        <w:pStyle w:val="Heading3"/>
        <w:rPr>
          <w:i/>
          <w:iCs/>
        </w:rPr>
      </w:pPr>
      <w:r w:rsidRPr="00275F9C">
        <w:rPr>
          <w:i/>
          <w:iCs/>
        </w:rPr>
        <w:t>Emotion Regulation Questionnaire (ERQ) expressive suppression subscale</w:t>
      </w:r>
    </w:p>
    <w:p w14:paraId="413459AC" w14:textId="17D8096F" w:rsidR="00430A13" w:rsidRPr="00430A13" w:rsidRDefault="00430A13" w:rsidP="00430A13">
      <w:pPr>
        <w:rPr>
          <w:rFonts w:cstheme="minorHAnsi"/>
          <w:sz w:val="24"/>
          <w:szCs w:val="24"/>
        </w:rPr>
      </w:pPr>
      <w:r w:rsidRPr="00430A13">
        <w:rPr>
          <w:rFonts w:cstheme="minorHAnsi"/>
          <w:sz w:val="24"/>
          <w:szCs w:val="24"/>
        </w:rPr>
        <w:t>The ERQ (</w:t>
      </w:r>
      <w:r w:rsidRPr="0042250A">
        <w:rPr>
          <w:rFonts w:cstheme="minorHAnsi"/>
          <w:sz w:val="24"/>
          <w:szCs w:val="24"/>
        </w:rPr>
        <w:t>Gross &amp; John, 2003</w:t>
      </w:r>
      <w:r w:rsidRPr="00430A13">
        <w:rPr>
          <w:rFonts w:cstheme="minorHAnsi"/>
          <w:sz w:val="24"/>
          <w:szCs w:val="24"/>
        </w:rPr>
        <w:t>) is a 10-item self-report measure that examines an individual’s emotion regulation preferences over their lifetime. Six questions target cognitive reappraisal, and four items target expressive suppression. The current study used the expressive suppression subscale. Participants are provided with a statement, such as “I keep my emotions to myself,” and rate how true the statement is on a scale from 1 (</w:t>
      </w:r>
      <w:r w:rsidRPr="00430A13">
        <w:rPr>
          <w:rFonts w:cstheme="minorHAnsi"/>
          <w:i/>
          <w:iCs/>
          <w:sz w:val="24"/>
          <w:szCs w:val="24"/>
        </w:rPr>
        <w:t>strongly disagree</w:t>
      </w:r>
      <w:r w:rsidRPr="00430A13">
        <w:rPr>
          <w:rFonts w:cstheme="minorHAnsi"/>
          <w:sz w:val="24"/>
          <w:szCs w:val="24"/>
        </w:rPr>
        <w:t>) to 7 (</w:t>
      </w:r>
      <w:r w:rsidRPr="00430A13">
        <w:rPr>
          <w:rFonts w:cstheme="minorHAnsi"/>
          <w:i/>
          <w:iCs/>
          <w:sz w:val="24"/>
          <w:szCs w:val="24"/>
        </w:rPr>
        <w:t>strongly agree</w:t>
      </w:r>
      <w:r w:rsidRPr="00430A13">
        <w:rPr>
          <w:rFonts w:cstheme="minorHAnsi"/>
          <w:sz w:val="24"/>
          <w:szCs w:val="24"/>
        </w:rPr>
        <w:t xml:space="preserve">). A mean score is taken such that higher scores indicate higher use of suppression. </w:t>
      </w:r>
      <w:proofErr w:type="spellStart"/>
      <w:r w:rsidRPr="0042250A">
        <w:rPr>
          <w:rFonts w:cstheme="minorHAnsi"/>
          <w:sz w:val="24"/>
          <w:szCs w:val="24"/>
        </w:rPr>
        <w:t>Juang</w:t>
      </w:r>
      <w:proofErr w:type="spellEnd"/>
      <w:r w:rsidRPr="0042250A">
        <w:rPr>
          <w:rFonts w:cstheme="minorHAnsi"/>
          <w:sz w:val="24"/>
          <w:szCs w:val="24"/>
        </w:rPr>
        <w:t xml:space="preserve"> and colleagues (2016)</w:t>
      </w:r>
      <w:r w:rsidRPr="00430A13">
        <w:rPr>
          <w:rFonts w:cstheme="minorHAnsi"/>
          <w:sz w:val="24"/>
          <w:szCs w:val="24"/>
        </w:rPr>
        <w:t xml:space="preserve"> used this subscale with a group of Latinx college students, where they had a Cronbach’s alpha of .83. The current study had a Cronbach’s alpha of .70.</w:t>
      </w:r>
    </w:p>
    <w:p w14:paraId="1060E48B" w14:textId="77777777" w:rsidR="00430A13" w:rsidRPr="00275F9C" w:rsidRDefault="00430A13" w:rsidP="00275F9C">
      <w:pPr>
        <w:pStyle w:val="Heading3"/>
        <w:rPr>
          <w:i/>
          <w:iCs/>
        </w:rPr>
      </w:pPr>
      <w:r w:rsidRPr="00275F9C">
        <w:rPr>
          <w:i/>
          <w:iCs/>
        </w:rPr>
        <w:t>Brief Center for Epidemiologic Studies—Depression scale (B-CES-D)</w:t>
      </w:r>
    </w:p>
    <w:p w14:paraId="702C5FCA" w14:textId="758AAE4D" w:rsidR="00430A13" w:rsidRPr="00430A13" w:rsidRDefault="00430A13" w:rsidP="00430A13">
      <w:pPr>
        <w:rPr>
          <w:rFonts w:cstheme="minorHAnsi"/>
          <w:sz w:val="24"/>
          <w:szCs w:val="24"/>
        </w:rPr>
      </w:pPr>
      <w:r w:rsidRPr="00430A13">
        <w:rPr>
          <w:rFonts w:cstheme="minorHAnsi"/>
          <w:sz w:val="24"/>
          <w:szCs w:val="24"/>
        </w:rPr>
        <w:t>The B-CES-D (</w:t>
      </w:r>
      <w:proofErr w:type="spellStart"/>
      <w:r w:rsidRPr="0042250A">
        <w:rPr>
          <w:rFonts w:cstheme="minorHAnsi"/>
          <w:sz w:val="24"/>
          <w:szCs w:val="24"/>
        </w:rPr>
        <w:t>Kohout</w:t>
      </w:r>
      <w:proofErr w:type="spellEnd"/>
      <w:r w:rsidRPr="0042250A">
        <w:rPr>
          <w:rFonts w:cstheme="minorHAnsi"/>
          <w:sz w:val="24"/>
          <w:szCs w:val="24"/>
        </w:rPr>
        <w:t xml:space="preserve">, Berkman, Evans, &amp; </w:t>
      </w:r>
      <w:proofErr w:type="spellStart"/>
      <w:r w:rsidRPr="0042250A">
        <w:rPr>
          <w:rFonts w:cstheme="minorHAnsi"/>
          <w:sz w:val="24"/>
          <w:szCs w:val="24"/>
        </w:rPr>
        <w:t>Cornoni</w:t>
      </w:r>
      <w:proofErr w:type="spellEnd"/>
      <w:r w:rsidRPr="0042250A">
        <w:rPr>
          <w:rFonts w:cstheme="minorHAnsi"/>
          <w:sz w:val="24"/>
          <w:szCs w:val="24"/>
        </w:rPr>
        <w:t>-Huntley, 1993</w:t>
      </w:r>
      <w:r w:rsidRPr="00430A13">
        <w:rPr>
          <w:rFonts w:cstheme="minorHAnsi"/>
          <w:sz w:val="24"/>
          <w:szCs w:val="24"/>
        </w:rPr>
        <w:t>) is a 10-item measure assessing depression symptoms over the past week. Participants are given an item (e.g., “I had trouble keeping my mind on what I was doing”) and indicate how often they have experienced that symptom from 0 (</w:t>
      </w:r>
      <w:r w:rsidRPr="00430A13">
        <w:rPr>
          <w:rFonts w:cstheme="minorHAnsi"/>
          <w:i/>
          <w:iCs/>
          <w:sz w:val="24"/>
          <w:szCs w:val="24"/>
        </w:rPr>
        <w:t>rarely or none of the time [less than one day]</w:t>
      </w:r>
      <w:r w:rsidRPr="00430A13">
        <w:rPr>
          <w:rFonts w:cstheme="minorHAnsi"/>
          <w:sz w:val="24"/>
          <w:szCs w:val="24"/>
        </w:rPr>
        <w:t>) to 3 (</w:t>
      </w:r>
      <w:r w:rsidRPr="00430A13">
        <w:rPr>
          <w:rFonts w:cstheme="minorHAnsi"/>
          <w:i/>
          <w:iCs/>
          <w:sz w:val="24"/>
          <w:szCs w:val="24"/>
        </w:rPr>
        <w:t xml:space="preserve">most or </w:t>
      </w:r>
      <w:proofErr w:type="gramStart"/>
      <w:r w:rsidRPr="00430A13">
        <w:rPr>
          <w:rFonts w:cstheme="minorHAnsi"/>
          <w:i/>
          <w:iCs/>
          <w:sz w:val="24"/>
          <w:szCs w:val="24"/>
        </w:rPr>
        <w:t>all of</w:t>
      </w:r>
      <w:proofErr w:type="gramEnd"/>
      <w:r w:rsidRPr="00430A13">
        <w:rPr>
          <w:rFonts w:cstheme="minorHAnsi"/>
          <w:i/>
          <w:iCs/>
          <w:sz w:val="24"/>
          <w:szCs w:val="24"/>
        </w:rPr>
        <w:t xml:space="preserve"> the time [5–7 days]</w:t>
      </w:r>
      <w:r w:rsidRPr="00430A13">
        <w:rPr>
          <w:rFonts w:cstheme="minorHAnsi"/>
          <w:sz w:val="24"/>
          <w:szCs w:val="24"/>
        </w:rPr>
        <w:t>). Summed scores range from 0 to 30, with higher scores indicating increased symptoms. The B-CES-D has been previously used with a U.S. Latinx population with a Cronbach’s alpha of .76 (</w:t>
      </w:r>
      <w:proofErr w:type="spellStart"/>
      <w:r w:rsidRPr="0042250A">
        <w:rPr>
          <w:rFonts w:cstheme="minorHAnsi"/>
          <w:sz w:val="24"/>
          <w:szCs w:val="24"/>
        </w:rPr>
        <w:t>Grzywacz</w:t>
      </w:r>
      <w:proofErr w:type="spellEnd"/>
      <w:r w:rsidRPr="0042250A">
        <w:rPr>
          <w:rFonts w:cstheme="minorHAnsi"/>
          <w:sz w:val="24"/>
          <w:szCs w:val="24"/>
        </w:rPr>
        <w:t xml:space="preserve">, Hovey, Seligman, </w:t>
      </w:r>
      <w:proofErr w:type="spellStart"/>
      <w:r w:rsidRPr="0042250A">
        <w:rPr>
          <w:rFonts w:cstheme="minorHAnsi"/>
          <w:sz w:val="24"/>
          <w:szCs w:val="24"/>
        </w:rPr>
        <w:t>Arcury</w:t>
      </w:r>
      <w:proofErr w:type="spellEnd"/>
      <w:r w:rsidRPr="0042250A">
        <w:rPr>
          <w:rFonts w:cstheme="minorHAnsi"/>
          <w:sz w:val="24"/>
          <w:szCs w:val="24"/>
        </w:rPr>
        <w:t xml:space="preserve">, &amp; </w:t>
      </w:r>
      <w:proofErr w:type="spellStart"/>
      <w:r w:rsidRPr="0042250A">
        <w:rPr>
          <w:rFonts w:cstheme="minorHAnsi"/>
          <w:sz w:val="24"/>
          <w:szCs w:val="24"/>
        </w:rPr>
        <w:t>Quandt</w:t>
      </w:r>
      <w:proofErr w:type="spellEnd"/>
      <w:r w:rsidRPr="0042250A">
        <w:rPr>
          <w:rFonts w:cstheme="minorHAnsi"/>
          <w:sz w:val="24"/>
          <w:szCs w:val="24"/>
        </w:rPr>
        <w:t>, 2006</w:t>
      </w:r>
      <w:r w:rsidRPr="00430A13">
        <w:rPr>
          <w:rFonts w:cstheme="minorHAnsi"/>
          <w:sz w:val="24"/>
          <w:szCs w:val="24"/>
        </w:rPr>
        <w:t>). The current study had a Cronbach’s alpha of .84.</w:t>
      </w:r>
    </w:p>
    <w:p w14:paraId="7163CA88" w14:textId="77777777" w:rsidR="00430A13" w:rsidRPr="00430A13" w:rsidRDefault="00430A13" w:rsidP="00275F9C">
      <w:pPr>
        <w:pStyle w:val="Heading2"/>
      </w:pPr>
      <w:r w:rsidRPr="00430A13">
        <w:t>Data Analytic Plan</w:t>
      </w:r>
    </w:p>
    <w:p w14:paraId="1C5DB0E1" w14:textId="0BAAD697" w:rsidR="00430A13" w:rsidRPr="00430A13" w:rsidRDefault="00430A13" w:rsidP="00430A13">
      <w:pPr>
        <w:rPr>
          <w:rFonts w:cstheme="minorHAnsi"/>
          <w:sz w:val="24"/>
          <w:szCs w:val="24"/>
        </w:rPr>
      </w:pPr>
      <w:r w:rsidRPr="00430A13">
        <w:rPr>
          <w:rFonts w:cstheme="minorHAnsi"/>
          <w:sz w:val="24"/>
          <w:szCs w:val="24"/>
        </w:rPr>
        <w:t>The main analyses included parallel mediation, which tests multiple mediators simultaneously and accounts for covariates, making it more representative of real-world experiences (</w:t>
      </w:r>
      <w:r w:rsidRPr="0042250A">
        <w:rPr>
          <w:rFonts w:cstheme="minorHAnsi"/>
          <w:sz w:val="24"/>
          <w:szCs w:val="24"/>
        </w:rPr>
        <w:t>Hayes, 2013</w:t>
      </w:r>
      <w:r w:rsidRPr="00430A13">
        <w:rPr>
          <w:rFonts w:cstheme="minorHAnsi"/>
          <w:sz w:val="24"/>
          <w:szCs w:val="24"/>
        </w:rPr>
        <w:t>). Mediation is typically used when examining potential mechanisms (</w:t>
      </w:r>
      <w:r w:rsidRPr="0042250A">
        <w:rPr>
          <w:rFonts w:cstheme="minorHAnsi"/>
          <w:sz w:val="24"/>
          <w:szCs w:val="24"/>
        </w:rPr>
        <w:t>Hayes, Montoya, &amp; Rockwood, 2017</w:t>
      </w:r>
      <w:r w:rsidRPr="00430A13">
        <w:rPr>
          <w:rFonts w:cstheme="minorHAnsi"/>
          <w:sz w:val="24"/>
          <w:szCs w:val="24"/>
        </w:rPr>
        <w:t>). Mediation, or in this case indirect effects, were examined via bootstrapping, a resampling technique that has been shown to reduce Type I error rates. With 1,000 iterations of bootstrapping, 95% confidence intervals were calculated for the indirect effects. Statistical significance was determined if the confidence intervals did not include zero.</w:t>
      </w:r>
    </w:p>
    <w:p w14:paraId="2180C591" w14:textId="248B0914" w:rsidR="00430A13" w:rsidRPr="00430A13" w:rsidRDefault="00430A13" w:rsidP="00275F9C">
      <w:pPr>
        <w:pStyle w:val="Heading1"/>
        <w:rPr>
          <w:rFonts w:cstheme="minorHAnsi"/>
          <w:sz w:val="24"/>
          <w:szCs w:val="24"/>
        </w:rPr>
      </w:pPr>
      <w:r w:rsidRPr="0042250A">
        <w:t>Results</w:t>
      </w:r>
    </w:p>
    <w:p w14:paraId="642804D8" w14:textId="77777777" w:rsidR="00430A13" w:rsidRPr="00430A13" w:rsidRDefault="00430A13" w:rsidP="00275F9C">
      <w:pPr>
        <w:pStyle w:val="Heading2"/>
      </w:pPr>
      <w:r w:rsidRPr="00430A13">
        <w:t>Preliminary Analyses</w:t>
      </w:r>
    </w:p>
    <w:p w14:paraId="6E4EC302" w14:textId="4B5085F4" w:rsidR="00430A13" w:rsidRPr="00310508" w:rsidRDefault="00430A13" w:rsidP="00430A13">
      <w:pPr>
        <w:rPr>
          <w:rFonts w:cstheme="minorHAnsi"/>
          <w:sz w:val="24"/>
          <w:szCs w:val="24"/>
        </w:rPr>
      </w:pPr>
      <w:r w:rsidRPr="00430A13">
        <w:rPr>
          <w:rFonts w:cstheme="minorHAnsi"/>
          <w:sz w:val="24"/>
          <w:szCs w:val="24"/>
        </w:rPr>
        <w:t xml:space="preserve">Means, standard deviations, and correlations of the variables of interest are shown in </w:t>
      </w:r>
      <w:r w:rsidRPr="0042250A">
        <w:rPr>
          <w:rFonts w:cstheme="minorHAnsi"/>
          <w:sz w:val="24"/>
          <w:szCs w:val="24"/>
        </w:rPr>
        <w:t>Table 1</w:t>
      </w:r>
      <w:r w:rsidRPr="00430A13">
        <w:rPr>
          <w:rFonts w:cstheme="minorHAnsi"/>
          <w:sz w:val="24"/>
          <w:szCs w:val="24"/>
        </w:rPr>
        <w:t xml:space="preserve">. Ethnic and sexist discrimination were highly positively correlated. </w:t>
      </w:r>
      <w:proofErr w:type="gramStart"/>
      <w:r w:rsidRPr="00430A13">
        <w:rPr>
          <w:rFonts w:cstheme="minorHAnsi"/>
          <w:sz w:val="24"/>
          <w:szCs w:val="24"/>
        </w:rPr>
        <w:t>As a whole, the</w:t>
      </w:r>
      <w:proofErr w:type="gramEnd"/>
      <w:r w:rsidRPr="00430A13">
        <w:rPr>
          <w:rFonts w:cstheme="minorHAnsi"/>
          <w:sz w:val="24"/>
          <w:szCs w:val="24"/>
        </w:rPr>
        <w:t xml:space="preserve"> sample reported a mean depression score slightly lower than a previously established clinical cutoff of 10 (</w:t>
      </w:r>
      <w:r w:rsidRPr="0042250A">
        <w:rPr>
          <w:rFonts w:cstheme="minorHAnsi"/>
          <w:sz w:val="24"/>
          <w:szCs w:val="24"/>
        </w:rPr>
        <w:t xml:space="preserve">Andresen, </w:t>
      </w:r>
      <w:proofErr w:type="spellStart"/>
      <w:r w:rsidRPr="0042250A">
        <w:rPr>
          <w:rFonts w:cstheme="minorHAnsi"/>
          <w:sz w:val="24"/>
          <w:szCs w:val="24"/>
        </w:rPr>
        <w:t>Malmgren</w:t>
      </w:r>
      <w:proofErr w:type="spellEnd"/>
      <w:r w:rsidRPr="0042250A">
        <w:rPr>
          <w:rFonts w:cstheme="minorHAnsi"/>
          <w:sz w:val="24"/>
          <w:szCs w:val="24"/>
        </w:rPr>
        <w:t>, Carter, &amp; Patrick, 1994</w:t>
      </w:r>
      <w:r w:rsidRPr="00430A13">
        <w:rPr>
          <w:rFonts w:cstheme="minorHAnsi"/>
          <w:sz w:val="24"/>
          <w:szCs w:val="24"/>
        </w:rPr>
        <w:t xml:space="preserve">). Mean differences of variables of interest were assessed by nativity status, income, source of sample (e.g., community event or online), and language. Independent </w:t>
      </w:r>
      <w:r w:rsidRPr="00430A13">
        <w:rPr>
          <w:rFonts w:cstheme="minorHAnsi"/>
          <w:i/>
          <w:iCs/>
          <w:sz w:val="24"/>
          <w:szCs w:val="24"/>
        </w:rPr>
        <w:t>t</w:t>
      </w:r>
      <w:r w:rsidRPr="00430A13">
        <w:rPr>
          <w:rFonts w:cstheme="minorHAnsi"/>
          <w:sz w:val="24"/>
          <w:szCs w:val="24"/>
        </w:rPr>
        <w:t xml:space="preserve"> tests evaluated the differences between U.S.- and foreign-born Latinx women. Foreign-born Latinx women (</w:t>
      </w:r>
      <w:r w:rsidRPr="00430A13">
        <w:rPr>
          <w:rFonts w:cstheme="minorHAnsi"/>
          <w:i/>
          <w:iCs/>
          <w:sz w:val="24"/>
          <w:szCs w:val="24"/>
        </w:rPr>
        <w:t>M</w:t>
      </w:r>
      <w:r w:rsidRPr="00430A13">
        <w:rPr>
          <w:rFonts w:cstheme="minorHAnsi"/>
          <w:sz w:val="24"/>
          <w:szCs w:val="24"/>
        </w:rPr>
        <w:t xml:space="preserve"> = 1.80, </w:t>
      </w:r>
      <w:r w:rsidRPr="00430A13">
        <w:rPr>
          <w:rFonts w:cstheme="minorHAnsi"/>
          <w:i/>
          <w:iCs/>
          <w:sz w:val="24"/>
          <w:szCs w:val="24"/>
        </w:rPr>
        <w:t>SD</w:t>
      </w:r>
      <w:r w:rsidRPr="00430A13">
        <w:rPr>
          <w:rFonts w:cstheme="minorHAnsi"/>
          <w:sz w:val="24"/>
          <w:szCs w:val="24"/>
        </w:rPr>
        <w:t xml:space="preserve"> = .83) reported fewer sexist events than their U.S.-born counterparts (</w:t>
      </w:r>
      <w:r w:rsidRPr="00430A13">
        <w:rPr>
          <w:rFonts w:cstheme="minorHAnsi"/>
          <w:i/>
          <w:iCs/>
          <w:sz w:val="24"/>
          <w:szCs w:val="24"/>
        </w:rPr>
        <w:t>M</w:t>
      </w:r>
      <w:r w:rsidRPr="00430A13">
        <w:rPr>
          <w:rFonts w:cstheme="minorHAnsi"/>
          <w:sz w:val="24"/>
          <w:szCs w:val="24"/>
        </w:rPr>
        <w:t xml:space="preserve"> = 2.40, </w:t>
      </w:r>
      <w:r w:rsidRPr="00430A13">
        <w:rPr>
          <w:rFonts w:cstheme="minorHAnsi"/>
          <w:i/>
          <w:iCs/>
          <w:sz w:val="24"/>
          <w:szCs w:val="24"/>
        </w:rPr>
        <w:t>SD</w:t>
      </w:r>
      <w:r w:rsidRPr="00430A13">
        <w:rPr>
          <w:rFonts w:cstheme="minorHAnsi"/>
          <w:sz w:val="24"/>
          <w:szCs w:val="24"/>
        </w:rPr>
        <w:t xml:space="preserve"> = .93), </w:t>
      </w:r>
      <w:proofErr w:type="gramStart"/>
      <w:r w:rsidRPr="00430A13">
        <w:rPr>
          <w:rFonts w:cstheme="minorHAnsi"/>
          <w:i/>
          <w:iCs/>
          <w:sz w:val="24"/>
          <w:szCs w:val="24"/>
        </w:rPr>
        <w:t>t</w:t>
      </w:r>
      <w:r w:rsidRPr="00430A13">
        <w:rPr>
          <w:rFonts w:cstheme="minorHAnsi"/>
          <w:sz w:val="24"/>
          <w:szCs w:val="24"/>
        </w:rPr>
        <w:t>(</w:t>
      </w:r>
      <w:proofErr w:type="gramEnd"/>
      <w:r w:rsidRPr="00430A13">
        <w:rPr>
          <w:rFonts w:cstheme="minorHAnsi"/>
          <w:sz w:val="24"/>
          <w:szCs w:val="24"/>
        </w:rPr>
        <w:t xml:space="preserve">238) = −5.03, </w:t>
      </w:r>
      <w:r w:rsidRPr="00430A13">
        <w:rPr>
          <w:rFonts w:cstheme="minorHAnsi"/>
          <w:i/>
          <w:iCs/>
          <w:sz w:val="24"/>
          <w:szCs w:val="24"/>
        </w:rPr>
        <w:t>p</w:t>
      </w:r>
      <w:r w:rsidRPr="00430A13">
        <w:rPr>
          <w:rFonts w:cstheme="minorHAnsi"/>
          <w:sz w:val="24"/>
          <w:szCs w:val="24"/>
        </w:rPr>
        <w:t xml:space="preserve"> &lt; .01. Those that completed the survey in English (</w:t>
      </w:r>
      <w:r w:rsidRPr="00430A13">
        <w:rPr>
          <w:rFonts w:cstheme="minorHAnsi"/>
          <w:i/>
          <w:iCs/>
          <w:sz w:val="24"/>
          <w:szCs w:val="24"/>
        </w:rPr>
        <w:t>M</w:t>
      </w:r>
      <w:r w:rsidRPr="00430A13">
        <w:rPr>
          <w:rFonts w:cstheme="minorHAnsi"/>
          <w:sz w:val="24"/>
          <w:szCs w:val="24"/>
        </w:rPr>
        <w:t xml:space="preserve"> = 2.31, </w:t>
      </w:r>
      <w:r w:rsidRPr="00430A13">
        <w:rPr>
          <w:rFonts w:cstheme="minorHAnsi"/>
          <w:i/>
          <w:iCs/>
          <w:sz w:val="24"/>
          <w:szCs w:val="24"/>
        </w:rPr>
        <w:t>SD</w:t>
      </w:r>
      <w:r w:rsidRPr="00430A13">
        <w:rPr>
          <w:rFonts w:cstheme="minorHAnsi"/>
          <w:sz w:val="24"/>
          <w:szCs w:val="24"/>
        </w:rPr>
        <w:t xml:space="preserve"> = .92) endorsed more sexist events than those that completed the survey in Spanish (</w:t>
      </w:r>
      <w:r w:rsidRPr="00430A13">
        <w:rPr>
          <w:rFonts w:cstheme="minorHAnsi"/>
          <w:i/>
          <w:iCs/>
          <w:sz w:val="24"/>
          <w:szCs w:val="24"/>
        </w:rPr>
        <w:t>M</w:t>
      </w:r>
      <w:r w:rsidRPr="00430A13">
        <w:rPr>
          <w:rFonts w:cstheme="minorHAnsi"/>
          <w:sz w:val="24"/>
          <w:szCs w:val="24"/>
        </w:rPr>
        <w:t xml:space="preserve"> = 1.61, </w:t>
      </w:r>
      <w:r w:rsidRPr="00430A13">
        <w:rPr>
          <w:rFonts w:cstheme="minorHAnsi"/>
          <w:i/>
          <w:iCs/>
          <w:sz w:val="24"/>
          <w:szCs w:val="24"/>
        </w:rPr>
        <w:t>SD</w:t>
      </w:r>
      <w:r w:rsidRPr="00430A13">
        <w:rPr>
          <w:rFonts w:cstheme="minorHAnsi"/>
          <w:sz w:val="24"/>
          <w:szCs w:val="24"/>
        </w:rPr>
        <w:t xml:space="preserve"> = .79), </w:t>
      </w:r>
      <w:proofErr w:type="gramStart"/>
      <w:r w:rsidRPr="00430A13">
        <w:rPr>
          <w:rFonts w:cstheme="minorHAnsi"/>
          <w:i/>
          <w:iCs/>
          <w:sz w:val="24"/>
          <w:szCs w:val="24"/>
        </w:rPr>
        <w:t>t</w:t>
      </w:r>
      <w:r w:rsidRPr="00430A13">
        <w:rPr>
          <w:rFonts w:cstheme="minorHAnsi"/>
          <w:sz w:val="24"/>
          <w:szCs w:val="24"/>
        </w:rPr>
        <w:t>(</w:t>
      </w:r>
      <w:proofErr w:type="gramEnd"/>
      <w:r w:rsidRPr="00430A13">
        <w:rPr>
          <w:rFonts w:cstheme="minorHAnsi"/>
          <w:sz w:val="24"/>
          <w:szCs w:val="24"/>
        </w:rPr>
        <w:t xml:space="preserve">240) = 4.77, </w:t>
      </w:r>
      <w:r w:rsidRPr="00430A13">
        <w:rPr>
          <w:rFonts w:cstheme="minorHAnsi"/>
          <w:i/>
          <w:iCs/>
          <w:sz w:val="24"/>
          <w:szCs w:val="24"/>
        </w:rPr>
        <w:t>p</w:t>
      </w:r>
      <w:r w:rsidRPr="00430A13">
        <w:rPr>
          <w:rFonts w:cstheme="minorHAnsi"/>
          <w:sz w:val="24"/>
          <w:szCs w:val="24"/>
        </w:rPr>
        <w:t xml:space="preserve"> &lt; .01.</w:t>
      </w:r>
      <w:r w:rsidRPr="00430A13">
        <w:rPr>
          <w:rFonts w:cstheme="minorHAnsi"/>
          <w:sz w:val="24"/>
          <w:szCs w:val="24"/>
        </w:rPr>
        <w:br/>
      </w:r>
      <w:r w:rsidRPr="00430A13">
        <w:rPr>
          <w:rFonts w:cstheme="minorHAnsi"/>
          <w:sz w:val="24"/>
          <w:szCs w:val="24"/>
        </w:rPr>
        <w:br/>
      </w:r>
      <w:r w:rsidR="00310508" w:rsidRPr="00310508">
        <w:rPr>
          <w:rFonts w:cstheme="minorHAnsi"/>
          <w:noProof/>
          <w:sz w:val="24"/>
          <w:szCs w:val="24"/>
        </w:rPr>
        <w:t xml:space="preserve">Table 1. </w:t>
      </w:r>
      <w:r w:rsidRPr="00310508">
        <w:rPr>
          <w:rFonts w:cstheme="minorHAnsi"/>
          <w:sz w:val="24"/>
          <w:szCs w:val="24"/>
        </w:rPr>
        <w:t>Correlations, Means, and Standard Deviations of Variables of Interest</w:t>
      </w:r>
    </w:p>
    <w:tbl>
      <w:tblPr>
        <w:tblStyle w:val="TableGrid"/>
        <w:tblW w:w="0" w:type="auto"/>
        <w:tblLook w:val="0020" w:firstRow="1" w:lastRow="0" w:firstColumn="0" w:lastColumn="0" w:noHBand="0" w:noVBand="0"/>
      </w:tblPr>
      <w:tblGrid>
        <w:gridCol w:w="2492"/>
        <w:gridCol w:w="607"/>
        <w:gridCol w:w="676"/>
        <w:gridCol w:w="718"/>
        <w:gridCol w:w="676"/>
        <w:gridCol w:w="668"/>
      </w:tblGrid>
      <w:tr w:rsidR="00734F72" w:rsidRPr="00734F72" w14:paraId="30EC5D5F" w14:textId="77777777" w:rsidTr="00622721">
        <w:trPr>
          <w:trHeight w:val="243"/>
        </w:trPr>
        <w:tc>
          <w:tcPr>
            <w:tcW w:w="0" w:type="auto"/>
          </w:tcPr>
          <w:p w14:paraId="79BA0754" w14:textId="77777777" w:rsidR="00734F72" w:rsidRPr="00734F72" w:rsidRDefault="00734F72" w:rsidP="00734F72">
            <w:pPr>
              <w:pStyle w:val="NoSpacing"/>
              <w:rPr>
                <w:rFonts w:cstheme="minorHAnsi"/>
              </w:rPr>
            </w:pPr>
            <w:bookmarkStart w:id="5" w:name="_bookmark0"/>
            <w:bookmarkEnd w:id="5"/>
            <w:r w:rsidRPr="00734F72">
              <w:rPr>
                <w:rFonts w:cstheme="minorHAnsi"/>
              </w:rPr>
              <w:t>Variables</w:t>
            </w:r>
          </w:p>
        </w:tc>
        <w:tc>
          <w:tcPr>
            <w:tcW w:w="0" w:type="auto"/>
          </w:tcPr>
          <w:p w14:paraId="70B80D56" w14:textId="77777777" w:rsidR="00734F72" w:rsidRPr="00734F72" w:rsidRDefault="00734F72" w:rsidP="00734F72">
            <w:pPr>
              <w:pStyle w:val="NoSpacing"/>
              <w:rPr>
                <w:rFonts w:cstheme="minorHAnsi"/>
              </w:rPr>
            </w:pPr>
            <w:r w:rsidRPr="00734F72">
              <w:rPr>
                <w:rFonts w:cstheme="minorHAnsi"/>
              </w:rPr>
              <w:t>1</w:t>
            </w:r>
          </w:p>
        </w:tc>
        <w:tc>
          <w:tcPr>
            <w:tcW w:w="0" w:type="auto"/>
          </w:tcPr>
          <w:p w14:paraId="5FE484C4" w14:textId="77777777" w:rsidR="00734F72" w:rsidRPr="00734F72" w:rsidRDefault="00734F72" w:rsidP="00734F72">
            <w:pPr>
              <w:pStyle w:val="NoSpacing"/>
              <w:rPr>
                <w:rFonts w:cstheme="minorHAnsi"/>
              </w:rPr>
            </w:pPr>
            <w:r w:rsidRPr="00734F72">
              <w:rPr>
                <w:rFonts w:cstheme="minorHAnsi"/>
              </w:rPr>
              <w:t>2</w:t>
            </w:r>
          </w:p>
        </w:tc>
        <w:tc>
          <w:tcPr>
            <w:tcW w:w="0" w:type="auto"/>
          </w:tcPr>
          <w:p w14:paraId="5CC63C07" w14:textId="77777777" w:rsidR="00734F72" w:rsidRPr="00734F72" w:rsidRDefault="00734F72" w:rsidP="00734F72">
            <w:pPr>
              <w:pStyle w:val="NoSpacing"/>
              <w:rPr>
                <w:rFonts w:cstheme="minorHAnsi"/>
              </w:rPr>
            </w:pPr>
            <w:r w:rsidRPr="00734F72">
              <w:rPr>
                <w:rFonts w:cstheme="minorHAnsi"/>
              </w:rPr>
              <w:t>3</w:t>
            </w:r>
          </w:p>
        </w:tc>
        <w:tc>
          <w:tcPr>
            <w:tcW w:w="0" w:type="auto"/>
          </w:tcPr>
          <w:p w14:paraId="3BF9B6CE" w14:textId="77777777" w:rsidR="00734F72" w:rsidRPr="00734F72" w:rsidRDefault="00734F72" w:rsidP="00734F72">
            <w:pPr>
              <w:pStyle w:val="NoSpacing"/>
              <w:rPr>
                <w:rFonts w:cstheme="minorHAnsi"/>
              </w:rPr>
            </w:pPr>
            <w:r w:rsidRPr="00734F72">
              <w:rPr>
                <w:rFonts w:cstheme="minorHAnsi"/>
              </w:rPr>
              <w:t>4</w:t>
            </w:r>
          </w:p>
        </w:tc>
        <w:tc>
          <w:tcPr>
            <w:tcW w:w="0" w:type="auto"/>
          </w:tcPr>
          <w:p w14:paraId="75E6C3A4" w14:textId="77777777" w:rsidR="00734F72" w:rsidRPr="00734F72" w:rsidRDefault="00734F72" w:rsidP="00734F72">
            <w:pPr>
              <w:pStyle w:val="NoSpacing"/>
              <w:rPr>
                <w:rFonts w:cstheme="minorHAnsi"/>
              </w:rPr>
            </w:pPr>
            <w:r w:rsidRPr="00734F72">
              <w:rPr>
                <w:rFonts w:cstheme="minorHAnsi"/>
              </w:rPr>
              <w:t>5</w:t>
            </w:r>
          </w:p>
        </w:tc>
      </w:tr>
      <w:tr w:rsidR="00734F72" w:rsidRPr="00734F72" w14:paraId="4F946D50" w14:textId="77777777" w:rsidTr="00622721">
        <w:trPr>
          <w:trHeight w:val="225"/>
        </w:trPr>
        <w:tc>
          <w:tcPr>
            <w:tcW w:w="0" w:type="auto"/>
          </w:tcPr>
          <w:p w14:paraId="76C6C379" w14:textId="77777777" w:rsidR="00734F72" w:rsidRPr="00734F72" w:rsidRDefault="00734F72" w:rsidP="00734F72">
            <w:pPr>
              <w:pStyle w:val="NoSpacing"/>
              <w:rPr>
                <w:rFonts w:cstheme="minorHAnsi"/>
              </w:rPr>
            </w:pPr>
            <w:r w:rsidRPr="00734F72">
              <w:rPr>
                <w:rFonts w:cstheme="minorHAnsi"/>
              </w:rPr>
              <w:t>1. Ethnic discrimination</w:t>
            </w:r>
          </w:p>
        </w:tc>
        <w:tc>
          <w:tcPr>
            <w:tcW w:w="0" w:type="auto"/>
          </w:tcPr>
          <w:p w14:paraId="4246017A" w14:textId="77777777" w:rsidR="00734F72" w:rsidRPr="00734F72" w:rsidRDefault="00734F72" w:rsidP="00734F72">
            <w:pPr>
              <w:pStyle w:val="NoSpacing"/>
              <w:rPr>
                <w:rFonts w:cstheme="minorHAnsi"/>
              </w:rPr>
            </w:pPr>
            <w:r w:rsidRPr="00734F72">
              <w:rPr>
                <w:rFonts w:cstheme="minorHAnsi"/>
              </w:rPr>
              <w:t>—</w:t>
            </w:r>
          </w:p>
        </w:tc>
        <w:tc>
          <w:tcPr>
            <w:tcW w:w="0" w:type="auto"/>
          </w:tcPr>
          <w:p w14:paraId="12B37D5D" w14:textId="77777777" w:rsidR="00734F72" w:rsidRPr="00734F72" w:rsidRDefault="00734F72" w:rsidP="00734F72">
            <w:pPr>
              <w:pStyle w:val="NoSpacing"/>
              <w:rPr>
                <w:rFonts w:cstheme="minorHAnsi"/>
                <w:w w:val="110"/>
                <w:vertAlign w:val="superscript"/>
              </w:rPr>
            </w:pPr>
            <w:r w:rsidRPr="00734F72">
              <w:rPr>
                <w:rFonts w:cstheme="minorHAnsi"/>
                <w:w w:val="110"/>
              </w:rPr>
              <w:t>.63</w:t>
            </w:r>
            <w:r w:rsidRPr="00734F72">
              <w:rPr>
                <w:rFonts w:cstheme="minorHAnsi"/>
                <w:w w:val="110"/>
                <w:vertAlign w:val="superscript"/>
              </w:rPr>
              <w:t>**</w:t>
            </w:r>
          </w:p>
        </w:tc>
        <w:tc>
          <w:tcPr>
            <w:tcW w:w="0" w:type="auto"/>
          </w:tcPr>
          <w:p w14:paraId="0ADD1CAC" w14:textId="77777777" w:rsidR="00734F72" w:rsidRPr="00734F72" w:rsidRDefault="00734F72" w:rsidP="00734F72">
            <w:pPr>
              <w:pStyle w:val="NoSpacing"/>
              <w:rPr>
                <w:rFonts w:cstheme="minorHAnsi"/>
                <w:w w:val="110"/>
                <w:vertAlign w:val="superscript"/>
              </w:rPr>
            </w:pPr>
            <w:r w:rsidRPr="00734F72">
              <w:rPr>
                <w:rFonts w:cstheme="minorHAnsi"/>
                <w:w w:val="110"/>
              </w:rPr>
              <w:t>.17</w:t>
            </w:r>
            <w:r w:rsidRPr="00734F72">
              <w:rPr>
                <w:rFonts w:cstheme="minorHAnsi"/>
                <w:w w:val="110"/>
                <w:vertAlign w:val="superscript"/>
              </w:rPr>
              <w:t>**</w:t>
            </w:r>
          </w:p>
        </w:tc>
        <w:tc>
          <w:tcPr>
            <w:tcW w:w="0" w:type="auto"/>
          </w:tcPr>
          <w:p w14:paraId="5FA1BBB0" w14:textId="77777777" w:rsidR="00734F72" w:rsidRPr="00734F72" w:rsidRDefault="00734F72" w:rsidP="00734F72">
            <w:pPr>
              <w:pStyle w:val="NoSpacing"/>
              <w:rPr>
                <w:rFonts w:cstheme="minorHAnsi"/>
                <w:w w:val="110"/>
                <w:vertAlign w:val="superscript"/>
              </w:rPr>
            </w:pPr>
            <w:r w:rsidRPr="00734F72">
              <w:rPr>
                <w:rFonts w:cstheme="minorHAnsi"/>
                <w:w w:val="110"/>
              </w:rPr>
              <w:t>.20</w:t>
            </w:r>
            <w:r w:rsidRPr="00734F72">
              <w:rPr>
                <w:rFonts w:cstheme="minorHAnsi"/>
                <w:w w:val="110"/>
                <w:vertAlign w:val="superscript"/>
              </w:rPr>
              <w:t>**</w:t>
            </w:r>
          </w:p>
        </w:tc>
        <w:tc>
          <w:tcPr>
            <w:tcW w:w="0" w:type="auto"/>
          </w:tcPr>
          <w:p w14:paraId="5AAA3A89" w14:textId="77777777" w:rsidR="00734F72" w:rsidRPr="00734F72" w:rsidRDefault="00734F72" w:rsidP="00734F72">
            <w:pPr>
              <w:pStyle w:val="NoSpacing"/>
              <w:rPr>
                <w:rFonts w:cstheme="minorHAnsi"/>
                <w:w w:val="124"/>
                <w:vertAlign w:val="superscript"/>
              </w:rPr>
            </w:pPr>
            <w:r w:rsidRPr="00734F72">
              <w:rPr>
                <w:rFonts w:cstheme="minorHAnsi"/>
              </w:rPr>
              <w:t>.37</w:t>
            </w:r>
            <w:r w:rsidRPr="00734F72">
              <w:rPr>
                <w:rFonts w:cstheme="minorHAnsi"/>
                <w:w w:val="124"/>
                <w:vertAlign w:val="superscript"/>
              </w:rPr>
              <w:t>**</w:t>
            </w:r>
          </w:p>
        </w:tc>
      </w:tr>
      <w:tr w:rsidR="00734F72" w:rsidRPr="00734F72" w14:paraId="59A60FBC" w14:textId="77777777" w:rsidTr="00622721">
        <w:trPr>
          <w:trHeight w:val="190"/>
        </w:trPr>
        <w:tc>
          <w:tcPr>
            <w:tcW w:w="0" w:type="auto"/>
          </w:tcPr>
          <w:p w14:paraId="0C328436" w14:textId="77777777" w:rsidR="00734F72" w:rsidRPr="00734F72" w:rsidRDefault="00734F72" w:rsidP="00734F72">
            <w:pPr>
              <w:pStyle w:val="NoSpacing"/>
              <w:rPr>
                <w:rFonts w:cstheme="minorHAnsi"/>
              </w:rPr>
            </w:pPr>
            <w:r w:rsidRPr="00734F72">
              <w:rPr>
                <w:rFonts w:cstheme="minorHAnsi"/>
              </w:rPr>
              <w:t>2. Sexist discrimination</w:t>
            </w:r>
          </w:p>
        </w:tc>
        <w:tc>
          <w:tcPr>
            <w:tcW w:w="0" w:type="auto"/>
          </w:tcPr>
          <w:p w14:paraId="0906BF8C" w14:textId="77777777" w:rsidR="00734F72" w:rsidRPr="00734F72" w:rsidRDefault="00734F72" w:rsidP="00734F72">
            <w:pPr>
              <w:pStyle w:val="NoSpacing"/>
              <w:rPr>
                <w:rFonts w:cstheme="minorHAnsi"/>
              </w:rPr>
            </w:pPr>
          </w:p>
        </w:tc>
        <w:tc>
          <w:tcPr>
            <w:tcW w:w="0" w:type="auto"/>
          </w:tcPr>
          <w:p w14:paraId="62EF0C9D" w14:textId="77777777" w:rsidR="00734F72" w:rsidRPr="00734F72" w:rsidRDefault="00734F72" w:rsidP="00734F72">
            <w:pPr>
              <w:pStyle w:val="NoSpacing"/>
              <w:rPr>
                <w:rFonts w:cstheme="minorHAnsi"/>
              </w:rPr>
            </w:pPr>
            <w:r w:rsidRPr="00734F72">
              <w:rPr>
                <w:rFonts w:cstheme="minorHAnsi"/>
              </w:rPr>
              <w:t>—</w:t>
            </w:r>
          </w:p>
        </w:tc>
        <w:tc>
          <w:tcPr>
            <w:tcW w:w="0" w:type="auto"/>
          </w:tcPr>
          <w:p w14:paraId="07C3CA11" w14:textId="77777777" w:rsidR="00734F72" w:rsidRPr="00734F72" w:rsidRDefault="00734F72" w:rsidP="00734F72">
            <w:pPr>
              <w:pStyle w:val="NoSpacing"/>
              <w:rPr>
                <w:rFonts w:cstheme="minorHAnsi"/>
                <w:w w:val="110"/>
                <w:vertAlign w:val="superscript"/>
              </w:rPr>
            </w:pPr>
            <w:r w:rsidRPr="00734F72">
              <w:rPr>
                <w:rFonts w:cstheme="minorHAnsi"/>
                <w:w w:val="110"/>
              </w:rPr>
              <w:t>.21</w:t>
            </w:r>
            <w:r w:rsidRPr="00734F72">
              <w:rPr>
                <w:rFonts w:cstheme="minorHAnsi"/>
                <w:w w:val="110"/>
                <w:vertAlign w:val="superscript"/>
              </w:rPr>
              <w:t>**</w:t>
            </w:r>
          </w:p>
        </w:tc>
        <w:tc>
          <w:tcPr>
            <w:tcW w:w="0" w:type="auto"/>
          </w:tcPr>
          <w:p w14:paraId="7D2B9848" w14:textId="77777777" w:rsidR="00734F72" w:rsidRPr="00734F72" w:rsidRDefault="00734F72" w:rsidP="00734F72">
            <w:pPr>
              <w:pStyle w:val="NoSpacing"/>
              <w:rPr>
                <w:rFonts w:cstheme="minorHAnsi"/>
                <w:w w:val="110"/>
                <w:vertAlign w:val="superscript"/>
              </w:rPr>
            </w:pPr>
            <w:r w:rsidRPr="00734F72">
              <w:rPr>
                <w:rFonts w:cstheme="minorHAnsi"/>
                <w:w w:val="110"/>
              </w:rPr>
              <w:t>.15</w:t>
            </w:r>
            <w:r w:rsidRPr="00734F72">
              <w:rPr>
                <w:rFonts w:cstheme="minorHAnsi"/>
                <w:w w:val="110"/>
                <w:vertAlign w:val="superscript"/>
              </w:rPr>
              <w:t>**</w:t>
            </w:r>
          </w:p>
        </w:tc>
        <w:tc>
          <w:tcPr>
            <w:tcW w:w="0" w:type="auto"/>
          </w:tcPr>
          <w:p w14:paraId="0C7E0582" w14:textId="77777777" w:rsidR="00734F72" w:rsidRPr="00734F72" w:rsidRDefault="00734F72" w:rsidP="00734F72">
            <w:pPr>
              <w:pStyle w:val="NoSpacing"/>
              <w:rPr>
                <w:rFonts w:cstheme="minorHAnsi"/>
                <w:w w:val="124"/>
                <w:vertAlign w:val="superscript"/>
              </w:rPr>
            </w:pPr>
            <w:r w:rsidRPr="00734F72">
              <w:rPr>
                <w:rFonts w:cstheme="minorHAnsi"/>
              </w:rPr>
              <w:t>.39</w:t>
            </w:r>
            <w:r w:rsidRPr="00734F72">
              <w:rPr>
                <w:rFonts w:cstheme="minorHAnsi"/>
                <w:w w:val="124"/>
                <w:vertAlign w:val="superscript"/>
              </w:rPr>
              <w:t>**</w:t>
            </w:r>
          </w:p>
        </w:tc>
      </w:tr>
      <w:tr w:rsidR="00734F72" w:rsidRPr="00734F72" w14:paraId="5B9140B7" w14:textId="77777777" w:rsidTr="00622721">
        <w:trPr>
          <w:trHeight w:val="190"/>
        </w:trPr>
        <w:tc>
          <w:tcPr>
            <w:tcW w:w="0" w:type="auto"/>
          </w:tcPr>
          <w:p w14:paraId="52B69263" w14:textId="77777777" w:rsidR="00734F72" w:rsidRPr="00734F72" w:rsidRDefault="00734F72" w:rsidP="00734F72">
            <w:pPr>
              <w:pStyle w:val="NoSpacing"/>
              <w:rPr>
                <w:rFonts w:cstheme="minorHAnsi"/>
              </w:rPr>
            </w:pPr>
            <w:r w:rsidRPr="00734F72">
              <w:rPr>
                <w:rFonts w:cstheme="minorHAnsi"/>
              </w:rPr>
              <w:t>3. Anxiety sensitivity</w:t>
            </w:r>
          </w:p>
        </w:tc>
        <w:tc>
          <w:tcPr>
            <w:tcW w:w="0" w:type="auto"/>
          </w:tcPr>
          <w:p w14:paraId="411AB9CE" w14:textId="77777777" w:rsidR="00734F72" w:rsidRPr="00734F72" w:rsidRDefault="00734F72" w:rsidP="00734F72">
            <w:pPr>
              <w:pStyle w:val="NoSpacing"/>
              <w:rPr>
                <w:rFonts w:cstheme="minorHAnsi"/>
              </w:rPr>
            </w:pPr>
          </w:p>
        </w:tc>
        <w:tc>
          <w:tcPr>
            <w:tcW w:w="0" w:type="auto"/>
          </w:tcPr>
          <w:p w14:paraId="3956E582" w14:textId="77777777" w:rsidR="00734F72" w:rsidRPr="00734F72" w:rsidRDefault="00734F72" w:rsidP="00734F72">
            <w:pPr>
              <w:pStyle w:val="NoSpacing"/>
              <w:rPr>
                <w:rFonts w:cstheme="minorHAnsi"/>
              </w:rPr>
            </w:pPr>
          </w:p>
        </w:tc>
        <w:tc>
          <w:tcPr>
            <w:tcW w:w="0" w:type="auto"/>
          </w:tcPr>
          <w:p w14:paraId="55AF859D" w14:textId="77777777" w:rsidR="00734F72" w:rsidRPr="00734F72" w:rsidRDefault="00734F72" w:rsidP="00734F72">
            <w:pPr>
              <w:pStyle w:val="NoSpacing"/>
              <w:rPr>
                <w:rFonts w:cstheme="minorHAnsi"/>
              </w:rPr>
            </w:pPr>
            <w:r w:rsidRPr="00734F72">
              <w:rPr>
                <w:rFonts w:cstheme="minorHAnsi"/>
              </w:rPr>
              <w:t>—</w:t>
            </w:r>
          </w:p>
        </w:tc>
        <w:tc>
          <w:tcPr>
            <w:tcW w:w="0" w:type="auto"/>
          </w:tcPr>
          <w:p w14:paraId="49A5CCA0" w14:textId="77777777" w:rsidR="00734F72" w:rsidRPr="00734F72" w:rsidRDefault="00734F72" w:rsidP="00734F72">
            <w:pPr>
              <w:pStyle w:val="NoSpacing"/>
              <w:rPr>
                <w:rFonts w:cstheme="minorHAnsi"/>
                <w:w w:val="110"/>
                <w:vertAlign w:val="superscript"/>
              </w:rPr>
            </w:pPr>
            <w:r w:rsidRPr="00734F72">
              <w:rPr>
                <w:rFonts w:cstheme="minorHAnsi"/>
                <w:w w:val="110"/>
              </w:rPr>
              <w:t>.26</w:t>
            </w:r>
            <w:r w:rsidRPr="00734F72">
              <w:rPr>
                <w:rFonts w:cstheme="minorHAnsi"/>
                <w:w w:val="110"/>
                <w:vertAlign w:val="superscript"/>
              </w:rPr>
              <w:t>**</w:t>
            </w:r>
          </w:p>
        </w:tc>
        <w:tc>
          <w:tcPr>
            <w:tcW w:w="0" w:type="auto"/>
          </w:tcPr>
          <w:p w14:paraId="78A7E1E0" w14:textId="77777777" w:rsidR="00734F72" w:rsidRPr="00734F72" w:rsidRDefault="00734F72" w:rsidP="00734F72">
            <w:pPr>
              <w:pStyle w:val="NoSpacing"/>
              <w:rPr>
                <w:rFonts w:cstheme="minorHAnsi"/>
                <w:w w:val="124"/>
                <w:vertAlign w:val="superscript"/>
              </w:rPr>
            </w:pPr>
            <w:r w:rsidRPr="00734F72">
              <w:rPr>
                <w:rFonts w:cstheme="minorHAnsi"/>
              </w:rPr>
              <w:t>.54</w:t>
            </w:r>
            <w:r w:rsidRPr="00734F72">
              <w:rPr>
                <w:rFonts w:cstheme="minorHAnsi"/>
                <w:w w:val="124"/>
                <w:vertAlign w:val="superscript"/>
              </w:rPr>
              <w:t>**</w:t>
            </w:r>
          </w:p>
        </w:tc>
      </w:tr>
      <w:tr w:rsidR="00734F72" w:rsidRPr="00734F72" w14:paraId="773283D1" w14:textId="77777777" w:rsidTr="00622721">
        <w:trPr>
          <w:trHeight w:val="190"/>
        </w:trPr>
        <w:tc>
          <w:tcPr>
            <w:tcW w:w="0" w:type="auto"/>
          </w:tcPr>
          <w:p w14:paraId="6E6C8D83" w14:textId="77777777" w:rsidR="00734F72" w:rsidRPr="00734F72" w:rsidRDefault="00734F72" w:rsidP="00734F72">
            <w:pPr>
              <w:pStyle w:val="NoSpacing"/>
              <w:rPr>
                <w:rFonts w:cstheme="minorHAnsi"/>
              </w:rPr>
            </w:pPr>
            <w:r w:rsidRPr="00734F72">
              <w:rPr>
                <w:rFonts w:cstheme="minorHAnsi"/>
              </w:rPr>
              <w:t>4. Expressive suppression</w:t>
            </w:r>
          </w:p>
        </w:tc>
        <w:tc>
          <w:tcPr>
            <w:tcW w:w="0" w:type="auto"/>
          </w:tcPr>
          <w:p w14:paraId="557DBD0B" w14:textId="77777777" w:rsidR="00734F72" w:rsidRPr="00734F72" w:rsidRDefault="00734F72" w:rsidP="00734F72">
            <w:pPr>
              <w:pStyle w:val="NoSpacing"/>
              <w:rPr>
                <w:rFonts w:cstheme="minorHAnsi"/>
              </w:rPr>
            </w:pPr>
          </w:p>
        </w:tc>
        <w:tc>
          <w:tcPr>
            <w:tcW w:w="0" w:type="auto"/>
          </w:tcPr>
          <w:p w14:paraId="53CA42E9" w14:textId="77777777" w:rsidR="00734F72" w:rsidRPr="00734F72" w:rsidRDefault="00734F72" w:rsidP="00734F72">
            <w:pPr>
              <w:pStyle w:val="NoSpacing"/>
              <w:rPr>
                <w:rFonts w:cstheme="minorHAnsi"/>
              </w:rPr>
            </w:pPr>
          </w:p>
        </w:tc>
        <w:tc>
          <w:tcPr>
            <w:tcW w:w="0" w:type="auto"/>
          </w:tcPr>
          <w:p w14:paraId="1175BE69" w14:textId="77777777" w:rsidR="00734F72" w:rsidRPr="00734F72" w:rsidRDefault="00734F72" w:rsidP="00734F72">
            <w:pPr>
              <w:pStyle w:val="NoSpacing"/>
              <w:rPr>
                <w:rFonts w:cstheme="minorHAnsi"/>
              </w:rPr>
            </w:pPr>
          </w:p>
        </w:tc>
        <w:tc>
          <w:tcPr>
            <w:tcW w:w="0" w:type="auto"/>
          </w:tcPr>
          <w:p w14:paraId="6D168CD8" w14:textId="77777777" w:rsidR="00734F72" w:rsidRPr="00734F72" w:rsidRDefault="00734F72" w:rsidP="00734F72">
            <w:pPr>
              <w:pStyle w:val="NoSpacing"/>
              <w:rPr>
                <w:rFonts w:cstheme="minorHAnsi"/>
              </w:rPr>
            </w:pPr>
            <w:r w:rsidRPr="00734F72">
              <w:rPr>
                <w:rFonts w:cstheme="minorHAnsi"/>
              </w:rPr>
              <w:t>—</w:t>
            </w:r>
          </w:p>
        </w:tc>
        <w:tc>
          <w:tcPr>
            <w:tcW w:w="0" w:type="auto"/>
          </w:tcPr>
          <w:p w14:paraId="15263E58" w14:textId="77777777" w:rsidR="00734F72" w:rsidRPr="00734F72" w:rsidRDefault="00734F72" w:rsidP="00734F72">
            <w:pPr>
              <w:pStyle w:val="NoSpacing"/>
              <w:rPr>
                <w:rFonts w:cstheme="minorHAnsi"/>
                <w:w w:val="124"/>
                <w:vertAlign w:val="superscript"/>
              </w:rPr>
            </w:pPr>
            <w:r w:rsidRPr="00734F72">
              <w:rPr>
                <w:rFonts w:cstheme="minorHAnsi"/>
              </w:rPr>
              <w:t>.33</w:t>
            </w:r>
            <w:r w:rsidRPr="00734F72">
              <w:rPr>
                <w:rFonts w:cstheme="minorHAnsi"/>
                <w:w w:val="124"/>
                <w:vertAlign w:val="superscript"/>
              </w:rPr>
              <w:t>**</w:t>
            </w:r>
          </w:p>
        </w:tc>
      </w:tr>
      <w:tr w:rsidR="00734F72" w:rsidRPr="00734F72" w14:paraId="70F74C93" w14:textId="77777777" w:rsidTr="00622721">
        <w:trPr>
          <w:trHeight w:val="190"/>
        </w:trPr>
        <w:tc>
          <w:tcPr>
            <w:tcW w:w="0" w:type="auto"/>
          </w:tcPr>
          <w:p w14:paraId="67F7DE90" w14:textId="77777777" w:rsidR="00734F72" w:rsidRPr="00734F72" w:rsidRDefault="00734F72" w:rsidP="00734F72">
            <w:pPr>
              <w:pStyle w:val="NoSpacing"/>
              <w:rPr>
                <w:rFonts w:cstheme="minorHAnsi"/>
              </w:rPr>
            </w:pPr>
            <w:r w:rsidRPr="00734F72">
              <w:rPr>
                <w:rFonts w:cstheme="minorHAnsi"/>
              </w:rPr>
              <w:t>5. Depression symptoms</w:t>
            </w:r>
          </w:p>
        </w:tc>
        <w:tc>
          <w:tcPr>
            <w:tcW w:w="0" w:type="auto"/>
          </w:tcPr>
          <w:p w14:paraId="2B221B0C" w14:textId="77777777" w:rsidR="00734F72" w:rsidRPr="00734F72" w:rsidRDefault="00734F72" w:rsidP="00734F72">
            <w:pPr>
              <w:pStyle w:val="NoSpacing"/>
              <w:rPr>
                <w:rFonts w:cstheme="minorHAnsi"/>
              </w:rPr>
            </w:pPr>
          </w:p>
        </w:tc>
        <w:tc>
          <w:tcPr>
            <w:tcW w:w="0" w:type="auto"/>
          </w:tcPr>
          <w:p w14:paraId="567461F1" w14:textId="77777777" w:rsidR="00734F72" w:rsidRPr="00734F72" w:rsidRDefault="00734F72" w:rsidP="00734F72">
            <w:pPr>
              <w:pStyle w:val="NoSpacing"/>
              <w:rPr>
                <w:rFonts w:cstheme="minorHAnsi"/>
              </w:rPr>
            </w:pPr>
          </w:p>
        </w:tc>
        <w:tc>
          <w:tcPr>
            <w:tcW w:w="0" w:type="auto"/>
          </w:tcPr>
          <w:p w14:paraId="49DE3870" w14:textId="77777777" w:rsidR="00734F72" w:rsidRPr="00734F72" w:rsidRDefault="00734F72" w:rsidP="00734F72">
            <w:pPr>
              <w:pStyle w:val="NoSpacing"/>
              <w:rPr>
                <w:rFonts w:cstheme="minorHAnsi"/>
              </w:rPr>
            </w:pPr>
          </w:p>
        </w:tc>
        <w:tc>
          <w:tcPr>
            <w:tcW w:w="0" w:type="auto"/>
          </w:tcPr>
          <w:p w14:paraId="6D27EB04" w14:textId="77777777" w:rsidR="00734F72" w:rsidRPr="00734F72" w:rsidRDefault="00734F72" w:rsidP="00734F72">
            <w:pPr>
              <w:pStyle w:val="NoSpacing"/>
              <w:rPr>
                <w:rFonts w:cstheme="minorHAnsi"/>
              </w:rPr>
            </w:pPr>
          </w:p>
        </w:tc>
        <w:tc>
          <w:tcPr>
            <w:tcW w:w="0" w:type="auto"/>
          </w:tcPr>
          <w:p w14:paraId="2F6FD97D" w14:textId="77777777" w:rsidR="00734F72" w:rsidRPr="00734F72" w:rsidRDefault="00734F72" w:rsidP="00734F72">
            <w:pPr>
              <w:pStyle w:val="NoSpacing"/>
              <w:rPr>
                <w:rFonts w:cstheme="minorHAnsi"/>
              </w:rPr>
            </w:pPr>
            <w:r w:rsidRPr="00734F72">
              <w:rPr>
                <w:rFonts w:cstheme="minorHAnsi"/>
              </w:rPr>
              <w:t>—</w:t>
            </w:r>
          </w:p>
        </w:tc>
      </w:tr>
      <w:tr w:rsidR="00734F72" w:rsidRPr="00734F72" w14:paraId="4C92ACEB" w14:textId="77777777" w:rsidTr="00622721">
        <w:trPr>
          <w:trHeight w:val="190"/>
        </w:trPr>
        <w:tc>
          <w:tcPr>
            <w:tcW w:w="0" w:type="auto"/>
          </w:tcPr>
          <w:p w14:paraId="5A419E22" w14:textId="77777777" w:rsidR="00734F72" w:rsidRPr="00734F72" w:rsidRDefault="00734F72" w:rsidP="00734F72">
            <w:pPr>
              <w:pStyle w:val="NoSpacing"/>
              <w:rPr>
                <w:rFonts w:cstheme="minorHAnsi"/>
                <w:i/>
                <w:iCs/>
                <w:w w:val="99"/>
              </w:rPr>
            </w:pPr>
            <w:r w:rsidRPr="00734F72">
              <w:rPr>
                <w:rFonts w:cstheme="minorHAnsi"/>
                <w:i/>
                <w:iCs/>
                <w:w w:val="99"/>
              </w:rPr>
              <w:t>M</w:t>
            </w:r>
          </w:p>
        </w:tc>
        <w:tc>
          <w:tcPr>
            <w:tcW w:w="0" w:type="auto"/>
          </w:tcPr>
          <w:p w14:paraId="225C6C93" w14:textId="77777777" w:rsidR="00734F72" w:rsidRPr="00734F72" w:rsidRDefault="00734F72" w:rsidP="00734F72">
            <w:pPr>
              <w:pStyle w:val="NoSpacing"/>
              <w:rPr>
                <w:rFonts w:cstheme="minorHAnsi"/>
              </w:rPr>
            </w:pPr>
            <w:r w:rsidRPr="00734F72">
              <w:rPr>
                <w:rFonts w:cstheme="minorHAnsi"/>
              </w:rPr>
              <w:t>1.87</w:t>
            </w:r>
          </w:p>
        </w:tc>
        <w:tc>
          <w:tcPr>
            <w:tcW w:w="0" w:type="auto"/>
          </w:tcPr>
          <w:p w14:paraId="4EBDFE4C" w14:textId="77777777" w:rsidR="00734F72" w:rsidRPr="00734F72" w:rsidRDefault="00734F72" w:rsidP="00734F72">
            <w:pPr>
              <w:pStyle w:val="NoSpacing"/>
              <w:rPr>
                <w:rFonts w:cstheme="minorHAnsi"/>
              </w:rPr>
            </w:pPr>
            <w:r w:rsidRPr="00734F72">
              <w:rPr>
                <w:rFonts w:cstheme="minorHAnsi"/>
              </w:rPr>
              <w:t>2.18</w:t>
            </w:r>
          </w:p>
        </w:tc>
        <w:tc>
          <w:tcPr>
            <w:tcW w:w="0" w:type="auto"/>
          </w:tcPr>
          <w:p w14:paraId="69D17A9B" w14:textId="77777777" w:rsidR="00734F72" w:rsidRPr="00734F72" w:rsidRDefault="00734F72" w:rsidP="00734F72">
            <w:pPr>
              <w:pStyle w:val="NoSpacing"/>
              <w:rPr>
                <w:rFonts w:cstheme="minorHAnsi"/>
              </w:rPr>
            </w:pPr>
            <w:r w:rsidRPr="00734F72">
              <w:rPr>
                <w:rFonts w:cstheme="minorHAnsi"/>
              </w:rPr>
              <w:t>21.85</w:t>
            </w:r>
          </w:p>
        </w:tc>
        <w:tc>
          <w:tcPr>
            <w:tcW w:w="0" w:type="auto"/>
          </w:tcPr>
          <w:p w14:paraId="245973B6" w14:textId="77777777" w:rsidR="00734F72" w:rsidRPr="00734F72" w:rsidRDefault="00734F72" w:rsidP="00734F72">
            <w:pPr>
              <w:pStyle w:val="NoSpacing"/>
              <w:rPr>
                <w:rFonts w:cstheme="minorHAnsi"/>
              </w:rPr>
            </w:pPr>
            <w:r w:rsidRPr="00734F72">
              <w:rPr>
                <w:rFonts w:cstheme="minorHAnsi"/>
              </w:rPr>
              <w:t>3.75</w:t>
            </w:r>
          </w:p>
        </w:tc>
        <w:tc>
          <w:tcPr>
            <w:tcW w:w="0" w:type="auto"/>
          </w:tcPr>
          <w:p w14:paraId="16B8DA12" w14:textId="77777777" w:rsidR="00734F72" w:rsidRPr="00734F72" w:rsidRDefault="00734F72" w:rsidP="00734F72">
            <w:pPr>
              <w:pStyle w:val="NoSpacing"/>
              <w:rPr>
                <w:rFonts w:cstheme="minorHAnsi"/>
              </w:rPr>
            </w:pPr>
            <w:r w:rsidRPr="00734F72">
              <w:rPr>
                <w:rFonts w:cstheme="minorHAnsi"/>
              </w:rPr>
              <w:t>9.03</w:t>
            </w:r>
          </w:p>
        </w:tc>
      </w:tr>
      <w:tr w:rsidR="00734F72" w:rsidRPr="00734F72" w14:paraId="2F822B10" w14:textId="77777777" w:rsidTr="00622721">
        <w:trPr>
          <w:trHeight w:val="184"/>
        </w:trPr>
        <w:tc>
          <w:tcPr>
            <w:tcW w:w="0" w:type="auto"/>
          </w:tcPr>
          <w:p w14:paraId="32009F0B" w14:textId="77777777" w:rsidR="00734F72" w:rsidRPr="00734F72" w:rsidRDefault="00734F72" w:rsidP="00734F72">
            <w:pPr>
              <w:pStyle w:val="NoSpacing"/>
              <w:rPr>
                <w:rFonts w:cstheme="minorHAnsi"/>
                <w:i/>
                <w:iCs/>
              </w:rPr>
            </w:pPr>
            <w:r w:rsidRPr="00734F72">
              <w:rPr>
                <w:rFonts w:cstheme="minorHAnsi"/>
                <w:i/>
                <w:iCs/>
              </w:rPr>
              <w:t>SD</w:t>
            </w:r>
          </w:p>
        </w:tc>
        <w:tc>
          <w:tcPr>
            <w:tcW w:w="0" w:type="auto"/>
          </w:tcPr>
          <w:p w14:paraId="5CE24382" w14:textId="77777777" w:rsidR="00734F72" w:rsidRPr="00734F72" w:rsidRDefault="00734F72" w:rsidP="00734F72">
            <w:pPr>
              <w:pStyle w:val="NoSpacing"/>
              <w:rPr>
                <w:rFonts w:cstheme="minorHAnsi"/>
              </w:rPr>
            </w:pPr>
            <w:r w:rsidRPr="00734F72">
              <w:rPr>
                <w:rFonts w:cstheme="minorHAnsi"/>
              </w:rPr>
              <w:t>.70</w:t>
            </w:r>
          </w:p>
        </w:tc>
        <w:tc>
          <w:tcPr>
            <w:tcW w:w="0" w:type="auto"/>
          </w:tcPr>
          <w:p w14:paraId="6F44BC3F" w14:textId="77777777" w:rsidR="00734F72" w:rsidRPr="00734F72" w:rsidRDefault="00734F72" w:rsidP="00734F72">
            <w:pPr>
              <w:pStyle w:val="NoSpacing"/>
              <w:rPr>
                <w:rFonts w:cstheme="minorHAnsi"/>
              </w:rPr>
            </w:pPr>
            <w:r w:rsidRPr="00734F72">
              <w:rPr>
                <w:rFonts w:cstheme="minorHAnsi"/>
              </w:rPr>
              <w:t>.94</w:t>
            </w:r>
          </w:p>
        </w:tc>
        <w:tc>
          <w:tcPr>
            <w:tcW w:w="0" w:type="auto"/>
          </w:tcPr>
          <w:p w14:paraId="3AF6BDEA" w14:textId="77777777" w:rsidR="00734F72" w:rsidRPr="00734F72" w:rsidRDefault="00734F72" w:rsidP="00734F72">
            <w:pPr>
              <w:pStyle w:val="NoSpacing"/>
              <w:rPr>
                <w:rFonts w:cstheme="minorHAnsi"/>
              </w:rPr>
            </w:pPr>
            <w:r w:rsidRPr="00734F72">
              <w:rPr>
                <w:rFonts w:cstheme="minorHAnsi"/>
              </w:rPr>
              <w:t>16.03</w:t>
            </w:r>
          </w:p>
        </w:tc>
        <w:tc>
          <w:tcPr>
            <w:tcW w:w="0" w:type="auto"/>
          </w:tcPr>
          <w:p w14:paraId="26E08BC2" w14:textId="77777777" w:rsidR="00734F72" w:rsidRPr="00734F72" w:rsidRDefault="00734F72" w:rsidP="00734F72">
            <w:pPr>
              <w:pStyle w:val="NoSpacing"/>
              <w:rPr>
                <w:rFonts w:cstheme="minorHAnsi"/>
              </w:rPr>
            </w:pPr>
            <w:r w:rsidRPr="00734F72">
              <w:rPr>
                <w:rFonts w:cstheme="minorHAnsi"/>
              </w:rPr>
              <w:t>1.38</w:t>
            </w:r>
          </w:p>
        </w:tc>
        <w:tc>
          <w:tcPr>
            <w:tcW w:w="0" w:type="auto"/>
          </w:tcPr>
          <w:p w14:paraId="0F5E4B79" w14:textId="77777777" w:rsidR="00734F72" w:rsidRPr="00734F72" w:rsidRDefault="00734F72" w:rsidP="00734F72">
            <w:pPr>
              <w:pStyle w:val="NoSpacing"/>
              <w:rPr>
                <w:rFonts w:cstheme="minorHAnsi"/>
              </w:rPr>
            </w:pPr>
            <w:r w:rsidRPr="00734F72">
              <w:rPr>
                <w:rFonts w:cstheme="minorHAnsi"/>
              </w:rPr>
              <w:t>5.91</w:t>
            </w:r>
          </w:p>
        </w:tc>
      </w:tr>
    </w:tbl>
    <w:p w14:paraId="5CEF20EE" w14:textId="70DF68E2" w:rsidR="00802C23" w:rsidRPr="00D340F4" w:rsidRDefault="00802C23" w:rsidP="00D340F4">
      <w:pPr>
        <w:pStyle w:val="NoSpacing"/>
        <w:rPr>
          <w:i/>
          <w:iCs/>
        </w:rPr>
      </w:pPr>
      <w:bookmarkStart w:id="6" w:name="Brief_Center_for_Epidemiologic_Studies—D"/>
      <w:bookmarkStart w:id="7" w:name="Data_Analytic_Plan"/>
      <w:bookmarkStart w:id="8" w:name="Results"/>
      <w:bookmarkStart w:id="9" w:name="Preliminary_Analyses"/>
      <w:bookmarkEnd w:id="6"/>
      <w:bookmarkEnd w:id="7"/>
      <w:bookmarkEnd w:id="8"/>
      <w:bookmarkEnd w:id="9"/>
      <w:r w:rsidRPr="00D340F4">
        <w:rPr>
          <w:i/>
          <w:iCs/>
        </w:rPr>
        <w:t>*p&lt;.05</w:t>
      </w:r>
      <w:r w:rsidR="00D340F4" w:rsidRPr="00D340F4">
        <w:rPr>
          <w:i/>
          <w:iCs/>
        </w:rPr>
        <w:t xml:space="preserve">. </w:t>
      </w:r>
      <w:r w:rsidRPr="00D340F4">
        <w:rPr>
          <w:i/>
          <w:iCs/>
        </w:rPr>
        <w:t>**</w:t>
      </w:r>
      <w:r w:rsidR="00D340F4" w:rsidRPr="00D340F4">
        <w:rPr>
          <w:i/>
          <w:iCs/>
        </w:rPr>
        <w:t>p&lt;.01.</w:t>
      </w:r>
    </w:p>
    <w:p w14:paraId="2FBAD0F1" w14:textId="77777777" w:rsidR="00734F72" w:rsidRPr="00734F72" w:rsidRDefault="00734F72" w:rsidP="00734F72">
      <w:pPr>
        <w:kinsoku w:val="0"/>
        <w:overflowPunct w:val="0"/>
        <w:autoSpaceDE w:val="0"/>
        <w:autoSpaceDN w:val="0"/>
        <w:adjustRightInd w:val="0"/>
        <w:spacing w:after="0" w:line="240" w:lineRule="auto"/>
        <w:rPr>
          <w:rFonts w:ascii="Times New Roman" w:hAnsi="Times New Roman" w:cs="Times New Roman"/>
          <w:sz w:val="24"/>
          <w:szCs w:val="24"/>
        </w:rPr>
      </w:pPr>
    </w:p>
    <w:p w14:paraId="5E9C1D2F" w14:textId="77777777" w:rsidR="00430A13" w:rsidRPr="00430A13" w:rsidRDefault="00430A13" w:rsidP="00430A13">
      <w:pPr>
        <w:rPr>
          <w:rFonts w:cstheme="minorHAnsi"/>
          <w:sz w:val="24"/>
          <w:szCs w:val="24"/>
        </w:rPr>
      </w:pPr>
      <w:r w:rsidRPr="00430A13">
        <w:rPr>
          <w:rFonts w:cstheme="minorHAnsi"/>
          <w:sz w:val="24"/>
          <w:szCs w:val="24"/>
        </w:rPr>
        <w:t>There were minimal differences between the samples recruited from community events and Mechanical Turk. As an exception, those that completed the survey on Mechanical Turk (</w:t>
      </w:r>
      <w:r w:rsidRPr="00430A13">
        <w:rPr>
          <w:rFonts w:cstheme="minorHAnsi"/>
          <w:i/>
          <w:iCs/>
          <w:sz w:val="24"/>
          <w:szCs w:val="24"/>
        </w:rPr>
        <w:t>M</w:t>
      </w:r>
      <w:r w:rsidRPr="00430A13">
        <w:rPr>
          <w:rFonts w:cstheme="minorHAnsi"/>
          <w:sz w:val="24"/>
          <w:szCs w:val="24"/>
        </w:rPr>
        <w:t xml:space="preserve"> = 2.34, </w:t>
      </w:r>
      <w:r w:rsidRPr="00430A13">
        <w:rPr>
          <w:rFonts w:cstheme="minorHAnsi"/>
          <w:i/>
          <w:iCs/>
          <w:sz w:val="24"/>
          <w:szCs w:val="24"/>
        </w:rPr>
        <w:t>SD</w:t>
      </w:r>
      <w:r w:rsidRPr="00430A13">
        <w:rPr>
          <w:rFonts w:cstheme="minorHAnsi"/>
          <w:sz w:val="24"/>
          <w:szCs w:val="24"/>
        </w:rPr>
        <w:t xml:space="preserve"> = .91) reported more sexist events than those that completed the survey at a community event (</w:t>
      </w:r>
      <w:r w:rsidRPr="00430A13">
        <w:rPr>
          <w:rFonts w:cstheme="minorHAnsi"/>
          <w:i/>
          <w:iCs/>
          <w:sz w:val="24"/>
          <w:szCs w:val="24"/>
        </w:rPr>
        <w:t>M</w:t>
      </w:r>
      <w:r w:rsidRPr="00430A13">
        <w:rPr>
          <w:rFonts w:cstheme="minorHAnsi"/>
          <w:sz w:val="24"/>
          <w:szCs w:val="24"/>
        </w:rPr>
        <w:t xml:space="preserve"> = 2.06, </w:t>
      </w:r>
      <w:r w:rsidRPr="00430A13">
        <w:rPr>
          <w:rFonts w:cstheme="minorHAnsi"/>
          <w:i/>
          <w:iCs/>
          <w:sz w:val="24"/>
          <w:szCs w:val="24"/>
        </w:rPr>
        <w:t>SD</w:t>
      </w:r>
      <w:r w:rsidRPr="00430A13">
        <w:rPr>
          <w:rFonts w:cstheme="minorHAnsi"/>
          <w:sz w:val="24"/>
          <w:szCs w:val="24"/>
        </w:rPr>
        <w:t xml:space="preserve"> = .95), </w:t>
      </w:r>
      <w:proofErr w:type="gramStart"/>
      <w:r w:rsidRPr="00430A13">
        <w:rPr>
          <w:rFonts w:cstheme="minorHAnsi"/>
          <w:i/>
          <w:iCs/>
          <w:sz w:val="24"/>
          <w:szCs w:val="24"/>
        </w:rPr>
        <w:t>t</w:t>
      </w:r>
      <w:r w:rsidRPr="00430A13">
        <w:rPr>
          <w:rFonts w:cstheme="minorHAnsi"/>
          <w:sz w:val="24"/>
          <w:szCs w:val="24"/>
        </w:rPr>
        <w:t>(</w:t>
      </w:r>
      <w:proofErr w:type="gramEnd"/>
      <w:r w:rsidRPr="00430A13">
        <w:rPr>
          <w:rFonts w:cstheme="minorHAnsi"/>
          <w:sz w:val="24"/>
          <w:szCs w:val="24"/>
        </w:rPr>
        <w:t xml:space="preserve">240) = −2.34, </w:t>
      </w:r>
      <w:r w:rsidRPr="00430A13">
        <w:rPr>
          <w:rFonts w:cstheme="minorHAnsi"/>
          <w:i/>
          <w:iCs/>
          <w:sz w:val="24"/>
          <w:szCs w:val="24"/>
        </w:rPr>
        <w:t>p</w:t>
      </w:r>
      <w:r w:rsidRPr="00430A13">
        <w:rPr>
          <w:rFonts w:cstheme="minorHAnsi"/>
          <w:sz w:val="24"/>
          <w:szCs w:val="24"/>
        </w:rPr>
        <w:t xml:space="preserve"> &lt; .05. The sample recruited from Mechanical Turk was significantly younger, more likely to be born in the United States, less likely to be Mexican, and less likely to be foreign born compared to the sample recruited from the community event.</w:t>
      </w:r>
    </w:p>
    <w:p w14:paraId="26187ED9" w14:textId="77777777" w:rsidR="00430A13" w:rsidRPr="00430A13" w:rsidRDefault="00430A13" w:rsidP="00430A13">
      <w:pPr>
        <w:rPr>
          <w:rFonts w:cstheme="minorHAnsi"/>
          <w:sz w:val="24"/>
          <w:szCs w:val="24"/>
        </w:rPr>
      </w:pPr>
      <w:r w:rsidRPr="00430A13">
        <w:rPr>
          <w:rFonts w:cstheme="minorHAnsi"/>
          <w:sz w:val="24"/>
          <w:szCs w:val="24"/>
        </w:rPr>
        <w:t xml:space="preserve">One-way analyses of variance were used to examine differences among low (less than $19,999), middle (between $20,000 and $49,999), and high (more than $50,000) income groups. Income was related to anxiety sensitivity and depression, </w:t>
      </w:r>
      <w:proofErr w:type="gramStart"/>
      <w:r w:rsidRPr="00430A13">
        <w:rPr>
          <w:rFonts w:cstheme="minorHAnsi"/>
          <w:i/>
          <w:iCs/>
          <w:sz w:val="24"/>
          <w:szCs w:val="24"/>
        </w:rPr>
        <w:t>F</w:t>
      </w:r>
      <w:r w:rsidRPr="00430A13">
        <w:rPr>
          <w:rFonts w:cstheme="minorHAnsi"/>
          <w:sz w:val="24"/>
          <w:szCs w:val="24"/>
        </w:rPr>
        <w:t>(</w:t>
      </w:r>
      <w:proofErr w:type="gramEnd"/>
      <w:r w:rsidRPr="00430A13">
        <w:rPr>
          <w:rFonts w:cstheme="minorHAnsi"/>
          <w:sz w:val="24"/>
          <w:szCs w:val="24"/>
        </w:rPr>
        <w:t xml:space="preserve">2, 238) = 5.81, </w:t>
      </w:r>
      <w:r w:rsidRPr="00430A13">
        <w:rPr>
          <w:rFonts w:cstheme="minorHAnsi"/>
          <w:i/>
          <w:iCs/>
          <w:sz w:val="24"/>
          <w:szCs w:val="24"/>
        </w:rPr>
        <w:t>p</w:t>
      </w:r>
      <w:r w:rsidRPr="00430A13">
        <w:rPr>
          <w:rFonts w:cstheme="minorHAnsi"/>
          <w:sz w:val="24"/>
          <w:szCs w:val="24"/>
        </w:rPr>
        <w:t xml:space="preserve"> = .003, and </w:t>
      </w:r>
      <w:r w:rsidRPr="00430A13">
        <w:rPr>
          <w:rFonts w:cstheme="minorHAnsi"/>
          <w:i/>
          <w:iCs/>
          <w:sz w:val="24"/>
          <w:szCs w:val="24"/>
        </w:rPr>
        <w:t>F</w:t>
      </w:r>
      <w:r w:rsidRPr="00430A13">
        <w:rPr>
          <w:rFonts w:cstheme="minorHAnsi"/>
          <w:sz w:val="24"/>
          <w:szCs w:val="24"/>
        </w:rPr>
        <w:t xml:space="preserve">(2, 236) = 9.14, </w:t>
      </w:r>
      <w:r w:rsidRPr="00430A13">
        <w:rPr>
          <w:rFonts w:cstheme="minorHAnsi"/>
          <w:i/>
          <w:iCs/>
          <w:sz w:val="24"/>
          <w:szCs w:val="24"/>
        </w:rPr>
        <w:t>p</w:t>
      </w:r>
      <w:r w:rsidRPr="00430A13">
        <w:rPr>
          <w:rFonts w:cstheme="minorHAnsi"/>
          <w:sz w:val="24"/>
          <w:szCs w:val="24"/>
        </w:rPr>
        <w:t xml:space="preserve"> &lt; .001, respectively. Participants from the </w:t>
      </w:r>
      <w:proofErr w:type="gramStart"/>
      <w:r w:rsidRPr="00430A13">
        <w:rPr>
          <w:rFonts w:cstheme="minorHAnsi"/>
          <w:sz w:val="24"/>
          <w:szCs w:val="24"/>
        </w:rPr>
        <w:t>low income</w:t>
      </w:r>
      <w:proofErr w:type="gramEnd"/>
      <w:r w:rsidRPr="00430A13">
        <w:rPr>
          <w:rFonts w:cstheme="minorHAnsi"/>
          <w:sz w:val="24"/>
          <w:szCs w:val="24"/>
        </w:rPr>
        <w:t xml:space="preserve"> bracket reported higher anxiety sensitivity (</w:t>
      </w:r>
      <w:r w:rsidRPr="00430A13">
        <w:rPr>
          <w:rFonts w:cstheme="minorHAnsi"/>
          <w:i/>
          <w:iCs/>
          <w:sz w:val="24"/>
          <w:szCs w:val="24"/>
        </w:rPr>
        <w:t>M</w:t>
      </w:r>
      <w:r w:rsidRPr="00430A13">
        <w:rPr>
          <w:rFonts w:cstheme="minorHAnsi"/>
          <w:sz w:val="24"/>
          <w:szCs w:val="24"/>
        </w:rPr>
        <w:t xml:space="preserve">ASI-3 = 29.05, </w:t>
      </w:r>
      <w:r w:rsidRPr="00430A13">
        <w:rPr>
          <w:rFonts w:cstheme="minorHAnsi"/>
          <w:i/>
          <w:iCs/>
          <w:sz w:val="24"/>
          <w:szCs w:val="24"/>
        </w:rPr>
        <w:t>SD</w:t>
      </w:r>
      <w:r w:rsidRPr="00430A13">
        <w:rPr>
          <w:rFonts w:cstheme="minorHAnsi"/>
          <w:sz w:val="24"/>
          <w:szCs w:val="24"/>
        </w:rPr>
        <w:t>ASI-3 = 16.79) and depression (</w:t>
      </w:r>
      <w:r w:rsidRPr="00430A13">
        <w:rPr>
          <w:rFonts w:cstheme="minorHAnsi"/>
          <w:i/>
          <w:iCs/>
          <w:sz w:val="24"/>
          <w:szCs w:val="24"/>
        </w:rPr>
        <w:t>M</w:t>
      </w:r>
      <w:r w:rsidRPr="00430A13">
        <w:rPr>
          <w:rFonts w:cstheme="minorHAnsi"/>
          <w:sz w:val="24"/>
          <w:szCs w:val="24"/>
        </w:rPr>
        <w:t xml:space="preserve">BCES-D = 12.29, </w:t>
      </w:r>
      <w:r w:rsidRPr="00430A13">
        <w:rPr>
          <w:rFonts w:cstheme="minorHAnsi"/>
          <w:i/>
          <w:iCs/>
          <w:sz w:val="24"/>
          <w:szCs w:val="24"/>
        </w:rPr>
        <w:t>SD</w:t>
      </w:r>
      <w:r w:rsidRPr="00430A13">
        <w:rPr>
          <w:rFonts w:cstheme="minorHAnsi"/>
          <w:sz w:val="24"/>
          <w:szCs w:val="24"/>
        </w:rPr>
        <w:t>BCES-D = 6.60) than individuals from the middle (</w:t>
      </w:r>
      <w:r w:rsidRPr="00430A13">
        <w:rPr>
          <w:rFonts w:cstheme="minorHAnsi"/>
          <w:i/>
          <w:iCs/>
          <w:sz w:val="24"/>
          <w:szCs w:val="24"/>
        </w:rPr>
        <w:t>M</w:t>
      </w:r>
      <w:r w:rsidRPr="00430A13">
        <w:rPr>
          <w:rFonts w:cstheme="minorHAnsi"/>
          <w:sz w:val="24"/>
          <w:szCs w:val="24"/>
        </w:rPr>
        <w:t xml:space="preserve">ASI-3 = 21.94, </w:t>
      </w:r>
      <w:r w:rsidRPr="00430A13">
        <w:rPr>
          <w:rFonts w:cstheme="minorHAnsi"/>
          <w:i/>
          <w:iCs/>
          <w:sz w:val="24"/>
          <w:szCs w:val="24"/>
        </w:rPr>
        <w:t>SD</w:t>
      </w:r>
      <w:r w:rsidRPr="00430A13">
        <w:rPr>
          <w:rFonts w:cstheme="minorHAnsi"/>
          <w:sz w:val="24"/>
          <w:szCs w:val="24"/>
        </w:rPr>
        <w:t xml:space="preserve">ASI-3 = 16.58; </w:t>
      </w:r>
      <w:r w:rsidRPr="00430A13">
        <w:rPr>
          <w:rFonts w:cstheme="minorHAnsi"/>
          <w:i/>
          <w:iCs/>
          <w:sz w:val="24"/>
          <w:szCs w:val="24"/>
        </w:rPr>
        <w:t>M</w:t>
      </w:r>
      <w:r w:rsidRPr="00430A13">
        <w:rPr>
          <w:rFonts w:cstheme="minorHAnsi"/>
          <w:sz w:val="24"/>
          <w:szCs w:val="24"/>
        </w:rPr>
        <w:t xml:space="preserve">BCES-D = 8.97, </w:t>
      </w:r>
      <w:r w:rsidRPr="00430A13">
        <w:rPr>
          <w:rFonts w:cstheme="minorHAnsi"/>
          <w:i/>
          <w:iCs/>
          <w:sz w:val="24"/>
          <w:szCs w:val="24"/>
        </w:rPr>
        <w:t>SD</w:t>
      </w:r>
      <w:r w:rsidRPr="00430A13">
        <w:rPr>
          <w:rFonts w:cstheme="minorHAnsi"/>
          <w:sz w:val="24"/>
          <w:szCs w:val="24"/>
        </w:rPr>
        <w:t>BCES-D = 5.44) and high income brackets (</w:t>
      </w:r>
      <w:r w:rsidRPr="00430A13">
        <w:rPr>
          <w:rFonts w:cstheme="minorHAnsi"/>
          <w:i/>
          <w:iCs/>
          <w:sz w:val="24"/>
          <w:szCs w:val="24"/>
        </w:rPr>
        <w:t>M</w:t>
      </w:r>
      <w:r w:rsidRPr="00430A13">
        <w:rPr>
          <w:rFonts w:cstheme="minorHAnsi"/>
          <w:sz w:val="24"/>
          <w:szCs w:val="24"/>
        </w:rPr>
        <w:t xml:space="preserve">ASI-3 = 18.79, </w:t>
      </w:r>
      <w:r w:rsidRPr="00430A13">
        <w:rPr>
          <w:rFonts w:cstheme="minorHAnsi"/>
          <w:i/>
          <w:iCs/>
          <w:sz w:val="24"/>
          <w:szCs w:val="24"/>
        </w:rPr>
        <w:t>SD</w:t>
      </w:r>
      <w:r w:rsidRPr="00430A13">
        <w:rPr>
          <w:rFonts w:cstheme="minorHAnsi"/>
          <w:sz w:val="24"/>
          <w:szCs w:val="24"/>
        </w:rPr>
        <w:t xml:space="preserve">ASI-3 = 13.99; </w:t>
      </w:r>
      <w:r w:rsidRPr="00430A13">
        <w:rPr>
          <w:rFonts w:cstheme="minorHAnsi"/>
          <w:i/>
          <w:iCs/>
          <w:sz w:val="24"/>
          <w:szCs w:val="24"/>
        </w:rPr>
        <w:t>M</w:t>
      </w:r>
      <w:r w:rsidRPr="00430A13">
        <w:rPr>
          <w:rFonts w:cstheme="minorHAnsi"/>
          <w:sz w:val="24"/>
          <w:szCs w:val="24"/>
        </w:rPr>
        <w:t xml:space="preserve">BCES-D = 7.62, </w:t>
      </w:r>
      <w:r w:rsidRPr="00430A13">
        <w:rPr>
          <w:rFonts w:cstheme="minorHAnsi"/>
          <w:i/>
          <w:iCs/>
          <w:sz w:val="24"/>
          <w:szCs w:val="24"/>
        </w:rPr>
        <w:t>SD</w:t>
      </w:r>
      <w:r w:rsidRPr="00430A13">
        <w:rPr>
          <w:rFonts w:cstheme="minorHAnsi"/>
          <w:sz w:val="24"/>
          <w:szCs w:val="24"/>
        </w:rPr>
        <w:t>BCES-D = 5.75). Due to the significant mean discrepancies, nativity status, language of survey, source of sample, and income were controlled in main analyses.</w:t>
      </w:r>
    </w:p>
    <w:p w14:paraId="14C71E74" w14:textId="77777777" w:rsidR="00430A13" w:rsidRPr="00430A13" w:rsidRDefault="00430A13" w:rsidP="00D340F4">
      <w:pPr>
        <w:pStyle w:val="Heading2"/>
      </w:pPr>
      <w:r w:rsidRPr="00430A13">
        <w:t>Main Analyses</w:t>
      </w:r>
    </w:p>
    <w:p w14:paraId="35E816E4" w14:textId="77777777" w:rsidR="00430A13" w:rsidRPr="00D340F4" w:rsidRDefault="00430A13" w:rsidP="00D340F4">
      <w:pPr>
        <w:pStyle w:val="Heading3"/>
        <w:rPr>
          <w:i/>
          <w:iCs/>
        </w:rPr>
      </w:pPr>
      <w:r w:rsidRPr="00D340F4">
        <w:rPr>
          <w:i/>
          <w:iCs/>
        </w:rPr>
        <w:t>Hypothesis 1</w:t>
      </w:r>
    </w:p>
    <w:p w14:paraId="23C2FEFF" w14:textId="339534C1" w:rsidR="00430A13" w:rsidRDefault="00430A13" w:rsidP="00D340F4">
      <w:pPr>
        <w:pStyle w:val="NoSpacing"/>
        <w:rPr>
          <w:sz w:val="24"/>
          <w:szCs w:val="24"/>
        </w:rPr>
      </w:pPr>
      <w:r w:rsidRPr="00430A13">
        <w:t>The first hypothesis examined whether ethnic discrimination would be positively related to depression symptoms via anxiety sensitivity and expressive suppression. The overall model was significant, R</w:t>
      </w:r>
      <w:r w:rsidRPr="00430A13">
        <w:rPr>
          <w:vertAlign w:val="superscript"/>
        </w:rPr>
        <w:t>2</w:t>
      </w:r>
      <w:r w:rsidRPr="00430A13">
        <w:t xml:space="preserve"> = .41, </w:t>
      </w:r>
      <w:proofErr w:type="gramStart"/>
      <w:r w:rsidRPr="00430A13">
        <w:t>F(</w:t>
      </w:r>
      <w:proofErr w:type="gramEnd"/>
      <w:r w:rsidRPr="00430A13">
        <w:t xml:space="preserve">7, 224), p &lt; .001 (see </w:t>
      </w:r>
      <w:r w:rsidRPr="0042250A">
        <w:rPr>
          <w:rFonts w:cstheme="minorHAnsi"/>
          <w:sz w:val="24"/>
          <w:szCs w:val="24"/>
        </w:rPr>
        <w:t>Table 2</w:t>
      </w:r>
      <w:r w:rsidRPr="00430A13">
        <w:t>). The estimated effect size of the total model was Cohen’s f</w:t>
      </w:r>
      <w:r w:rsidRPr="00430A13">
        <w:rPr>
          <w:vertAlign w:val="superscript"/>
        </w:rPr>
        <w:t>2</w:t>
      </w:r>
      <w:r w:rsidRPr="00430A13">
        <w:t xml:space="preserve"> = .69. Consistent with previous literature, the total effect of ethnic discrimination on depression was significant, meaning ethnic discrimination was directly related to higher depression symptoms, t = 5.60, p &lt; .001. Consistent with the proposed hypothesis, ethnic discrimination was related to higher anxiety sensitivity, t = 2.75, p &lt; .01, which was associated with increased depressive symptoms, t = 7.68, p &lt; .001. Similarly, ethnic discrimination was related to higher expressive suppression, t = 2.73, p = .01, which was related to increased depression symptoms, t = 3.06, p &lt; .01. In summary, Hypothesis 1 was supported. The total indirect effect of ethnic discrimination on depressive symptoms was statistically significant (effect = .90, 95% CI [.41, 1.48]). Specifically, analyses support that both expressive suppression (effect = .25, 95% CI [.07, .56]) and anxiety sensitivity (effect = .65, 95% CI [.21, 1.15]) were indirectly related to ethnic discrimination and depression symptoms. While the comparison model of indirect effects indicates that anxiety sensitivity had a greater effect than expressive suppression, the difference was not statistically significant (effect = .39, 95% CI [−.95, .13]).</w:t>
      </w:r>
      <w:r w:rsidRPr="00430A13">
        <w:br/>
      </w:r>
      <w:r w:rsidRPr="00430A13">
        <w:br/>
      </w:r>
      <w:r w:rsidR="00D340F4" w:rsidRPr="00D340F4">
        <w:rPr>
          <w:noProof/>
          <w:sz w:val="24"/>
          <w:szCs w:val="24"/>
        </w:rPr>
        <w:t xml:space="preserve">Table 2. </w:t>
      </w:r>
      <w:r w:rsidRPr="00D340F4">
        <w:rPr>
          <w:sz w:val="24"/>
          <w:szCs w:val="24"/>
        </w:rPr>
        <w:t>Model Summary of the Indirect Effect of Ethnic Discrimination on Depression through Anxiety Sensitivity and Expressive Suppression</w:t>
      </w:r>
    </w:p>
    <w:tbl>
      <w:tblPr>
        <w:tblStyle w:val="TableGrid"/>
        <w:tblW w:w="0" w:type="auto"/>
        <w:tblLook w:val="04A0" w:firstRow="1" w:lastRow="0" w:firstColumn="1" w:lastColumn="0" w:noHBand="0" w:noVBand="1"/>
      </w:tblPr>
      <w:tblGrid>
        <w:gridCol w:w="1772"/>
        <w:gridCol w:w="1443"/>
        <w:gridCol w:w="642"/>
        <w:gridCol w:w="520"/>
        <w:gridCol w:w="1692"/>
        <w:gridCol w:w="520"/>
        <w:gridCol w:w="640"/>
        <w:gridCol w:w="1559"/>
        <w:gridCol w:w="642"/>
        <w:gridCol w:w="640"/>
      </w:tblGrid>
      <w:tr w:rsidR="004E2689" w14:paraId="0168FA1E" w14:textId="77777777" w:rsidTr="001706A2">
        <w:tc>
          <w:tcPr>
            <w:tcW w:w="0" w:type="auto"/>
          </w:tcPr>
          <w:p w14:paraId="083FAD98" w14:textId="77777777" w:rsidR="0014643F" w:rsidRDefault="0014643F" w:rsidP="00D340F4">
            <w:pPr>
              <w:pStyle w:val="NoSpacing"/>
              <w:rPr>
                <w:sz w:val="24"/>
                <w:szCs w:val="24"/>
              </w:rPr>
            </w:pPr>
          </w:p>
        </w:tc>
        <w:tc>
          <w:tcPr>
            <w:tcW w:w="0" w:type="auto"/>
          </w:tcPr>
          <w:p w14:paraId="0DF365E8" w14:textId="7959338C" w:rsidR="0014643F" w:rsidRDefault="002C6A8D" w:rsidP="00D340F4">
            <w:pPr>
              <w:pStyle w:val="NoSpacing"/>
              <w:rPr>
                <w:sz w:val="24"/>
                <w:szCs w:val="24"/>
              </w:rPr>
            </w:pPr>
            <w:r>
              <w:rPr>
                <w:sz w:val="24"/>
                <w:szCs w:val="24"/>
              </w:rPr>
              <w:t>Outcome</w:t>
            </w:r>
          </w:p>
        </w:tc>
        <w:tc>
          <w:tcPr>
            <w:tcW w:w="0" w:type="auto"/>
          </w:tcPr>
          <w:p w14:paraId="4D9925E9" w14:textId="77777777" w:rsidR="0014643F" w:rsidRDefault="0014643F" w:rsidP="00D340F4">
            <w:pPr>
              <w:pStyle w:val="NoSpacing"/>
              <w:rPr>
                <w:sz w:val="24"/>
                <w:szCs w:val="24"/>
              </w:rPr>
            </w:pPr>
          </w:p>
        </w:tc>
        <w:tc>
          <w:tcPr>
            <w:tcW w:w="0" w:type="auto"/>
          </w:tcPr>
          <w:p w14:paraId="07503111" w14:textId="77777777" w:rsidR="0014643F" w:rsidRDefault="0014643F" w:rsidP="00D340F4">
            <w:pPr>
              <w:pStyle w:val="NoSpacing"/>
              <w:rPr>
                <w:sz w:val="24"/>
                <w:szCs w:val="24"/>
              </w:rPr>
            </w:pPr>
          </w:p>
        </w:tc>
        <w:tc>
          <w:tcPr>
            <w:tcW w:w="0" w:type="auto"/>
          </w:tcPr>
          <w:p w14:paraId="2A770F5A" w14:textId="77777777" w:rsidR="0014643F" w:rsidRDefault="0014643F" w:rsidP="00D340F4">
            <w:pPr>
              <w:pStyle w:val="NoSpacing"/>
              <w:rPr>
                <w:sz w:val="24"/>
                <w:szCs w:val="24"/>
              </w:rPr>
            </w:pPr>
          </w:p>
        </w:tc>
        <w:tc>
          <w:tcPr>
            <w:tcW w:w="0" w:type="auto"/>
          </w:tcPr>
          <w:p w14:paraId="3494AFAF" w14:textId="77777777" w:rsidR="0014643F" w:rsidRDefault="0014643F" w:rsidP="00D340F4">
            <w:pPr>
              <w:pStyle w:val="NoSpacing"/>
              <w:rPr>
                <w:sz w:val="24"/>
                <w:szCs w:val="24"/>
              </w:rPr>
            </w:pPr>
          </w:p>
        </w:tc>
        <w:tc>
          <w:tcPr>
            <w:tcW w:w="0" w:type="auto"/>
          </w:tcPr>
          <w:p w14:paraId="4724AB0F" w14:textId="77777777" w:rsidR="0014643F" w:rsidRDefault="0014643F" w:rsidP="00D340F4">
            <w:pPr>
              <w:pStyle w:val="NoSpacing"/>
              <w:rPr>
                <w:sz w:val="24"/>
                <w:szCs w:val="24"/>
              </w:rPr>
            </w:pPr>
          </w:p>
        </w:tc>
        <w:tc>
          <w:tcPr>
            <w:tcW w:w="0" w:type="auto"/>
          </w:tcPr>
          <w:p w14:paraId="64C33A29" w14:textId="77777777" w:rsidR="0014643F" w:rsidRDefault="0014643F" w:rsidP="00D340F4">
            <w:pPr>
              <w:pStyle w:val="NoSpacing"/>
              <w:rPr>
                <w:sz w:val="24"/>
                <w:szCs w:val="24"/>
              </w:rPr>
            </w:pPr>
          </w:p>
        </w:tc>
        <w:tc>
          <w:tcPr>
            <w:tcW w:w="0" w:type="auto"/>
          </w:tcPr>
          <w:p w14:paraId="309B1D53" w14:textId="77777777" w:rsidR="0014643F" w:rsidRDefault="0014643F" w:rsidP="00D340F4">
            <w:pPr>
              <w:pStyle w:val="NoSpacing"/>
              <w:rPr>
                <w:sz w:val="24"/>
                <w:szCs w:val="24"/>
              </w:rPr>
            </w:pPr>
          </w:p>
        </w:tc>
        <w:tc>
          <w:tcPr>
            <w:tcW w:w="0" w:type="auto"/>
          </w:tcPr>
          <w:p w14:paraId="49C0B83E" w14:textId="77777777" w:rsidR="0014643F" w:rsidRDefault="0014643F" w:rsidP="00D340F4">
            <w:pPr>
              <w:pStyle w:val="NoSpacing"/>
              <w:rPr>
                <w:sz w:val="24"/>
                <w:szCs w:val="24"/>
              </w:rPr>
            </w:pPr>
          </w:p>
        </w:tc>
      </w:tr>
      <w:tr w:rsidR="004E2689" w14:paraId="6C8D8651" w14:textId="77777777" w:rsidTr="001706A2">
        <w:tc>
          <w:tcPr>
            <w:tcW w:w="0" w:type="auto"/>
          </w:tcPr>
          <w:p w14:paraId="33501156" w14:textId="77777777" w:rsidR="0014643F" w:rsidRDefault="0014643F" w:rsidP="00D340F4">
            <w:pPr>
              <w:pStyle w:val="NoSpacing"/>
              <w:rPr>
                <w:sz w:val="24"/>
                <w:szCs w:val="24"/>
              </w:rPr>
            </w:pPr>
          </w:p>
        </w:tc>
        <w:tc>
          <w:tcPr>
            <w:tcW w:w="0" w:type="auto"/>
          </w:tcPr>
          <w:p w14:paraId="21B5F22D" w14:textId="65EB70F7" w:rsidR="0014643F" w:rsidRDefault="002C6A8D" w:rsidP="00D340F4">
            <w:pPr>
              <w:pStyle w:val="NoSpacing"/>
              <w:rPr>
                <w:sz w:val="24"/>
                <w:szCs w:val="24"/>
              </w:rPr>
            </w:pPr>
            <w:r>
              <w:rPr>
                <w:sz w:val="24"/>
                <w:szCs w:val="24"/>
              </w:rPr>
              <w:t>M</w:t>
            </w:r>
            <w:r w:rsidRPr="00336012">
              <w:rPr>
                <w:sz w:val="24"/>
                <w:szCs w:val="24"/>
                <w:vertAlign w:val="subscript"/>
              </w:rPr>
              <w:t>1</w:t>
            </w:r>
            <w:r>
              <w:rPr>
                <w:sz w:val="24"/>
                <w:szCs w:val="24"/>
              </w:rPr>
              <w:t xml:space="preserve"> – Anxiety sensitivity</w:t>
            </w:r>
          </w:p>
        </w:tc>
        <w:tc>
          <w:tcPr>
            <w:tcW w:w="0" w:type="auto"/>
          </w:tcPr>
          <w:p w14:paraId="5C1876D5" w14:textId="77777777" w:rsidR="0014643F" w:rsidRDefault="0014643F" w:rsidP="00D340F4">
            <w:pPr>
              <w:pStyle w:val="NoSpacing"/>
              <w:rPr>
                <w:sz w:val="24"/>
                <w:szCs w:val="24"/>
              </w:rPr>
            </w:pPr>
          </w:p>
        </w:tc>
        <w:tc>
          <w:tcPr>
            <w:tcW w:w="0" w:type="auto"/>
          </w:tcPr>
          <w:p w14:paraId="3193C0B4" w14:textId="77777777" w:rsidR="0014643F" w:rsidRDefault="0014643F" w:rsidP="00D340F4">
            <w:pPr>
              <w:pStyle w:val="NoSpacing"/>
              <w:rPr>
                <w:sz w:val="24"/>
                <w:szCs w:val="24"/>
              </w:rPr>
            </w:pPr>
          </w:p>
        </w:tc>
        <w:tc>
          <w:tcPr>
            <w:tcW w:w="0" w:type="auto"/>
          </w:tcPr>
          <w:p w14:paraId="0C548A2B" w14:textId="05E1B9C4" w:rsidR="0014643F" w:rsidRDefault="001706A2" w:rsidP="00D340F4">
            <w:pPr>
              <w:pStyle w:val="NoSpacing"/>
              <w:rPr>
                <w:sz w:val="24"/>
                <w:szCs w:val="24"/>
              </w:rPr>
            </w:pPr>
            <w:r>
              <w:rPr>
                <w:sz w:val="24"/>
                <w:szCs w:val="24"/>
              </w:rPr>
              <w:t>M</w:t>
            </w:r>
            <w:r w:rsidRPr="00336012">
              <w:rPr>
                <w:sz w:val="24"/>
                <w:szCs w:val="24"/>
                <w:vertAlign w:val="subscript"/>
              </w:rPr>
              <w:t>2</w:t>
            </w:r>
            <w:r>
              <w:rPr>
                <w:sz w:val="24"/>
                <w:szCs w:val="24"/>
              </w:rPr>
              <w:t xml:space="preserve"> – Expressive suppression</w:t>
            </w:r>
          </w:p>
        </w:tc>
        <w:tc>
          <w:tcPr>
            <w:tcW w:w="0" w:type="auto"/>
          </w:tcPr>
          <w:p w14:paraId="22453FC2" w14:textId="77777777" w:rsidR="0014643F" w:rsidRDefault="0014643F" w:rsidP="00D340F4">
            <w:pPr>
              <w:pStyle w:val="NoSpacing"/>
              <w:rPr>
                <w:sz w:val="24"/>
                <w:szCs w:val="24"/>
              </w:rPr>
            </w:pPr>
          </w:p>
        </w:tc>
        <w:tc>
          <w:tcPr>
            <w:tcW w:w="0" w:type="auto"/>
          </w:tcPr>
          <w:p w14:paraId="55ABA86D" w14:textId="77777777" w:rsidR="0014643F" w:rsidRDefault="0014643F" w:rsidP="00D340F4">
            <w:pPr>
              <w:pStyle w:val="NoSpacing"/>
              <w:rPr>
                <w:sz w:val="24"/>
                <w:szCs w:val="24"/>
              </w:rPr>
            </w:pPr>
          </w:p>
        </w:tc>
        <w:tc>
          <w:tcPr>
            <w:tcW w:w="0" w:type="auto"/>
          </w:tcPr>
          <w:p w14:paraId="35694B38" w14:textId="3A719B61" w:rsidR="0014643F" w:rsidRDefault="001706A2" w:rsidP="00D340F4">
            <w:pPr>
              <w:pStyle w:val="NoSpacing"/>
              <w:rPr>
                <w:sz w:val="24"/>
                <w:szCs w:val="24"/>
              </w:rPr>
            </w:pPr>
            <w:r>
              <w:rPr>
                <w:sz w:val="24"/>
                <w:szCs w:val="24"/>
              </w:rPr>
              <w:t>Y - Depression</w:t>
            </w:r>
          </w:p>
        </w:tc>
        <w:tc>
          <w:tcPr>
            <w:tcW w:w="0" w:type="auto"/>
          </w:tcPr>
          <w:p w14:paraId="23777338" w14:textId="77777777" w:rsidR="0014643F" w:rsidRDefault="0014643F" w:rsidP="00D340F4">
            <w:pPr>
              <w:pStyle w:val="NoSpacing"/>
              <w:rPr>
                <w:sz w:val="24"/>
                <w:szCs w:val="24"/>
              </w:rPr>
            </w:pPr>
          </w:p>
        </w:tc>
        <w:tc>
          <w:tcPr>
            <w:tcW w:w="0" w:type="auto"/>
          </w:tcPr>
          <w:p w14:paraId="388BF6F2" w14:textId="77777777" w:rsidR="0014643F" w:rsidRDefault="0014643F" w:rsidP="00D340F4">
            <w:pPr>
              <w:pStyle w:val="NoSpacing"/>
              <w:rPr>
                <w:sz w:val="24"/>
                <w:szCs w:val="24"/>
              </w:rPr>
            </w:pPr>
          </w:p>
        </w:tc>
      </w:tr>
      <w:tr w:rsidR="004E2689" w14:paraId="1477CF75" w14:textId="77777777" w:rsidTr="001706A2">
        <w:tc>
          <w:tcPr>
            <w:tcW w:w="0" w:type="auto"/>
          </w:tcPr>
          <w:p w14:paraId="0C66BA8E" w14:textId="7C1D394A" w:rsidR="0014643F" w:rsidRDefault="002C6A8D" w:rsidP="00D340F4">
            <w:pPr>
              <w:pStyle w:val="NoSpacing"/>
              <w:rPr>
                <w:sz w:val="24"/>
                <w:szCs w:val="24"/>
              </w:rPr>
            </w:pPr>
            <w:r w:rsidRPr="002C6A8D">
              <w:rPr>
                <w:sz w:val="24"/>
                <w:szCs w:val="24"/>
              </w:rPr>
              <w:t>Predictor</w:t>
            </w:r>
          </w:p>
        </w:tc>
        <w:tc>
          <w:tcPr>
            <w:tcW w:w="0" w:type="auto"/>
          </w:tcPr>
          <w:p w14:paraId="5C0F8711" w14:textId="16919E04" w:rsidR="0014643F" w:rsidRPr="004E2689" w:rsidRDefault="002C6A8D" w:rsidP="00D340F4">
            <w:pPr>
              <w:pStyle w:val="NoSpacing"/>
              <w:rPr>
                <w:i/>
                <w:iCs/>
                <w:sz w:val="24"/>
                <w:szCs w:val="24"/>
              </w:rPr>
            </w:pPr>
            <w:r w:rsidRPr="004E2689">
              <w:rPr>
                <w:i/>
                <w:iCs/>
                <w:sz w:val="24"/>
                <w:szCs w:val="24"/>
              </w:rPr>
              <w:t>B</w:t>
            </w:r>
          </w:p>
        </w:tc>
        <w:tc>
          <w:tcPr>
            <w:tcW w:w="0" w:type="auto"/>
          </w:tcPr>
          <w:p w14:paraId="5ABD7AD4" w14:textId="4461453A" w:rsidR="0014643F" w:rsidRPr="004E2689" w:rsidRDefault="002C6A8D" w:rsidP="00D340F4">
            <w:pPr>
              <w:pStyle w:val="NoSpacing"/>
              <w:rPr>
                <w:i/>
                <w:iCs/>
                <w:sz w:val="24"/>
                <w:szCs w:val="24"/>
              </w:rPr>
            </w:pPr>
            <w:r w:rsidRPr="004E2689">
              <w:rPr>
                <w:i/>
                <w:iCs/>
                <w:sz w:val="24"/>
                <w:szCs w:val="24"/>
              </w:rPr>
              <w:t>SE B</w:t>
            </w:r>
          </w:p>
        </w:tc>
        <w:tc>
          <w:tcPr>
            <w:tcW w:w="0" w:type="auto"/>
          </w:tcPr>
          <w:p w14:paraId="321E072F" w14:textId="62A990F8" w:rsidR="0014643F" w:rsidRPr="004E2689" w:rsidRDefault="002C6A8D" w:rsidP="00D340F4">
            <w:pPr>
              <w:pStyle w:val="NoSpacing"/>
              <w:rPr>
                <w:i/>
                <w:iCs/>
                <w:sz w:val="24"/>
                <w:szCs w:val="24"/>
              </w:rPr>
            </w:pPr>
            <w:r w:rsidRPr="004E2689">
              <w:rPr>
                <w:i/>
                <w:iCs/>
                <w:sz w:val="24"/>
                <w:szCs w:val="24"/>
              </w:rPr>
              <w:t>P</w:t>
            </w:r>
          </w:p>
        </w:tc>
        <w:tc>
          <w:tcPr>
            <w:tcW w:w="0" w:type="auto"/>
          </w:tcPr>
          <w:p w14:paraId="45066CB1" w14:textId="1E2B5E33" w:rsidR="0014643F" w:rsidRPr="004E2689" w:rsidRDefault="002C6A8D" w:rsidP="00D340F4">
            <w:pPr>
              <w:pStyle w:val="NoSpacing"/>
              <w:rPr>
                <w:i/>
                <w:iCs/>
                <w:sz w:val="24"/>
                <w:szCs w:val="24"/>
              </w:rPr>
            </w:pPr>
            <w:r w:rsidRPr="004E2689">
              <w:rPr>
                <w:i/>
                <w:iCs/>
                <w:sz w:val="24"/>
                <w:szCs w:val="24"/>
              </w:rPr>
              <w:t>B</w:t>
            </w:r>
          </w:p>
        </w:tc>
        <w:tc>
          <w:tcPr>
            <w:tcW w:w="0" w:type="auto"/>
          </w:tcPr>
          <w:p w14:paraId="22849B3E" w14:textId="50D0918C" w:rsidR="0014643F" w:rsidRPr="004E2689" w:rsidRDefault="002C6A8D" w:rsidP="00D340F4">
            <w:pPr>
              <w:pStyle w:val="NoSpacing"/>
              <w:rPr>
                <w:i/>
                <w:iCs/>
                <w:sz w:val="24"/>
                <w:szCs w:val="24"/>
              </w:rPr>
            </w:pPr>
            <w:r w:rsidRPr="004E2689">
              <w:rPr>
                <w:i/>
                <w:iCs/>
                <w:sz w:val="24"/>
                <w:szCs w:val="24"/>
              </w:rPr>
              <w:t>SE</w:t>
            </w:r>
          </w:p>
        </w:tc>
        <w:tc>
          <w:tcPr>
            <w:tcW w:w="0" w:type="auto"/>
          </w:tcPr>
          <w:p w14:paraId="5444644D" w14:textId="18FFC7BD" w:rsidR="0014643F" w:rsidRPr="004E2689" w:rsidRDefault="002C6A8D" w:rsidP="00D340F4">
            <w:pPr>
              <w:pStyle w:val="NoSpacing"/>
              <w:rPr>
                <w:i/>
                <w:iCs/>
                <w:sz w:val="24"/>
                <w:szCs w:val="24"/>
              </w:rPr>
            </w:pPr>
            <w:r w:rsidRPr="004E2689">
              <w:rPr>
                <w:i/>
                <w:iCs/>
                <w:sz w:val="24"/>
                <w:szCs w:val="24"/>
              </w:rPr>
              <w:t>P</w:t>
            </w:r>
          </w:p>
        </w:tc>
        <w:tc>
          <w:tcPr>
            <w:tcW w:w="0" w:type="auto"/>
          </w:tcPr>
          <w:p w14:paraId="5EC8C273" w14:textId="279E68E4" w:rsidR="0014643F" w:rsidRPr="004E2689" w:rsidRDefault="002C6A8D" w:rsidP="00D340F4">
            <w:pPr>
              <w:pStyle w:val="NoSpacing"/>
              <w:rPr>
                <w:i/>
                <w:iCs/>
                <w:sz w:val="24"/>
                <w:szCs w:val="24"/>
              </w:rPr>
            </w:pPr>
            <w:r w:rsidRPr="004E2689">
              <w:rPr>
                <w:i/>
                <w:iCs/>
                <w:sz w:val="24"/>
                <w:szCs w:val="24"/>
              </w:rPr>
              <w:t>B</w:t>
            </w:r>
          </w:p>
        </w:tc>
        <w:tc>
          <w:tcPr>
            <w:tcW w:w="0" w:type="auto"/>
          </w:tcPr>
          <w:p w14:paraId="56D8A5DE" w14:textId="5E44683F" w:rsidR="0014643F" w:rsidRPr="004E2689" w:rsidRDefault="002C6A8D" w:rsidP="00D340F4">
            <w:pPr>
              <w:pStyle w:val="NoSpacing"/>
              <w:rPr>
                <w:i/>
                <w:iCs/>
                <w:sz w:val="24"/>
                <w:szCs w:val="24"/>
              </w:rPr>
            </w:pPr>
            <w:r w:rsidRPr="004E2689">
              <w:rPr>
                <w:i/>
                <w:iCs/>
                <w:sz w:val="24"/>
                <w:szCs w:val="24"/>
              </w:rPr>
              <w:t>SE B</w:t>
            </w:r>
          </w:p>
        </w:tc>
        <w:tc>
          <w:tcPr>
            <w:tcW w:w="0" w:type="auto"/>
          </w:tcPr>
          <w:p w14:paraId="50602BA9" w14:textId="0160180D" w:rsidR="0014643F" w:rsidRPr="004E2689" w:rsidRDefault="002C6A8D" w:rsidP="00D340F4">
            <w:pPr>
              <w:pStyle w:val="NoSpacing"/>
              <w:rPr>
                <w:i/>
                <w:iCs/>
                <w:sz w:val="24"/>
                <w:szCs w:val="24"/>
              </w:rPr>
            </w:pPr>
            <w:r w:rsidRPr="004E2689">
              <w:rPr>
                <w:i/>
                <w:iCs/>
                <w:sz w:val="24"/>
                <w:szCs w:val="24"/>
              </w:rPr>
              <w:t>p</w:t>
            </w:r>
          </w:p>
        </w:tc>
      </w:tr>
      <w:tr w:rsidR="004E2689" w14:paraId="3A73DCAC" w14:textId="77777777" w:rsidTr="001706A2">
        <w:tc>
          <w:tcPr>
            <w:tcW w:w="0" w:type="auto"/>
          </w:tcPr>
          <w:p w14:paraId="535E85E8" w14:textId="765033CB" w:rsidR="0014643F" w:rsidRDefault="00A447A5" w:rsidP="00D340F4">
            <w:pPr>
              <w:pStyle w:val="NoSpacing"/>
              <w:rPr>
                <w:sz w:val="24"/>
                <w:szCs w:val="24"/>
              </w:rPr>
            </w:pPr>
            <w:r w:rsidRPr="00A447A5">
              <w:rPr>
                <w:sz w:val="24"/>
                <w:szCs w:val="24"/>
              </w:rPr>
              <w:t>Ethnic</w:t>
            </w:r>
            <w:bookmarkStart w:id="10" w:name="Main_Analyses"/>
            <w:bookmarkEnd w:id="10"/>
            <w:r w:rsidRPr="00A447A5">
              <w:rPr>
                <w:sz w:val="24"/>
                <w:szCs w:val="24"/>
              </w:rPr>
              <w:t xml:space="preserve"> </w:t>
            </w:r>
            <w:bookmarkStart w:id="11" w:name="Hypothesis_1"/>
            <w:bookmarkEnd w:id="11"/>
            <w:r w:rsidRPr="00A447A5">
              <w:rPr>
                <w:sz w:val="24"/>
                <w:szCs w:val="24"/>
              </w:rPr>
              <w:t xml:space="preserve">discrimination </w:t>
            </w:r>
            <w:bookmarkStart w:id="12" w:name="Hypothesis_2"/>
            <w:bookmarkEnd w:id="12"/>
          </w:p>
        </w:tc>
        <w:tc>
          <w:tcPr>
            <w:tcW w:w="0" w:type="auto"/>
          </w:tcPr>
          <w:p w14:paraId="6C43FD48" w14:textId="7DDFEC0D" w:rsidR="0014643F" w:rsidRDefault="004E2689" w:rsidP="00D340F4">
            <w:pPr>
              <w:pStyle w:val="NoSpacing"/>
              <w:rPr>
                <w:sz w:val="24"/>
                <w:szCs w:val="24"/>
              </w:rPr>
            </w:pPr>
            <w:r w:rsidRPr="00A447A5">
              <w:rPr>
                <w:sz w:val="24"/>
                <w:szCs w:val="24"/>
              </w:rPr>
              <w:t>4.11</w:t>
            </w:r>
          </w:p>
        </w:tc>
        <w:tc>
          <w:tcPr>
            <w:tcW w:w="0" w:type="auto"/>
          </w:tcPr>
          <w:p w14:paraId="0758917F" w14:textId="18779993" w:rsidR="0014643F" w:rsidRDefault="004E2689" w:rsidP="00D340F4">
            <w:pPr>
              <w:pStyle w:val="NoSpacing"/>
              <w:rPr>
                <w:sz w:val="24"/>
                <w:szCs w:val="24"/>
              </w:rPr>
            </w:pPr>
            <w:r w:rsidRPr="00A447A5">
              <w:rPr>
                <w:sz w:val="24"/>
                <w:szCs w:val="24"/>
              </w:rPr>
              <w:t>1.49</w:t>
            </w:r>
          </w:p>
        </w:tc>
        <w:tc>
          <w:tcPr>
            <w:tcW w:w="0" w:type="auto"/>
          </w:tcPr>
          <w:p w14:paraId="6BD25C9F" w14:textId="7A300868" w:rsidR="0014643F" w:rsidRDefault="004E2689" w:rsidP="00D340F4">
            <w:pPr>
              <w:pStyle w:val="NoSpacing"/>
              <w:rPr>
                <w:sz w:val="24"/>
                <w:szCs w:val="24"/>
              </w:rPr>
            </w:pPr>
            <w:r w:rsidRPr="00A447A5">
              <w:rPr>
                <w:sz w:val="24"/>
                <w:szCs w:val="24"/>
              </w:rPr>
              <w:t>.01</w:t>
            </w:r>
          </w:p>
        </w:tc>
        <w:tc>
          <w:tcPr>
            <w:tcW w:w="0" w:type="auto"/>
          </w:tcPr>
          <w:p w14:paraId="00383567" w14:textId="55B41C45" w:rsidR="0014643F" w:rsidRDefault="004E2689" w:rsidP="00D340F4">
            <w:pPr>
              <w:pStyle w:val="NoSpacing"/>
              <w:rPr>
                <w:sz w:val="24"/>
                <w:szCs w:val="24"/>
              </w:rPr>
            </w:pPr>
            <w:r w:rsidRPr="00A447A5">
              <w:rPr>
                <w:sz w:val="24"/>
                <w:szCs w:val="24"/>
              </w:rPr>
              <w:t>.36</w:t>
            </w:r>
          </w:p>
        </w:tc>
        <w:tc>
          <w:tcPr>
            <w:tcW w:w="0" w:type="auto"/>
          </w:tcPr>
          <w:p w14:paraId="07656ACA" w14:textId="08F75749" w:rsidR="0014643F" w:rsidRDefault="004E2689" w:rsidP="00D340F4">
            <w:pPr>
              <w:pStyle w:val="NoSpacing"/>
              <w:rPr>
                <w:sz w:val="24"/>
                <w:szCs w:val="24"/>
              </w:rPr>
            </w:pPr>
            <w:r w:rsidRPr="00A447A5">
              <w:rPr>
                <w:sz w:val="24"/>
                <w:szCs w:val="24"/>
              </w:rPr>
              <w:t>.13</w:t>
            </w:r>
          </w:p>
        </w:tc>
        <w:tc>
          <w:tcPr>
            <w:tcW w:w="0" w:type="auto"/>
          </w:tcPr>
          <w:p w14:paraId="58BE8DF7" w14:textId="0F4C1930" w:rsidR="0014643F" w:rsidRDefault="004E2689" w:rsidP="00D340F4">
            <w:pPr>
              <w:pStyle w:val="NoSpacing"/>
              <w:rPr>
                <w:sz w:val="24"/>
                <w:szCs w:val="24"/>
              </w:rPr>
            </w:pPr>
            <w:r w:rsidRPr="00A447A5">
              <w:rPr>
                <w:sz w:val="24"/>
                <w:szCs w:val="24"/>
              </w:rPr>
              <w:t>.01</w:t>
            </w:r>
          </w:p>
        </w:tc>
        <w:tc>
          <w:tcPr>
            <w:tcW w:w="0" w:type="auto"/>
          </w:tcPr>
          <w:p w14:paraId="215928FF" w14:textId="6AC6912D" w:rsidR="0014643F" w:rsidRDefault="004E2689" w:rsidP="00D340F4">
            <w:pPr>
              <w:pStyle w:val="NoSpacing"/>
              <w:rPr>
                <w:sz w:val="24"/>
                <w:szCs w:val="24"/>
              </w:rPr>
            </w:pPr>
            <w:r w:rsidRPr="00A447A5">
              <w:rPr>
                <w:sz w:val="24"/>
                <w:szCs w:val="24"/>
              </w:rPr>
              <w:t>2.02</w:t>
            </w:r>
          </w:p>
        </w:tc>
        <w:tc>
          <w:tcPr>
            <w:tcW w:w="0" w:type="auto"/>
          </w:tcPr>
          <w:p w14:paraId="748674E2" w14:textId="1B64507B" w:rsidR="0014643F" w:rsidRDefault="004E2689" w:rsidP="00D340F4">
            <w:pPr>
              <w:pStyle w:val="NoSpacing"/>
              <w:rPr>
                <w:sz w:val="24"/>
                <w:szCs w:val="24"/>
              </w:rPr>
            </w:pPr>
            <w:r w:rsidRPr="00A447A5">
              <w:rPr>
                <w:sz w:val="24"/>
                <w:szCs w:val="24"/>
              </w:rPr>
              <w:t>.46</w:t>
            </w:r>
          </w:p>
        </w:tc>
        <w:tc>
          <w:tcPr>
            <w:tcW w:w="0" w:type="auto"/>
          </w:tcPr>
          <w:p w14:paraId="653EEF6C" w14:textId="305FCCC5" w:rsidR="0014643F" w:rsidRDefault="004E2689" w:rsidP="00D340F4">
            <w:pPr>
              <w:pStyle w:val="NoSpacing"/>
              <w:rPr>
                <w:sz w:val="24"/>
                <w:szCs w:val="24"/>
              </w:rPr>
            </w:pPr>
            <w:r w:rsidRPr="00A447A5">
              <w:rPr>
                <w:sz w:val="24"/>
                <w:szCs w:val="24"/>
              </w:rPr>
              <w:t>&lt;.01</w:t>
            </w:r>
          </w:p>
        </w:tc>
      </w:tr>
      <w:tr w:rsidR="004E2689" w14:paraId="5CBCEB72" w14:textId="77777777" w:rsidTr="001706A2">
        <w:tc>
          <w:tcPr>
            <w:tcW w:w="0" w:type="auto"/>
          </w:tcPr>
          <w:p w14:paraId="09E5958B" w14:textId="230EE911" w:rsidR="0014643F" w:rsidRDefault="00A447A5" w:rsidP="00D340F4">
            <w:pPr>
              <w:pStyle w:val="NoSpacing"/>
              <w:rPr>
                <w:sz w:val="24"/>
                <w:szCs w:val="24"/>
              </w:rPr>
            </w:pPr>
            <w:r w:rsidRPr="00A447A5">
              <w:rPr>
                <w:sz w:val="24"/>
                <w:szCs w:val="24"/>
              </w:rPr>
              <w:t xml:space="preserve">Anxiety sensitivity </w:t>
            </w:r>
          </w:p>
        </w:tc>
        <w:tc>
          <w:tcPr>
            <w:tcW w:w="0" w:type="auto"/>
          </w:tcPr>
          <w:p w14:paraId="47A6ADEB" w14:textId="0E0FF5D0" w:rsidR="0014643F" w:rsidRDefault="004E2689" w:rsidP="00D340F4">
            <w:pPr>
              <w:pStyle w:val="NoSpacing"/>
              <w:rPr>
                <w:sz w:val="24"/>
                <w:szCs w:val="24"/>
              </w:rPr>
            </w:pPr>
            <w:r w:rsidRPr="00A447A5">
              <w:rPr>
                <w:sz w:val="24"/>
                <w:szCs w:val="24"/>
              </w:rPr>
              <w:t>—</w:t>
            </w:r>
          </w:p>
        </w:tc>
        <w:tc>
          <w:tcPr>
            <w:tcW w:w="0" w:type="auto"/>
          </w:tcPr>
          <w:p w14:paraId="606AE197" w14:textId="22738604" w:rsidR="0014643F" w:rsidRDefault="004E2689" w:rsidP="00D340F4">
            <w:pPr>
              <w:pStyle w:val="NoSpacing"/>
              <w:rPr>
                <w:sz w:val="24"/>
                <w:szCs w:val="24"/>
              </w:rPr>
            </w:pPr>
            <w:r w:rsidRPr="00A447A5">
              <w:rPr>
                <w:sz w:val="24"/>
                <w:szCs w:val="24"/>
              </w:rPr>
              <w:t>—</w:t>
            </w:r>
          </w:p>
        </w:tc>
        <w:tc>
          <w:tcPr>
            <w:tcW w:w="0" w:type="auto"/>
          </w:tcPr>
          <w:p w14:paraId="7F5D5A28" w14:textId="2D323178" w:rsidR="0014643F" w:rsidRDefault="004E2689" w:rsidP="00D340F4">
            <w:pPr>
              <w:pStyle w:val="NoSpacing"/>
              <w:rPr>
                <w:sz w:val="24"/>
                <w:szCs w:val="24"/>
              </w:rPr>
            </w:pPr>
            <w:r w:rsidRPr="00A447A5">
              <w:rPr>
                <w:sz w:val="24"/>
                <w:szCs w:val="24"/>
              </w:rPr>
              <w:t>—</w:t>
            </w:r>
          </w:p>
        </w:tc>
        <w:tc>
          <w:tcPr>
            <w:tcW w:w="0" w:type="auto"/>
          </w:tcPr>
          <w:p w14:paraId="3B58BDD9" w14:textId="0719E8EF" w:rsidR="0014643F" w:rsidRDefault="004E2689" w:rsidP="00D340F4">
            <w:pPr>
              <w:pStyle w:val="NoSpacing"/>
              <w:rPr>
                <w:sz w:val="24"/>
                <w:szCs w:val="24"/>
              </w:rPr>
            </w:pPr>
            <w:r w:rsidRPr="00A447A5">
              <w:rPr>
                <w:sz w:val="24"/>
                <w:szCs w:val="24"/>
              </w:rPr>
              <w:t>—</w:t>
            </w:r>
          </w:p>
        </w:tc>
        <w:tc>
          <w:tcPr>
            <w:tcW w:w="0" w:type="auto"/>
          </w:tcPr>
          <w:p w14:paraId="5677F77C" w14:textId="5046CC96" w:rsidR="0014643F" w:rsidRDefault="004E2689" w:rsidP="00D340F4">
            <w:pPr>
              <w:pStyle w:val="NoSpacing"/>
              <w:rPr>
                <w:sz w:val="24"/>
                <w:szCs w:val="24"/>
              </w:rPr>
            </w:pPr>
            <w:r w:rsidRPr="00A447A5">
              <w:rPr>
                <w:sz w:val="24"/>
                <w:szCs w:val="24"/>
              </w:rPr>
              <w:t>—</w:t>
            </w:r>
          </w:p>
        </w:tc>
        <w:tc>
          <w:tcPr>
            <w:tcW w:w="0" w:type="auto"/>
          </w:tcPr>
          <w:p w14:paraId="535E3F17" w14:textId="2F3D9616" w:rsidR="0014643F" w:rsidRDefault="004E2689" w:rsidP="00D340F4">
            <w:pPr>
              <w:pStyle w:val="NoSpacing"/>
              <w:rPr>
                <w:sz w:val="24"/>
                <w:szCs w:val="24"/>
              </w:rPr>
            </w:pPr>
            <w:r w:rsidRPr="00A447A5">
              <w:rPr>
                <w:sz w:val="24"/>
                <w:szCs w:val="24"/>
              </w:rPr>
              <w:t>—</w:t>
            </w:r>
          </w:p>
        </w:tc>
        <w:tc>
          <w:tcPr>
            <w:tcW w:w="0" w:type="auto"/>
          </w:tcPr>
          <w:p w14:paraId="61A73689" w14:textId="2151626D" w:rsidR="0014643F" w:rsidRDefault="004E2689" w:rsidP="00D340F4">
            <w:pPr>
              <w:pStyle w:val="NoSpacing"/>
              <w:rPr>
                <w:sz w:val="24"/>
                <w:szCs w:val="24"/>
              </w:rPr>
            </w:pPr>
            <w:r w:rsidRPr="00A447A5">
              <w:rPr>
                <w:sz w:val="24"/>
                <w:szCs w:val="24"/>
              </w:rPr>
              <w:t>.16</w:t>
            </w:r>
          </w:p>
        </w:tc>
        <w:tc>
          <w:tcPr>
            <w:tcW w:w="0" w:type="auto"/>
          </w:tcPr>
          <w:p w14:paraId="66E41629" w14:textId="67D582DD" w:rsidR="0014643F" w:rsidRDefault="004E2689" w:rsidP="00D340F4">
            <w:pPr>
              <w:pStyle w:val="NoSpacing"/>
              <w:rPr>
                <w:sz w:val="24"/>
                <w:szCs w:val="24"/>
              </w:rPr>
            </w:pPr>
            <w:r w:rsidRPr="00A447A5">
              <w:rPr>
                <w:sz w:val="24"/>
                <w:szCs w:val="24"/>
              </w:rPr>
              <w:t>.02</w:t>
            </w:r>
          </w:p>
        </w:tc>
        <w:tc>
          <w:tcPr>
            <w:tcW w:w="0" w:type="auto"/>
          </w:tcPr>
          <w:p w14:paraId="57330E6A" w14:textId="22DAAA66" w:rsidR="0014643F" w:rsidRDefault="004E2689" w:rsidP="00D340F4">
            <w:pPr>
              <w:pStyle w:val="NoSpacing"/>
              <w:rPr>
                <w:sz w:val="24"/>
                <w:szCs w:val="24"/>
              </w:rPr>
            </w:pPr>
            <w:r w:rsidRPr="00A447A5">
              <w:rPr>
                <w:sz w:val="24"/>
                <w:szCs w:val="24"/>
              </w:rPr>
              <w:t>&lt;.01</w:t>
            </w:r>
          </w:p>
        </w:tc>
      </w:tr>
      <w:tr w:rsidR="004E2689" w14:paraId="5B0F6E7F" w14:textId="77777777" w:rsidTr="001706A2">
        <w:tc>
          <w:tcPr>
            <w:tcW w:w="0" w:type="auto"/>
          </w:tcPr>
          <w:p w14:paraId="56A166AE" w14:textId="799C1296" w:rsidR="0014643F" w:rsidRDefault="00086305" w:rsidP="00D340F4">
            <w:pPr>
              <w:pStyle w:val="NoSpacing"/>
              <w:rPr>
                <w:sz w:val="24"/>
                <w:szCs w:val="24"/>
              </w:rPr>
            </w:pPr>
            <w:r w:rsidRPr="00086305">
              <w:rPr>
                <w:sz w:val="24"/>
                <w:szCs w:val="24"/>
              </w:rPr>
              <w:t xml:space="preserve">Expressive suppression </w:t>
            </w:r>
          </w:p>
        </w:tc>
        <w:tc>
          <w:tcPr>
            <w:tcW w:w="0" w:type="auto"/>
          </w:tcPr>
          <w:p w14:paraId="08ECFB21" w14:textId="7381FD46" w:rsidR="0014643F" w:rsidRDefault="004E2689" w:rsidP="00D340F4">
            <w:pPr>
              <w:pStyle w:val="NoSpacing"/>
              <w:rPr>
                <w:sz w:val="24"/>
                <w:szCs w:val="24"/>
              </w:rPr>
            </w:pPr>
            <w:r w:rsidRPr="00086305">
              <w:rPr>
                <w:sz w:val="24"/>
                <w:szCs w:val="24"/>
              </w:rPr>
              <w:t>—</w:t>
            </w:r>
          </w:p>
        </w:tc>
        <w:tc>
          <w:tcPr>
            <w:tcW w:w="0" w:type="auto"/>
          </w:tcPr>
          <w:p w14:paraId="066AD345" w14:textId="7848B339" w:rsidR="0014643F" w:rsidRDefault="004E2689" w:rsidP="00D340F4">
            <w:pPr>
              <w:pStyle w:val="NoSpacing"/>
              <w:rPr>
                <w:sz w:val="24"/>
                <w:szCs w:val="24"/>
              </w:rPr>
            </w:pPr>
            <w:r w:rsidRPr="00086305">
              <w:rPr>
                <w:sz w:val="24"/>
                <w:szCs w:val="24"/>
              </w:rPr>
              <w:t>—</w:t>
            </w:r>
          </w:p>
        </w:tc>
        <w:tc>
          <w:tcPr>
            <w:tcW w:w="0" w:type="auto"/>
          </w:tcPr>
          <w:p w14:paraId="4B37ACF9" w14:textId="1F1AAFE8" w:rsidR="0014643F" w:rsidRDefault="004E2689" w:rsidP="00D340F4">
            <w:pPr>
              <w:pStyle w:val="NoSpacing"/>
              <w:rPr>
                <w:sz w:val="24"/>
                <w:szCs w:val="24"/>
              </w:rPr>
            </w:pPr>
            <w:r w:rsidRPr="00086305">
              <w:rPr>
                <w:sz w:val="24"/>
                <w:szCs w:val="24"/>
              </w:rPr>
              <w:t>—</w:t>
            </w:r>
          </w:p>
        </w:tc>
        <w:tc>
          <w:tcPr>
            <w:tcW w:w="0" w:type="auto"/>
          </w:tcPr>
          <w:p w14:paraId="31F39B0F" w14:textId="1C63FFBA" w:rsidR="0014643F" w:rsidRDefault="004E2689" w:rsidP="00D340F4">
            <w:pPr>
              <w:pStyle w:val="NoSpacing"/>
              <w:rPr>
                <w:sz w:val="24"/>
                <w:szCs w:val="24"/>
              </w:rPr>
            </w:pPr>
            <w:r w:rsidRPr="00086305">
              <w:rPr>
                <w:sz w:val="24"/>
                <w:szCs w:val="24"/>
              </w:rPr>
              <w:t>—</w:t>
            </w:r>
          </w:p>
        </w:tc>
        <w:tc>
          <w:tcPr>
            <w:tcW w:w="0" w:type="auto"/>
          </w:tcPr>
          <w:p w14:paraId="699056AE" w14:textId="57CE13E8" w:rsidR="0014643F" w:rsidRDefault="004E2689" w:rsidP="00D340F4">
            <w:pPr>
              <w:pStyle w:val="NoSpacing"/>
              <w:rPr>
                <w:sz w:val="24"/>
                <w:szCs w:val="24"/>
              </w:rPr>
            </w:pPr>
            <w:r w:rsidRPr="00086305">
              <w:rPr>
                <w:sz w:val="24"/>
                <w:szCs w:val="24"/>
              </w:rPr>
              <w:t>—</w:t>
            </w:r>
          </w:p>
        </w:tc>
        <w:tc>
          <w:tcPr>
            <w:tcW w:w="0" w:type="auto"/>
          </w:tcPr>
          <w:p w14:paraId="615A2EF2" w14:textId="1004AD48" w:rsidR="0014643F" w:rsidRDefault="004E2689" w:rsidP="00D340F4">
            <w:pPr>
              <w:pStyle w:val="NoSpacing"/>
              <w:rPr>
                <w:sz w:val="24"/>
                <w:szCs w:val="24"/>
              </w:rPr>
            </w:pPr>
            <w:r w:rsidRPr="00086305">
              <w:rPr>
                <w:sz w:val="24"/>
                <w:szCs w:val="24"/>
              </w:rPr>
              <w:t>—</w:t>
            </w:r>
          </w:p>
        </w:tc>
        <w:tc>
          <w:tcPr>
            <w:tcW w:w="0" w:type="auto"/>
          </w:tcPr>
          <w:p w14:paraId="5BC7DCAB" w14:textId="437DA177" w:rsidR="0014643F" w:rsidRDefault="004E2689" w:rsidP="00D340F4">
            <w:pPr>
              <w:pStyle w:val="NoSpacing"/>
              <w:rPr>
                <w:sz w:val="24"/>
                <w:szCs w:val="24"/>
              </w:rPr>
            </w:pPr>
            <w:r w:rsidRPr="00086305">
              <w:rPr>
                <w:sz w:val="24"/>
                <w:szCs w:val="24"/>
              </w:rPr>
              <w:t>.71</w:t>
            </w:r>
          </w:p>
        </w:tc>
        <w:tc>
          <w:tcPr>
            <w:tcW w:w="0" w:type="auto"/>
          </w:tcPr>
          <w:p w14:paraId="1D697566" w14:textId="0BE119C7" w:rsidR="0014643F" w:rsidRDefault="004E2689" w:rsidP="00D340F4">
            <w:pPr>
              <w:pStyle w:val="NoSpacing"/>
              <w:rPr>
                <w:sz w:val="24"/>
                <w:szCs w:val="24"/>
              </w:rPr>
            </w:pPr>
            <w:r w:rsidRPr="00086305">
              <w:rPr>
                <w:sz w:val="24"/>
                <w:szCs w:val="24"/>
              </w:rPr>
              <w:t>.23</w:t>
            </w:r>
          </w:p>
        </w:tc>
        <w:tc>
          <w:tcPr>
            <w:tcW w:w="0" w:type="auto"/>
          </w:tcPr>
          <w:p w14:paraId="71C98565" w14:textId="7B7203DF" w:rsidR="0014643F" w:rsidRDefault="004E2689" w:rsidP="00D340F4">
            <w:pPr>
              <w:pStyle w:val="NoSpacing"/>
              <w:rPr>
                <w:sz w:val="24"/>
                <w:szCs w:val="24"/>
              </w:rPr>
            </w:pPr>
            <w:r w:rsidRPr="00086305">
              <w:rPr>
                <w:sz w:val="24"/>
                <w:szCs w:val="24"/>
              </w:rPr>
              <w:t>&lt;.01</w:t>
            </w:r>
          </w:p>
        </w:tc>
      </w:tr>
      <w:tr w:rsidR="004E2689" w14:paraId="3DAF6A6B" w14:textId="77777777" w:rsidTr="001706A2">
        <w:tc>
          <w:tcPr>
            <w:tcW w:w="0" w:type="auto"/>
          </w:tcPr>
          <w:p w14:paraId="7A0EF33F" w14:textId="0AB9E0CD" w:rsidR="0014643F" w:rsidRDefault="00086305" w:rsidP="00D340F4">
            <w:pPr>
              <w:pStyle w:val="NoSpacing"/>
              <w:rPr>
                <w:sz w:val="24"/>
                <w:szCs w:val="24"/>
              </w:rPr>
            </w:pPr>
            <w:r w:rsidRPr="00086305">
              <w:rPr>
                <w:sz w:val="24"/>
                <w:szCs w:val="24"/>
              </w:rPr>
              <w:t xml:space="preserve">Constant </w:t>
            </w:r>
          </w:p>
        </w:tc>
        <w:tc>
          <w:tcPr>
            <w:tcW w:w="0" w:type="auto"/>
          </w:tcPr>
          <w:p w14:paraId="2A96B46B" w14:textId="17F1BCAA" w:rsidR="0014643F" w:rsidRDefault="004E2689" w:rsidP="00D340F4">
            <w:pPr>
              <w:pStyle w:val="NoSpacing"/>
              <w:rPr>
                <w:sz w:val="24"/>
                <w:szCs w:val="24"/>
              </w:rPr>
            </w:pPr>
            <w:r w:rsidRPr="00086305">
              <w:rPr>
                <w:sz w:val="24"/>
                <w:szCs w:val="24"/>
              </w:rPr>
              <w:t>6.15</w:t>
            </w:r>
          </w:p>
        </w:tc>
        <w:tc>
          <w:tcPr>
            <w:tcW w:w="0" w:type="auto"/>
          </w:tcPr>
          <w:p w14:paraId="72944283" w14:textId="2A2832EC" w:rsidR="0014643F" w:rsidRDefault="004E2689" w:rsidP="00D340F4">
            <w:pPr>
              <w:pStyle w:val="NoSpacing"/>
              <w:rPr>
                <w:sz w:val="24"/>
                <w:szCs w:val="24"/>
              </w:rPr>
            </w:pPr>
            <w:r w:rsidRPr="00086305">
              <w:rPr>
                <w:sz w:val="24"/>
                <w:szCs w:val="24"/>
              </w:rPr>
              <w:t>8.30</w:t>
            </w:r>
          </w:p>
        </w:tc>
        <w:tc>
          <w:tcPr>
            <w:tcW w:w="0" w:type="auto"/>
          </w:tcPr>
          <w:p w14:paraId="3CC88D08" w14:textId="1C16886E" w:rsidR="0014643F" w:rsidRDefault="004E2689" w:rsidP="00D340F4">
            <w:pPr>
              <w:pStyle w:val="NoSpacing"/>
              <w:rPr>
                <w:sz w:val="24"/>
                <w:szCs w:val="24"/>
              </w:rPr>
            </w:pPr>
            <w:r w:rsidRPr="00086305">
              <w:rPr>
                <w:sz w:val="24"/>
                <w:szCs w:val="24"/>
              </w:rPr>
              <w:t>.46</w:t>
            </w:r>
          </w:p>
        </w:tc>
        <w:tc>
          <w:tcPr>
            <w:tcW w:w="0" w:type="auto"/>
          </w:tcPr>
          <w:p w14:paraId="74D7460B" w14:textId="03946227" w:rsidR="0014643F" w:rsidRDefault="004E2689" w:rsidP="00D340F4">
            <w:pPr>
              <w:pStyle w:val="NoSpacing"/>
              <w:rPr>
                <w:sz w:val="24"/>
                <w:szCs w:val="24"/>
              </w:rPr>
            </w:pPr>
            <w:r w:rsidRPr="00086305">
              <w:rPr>
                <w:sz w:val="24"/>
                <w:szCs w:val="24"/>
              </w:rPr>
              <w:t>2.88</w:t>
            </w:r>
          </w:p>
        </w:tc>
        <w:tc>
          <w:tcPr>
            <w:tcW w:w="0" w:type="auto"/>
          </w:tcPr>
          <w:p w14:paraId="01A7018C" w14:textId="5592508E" w:rsidR="0014643F" w:rsidRDefault="004E2689" w:rsidP="00D340F4">
            <w:pPr>
              <w:pStyle w:val="NoSpacing"/>
              <w:rPr>
                <w:sz w:val="24"/>
                <w:szCs w:val="24"/>
              </w:rPr>
            </w:pPr>
            <w:r w:rsidRPr="00086305">
              <w:rPr>
                <w:sz w:val="24"/>
                <w:szCs w:val="24"/>
              </w:rPr>
              <w:t>.73</w:t>
            </w:r>
          </w:p>
        </w:tc>
        <w:tc>
          <w:tcPr>
            <w:tcW w:w="0" w:type="auto"/>
          </w:tcPr>
          <w:p w14:paraId="7EF2FA8C" w14:textId="2506784F" w:rsidR="0014643F" w:rsidRDefault="004E2689" w:rsidP="00D340F4">
            <w:pPr>
              <w:pStyle w:val="NoSpacing"/>
              <w:rPr>
                <w:sz w:val="24"/>
                <w:szCs w:val="24"/>
              </w:rPr>
            </w:pPr>
            <w:r w:rsidRPr="00086305">
              <w:rPr>
                <w:sz w:val="24"/>
                <w:szCs w:val="24"/>
              </w:rPr>
              <w:t>&lt;.01</w:t>
            </w:r>
          </w:p>
        </w:tc>
        <w:tc>
          <w:tcPr>
            <w:tcW w:w="0" w:type="auto"/>
          </w:tcPr>
          <w:p w14:paraId="4A82D0E2" w14:textId="733B2C82" w:rsidR="0014643F" w:rsidRDefault="004E2689" w:rsidP="00D340F4">
            <w:pPr>
              <w:pStyle w:val="NoSpacing"/>
              <w:rPr>
                <w:sz w:val="24"/>
                <w:szCs w:val="24"/>
              </w:rPr>
            </w:pPr>
            <w:r w:rsidRPr="00086305">
              <w:rPr>
                <w:sz w:val="24"/>
                <w:szCs w:val="24"/>
              </w:rPr>
              <w:t>1.43</w:t>
            </w:r>
          </w:p>
        </w:tc>
        <w:tc>
          <w:tcPr>
            <w:tcW w:w="0" w:type="auto"/>
          </w:tcPr>
          <w:p w14:paraId="1794556E" w14:textId="6163FFEC" w:rsidR="0014643F" w:rsidRDefault="004E2689" w:rsidP="00D340F4">
            <w:pPr>
              <w:pStyle w:val="NoSpacing"/>
              <w:rPr>
                <w:sz w:val="24"/>
                <w:szCs w:val="24"/>
              </w:rPr>
            </w:pPr>
            <w:r w:rsidRPr="00086305">
              <w:rPr>
                <w:sz w:val="24"/>
                <w:szCs w:val="24"/>
              </w:rPr>
              <w:t>2.58</w:t>
            </w:r>
          </w:p>
        </w:tc>
        <w:tc>
          <w:tcPr>
            <w:tcW w:w="0" w:type="auto"/>
          </w:tcPr>
          <w:p w14:paraId="309E22F2" w14:textId="501E240B" w:rsidR="0014643F" w:rsidRDefault="004E2689" w:rsidP="00D340F4">
            <w:pPr>
              <w:pStyle w:val="NoSpacing"/>
              <w:rPr>
                <w:sz w:val="24"/>
                <w:szCs w:val="24"/>
              </w:rPr>
            </w:pPr>
            <w:r w:rsidRPr="00086305">
              <w:rPr>
                <w:sz w:val="24"/>
                <w:szCs w:val="24"/>
              </w:rPr>
              <w:t>.58</w:t>
            </w:r>
          </w:p>
        </w:tc>
      </w:tr>
      <w:tr w:rsidR="00336012" w14:paraId="0ED077BF" w14:textId="77777777" w:rsidTr="001706A2">
        <w:tc>
          <w:tcPr>
            <w:tcW w:w="0" w:type="auto"/>
          </w:tcPr>
          <w:p w14:paraId="0DD31D40" w14:textId="77777777" w:rsidR="00086305" w:rsidRPr="00086305" w:rsidRDefault="00086305" w:rsidP="00D340F4">
            <w:pPr>
              <w:pStyle w:val="NoSpacing"/>
              <w:rPr>
                <w:sz w:val="24"/>
                <w:szCs w:val="24"/>
              </w:rPr>
            </w:pPr>
          </w:p>
        </w:tc>
        <w:tc>
          <w:tcPr>
            <w:tcW w:w="0" w:type="auto"/>
          </w:tcPr>
          <w:p w14:paraId="7715DAEA" w14:textId="6960A6A4" w:rsidR="00086305" w:rsidRDefault="0075305E" w:rsidP="00D340F4">
            <w:pPr>
              <w:pStyle w:val="NoSpacing"/>
              <w:rPr>
                <w:sz w:val="24"/>
                <w:szCs w:val="24"/>
              </w:rPr>
            </w:pPr>
            <w:r w:rsidRPr="0075305E">
              <w:rPr>
                <w:i/>
                <w:iCs/>
                <w:sz w:val="24"/>
                <w:szCs w:val="24"/>
              </w:rPr>
              <w:t>R</w:t>
            </w:r>
            <w:r w:rsidRPr="0075305E">
              <w:rPr>
                <w:sz w:val="24"/>
                <w:szCs w:val="24"/>
                <w:vertAlign w:val="superscript"/>
              </w:rPr>
              <w:t>2</w:t>
            </w:r>
            <w:r w:rsidRPr="0075305E">
              <w:rPr>
                <w:sz w:val="24"/>
                <w:szCs w:val="24"/>
              </w:rPr>
              <w:t xml:space="preserve"> = .12</w:t>
            </w:r>
          </w:p>
        </w:tc>
        <w:tc>
          <w:tcPr>
            <w:tcW w:w="0" w:type="auto"/>
          </w:tcPr>
          <w:p w14:paraId="1C7C4BD4" w14:textId="77777777" w:rsidR="00086305" w:rsidRDefault="00086305" w:rsidP="00D340F4">
            <w:pPr>
              <w:pStyle w:val="NoSpacing"/>
              <w:rPr>
                <w:sz w:val="24"/>
                <w:szCs w:val="24"/>
              </w:rPr>
            </w:pPr>
          </w:p>
        </w:tc>
        <w:tc>
          <w:tcPr>
            <w:tcW w:w="0" w:type="auto"/>
          </w:tcPr>
          <w:p w14:paraId="6775D190" w14:textId="77777777" w:rsidR="00086305" w:rsidRDefault="00086305" w:rsidP="00D340F4">
            <w:pPr>
              <w:pStyle w:val="NoSpacing"/>
              <w:rPr>
                <w:sz w:val="24"/>
                <w:szCs w:val="24"/>
              </w:rPr>
            </w:pPr>
          </w:p>
        </w:tc>
        <w:tc>
          <w:tcPr>
            <w:tcW w:w="0" w:type="auto"/>
          </w:tcPr>
          <w:p w14:paraId="2DF58171" w14:textId="0059CB65" w:rsidR="00086305" w:rsidRDefault="0075305E" w:rsidP="00D340F4">
            <w:pPr>
              <w:pStyle w:val="NoSpacing"/>
              <w:rPr>
                <w:sz w:val="24"/>
                <w:szCs w:val="24"/>
              </w:rPr>
            </w:pPr>
            <w:r w:rsidRPr="0075305E">
              <w:rPr>
                <w:i/>
                <w:iCs/>
                <w:sz w:val="24"/>
                <w:szCs w:val="24"/>
              </w:rPr>
              <w:t>R</w:t>
            </w:r>
            <w:r w:rsidRPr="0075305E">
              <w:rPr>
                <w:sz w:val="24"/>
                <w:szCs w:val="24"/>
                <w:vertAlign w:val="superscript"/>
              </w:rPr>
              <w:t>2</w:t>
            </w:r>
            <w:r w:rsidRPr="0075305E">
              <w:rPr>
                <w:sz w:val="24"/>
                <w:szCs w:val="24"/>
              </w:rPr>
              <w:t xml:space="preserve"> = .</w:t>
            </w:r>
            <w:r>
              <w:rPr>
                <w:sz w:val="24"/>
                <w:szCs w:val="24"/>
              </w:rPr>
              <w:t>07</w:t>
            </w:r>
          </w:p>
        </w:tc>
        <w:tc>
          <w:tcPr>
            <w:tcW w:w="0" w:type="auto"/>
          </w:tcPr>
          <w:p w14:paraId="3E7396C1" w14:textId="77777777" w:rsidR="00086305" w:rsidRDefault="00086305" w:rsidP="00D340F4">
            <w:pPr>
              <w:pStyle w:val="NoSpacing"/>
              <w:rPr>
                <w:sz w:val="24"/>
                <w:szCs w:val="24"/>
              </w:rPr>
            </w:pPr>
          </w:p>
        </w:tc>
        <w:tc>
          <w:tcPr>
            <w:tcW w:w="0" w:type="auto"/>
          </w:tcPr>
          <w:p w14:paraId="736B479F" w14:textId="77777777" w:rsidR="00086305" w:rsidRDefault="00086305" w:rsidP="00D340F4">
            <w:pPr>
              <w:pStyle w:val="NoSpacing"/>
              <w:rPr>
                <w:sz w:val="24"/>
                <w:szCs w:val="24"/>
              </w:rPr>
            </w:pPr>
          </w:p>
        </w:tc>
        <w:tc>
          <w:tcPr>
            <w:tcW w:w="0" w:type="auto"/>
          </w:tcPr>
          <w:p w14:paraId="75A792F9" w14:textId="4A568987" w:rsidR="00086305" w:rsidRDefault="0075305E" w:rsidP="00D340F4">
            <w:pPr>
              <w:pStyle w:val="NoSpacing"/>
              <w:rPr>
                <w:sz w:val="24"/>
                <w:szCs w:val="24"/>
              </w:rPr>
            </w:pPr>
            <w:r w:rsidRPr="0075305E">
              <w:rPr>
                <w:i/>
                <w:iCs/>
                <w:sz w:val="24"/>
                <w:szCs w:val="24"/>
              </w:rPr>
              <w:t>R</w:t>
            </w:r>
            <w:r w:rsidRPr="0075305E">
              <w:rPr>
                <w:sz w:val="24"/>
                <w:szCs w:val="24"/>
                <w:vertAlign w:val="superscript"/>
              </w:rPr>
              <w:t>2</w:t>
            </w:r>
            <w:r w:rsidRPr="0075305E">
              <w:rPr>
                <w:sz w:val="24"/>
                <w:szCs w:val="24"/>
              </w:rPr>
              <w:t xml:space="preserve"> = .</w:t>
            </w:r>
            <w:r>
              <w:rPr>
                <w:sz w:val="24"/>
                <w:szCs w:val="24"/>
              </w:rPr>
              <w:t>41</w:t>
            </w:r>
          </w:p>
        </w:tc>
        <w:tc>
          <w:tcPr>
            <w:tcW w:w="0" w:type="auto"/>
          </w:tcPr>
          <w:p w14:paraId="38BE502C" w14:textId="77777777" w:rsidR="00086305" w:rsidRDefault="00086305" w:rsidP="00D340F4">
            <w:pPr>
              <w:pStyle w:val="NoSpacing"/>
              <w:rPr>
                <w:sz w:val="24"/>
                <w:szCs w:val="24"/>
              </w:rPr>
            </w:pPr>
          </w:p>
        </w:tc>
        <w:tc>
          <w:tcPr>
            <w:tcW w:w="0" w:type="auto"/>
          </w:tcPr>
          <w:p w14:paraId="7816693E" w14:textId="77777777" w:rsidR="00086305" w:rsidRDefault="00086305" w:rsidP="00D340F4">
            <w:pPr>
              <w:pStyle w:val="NoSpacing"/>
              <w:rPr>
                <w:sz w:val="24"/>
                <w:szCs w:val="24"/>
              </w:rPr>
            </w:pPr>
          </w:p>
        </w:tc>
      </w:tr>
      <w:tr w:rsidR="00336012" w14:paraId="62F0005F" w14:textId="77777777" w:rsidTr="001706A2">
        <w:tc>
          <w:tcPr>
            <w:tcW w:w="0" w:type="auto"/>
          </w:tcPr>
          <w:p w14:paraId="2A391EC6" w14:textId="77777777" w:rsidR="00086305" w:rsidRPr="00086305" w:rsidRDefault="00086305" w:rsidP="00D340F4">
            <w:pPr>
              <w:pStyle w:val="NoSpacing"/>
              <w:rPr>
                <w:sz w:val="24"/>
                <w:szCs w:val="24"/>
              </w:rPr>
            </w:pPr>
          </w:p>
        </w:tc>
        <w:tc>
          <w:tcPr>
            <w:tcW w:w="0" w:type="auto"/>
          </w:tcPr>
          <w:p w14:paraId="6C5E52AA" w14:textId="7CB5EB07" w:rsidR="00086305" w:rsidRDefault="00B47800" w:rsidP="00D340F4">
            <w:pPr>
              <w:pStyle w:val="NoSpacing"/>
              <w:rPr>
                <w:sz w:val="24"/>
                <w:szCs w:val="24"/>
              </w:rPr>
            </w:pPr>
            <w:proofErr w:type="gramStart"/>
            <w:r w:rsidRPr="00B47800">
              <w:rPr>
                <w:i/>
                <w:iCs/>
                <w:sz w:val="24"/>
                <w:szCs w:val="24"/>
              </w:rPr>
              <w:t>F</w:t>
            </w:r>
            <w:r w:rsidRPr="00B47800">
              <w:rPr>
                <w:sz w:val="24"/>
                <w:szCs w:val="24"/>
              </w:rPr>
              <w:t>(</w:t>
            </w:r>
            <w:proofErr w:type="gramEnd"/>
            <w:r w:rsidRPr="00B47800">
              <w:rPr>
                <w:sz w:val="24"/>
                <w:szCs w:val="24"/>
              </w:rPr>
              <w:t xml:space="preserve">5, 226) = 5.93, </w:t>
            </w:r>
            <w:r w:rsidRPr="00B47800">
              <w:rPr>
                <w:i/>
                <w:iCs/>
                <w:sz w:val="24"/>
                <w:szCs w:val="24"/>
              </w:rPr>
              <w:t xml:space="preserve">p </w:t>
            </w:r>
            <w:r w:rsidRPr="00B47800">
              <w:rPr>
                <w:sz w:val="24"/>
                <w:szCs w:val="24"/>
              </w:rPr>
              <w:t>&lt; .01</w:t>
            </w:r>
          </w:p>
        </w:tc>
        <w:tc>
          <w:tcPr>
            <w:tcW w:w="0" w:type="auto"/>
          </w:tcPr>
          <w:p w14:paraId="7996418F" w14:textId="77777777" w:rsidR="00086305" w:rsidRDefault="00086305" w:rsidP="00D340F4">
            <w:pPr>
              <w:pStyle w:val="NoSpacing"/>
              <w:rPr>
                <w:sz w:val="24"/>
                <w:szCs w:val="24"/>
              </w:rPr>
            </w:pPr>
          </w:p>
        </w:tc>
        <w:tc>
          <w:tcPr>
            <w:tcW w:w="0" w:type="auto"/>
          </w:tcPr>
          <w:p w14:paraId="145E0A41" w14:textId="77777777" w:rsidR="00086305" w:rsidRDefault="00086305" w:rsidP="00D340F4">
            <w:pPr>
              <w:pStyle w:val="NoSpacing"/>
              <w:rPr>
                <w:sz w:val="24"/>
                <w:szCs w:val="24"/>
              </w:rPr>
            </w:pPr>
          </w:p>
        </w:tc>
        <w:tc>
          <w:tcPr>
            <w:tcW w:w="0" w:type="auto"/>
          </w:tcPr>
          <w:p w14:paraId="76BC2A77" w14:textId="70679B22" w:rsidR="00086305" w:rsidRDefault="00B47800" w:rsidP="00D340F4">
            <w:pPr>
              <w:pStyle w:val="NoSpacing"/>
              <w:rPr>
                <w:sz w:val="24"/>
                <w:szCs w:val="24"/>
              </w:rPr>
            </w:pPr>
            <w:proofErr w:type="gramStart"/>
            <w:r w:rsidRPr="00B47800">
              <w:rPr>
                <w:i/>
                <w:iCs/>
                <w:sz w:val="24"/>
                <w:szCs w:val="24"/>
              </w:rPr>
              <w:t>F</w:t>
            </w:r>
            <w:r w:rsidRPr="00B47800">
              <w:rPr>
                <w:sz w:val="24"/>
                <w:szCs w:val="24"/>
              </w:rPr>
              <w:t>(</w:t>
            </w:r>
            <w:proofErr w:type="gramEnd"/>
            <w:r w:rsidRPr="00B47800">
              <w:rPr>
                <w:sz w:val="24"/>
                <w:szCs w:val="24"/>
              </w:rPr>
              <w:t xml:space="preserve">5, 226) = 3.18, </w:t>
            </w:r>
            <w:r w:rsidRPr="00B47800">
              <w:rPr>
                <w:i/>
                <w:iCs/>
                <w:sz w:val="24"/>
                <w:szCs w:val="24"/>
              </w:rPr>
              <w:t xml:space="preserve">p </w:t>
            </w:r>
            <w:r w:rsidRPr="00B47800">
              <w:rPr>
                <w:sz w:val="24"/>
                <w:szCs w:val="24"/>
              </w:rPr>
              <w:t>= .01</w:t>
            </w:r>
          </w:p>
        </w:tc>
        <w:tc>
          <w:tcPr>
            <w:tcW w:w="0" w:type="auto"/>
          </w:tcPr>
          <w:p w14:paraId="2BB602AE" w14:textId="77777777" w:rsidR="00086305" w:rsidRDefault="00086305" w:rsidP="00D340F4">
            <w:pPr>
              <w:pStyle w:val="NoSpacing"/>
              <w:rPr>
                <w:sz w:val="24"/>
                <w:szCs w:val="24"/>
              </w:rPr>
            </w:pPr>
          </w:p>
        </w:tc>
        <w:tc>
          <w:tcPr>
            <w:tcW w:w="0" w:type="auto"/>
          </w:tcPr>
          <w:p w14:paraId="009192F9" w14:textId="77777777" w:rsidR="00086305" w:rsidRDefault="00086305" w:rsidP="00D340F4">
            <w:pPr>
              <w:pStyle w:val="NoSpacing"/>
              <w:rPr>
                <w:sz w:val="24"/>
                <w:szCs w:val="24"/>
              </w:rPr>
            </w:pPr>
          </w:p>
        </w:tc>
        <w:tc>
          <w:tcPr>
            <w:tcW w:w="0" w:type="auto"/>
          </w:tcPr>
          <w:p w14:paraId="6BC0120D" w14:textId="78F61193" w:rsidR="00086305" w:rsidRDefault="004E2689" w:rsidP="00D340F4">
            <w:pPr>
              <w:pStyle w:val="NoSpacing"/>
              <w:rPr>
                <w:sz w:val="24"/>
                <w:szCs w:val="24"/>
              </w:rPr>
            </w:pPr>
            <w:proofErr w:type="gramStart"/>
            <w:r w:rsidRPr="004E2689">
              <w:rPr>
                <w:i/>
                <w:iCs/>
                <w:sz w:val="24"/>
                <w:szCs w:val="24"/>
              </w:rPr>
              <w:t>F</w:t>
            </w:r>
            <w:r w:rsidRPr="004E2689">
              <w:rPr>
                <w:sz w:val="24"/>
                <w:szCs w:val="24"/>
              </w:rPr>
              <w:t>(</w:t>
            </w:r>
            <w:proofErr w:type="gramEnd"/>
            <w:r w:rsidRPr="004E2689">
              <w:rPr>
                <w:sz w:val="24"/>
                <w:szCs w:val="24"/>
              </w:rPr>
              <w:t xml:space="preserve">7, 224) = 21.86, </w:t>
            </w:r>
            <w:r w:rsidRPr="004E2689">
              <w:rPr>
                <w:i/>
                <w:iCs/>
                <w:sz w:val="24"/>
                <w:szCs w:val="24"/>
              </w:rPr>
              <w:t xml:space="preserve">p </w:t>
            </w:r>
            <w:r w:rsidRPr="004E2689">
              <w:rPr>
                <w:sz w:val="24"/>
                <w:szCs w:val="24"/>
              </w:rPr>
              <w:t>&lt; .01</w:t>
            </w:r>
          </w:p>
        </w:tc>
        <w:tc>
          <w:tcPr>
            <w:tcW w:w="0" w:type="auto"/>
          </w:tcPr>
          <w:p w14:paraId="42817462" w14:textId="77777777" w:rsidR="00086305" w:rsidRDefault="00086305" w:rsidP="00D340F4">
            <w:pPr>
              <w:pStyle w:val="NoSpacing"/>
              <w:rPr>
                <w:sz w:val="24"/>
                <w:szCs w:val="24"/>
              </w:rPr>
            </w:pPr>
          </w:p>
        </w:tc>
        <w:tc>
          <w:tcPr>
            <w:tcW w:w="0" w:type="auto"/>
          </w:tcPr>
          <w:p w14:paraId="7B5ABC20" w14:textId="77777777" w:rsidR="00086305" w:rsidRDefault="00086305" w:rsidP="00D340F4">
            <w:pPr>
              <w:pStyle w:val="NoSpacing"/>
              <w:rPr>
                <w:sz w:val="24"/>
                <w:szCs w:val="24"/>
              </w:rPr>
            </w:pPr>
          </w:p>
        </w:tc>
      </w:tr>
    </w:tbl>
    <w:p w14:paraId="4D9865B3" w14:textId="77777777" w:rsidR="00D340F4" w:rsidRDefault="00D340F4" w:rsidP="00D340F4">
      <w:pPr>
        <w:pStyle w:val="NoSpacing"/>
        <w:rPr>
          <w:sz w:val="24"/>
          <w:szCs w:val="24"/>
        </w:rPr>
      </w:pPr>
    </w:p>
    <w:p w14:paraId="46605F03" w14:textId="77777777" w:rsidR="00B56D7E" w:rsidRPr="00B56D7E" w:rsidRDefault="00B56D7E" w:rsidP="00B56D7E">
      <w:pPr>
        <w:kinsoku w:val="0"/>
        <w:overflowPunct w:val="0"/>
        <w:autoSpaceDE w:val="0"/>
        <w:autoSpaceDN w:val="0"/>
        <w:adjustRightInd w:val="0"/>
        <w:spacing w:before="10"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3239"/>
        <w:gridCol w:w="495"/>
        <w:gridCol w:w="495"/>
        <w:gridCol w:w="2387"/>
        <w:gridCol w:w="1226"/>
      </w:tblGrid>
      <w:tr w:rsidR="00B56D7E" w:rsidRPr="00B56D7E" w14:paraId="7693E604" w14:textId="77777777" w:rsidTr="00622721">
        <w:trPr>
          <w:trHeight w:val="290"/>
        </w:trPr>
        <w:tc>
          <w:tcPr>
            <w:tcW w:w="0" w:type="auto"/>
          </w:tcPr>
          <w:p w14:paraId="4B76A07E" w14:textId="77777777" w:rsidR="00B56D7E" w:rsidRPr="00B56D7E" w:rsidRDefault="00B56D7E" w:rsidP="00B56D7E">
            <w:pPr>
              <w:pStyle w:val="NoSpacing"/>
            </w:pPr>
          </w:p>
        </w:tc>
        <w:tc>
          <w:tcPr>
            <w:tcW w:w="0" w:type="auto"/>
          </w:tcPr>
          <w:p w14:paraId="20F7E7D4" w14:textId="77777777" w:rsidR="00B56D7E" w:rsidRPr="00B56D7E" w:rsidRDefault="00B56D7E" w:rsidP="00B56D7E">
            <w:pPr>
              <w:pStyle w:val="NoSpacing"/>
            </w:pPr>
          </w:p>
        </w:tc>
        <w:tc>
          <w:tcPr>
            <w:tcW w:w="0" w:type="auto"/>
          </w:tcPr>
          <w:p w14:paraId="618572A0" w14:textId="77777777" w:rsidR="00B56D7E" w:rsidRPr="00B56D7E" w:rsidRDefault="00B56D7E" w:rsidP="00B56D7E">
            <w:pPr>
              <w:pStyle w:val="NoSpacing"/>
            </w:pPr>
          </w:p>
        </w:tc>
        <w:tc>
          <w:tcPr>
            <w:tcW w:w="0" w:type="auto"/>
          </w:tcPr>
          <w:p w14:paraId="578B5052" w14:textId="558431AA" w:rsidR="00B56D7E" w:rsidRPr="00B56D7E" w:rsidRDefault="00B56D7E" w:rsidP="00B56D7E">
            <w:pPr>
              <w:pStyle w:val="NoSpacing"/>
            </w:pPr>
            <w:r w:rsidRPr="00B56D7E">
              <w:t>95% Confidence interval</w:t>
            </w:r>
          </w:p>
        </w:tc>
        <w:tc>
          <w:tcPr>
            <w:tcW w:w="0" w:type="auto"/>
          </w:tcPr>
          <w:p w14:paraId="16953EB8" w14:textId="77777777" w:rsidR="00B56D7E" w:rsidRPr="00B56D7E" w:rsidRDefault="00B56D7E" w:rsidP="00B56D7E">
            <w:pPr>
              <w:pStyle w:val="NoSpacing"/>
            </w:pPr>
          </w:p>
        </w:tc>
      </w:tr>
      <w:tr w:rsidR="00B56D7E" w:rsidRPr="00B56D7E" w14:paraId="3FFF68B9" w14:textId="77777777" w:rsidTr="00622721">
        <w:trPr>
          <w:trHeight w:val="290"/>
        </w:trPr>
        <w:tc>
          <w:tcPr>
            <w:tcW w:w="0" w:type="auto"/>
          </w:tcPr>
          <w:p w14:paraId="7A29C656" w14:textId="77777777" w:rsidR="00B56D7E" w:rsidRPr="00B56D7E" w:rsidRDefault="00B56D7E" w:rsidP="00B56D7E">
            <w:pPr>
              <w:pStyle w:val="NoSpacing"/>
            </w:pPr>
            <w:r w:rsidRPr="00B56D7E">
              <w:t>Indirect effect</w:t>
            </w:r>
          </w:p>
        </w:tc>
        <w:tc>
          <w:tcPr>
            <w:tcW w:w="0" w:type="auto"/>
          </w:tcPr>
          <w:p w14:paraId="2FAABFB0" w14:textId="77777777" w:rsidR="00B56D7E" w:rsidRPr="00B56D7E" w:rsidRDefault="00B56D7E" w:rsidP="00B56D7E">
            <w:pPr>
              <w:pStyle w:val="NoSpacing"/>
            </w:pPr>
            <w:r w:rsidRPr="00B56D7E">
              <w:t>B</w:t>
            </w:r>
          </w:p>
        </w:tc>
        <w:tc>
          <w:tcPr>
            <w:tcW w:w="0" w:type="auto"/>
          </w:tcPr>
          <w:p w14:paraId="448892E3" w14:textId="77777777" w:rsidR="00B56D7E" w:rsidRPr="00B56D7E" w:rsidRDefault="00B56D7E" w:rsidP="00B56D7E">
            <w:pPr>
              <w:pStyle w:val="NoSpacing"/>
            </w:pPr>
            <w:r w:rsidRPr="00B56D7E">
              <w:t>SE</w:t>
            </w:r>
          </w:p>
        </w:tc>
        <w:tc>
          <w:tcPr>
            <w:tcW w:w="0" w:type="auto"/>
          </w:tcPr>
          <w:p w14:paraId="4677E109" w14:textId="77777777" w:rsidR="00B56D7E" w:rsidRPr="00B56D7E" w:rsidRDefault="00B56D7E" w:rsidP="00B56D7E">
            <w:pPr>
              <w:pStyle w:val="NoSpacing"/>
            </w:pPr>
            <w:r w:rsidRPr="00B56D7E">
              <w:t>Lower limit</w:t>
            </w:r>
          </w:p>
        </w:tc>
        <w:tc>
          <w:tcPr>
            <w:tcW w:w="0" w:type="auto"/>
          </w:tcPr>
          <w:p w14:paraId="0000F68E" w14:textId="77777777" w:rsidR="00B56D7E" w:rsidRPr="00B56D7E" w:rsidRDefault="00B56D7E" w:rsidP="00B56D7E">
            <w:pPr>
              <w:pStyle w:val="NoSpacing"/>
            </w:pPr>
            <w:r w:rsidRPr="00B56D7E">
              <w:t>Upper limit</w:t>
            </w:r>
          </w:p>
        </w:tc>
      </w:tr>
      <w:tr w:rsidR="00B56D7E" w:rsidRPr="00B56D7E" w14:paraId="28FB6710" w14:textId="77777777" w:rsidTr="00622721">
        <w:trPr>
          <w:trHeight w:val="220"/>
        </w:trPr>
        <w:tc>
          <w:tcPr>
            <w:tcW w:w="0" w:type="auto"/>
          </w:tcPr>
          <w:p w14:paraId="44615175" w14:textId="77777777" w:rsidR="00B56D7E" w:rsidRPr="00B56D7E" w:rsidRDefault="00B56D7E" w:rsidP="00B56D7E">
            <w:pPr>
              <w:pStyle w:val="NoSpacing"/>
            </w:pPr>
            <w:r w:rsidRPr="00B56D7E">
              <w:t>Total indirect effect</w:t>
            </w:r>
          </w:p>
        </w:tc>
        <w:tc>
          <w:tcPr>
            <w:tcW w:w="0" w:type="auto"/>
          </w:tcPr>
          <w:p w14:paraId="647ECB5F" w14:textId="77777777" w:rsidR="00B56D7E" w:rsidRPr="00B56D7E" w:rsidRDefault="00B56D7E" w:rsidP="00B56D7E">
            <w:pPr>
              <w:pStyle w:val="NoSpacing"/>
            </w:pPr>
            <w:r w:rsidRPr="00B56D7E">
              <w:t>.90</w:t>
            </w:r>
          </w:p>
        </w:tc>
        <w:tc>
          <w:tcPr>
            <w:tcW w:w="0" w:type="auto"/>
          </w:tcPr>
          <w:p w14:paraId="6F4CDB7E" w14:textId="77777777" w:rsidR="00B56D7E" w:rsidRPr="00B56D7E" w:rsidRDefault="00B56D7E" w:rsidP="00B56D7E">
            <w:pPr>
              <w:pStyle w:val="NoSpacing"/>
            </w:pPr>
            <w:r w:rsidRPr="00B56D7E">
              <w:t>.28</w:t>
            </w:r>
          </w:p>
        </w:tc>
        <w:tc>
          <w:tcPr>
            <w:tcW w:w="0" w:type="auto"/>
          </w:tcPr>
          <w:p w14:paraId="728D64C2" w14:textId="77777777" w:rsidR="00B56D7E" w:rsidRPr="00B56D7E" w:rsidRDefault="00B56D7E" w:rsidP="00B56D7E">
            <w:pPr>
              <w:pStyle w:val="NoSpacing"/>
            </w:pPr>
            <w:r w:rsidRPr="00B56D7E">
              <w:t>.41</w:t>
            </w:r>
          </w:p>
        </w:tc>
        <w:tc>
          <w:tcPr>
            <w:tcW w:w="0" w:type="auto"/>
          </w:tcPr>
          <w:p w14:paraId="355F6D93" w14:textId="77777777" w:rsidR="00B56D7E" w:rsidRPr="00B56D7E" w:rsidRDefault="00B56D7E" w:rsidP="00B56D7E">
            <w:pPr>
              <w:pStyle w:val="NoSpacing"/>
            </w:pPr>
            <w:r w:rsidRPr="00B56D7E">
              <w:t>1.48</w:t>
            </w:r>
          </w:p>
        </w:tc>
      </w:tr>
      <w:tr w:rsidR="00B56D7E" w:rsidRPr="00B56D7E" w14:paraId="552D10A1" w14:textId="77777777" w:rsidTr="00622721">
        <w:trPr>
          <w:trHeight w:val="190"/>
        </w:trPr>
        <w:tc>
          <w:tcPr>
            <w:tcW w:w="0" w:type="auto"/>
          </w:tcPr>
          <w:p w14:paraId="4FAD8F4D" w14:textId="77777777" w:rsidR="00B56D7E" w:rsidRPr="00B56D7E" w:rsidRDefault="00B56D7E" w:rsidP="00B56D7E">
            <w:pPr>
              <w:pStyle w:val="NoSpacing"/>
            </w:pPr>
            <w:r w:rsidRPr="00B56D7E">
              <w:t>Anxiety sensitivity</w:t>
            </w:r>
          </w:p>
        </w:tc>
        <w:tc>
          <w:tcPr>
            <w:tcW w:w="0" w:type="auto"/>
          </w:tcPr>
          <w:p w14:paraId="505F698B" w14:textId="77777777" w:rsidR="00B56D7E" w:rsidRPr="00B56D7E" w:rsidRDefault="00B56D7E" w:rsidP="00B56D7E">
            <w:pPr>
              <w:pStyle w:val="NoSpacing"/>
            </w:pPr>
            <w:r w:rsidRPr="00B56D7E">
              <w:t>.65</w:t>
            </w:r>
          </w:p>
        </w:tc>
        <w:tc>
          <w:tcPr>
            <w:tcW w:w="0" w:type="auto"/>
          </w:tcPr>
          <w:p w14:paraId="7760DAE6" w14:textId="77777777" w:rsidR="00B56D7E" w:rsidRPr="00B56D7E" w:rsidRDefault="00B56D7E" w:rsidP="00B56D7E">
            <w:pPr>
              <w:pStyle w:val="NoSpacing"/>
            </w:pPr>
            <w:r w:rsidRPr="00B56D7E">
              <w:t>.24</w:t>
            </w:r>
          </w:p>
        </w:tc>
        <w:tc>
          <w:tcPr>
            <w:tcW w:w="0" w:type="auto"/>
          </w:tcPr>
          <w:p w14:paraId="59BAAEDA" w14:textId="77777777" w:rsidR="00B56D7E" w:rsidRPr="00B56D7E" w:rsidRDefault="00B56D7E" w:rsidP="00B56D7E">
            <w:pPr>
              <w:pStyle w:val="NoSpacing"/>
            </w:pPr>
            <w:r w:rsidRPr="00B56D7E">
              <w:t>.21</w:t>
            </w:r>
          </w:p>
        </w:tc>
        <w:tc>
          <w:tcPr>
            <w:tcW w:w="0" w:type="auto"/>
          </w:tcPr>
          <w:p w14:paraId="69D2C06D" w14:textId="77777777" w:rsidR="00B56D7E" w:rsidRPr="00B56D7E" w:rsidRDefault="00B56D7E" w:rsidP="00B56D7E">
            <w:pPr>
              <w:pStyle w:val="NoSpacing"/>
            </w:pPr>
            <w:r w:rsidRPr="00B56D7E">
              <w:t>1.15</w:t>
            </w:r>
          </w:p>
        </w:tc>
      </w:tr>
      <w:tr w:rsidR="00B56D7E" w:rsidRPr="00B56D7E" w14:paraId="21D9EE9C" w14:textId="77777777" w:rsidTr="00622721">
        <w:trPr>
          <w:trHeight w:val="190"/>
        </w:trPr>
        <w:tc>
          <w:tcPr>
            <w:tcW w:w="0" w:type="auto"/>
          </w:tcPr>
          <w:p w14:paraId="3CE3D412" w14:textId="77777777" w:rsidR="00B56D7E" w:rsidRPr="00B56D7E" w:rsidRDefault="00B56D7E" w:rsidP="00B56D7E">
            <w:pPr>
              <w:pStyle w:val="NoSpacing"/>
            </w:pPr>
            <w:r w:rsidRPr="00B56D7E">
              <w:t>Expressive suppression</w:t>
            </w:r>
          </w:p>
        </w:tc>
        <w:tc>
          <w:tcPr>
            <w:tcW w:w="0" w:type="auto"/>
          </w:tcPr>
          <w:p w14:paraId="0B4B7961" w14:textId="77777777" w:rsidR="00B56D7E" w:rsidRPr="00B56D7E" w:rsidRDefault="00B56D7E" w:rsidP="00B56D7E">
            <w:pPr>
              <w:pStyle w:val="NoSpacing"/>
            </w:pPr>
            <w:r w:rsidRPr="00B56D7E">
              <w:t>.26</w:t>
            </w:r>
          </w:p>
        </w:tc>
        <w:tc>
          <w:tcPr>
            <w:tcW w:w="0" w:type="auto"/>
          </w:tcPr>
          <w:p w14:paraId="697C329C" w14:textId="77777777" w:rsidR="00B56D7E" w:rsidRPr="00B56D7E" w:rsidRDefault="00B56D7E" w:rsidP="00B56D7E">
            <w:pPr>
              <w:pStyle w:val="NoSpacing"/>
            </w:pPr>
            <w:r w:rsidRPr="00B56D7E">
              <w:t>.13</w:t>
            </w:r>
          </w:p>
        </w:tc>
        <w:tc>
          <w:tcPr>
            <w:tcW w:w="0" w:type="auto"/>
          </w:tcPr>
          <w:p w14:paraId="5CAE8999" w14:textId="77777777" w:rsidR="00B56D7E" w:rsidRPr="00B56D7E" w:rsidRDefault="00B56D7E" w:rsidP="00B56D7E">
            <w:pPr>
              <w:pStyle w:val="NoSpacing"/>
            </w:pPr>
            <w:r w:rsidRPr="00B56D7E">
              <w:t>.07</w:t>
            </w:r>
          </w:p>
        </w:tc>
        <w:tc>
          <w:tcPr>
            <w:tcW w:w="0" w:type="auto"/>
          </w:tcPr>
          <w:p w14:paraId="2EE1A73F" w14:textId="77777777" w:rsidR="00B56D7E" w:rsidRPr="00B56D7E" w:rsidRDefault="00B56D7E" w:rsidP="00B56D7E">
            <w:pPr>
              <w:pStyle w:val="NoSpacing"/>
            </w:pPr>
            <w:r w:rsidRPr="00B56D7E">
              <w:t>.56</w:t>
            </w:r>
          </w:p>
        </w:tc>
      </w:tr>
      <w:tr w:rsidR="00B56D7E" w:rsidRPr="00B56D7E" w14:paraId="46B1D8BC" w14:textId="77777777" w:rsidTr="00622721">
        <w:trPr>
          <w:trHeight w:val="190"/>
        </w:trPr>
        <w:tc>
          <w:tcPr>
            <w:tcW w:w="0" w:type="auto"/>
          </w:tcPr>
          <w:p w14:paraId="40A39E87" w14:textId="77777777" w:rsidR="00B56D7E" w:rsidRPr="00B56D7E" w:rsidRDefault="00B56D7E" w:rsidP="00B56D7E">
            <w:pPr>
              <w:pStyle w:val="NoSpacing"/>
            </w:pPr>
            <w:r w:rsidRPr="00B56D7E">
              <w:t>Comparison of indirect effects</w:t>
            </w:r>
          </w:p>
        </w:tc>
        <w:tc>
          <w:tcPr>
            <w:tcW w:w="0" w:type="auto"/>
          </w:tcPr>
          <w:p w14:paraId="6005824C" w14:textId="77777777" w:rsidR="00B56D7E" w:rsidRPr="00B56D7E" w:rsidRDefault="00B56D7E" w:rsidP="00B56D7E">
            <w:pPr>
              <w:pStyle w:val="NoSpacing"/>
            </w:pPr>
          </w:p>
        </w:tc>
        <w:tc>
          <w:tcPr>
            <w:tcW w:w="0" w:type="auto"/>
          </w:tcPr>
          <w:p w14:paraId="4E6494F8" w14:textId="77777777" w:rsidR="00B56D7E" w:rsidRPr="00B56D7E" w:rsidRDefault="00B56D7E" w:rsidP="00B56D7E">
            <w:pPr>
              <w:pStyle w:val="NoSpacing"/>
            </w:pPr>
          </w:p>
        </w:tc>
        <w:tc>
          <w:tcPr>
            <w:tcW w:w="0" w:type="auto"/>
          </w:tcPr>
          <w:p w14:paraId="03B3D580" w14:textId="77777777" w:rsidR="00B56D7E" w:rsidRPr="00B56D7E" w:rsidRDefault="00B56D7E" w:rsidP="00B56D7E">
            <w:pPr>
              <w:pStyle w:val="NoSpacing"/>
            </w:pPr>
          </w:p>
        </w:tc>
        <w:tc>
          <w:tcPr>
            <w:tcW w:w="0" w:type="auto"/>
          </w:tcPr>
          <w:p w14:paraId="25123617" w14:textId="77777777" w:rsidR="00B56D7E" w:rsidRPr="00B56D7E" w:rsidRDefault="00B56D7E" w:rsidP="00B56D7E">
            <w:pPr>
              <w:pStyle w:val="NoSpacing"/>
            </w:pPr>
          </w:p>
        </w:tc>
      </w:tr>
      <w:tr w:rsidR="00B56D7E" w:rsidRPr="00B56D7E" w14:paraId="1F92A338" w14:textId="77777777" w:rsidTr="00622721">
        <w:trPr>
          <w:trHeight w:val="187"/>
        </w:trPr>
        <w:tc>
          <w:tcPr>
            <w:tcW w:w="0" w:type="auto"/>
          </w:tcPr>
          <w:p w14:paraId="2FD48FF8" w14:textId="77777777" w:rsidR="00B56D7E" w:rsidRPr="00B56D7E" w:rsidRDefault="00B56D7E" w:rsidP="00B56D7E">
            <w:pPr>
              <w:pStyle w:val="NoSpacing"/>
            </w:pPr>
            <w:r w:rsidRPr="00B56D7E">
              <w:t>Suppression vs. anxiety sensitivity</w:t>
            </w:r>
          </w:p>
        </w:tc>
        <w:tc>
          <w:tcPr>
            <w:tcW w:w="0" w:type="auto"/>
          </w:tcPr>
          <w:p w14:paraId="08A3F79C" w14:textId="77777777" w:rsidR="00B56D7E" w:rsidRPr="00B56D7E" w:rsidRDefault="00B56D7E" w:rsidP="00B56D7E">
            <w:pPr>
              <w:pStyle w:val="NoSpacing"/>
            </w:pPr>
            <w:r w:rsidRPr="00B56D7E">
              <w:t>.39</w:t>
            </w:r>
          </w:p>
        </w:tc>
        <w:tc>
          <w:tcPr>
            <w:tcW w:w="0" w:type="auto"/>
          </w:tcPr>
          <w:p w14:paraId="155EDF56" w14:textId="77777777" w:rsidR="00B56D7E" w:rsidRPr="00B56D7E" w:rsidRDefault="00B56D7E" w:rsidP="00B56D7E">
            <w:pPr>
              <w:pStyle w:val="NoSpacing"/>
            </w:pPr>
            <w:r w:rsidRPr="00B56D7E">
              <w:t>.27</w:t>
            </w:r>
          </w:p>
        </w:tc>
        <w:tc>
          <w:tcPr>
            <w:tcW w:w="0" w:type="auto"/>
          </w:tcPr>
          <w:p w14:paraId="73AA9A8A" w14:textId="77777777" w:rsidR="00B56D7E" w:rsidRPr="00B56D7E" w:rsidRDefault="00B56D7E" w:rsidP="00B56D7E">
            <w:pPr>
              <w:pStyle w:val="NoSpacing"/>
            </w:pPr>
            <w:r w:rsidRPr="00B56D7E">
              <w:t>-.95</w:t>
            </w:r>
          </w:p>
        </w:tc>
        <w:tc>
          <w:tcPr>
            <w:tcW w:w="0" w:type="auto"/>
          </w:tcPr>
          <w:p w14:paraId="72F79817" w14:textId="77777777" w:rsidR="00B56D7E" w:rsidRPr="00B56D7E" w:rsidRDefault="00B56D7E" w:rsidP="00B56D7E">
            <w:pPr>
              <w:pStyle w:val="NoSpacing"/>
            </w:pPr>
            <w:r w:rsidRPr="00B56D7E">
              <w:t>.13</w:t>
            </w:r>
          </w:p>
        </w:tc>
      </w:tr>
    </w:tbl>
    <w:p w14:paraId="7CDB439D" w14:textId="77777777" w:rsidR="00B56D7E" w:rsidRDefault="00B56D7E" w:rsidP="00D340F4">
      <w:pPr>
        <w:pStyle w:val="NoSpacing"/>
        <w:rPr>
          <w:sz w:val="24"/>
          <w:szCs w:val="24"/>
        </w:rPr>
      </w:pPr>
    </w:p>
    <w:p w14:paraId="258328E4" w14:textId="77777777" w:rsidR="00D340F4" w:rsidRDefault="00D340F4" w:rsidP="00D340F4">
      <w:pPr>
        <w:pStyle w:val="NoSpacing"/>
        <w:rPr>
          <w:sz w:val="24"/>
          <w:szCs w:val="24"/>
        </w:rPr>
      </w:pPr>
    </w:p>
    <w:p w14:paraId="15F951EF" w14:textId="77777777" w:rsidR="00D340F4" w:rsidRPr="00430A13" w:rsidRDefault="00D340F4" w:rsidP="00D340F4">
      <w:pPr>
        <w:pStyle w:val="NoSpacing"/>
      </w:pPr>
    </w:p>
    <w:p w14:paraId="0ABD5222" w14:textId="77777777" w:rsidR="00430A13" w:rsidRPr="00D340F4" w:rsidRDefault="00430A13" w:rsidP="00D340F4">
      <w:pPr>
        <w:pStyle w:val="Heading3"/>
        <w:rPr>
          <w:i/>
          <w:iCs/>
        </w:rPr>
      </w:pPr>
      <w:r w:rsidRPr="00D340F4">
        <w:rPr>
          <w:i/>
          <w:iCs/>
        </w:rPr>
        <w:t>Hypothesis 2</w:t>
      </w:r>
    </w:p>
    <w:p w14:paraId="1C049F7F" w14:textId="3BAC2ECC" w:rsidR="00430A13" w:rsidRPr="00A34604" w:rsidRDefault="00430A13" w:rsidP="00A34604">
      <w:pPr>
        <w:spacing w:after="0"/>
        <w:rPr>
          <w:rFonts w:cstheme="minorHAnsi"/>
          <w:sz w:val="24"/>
          <w:szCs w:val="24"/>
        </w:rPr>
      </w:pPr>
      <w:r w:rsidRPr="00430A13">
        <w:rPr>
          <w:rFonts w:cstheme="minorHAnsi"/>
          <w:sz w:val="24"/>
          <w:szCs w:val="24"/>
        </w:rPr>
        <w:t xml:space="preserve">The second aim explored the roles of anxiety sensitivity and expressive suppression in the relationship between sexism and depression. The overall model was significant, </w:t>
      </w:r>
      <w:r w:rsidRPr="00430A13">
        <w:rPr>
          <w:rFonts w:cstheme="minorHAnsi"/>
          <w:i/>
          <w:iCs/>
          <w:sz w:val="24"/>
          <w:szCs w:val="24"/>
        </w:rPr>
        <w:t>R</w:t>
      </w:r>
      <w:r w:rsidRPr="00430A13">
        <w:rPr>
          <w:rFonts w:cstheme="minorHAnsi"/>
          <w:sz w:val="24"/>
          <w:szCs w:val="24"/>
          <w:vertAlign w:val="superscript"/>
        </w:rPr>
        <w:t>2</w:t>
      </w:r>
      <w:r w:rsidRPr="00430A13">
        <w:rPr>
          <w:rFonts w:cstheme="minorHAnsi"/>
          <w:sz w:val="24"/>
          <w:szCs w:val="24"/>
        </w:rPr>
        <w:t xml:space="preserve"> = .43, </w:t>
      </w:r>
      <w:proofErr w:type="gramStart"/>
      <w:r w:rsidRPr="00430A13">
        <w:rPr>
          <w:rFonts w:cstheme="minorHAnsi"/>
          <w:i/>
          <w:iCs/>
          <w:sz w:val="24"/>
          <w:szCs w:val="24"/>
        </w:rPr>
        <w:t>F</w:t>
      </w:r>
      <w:r w:rsidRPr="00430A13">
        <w:rPr>
          <w:rFonts w:cstheme="minorHAnsi"/>
          <w:sz w:val="24"/>
          <w:szCs w:val="24"/>
        </w:rPr>
        <w:t>(</w:t>
      </w:r>
      <w:proofErr w:type="gramEnd"/>
      <w:r w:rsidRPr="00430A13">
        <w:rPr>
          <w:rFonts w:cstheme="minorHAnsi"/>
          <w:sz w:val="24"/>
          <w:szCs w:val="24"/>
        </w:rPr>
        <w:t xml:space="preserve">7, 224) = 23.73, </w:t>
      </w:r>
      <w:r w:rsidRPr="00430A13">
        <w:rPr>
          <w:rFonts w:cstheme="minorHAnsi"/>
          <w:i/>
          <w:iCs/>
          <w:sz w:val="24"/>
          <w:szCs w:val="24"/>
        </w:rPr>
        <w:t>p</w:t>
      </w:r>
      <w:r w:rsidRPr="00430A13">
        <w:rPr>
          <w:rFonts w:cstheme="minorHAnsi"/>
          <w:sz w:val="24"/>
          <w:szCs w:val="24"/>
        </w:rPr>
        <w:t xml:space="preserve"> &lt; .001 (see </w:t>
      </w:r>
      <w:r w:rsidRPr="0042250A">
        <w:rPr>
          <w:rFonts w:cstheme="minorHAnsi"/>
          <w:sz w:val="24"/>
          <w:szCs w:val="24"/>
        </w:rPr>
        <w:t>Table 3</w:t>
      </w:r>
      <w:r w:rsidRPr="00430A13">
        <w:rPr>
          <w:rFonts w:cstheme="minorHAnsi"/>
          <w:sz w:val="24"/>
          <w:szCs w:val="24"/>
        </w:rPr>
        <w:t xml:space="preserve">). The estimated effect size of the total model was Cohen’s </w:t>
      </w:r>
      <w:r w:rsidRPr="00430A13">
        <w:rPr>
          <w:rFonts w:cstheme="minorHAnsi"/>
          <w:i/>
          <w:iCs/>
          <w:sz w:val="24"/>
          <w:szCs w:val="24"/>
        </w:rPr>
        <w:t>f</w:t>
      </w:r>
      <w:r w:rsidRPr="00430A13">
        <w:rPr>
          <w:rFonts w:cstheme="minorHAnsi"/>
          <w:sz w:val="24"/>
          <w:szCs w:val="24"/>
          <w:vertAlign w:val="superscript"/>
        </w:rPr>
        <w:t>2</w:t>
      </w:r>
      <w:r w:rsidRPr="00430A13">
        <w:rPr>
          <w:rFonts w:cstheme="minorHAnsi"/>
          <w:sz w:val="24"/>
          <w:szCs w:val="24"/>
        </w:rPr>
        <w:t xml:space="preserve"> = .75. As expected, the total effect was significant, meaning sexist discrimination significantly related to increased depression symptoms, </w:t>
      </w:r>
      <w:r w:rsidRPr="00430A13">
        <w:rPr>
          <w:rFonts w:cstheme="minorHAnsi"/>
          <w:i/>
          <w:iCs/>
          <w:sz w:val="24"/>
          <w:szCs w:val="24"/>
        </w:rPr>
        <w:t>t</w:t>
      </w:r>
      <w:r w:rsidRPr="00430A13">
        <w:rPr>
          <w:rFonts w:cstheme="minorHAnsi"/>
          <w:sz w:val="24"/>
          <w:szCs w:val="24"/>
        </w:rPr>
        <w:t xml:space="preserve"> = 6.93, </w:t>
      </w:r>
      <w:r w:rsidRPr="00430A13">
        <w:rPr>
          <w:rFonts w:cstheme="minorHAnsi"/>
          <w:i/>
          <w:iCs/>
          <w:sz w:val="24"/>
          <w:szCs w:val="24"/>
        </w:rPr>
        <w:t>p</w:t>
      </w:r>
      <w:r w:rsidRPr="00430A13">
        <w:rPr>
          <w:rFonts w:cstheme="minorHAnsi"/>
          <w:sz w:val="24"/>
          <w:szCs w:val="24"/>
        </w:rPr>
        <w:t xml:space="preserve"> &lt; .001. Consistent with the proposed hypothesis, sexist discrimination was significantly related to increased anxiety sensitivity, </w:t>
      </w:r>
      <w:r w:rsidRPr="00430A13">
        <w:rPr>
          <w:rFonts w:cstheme="minorHAnsi"/>
          <w:i/>
          <w:iCs/>
          <w:sz w:val="24"/>
          <w:szCs w:val="24"/>
        </w:rPr>
        <w:t>t</w:t>
      </w:r>
      <w:r w:rsidRPr="00430A13">
        <w:rPr>
          <w:rFonts w:cstheme="minorHAnsi"/>
          <w:sz w:val="24"/>
          <w:szCs w:val="24"/>
        </w:rPr>
        <w:t xml:space="preserve"> = 3.98, </w:t>
      </w:r>
      <w:r w:rsidRPr="00430A13">
        <w:rPr>
          <w:rFonts w:cstheme="minorHAnsi"/>
          <w:i/>
          <w:iCs/>
          <w:sz w:val="24"/>
          <w:szCs w:val="24"/>
        </w:rPr>
        <w:t>p</w:t>
      </w:r>
      <w:r w:rsidRPr="00430A13">
        <w:rPr>
          <w:rFonts w:cstheme="minorHAnsi"/>
          <w:sz w:val="24"/>
          <w:szCs w:val="24"/>
        </w:rPr>
        <w:t xml:space="preserve"> &lt; .001, and anxiety sensitivity was significantly related to depression symptoms, </w:t>
      </w:r>
      <w:r w:rsidRPr="00430A13">
        <w:rPr>
          <w:rFonts w:cstheme="minorHAnsi"/>
          <w:i/>
          <w:iCs/>
          <w:sz w:val="24"/>
          <w:szCs w:val="24"/>
        </w:rPr>
        <w:t>t</w:t>
      </w:r>
      <w:r w:rsidRPr="00430A13">
        <w:rPr>
          <w:rFonts w:cstheme="minorHAnsi"/>
          <w:sz w:val="24"/>
          <w:szCs w:val="24"/>
        </w:rPr>
        <w:t xml:space="preserve"> = 7.07, </w:t>
      </w:r>
      <w:r w:rsidRPr="00430A13">
        <w:rPr>
          <w:rFonts w:cstheme="minorHAnsi"/>
          <w:i/>
          <w:iCs/>
          <w:sz w:val="24"/>
          <w:szCs w:val="24"/>
        </w:rPr>
        <w:t>p</w:t>
      </w:r>
      <w:r w:rsidRPr="00430A13">
        <w:rPr>
          <w:rFonts w:cstheme="minorHAnsi"/>
          <w:sz w:val="24"/>
          <w:szCs w:val="24"/>
        </w:rPr>
        <w:t xml:space="preserve"> &lt; .001. However, sexist discrimination was not significantly related to expressive suppression, </w:t>
      </w:r>
      <w:r w:rsidRPr="00430A13">
        <w:rPr>
          <w:rFonts w:cstheme="minorHAnsi"/>
          <w:i/>
          <w:iCs/>
          <w:sz w:val="24"/>
          <w:szCs w:val="24"/>
        </w:rPr>
        <w:t>t</w:t>
      </w:r>
      <w:r w:rsidRPr="00430A13">
        <w:rPr>
          <w:rFonts w:cstheme="minorHAnsi"/>
          <w:sz w:val="24"/>
          <w:szCs w:val="24"/>
        </w:rPr>
        <w:t xml:space="preserve"> = 1.78, </w:t>
      </w:r>
      <w:r w:rsidRPr="00430A13">
        <w:rPr>
          <w:rFonts w:cstheme="minorHAnsi"/>
          <w:i/>
          <w:iCs/>
          <w:sz w:val="24"/>
          <w:szCs w:val="24"/>
        </w:rPr>
        <w:t>p</w:t>
      </w:r>
      <w:r w:rsidRPr="00430A13">
        <w:rPr>
          <w:rFonts w:cstheme="minorHAnsi"/>
          <w:sz w:val="24"/>
          <w:szCs w:val="24"/>
        </w:rPr>
        <w:t xml:space="preserve"> = .07. Expressive suppression was associated with depression symptoms, </w:t>
      </w:r>
      <w:r w:rsidRPr="00430A13">
        <w:rPr>
          <w:rFonts w:cstheme="minorHAnsi"/>
          <w:i/>
          <w:iCs/>
          <w:sz w:val="24"/>
          <w:szCs w:val="24"/>
        </w:rPr>
        <w:t>t</w:t>
      </w:r>
      <w:r w:rsidRPr="00430A13">
        <w:rPr>
          <w:rFonts w:cstheme="minorHAnsi"/>
          <w:sz w:val="24"/>
          <w:szCs w:val="24"/>
        </w:rPr>
        <w:t xml:space="preserve"> = 3.30, </w:t>
      </w:r>
      <w:r w:rsidRPr="00430A13">
        <w:rPr>
          <w:rFonts w:cstheme="minorHAnsi"/>
          <w:i/>
          <w:iCs/>
          <w:sz w:val="24"/>
          <w:szCs w:val="24"/>
        </w:rPr>
        <w:t>p</w:t>
      </w:r>
      <w:r w:rsidRPr="00430A13">
        <w:rPr>
          <w:rFonts w:cstheme="minorHAnsi"/>
          <w:sz w:val="24"/>
          <w:szCs w:val="24"/>
        </w:rPr>
        <w:t xml:space="preserve"> &lt; .01. Thus, Hypothesis 2 was partially supported. The total indirect effect of sexist discrimination on depression symptoms was statistically significant (effect = .80, 95% CI [.36, 1.32]). Upon further examination, results demonstrated that anxiety sensitivity served as an indirect effect (effect = .66, 95% CI [.29, 1.13]), while the expressive suppression pathway was approaching statistical significance (effect = .14, 95% CI [−.001, .40]). As such, the comparison indicated that the indirect effect of anxiety sensitivity was significantly larger than that of expressive suppression (effect = .52, 95% CI [−.98, −.14]).</w:t>
      </w:r>
      <w:r w:rsidRPr="00430A13">
        <w:rPr>
          <w:rFonts w:cstheme="minorHAnsi"/>
          <w:sz w:val="24"/>
          <w:szCs w:val="24"/>
        </w:rPr>
        <w:br/>
      </w:r>
      <w:r w:rsidRPr="00430A13">
        <w:rPr>
          <w:rFonts w:cstheme="minorHAnsi"/>
          <w:sz w:val="24"/>
          <w:szCs w:val="24"/>
        </w:rPr>
        <w:br/>
      </w:r>
      <w:r w:rsidR="004F3B6E" w:rsidRPr="00A34604">
        <w:rPr>
          <w:rFonts w:cstheme="minorHAnsi"/>
          <w:noProof/>
          <w:sz w:val="24"/>
          <w:szCs w:val="24"/>
        </w:rPr>
        <w:t xml:space="preserve">Table 3. </w:t>
      </w:r>
      <w:r w:rsidRPr="00A34604">
        <w:rPr>
          <w:rFonts w:cstheme="minorHAnsi"/>
          <w:sz w:val="24"/>
          <w:szCs w:val="24"/>
        </w:rPr>
        <w:t>Model Summary of the Indirect Effect of Sexism on Depression through Anxiety Sensitivity and Expressive Suppression</w:t>
      </w:r>
    </w:p>
    <w:tbl>
      <w:tblPr>
        <w:tblStyle w:val="TableGrid"/>
        <w:tblW w:w="0" w:type="auto"/>
        <w:tblLook w:val="04A0" w:firstRow="1" w:lastRow="0" w:firstColumn="1" w:lastColumn="0" w:noHBand="0" w:noVBand="1"/>
      </w:tblPr>
      <w:tblGrid>
        <w:gridCol w:w="1602"/>
        <w:gridCol w:w="1469"/>
        <w:gridCol w:w="642"/>
        <w:gridCol w:w="640"/>
        <w:gridCol w:w="1705"/>
        <w:gridCol w:w="520"/>
        <w:gridCol w:w="640"/>
        <w:gridCol w:w="1570"/>
        <w:gridCol w:w="642"/>
        <w:gridCol w:w="640"/>
      </w:tblGrid>
      <w:tr w:rsidR="001F304C" w14:paraId="548949CC" w14:textId="77777777" w:rsidTr="00946656">
        <w:tc>
          <w:tcPr>
            <w:tcW w:w="0" w:type="auto"/>
          </w:tcPr>
          <w:p w14:paraId="494A1BA4" w14:textId="66B7249C" w:rsidR="002D43F8" w:rsidRDefault="002D43F8" w:rsidP="00430A13">
            <w:pPr>
              <w:rPr>
                <w:rFonts w:cstheme="minorHAnsi"/>
                <w:sz w:val="24"/>
                <w:szCs w:val="24"/>
              </w:rPr>
            </w:pPr>
            <w:r>
              <w:rPr>
                <w:rFonts w:cstheme="minorHAnsi"/>
                <w:sz w:val="24"/>
                <w:szCs w:val="24"/>
              </w:rPr>
              <w:t>Outcome</w:t>
            </w:r>
          </w:p>
        </w:tc>
        <w:tc>
          <w:tcPr>
            <w:tcW w:w="0" w:type="auto"/>
          </w:tcPr>
          <w:p w14:paraId="3B132BA2" w14:textId="77777777" w:rsidR="002D43F8" w:rsidRDefault="002D43F8" w:rsidP="00430A13">
            <w:pPr>
              <w:rPr>
                <w:rFonts w:cstheme="minorHAnsi"/>
                <w:sz w:val="24"/>
                <w:szCs w:val="24"/>
              </w:rPr>
            </w:pPr>
          </w:p>
        </w:tc>
        <w:tc>
          <w:tcPr>
            <w:tcW w:w="0" w:type="auto"/>
          </w:tcPr>
          <w:p w14:paraId="697DC382" w14:textId="77777777" w:rsidR="002D43F8" w:rsidRDefault="002D43F8" w:rsidP="00430A13">
            <w:pPr>
              <w:rPr>
                <w:rFonts w:cstheme="minorHAnsi"/>
                <w:sz w:val="24"/>
                <w:szCs w:val="24"/>
              </w:rPr>
            </w:pPr>
          </w:p>
        </w:tc>
        <w:tc>
          <w:tcPr>
            <w:tcW w:w="0" w:type="auto"/>
          </w:tcPr>
          <w:p w14:paraId="18C25461" w14:textId="77777777" w:rsidR="002D43F8" w:rsidRDefault="002D43F8" w:rsidP="00430A13">
            <w:pPr>
              <w:rPr>
                <w:rFonts w:cstheme="minorHAnsi"/>
                <w:sz w:val="24"/>
                <w:szCs w:val="24"/>
              </w:rPr>
            </w:pPr>
          </w:p>
        </w:tc>
        <w:tc>
          <w:tcPr>
            <w:tcW w:w="0" w:type="auto"/>
          </w:tcPr>
          <w:p w14:paraId="722BD444" w14:textId="77777777" w:rsidR="002D43F8" w:rsidRDefault="002D43F8" w:rsidP="00430A13">
            <w:pPr>
              <w:rPr>
                <w:rFonts w:cstheme="minorHAnsi"/>
                <w:sz w:val="24"/>
                <w:szCs w:val="24"/>
              </w:rPr>
            </w:pPr>
          </w:p>
        </w:tc>
        <w:tc>
          <w:tcPr>
            <w:tcW w:w="0" w:type="auto"/>
          </w:tcPr>
          <w:p w14:paraId="167B3C67" w14:textId="77777777" w:rsidR="002D43F8" w:rsidRDefault="002D43F8" w:rsidP="00430A13">
            <w:pPr>
              <w:rPr>
                <w:rFonts w:cstheme="minorHAnsi"/>
                <w:sz w:val="24"/>
                <w:szCs w:val="24"/>
              </w:rPr>
            </w:pPr>
          </w:p>
        </w:tc>
        <w:tc>
          <w:tcPr>
            <w:tcW w:w="0" w:type="auto"/>
          </w:tcPr>
          <w:p w14:paraId="10C8ED19" w14:textId="77777777" w:rsidR="002D43F8" w:rsidRDefault="002D43F8" w:rsidP="00430A13">
            <w:pPr>
              <w:rPr>
                <w:rFonts w:cstheme="minorHAnsi"/>
                <w:sz w:val="24"/>
                <w:szCs w:val="24"/>
              </w:rPr>
            </w:pPr>
          </w:p>
        </w:tc>
        <w:tc>
          <w:tcPr>
            <w:tcW w:w="0" w:type="auto"/>
          </w:tcPr>
          <w:p w14:paraId="073C9BF9" w14:textId="77777777" w:rsidR="002D43F8" w:rsidRDefault="002D43F8" w:rsidP="00430A13">
            <w:pPr>
              <w:rPr>
                <w:rFonts w:cstheme="minorHAnsi"/>
                <w:sz w:val="24"/>
                <w:szCs w:val="24"/>
              </w:rPr>
            </w:pPr>
          </w:p>
        </w:tc>
        <w:tc>
          <w:tcPr>
            <w:tcW w:w="0" w:type="auto"/>
          </w:tcPr>
          <w:p w14:paraId="3B38424D" w14:textId="77777777" w:rsidR="002D43F8" w:rsidRDefault="002D43F8" w:rsidP="00430A13">
            <w:pPr>
              <w:rPr>
                <w:rFonts w:cstheme="minorHAnsi"/>
                <w:sz w:val="24"/>
                <w:szCs w:val="24"/>
              </w:rPr>
            </w:pPr>
          </w:p>
        </w:tc>
        <w:tc>
          <w:tcPr>
            <w:tcW w:w="0" w:type="auto"/>
          </w:tcPr>
          <w:p w14:paraId="78544934" w14:textId="77777777" w:rsidR="002D43F8" w:rsidRDefault="002D43F8" w:rsidP="00430A13">
            <w:pPr>
              <w:rPr>
                <w:rFonts w:cstheme="minorHAnsi"/>
                <w:sz w:val="24"/>
                <w:szCs w:val="24"/>
              </w:rPr>
            </w:pPr>
          </w:p>
        </w:tc>
      </w:tr>
      <w:tr w:rsidR="001F304C" w14:paraId="427364AD" w14:textId="77777777" w:rsidTr="00946656">
        <w:tc>
          <w:tcPr>
            <w:tcW w:w="0" w:type="auto"/>
          </w:tcPr>
          <w:p w14:paraId="31E10554" w14:textId="77777777" w:rsidR="002D43F8" w:rsidRDefault="002D43F8" w:rsidP="00430A13">
            <w:pPr>
              <w:rPr>
                <w:rFonts w:cstheme="minorHAnsi"/>
                <w:sz w:val="24"/>
                <w:szCs w:val="24"/>
              </w:rPr>
            </w:pPr>
          </w:p>
        </w:tc>
        <w:tc>
          <w:tcPr>
            <w:tcW w:w="0" w:type="auto"/>
          </w:tcPr>
          <w:p w14:paraId="209648C6" w14:textId="775F1E3D" w:rsidR="002D43F8" w:rsidRDefault="002D43F8" w:rsidP="00430A13">
            <w:pPr>
              <w:rPr>
                <w:rFonts w:cstheme="minorHAnsi"/>
                <w:sz w:val="24"/>
                <w:szCs w:val="24"/>
              </w:rPr>
            </w:pPr>
            <w:r>
              <w:rPr>
                <w:rFonts w:cstheme="minorHAnsi"/>
                <w:sz w:val="24"/>
                <w:szCs w:val="24"/>
              </w:rPr>
              <w:t>M</w:t>
            </w:r>
            <w:r w:rsidRPr="00336012">
              <w:rPr>
                <w:rFonts w:cstheme="minorHAnsi"/>
                <w:sz w:val="24"/>
                <w:szCs w:val="24"/>
                <w:vertAlign w:val="subscript"/>
              </w:rPr>
              <w:t>1</w:t>
            </w:r>
            <w:r>
              <w:rPr>
                <w:rFonts w:cstheme="minorHAnsi"/>
                <w:sz w:val="24"/>
                <w:szCs w:val="24"/>
              </w:rPr>
              <w:t xml:space="preserve"> – Anxiety Sensitivity</w:t>
            </w:r>
          </w:p>
        </w:tc>
        <w:tc>
          <w:tcPr>
            <w:tcW w:w="0" w:type="auto"/>
          </w:tcPr>
          <w:p w14:paraId="4072A4ED" w14:textId="77777777" w:rsidR="002D43F8" w:rsidRDefault="002D43F8" w:rsidP="00430A13">
            <w:pPr>
              <w:rPr>
                <w:rFonts w:cstheme="minorHAnsi"/>
                <w:sz w:val="24"/>
                <w:szCs w:val="24"/>
              </w:rPr>
            </w:pPr>
          </w:p>
        </w:tc>
        <w:tc>
          <w:tcPr>
            <w:tcW w:w="0" w:type="auto"/>
          </w:tcPr>
          <w:p w14:paraId="092DFF81" w14:textId="77777777" w:rsidR="002D43F8" w:rsidRDefault="002D43F8" w:rsidP="00430A13">
            <w:pPr>
              <w:rPr>
                <w:rFonts w:cstheme="minorHAnsi"/>
                <w:sz w:val="24"/>
                <w:szCs w:val="24"/>
              </w:rPr>
            </w:pPr>
          </w:p>
        </w:tc>
        <w:tc>
          <w:tcPr>
            <w:tcW w:w="0" w:type="auto"/>
          </w:tcPr>
          <w:p w14:paraId="44AF9E74" w14:textId="0B64DEEA" w:rsidR="002D43F8" w:rsidRDefault="00336012" w:rsidP="00430A13">
            <w:pPr>
              <w:rPr>
                <w:rFonts w:cstheme="minorHAnsi"/>
                <w:sz w:val="24"/>
                <w:szCs w:val="24"/>
              </w:rPr>
            </w:pPr>
            <w:r>
              <w:rPr>
                <w:rFonts w:cstheme="minorHAnsi"/>
                <w:sz w:val="24"/>
                <w:szCs w:val="24"/>
              </w:rPr>
              <w:t>M</w:t>
            </w:r>
            <w:r w:rsidRPr="005D591D">
              <w:rPr>
                <w:rFonts w:cstheme="minorHAnsi"/>
                <w:sz w:val="24"/>
                <w:szCs w:val="24"/>
                <w:vertAlign w:val="subscript"/>
              </w:rPr>
              <w:t>2</w:t>
            </w:r>
            <w:r>
              <w:rPr>
                <w:rFonts w:cstheme="minorHAnsi"/>
                <w:sz w:val="24"/>
                <w:szCs w:val="24"/>
              </w:rPr>
              <w:t xml:space="preserve"> – Expressive suppression</w:t>
            </w:r>
          </w:p>
        </w:tc>
        <w:tc>
          <w:tcPr>
            <w:tcW w:w="0" w:type="auto"/>
          </w:tcPr>
          <w:p w14:paraId="205E9086" w14:textId="77777777" w:rsidR="002D43F8" w:rsidRDefault="002D43F8" w:rsidP="00430A13">
            <w:pPr>
              <w:rPr>
                <w:rFonts w:cstheme="minorHAnsi"/>
                <w:sz w:val="24"/>
                <w:szCs w:val="24"/>
              </w:rPr>
            </w:pPr>
          </w:p>
        </w:tc>
        <w:tc>
          <w:tcPr>
            <w:tcW w:w="0" w:type="auto"/>
          </w:tcPr>
          <w:p w14:paraId="66DB29FC" w14:textId="77777777" w:rsidR="002D43F8" w:rsidRDefault="002D43F8" w:rsidP="00430A13">
            <w:pPr>
              <w:rPr>
                <w:rFonts w:cstheme="minorHAnsi"/>
                <w:sz w:val="24"/>
                <w:szCs w:val="24"/>
              </w:rPr>
            </w:pPr>
          </w:p>
        </w:tc>
        <w:tc>
          <w:tcPr>
            <w:tcW w:w="0" w:type="auto"/>
          </w:tcPr>
          <w:p w14:paraId="00E6A96D" w14:textId="62DAA4FB" w:rsidR="002D43F8" w:rsidRDefault="005D591D" w:rsidP="00430A13">
            <w:pPr>
              <w:rPr>
                <w:rFonts w:cstheme="minorHAnsi"/>
                <w:sz w:val="24"/>
                <w:szCs w:val="24"/>
              </w:rPr>
            </w:pPr>
            <w:r>
              <w:rPr>
                <w:rFonts w:cstheme="minorHAnsi"/>
                <w:sz w:val="24"/>
                <w:szCs w:val="24"/>
              </w:rPr>
              <w:t>Y - Depression</w:t>
            </w:r>
          </w:p>
        </w:tc>
        <w:tc>
          <w:tcPr>
            <w:tcW w:w="0" w:type="auto"/>
          </w:tcPr>
          <w:p w14:paraId="2BFE7E42" w14:textId="77777777" w:rsidR="002D43F8" w:rsidRDefault="002D43F8" w:rsidP="00430A13">
            <w:pPr>
              <w:rPr>
                <w:rFonts w:cstheme="minorHAnsi"/>
                <w:sz w:val="24"/>
                <w:szCs w:val="24"/>
              </w:rPr>
            </w:pPr>
          </w:p>
        </w:tc>
        <w:tc>
          <w:tcPr>
            <w:tcW w:w="0" w:type="auto"/>
          </w:tcPr>
          <w:p w14:paraId="5D3E84A4" w14:textId="77777777" w:rsidR="002D43F8" w:rsidRDefault="002D43F8" w:rsidP="00430A13">
            <w:pPr>
              <w:rPr>
                <w:rFonts w:cstheme="minorHAnsi"/>
                <w:sz w:val="24"/>
                <w:szCs w:val="24"/>
              </w:rPr>
            </w:pPr>
          </w:p>
        </w:tc>
      </w:tr>
      <w:tr w:rsidR="001F304C" w14:paraId="5C3B5061" w14:textId="77777777" w:rsidTr="00946656">
        <w:tc>
          <w:tcPr>
            <w:tcW w:w="0" w:type="auto"/>
          </w:tcPr>
          <w:p w14:paraId="5FEA21F4" w14:textId="24E88830" w:rsidR="002D43F8" w:rsidRDefault="005D591D" w:rsidP="00430A13">
            <w:pPr>
              <w:rPr>
                <w:rFonts w:cstheme="minorHAnsi"/>
                <w:sz w:val="24"/>
                <w:szCs w:val="24"/>
              </w:rPr>
            </w:pPr>
            <w:r>
              <w:rPr>
                <w:rFonts w:cstheme="minorHAnsi"/>
                <w:sz w:val="24"/>
                <w:szCs w:val="24"/>
              </w:rPr>
              <w:t>Predictor</w:t>
            </w:r>
          </w:p>
        </w:tc>
        <w:tc>
          <w:tcPr>
            <w:tcW w:w="0" w:type="auto"/>
          </w:tcPr>
          <w:p w14:paraId="34257711" w14:textId="07BD668B" w:rsidR="002D43F8" w:rsidRPr="00A6505D" w:rsidRDefault="005D591D" w:rsidP="00430A13">
            <w:pPr>
              <w:rPr>
                <w:rFonts w:cstheme="minorHAnsi"/>
                <w:i/>
                <w:iCs/>
                <w:sz w:val="24"/>
                <w:szCs w:val="24"/>
              </w:rPr>
            </w:pPr>
            <w:r w:rsidRPr="00A6505D">
              <w:rPr>
                <w:rFonts w:cstheme="minorHAnsi"/>
                <w:i/>
                <w:iCs/>
                <w:sz w:val="24"/>
                <w:szCs w:val="24"/>
              </w:rPr>
              <w:t>B</w:t>
            </w:r>
          </w:p>
        </w:tc>
        <w:tc>
          <w:tcPr>
            <w:tcW w:w="0" w:type="auto"/>
          </w:tcPr>
          <w:p w14:paraId="1C559075" w14:textId="78F1F815" w:rsidR="002D43F8" w:rsidRPr="00A6505D" w:rsidRDefault="005D591D" w:rsidP="00430A13">
            <w:pPr>
              <w:rPr>
                <w:rFonts w:cstheme="minorHAnsi"/>
                <w:i/>
                <w:iCs/>
                <w:sz w:val="24"/>
                <w:szCs w:val="24"/>
              </w:rPr>
            </w:pPr>
            <w:r w:rsidRPr="00A6505D">
              <w:rPr>
                <w:rFonts w:cstheme="minorHAnsi"/>
                <w:i/>
                <w:iCs/>
                <w:sz w:val="24"/>
                <w:szCs w:val="24"/>
              </w:rPr>
              <w:t>SE B</w:t>
            </w:r>
          </w:p>
        </w:tc>
        <w:tc>
          <w:tcPr>
            <w:tcW w:w="0" w:type="auto"/>
          </w:tcPr>
          <w:p w14:paraId="1993A4B5" w14:textId="60176D81" w:rsidR="002D43F8" w:rsidRPr="00A6505D" w:rsidRDefault="005D591D" w:rsidP="00430A13">
            <w:pPr>
              <w:rPr>
                <w:rFonts w:cstheme="minorHAnsi"/>
                <w:i/>
                <w:iCs/>
                <w:sz w:val="24"/>
                <w:szCs w:val="24"/>
              </w:rPr>
            </w:pPr>
            <w:r w:rsidRPr="00A6505D">
              <w:rPr>
                <w:rFonts w:cstheme="minorHAnsi"/>
                <w:i/>
                <w:iCs/>
                <w:sz w:val="24"/>
                <w:szCs w:val="24"/>
              </w:rPr>
              <w:t>P</w:t>
            </w:r>
          </w:p>
        </w:tc>
        <w:tc>
          <w:tcPr>
            <w:tcW w:w="0" w:type="auto"/>
          </w:tcPr>
          <w:p w14:paraId="5022832D" w14:textId="7DD0C60D" w:rsidR="002D43F8" w:rsidRPr="00A6505D" w:rsidRDefault="005D591D" w:rsidP="00430A13">
            <w:pPr>
              <w:rPr>
                <w:rFonts w:cstheme="minorHAnsi"/>
                <w:i/>
                <w:iCs/>
                <w:sz w:val="24"/>
                <w:szCs w:val="24"/>
              </w:rPr>
            </w:pPr>
            <w:r w:rsidRPr="00A6505D">
              <w:rPr>
                <w:rFonts w:cstheme="minorHAnsi"/>
                <w:i/>
                <w:iCs/>
                <w:sz w:val="24"/>
                <w:szCs w:val="24"/>
              </w:rPr>
              <w:t>B</w:t>
            </w:r>
          </w:p>
        </w:tc>
        <w:tc>
          <w:tcPr>
            <w:tcW w:w="0" w:type="auto"/>
          </w:tcPr>
          <w:p w14:paraId="570F43DE" w14:textId="4B70239B" w:rsidR="002D43F8" w:rsidRPr="00A6505D" w:rsidRDefault="005D591D" w:rsidP="00430A13">
            <w:pPr>
              <w:rPr>
                <w:rFonts w:cstheme="minorHAnsi"/>
                <w:i/>
                <w:iCs/>
                <w:sz w:val="24"/>
                <w:szCs w:val="24"/>
              </w:rPr>
            </w:pPr>
            <w:r w:rsidRPr="00A6505D">
              <w:rPr>
                <w:rFonts w:cstheme="minorHAnsi"/>
                <w:i/>
                <w:iCs/>
                <w:sz w:val="24"/>
                <w:szCs w:val="24"/>
              </w:rPr>
              <w:t>SE</w:t>
            </w:r>
          </w:p>
        </w:tc>
        <w:tc>
          <w:tcPr>
            <w:tcW w:w="0" w:type="auto"/>
          </w:tcPr>
          <w:p w14:paraId="7FAB7269" w14:textId="61DB46B4" w:rsidR="002D43F8" w:rsidRPr="00A6505D" w:rsidRDefault="005D591D" w:rsidP="00430A13">
            <w:pPr>
              <w:rPr>
                <w:rFonts w:cstheme="minorHAnsi"/>
                <w:i/>
                <w:iCs/>
                <w:sz w:val="24"/>
                <w:szCs w:val="24"/>
              </w:rPr>
            </w:pPr>
            <w:r w:rsidRPr="00A6505D">
              <w:rPr>
                <w:rFonts w:cstheme="minorHAnsi"/>
                <w:i/>
                <w:iCs/>
                <w:sz w:val="24"/>
                <w:szCs w:val="24"/>
              </w:rPr>
              <w:t>P</w:t>
            </w:r>
          </w:p>
        </w:tc>
        <w:tc>
          <w:tcPr>
            <w:tcW w:w="0" w:type="auto"/>
          </w:tcPr>
          <w:p w14:paraId="6F513362" w14:textId="3434456D" w:rsidR="002D43F8" w:rsidRPr="00A6505D" w:rsidRDefault="005D591D" w:rsidP="00430A13">
            <w:pPr>
              <w:rPr>
                <w:rFonts w:cstheme="minorHAnsi"/>
                <w:i/>
                <w:iCs/>
                <w:sz w:val="24"/>
                <w:szCs w:val="24"/>
              </w:rPr>
            </w:pPr>
            <w:r w:rsidRPr="00A6505D">
              <w:rPr>
                <w:rFonts w:cstheme="minorHAnsi"/>
                <w:i/>
                <w:iCs/>
                <w:sz w:val="24"/>
                <w:szCs w:val="24"/>
              </w:rPr>
              <w:t>B</w:t>
            </w:r>
          </w:p>
        </w:tc>
        <w:tc>
          <w:tcPr>
            <w:tcW w:w="0" w:type="auto"/>
          </w:tcPr>
          <w:p w14:paraId="192D1F94" w14:textId="054B6989" w:rsidR="002D43F8" w:rsidRPr="00A6505D" w:rsidRDefault="005D591D" w:rsidP="00430A13">
            <w:pPr>
              <w:rPr>
                <w:rFonts w:cstheme="minorHAnsi"/>
                <w:i/>
                <w:iCs/>
                <w:sz w:val="24"/>
                <w:szCs w:val="24"/>
              </w:rPr>
            </w:pPr>
            <w:r w:rsidRPr="00A6505D">
              <w:rPr>
                <w:rFonts w:cstheme="minorHAnsi"/>
                <w:i/>
                <w:iCs/>
                <w:sz w:val="24"/>
                <w:szCs w:val="24"/>
              </w:rPr>
              <w:t>SE B</w:t>
            </w:r>
          </w:p>
        </w:tc>
        <w:tc>
          <w:tcPr>
            <w:tcW w:w="0" w:type="auto"/>
          </w:tcPr>
          <w:p w14:paraId="732136AC" w14:textId="2C8EF9D5" w:rsidR="002D43F8" w:rsidRPr="00A6505D" w:rsidRDefault="005D591D" w:rsidP="00430A13">
            <w:pPr>
              <w:rPr>
                <w:rFonts w:cstheme="minorHAnsi"/>
                <w:i/>
                <w:iCs/>
                <w:sz w:val="24"/>
                <w:szCs w:val="24"/>
              </w:rPr>
            </w:pPr>
            <w:r w:rsidRPr="00A6505D">
              <w:rPr>
                <w:rFonts w:cstheme="minorHAnsi"/>
                <w:i/>
                <w:iCs/>
                <w:sz w:val="24"/>
                <w:szCs w:val="24"/>
              </w:rPr>
              <w:t>P</w:t>
            </w:r>
          </w:p>
        </w:tc>
      </w:tr>
      <w:tr w:rsidR="001F304C" w14:paraId="252148BC" w14:textId="77777777" w:rsidTr="00946656">
        <w:tc>
          <w:tcPr>
            <w:tcW w:w="0" w:type="auto"/>
          </w:tcPr>
          <w:p w14:paraId="6A8788A8" w14:textId="3E3A075C" w:rsidR="002D43F8" w:rsidRDefault="0058275E" w:rsidP="00430A13">
            <w:pPr>
              <w:rPr>
                <w:rFonts w:cstheme="minorHAnsi"/>
                <w:sz w:val="24"/>
                <w:szCs w:val="24"/>
              </w:rPr>
            </w:pPr>
            <w:r>
              <w:rPr>
                <w:rFonts w:cstheme="minorHAnsi"/>
                <w:sz w:val="24"/>
                <w:szCs w:val="24"/>
              </w:rPr>
              <w:t>Sexism</w:t>
            </w:r>
          </w:p>
        </w:tc>
        <w:tc>
          <w:tcPr>
            <w:tcW w:w="0" w:type="auto"/>
          </w:tcPr>
          <w:p w14:paraId="6C9272B0" w14:textId="73244CA8" w:rsidR="002D43F8" w:rsidRDefault="0058275E" w:rsidP="00430A13">
            <w:pPr>
              <w:rPr>
                <w:rFonts w:cstheme="minorHAnsi"/>
                <w:sz w:val="24"/>
                <w:szCs w:val="24"/>
              </w:rPr>
            </w:pPr>
            <w:r>
              <w:rPr>
                <w:rFonts w:cstheme="minorHAnsi"/>
                <w:sz w:val="24"/>
                <w:szCs w:val="24"/>
              </w:rPr>
              <w:t>4.57</w:t>
            </w:r>
          </w:p>
        </w:tc>
        <w:tc>
          <w:tcPr>
            <w:tcW w:w="0" w:type="auto"/>
          </w:tcPr>
          <w:p w14:paraId="4946CC16" w14:textId="1D2E009B" w:rsidR="002D43F8" w:rsidRDefault="0058275E" w:rsidP="00430A13">
            <w:pPr>
              <w:rPr>
                <w:rFonts w:cstheme="minorHAnsi"/>
                <w:sz w:val="24"/>
                <w:szCs w:val="24"/>
              </w:rPr>
            </w:pPr>
            <w:r>
              <w:rPr>
                <w:rFonts w:cstheme="minorHAnsi"/>
                <w:sz w:val="24"/>
                <w:szCs w:val="24"/>
              </w:rPr>
              <w:t>1.15</w:t>
            </w:r>
          </w:p>
        </w:tc>
        <w:tc>
          <w:tcPr>
            <w:tcW w:w="0" w:type="auto"/>
          </w:tcPr>
          <w:p w14:paraId="3C105577" w14:textId="35BF7125" w:rsidR="002D43F8" w:rsidRDefault="0058275E" w:rsidP="00430A13">
            <w:pPr>
              <w:rPr>
                <w:rFonts w:cstheme="minorHAnsi"/>
                <w:sz w:val="24"/>
                <w:szCs w:val="24"/>
              </w:rPr>
            </w:pPr>
            <w:r>
              <w:rPr>
                <w:rFonts w:cstheme="minorHAnsi"/>
                <w:sz w:val="24"/>
                <w:szCs w:val="24"/>
              </w:rPr>
              <w:t>&lt;.01</w:t>
            </w:r>
          </w:p>
        </w:tc>
        <w:tc>
          <w:tcPr>
            <w:tcW w:w="0" w:type="auto"/>
          </w:tcPr>
          <w:p w14:paraId="59AB782B" w14:textId="76A2229E" w:rsidR="002D43F8" w:rsidRDefault="0058275E" w:rsidP="00430A13">
            <w:pPr>
              <w:rPr>
                <w:rFonts w:cstheme="minorHAnsi"/>
                <w:sz w:val="24"/>
                <w:szCs w:val="24"/>
              </w:rPr>
            </w:pPr>
            <w:r>
              <w:rPr>
                <w:rFonts w:cstheme="minorHAnsi"/>
                <w:sz w:val="24"/>
                <w:szCs w:val="24"/>
              </w:rPr>
              <w:t>.18</w:t>
            </w:r>
          </w:p>
        </w:tc>
        <w:tc>
          <w:tcPr>
            <w:tcW w:w="0" w:type="auto"/>
          </w:tcPr>
          <w:p w14:paraId="222DDD78" w14:textId="64DF2193" w:rsidR="002D43F8" w:rsidRDefault="0058275E" w:rsidP="00430A13">
            <w:pPr>
              <w:rPr>
                <w:rFonts w:cstheme="minorHAnsi"/>
                <w:sz w:val="24"/>
                <w:szCs w:val="24"/>
              </w:rPr>
            </w:pPr>
            <w:r>
              <w:rPr>
                <w:rFonts w:cstheme="minorHAnsi"/>
                <w:sz w:val="24"/>
                <w:szCs w:val="24"/>
              </w:rPr>
              <w:t>.10</w:t>
            </w:r>
          </w:p>
        </w:tc>
        <w:tc>
          <w:tcPr>
            <w:tcW w:w="0" w:type="auto"/>
          </w:tcPr>
          <w:p w14:paraId="549601E2" w14:textId="31F9D3CA" w:rsidR="002D43F8" w:rsidRDefault="0058275E" w:rsidP="00430A13">
            <w:pPr>
              <w:rPr>
                <w:rFonts w:cstheme="minorHAnsi"/>
                <w:sz w:val="24"/>
                <w:szCs w:val="24"/>
              </w:rPr>
            </w:pPr>
            <w:r>
              <w:rPr>
                <w:rFonts w:cstheme="minorHAnsi"/>
                <w:sz w:val="24"/>
                <w:szCs w:val="24"/>
              </w:rPr>
              <w:t>.07</w:t>
            </w:r>
          </w:p>
        </w:tc>
        <w:tc>
          <w:tcPr>
            <w:tcW w:w="0" w:type="auto"/>
          </w:tcPr>
          <w:p w14:paraId="19D32B46" w14:textId="60E6D74D" w:rsidR="002D43F8" w:rsidRDefault="0058275E" w:rsidP="00430A13">
            <w:pPr>
              <w:rPr>
                <w:rFonts w:cstheme="minorHAnsi"/>
                <w:sz w:val="24"/>
                <w:szCs w:val="24"/>
              </w:rPr>
            </w:pPr>
            <w:r>
              <w:rPr>
                <w:rFonts w:cstheme="minorHAnsi"/>
                <w:sz w:val="24"/>
                <w:szCs w:val="24"/>
              </w:rPr>
              <w:t>1.95</w:t>
            </w:r>
          </w:p>
        </w:tc>
        <w:tc>
          <w:tcPr>
            <w:tcW w:w="0" w:type="auto"/>
          </w:tcPr>
          <w:p w14:paraId="552FCCAF" w14:textId="53DFC68E" w:rsidR="002D43F8" w:rsidRDefault="0058275E" w:rsidP="00430A13">
            <w:pPr>
              <w:rPr>
                <w:rFonts w:cstheme="minorHAnsi"/>
                <w:sz w:val="24"/>
                <w:szCs w:val="24"/>
              </w:rPr>
            </w:pPr>
            <w:r>
              <w:rPr>
                <w:rFonts w:cstheme="minorHAnsi"/>
                <w:sz w:val="24"/>
                <w:szCs w:val="24"/>
              </w:rPr>
              <w:t>.36</w:t>
            </w:r>
          </w:p>
        </w:tc>
        <w:tc>
          <w:tcPr>
            <w:tcW w:w="0" w:type="auto"/>
          </w:tcPr>
          <w:p w14:paraId="25CC2E84" w14:textId="379DD46B" w:rsidR="002D43F8" w:rsidRDefault="0058275E" w:rsidP="00430A13">
            <w:pPr>
              <w:rPr>
                <w:rFonts w:cstheme="minorHAnsi"/>
                <w:sz w:val="24"/>
                <w:szCs w:val="24"/>
              </w:rPr>
            </w:pPr>
            <w:r>
              <w:rPr>
                <w:rFonts w:cstheme="minorHAnsi"/>
                <w:sz w:val="24"/>
                <w:szCs w:val="24"/>
              </w:rPr>
              <w:t>&lt;.01</w:t>
            </w:r>
          </w:p>
        </w:tc>
      </w:tr>
      <w:tr w:rsidR="001F304C" w14:paraId="0F9278D9" w14:textId="77777777" w:rsidTr="00946656">
        <w:tc>
          <w:tcPr>
            <w:tcW w:w="0" w:type="auto"/>
          </w:tcPr>
          <w:p w14:paraId="08F0126B" w14:textId="5F57F12D" w:rsidR="002D43F8" w:rsidRDefault="001F304C" w:rsidP="00430A13">
            <w:pPr>
              <w:rPr>
                <w:rFonts w:cstheme="minorHAnsi"/>
                <w:sz w:val="24"/>
                <w:szCs w:val="24"/>
              </w:rPr>
            </w:pPr>
            <w:r>
              <w:rPr>
                <w:rFonts w:cstheme="minorHAnsi"/>
                <w:sz w:val="24"/>
                <w:szCs w:val="24"/>
              </w:rPr>
              <w:t>Anxiety sensitivity</w:t>
            </w:r>
          </w:p>
        </w:tc>
        <w:tc>
          <w:tcPr>
            <w:tcW w:w="0" w:type="auto"/>
          </w:tcPr>
          <w:p w14:paraId="7CFF363C" w14:textId="00E3DE7F" w:rsidR="002D43F8" w:rsidRDefault="00563156" w:rsidP="00430A13">
            <w:pPr>
              <w:rPr>
                <w:rFonts w:cstheme="minorHAnsi"/>
                <w:sz w:val="24"/>
                <w:szCs w:val="24"/>
              </w:rPr>
            </w:pPr>
            <w:bookmarkStart w:id="13" w:name="Discussion"/>
            <w:bookmarkEnd w:id="13"/>
            <w:r w:rsidRPr="00086305">
              <w:rPr>
                <w:sz w:val="24"/>
                <w:szCs w:val="24"/>
              </w:rPr>
              <w:t>—</w:t>
            </w:r>
          </w:p>
        </w:tc>
        <w:tc>
          <w:tcPr>
            <w:tcW w:w="0" w:type="auto"/>
          </w:tcPr>
          <w:p w14:paraId="65D091CF" w14:textId="2A4D0F87" w:rsidR="002D43F8" w:rsidRDefault="00563156" w:rsidP="00430A13">
            <w:pPr>
              <w:rPr>
                <w:rFonts w:cstheme="minorHAnsi"/>
                <w:sz w:val="24"/>
                <w:szCs w:val="24"/>
              </w:rPr>
            </w:pPr>
            <w:r w:rsidRPr="00086305">
              <w:rPr>
                <w:sz w:val="24"/>
                <w:szCs w:val="24"/>
              </w:rPr>
              <w:t>—</w:t>
            </w:r>
          </w:p>
        </w:tc>
        <w:tc>
          <w:tcPr>
            <w:tcW w:w="0" w:type="auto"/>
          </w:tcPr>
          <w:p w14:paraId="0D768F57" w14:textId="695971C7" w:rsidR="002D43F8" w:rsidRDefault="00563156" w:rsidP="00430A13">
            <w:pPr>
              <w:rPr>
                <w:rFonts w:cstheme="minorHAnsi"/>
                <w:sz w:val="24"/>
                <w:szCs w:val="24"/>
              </w:rPr>
            </w:pPr>
            <w:r w:rsidRPr="00086305">
              <w:rPr>
                <w:sz w:val="24"/>
                <w:szCs w:val="24"/>
              </w:rPr>
              <w:t>—</w:t>
            </w:r>
          </w:p>
        </w:tc>
        <w:tc>
          <w:tcPr>
            <w:tcW w:w="0" w:type="auto"/>
          </w:tcPr>
          <w:p w14:paraId="1865A79E" w14:textId="74CD9FD4" w:rsidR="002D43F8" w:rsidRDefault="006A21FF" w:rsidP="00430A13">
            <w:pPr>
              <w:rPr>
                <w:rFonts w:cstheme="minorHAnsi"/>
                <w:sz w:val="24"/>
                <w:szCs w:val="24"/>
              </w:rPr>
            </w:pPr>
            <w:r w:rsidRPr="00086305">
              <w:rPr>
                <w:sz w:val="24"/>
                <w:szCs w:val="24"/>
              </w:rPr>
              <w:t>—</w:t>
            </w:r>
          </w:p>
        </w:tc>
        <w:tc>
          <w:tcPr>
            <w:tcW w:w="0" w:type="auto"/>
          </w:tcPr>
          <w:p w14:paraId="0EDC15EB" w14:textId="0F797FC1" w:rsidR="002D43F8" w:rsidRDefault="006A21FF" w:rsidP="00430A13">
            <w:pPr>
              <w:rPr>
                <w:rFonts w:cstheme="minorHAnsi"/>
                <w:sz w:val="24"/>
                <w:szCs w:val="24"/>
              </w:rPr>
            </w:pPr>
            <w:r w:rsidRPr="00086305">
              <w:rPr>
                <w:sz w:val="24"/>
                <w:szCs w:val="24"/>
              </w:rPr>
              <w:t>—</w:t>
            </w:r>
          </w:p>
        </w:tc>
        <w:tc>
          <w:tcPr>
            <w:tcW w:w="0" w:type="auto"/>
          </w:tcPr>
          <w:p w14:paraId="2C4190B8" w14:textId="4326CCC8" w:rsidR="002D43F8" w:rsidRDefault="006A21FF" w:rsidP="00430A13">
            <w:pPr>
              <w:rPr>
                <w:rFonts w:cstheme="minorHAnsi"/>
                <w:sz w:val="24"/>
                <w:szCs w:val="24"/>
              </w:rPr>
            </w:pPr>
            <w:r w:rsidRPr="00086305">
              <w:rPr>
                <w:sz w:val="24"/>
                <w:szCs w:val="24"/>
              </w:rPr>
              <w:t>—</w:t>
            </w:r>
          </w:p>
        </w:tc>
        <w:tc>
          <w:tcPr>
            <w:tcW w:w="0" w:type="auto"/>
          </w:tcPr>
          <w:p w14:paraId="6A59AD18" w14:textId="24F49C21" w:rsidR="002D43F8" w:rsidRDefault="006A21FF" w:rsidP="00430A13">
            <w:pPr>
              <w:rPr>
                <w:rFonts w:cstheme="minorHAnsi"/>
                <w:sz w:val="24"/>
                <w:szCs w:val="24"/>
              </w:rPr>
            </w:pPr>
            <w:r>
              <w:rPr>
                <w:rFonts w:cstheme="minorHAnsi"/>
                <w:sz w:val="24"/>
                <w:szCs w:val="24"/>
              </w:rPr>
              <w:t>.14</w:t>
            </w:r>
          </w:p>
        </w:tc>
        <w:tc>
          <w:tcPr>
            <w:tcW w:w="0" w:type="auto"/>
          </w:tcPr>
          <w:p w14:paraId="0D527226" w14:textId="082FCE00" w:rsidR="002D43F8" w:rsidRDefault="006A21FF" w:rsidP="00430A13">
            <w:pPr>
              <w:rPr>
                <w:rFonts w:cstheme="minorHAnsi"/>
                <w:sz w:val="24"/>
                <w:szCs w:val="24"/>
              </w:rPr>
            </w:pPr>
            <w:r>
              <w:rPr>
                <w:rFonts w:cstheme="minorHAnsi"/>
                <w:sz w:val="24"/>
                <w:szCs w:val="24"/>
              </w:rPr>
              <w:t>.02</w:t>
            </w:r>
          </w:p>
        </w:tc>
        <w:tc>
          <w:tcPr>
            <w:tcW w:w="0" w:type="auto"/>
          </w:tcPr>
          <w:p w14:paraId="2EF1DC05" w14:textId="1564C6DC" w:rsidR="002D43F8" w:rsidRDefault="00B11F04" w:rsidP="00430A13">
            <w:pPr>
              <w:rPr>
                <w:rFonts w:cstheme="minorHAnsi"/>
                <w:sz w:val="24"/>
                <w:szCs w:val="24"/>
              </w:rPr>
            </w:pPr>
            <w:r>
              <w:rPr>
                <w:rFonts w:cstheme="minorHAnsi"/>
                <w:sz w:val="24"/>
                <w:szCs w:val="24"/>
              </w:rPr>
              <w:t>&lt;.01</w:t>
            </w:r>
          </w:p>
        </w:tc>
      </w:tr>
      <w:tr w:rsidR="001F304C" w14:paraId="50C5EB5B" w14:textId="77777777" w:rsidTr="00946656">
        <w:tc>
          <w:tcPr>
            <w:tcW w:w="0" w:type="auto"/>
          </w:tcPr>
          <w:p w14:paraId="0132C5D2" w14:textId="7FCB1CDE" w:rsidR="002D43F8" w:rsidRDefault="006A21FF" w:rsidP="00430A13">
            <w:pPr>
              <w:rPr>
                <w:rFonts w:cstheme="minorHAnsi"/>
                <w:sz w:val="24"/>
                <w:szCs w:val="24"/>
              </w:rPr>
            </w:pPr>
            <w:r>
              <w:rPr>
                <w:rFonts w:cstheme="minorHAnsi"/>
                <w:sz w:val="24"/>
                <w:szCs w:val="24"/>
              </w:rPr>
              <w:t>Expressive suppression</w:t>
            </w:r>
          </w:p>
        </w:tc>
        <w:tc>
          <w:tcPr>
            <w:tcW w:w="0" w:type="auto"/>
          </w:tcPr>
          <w:p w14:paraId="13DBCA7B" w14:textId="2E1F6D55" w:rsidR="002D43F8" w:rsidRDefault="006A21FF" w:rsidP="00430A13">
            <w:pPr>
              <w:rPr>
                <w:rFonts w:cstheme="minorHAnsi"/>
                <w:sz w:val="24"/>
                <w:szCs w:val="24"/>
              </w:rPr>
            </w:pPr>
            <w:r w:rsidRPr="00086305">
              <w:rPr>
                <w:sz w:val="24"/>
                <w:szCs w:val="24"/>
              </w:rPr>
              <w:t>—</w:t>
            </w:r>
          </w:p>
        </w:tc>
        <w:tc>
          <w:tcPr>
            <w:tcW w:w="0" w:type="auto"/>
          </w:tcPr>
          <w:p w14:paraId="71F38535" w14:textId="06B212F3" w:rsidR="002D43F8" w:rsidRDefault="006A21FF" w:rsidP="00430A13">
            <w:pPr>
              <w:rPr>
                <w:rFonts w:cstheme="minorHAnsi"/>
                <w:sz w:val="24"/>
                <w:szCs w:val="24"/>
              </w:rPr>
            </w:pPr>
            <w:r w:rsidRPr="00086305">
              <w:rPr>
                <w:sz w:val="24"/>
                <w:szCs w:val="24"/>
              </w:rPr>
              <w:t>—</w:t>
            </w:r>
          </w:p>
        </w:tc>
        <w:tc>
          <w:tcPr>
            <w:tcW w:w="0" w:type="auto"/>
          </w:tcPr>
          <w:p w14:paraId="264A3442" w14:textId="788DA92C" w:rsidR="002D43F8" w:rsidRDefault="006A21FF" w:rsidP="00430A13">
            <w:pPr>
              <w:rPr>
                <w:rFonts w:cstheme="minorHAnsi"/>
                <w:sz w:val="24"/>
                <w:szCs w:val="24"/>
              </w:rPr>
            </w:pPr>
            <w:r w:rsidRPr="00086305">
              <w:rPr>
                <w:sz w:val="24"/>
                <w:szCs w:val="24"/>
              </w:rPr>
              <w:t>—</w:t>
            </w:r>
          </w:p>
        </w:tc>
        <w:tc>
          <w:tcPr>
            <w:tcW w:w="0" w:type="auto"/>
          </w:tcPr>
          <w:p w14:paraId="07C39CB9" w14:textId="6DA00653" w:rsidR="002D43F8" w:rsidRDefault="006A21FF" w:rsidP="00430A13">
            <w:pPr>
              <w:rPr>
                <w:rFonts w:cstheme="minorHAnsi"/>
                <w:sz w:val="24"/>
                <w:szCs w:val="24"/>
              </w:rPr>
            </w:pPr>
            <w:r w:rsidRPr="00086305">
              <w:rPr>
                <w:sz w:val="24"/>
                <w:szCs w:val="24"/>
              </w:rPr>
              <w:t>—</w:t>
            </w:r>
          </w:p>
        </w:tc>
        <w:tc>
          <w:tcPr>
            <w:tcW w:w="0" w:type="auto"/>
          </w:tcPr>
          <w:p w14:paraId="76602964" w14:textId="2F1F9C68" w:rsidR="002D43F8" w:rsidRDefault="006A21FF" w:rsidP="00430A13">
            <w:pPr>
              <w:rPr>
                <w:rFonts w:cstheme="minorHAnsi"/>
                <w:sz w:val="24"/>
                <w:szCs w:val="24"/>
              </w:rPr>
            </w:pPr>
            <w:r w:rsidRPr="00086305">
              <w:rPr>
                <w:sz w:val="24"/>
                <w:szCs w:val="24"/>
              </w:rPr>
              <w:t>—</w:t>
            </w:r>
          </w:p>
        </w:tc>
        <w:tc>
          <w:tcPr>
            <w:tcW w:w="0" w:type="auto"/>
          </w:tcPr>
          <w:p w14:paraId="6220C668" w14:textId="6AC01E2A" w:rsidR="002D43F8" w:rsidRDefault="006A21FF" w:rsidP="00430A13">
            <w:pPr>
              <w:rPr>
                <w:rFonts w:cstheme="minorHAnsi"/>
                <w:sz w:val="24"/>
                <w:szCs w:val="24"/>
              </w:rPr>
            </w:pPr>
            <w:r w:rsidRPr="00086305">
              <w:rPr>
                <w:sz w:val="24"/>
                <w:szCs w:val="24"/>
              </w:rPr>
              <w:t>—</w:t>
            </w:r>
          </w:p>
        </w:tc>
        <w:tc>
          <w:tcPr>
            <w:tcW w:w="0" w:type="auto"/>
          </w:tcPr>
          <w:p w14:paraId="1E685EF9" w14:textId="22CD79D6" w:rsidR="002D43F8" w:rsidRDefault="00B11F04" w:rsidP="00430A13">
            <w:pPr>
              <w:rPr>
                <w:rFonts w:cstheme="minorHAnsi"/>
                <w:sz w:val="24"/>
                <w:szCs w:val="24"/>
              </w:rPr>
            </w:pPr>
            <w:r>
              <w:rPr>
                <w:rFonts w:cstheme="minorHAnsi"/>
                <w:sz w:val="24"/>
                <w:szCs w:val="24"/>
              </w:rPr>
              <w:t>.75</w:t>
            </w:r>
          </w:p>
        </w:tc>
        <w:tc>
          <w:tcPr>
            <w:tcW w:w="0" w:type="auto"/>
          </w:tcPr>
          <w:p w14:paraId="25102C1C" w14:textId="43E05E43" w:rsidR="002D43F8" w:rsidRDefault="00B11F04" w:rsidP="00430A13">
            <w:pPr>
              <w:rPr>
                <w:rFonts w:cstheme="minorHAnsi"/>
                <w:sz w:val="24"/>
                <w:szCs w:val="24"/>
              </w:rPr>
            </w:pPr>
            <w:r>
              <w:rPr>
                <w:rFonts w:cstheme="minorHAnsi"/>
                <w:sz w:val="24"/>
                <w:szCs w:val="24"/>
              </w:rPr>
              <w:t>.23</w:t>
            </w:r>
          </w:p>
        </w:tc>
        <w:tc>
          <w:tcPr>
            <w:tcW w:w="0" w:type="auto"/>
          </w:tcPr>
          <w:p w14:paraId="7878E3BE" w14:textId="562DB5F2" w:rsidR="002D43F8" w:rsidRDefault="00B11F04" w:rsidP="00430A13">
            <w:pPr>
              <w:rPr>
                <w:rFonts w:cstheme="minorHAnsi"/>
                <w:sz w:val="24"/>
                <w:szCs w:val="24"/>
              </w:rPr>
            </w:pPr>
            <w:r>
              <w:rPr>
                <w:rFonts w:cstheme="minorHAnsi"/>
                <w:sz w:val="24"/>
                <w:szCs w:val="24"/>
              </w:rPr>
              <w:t>&lt;.01</w:t>
            </w:r>
          </w:p>
        </w:tc>
      </w:tr>
      <w:tr w:rsidR="001F304C" w14:paraId="5C60061F" w14:textId="77777777" w:rsidTr="00946656">
        <w:tc>
          <w:tcPr>
            <w:tcW w:w="0" w:type="auto"/>
          </w:tcPr>
          <w:p w14:paraId="53E2DB4C" w14:textId="246002FA" w:rsidR="002D43F8" w:rsidRDefault="008D2166" w:rsidP="00430A13">
            <w:pPr>
              <w:rPr>
                <w:rFonts w:cstheme="minorHAnsi"/>
                <w:sz w:val="24"/>
                <w:szCs w:val="24"/>
              </w:rPr>
            </w:pPr>
            <w:r>
              <w:rPr>
                <w:rFonts w:cstheme="minorHAnsi"/>
                <w:sz w:val="24"/>
                <w:szCs w:val="24"/>
              </w:rPr>
              <w:t>Constant</w:t>
            </w:r>
          </w:p>
        </w:tc>
        <w:tc>
          <w:tcPr>
            <w:tcW w:w="0" w:type="auto"/>
          </w:tcPr>
          <w:p w14:paraId="4103D943" w14:textId="6EF5ED8B" w:rsidR="002D43F8" w:rsidRDefault="008D2166" w:rsidP="00430A13">
            <w:pPr>
              <w:rPr>
                <w:rFonts w:cstheme="minorHAnsi"/>
                <w:sz w:val="24"/>
                <w:szCs w:val="24"/>
              </w:rPr>
            </w:pPr>
            <w:r>
              <w:rPr>
                <w:rFonts w:cstheme="minorHAnsi"/>
                <w:sz w:val="24"/>
                <w:szCs w:val="24"/>
              </w:rPr>
              <w:t>3.68</w:t>
            </w:r>
          </w:p>
        </w:tc>
        <w:tc>
          <w:tcPr>
            <w:tcW w:w="0" w:type="auto"/>
          </w:tcPr>
          <w:p w14:paraId="4BB2B356" w14:textId="1861AA6A" w:rsidR="002D43F8" w:rsidRDefault="008D2166" w:rsidP="00430A13">
            <w:pPr>
              <w:rPr>
                <w:rFonts w:cstheme="minorHAnsi"/>
                <w:sz w:val="24"/>
                <w:szCs w:val="24"/>
              </w:rPr>
            </w:pPr>
            <w:r>
              <w:rPr>
                <w:rFonts w:cstheme="minorHAnsi"/>
                <w:sz w:val="24"/>
                <w:szCs w:val="24"/>
              </w:rPr>
              <w:t>7.75</w:t>
            </w:r>
          </w:p>
        </w:tc>
        <w:tc>
          <w:tcPr>
            <w:tcW w:w="0" w:type="auto"/>
          </w:tcPr>
          <w:p w14:paraId="2196B579" w14:textId="37EB0AEA" w:rsidR="002D43F8" w:rsidRDefault="008D2166" w:rsidP="00430A13">
            <w:pPr>
              <w:rPr>
                <w:rFonts w:cstheme="minorHAnsi"/>
                <w:sz w:val="24"/>
                <w:szCs w:val="24"/>
              </w:rPr>
            </w:pPr>
            <w:r>
              <w:rPr>
                <w:rFonts w:cstheme="minorHAnsi"/>
                <w:sz w:val="24"/>
                <w:szCs w:val="24"/>
              </w:rPr>
              <w:t>.64</w:t>
            </w:r>
          </w:p>
        </w:tc>
        <w:tc>
          <w:tcPr>
            <w:tcW w:w="0" w:type="auto"/>
          </w:tcPr>
          <w:p w14:paraId="2DBCA485" w14:textId="615D2C86" w:rsidR="002D43F8" w:rsidRDefault="008D2166" w:rsidP="00430A13">
            <w:pPr>
              <w:rPr>
                <w:rFonts w:cstheme="minorHAnsi"/>
                <w:sz w:val="24"/>
                <w:szCs w:val="24"/>
              </w:rPr>
            </w:pPr>
            <w:r>
              <w:rPr>
                <w:rFonts w:cstheme="minorHAnsi"/>
                <w:sz w:val="24"/>
                <w:szCs w:val="24"/>
              </w:rPr>
              <w:t>3.48</w:t>
            </w:r>
          </w:p>
        </w:tc>
        <w:tc>
          <w:tcPr>
            <w:tcW w:w="0" w:type="auto"/>
          </w:tcPr>
          <w:p w14:paraId="390059AF" w14:textId="27A7A2D5" w:rsidR="002D43F8" w:rsidRDefault="008D2166" w:rsidP="00430A13">
            <w:pPr>
              <w:rPr>
                <w:rFonts w:cstheme="minorHAnsi"/>
                <w:sz w:val="24"/>
                <w:szCs w:val="24"/>
              </w:rPr>
            </w:pPr>
            <w:r>
              <w:rPr>
                <w:rFonts w:cstheme="minorHAnsi"/>
                <w:sz w:val="24"/>
                <w:szCs w:val="24"/>
              </w:rPr>
              <w:t>.70</w:t>
            </w:r>
          </w:p>
        </w:tc>
        <w:tc>
          <w:tcPr>
            <w:tcW w:w="0" w:type="auto"/>
          </w:tcPr>
          <w:p w14:paraId="5D7D6078" w14:textId="651E7D59" w:rsidR="002D43F8" w:rsidRDefault="008D2166" w:rsidP="00430A13">
            <w:pPr>
              <w:rPr>
                <w:rFonts w:cstheme="minorHAnsi"/>
                <w:sz w:val="24"/>
                <w:szCs w:val="24"/>
              </w:rPr>
            </w:pPr>
            <w:r>
              <w:rPr>
                <w:rFonts w:cstheme="minorHAnsi"/>
                <w:sz w:val="24"/>
                <w:szCs w:val="24"/>
              </w:rPr>
              <w:t>&lt;.01</w:t>
            </w:r>
          </w:p>
        </w:tc>
        <w:tc>
          <w:tcPr>
            <w:tcW w:w="0" w:type="auto"/>
          </w:tcPr>
          <w:p w14:paraId="2DEAC9E4" w14:textId="7B166A05" w:rsidR="002D43F8" w:rsidRDefault="008D2166" w:rsidP="00430A13">
            <w:pPr>
              <w:rPr>
                <w:rFonts w:cstheme="minorHAnsi"/>
                <w:sz w:val="24"/>
                <w:szCs w:val="24"/>
              </w:rPr>
            </w:pPr>
            <w:r>
              <w:rPr>
                <w:rFonts w:cstheme="minorHAnsi"/>
                <w:sz w:val="24"/>
                <w:szCs w:val="24"/>
              </w:rPr>
              <w:t>1.01</w:t>
            </w:r>
          </w:p>
        </w:tc>
        <w:tc>
          <w:tcPr>
            <w:tcW w:w="0" w:type="auto"/>
          </w:tcPr>
          <w:p w14:paraId="234FF1B1" w14:textId="77528CD9" w:rsidR="002D43F8" w:rsidRDefault="008D2166" w:rsidP="00430A13">
            <w:pPr>
              <w:rPr>
                <w:rFonts w:cstheme="minorHAnsi"/>
                <w:sz w:val="24"/>
                <w:szCs w:val="24"/>
              </w:rPr>
            </w:pPr>
            <w:r>
              <w:rPr>
                <w:rFonts w:cstheme="minorHAnsi"/>
                <w:sz w:val="24"/>
                <w:szCs w:val="24"/>
              </w:rPr>
              <w:t>2.46</w:t>
            </w:r>
          </w:p>
        </w:tc>
        <w:tc>
          <w:tcPr>
            <w:tcW w:w="0" w:type="auto"/>
          </w:tcPr>
          <w:p w14:paraId="4CF7E02D" w14:textId="4E700A1F" w:rsidR="002D43F8" w:rsidRDefault="008D2166" w:rsidP="00430A13">
            <w:pPr>
              <w:rPr>
                <w:rFonts w:cstheme="minorHAnsi"/>
                <w:sz w:val="24"/>
                <w:szCs w:val="24"/>
              </w:rPr>
            </w:pPr>
            <w:r>
              <w:rPr>
                <w:rFonts w:cstheme="minorHAnsi"/>
                <w:sz w:val="24"/>
                <w:szCs w:val="24"/>
              </w:rPr>
              <w:t>.68</w:t>
            </w:r>
          </w:p>
        </w:tc>
      </w:tr>
      <w:tr w:rsidR="008D2166" w14:paraId="1F6258F2" w14:textId="77777777" w:rsidTr="00946656">
        <w:tc>
          <w:tcPr>
            <w:tcW w:w="0" w:type="auto"/>
          </w:tcPr>
          <w:p w14:paraId="2711B524" w14:textId="77777777" w:rsidR="008D2166" w:rsidRDefault="008D2166" w:rsidP="00430A13">
            <w:pPr>
              <w:rPr>
                <w:rFonts w:cstheme="minorHAnsi"/>
                <w:sz w:val="24"/>
                <w:szCs w:val="24"/>
              </w:rPr>
            </w:pPr>
          </w:p>
        </w:tc>
        <w:tc>
          <w:tcPr>
            <w:tcW w:w="0" w:type="auto"/>
          </w:tcPr>
          <w:p w14:paraId="6D5EF31A" w14:textId="2E939DAC" w:rsidR="008D2166" w:rsidRDefault="009C7BBF" w:rsidP="00430A13">
            <w:pPr>
              <w:rPr>
                <w:rFonts w:cstheme="minorHAnsi"/>
                <w:sz w:val="24"/>
                <w:szCs w:val="24"/>
              </w:rPr>
            </w:pPr>
            <w:r w:rsidRPr="009C7BBF">
              <w:rPr>
                <w:rFonts w:cstheme="minorHAnsi"/>
                <w:i/>
                <w:iCs/>
                <w:sz w:val="24"/>
                <w:szCs w:val="24"/>
              </w:rPr>
              <w:t>R</w:t>
            </w:r>
            <w:r w:rsidRPr="009C7BBF">
              <w:rPr>
                <w:rFonts w:cstheme="minorHAnsi"/>
                <w:sz w:val="24"/>
                <w:szCs w:val="24"/>
                <w:vertAlign w:val="superscript"/>
              </w:rPr>
              <w:t>2</w:t>
            </w:r>
            <w:r w:rsidRPr="009C7BBF">
              <w:rPr>
                <w:rFonts w:cstheme="minorHAnsi"/>
                <w:sz w:val="24"/>
                <w:szCs w:val="24"/>
              </w:rPr>
              <w:t xml:space="preserve"> = .14</w:t>
            </w:r>
          </w:p>
        </w:tc>
        <w:tc>
          <w:tcPr>
            <w:tcW w:w="0" w:type="auto"/>
          </w:tcPr>
          <w:p w14:paraId="6EA12228" w14:textId="77777777" w:rsidR="008D2166" w:rsidRDefault="008D2166" w:rsidP="00430A13">
            <w:pPr>
              <w:rPr>
                <w:rFonts w:cstheme="minorHAnsi"/>
                <w:sz w:val="24"/>
                <w:szCs w:val="24"/>
              </w:rPr>
            </w:pPr>
          </w:p>
        </w:tc>
        <w:tc>
          <w:tcPr>
            <w:tcW w:w="0" w:type="auto"/>
          </w:tcPr>
          <w:p w14:paraId="36A84028" w14:textId="77777777" w:rsidR="008D2166" w:rsidRDefault="008D2166" w:rsidP="00430A13">
            <w:pPr>
              <w:rPr>
                <w:rFonts w:cstheme="minorHAnsi"/>
                <w:sz w:val="24"/>
                <w:szCs w:val="24"/>
              </w:rPr>
            </w:pPr>
          </w:p>
        </w:tc>
        <w:tc>
          <w:tcPr>
            <w:tcW w:w="0" w:type="auto"/>
          </w:tcPr>
          <w:p w14:paraId="6FB22076" w14:textId="32375BB2" w:rsidR="008D2166" w:rsidRDefault="009C7BBF" w:rsidP="00430A13">
            <w:pPr>
              <w:rPr>
                <w:rFonts w:cstheme="minorHAnsi"/>
                <w:sz w:val="24"/>
                <w:szCs w:val="24"/>
              </w:rPr>
            </w:pPr>
            <w:r w:rsidRPr="009C7BBF">
              <w:rPr>
                <w:rFonts w:cstheme="minorHAnsi"/>
                <w:i/>
                <w:iCs/>
                <w:sz w:val="24"/>
                <w:szCs w:val="24"/>
              </w:rPr>
              <w:t>R</w:t>
            </w:r>
            <w:r w:rsidRPr="009C7BBF">
              <w:rPr>
                <w:rFonts w:cstheme="minorHAnsi"/>
                <w:sz w:val="24"/>
                <w:szCs w:val="24"/>
                <w:vertAlign w:val="superscript"/>
              </w:rPr>
              <w:t>2</w:t>
            </w:r>
            <w:r w:rsidRPr="009C7BBF">
              <w:rPr>
                <w:rFonts w:cstheme="minorHAnsi"/>
                <w:sz w:val="24"/>
                <w:szCs w:val="24"/>
              </w:rPr>
              <w:t xml:space="preserve"> = .</w:t>
            </w:r>
            <w:r>
              <w:rPr>
                <w:rFonts w:cstheme="minorHAnsi"/>
                <w:sz w:val="24"/>
                <w:szCs w:val="24"/>
              </w:rPr>
              <w:t>05</w:t>
            </w:r>
          </w:p>
        </w:tc>
        <w:tc>
          <w:tcPr>
            <w:tcW w:w="0" w:type="auto"/>
          </w:tcPr>
          <w:p w14:paraId="1F943838" w14:textId="77777777" w:rsidR="008D2166" w:rsidRDefault="008D2166" w:rsidP="00430A13">
            <w:pPr>
              <w:rPr>
                <w:rFonts w:cstheme="minorHAnsi"/>
                <w:sz w:val="24"/>
                <w:szCs w:val="24"/>
              </w:rPr>
            </w:pPr>
          </w:p>
        </w:tc>
        <w:tc>
          <w:tcPr>
            <w:tcW w:w="0" w:type="auto"/>
          </w:tcPr>
          <w:p w14:paraId="143D7ECF" w14:textId="77777777" w:rsidR="008D2166" w:rsidRDefault="008D2166" w:rsidP="00430A13">
            <w:pPr>
              <w:rPr>
                <w:rFonts w:cstheme="minorHAnsi"/>
                <w:sz w:val="24"/>
                <w:szCs w:val="24"/>
              </w:rPr>
            </w:pPr>
          </w:p>
        </w:tc>
        <w:tc>
          <w:tcPr>
            <w:tcW w:w="0" w:type="auto"/>
          </w:tcPr>
          <w:p w14:paraId="16368319" w14:textId="37B086FB" w:rsidR="008D2166" w:rsidRDefault="009C7BBF" w:rsidP="009C7BBF">
            <w:pPr>
              <w:rPr>
                <w:rFonts w:cstheme="minorHAnsi"/>
                <w:sz w:val="24"/>
                <w:szCs w:val="24"/>
              </w:rPr>
            </w:pPr>
            <w:r w:rsidRPr="009C7BBF">
              <w:rPr>
                <w:rFonts w:cstheme="minorHAnsi"/>
                <w:i/>
                <w:iCs/>
                <w:sz w:val="24"/>
                <w:szCs w:val="24"/>
              </w:rPr>
              <w:t>R</w:t>
            </w:r>
            <w:r w:rsidRPr="009C7BBF">
              <w:rPr>
                <w:rFonts w:cstheme="minorHAnsi"/>
                <w:sz w:val="24"/>
                <w:szCs w:val="24"/>
                <w:vertAlign w:val="superscript"/>
              </w:rPr>
              <w:t>2</w:t>
            </w:r>
            <w:r w:rsidRPr="009C7BBF">
              <w:rPr>
                <w:rFonts w:cstheme="minorHAnsi"/>
                <w:sz w:val="24"/>
                <w:szCs w:val="24"/>
              </w:rPr>
              <w:t xml:space="preserve"> = .</w:t>
            </w:r>
            <w:r w:rsidR="00381A2B">
              <w:rPr>
                <w:rFonts w:cstheme="minorHAnsi"/>
                <w:sz w:val="24"/>
                <w:szCs w:val="24"/>
              </w:rPr>
              <w:t>43</w:t>
            </w:r>
          </w:p>
        </w:tc>
        <w:tc>
          <w:tcPr>
            <w:tcW w:w="0" w:type="auto"/>
          </w:tcPr>
          <w:p w14:paraId="44501CE4" w14:textId="77777777" w:rsidR="008D2166" w:rsidRDefault="008D2166" w:rsidP="00430A13">
            <w:pPr>
              <w:rPr>
                <w:rFonts w:cstheme="minorHAnsi"/>
                <w:sz w:val="24"/>
                <w:szCs w:val="24"/>
              </w:rPr>
            </w:pPr>
          </w:p>
        </w:tc>
        <w:tc>
          <w:tcPr>
            <w:tcW w:w="0" w:type="auto"/>
          </w:tcPr>
          <w:p w14:paraId="50712341" w14:textId="77777777" w:rsidR="008D2166" w:rsidRDefault="008D2166" w:rsidP="00430A13">
            <w:pPr>
              <w:rPr>
                <w:rFonts w:cstheme="minorHAnsi"/>
                <w:sz w:val="24"/>
                <w:szCs w:val="24"/>
              </w:rPr>
            </w:pPr>
          </w:p>
        </w:tc>
      </w:tr>
      <w:tr w:rsidR="00381A2B" w14:paraId="2D7F5BD5" w14:textId="77777777" w:rsidTr="00946656">
        <w:tc>
          <w:tcPr>
            <w:tcW w:w="0" w:type="auto"/>
          </w:tcPr>
          <w:p w14:paraId="3CE5A833" w14:textId="77777777" w:rsidR="00381A2B" w:rsidRDefault="00381A2B" w:rsidP="00430A13">
            <w:pPr>
              <w:rPr>
                <w:rFonts w:cstheme="minorHAnsi"/>
                <w:sz w:val="24"/>
                <w:szCs w:val="24"/>
              </w:rPr>
            </w:pPr>
          </w:p>
        </w:tc>
        <w:tc>
          <w:tcPr>
            <w:tcW w:w="0" w:type="auto"/>
          </w:tcPr>
          <w:p w14:paraId="51728D7C" w14:textId="43167A25" w:rsidR="00381A2B" w:rsidRPr="009C7BBF" w:rsidRDefault="00381A2B" w:rsidP="00430A13">
            <w:pPr>
              <w:rPr>
                <w:rFonts w:cstheme="minorHAnsi"/>
                <w:i/>
                <w:iCs/>
                <w:sz w:val="24"/>
                <w:szCs w:val="24"/>
              </w:rPr>
            </w:pPr>
            <w:proofErr w:type="gramStart"/>
            <w:r w:rsidRPr="00381A2B">
              <w:rPr>
                <w:rFonts w:cstheme="minorHAnsi"/>
                <w:i/>
                <w:iCs/>
                <w:sz w:val="24"/>
                <w:szCs w:val="24"/>
              </w:rPr>
              <w:t>F(</w:t>
            </w:r>
            <w:proofErr w:type="gramEnd"/>
            <w:r w:rsidRPr="00381A2B">
              <w:rPr>
                <w:rFonts w:cstheme="minorHAnsi"/>
                <w:i/>
                <w:iCs/>
                <w:sz w:val="24"/>
                <w:szCs w:val="24"/>
              </w:rPr>
              <w:t>5, 226) = 7.54, p &lt; .01</w:t>
            </w:r>
          </w:p>
        </w:tc>
        <w:tc>
          <w:tcPr>
            <w:tcW w:w="0" w:type="auto"/>
          </w:tcPr>
          <w:p w14:paraId="32AAA989" w14:textId="77777777" w:rsidR="00381A2B" w:rsidRDefault="00381A2B" w:rsidP="00430A13">
            <w:pPr>
              <w:rPr>
                <w:rFonts w:cstheme="minorHAnsi"/>
                <w:sz w:val="24"/>
                <w:szCs w:val="24"/>
              </w:rPr>
            </w:pPr>
          </w:p>
        </w:tc>
        <w:tc>
          <w:tcPr>
            <w:tcW w:w="0" w:type="auto"/>
          </w:tcPr>
          <w:p w14:paraId="5836BE4A" w14:textId="77777777" w:rsidR="00381A2B" w:rsidRDefault="00381A2B" w:rsidP="00430A13">
            <w:pPr>
              <w:rPr>
                <w:rFonts w:cstheme="minorHAnsi"/>
                <w:sz w:val="24"/>
                <w:szCs w:val="24"/>
              </w:rPr>
            </w:pPr>
          </w:p>
        </w:tc>
        <w:tc>
          <w:tcPr>
            <w:tcW w:w="0" w:type="auto"/>
          </w:tcPr>
          <w:p w14:paraId="472F0EB3" w14:textId="081D272C" w:rsidR="00381A2B" w:rsidRPr="009C7BBF" w:rsidRDefault="00381A2B" w:rsidP="00430A13">
            <w:pPr>
              <w:rPr>
                <w:rFonts w:cstheme="minorHAnsi"/>
                <w:i/>
                <w:iCs/>
                <w:sz w:val="24"/>
                <w:szCs w:val="24"/>
              </w:rPr>
            </w:pPr>
            <w:proofErr w:type="gramStart"/>
            <w:r w:rsidRPr="00381A2B">
              <w:rPr>
                <w:rFonts w:cstheme="minorHAnsi"/>
                <w:i/>
                <w:iCs/>
                <w:sz w:val="24"/>
                <w:szCs w:val="24"/>
              </w:rPr>
              <w:t>F(</w:t>
            </w:r>
            <w:proofErr w:type="gramEnd"/>
            <w:r w:rsidRPr="00381A2B">
              <w:rPr>
                <w:rFonts w:cstheme="minorHAnsi"/>
                <w:i/>
                <w:iCs/>
                <w:sz w:val="24"/>
                <w:szCs w:val="24"/>
              </w:rPr>
              <w:t>5, 226) = 2.42, p = .04</w:t>
            </w:r>
          </w:p>
        </w:tc>
        <w:tc>
          <w:tcPr>
            <w:tcW w:w="0" w:type="auto"/>
          </w:tcPr>
          <w:p w14:paraId="7353BF7E" w14:textId="77777777" w:rsidR="00381A2B" w:rsidRDefault="00381A2B" w:rsidP="00430A13">
            <w:pPr>
              <w:rPr>
                <w:rFonts w:cstheme="minorHAnsi"/>
                <w:sz w:val="24"/>
                <w:szCs w:val="24"/>
              </w:rPr>
            </w:pPr>
          </w:p>
        </w:tc>
        <w:tc>
          <w:tcPr>
            <w:tcW w:w="0" w:type="auto"/>
          </w:tcPr>
          <w:p w14:paraId="6EE63623" w14:textId="77777777" w:rsidR="00381A2B" w:rsidRDefault="00381A2B" w:rsidP="00430A13">
            <w:pPr>
              <w:rPr>
                <w:rFonts w:cstheme="minorHAnsi"/>
                <w:sz w:val="24"/>
                <w:szCs w:val="24"/>
              </w:rPr>
            </w:pPr>
          </w:p>
        </w:tc>
        <w:tc>
          <w:tcPr>
            <w:tcW w:w="0" w:type="auto"/>
          </w:tcPr>
          <w:p w14:paraId="10B7D62D" w14:textId="387874E8" w:rsidR="00381A2B" w:rsidRPr="009C7BBF" w:rsidRDefault="00946656" w:rsidP="009C7BBF">
            <w:pPr>
              <w:rPr>
                <w:rFonts w:cstheme="minorHAnsi"/>
                <w:i/>
                <w:iCs/>
                <w:sz w:val="24"/>
                <w:szCs w:val="24"/>
              </w:rPr>
            </w:pPr>
            <w:proofErr w:type="gramStart"/>
            <w:r w:rsidRPr="00946656">
              <w:rPr>
                <w:rFonts w:cstheme="minorHAnsi"/>
                <w:i/>
                <w:iCs/>
                <w:sz w:val="24"/>
                <w:szCs w:val="24"/>
              </w:rPr>
              <w:t>F(</w:t>
            </w:r>
            <w:proofErr w:type="gramEnd"/>
            <w:r w:rsidRPr="00946656">
              <w:rPr>
                <w:rFonts w:cstheme="minorHAnsi"/>
                <w:i/>
                <w:iCs/>
                <w:sz w:val="24"/>
                <w:szCs w:val="24"/>
              </w:rPr>
              <w:t>7, 224) = 23.72, p &lt; .01</w:t>
            </w:r>
          </w:p>
        </w:tc>
        <w:tc>
          <w:tcPr>
            <w:tcW w:w="0" w:type="auto"/>
          </w:tcPr>
          <w:p w14:paraId="77A040C1" w14:textId="77777777" w:rsidR="00381A2B" w:rsidRDefault="00381A2B" w:rsidP="00430A13">
            <w:pPr>
              <w:rPr>
                <w:rFonts w:cstheme="minorHAnsi"/>
                <w:sz w:val="24"/>
                <w:szCs w:val="24"/>
              </w:rPr>
            </w:pPr>
          </w:p>
        </w:tc>
        <w:tc>
          <w:tcPr>
            <w:tcW w:w="0" w:type="auto"/>
          </w:tcPr>
          <w:p w14:paraId="59E12618" w14:textId="77777777" w:rsidR="00381A2B" w:rsidRDefault="00381A2B" w:rsidP="00430A13">
            <w:pPr>
              <w:rPr>
                <w:rFonts w:cstheme="minorHAnsi"/>
                <w:sz w:val="24"/>
                <w:szCs w:val="24"/>
              </w:rPr>
            </w:pPr>
          </w:p>
        </w:tc>
      </w:tr>
    </w:tbl>
    <w:p w14:paraId="231308A1" w14:textId="77777777" w:rsidR="004F3B6E" w:rsidRDefault="004F3B6E" w:rsidP="00430A13">
      <w:pPr>
        <w:rPr>
          <w:rFonts w:cstheme="minorHAnsi"/>
          <w:sz w:val="24"/>
          <w:szCs w:val="24"/>
        </w:rPr>
      </w:pPr>
    </w:p>
    <w:p w14:paraId="00BEB3F9" w14:textId="77777777" w:rsidR="00F03855" w:rsidRPr="00F03855" w:rsidRDefault="00F03855" w:rsidP="00F03855">
      <w:pPr>
        <w:kinsoku w:val="0"/>
        <w:overflowPunct w:val="0"/>
        <w:autoSpaceDE w:val="0"/>
        <w:autoSpaceDN w:val="0"/>
        <w:adjustRightInd w:val="0"/>
        <w:spacing w:before="10"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3239"/>
        <w:gridCol w:w="495"/>
        <w:gridCol w:w="495"/>
        <w:gridCol w:w="2387"/>
        <w:gridCol w:w="1226"/>
      </w:tblGrid>
      <w:tr w:rsidR="00F03855" w:rsidRPr="00F03855" w14:paraId="1C9036CD" w14:textId="77777777" w:rsidTr="00622721">
        <w:trPr>
          <w:trHeight w:val="290"/>
        </w:trPr>
        <w:tc>
          <w:tcPr>
            <w:tcW w:w="0" w:type="auto"/>
          </w:tcPr>
          <w:p w14:paraId="79699613" w14:textId="77777777" w:rsidR="00F03855" w:rsidRPr="00F03855" w:rsidRDefault="00F03855" w:rsidP="00F03855">
            <w:pPr>
              <w:pStyle w:val="NoSpacing"/>
            </w:pPr>
          </w:p>
        </w:tc>
        <w:tc>
          <w:tcPr>
            <w:tcW w:w="0" w:type="auto"/>
          </w:tcPr>
          <w:p w14:paraId="62AF3CBA" w14:textId="77777777" w:rsidR="00F03855" w:rsidRPr="00F03855" w:rsidRDefault="00F03855" w:rsidP="00F03855">
            <w:pPr>
              <w:pStyle w:val="NoSpacing"/>
            </w:pPr>
          </w:p>
        </w:tc>
        <w:tc>
          <w:tcPr>
            <w:tcW w:w="0" w:type="auto"/>
          </w:tcPr>
          <w:p w14:paraId="77B9A613" w14:textId="77777777" w:rsidR="00F03855" w:rsidRPr="00F03855" w:rsidRDefault="00F03855" w:rsidP="00F03855">
            <w:pPr>
              <w:pStyle w:val="NoSpacing"/>
            </w:pPr>
          </w:p>
        </w:tc>
        <w:tc>
          <w:tcPr>
            <w:tcW w:w="0" w:type="auto"/>
          </w:tcPr>
          <w:p w14:paraId="2825266F" w14:textId="4AE3102D" w:rsidR="00F03855" w:rsidRPr="00F03855" w:rsidRDefault="00F03855" w:rsidP="00F03855">
            <w:pPr>
              <w:pStyle w:val="NoSpacing"/>
            </w:pPr>
            <w:r w:rsidRPr="00F03855">
              <w:t>95% Confidence interval</w:t>
            </w:r>
          </w:p>
        </w:tc>
        <w:tc>
          <w:tcPr>
            <w:tcW w:w="0" w:type="auto"/>
          </w:tcPr>
          <w:p w14:paraId="344029CC" w14:textId="77777777" w:rsidR="00F03855" w:rsidRPr="00F03855" w:rsidRDefault="00F03855" w:rsidP="00F03855">
            <w:pPr>
              <w:pStyle w:val="NoSpacing"/>
            </w:pPr>
          </w:p>
        </w:tc>
      </w:tr>
      <w:tr w:rsidR="00F03855" w:rsidRPr="00F03855" w14:paraId="3656CD1E" w14:textId="77777777" w:rsidTr="00622721">
        <w:trPr>
          <w:trHeight w:val="290"/>
        </w:trPr>
        <w:tc>
          <w:tcPr>
            <w:tcW w:w="0" w:type="auto"/>
          </w:tcPr>
          <w:p w14:paraId="2F0B0218" w14:textId="77777777" w:rsidR="00F03855" w:rsidRPr="00F03855" w:rsidRDefault="00F03855" w:rsidP="00F03855">
            <w:pPr>
              <w:pStyle w:val="NoSpacing"/>
            </w:pPr>
            <w:r w:rsidRPr="00F03855">
              <w:t>Indirect effect</w:t>
            </w:r>
          </w:p>
        </w:tc>
        <w:tc>
          <w:tcPr>
            <w:tcW w:w="0" w:type="auto"/>
          </w:tcPr>
          <w:p w14:paraId="545C13C2" w14:textId="77777777" w:rsidR="00F03855" w:rsidRPr="00F03855" w:rsidRDefault="00F03855" w:rsidP="00F03855">
            <w:pPr>
              <w:pStyle w:val="NoSpacing"/>
            </w:pPr>
            <w:r w:rsidRPr="00F03855">
              <w:t>B</w:t>
            </w:r>
          </w:p>
        </w:tc>
        <w:tc>
          <w:tcPr>
            <w:tcW w:w="0" w:type="auto"/>
          </w:tcPr>
          <w:p w14:paraId="6B6ED1ED" w14:textId="77777777" w:rsidR="00F03855" w:rsidRPr="00F03855" w:rsidRDefault="00F03855" w:rsidP="00F03855">
            <w:pPr>
              <w:pStyle w:val="NoSpacing"/>
            </w:pPr>
            <w:r w:rsidRPr="00F03855">
              <w:t>SE</w:t>
            </w:r>
          </w:p>
        </w:tc>
        <w:tc>
          <w:tcPr>
            <w:tcW w:w="0" w:type="auto"/>
          </w:tcPr>
          <w:p w14:paraId="15786E88" w14:textId="77777777" w:rsidR="00F03855" w:rsidRPr="00F03855" w:rsidRDefault="00F03855" w:rsidP="00F03855">
            <w:pPr>
              <w:pStyle w:val="NoSpacing"/>
            </w:pPr>
            <w:r w:rsidRPr="00F03855">
              <w:t>Lower limit</w:t>
            </w:r>
          </w:p>
        </w:tc>
        <w:tc>
          <w:tcPr>
            <w:tcW w:w="0" w:type="auto"/>
          </w:tcPr>
          <w:p w14:paraId="48350D94" w14:textId="77777777" w:rsidR="00F03855" w:rsidRPr="00F03855" w:rsidRDefault="00F03855" w:rsidP="00F03855">
            <w:pPr>
              <w:pStyle w:val="NoSpacing"/>
            </w:pPr>
            <w:r w:rsidRPr="00F03855">
              <w:t>Upper limit</w:t>
            </w:r>
          </w:p>
        </w:tc>
      </w:tr>
      <w:tr w:rsidR="00F03855" w:rsidRPr="00F03855" w14:paraId="55DA212D" w14:textId="77777777" w:rsidTr="00622721">
        <w:trPr>
          <w:trHeight w:val="220"/>
        </w:trPr>
        <w:tc>
          <w:tcPr>
            <w:tcW w:w="0" w:type="auto"/>
          </w:tcPr>
          <w:p w14:paraId="3B07D662" w14:textId="77777777" w:rsidR="00F03855" w:rsidRPr="00F03855" w:rsidRDefault="00F03855" w:rsidP="00F03855">
            <w:pPr>
              <w:pStyle w:val="NoSpacing"/>
            </w:pPr>
            <w:r w:rsidRPr="00F03855">
              <w:t>Total indirect effect</w:t>
            </w:r>
          </w:p>
        </w:tc>
        <w:tc>
          <w:tcPr>
            <w:tcW w:w="0" w:type="auto"/>
          </w:tcPr>
          <w:p w14:paraId="36B84951" w14:textId="77777777" w:rsidR="00F03855" w:rsidRPr="00F03855" w:rsidRDefault="00F03855" w:rsidP="00F03855">
            <w:pPr>
              <w:pStyle w:val="NoSpacing"/>
            </w:pPr>
            <w:r w:rsidRPr="00F03855">
              <w:t>.80</w:t>
            </w:r>
          </w:p>
        </w:tc>
        <w:tc>
          <w:tcPr>
            <w:tcW w:w="0" w:type="auto"/>
          </w:tcPr>
          <w:p w14:paraId="56E1687D" w14:textId="77777777" w:rsidR="00F03855" w:rsidRPr="00F03855" w:rsidRDefault="00F03855" w:rsidP="00F03855">
            <w:pPr>
              <w:pStyle w:val="NoSpacing"/>
            </w:pPr>
            <w:r w:rsidRPr="00F03855">
              <w:t>.25</w:t>
            </w:r>
          </w:p>
        </w:tc>
        <w:tc>
          <w:tcPr>
            <w:tcW w:w="0" w:type="auto"/>
          </w:tcPr>
          <w:p w14:paraId="207268DE" w14:textId="77777777" w:rsidR="00F03855" w:rsidRPr="00F03855" w:rsidRDefault="00F03855" w:rsidP="00F03855">
            <w:pPr>
              <w:pStyle w:val="NoSpacing"/>
            </w:pPr>
            <w:r w:rsidRPr="00F03855">
              <w:t>.36</w:t>
            </w:r>
          </w:p>
        </w:tc>
        <w:tc>
          <w:tcPr>
            <w:tcW w:w="0" w:type="auto"/>
          </w:tcPr>
          <w:p w14:paraId="602DBDE0" w14:textId="77777777" w:rsidR="00F03855" w:rsidRPr="00F03855" w:rsidRDefault="00F03855" w:rsidP="00F03855">
            <w:pPr>
              <w:pStyle w:val="NoSpacing"/>
            </w:pPr>
            <w:r w:rsidRPr="00F03855">
              <w:t>1.33</w:t>
            </w:r>
          </w:p>
        </w:tc>
      </w:tr>
      <w:tr w:rsidR="00F03855" w:rsidRPr="00F03855" w14:paraId="2E6AF63B" w14:textId="77777777" w:rsidTr="00622721">
        <w:trPr>
          <w:trHeight w:val="190"/>
        </w:trPr>
        <w:tc>
          <w:tcPr>
            <w:tcW w:w="0" w:type="auto"/>
          </w:tcPr>
          <w:p w14:paraId="2C379D48" w14:textId="77777777" w:rsidR="00F03855" w:rsidRPr="00F03855" w:rsidRDefault="00F03855" w:rsidP="00F03855">
            <w:pPr>
              <w:pStyle w:val="NoSpacing"/>
            </w:pPr>
            <w:r w:rsidRPr="00F03855">
              <w:t>Anxiety sensitivity</w:t>
            </w:r>
          </w:p>
        </w:tc>
        <w:tc>
          <w:tcPr>
            <w:tcW w:w="0" w:type="auto"/>
          </w:tcPr>
          <w:p w14:paraId="6C999624" w14:textId="77777777" w:rsidR="00F03855" w:rsidRPr="00F03855" w:rsidRDefault="00F03855" w:rsidP="00F03855">
            <w:pPr>
              <w:pStyle w:val="NoSpacing"/>
            </w:pPr>
            <w:r w:rsidRPr="00F03855">
              <w:t>.66</w:t>
            </w:r>
          </w:p>
        </w:tc>
        <w:tc>
          <w:tcPr>
            <w:tcW w:w="0" w:type="auto"/>
          </w:tcPr>
          <w:p w14:paraId="5B21CBC0" w14:textId="77777777" w:rsidR="00F03855" w:rsidRPr="00F03855" w:rsidRDefault="00F03855" w:rsidP="00F03855">
            <w:pPr>
              <w:pStyle w:val="NoSpacing"/>
            </w:pPr>
            <w:r w:rsidRPr="00F03855">
              <w:t>.21</w:t>
            </w:r>
          </w:p>
        </w:tc>
        <w:tc>
          <w:tcPr>
            <w:tcW w:w="0" w:type="auto"/>
          </w:tcPr>
          <w:p w14:paraId="3A927B83" w14:textId="77777777" w:rsidR="00F03855" w:rsidRPr="00F03855" w:rsidRDefault="00F03855" w:rsidP="00F03855">
            <w:pPr>
              <w:pStyle w:val="NoSpacing"/>
            </w:pPr>
            <w:r w:rsidRPr="00F03855">
              <w:t>.29</w:t>
            </w:r>
          </w:p>
        </w:tc>
        <w:tc>
          <w:tcPr>
            <w:tcW w:w="0" w:type="auto"/>
          </w:tcPr>
          <w:p w14:paraId="2099269C" w14:textId="77777777" w:rsidR="00F03855" w:rsidRPr="00F03855" w:rsidRDefault="00F03855" w:rsidP="00F03855">
            <w:pPr>
              <w:pStyle w:val="NoSpacing"/>
            </w:pPr>
            <w:r w:rsidRPr="00F03855">
              <w:t>1.13</w:t>
            </w:r>
          </w:p>
        </w:tc>
      </w:tr>
      <w:tr w:rsidR="00F03855" w:rsidRPr="00F03855" w14:paraId="2B79275A" w14:textId="77777777" w:rsidTr="00622721">
        <w:trPr>
          <w:trHeight w:val="191"/>
        </w:trPr>
        <w:tc>
          <w:tcPr>
            <w:tcW w:w="0" w:type="auto"/>
          </w:tcPr>
          <w:p w14:paraId="5874FAD1" w14:textId="77777777" w:rsidR="00F03855" w:rsidRPr="00F03855" w:rsidRDefault="00F03855" w:rsidP="00F03855">
            <w:pPr>
              <w:pStyle w:val="NoSpacing"/>
            </w:pPr>
            <w:r w:rsidRPr="00F03855">
              <w:t>Expressive suppression</w:t>
            </w:r>
          </w:p>
        </w:tc>
        <w:tc>
          <w:tcPr>
            <w:tcW w:w="0" w:type="auto"/>
          </w:tcPr>
          <w:p w14:paraId="1AC70569" w14:textId="77777777" w:rsidR="00F03855" w:rsidRPr="00F03855" w:rsidRDefault="00F03855" w:rsidP="00F03855">
            <w:pPr>
              <w:pStyle w:val="NoSpacing"/>
            </w:pPr>
            <w:r w:rsidRPr="00F03855">
              <w:t>.14</w:t>
            </w:r>
          </w:p>
        </w:tc>
        <w:tc>
          <w:tcPr>
            <w:tcW w:w="0" w:type="auto"/>
          </w:tcPr>
          <w:p w14:paraId="60274CAF" w14:textId="77777777" w:rsidR="00F03855" w:rsidRPr="00F03855" w:rsidRDefault="00F03855" w:rsidP="00F03855">
            <w:pPr>
              <w:pStyle w:val="NoSpacing"/>
            </w:pPr>
            <w:r w:rsidRPr="00F03855">
              <w:t>.10</w:t>
            </w:r>
          </w:p>
        </w:tc>
        <w:tc>
          <w:tcPr>
            <w:tcW w:w="0" w:type="auto"/>
          </w:tcPr>
          <w:p w14:paraId="5EB5B09C" w14:textId="77777777" w:rsidR="00F03855" w:rsidRPr="00F03855" w:rsidRDefault="00F03855" w:rsidP="00F03855">
            <w:pPr>
              <w:pStyle w:val="NoSpacing"/>
            </w:pPr>
            <w:r w:rsidRPr="00F03855">
              <w:t>-.0003</w:t>
            </w:r>
          </w:p>
        </w:tc>
        <w:tc>
          <w:tcPr>
            <w:tcW w:w="0" w:type="auto"/>
          </w:tcPr>
          <w:p w14:paraId="7B45451B" w14:textId="77777777" w:rsidR="00F03855" w:rsidRPr="00F03855" w:rsidRDefault="00F03855" w:rsidP="00F03855">
            <w:pPr>
              <w:pStyle w:val="NoSpacing"/>
            </w:pPr>
            <w:r w:rsidRPr="00F03855">
              <w:t>.40</w:t>
            </w:r>
          </w:p>
        </w:tc>
      </w:tr>
      <w:tr w:rsidR="00F03855" w:rsidRPr="00F03855" w14:paraId="6A5E25C2" w14:textId="77777777" w:rsidTr="00622721">
        <w:trPr>
          <w:trHeight w:val="188"/>
        </w:trPr>
        <w:tc>
          <w:tcPr>
            <w:tcW w:w="0" w:type="auto"/>
          </w:tcPr>
          <w:p w14:paraId="61E77BFD" w14:textId="77777777" w:rsidR="00F03855" w:rsidRPr="00F03855" w:rsidRDefault="00F03855" w:rsidP="00F03855">
            <w:pPr>
              <w:pStyle w:val="NoSpacing"/>
            </w:pPr>
            <w:r w:rsidRPr="00F03855">
              <w:t>Comparison of indirect effects</w:t>
            </w:r>
          </w:p>
        </w:tc>
        <w:tc>
          <w:tcPr>
            <w:tcW w:w="0" w:type="auto"/>
          </w:tcPr>
          <w:p w14:paraId="088C8004" w14:textId="77777777" w:rsidR="00F03855" w:rsidRPr="00F03855" w:rsidRDefault="00F03855" w:rsidP="00F03855">
            <w:pPr>
              <w:pStyle w:val="NoSpacing"/>
            </w:pPr>
          </w:p>
        </w:tc>
        <w:tc>
          <w:tcPr>
            <w:tcW w:w="0" w:type="auto"/>
          </w:tcPr>
          <w:p w14:paraId="1117CA89" w14:textId="77777777" w:rsidR="00F03855" w:rsidRPr="00F03855" w:rsidRDefault="00F03855" w:rsidP="00F03855">
            <w:pPr>
              <w:pStyle w:val="NoSpacing"/>
            </w:pPr>
          </w:p>
        </w:tc>
        <w:tc>
          <w:tcPr>
            <w:tcW w:w="0" w:type="auto"/>
          </w:tcPr>
          <w:p w14:paraId="58C19C45" w14:textId="77777777" w:rsidR="00F03855" w:rsidRPr="00F03855" w:rsidRDefault="00F03855" w:rsidP="00F03855">
            <w:pPr>
              <w:pStyle w:val="NoSpacing"/>
            </w:pPr>
          </w:p>
        </w:tc>
        <w:tc>
          <w:tcPr>
            <w:tcW w:w="0" w:type="auto"/>
          </w:tcPr>
          <w:p w14:paraId="1694ED3E" w14:textId="77777777" w:rsidR="00F03855" w:rsidRPr="00F03855" w:rsidRDefault="00F03855" w:rsidP="00F03855">
            <w:pPr>
              <w:pStyle w:val="NoSpacing"/>
            </w:pPr>
          </w:p>
        </w:tc>
      </w:tr>
      <w:tr w:rsidR="00F03855" w:rsidRPr="00F03855" w14:paraId="2BAB25AD" w14:textId="77777777" w:rsidTr="00622721">
        <w:trPr>
          <w:trHeight w:val="187"/>
        </w:trPr>
        <w:tc>
          <w:tcPr>
            <w:tcW w:w="0" w:type="auto"/>
          </w:tcPr>
          <w:p w14:paraId="38DB7332" w14:textId="77777777" w:rsidR="00F03855" w:rsidRPr="00F03855" w:rsidRDefault="00F03855" w:rsidP="00F03855">
            <w:pPr>
              <w:pStyle w:val="NoSpacing"/>
            </w:pPr>
            <w:r w:rsidRPr="00F03855">
              <w:t>Suppression vs. anxiety sensitivity</w:t>
            </w:r>
          </w:p>
        </w:tc>
        <w:tc>
          <w:tcPr>
            <w:tcW w:w="0" w:type="auto"/>
          </w:tcPr>
          <w:p w14:paraId="55DF1855" w14:textId="77777777" w:rsidR="00F03855" w:rsidRPr="00F03855" w:rsidRDefault="00F03855" w:rsidP="00F03855">
            <w:pPr>
              <w:pStyle w:val="NoSpacing"/>
            </w:pPr>
            <w:r w:rsidRPr="00F03855">
              <w:t>.52</w:t>
            </w:r>
          </w:p>
        </w:tc>
        <w:tc>
          <w:tcPr>
            <w:tcW w:w="0" w:type="auto"/>
          </w:tcPr>
          <w:p w14:paraId="6AB5668B" w14:textId="77777777" w:rsidR="00F03855" w:rsidRPr="00F03855" w:rsidRDefault="00F03855" w:rsidP="00F03855">
            <w:pPr>
              <w:pStyle w:val="NoSpacing"/>
            </w:pPr>
            <w:r w:rsidRPr="00F03855">
              <w:t>.22</w:t>
            </w:r>
          </w:p>
        </w:tc>
        <w:tc>
          <w:tcPr>
            <w:tcW w:w="0" w:type="auto"/>
          </w:tcPr>
          <w:p w14:paraId="4C2BD164" w14:textId="77777777" w:rsidR="00F03855" w:rsidRPr="00F03855" w:rsidRDefault="00F03855" w:rsidP="00F03855">
            <w:pPr>
              <w:pStyle w:val="NoSpacing"/>
            </w:pPr>
            <w:r w:rsidRPr="00F03855">
              <w:t>-.98</w:t>
            </w:r>
          </w:p>
        </w:tc>
        <w:tc>
          <w:tcPr>
            <w:tcW w:w="0" w:type="auto"/>
          </w:tcPr>
          <w:p w14:paraId="480CBC93" w14:textId="77777777" w:rsidR="00F03855" w:rsidRPr="00F03855" w:rsidRDefault="00F03855" w:rsidP="00F03855">
            <w:pPr>
              <w:pStyle w:val="NoSpacing"/>
            </w:pPr>
            <w:r w:rsidRPr="00F03855">
              <w:t>-.14</w:t>
            </w:r>
          </w:p>
        </w:tc>
      </w:tr>
    </w:tbl>
    <w:p w14:paraId="28ACF562" w14:textId="77777777" w:rsidR="004F3B6E" w:rsidRPr="00430A13" w:rsidRDefault="004F3B6E" w:rsidP="00430A13">
      <w:pPr>
        <w:rPr>
          <w:rFonts w:cstheme="minorHAnsi"/>
          <w:sz w:val="24"/>
          <w:szCs w:val="24"/>
        </w:rPr>
      </w:pPr>
    </w:p>
    <w:p w14:paraId="78678700" w14:textId="1AD3F0D6" w:rsidR="00430A13" w:rsidRPr="00A34604" w:rsidRDefault="00430A13" w:rsidP="00A34604">
      <w:pPr>
        <w:pStyle w:val="Heading1"/>
      </w:pPr>
      <w:r w:rsidRPr="0042250A">
        <w:t>Discussion</w:t>
      </w:r>
    </w:p>
    <w:p w14:paraId="0E82330D" w14:textId="77777777" w:rsidR="00430A13" w:rsidRPr="00430A13" w:rsidRDefault="00430A13" w:rsidP="00430A13">
      <w:pPr>
        <w:rPr>
          <w:rFonts w:cstheme="minorHAnsi"/>
          <w:sz w:val="24"/>
          <w:szCs w:val="24"/>
        </w:rPr>
      </w:pPr>
      <w:r w:rsidRPr="00430A13">
        <w:rPr>
          <w:rFonts w:cstheme="minorHAnsi"/>
          <w:sz w:val="24"/>
          <w:szCs w:val="24"/>
        </w:rPr>
        <w:t>From a stress and coping framework, the present study sought to explore two emotional stress responses, anxiety sensitivity and expressive suppression, that may be relevant to the relationship between discrimination and depression symptoms among Latinx women. Few studies have sought to identify the pathways by which discrimination leads to depression specific to Latinx women, even though Latinx women are at twice the risk of experiencing depression symptoms compared to men. As anticipated, the first hypothesis was supported such that both anxiety sensitivity and expressive suppression were indirectly related to ethnic discrimination and depression. The second hypothesis was partially supported with evidence that anxiety sensitivity, but not expressive suppression, had an indirect effect. These findings provide insight into how the negative interpretation of physical sensations and poor emotion regulation may be associated with the psychological consequences connected with experiences of ethnic and sexist discrimination among Latinx women. The current national discourse regarding racial and gender inequality (i.e., Black Lives Matter, #MeToo Movement) has demonstrated the importance of better understanding the ways in which systemic inequities contribute to the health and well-being of those who represent traditionally marginalized groups.</w:t>
      </w:r>
    </w:p>
    <w:p w14:paraId="33ED331E" w14:textId="0BF59C08" w:rsidR="00430A13" w:rsidRPr="00430A13" w:rsidRDefault="00430A13" w:rsidP="00430A13">
      <w:pPr>
        <w:rPr>
          <w:rFonts w:cstheme="minorHAnsi"/>
          <w:sz w:val="24"/>
          <w:szCs w:val="24"/>
        </w:rPr>
      </w:pPr>
      <w:r w:rsidRPr="00430A13">
        <w:rPr>
          <w:rFonts w:cstheme="minorHAnsi"/>
          <w:sz w:val="24"/>
          <w:szCs w:val="24"/>
        </w:rPr>
        <w:t>In the context of both ethnic and sexist discrimination, anxiety sensitivity appears to be a critical mediator between discrimination and depression. The current findings provide further evidence that, among Latinx samples, anxiety sensitivity is associated with poor psychological health (</w:t>
      </w:r>
      <w:proofErr w:type="spellStart"/>
      <w:r w:rsidRPr="0042250A">
        <w:rPr>
          <w:rFonts w:cstheme="minorHAnsi"/>
          <w:sz w:val="24"/>
          <w:szCs w:val="24"/>
        </w:rPr>
        <w:t>Bakhshaie</w:t>
      </w:r>
      <w:proofErr w:type="spellEnd"/>
      <w:r w:rsidRPr="0042250A">
        <w:rPr>
          <w:rFonts w:cstheme="minorHAnsi"/>
          <w:sz w:val="24"/>
          <w:szCs w:val="24"/>
        </w:rPr>
        <w:t xml:space="preserve"> et al., 2018</w:t>
      </w:r>
      <w:r w:rsidRPr="00430A13">
        <w:rPr>
          <w:rFonts w:cstheme="minorHAnsi"/>
          <w:sz w:val="24"/>
          <w:szCs w:val="24"/>
        </w:rPr>
        <w:t xml:space="preserve">; </w:t>
      </w:r>
      <w:proofErr w:type="spellStart"/>
      <w:r w:rsidRPr="0042250A">
        <w:rPr>
          <w:rFonts w:cstheme="minorHAnsi"/>
          <w:sz w:val="24"/>
          <w:szCs w:val="24"/>
        </w:rPr>
        <w:t>Jardín</w:t>
      </w:r>
      <w:proofErr w:type="spellEnd"/>
      <w:r w:rsidRPr="0042250A">
        <w:rPr>
          <w:rFonts w:cstheme="minorHAnsi"/>
          <w:sz w:val="24"/>
          <w:szCs w:val="24"/>
        </w:rPr>
        <w:t xml:space="preserve"> et al., 2018</w:t>
      </w:r>
      <w:r w:rsidRPr="00430A13">
        <w:rPr>
          <w:rFonts w:cstheme="minorHAnsi"/>
          <w:sz w:val="24"/>
          <w:szCs w:val="24"/>
        </w:rPr>
        <w:t xml:space="preserve">; </w:t>
      </w:r>
      <w:r w:rsidRPr="0042250A">
        <w:rPr>
          <w:rFonts w:cstheme="minorHAnsi"/>
          <w:sz w:val="24"/>
          <w:szCs w:val="24"/>
        </w:rPr>
        <w:t>Viana et al., 2017</w:t>
      </w:r>
      <w:r w:rsidRPr="00430A13">
        <w:rPr>
          <w:rFonts w:cstheme="minorHAnsi"/>
          <w:sz w:val="24"/>
          <w:szCs w:val="24"/>
        </w:rPr>
        <w:t xml:space="preserve">; </w:t>
      </w:r>
      <w:proofErr w:type="spellStart"/>
      <w:r w:rsidRPr="0042250A">
        <w:rPr>
          <w:rFonts w:cstheme="minorHAnsi"/>
          <w:sz w:val="24"/>
          <w:szCs w:val="24"/>
        </w:rPr>
        <w:t>Zvolensky</w:t>
      </w:r>
      <w:proofErr w:type="spellEnd"/>
      <w:r w:rsidRPr="0042250A">
        <w:rPr>
          <w:rFonts w:cstheme="minorHAnsi"/>
          <w:sz w:val="24"/>
          <w:szCs w:val="24"/>
        </w:rPr>
        <w:t xml:space="preserve"> et al., 2019</w:t>
      </w:r>
      <w:r w:rsidRPr="00430A13">
        <w:rPr>
          <w:rFonts w:cstheme="minorHAnsi"/>
          <w:sz w:val="24"/>
          <w:szCs w:val="24"/>
        </w:rPr>
        <w:t>). Past work has postulated that experiences of discrimination, like other stressors, elicit a physiological or autonomic stress response (</w:t>
      </w:r>
      <w:r w:rsidRPr="0042250A">
        <w:rPr>
          <w:rFonts w:cstheme="minorHAnsi"/>
          <w:sz w:val="24"/>
          <w:szCs w:val="24"/>
        </w:rPr>
        <w:t>Pascoe &amp; Smart Richman, 2009</w:t>
      </w:r>
      <w:r w:rsidRPr="00430A13">
        <w:rPr>
          <w:rFonts w:cstheme="minorHAnsi"/>
          <w:sz w:val="24"/>
          <w:szCs w:val="24"/>
        </w:rPr>
        <w:t>). Given that anxiety sensitivity involves a fear of physical sensations, it could be that Latinx women attribute negative meaning to the physiological reactions associated with discrimination, which may intensify psychological consequences, in this case depression symptoms. This notion has received some support, with recent studies showing that anxiety sensitivity mediated the relationship between acculturative stress (</w:t>
      </w:r>
      <w:proofErr w:type="spellStart"/>
      <w:r w:rsidRPr="0042250A">
        <w:rPr>
          <w:rFonts w:cstheme="minorHAnsi"/>
          <w:sz w:val="24"/>
          <w:szCs w:val="24"/>
        </w:rPr>
        <w:t>Bakhshaie</w:t>
      </w:r>
      <w:proofErr w:type="spellEnd"/>
      <w:r w:rsidRPr="0042250A">
        <w:rPr>
          <w:rFonts w:cstheme="minorHAnsi"/>
          <w:sz w:val="24"/>
          <w:szCs w:val="24"/>
        </w:rPr>
        <w:t xml:space="preserve"> et al., 2018</w:t>
      </w:r>
      <w:r w:rsidRPr="00430A13">
        <w:rPr>
          <w:rFonts w:cstheme="minorHAnsi"/>
          <w:sz w:val="24"/>
          <w:szCs w:val="24"/>
        </w:rPr>
        <w:t xml:space="preserve">; </w:t>
      </w:r>
      <w:proofErr w:type="spellStart"/>
      <w:r w:rsidRPr="0042250A">
        <w:rPr>
          <w:rFonts w:cstheme="minorHAnsi"/>
          <w:sz w:val="24"/>
          <w:szCs w:val="24"/>
        </w:rPr>
        <w:t>Jardín</w:t>
      </w:r>
      <w:proofErr w:type="spellEnd"/>
      <w:r w:rsidRPr="0042250A">
        <w:rPr>
          <w:rFonts w:cstheme="minorHAnsi"/>
          <w:sz w:val="24"/>
          <w:szCs w:val="24"/>
        </w:rPr>
        <w:t xml:space="preserve"> et al., 2018</w:t>
      </w:r>
      <w:r w:rsidRPr="00430A13">
        <w:rPr>
          <w:rFonts w:cstheme="minorHAnsi"/>
          <w:sz w:val="24"/>
          <w:szCs w:val="24"/>
        </w:rPr>
        <w:t>), ethnic discrimination (</w:t>
      </w:r>
      <w:proofErr w:type="spellStart"/>
      <w:r w:rsidRPr="0042250A">
        <w:rPr>
          <w:rFonts w:cstheme="minorHAnsi"/>
          <w:sz w:val="24"/>
          <w:szCs w:val="24"/>
        </w:rPr>
        <w:t>Zvolensky</w:t>
      </w:r>
      <w:proofErr w:type="spellEnd"/>
      <w:r w:rsidRPr="0042250A">
        <w:rPr>
          <w:rFonts w:cstheme="minorHAnsi"/>
          <w:sz w:val="24"/>
          <w:szCs w:val="24"/>
        </w:rPr>
        <w:t xml:space="preserve"> et al., 2019</w:t>
      </w:r>
      <w:r w:rsidRPr="00430A13">
        <w:rPr>
          <w:rFonts w:cstheme="minorHAnsi"/>
          <w:sz w:val="24"/>
          <w:szCs w:val="24"/>
        </w:rPr>
        <w:t>), and subjective social status (</w:t>
      </w:r>
      <w:proofErr w:type="spellStart"/>
      <w:r w:rsidRPr="0042250A">
        <w:rPr>
          <w:rFonts w:cstheme="minorHAnsi"/>
          <w:sz w:val="24"/>
          <w:szCs w:val="24"/>
        </w:rPr>
        <w:t>Zvolensky</w:t>
      </w:r>
      <w:proofErr w:type="spellEnd"/>
      <w:r w:rsidRPr="0042250A">
        <w:rPr>
          <w:rFonts w:cstheme="minorHAnsi"/>
          <w:sz w:val="24"/>
          <w:szCs w:val="24"/>
        </w:rPr>
        <w:t xml:space="preserve"> et al., 2015</w:t>
      </w:r>
      <w:r w:rsidRPr="00430A13">
        <w:rPr>
          <w:rFonts w:cstheme="minorHAnsi"/>
          <w:sz w:val="24"/>
          <w:szCs w:val="24"/>
        </w:rPr>
        <w:t>) to depression among Latinx samples. To our knowledge, the present study is the first to examine anxiety sensitivity in relation to sexism among Latinx women. The current findings are particularly compelling since anxiety sensitivity is thought to be a relatively stable, yet malleable, factor (</w:t>
      </w:r>
      <w:proofErr w:type="spellStart"/>
      <w:r w:rsidRPr="0042250A">
        <w:rPr>
          <w:rFonts w:cstheme="minorHAnsi"/>
          <w:sz w:val="24"/>
          <w:szCs w:val="24"/>
        </w:rPr>
        <w:t>Naragon</w:t>
      </w:r>
      <w:proofErr w:type="spellEnd"/>
      <w:r w:rsidRPr="0042250A">
        <w:rPr>
          <w:rFonts w:cstheme="minorHAnsi"/>
          <w:sz w:val="24"/>
          <w:szCs w:val="24"/>
        </w:rPr>
        <w:t>-Gainey, 2010</w:t>
      </w:r>
      <w:r w:rsidRPr="00430A13">
        <w:rPr>
          <w:rFonts w:cstheme="minorHAnsi"/>
          <w:sz w:val="24"/>
          <w:szCs w:val="24"/>
        </w:rPr>
        <w:t>). Scholars have postulated that Latinx individuals have a higher tendency to report somatic difficulties (</w:t>
      </w:r>
      <w:r w:rsidRPr="0042250A">
        <w:rPr>
          <w:rFonts w:cstheme="minorHAnsi"/>
          <w:sz w:val="24"/>
          <w:szCs w:val="24"/>
        </w:rPr>
        <w:t>Varela et al., 2007</w:t>
      </w:r>
      <w:r w:rsidRPr="00430A13">
        <w:rPr>
          <w:rFonts w:cstheme="minorHAnsi"/>
          <w:sz w:val="24"/>
          <w:szCs w:val="24"/>
        </w:rPr>
        <w:t>), further corroborating the central role anxiety sensitivity plays in linking both ethnic and sexist discrimination to depression for Latinx women. As such, stressors rooted in ethnicity or gender can elicit a cascade of physiological and cognitive responses that contribute to mental health.</w:t>
      </w:r>
    </w:p>
    <w:p w14:paraId="2DCEE4FC" w14:textId="7550A80C" w:rsidR="00430A13" w:rsidRPr="00430A13" w:rsidRDefault="00430A13" w:rsidP="00430A13">
      <w:pPr>
        <w:rPr>
          <w:rFonts w:cstheme="minorHAnsi"/>
          <w:sz w:val="24"/>
          <w:szCs w:val="24"/>
        </w:rPr>
      </w:pPr>
      <w:r w:rsidRPr="00430A13">
        <w:rPr>
          <w:rFonts w:cstheme="minorHAnsi"/>
          <w:sz w:val="24"/>
          <w:szCs w:val="24"/>
        </w:rPr>
        <w:t>Expressive suppression served as another pathway by which ethnic discrimination is associated with depression. Thus, in the context of ethnic discrimination, restraining one’s emotional response was associated with increased depressive symptoms among Latinx women. Past research has suggested that emotion regulation strategies that occur after a response from a stressor, like expressive suppression, may be less effective in managing emotions than antecedent-focused strategies or those that occur prior to the response (</w:t>
      </w:r>
      <w:proofErr w:type="spellStart"/>
      <w:r w:rsidRPr="0042250A">
        <w:rPr>
          <w:rFonts w:cstheme="minorHAnsi"/>
          <w:sz w:val="24"/>
          <w:szCs w:val="24"/>
        </w:rPr>
        <w:t>Naragon</w:t>
      </w:r>
      <w:proofErr w:type="spellEnd"/>
      <w:r w:rsidRPr="0042250A">
        <w:rPr>
          <w:rFonts w:cstheme="minorHAnsi"/>
          <w:sz w:val="24"/>
          <w:szCs w:val="24"/>
        </w:rPr>
        <w:t>-Gainey, McMahon, &amp; Chacko, 2017</w:t>
      </w:r>
      <w:r w:rsidRPr="00430A13">
        <w:rPr>
          <w:rFonts w:cstheme="minorHAnsi"/>
          <w:sz w:val="24"/>
          <w:szCs w:val="24"/>
        </w:rPr>
        <w:t>). In fact, previous work has suggested expressive suppression is a mechanism that may lead to depression (</w:t>
      </w:r>
      <w:proofErr w:type="spellStart"/>
      <w:r w:rsidRPr="0042250A">
        <w:rPr>
          <w:rFonts w:cstheme="minorHAnsi"/>
          <w:sz w:val="24"/>
          <w:szCs w:val="24"/>
        </w:rPr>
        <w:t>Ehring</w:t>
      </w:r>
      <w:proofErr w:type="spellEnd"/>
      <w:r w:rsidRPr="0042250A">
        <w:rPr>
          <w:rFonts w:cstheme="minorHAnsi"/>
          <w:sz w:val="24"/>
          <w:szCs w:val="24"/>
        </w:rPr>
        <w:t xml:space="preserve"> et al., 2010</w:t>
      </w:r>
      <w:r w:rsidRPr="00430A13">
        <w:rPr>
          <w:rFonts w:cstheme="minorHAnsi"/>
          <w:sz w:val="24"/>
          <w:szCs w:val="24"/>
        </w:rPr>
        <w:t>). Recent work reported that expressive suppression loaded on an emotion regulation factor that included other strategies characterized by attempts to shift the focus from emotionally relevant information (</w:t>
      </w:r>
      <w:proofErr w:type="spellStart"/>
      <w:r w:rsidRPr="0042250A">
        <w:rPr>
          <w:rFonts w:cstheme="minorHAnsi"/>
          <w:sz w:val="24"/>
          <w:szCs w:val="24"/>
        </w:rPr>
        <w:t>Naragon</w:t>
      </w:r>
      <w:proofErr w:type="spellEnd"/>
      <w:r w:rsidRPr="0042250A">
        <w:rPr>
          <w:rFonts w:cstheme="minorHAnsi"/>
          <w:sz w:val="24"/>
          <w:szCs w:val="24"/>
        </w:rPr>
        <w:t>-Gainey et al., 2017</w:t>
      </w:r>
      <w:r w:rsidRPr="00430A13">
        <w:rPr>
          <w:rFonts w:cstheme="minorHAnsi"/>
          <w:sz w:val="24"/>
          <w:szCs w:val="24"/>
        </w:rPr>
        <w:t xml:space="preserve">). This </w:t>
      </w:r>
      <w:r w:rsidRPr="00430A13">
        <w:rPr>
          <w:rFonts w:cstheme="minorHAnsi"/>
          <w:i/>
          <w:iCs/>
          <w:sz w:val="24"/>
          <w:szCs w:val="24"/>
        </w:rPr>
        <w:t>disengagement</w:t>
      </w:r>
      <w:r w:rsidRPr="00430A13">
        <w:rPr>
          <w:rFonts w:cstheme="minorHAnsi"/>
          <w:sz w:val="24"/>
          <w:szCs w:val="24"/>
        </w:rPr>
        <w:t xml:space="preserve"> factor is thought to require minimal cognitive resources and be used for managing intense emotions (</w:t>
      </w:r>
      <w:proofErr w:type="spellStart"/>
      <w:r w:rsidRPr="0042250A">
        <w:rPr>
          <w:rFonts w:cstheme="minorHAnsi"/>
          <w:sz w:val="24"/>
          <w:szCs w:val="24"/>
        </w:rPr>
        <w:t>Sheppes</w:t>
      </w:r>
      <w:proofErr w:type="spellEnd"/>
      <w:r w:rsidRPr="0042250A">
        <w:rPr>
          <w:rFonts w:cstheme="minorHAnsi"/>
          <w:sz w:val="24"/>
          <w:szCs w:val="24"/>
        </w:rPr>
        <w:t xml:space="preserve">, </w:t>
      </w:r>
      <w:proofErr w:type="spellStart"/>
      <w:r w:rsidRPr="0042250A">
        <w:rPr>
          <w:rFonts w:cstheme="minorHAnsi"/>
          <w:sz w:val="24"/>
          <w:szCs w:val="24"/>
        </w:rPr>
        <w:t>Scheibe</w:t>
      </w:r>
      <w:proofErr w:type="spellEnd"/>
      <w:r w:rsidRPr="0042250A">
        <w:rPr>
          <w:rFonts w:cstheme="minorHAnsi"/>
          <w:sz w:val="24"/>
          <w:szCs w:val="24"/>
        </w:rPr>
        <w:t>, Suri, &amp; Gross, 2011</w:t>
      </w:r>
      <w:r w:rsidRPr="00430A13">
        <w:rPr>
          <w:rFonts w:cstheme="minorHAnsi"/>
          <w:sz w:val="24"/>
          <w:szCs w:val="24"/>
        </w:rPr>
        <w:t>).</w:t>
      </w:r>
    </w:p>
    <w:p w14:paraId="75335E47" w14:textId="2FA0EA94" w:rsidR="00430A13" w:rsidRPr="00430A13" w:rsidRDefault="00430A13" w:rsidP="00430A13">
      <w:pPr>
        <w:rPr>
          <w:rFonts w:cstheme="minorHAnsi"/>
          <w:sz w:val="24"/>
          <w:szCs w:val="24"/>
        </w:rPr>
      </w:pPr>
      <w:r w:rsidRPr="00430A13">
        <w:rPr>
          <w:rFonts w:cstheme="minorHAnsi"/>
          <w:sz w:val="24"/>
          <w:szCs w:val="24"/>
        </w:rPr>
        <w:t xml:space="preserve">In the current findings, sexism did not have an indirect effect on depression via expressive suppression, although the model showed a trend toward statistical significance. This finding emphasizes that emotional stress responses may differ for Latinx women depending on the </w:t>
      </w:r>
      <w:r w:rsidRPr="00430A13">
        <w:rPr>
          <w:rFonts w:cstheme="minorHAnsi"/>
          <w:i/>
          <w:iCs/>
          <w:sz w:val="24"/>
          <w:szCs w:val="24"/>
        </w:rPr>
        <w:t>type</w:t>
      </w:r>
      <w:r w:rsidRPr="00430A13">
        <w:rPr>
          <w:rFonts w:cstheme="minorHAnsi"/>
          <w:sz w:val="24"/>
          <w:szCs w:val="24"/>
        </w:rPr>
        <w:t xml:space="preserve"> of stressor. Consistent with this idea, </w:t>
      </w:r>
      <w:proofErr w:type="spellStart"/>
      <w:r w:rsidRPr="0042250A">
        <w:rPr>
          <w:rFonts w:cstheme="minorHAnsi"/>
          <w:sz w:val="24"/>
          <w:szCs w:val="24"/>
        </w:rPr>
        <w:t>Utsey</w:t>
      </w:r>
      <w:proofErr w:type="spellEnd"/>
      <w:r w:rsidRPr="0042250A">
        <w:rPr>
          <w:rFonts w:cstheme="minorHAnsi"/>
          <w:sz w:val="24"/>
          <w:szCs w:val="24"/>
        </w:rPr>
        <w:t xml:space="preserve">, </w:t>
      </w:r>
      <w:proofErr w:type="spellStart"/>
      <w:r w:rsidRPr="0042250A">
        <w:rPr>
          <w:rFonts w:cstheme="minorHAnsi"/>
          <w:sz w:val="24"/>
          <w:szCs w:val="24"/>
        </w:rPr>
        <w:t>Ponterotto</w:t>
      </w:r>
      <w:proofErr w:type="spellEnd"/>
      <w:r w:rsidRPr="0042250A">
        <w:rPr>
          <w:rFonts w:cstheme="minorHAnsi"/>
          <w:sz w:val="24"/>
          <w:szCs w:val="24"/>
        </w:rPr>
        <w:t>, Reynolds, and Cancelli (2000)</w:t>
      </w:r>
      <w:r w:rsidRPr="00430A13">
        <w:rPr>
          <w:rFonts w:cstheme="minorHAnsi"/>
          <w:sz w:val="24"/>
          <w:szCs w:val="24"/>
        </w:rPr>
        <w:t xml:space="preserve"> found that African American women had different responses depending on if they were responding to individual, institutional, or cultural racism. In this case, the differences between ethnic and sexist discrimination in the ability to relate to expressive suppression may be indicative of these qualitatively distinct experiences for Latinx women. In fact, </w:t>
      </w:r>
      <w:r w:rsidRPr="0042250A">
        <w:rPr>
          <w:rFonts w:cstheme="minorHAnsi"/>
          <w:sz w:val="24"/>
          <w:szCs w:val="24"/>
        </w:rPr>
        <w:t>Shorter-Gooden (2004)</w:t>
      </w:r>
      <w:r w:rsidRPr="00430A13">
        <w:rPr>
          <w:rFonts w:cstheme="minorHAnsi"/>
          <w:sz w:val="24"/>
          <w:szCs w:val="24"/>
        </w:rPr>
        <w:t xml:space="preserve"> found that African American women were more likely to use avoidant coping strategies for ethnic discrimination compared to sexism. They rationalized that because society tends to be more ethnically segregated than segregated by gender, women of color may not be able to constantly suppress responses to sexist discrimination. There is also the notion that sexism may appear ambivalent or ambiguous compared to ethnic discrimination (</w:t>
      </w:r>
      <w:r w:rsidRPr="0042250A">
        <w:rPr>
          <w:rFonts w:cstheme="minorHAnsi"/>
          <w:sz w:val="24"/>
          <w:szCs w:val="24"/>
        </w:rPr>
        <w:t>Swim, Aikin, Hall, &amp; Hunter, 1995</w:t>
      </w:r>
      <w:r w:rsidRPr="00430A13">
        <w:rPr>
          <w:rFonts w:cstheme="minorHAnsi"/>
          <w:sz w:val="24"/>
          <w:szCs w:val="24"/>
        </w:rPr>
        <w:t>). The implementation of emotion regulation strategies is influenced by a variety of contextual factors, and as such, it is crucial to understand the fit of the strategy with the situational demands and personal goals (</w:t>
      </w:r>
      <w:r w:rsidRPr="0042250A">
        <w:rPr>
          <w:rFonts w:cstheme="minorHAnsi"/>
          <w:sz w:val="24"/>
          <w:szCs w:val="24"/>
        </w:rPr>
        <w:t xml:space="preserve">McMahon &amp; </w:t>
      </w:r>
      <w:proofErr w:type="spellStart"/>
      <w:r w:rsidRPr="0042250A">
        <w:rPr>
          <w:rFonts w:cstheme="minorHAnsi"/>
          <w:sz w:val="24"/>
          <w:szCs w:val="24"/>
        </w:rPr>
        <w:t>Naragon</w:t>
      </w:r>
      <w:proofErr w:type="spellEnd"/>
      <w:r w:rsidRPr="0042250A">
        <w:rPr>
          <w:rFonts w:cstheme="minorHAnsi"/>
          <w:sz w:val="24"/>
          <w:szCs w:val="24"/>
        </w:rPr>
        <w:t>-Gainey, 2019</w:t>
      </w:r>
      <w:r w:rsidRPr="00430A13">
        <w:rPr>
          <w:rFonts w:cstheme="minorHAnsi"/>
          <w:sz w:val="24"/>
          <w:szCs w:val="24"/>
        </w:rPr>
        <w:t xml:space="preserve">; </w:t>
      </w:r>
      <w:proofErr w:type="spellStart"/>
      <w:r w:rsidRPr="0042250A">
        <w:rPr>
          <w:rFonts w:cstheme="minorHAnsi"/>
          <w:sz w:val="24"/>
          <w:szCs w:val="24"/>
        </w:rPr>
        <w:t>Sheppes</w:t>
      </w:r>
      <w:proofErr w:type="spellEnd"/>
      <w:r w:rsidRPr="0042250A">
        <w:rPr>
          <w:rFonts w:cstheme="minorHAnsi"/>
          <w:sz w:val="24"/>
          <w:szCs w:val="24"/>
        </w:rPr>
        <w:t xml:space="preserve"> et al., 2011</w:t>
      </w:r>
      <w:r w:rsidRPr="00430A13">
        <w:rPr>
          <w:rFonts w:cstheme="minorHAnsi"/>
          <w:sz w:val="24"/>
          <w:szCs w:val="24"/>
        </w:rPr>
        <w:t>).</w:t>
      </w:r>
    </w:p>
    <w:p w14:paraId="4EB4B59D" w14:textId="2B50EA47" w:rsidR="00430A13" w:rsidRPr="00430A13" w:rsidRDefault="00430A13" w:rsidP="00430A13">
      <w:pPr>
        <w:rPr>
          <w:rFonts w:cstheme="minorHAnsi"/>
          <w:sz w:val="24"/>
          <w:szCs w:val="24"/>
        </w:rPr>
      </w:pPr>
      <w:r w:rsidRPr="00430A13">
        <w:rPr>
          <w:rFonts w:cstheme="minorHAnsi"/>
          <w:sz w:val="24"/>
          <w:szCs w:val="24"/>
        </w:rPr>
        <w:t>Another unique contribution of this study was that it incorporated both ethnic and sexist discrimination and emphasized the importance of understanding experiences of Latinx individuals living within interlocking systems of inequality (</w:t>
      </w:r>
      <w:r w:rsidRPr="0042250A">
        <w:rPr>
          <w:rFonts w:cstheme="minorHAnsi"/>
          <w:sz w:val="24"/>
          <w:szCs w:val="24"/>
        </w:rPr>
        <w:t>Torres, Mata-</w:t>
      </w:r>
      <w:proofErr w:type="spellStart"/>
      <w:r w:rsidRPr="0042250A">
        <w:rPr>
          <w:rFonts w:cstheme="minorHAnsi"/>
          <w:sz w:val="24"/>
          <w:szCs w:val="24"/>
        </w:rPr>
        <w:t>Greve</w:t>
      </w:r>
      <w:proofErr w:type="spellEnd"/>
      <w:r w:rsidRPr="0042250A">
        <w:rPr>
          <w:rFonts w:cstheme="minorHAnsi"/>
          <w:sz w:val="24"/>
          <w:szCs w:val="24"/>
        </w:rPr>
        <w:t>, Bird, &amp; Herrera-Hernandez, 2018</w:t>
      </w:r>
      <w:r w:rsidRPr="00430A13">
        <w:rPr>
          <w:rFonts w:cstheme="minorHAnsi"/>
          <w:sz w:val="24"/>
          <w:szCs w:val="24"/>
        </w:rPr>
        <w:t>). The current study used a double jeopardy approach, which states that Latinx women likely experience multiple forms of discrimination independently and simultaneously (</w:t>
      </w:r>
      <w:r w:rsidRPr="0042250A">
        <w:rPr>
          <w:rFonts w:cstheme="minorHAnsi"/>
          <w:sz w:val="24"/>
          <w:szCs w:val="24"/>
        </w:rPr>
        <w:t>Beal, 1970</w:t>
      </w:r>
      <w:r w:rsidRPr="00430A13">
        <w:rPr>
          <w:rFonts w:cstheme="minorHAnsi"/>
          <w:sz w:val="24"/>
          <w:szCs w:val="24"/>
        </w:rPr>
        <w:t xml:space="preserve">). While the double jeopardy approach has limitations (see </w:t>
      </w:r>
      <w:r w:rsidRPr="0042250A">
        <w:rPr>
          <w:rFonts w:cstheme="minorHAnsi"/>
          <w:sz w:val="24"/>
          <w:szCs w:val="24"/>
        </w:rPr>
        <w:t xml:space="preserve">J. A. Lewis &amp; </w:t>
      </w:r>
      <w:proofErr w:type="spellStart"/>
      <w:r w:rsidRPr="0042250A">
        <w:rPr>
          <w:rFonts w:cstheme="minorHAnsi"/>
          <w:sz w:val="24"/>
          <w:szCs w:val="24"/>
        </w:rPr>
        <w:t>Grzanka</w:t>
      </w:r>
      <w:proofErr w:type="spellEnd"/>
      <w:r w:rsidRPr="0042250A">
        <w:rPr>
          <w:rFonts w:cstheme="minorHAnsi"/>
          <w:sz w:val="24"/>
          <w:szCs w:val="24"/>
        </w:rPr>
        <w:t>, 2016 for review</w:t>
      </w:r>
      <w:r w:rsidRPr="00430A13">
        <w:rPr>
          <w:rFonts w:cstheme="minorHAnsi"/>
          <w:sz w:val="24"/>
          <w:szCs w:val="24"/>
        </w:rPr>
        <w:t>), it has been acknowledged as an appropriate and important starting place for research (</w:t>
      </w:r>
      <w:r w:rsidRPr="0042250A">
        <w:rPr>
          <w:rFonts w:cstheme="minorHAnsi"/>
          <w:sz w:val="24"/>
          <w:szCs w:val="24"/>
        </w:rPr>
        <w:t>Bowleg, 2008</w:t>
      </w:r>
      <w:r w:rsidRPr="00430A13">
        <w:rPr>
          <w:rFonts w:cstheme="minorHAnsi"/>
          <w:sz w:val="24"/>
          <w:szCs w:val="24"/>
        </w:rPr>
        <w:t xml:space="preserve">). Future work may consider replicating the findings of the current study by examining the intersection of ethnic and sexist discrimination for Latinx women. For example, some qualitative work has indicated that women of color often report instances of exoticization because of their race </w:t>
      </w:r>
      <w:r w:rsidRPr="00430A13">
        <w:rPr>
          <w:rFonts w:cstheme="minorHAnsi"/>
          <w:i/>
          <w:iCs/>
          <w:sz w:val="24"/>
          <w:szCs w:val="24"/>
        </w:rPr>
        <w:t>and</w:t>
      </w:r>
      <w:r w:rsidRPr="00430A13">
        <w:rPr>
          <w:rFonts w:cstheme="minorHAnsi"/>
          <w:sz w:val="24"/>
          <w:szCs w:val="24"/>
        </w:rPr>
        <w:t xml:space="preserve"> ethnicity (</w:t>
      </w:r>
      <w:r w:rsidRPr="0042250A">
        <w:rPr>
          <w:rFonts w:cstheme="minorHAnsi"/>
          <w:sz w:val="24"/>
          <w:szCs w:val="24"/>
        </w:rPr>
        <w:t>Nadal et al., 2015</w:t>
      </w:r>
      <w:r w:rsidRPr="00430A13">
        <w:rPr>
          <w:rFonts w:cstheme="minorHAnsi"/>
          <w:sz w:val="24"/>
          <w:szCs w:val="24"/>
        </w:rPr>
        <w:t>). Unfortunately, there are a limited number of quantitative scales that assess the intersection of ethnic and sexist discrimination for Latinx women.</w:t>
      </w:r>
    </w:p>
    <w:p w14:paraId="05A83090" w14:textId="3F2F521F" w:rsidR="00430A13" w:rsidRPr="00430A13" w:rsidRDefault="00430A13" w:rsidP="00430A13">
      <w:pPr>
        <w:rPr>
          <w:rFonts w:cstheme="minorHAnsi"/>
          <w:sz w:val="24"/>
          <w:szCs w:val="24"/>
        </w:rPr>
      </w:pPr>
      <w:r w:rsidRPr="00430A13">
        <w:rPr>
          <w:rFonts w:cstheme="minorHAnsi"/>
          <w:sz w:val="24"/>
          <w:szCs w:val="24"/>
        </w:rPr>
        <w:t xml:space="preserve">In terms of theoretical implications, the current study provides further insight into the role that both anxiety sensitivity and emotion suppression have on the mental health of Latinx women. Specifically, the main findings build on previous work (e.g., </w:t>
      </w:r>
      <w:r w:rsidRPr="0042250A">
        <w:rPr>
          <w:rFonts w:cstheme="minorHAnsi"/>
          <w:sz w:val="24"/>
          <w:szCs w:val="24"/>
        </w:rPr>
        <w:t>Pascoe &amp; Smart Richman, 2009</w:t>
      </w:r>
      <w:r w:rsidRPr="00430A13">
        <w:rPr>
          <w:rFonts w:cstheme="minorHAnsi"/>
          <w:sz w:val="24"/>
          <w:szCs w:val="24"/>
        </w:rPr>
        <w:t>) that has identified pathways linking discrimination and mental health by exploring emotional stress responses associated with both ethnic and sexist discrimination. Clinically, both anxiety sensitivity and expressive suppression, while relatively stable constructs (</w:t>
      </w:r>
      <w:r w:rsidRPr="0042250A">
        <w:rPr>
          <w:rFonts w:cstheme="minorHAnsi"/>
          <w:sz w:val="24"/>
          <w:szCs w:val="24"/>
        </w:rPr>
        <w:t>Taylor et al., 2008</w:t>
      </w:r>
      <w:r w:rsidRPr="00430A13">
        <w:rPr>
          <w:rFonts w:cstheme="minorHAnsi"/>
          <w:sz w:val="24"/>
          <w:szCs w:val="24"/>
        </w:rPr>
        <w:t xml:space="preserve">), are still able to be modified through cognitive–behavioral therapy (e.g., </w:t>
      </w:r>
      <w:r w:rsidRPr="0042250A">
        <w:rPr>
          <w:rFonts w:cstheme="minorHAnsi"/>
          <w:sz w:val="24"/>
          <w:szCs w:val="24"/>
        </w:rPr>
        <w:t>Smits, Berry, Tart, &amp; Powers, 2008</w:t>
      </w:r>
      <w:r w:rsidRPr="00430A13">
        <w:rPr>
          <w:rFonts w:cstheme="minorHAnsi"/>
          <w:sz w:val="24"/>
          <w:szCs w:val="24"/>
        </w:rPr>
        <w:t>). Reports have supported that treatment efforts that focus on anxiety sensitivity (</w:t>
      </w:r>
      <w:proofErr w:type="spellStart"/>
      <w:r w:rsidRPr="0042250A">
        <w:rPr>
          <w:rFonts w:cstheme="minorHAnsi"/>
          <w:sz w:val="24"/>
          <w:szCs w:val="24"/>
        </w:rPr>
        <w:t>Gardenswartz</w:t>
      </w:r>
      <w:proofErr w:type="spellEnd"/>
      <w:r w:rsidRPr="0042250A">
        <w:rPr>
          <w:rFonts w:cstheme="minorHAnsi"/>
          <w:sz w:val="24"/>
          <w:szCs w:val="24"/>
        </w:rPr>
        <w:t xml:space="preserve"> &amp; </w:t>
      </w:r>
      <w:proofErr w:type="spellStart"/>
      <w:r w:rsidRPr="0042250A">
        <w:rPr>
          <w:rFonts w:cstheme="minorHAnsi"/>
          <w:sz w:val="24"/>
          <w:szCs w:val="24"/>
        </w:rPr>
        <w:t>Craske</w:t>
      </w:r>
      <w:proofErr w:type="spellEnd"/>
      <w:r w:rsidRPr="0042250A">
        <w:rPr>
          <w:rFonts w:cstheme="minorHAnsi"/>
          <w:sz w:val="24"/>
          <w:szCs w:val="24"/>
        </w:rPr>
        <w:t>, 2001</w:t>
      </w:r>
      <w:r w:rsidRPr="00430A13">
        <w:rPr>
          <w:rFonts w:cstheme="minorHAnsi"/>
          <w:sz w:val="24"/>
          <w:szCs w:val="24"/>
        </w:rPr>
        <w:t>) and emotion suppression (</w:t>
      </w:r>
      <w:r w:rsidRPr="0042250A">
        <w:rPr>
          <w:rFonts w:cstheme="minorHAnsi"/>
          <w:sz w:val="24"/>
          <w:szCs w:val="24"/>
        </w:rPr>
        <w:t>Fung et al., 2019</w:t>
      </w:r>
      <w:r w:rsidRPr="00430A13">
        <w:rPr>
          <w:rFonts w:cstheme="minorHAnsi"/>
          <w:sz w:val="24"/>
          <w:szCs w:val="24"/>
        </w:rPr>
        <w:t>) effectively alleviate psychiatric conditions.</w:t>
      </w:r>
    </w:p>
    <w:p w14:paraId="205BC6B4" w14:textId="77777777" w:rsidR="00430A13" w:rsidRPr="00A34604" w:rsidRDefault="00430A13" w:rsidP="00A34604">
      <w:pPr>
        <w:pStyle w:val="Heading2"/>
      </w:pPr>
      <w:r w:rsidRPr="00A34604">
        <w:t>Limitations and Future Directions</w:t>
      </w:r>
    </w:p>
    <w:p w14:paraId="7BE29851" w14:textId="59C4D4D3" w:rsidR="00430A13" w:rsidRPr="00430A13" w:rsidRDefault="00430A13" w:rsidP="00430A13">
      <w:pPr>
        <w:rPr>
          <w:rFonts w:cstheme="minorHAnsi"/>
          <w:sz w:val="24"/>
          <w:szCs w:val="24"/>
        </w:rPr>
      </w:pPr>
      <w:r w:rsidRPr="00430A13">
        <w:rPr>
          <w:rFonts w:cstheme="minorHAnsi"/>
          <w:sz w:val="24"/>
          <w:szCs w:val="24"/>
        </w:rPr>
        <w:t xml:space="preserve">There are several limitations of the current study that should be discussed. The correlational and cross-sectional methods of the current study hamper the ability to make causal conclusions. As such, the mediational findings must be interpreted with caution. Though, the study did use a stress and coping paradigm, suggesting discrimination is predictive of depression. Additionally, the measures assessed previous reports (over the past year) of ethnic and sexist discrimination and lifetime preferences of anxiety sensitivity and expressive suppression. The outcome of interest, depression, measured depression symptoms over the past week. The authors also sought to provide further support for the current findings by examining alternative analyses that switched the predictor and mediating variables. The only significant finding included an indirect effect of anxiety sensitivity on depression via sexist discrimination. This finding is consistent with the notion that the relationship between stressors and outcomes of mood may be bidirectional (e.g., </w:t>
      </w:r>
      <w:proofErr w:type="spellStart"/>
      <w:r w:rsidRPr="0042250A">
        <w:rPr>
          <w:rFonts w:cstheme="minorHAnsi"/>
          <w:sz w:val="24"/>
          <w:szCs w:val="24"/>
        </w:rPr>
        <w:t>Sechrist</w:t>
      </w:r>
      <w:proofErr w:type="spellEnd"/>
      <w:r w:rsidRPr="0042250A">
        <w:rPr>
          <w:rFonts w:cstheme="minorHAnsi"/>
          <w:sz w:val="24"/>
          <w:szCs w:val="24"/>
        </w:rPr>
        <w:t>, Swim, &amp; Mark, 2003</w:t>
      </w:r>
      <w:r w:rsidRPr="00430A13">
        <w:rPr>
          <w:rFonts w:cstheme="minorHAnsi"/>
          <w:sz w:val="24"/>
          <w:szCs w:val="24"/>
        </w:rPr>
        <w:t>). Regardless, future work is needed to replicate the main findings reported using a longitudinal study design.</w:t>
      </w:r>
    </w:p>
    <w:p w14:paraId="3EFA4CB8" w14:textId="77777777" w:rsidR="00430A13" w:rsidRPr="00430A13" w:rsidRDefault="00430A13" w:rsidP="00430A13">
      <w:pPr>
        <w:rPr>
          <w:rFonts w:cstheme="minorHAnsi"/>
          <w:sz w:val="24"/>
          <w:szCs w:val="24"/>
        </w:rPr>
      </w:pPr>
      <w:r w:rsidRPr="00430A13">
        <w:rPr>
          <w:rFonts w:cstheme="minorHAnsi"/>
          <w:sz w:val="24"/>
          <w:szCs w:val="24"/>
        </w:rPr>
        <w:t>Another limitation was that self-report of key variables is vulnerable to personal recall bias. Ecological momentary assessments can provide real-time data regarding frequency of discriminatory events and the responses and consequences associated with discrimination. Finally, the demographics of the current sample limit the generalizability of the results particularly given that most participants identified as Mexican/Mexican American. The Latinx community is comprised of heterogeneous groups of individuals with varying ethnic backgrounds and histories.</w:t>
      </w:r>
    </w:p>
    <w:p w14:paraId="235DFAE6" w14:textId="1313D5F4" w:rsidR="00430A13" w:rsidRPr="00430A13" w:rsidRDefault="00430A13" w:rsidP="00430A13">
      <w:pPr>
        <w:rPr>
          <w:rFonts w:cstheme="minorHAnsi"/>
          <w:sz w:val="24"/>
          <w:szCs w:val="24"/>
        </w:rPr>
      </w:pPr>
      <w:r w:rsidRPr="00430A13">
        <w:rPr>
          <w:rFonts w:cstheme="minorHAnsi"/>
          <w:sz w:val="24"/>
          <w:szCs w:val="24"/>
        </w:rPr>
        <w:t>Future research can seek to build on the strengths of the present study. First, continued work should examine the role of additional emotion regulation strategies in the context of discrimination. Second, future studies may assess for multiple forms of discrimination, such as discrimination due to their gender identity, sexual orientation, class, and so forth. Based on the findings of the current study, the pathways may be different depending on the type of discrimination. Third, it will be important to disaggregate the components of anxiety sensitivity to better understand the key elements that are driving its conferred risk (</w:t>
      </w:r>
      <w:proofErr w:type="spellStart"/>
      <w:r w:rsidRPr="0042250A">
        <w:rPr>
          <w:rFonts w:cstheme="minorHAnsi"/>
          <w:sz w:val="24"/>
          <w:szCs w:val="24"/>
        </w:rPr>
        <w:t>Jardín</w:t>
      </w:r>
      <w:proofErr w:type="spellEnd"/>
      <w:r w:rsidRPr="0042250A">
        <w:rPr>
          <w:rFonts w:cstheme="minorHAnsi"/>
          <w:sz w:val="24"/>
          <w:szCs w:val="24"/>
        </w:rPr>
        <w:t xml:space="preserve"> et al., 2018</w:t>
      </w:r>
      <w:r w:rsidRPr="00430A13">
        <w:rPr>
          <w:rFonts w:cstheme="minorHAnsi"/>
          <w:sz w:val="24"/>
          <w:szCs w:val="24"/>
        </w:rPr>
        <w:t>). Different components of anxiety sensitivity may be more predictive of certain mental health outcomes.</w:t>
      </w:r>
    </w:p>
    <w:p w14:paraId="676F0B0A" w14:textId="77777777" w:rsidR="00430A13" w:rsidRPr="00A34604" w:rsidRDefault="00430A13" w:rsidP="00A34604">
      <w:pPr>
        <w:pStyle w:val="Heading2"/>
      </w:pPr>
      <w:r w:rsidRPr="00A34604">
        <w:t>Conclusion</w:t>
      </w:r>
    </w:p>
    <w:p w14:paraId="2A077565" w14:textId="77777777" w:rsidR="00430A13" w:rsidRPr="00430A13" w:rsidRDefault="00430A13" w:rsidP="00430A13">
      <w:pPr>
        <w:rPr>
          <w:rFonts w:cstheme="minorHAnsi"/>
          <w:sz w:val="24"/>
          <w:szCs w:val="24"/>
        </w:rPr>
      </w:pPr>
      <w:r w:rsidRPr="00430A13">
        <w:rPr>
          <w:rFonts w:cstheme="minorHAnsi"/>
          <w:sz w:val="24"/>
          <w:szCs w:val="24"/>
        </w:rPr>
        <w:t>In summary, the present study furthers research on discriminatory experiences among Latinx women. Specifically, anxiety sensitivity linked both ethnic and sexist discrimination with depression; however, expressive suppression only linked ethnic discrimination and depression. Evidence suggests that there are different links to depression depending on the type of discrimination for Latinx women.</w:t>
      </w:r>
    </w:p>
    <w:p w14:paraId="7B2F79B5" w14:textId="7A7B67F9" w:rsidR="00430A13" w:rsidRPr="00A34604" w:rsidRDefault="00430A13" w:rsidP="00A34604">
      <w:pPr>
        <w:pStyle w:val="Heading1"/>
      </w:pPr>
      <w:r w:rsidRPr="0042250A">
        <w:t>References</w:t>
      </w:r>
    </w:p>
    <w:p w14:paraId="675D02AC"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Aldao</w:t>
      </w:r>
      <w:proofErr w:type="spellEnd"/>
      <w:r w:rsidRPr="00430A13">
        <w:rPr>
          <w:rFonts w:cstheme="minorHAnsi"/>
          <w:sz w:val="24"/>
          <w:szCs w:val="24"/>
        </w:rPr>
        <w:t xml:space="preserve">, A., Nolen-Hoeksema, S., &amp; Schweizer, S. (2010). Emotion-regulation strategies across psychopathology: A meta-analytic review. </w:t>
      </w:r>
      <w:r w:rsidRPr="00430A13">
        <w:rPr>
          <w:rFonts w:cstheme="minorHAnsi"/>
          <w:i/>
          <w:iCs/>
          <w:sz w:val="24"/>
          <w:szCs w:val="24"/>
        </w:rPr>
        <w:t>Clinical Psychology Review</w:t>
      </w:r>
      <w:r w:rsidRPr="00430A13">
        <w:rPr>
          <w:rFonts w:cstheme="minorHAnsi"/>
          <w:sz w:val="24"/>
          <w:szCs w:val="24"/>
        </w:rPr>
        <w:t xml:space="preserve">, </w:t>
      </w:r>
      <w:r w:rsidRPr="00430A13">
        <w:rPr>
          <w:rFonts w:cstheme="minorHAnsi"/>
          <w:i/>
          <w:iCs/>
          <w:sz w:val="24"/>
          <w:szCs w:val="24"/>
        </w:rPr>
        <w:t>30</w:t>
      </w:r>
      <w:r w:rsidRPr="00430A13">
        <w:rPr>
          <w:rFonts w:cstheme="minorHAnsi"/>
          <w:sz w:val="24"/>
          <w:szCs w:val="24"/>
        </w:rPr>
        <w:t>, 217–237. 10.1016/j.cpr.2009.11.004</w:t>
      </w:r>
    </w:p>
    <w:p w14:paraId="763C6C4E"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Alegría</w:t>
      </w:r>
      <w:proofErr w:type="spellEnd"/>
      <w:r w:rsidRPr="00430A13">
        <w:rPr>
          <w:rFonts w:cstheme="minorHAnsi"/>
          <w:sz w:val="24"/>
          <w:szCs w:val="24"/>
        </w:rPr>
        <w:t xml:space="preserve">, M., Mulvaney-Day, N., Torres, M., Polo, A., Cao, Z., &amp; </w:t>
      </w:r>
      <w:proofErr w:type="spellStart"/>
      <w:r w:rsidRPr="00430A13">
        <w:rPr>
          <w:rFonts w:cstheme="minorHAnsi"/>
          <w:sz w:val="24"/>
          <w:szCs w:val="24"/>
        </w:rPr>
        <w:t>Canino</w:t>
      </w:r>
      <w:proofErr w:type="spellEnd"/>
      <w:r w:rsidRPr="00430A13">
        <w:rPr>
          <w:rFonts w:cstheme="minorHAnsi"/>
          <w:sz w:val="24"/>
          <w:szCs w:val="24"/>
        </w:rPr>
        <w:t xml:space="preserve">, G. (2007). Prevalence of psychiatric disorders across Latino subgroups in the United States. </w:t>
      </w:r>
      <w:r w:rsidRPr="00430A13">
        <w:rPr>
          <w:rFonts w:cstheme="minorHAnsi"/>
          <w:i/>
          <w:iCs/>
          <w:sz w:val="24"/>
          <w:szCs w:val="24"/>
        </w:rPr>
        <w:t>American Journal of Public Health</w:t>
      </w:r>
      <w:r w:rsidRPr="00430A13">
        <w:rPr>
          <w:rFonts w:cstheme="minorHAnsi"/>
          <w:sz w:val="24"/>
          <w:szCs w:val="24"/>
        </w:rPr>
        <w:t xml:space="preserve">, </w:t>
      </w:r>
      <w:r w:rsidRPr="00430A13">
        <w:rPr>
          <w:rFonts w:cstheme="minorHAnsi"/>
          <w:i/>
          <w:iCs/>
          <w:sz w:val="24"/>
          <w:szCs w:val="24"/>
        </w:rPr>
        <w:t>97</w:t>
      </w:r>
      <w:r w:rsidRPr="00430A13">
        <w:rPr>
          <w:rFonts w:cstheme="minorHAnsi"/>
          <w:sz w:val="24"/>
          <w:szCs w:val="24"/>
        </w:rPr>
        <w:t>, 68–75. 10.2105/AJPH.2006.087205</w:t>
      </w:r>
    </w:p>
    <w:p w14:paraId="0713D4CA"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Andresen, E. M., </w:t>
      </w:r>
      <w:proofErr w:type="spellStart"/>
      <w:r w:rsidRPr="00430A13">
        <w:rPr>
          <w:rFonts w:cstheme="minorHAnsi"/>
          <w:sz w:val="24"/>
          <w:szCs w:val="24"/>
        </w:rPr>
        <w:t>Malmgren</w:t>
      </w:r>
      <w:proofErr w:type="spellEnd"/>
      <w:r w:rsidRPr="00430A13">
        <w:rPr>
          <w:rFonts w:cstheme="minorHAnsi"/>
          <w:sz w:val="24"/>
          <w:szCs w:val="24"/>
        </w:rPr>
        <w:t xml:space="preserve">, J. A., Carter, W. B., &amp; Patrick, D. L. (1994). Screening for depression in well older adults: Evaluation of a short form of the CES-D. </w:t>
      </w:r>
      <w:r w:rsidRPr="00430A13">
        <w:rPr>
          <w:rFonts w:cstheme="minorHAnsi"/>
          <w:i/>
          <w:iCs/>
          <w:sz w:val="24"/>
          <w:szCs w:val="24"/>
        </w:rPr>
        <w:t>American Journal of Preventive Medicine</w:t>
      </w:r>
      <w:r w:rsidRPr="00430A13">
        <w:rPr>
          <w:rFonts w:cstheme="minorHAnsi"/>
          <w:sz w:val="24"/>
          <w:szCs w:val="24"/>
        </w:rPr>
        <w:t xml:space="preserve">, </w:t>
      </w:r>
      <w:r w:rsidRPr="00430A13">
        <w:rPr>
          <w:rFonts w:cstheme="minorHAnsi"/>
          <w:i/>
          <w:iCs/>
          <w:sz w:val="24"/>
          <w:szCs w:val="24"/>
        </w:rPr>
        <w:t>10</w:t>
      </w:r>
      <w:r w:rsidRPr="00430A13">
        <w:rPr>
          <w:rFonts w:cstheme="minorHAnsi"/>
          <w:sz w:val="24"/>
          <w:szCs w:val="24"/>
        </w:rPr>
        <w:t>, 77–84. 10.1016/S0749-3797(18)30622-6</w:t>
      </w:r>
    </w:p>
    <w:p w14:paraId="1ED704F4"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Arellano-Morales, L., </w:t>
      </w:r>
      <w:proofErr w:type="spellStart"/>
      <w:r w:rsidRPr="00430A13">
        <w:rPr>
          <w:rFonts w:cstheme="minorHAnsi"/>
          <w:sz w:val="24"/>
          <w:szCs w:val="24"/>
        </w:rPr>
        <w:t>Roesch</w:t>
      </w:r>
      <w:proofErr w:type="spellEnd"/>
      <w:r w:rsidRPr="00430A13">
        <w:rPr>
          <w:rFonts w:cstheme="minorHAnsi"/>
          <w:sz w:val="24"/>
          <w:szCs w:val="24"/>
        </w:rPr>
        <w:t>, S. C., Gallo, L. C., Emory, K. T., Molina, K. M., Gonzalez, P., . . .</w:t>
      </w:r>
      <w:proofErr w:type="spellStart"/>
      <w:r w:rsidRPr="00430A13">
        <w:rPr>
          <w:rFonts w:cstheme="minorHAnsi"/>
          <w:sz w:val="24"/>
          <w:szCs w:val="24"/>
        </w:rPr>
        <w:t>Brondolo</w:t>
      </w:r>
      <w:proofErr w:type="spellEnd"/>
      <w:r w:rsidRPr="00430A13">
        <w:rPr>
          <w:rFonts w:cstheme="minorHAnsi"/>
          <w:sz w:val="24"/>
          <w:szCs w:val="24"/>
        </w:rPr>
        <w:t xml:space="preserve">, E. (2015). Prevalence and correlates of perceived ethnic discrimination in the Hispanic Community Health Study/Study of Latinos Sociocultural Ancillary Study. </w:t>
      </w:r>
      <w:r w:rsidRPr="00430A13">
        <w:rPr>
          <w:rFonts w:cstheme="minorHAnsi"/>
          <w:i/>
          <w:iCs/>
          <w:sz w:val="24"/>
          <w:szCs w:val="24"/>
        </w:rPr>
        <w:t>Journal of Latina/o Psychology</w:t>
      </w:r>
      <w:r w:rsidRPr="00430A13">
        <w:rPr>
          <w:rFonts w:cstheme="minorHAnsi"/>
          <w:sz w:val="24"/>
          <w:szCs w:val="24"/>
        </w:rPr>
        <w:t xml:space="preserve">, </w:t>
      </w:r>
      <w:r w:rsidRPr="00430A13">
        <w:rPr>
          <w:rFonts w:cstheme="minorHAnsi"/>
          <w:i/>
          <w:iCs/>
          <w:sz w:val="24"/>
          <w:szCs w:val="24"/>
        </w:rPr>
        <w:t>3</w:t>
      </w:r>
      <w:r w:rsidRPr="00430A13">
        <w:rPr>
          <w:rFonts w:cstheme="minorHAnsi"/>
          <w:sz w:val="24"/>
          <w:szCs w:val="24"/>
        </w:rPr>
        <w:t>, 160–176. 10.1037/lat0000040</w:t>
      </w:r>
    </w:p>
    <w:p w14:paraId="39E5C7A1"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Armenta, B. E., Lee, R. M., </w:t>
      </w:r>
      <w:proofErr w:type="spellStart"/>
      <w:r w:rsidRPr="00430A13">
        <w:rPr>
          <w:rFonts w:cstheme="minorHAnsi"/>
          <w:sz w:val="24"/>
          <w:szCs w:val="24"/>
        </w:rPr>
        <w:t>Pituc</w:t>
      </w:r>
      <w:proofErr w:type="spellEnd"/>
      <w:r w:rsidRPr="00430A13">
        <w:rPr>
          <w:rFonts w:cstheme="minorHAnsi"/>
          <w:sz w:val="24"/>
          <w:szCs w:val="24"/>
        </w:rPr>
        <w:t xml:space="preserve">, S. T., Jung, K.-R., Park, I. J. K., Soto, J. A., . . .Schwartz, S. J. (2013). Where are you from? A validation of the Foreigner Objectification Scale and the psychological correlates of foreigner objectification among Asian Americans and Latinos. </w:t>
      </w:r>
      <w:r w:rsidRPr="00430A13">
        <w:rPr>
          <w:rFonts w:cstheme="minorHAnsi"/>
          <w:i/>
          <w:iCs/>
          <w:sz w:val="24"/>
          <w:szCs w:val="24"/>
        </w:rPr>
        <w:t>Cultural Diversity and Ethnic Minority Psychology</w:t>
      </w:r>
      <w:r w:rsidRPr="00430A13">
        <w:rPr>
          <w:rFonts w:cstheme="minorHAnsi"/>
          <w:sz w:val="24"/>
          <w:szCs w:val="24"/>
        </w:rPr>
        <w:t xml:space="preserve">, </w:t>
      </w:r>
      <w:r w:rsidRPr="00430A13">
        <w:rPr>
          <w:rFonts w:cstheme="minorHAnsi"/>
          <w:i/>
          <w:iCs/>
          <w:sz w:val="24"/>
          <w:szCs w:val="24"/>
        </w:rPr>
        <w:t>19</w:t>
      </w:r>
      <w:r w:rsidRPr="00430A13">
        <w:rPr>
          <w:rFonts w:cstheme="minorHAnsi"/>
          <w:sz w:val="24"/>
          <w:szCs w:val="24"/>
        </w:rPr>
        <w:t>, 131–142. 10.1037/a0031547</w:t>
      </w:r>
    </w:p>
    <w:p w14:paraId="3F282DCD"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Bakhshaie</w:t>
      </w:r>
      <w:proofErr w:type="spellEnd"/>
      <w:r w:rsidRPr="00430A13">
        <w:rPr>
          <w:rFonts w:cstheme="minorHAnsi"/>
          <w:sz w:val="24"/>
          <w:szCs w:val="24"/>
        </w:rPr>
        <w:t xml:space="preserve">, J., Hanna, A. E., Viana, A. G., Garza, M., </w:t>
      </w:r>
      <w:proofErr w:type="spellStart"/>
      <w:r w:rsidRPr="00430A13">
        <w:rPr>
          <w:rFonts w:cstheme="minorHAnsi"/>
          <w:sz w:val="24"/>
          <w:szCs w:val="24"/>
        </w:rPr>
        <w:t>Valdivieso</w:t>
      </w:r>
      <w:proofErr w:type="spellEnd"/>
      <w:r w:rsidRPr="00430A13">
        <w:rPr>
          <w:rFonts w:cstheme="minorHAnsi"/>
          <w:sz w:val="24"/>
          <w:szCs w:val="24"/>
        </w:rPr>
        <w:t>, J., Ochoa-Perez, M., . . .</w:t>
      </w:r>
      <w:proofErr w:type="spellStart"/>
      <w:r w:rsidRPr="00430A13">
        <w:rPr>
          <w:rFonts w:cstheme="minorHAnsi"/>
          <w:sz w:val="24"/>
          <w:szCs w:val="24"/>
        </w:rPr>
        <w:t>Zvolensky</w:t>
      </w:r>
      <w:proofErr w:type="spellEnd"/>
      <w:r w:rsidRPr="00430A13">
        <w:rPr>
          <w:rFonts w:cstheme="minorHAnsi"/>
          <w:sz w:val="24"/>
          <w:szCs w:val="24"/>
        </w:rPr>
        <w:t xml:space="preserve">, M. J. (2018). Acculturative stress and mental health among </w:t>
      </w:r>
      <w:proofErr w:type="gramStart"/>
      <w:r w:rsidRPr="00430A13">
        <w:rPr>
          <w:rFonts w:cstheme="minorHAnsi"/>
          <w:sz w:val="24"/>
          <w:szCs w:val="24"/>
        </w:rPr>
        <w:t>economically disadvantaged</w:t>
      </w:r>
      <w:proofErr w:type="gramEnd"/>
      <w:r w:rsidRPr="00430A13">
        <w:rPr>
          <w:rFonts w:cstheme="minorHAnsi"/>
          <w:sz w:val="24"/>
          <w:szCs w:val="24"/>
        </w:rPr>
        <w:t xml:space="preserve"> Spanish-speaking Latinos in primary care: The role of anxiety sensitivity. </w:t>
      </w:r>
      <w:r w:rsidRPr="00430A13">
        <w:rPr>
          <w:rFonts w:cstheme="minorHAnsi"/>
          <w:i/>
          <w:iCs/>
          <w:sz w:val="24"/>
          <w:szCs w:val="24"/>
        </w:rPr>
        <w:t>Psychiatry Research</w:t>
      </w:r>
      <w:r w:rsidRPr="00430A13">
        <w:rPr>
          <w:rFonts w:cstheme="minorHAnsi"/>
          <w:sz w:val="24"/>
          <w:szCs w:val="24"/>
        </w:rPr>
        <w:t xml:space="preserve">, </w:t>
      </w:r>
      <w:r w:rsidRPr="00430A13">
        <w:rPr>
          <w:rFonts w:cstheme="minorHAnsi"/>
          <w:i/>
          <w:iCs/>
          <w:sz w:val="24"/>
          <w:szCs w:val="24"/>
        </w:rPr>
        <w:t>261</w:t>
      </w:r>
      <w:r w:rsidRPr="00430A13">
        <w:rPr>
          <w:rFonts w:cstheme="minorHAnsi"/>
          <w:sz w:val="24"/>
          <w:szCs w:val="24"/>
        </w:rPr>
        <w:t>, 421–427. 10.1016/j.psychres.2018.01.009</w:t>
      </w:r>
    </w:p>
    <w:p w14:paraId="0371E1CD"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Beal, F. (1970). Double jeopardy: To be Black and female. In </w:t>
      </w:r>
      <w:proofErr w:type="spellStart"/>
      <w:proofErr w:type="gramStart"/>
      <w:r w:rsidRPr="00430A13">
        <w:rPr>
          <w:rFonts w:cstheme="minorHAnsi"/>
          <w:sz w:val="24"/>
          <w:szCs w:val="24"/>
        </w:rPr>
        <w:t>T.Cade</w:t>
      </w:r>
      <w:proofErr w:type="spellEnd"/>
      <w:proofErr w:type="gramEnd"/>
      <w:r w:rsidRPr="00430A13">
        <w:rPr>
          <w:rFonts w:cstheme="minorHAnsi"/>
          <w:sz w:val="24"/>
          <w:szCs w:val="24"/>
        </w:rPr>
        <w:t xml:space="preserve"> (Ed.), </w:t>
      </w:r>
      <w:r w:rsidRPr="00430A13">
        <w:rPr>
          <w:rFonts w:cstheme="minorHAnsi"/>
          <w:i/>
          <w:iCs/>
          <w:sz w:val="24"/>
          <w:szCs w:val="24"/>
        </w:rPr>
        <w:t>The Black woman</w:t>
      </w:r>
      <w:r w:rsidRPr="00430A13">
        <w:rPr>
          <w:rFonts w:cstheme="minorHAnsi"/>
          <w:sz w:val="24"/>
          <w:szCs w:val="24"/>
        </w:rPr>
        <w:t xml:space="preserve"> (pp. 90–100). New York, NY: New American Library.</w:t>
      </w:r>
    </w:p>
    <w:p w14:paraId="42F01E29"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Beblo</w:t>
      </w:r>
      <w:proofErr w:type="spellEnd"/>
      <w:r w:rsidRPr="00430A13">
        <w:rPr>
          <w:rFonts w:cstheme="minorHAnsi"/>
          <w:sz w:val="24"/>
          <w:szCs w:val="24"/>
        </w:rPr>
        <w:t xml:space="preserve">, T., Fernando, S., </w:t>
      </w:r>
      <w:proofErr w:type="spellStart"/>
      <w:r w:rsidRPr="00430A13">
        <w:rPr>
          <w:rFonts w:cstheme="minorHAnsi"/>
          <w:sz w:val="24"/>
          <w:szCs w:val="24"/>
        </w:rPr>
        <w:t>Klocke</w:t>
      </w:r>
      <w:proofErr w:type="spellEnd"/>
      <w:r w:rsidRPr="00430A13">
        <w:rPr>
          <w:rFonts w:cstheme="minorHAnsi"/>
          <w:sz w:val="24"/>
          <w:szCs w:val="24"/>
        </w:rPr>
        <w:t xml:space="preserve">, S., </w:t>
      </w:r>
      <w:proofErr w:type="spellStart"/>
      <w:r w:rsidRPr="00430A13">
        <w:rPr>
          <w:rFonts w:cstheme="minorHAnsi"/>
          <w:sz w:val="24"/>
          <w:szCs w:val="24"/>
        </w:rPr>
        <w:t>Griepenstroh</w:t>
      </w:r>
      <w:proofErr w:type="spellEnd"/>
      <w:r w:rsidRPr="00430A13">
        <w:rPr>
          <w:rFonts w:cstheme="minorHAnsi"/>
          <w:sz w:val="24"/>
          <w:szCs w:val="24"/>
        </w:rPr>
        <w:t xml:space="preserve">, J., </w:t>
      </w:r>
      <w:proofErr w:type="spellStart"/>
      <w:r w:rsidRPr="00430A13">
        <w:rPr>
          <w:rFonts w:cstheme="minorHAnsi"/>
          <w:sz w:val="24"/>
          <w:szCs w:val="24"/>
        </w:rPr>
        <w:t>Aschenbrenner</w:t>
      </w:r>
      <w:proofErr w:type="spellEnd"/>
      <w:r w:rsidRPr="00430A13">
        <w:rPr>
          <w:rFonts w:cstheme="minorHAnsi"/>
          <w:sz w:val="24"/>
          <w:szCs w:val="24"/>
        </w:rPr>
        <w:t xml:space="preserve">, S., &amp; Driessen, M. (2012). Increased suppression of negative and positive emotions in major depression. </w:t>
      </w:r>
      <w:r w:rsidRPr="00430A13">
        <w:rPr>
          <w:rFonts w:cstheme="minorHAnsi"/>
          <w:i/>
          <w:iCs/>
          <w:sz w:val="24"/>
          <w:szCs w:val="24"/>
        </w:rPr>
        <w:t>Journal of Affective Disorders</w:t>
      </w:r>
      <w:r w:rsidRPr="00430A13">
        <w:rPr>
          <w:rFonts w:cstheme="minorHAnsi"/>
          <w:sz w:val="24"/>
          <w:szCs w:val="24"/>
        </w:rPr>
        <w:t xml:space="preserve">, </w:t>
      </w:r>
      <w:r w:rsidRPr="00430A13">
        <w:rPr>
          <w:rFonts w:cstheme="minorHAnsi"/>
          <w:i/>
          <w:iCs/>
          <w:sz w:val="24"/>
          <w:szCs w:val="24"/>
        </w:rPr>
        <w:t>141</w:t>
      </w:r>
      <w:r w:rsidRPr="00430A13">
        <w:rPr>
          <w:rFonts w:cstheme="minorHAnsi"/>
          <w:sz w:val="24"/>
          <w:szCs w:val="24"/>
        </w:rPr>
        <w:t>(2–3), 474–479. 10.1016/j.jad.2012.03.019</w:t>
      </w:r>
    </w:p>
    <w:p w14:paraId="10C1D693"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Belle, D., &amp; Doucet, J. (2003). Poverty, inequality, and discrimination as sources of depression among U.S. women. </w:t>
      </w:r>
      <w:r w:rsidRPr="00430A13">
        <w:rPr>
          <w:rFonts w:cstheme="minorHAnsi"/>
          <w:i/>
          <w:iCs/>
          <w:sz w:val="24"/>
          <w:szCs w:val="24"/>
        </w:rPr>
        <w:t>Psychology of Women Quarterly</w:t>
      </w:r>
      <w:r w:rsidRPr="00430A13">
        <w:rPr>
          <w:rFonts w:cstheme="minorHAnsi"/>
          <w:sz w:val="24"/>
          <w:szCs w:val="24"/>
        </w:rPr>
        <w:t xml:space="preserve">, </w:t>
      </w:r>
      <w:r w:rsidRPr="00430A13">
        <w:rPr>
          <w:rFonts w:cstheme="minorHAnsi"/>
          <w:i/>
          <w:iCs/>
          <w:sz w:val="24"/>
          <w:szCs w:val="24"/>
        </w:rPr>
        <w:t>27</w:t>
      </w:r>
      <w:r w:rsidRPr="00430A13">
        <w:rPr>
          <w:rFonts w:cstheme="minorHAnsi"/>
          <w:sz w:val="24"/>
          <w:szCs w:val="24"/>
        </w:rPr>
        <w:t>, 101–113. 10.1111/1471-6402.00090</w:t>
      </w:r>
    </w:p>
    <w:p w14:paraId="77518A69"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Benner, A. D., Wang, Y., Shen, Y., Boyle, A. E., Polk, R., &amp; Cheng, Y. P. (2018). Racial/ethnic discrimination and well-being during adolescence: A meta-analytic review. </w:t>
      </w:r>
      <w:r w:rsidRPr="00430A13">
        <w:rPr>
          <w:rFonts w:cstheme="minorHAnsi"/>
          <w:i/>
          <w:iCs/>
          <w:sz w:val="24"/>
          <w:szCs w:val="24"/>
        </w:rPr>
        <w:t>American Psychologist</w:t>
      </w:r>
      <w:r w:rsidRPr="00430A13">
        <w:rPr>
          <w:rFonts w:cstheme="minorHAnsi"/>
          <w:sz w:val="24"/>
          <w:szCs w:val="24"/>
        </w:rPr>
        <w:t xml:space="preserve">, </w:t>
      </w:r>
      <w:r w:rsidRPr="00430A13">
        <w:rPr>
          <w:rFonts w:cstheme="minorHAnsi"/>
          <w:i/>
          <w:iCs/>
          <w:sz w:val="24"/>
          <w:szCs w:val="24"/>
        </w:rPr>
        <w:t>73</w:t>
      </w:r>
      <w:r w:rsidRPr="00430A13">
        <w:rPr>
          <w:rFonts w:cstheme="minorHAnsi"/>
          <w:sz w:val="24"/>
          <w:szCs w:val="24"/>
        </w:rPr>
        <w:t>, 855–883. 10.1037/amp0000204</w:t>
      </w:r>
    </w:p>
    <w:p w14:paraId="0E37C327"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Bowleg, L. (2008). When Black + lesbian + woman ≠ Black lesbian woman: The methodological challenges of qualitative and quantitative intersectionality research. </w:t>
      </w:r>
      <w:r w:rsidRPr="00430A13">
        <w:rPr>
          <w:rFonts w:cstheme="minorHAnsi"/>
          <w:i/>
          <w:iCs/>
          <w:sz w:val="24"/>
          <w:szCs w:val="24"/>
        </w:rPr>
        <w:t>Sex Roles: A Journal of Research</w:t>
      </w:r>
      <w:r w:rsidRPr="00430A13">
        <w:rPr>
          <w:rFonts w:cstheme="minorHAnsi"/>
          <w:sz w:val="24"/>
          <w:szCs w:val="24"/>
        </w:rPr>
        <w:t xml:space="preserve">, </w:t>
      </w:r>
      <w:r w:rsidRPr="00430A13">
        <w:rPr>
          <w:rFonts w:cstheme="minorHAnsi"/>
          <w:i/>
          <w:iCs/>
          <w:sz w:val="24"/>
          <w:szCs w:val="24"/>
        </w:rPr>
        <w:t>59</w:t>
      </w:r>
      <w:r w:rsidRPr="00430A13">
        <w:rPr>
          <w:rFonts w:cstheme="minorHAnsi"/>
          <w:sz w:val="24"/>
          <w:szCs w:val="24"/>
        </w:rPr>
        <w:t>(5–6), 312–325. 10.1007/s11199-008-9400-z</w:t>
      </w:r>
    </w:p>
    <w:p w14:paraId="0C465CF4"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Brondolo</w:t>
      </w:r>
      <w:proofErr w:type="spellEnd"/>
      <w:r w:rsidRPr="00430A13">
        <w:rPr>
          <w:rFonts w:cstheme="minorHAnsi"/>
          <w:sz w:val="24"/>
          <w:szCs w:val="24"/>
        </w:rPr>
        <w:t xml:space="preserve">, E., Brady Ver Halen, N., </w:t>
      </w:r>
      <w:proofErr w:type="spellStart"/>
      <w:r w:rsidRPr="00430A13">
        <w:rPr>
          <w:rFonts w:cstheme="minorHAnsi"/>
          <w:sz w:val="24"/>
          <w:szCs w:val="24"/>
        </w:rPr>
        <w:t>Pencille</w:t>
      </w:r>
      <w:proofErr w:type="spellEnd"/>
      <w:r w:rsidRPr="00430A13">
        <w:rPr>
          <w:rFonts w:cstheme="minorHAnsi"/>
          <w:sz w:val="24"/>
          <w:szCs w:val="24"/>
        </w:rPr>
        <w:t xml:space="preserve">, M., Beatty, D., &amp; </w:t>
      </w:r>
      <w:proofErr w:type="spellStart"/>
      <w:r w:rsidRPr="00430A13">
        <w:rPr>
          <w:rFonts w:cstheme="minorHAnsi"/>
          <w:sz w:val="24"/>
          <w:szCs w:val="24"/>
        </w:rPr>
        <w:t>Contrada</w:t>
      </w:r>
      <w:proofErr w:type="spellEnd"/>
      <w:r w:rsidRPr="00430A13">
        <w:rPr>
          <w:rFonts w:cstheme="minorHAnsi"/>
          <w:sz w:val="24"/>
          <w:szCs w:val="24"/>
        </w:rPr>
        <w:t xml:space="preserve">, R. J. (2009). Coping with racism: A selective review of the literature and a theoretical and methodological critique. </w:t>
      </w:r>
      <w:r w:rsidRPr="00430A13">
        <w:rPr>
          <w:rFonts w:cstheme="minorHAnsi"/>
          <w:i/>
          <w:iCs/>
          <w:sz w:val="24"/>
          <w:szCs w:val="24"/>
        </w:rPr>
        <w:t>Journal of Behavioral Medicine</w:t>
      </w:r>
      <w:r w:rsidRPr="00430A13">
        <w:rPr>
          <w:rFonts w:cstheme="minorHAnsi"/>
          <w:sz w:val="24"/>
          <w:szCs w:val="24"/>
        </w:rPr>
        <w:t xml:space="preserve">, </w:t>
      </w:r>
      <w:r w:rsidRPr="00430A13">
        <w:rPr>
          <w:rFonts w:cstheme="minorHAnsi"/>
          <w:i/>
          <w:iCs/>
          <w:sz w:val="24"/>
          <w:szCs w:val="24"/>
        </w:rPr>
        <w:t>32</w:t>
      </w:r>
      <w:r w:rsidRPr="00430A13">
        <w:rPr>
          <w:rFonts w:cstheme="minorHAnsi"/>
          <w:sz w:val="24"/>
          <w:szCs w:val="24"/>
        </w:rPr>
        <w:t>, 64–88. 10.1007/s10865-008-9193-0</w:t>
      </w:r>
    </w:p>
    <w:p w14:paraId="0268AF72"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Brondolo</w:t>
      </w:r>
      <w:proofErr w:type="spellEnd"/>
      <w:r w:rsidRPr="00430A13">
        <w:rPr>
          <w:rFonts w:cstheme="minorHAnsi"/>
          <w:sz w:val="24"/>
          <w:szCs w:val="24"/>
        </w:rPr>
        <w:t>, E., Kelly, K. P., Coakley, V., Gordon, T., Thompson, S., Levy, E., . . .</w:t>
      </w:r>
      <w:proofErr w:type="spellStart"/>
      <w:r w:rsidRPr="00430A13">
        <w:rPr>
          <w:rFonts w:cstheme="minorHAnsi"/>
          <w:sz w:val="24"/>
          <w:szCs w:val="24"/>
        </w:rPr>
        <w:t>Contrada</w:t>
      </w:r>
      <w:proofErr w:type="spellEnd"/>
      <w:r w:rsidRPr="00430A13">
        <w:rPr>
          <w:rFonts w:cstheme="minorHAnsi"/>
          <w:sz w:val="24"/>
          <w:szCs w:val="24"/>
        </w:rPr>
        <w:t xml:space="preserve">, R. J. (2005). The perceived ethnic discrimination questionnaire: Development and preliminary validation of a community version. </w:t>
      </w:r>
      <w:r w:rsidRPr="00430A13">
        <w:rPr>
          <w:rFonts w:cstheme="minorHAnsi"/>
          <w:i/>
          <w:iCs/>
          <w:sz w:val="24"/>
          <w:szCs w:val="24"/>
        </w:rPr>
        <w:t>Journal of Applied Social Psychology</w:t>
      </w:r>
      <w:r w:rsidRPr="00430A13">
        <w:rPr>
          <w:rFonts w:cstheme="minorHAnsi"/>
          <w:sz w:val="24"/>
          <w:szCs w:val="24"/>
        </w:rPr>
        <w:t xml:space="preserve">, </w:t>
      </w:r>
      <w:r w:rsidRPr="00430A13">
        <w:rPr>
          <w:rFonts w:cstheme="minorHAnsi"/>
          <w:i/>
          <w:iCs/>
          <w:sz w:val="24"/>
          <w:szCs w:val="24"/>
        </w:rPr>
        <w:t>35</w:t>
      </w:r>
      <w:r w:rsidRPr="00430A13">
        <w:rPr>
          <w:rFonts w:cstheme="minorHAnsi"/>
          <w:sz w:val="24"/>
          <w:szCs w:val="24"/>
        </w:rPr>
        <w:t>, 335–365. 10.1111/j.1559-</w:t>
      </w:r>
      <w:proofErr w:type="gramStart"/>
      <w:r w:rsidRPr="00430A13">
        <w:rPr>
          <w:rFonts w:cstheme="minorHAnsi"/>
          <w:sz w:val="24"/>
          <w:szCs w:val="24"/>
        </w:rPr>
        <w:t>1816.2005.tb</w:t>
      </w:r>
      <w:proofErr w:type="gramEnd"/>
      <w:r w:rsidRPr="00430A13">
        <w:rPr>
          <w:rFonts w:cstheme="minorHAnsi"/>
          <w:sz w:val="24"/>
          <w:szCs w:val="24"/>
        </w:rPr>
        <w:t>02124.x</w:t>
      </w:r>
    </w:p>
    <w:p w14:paraId="051F61BD"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Castillo, L. G., Perez, F. V., Castillo, R., &amp; </w:t>
      </w:r>
      <w:proofErr w:type="spellStart"/>
      <w:r w:rsidRPr="00430A13">
        <w:rPr>
          <w:rFonts w:cstheme="minorHAnsi"/>
          <w:sz w:val="24"/>
          <w:szCs w:val="24"/>
        </w:rPr>
        <w:t>Ghosheh</w:t>
      </w:r>
      <w:proofErr w:type="spellEnd"/>
      <w:r w:rsidRPr="00430A13">
        <w:rPr>
          <w:rFonts w:cstheme="minorHAnsi"/>
          <w:sz w:val="24"/>
          <w:szCs w:val="24"/>
        </w:rPr>
        <w:t xml:space="preserve">, M. R. (2010). Construction and initial validation of the marianismo beliefs scale. </w:t>
      </w:r>
      <w:r w:rsidRPr="00430A13">
        <w:rPr>
          <w:rFonts w:cstheme="minorHAnsi"/>
          <w:i/>
          <w:iCs/>
          <w:sz w:val="24"/>
          <w:szCs w:val="24"/>
        </w:rPr>
        <w:t>Counselling Psychology Quarterly</w:t>
      </w:r>
      <w:r w:rsidRPr="00430A13">
        <w:rPr>
          <w:rFonts w:cstheme="minorHAnsi"/>
          <w:sz w:val="24"/>
          <w:szCs w:val="24"/>
        </w:rPr>
        <w:t xml:space="preserve">, </w:t>
      </w:r>
      <w:r w:rsidRPr="00430A13">
        <w:rPr>
          <w:rFonts w:cstheme="minorHAnsi"/>
          <w:i/>
          <w:iCs/>
          <w:sz w:val="24"/>
          <w:szCs w:val="24"/>
        </w:rPr>
        <w:t>23</w:t>
      </w:r>
      <w:r w:rsidRPr="00430A13">
        <w:rPr>
          <w:rFonts w:cstheme="minorHAnsi"/>
          <w:sz w:val="24"/>
          <w:szCs w:val="24"/>
        </w:rPr>
        <w:t>, 163–175. 10.1080/09515071003776036</w:t>
      </w:r>
    </w:p>
    <w:p w14:paraId="1FF5416B"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Cerezo</w:t>
      </w:r>
      <w:proofErr w:type="spellEnd"/>
      <w:r w:rsidRPr="00430A13">
        <w:rPr>
          <w:rFonts w:cstheme="minorHAnsi"/>
          <w:sz w:val="24"/>
          <w:szCs w:val="24"/>
        </w:rPr>
        <w:t xml:space="preserve">, A. (2016). The impact of discrimination on mental health symptomatology in sexual minority immigrant Latinas. </w:t>
      </w:r>
      <w:r w:rsidRPr="00430A13">
        <w:rPr>
          <w:rFonts w:cstheme="minorHAnsi"/>
          <w:i/>
          <w:iCs/>
          <w:sz w:val="24"/>
          <w:szCs w:val="24"/>
        </w:rPr>
        <w:t>Psychology of Sexual Orientation and Gender Diversity</w:t>
      </w:r>
      <w:r w:rsidRPr="00430A13">
        <w:rPr>
          <w:rFonts w:cstheme="minorHAnsi"/>
          <w:sz w:val="24"/>
          <w:szCs w:val="24"/>
        </w:rPr>
        <w:t xml:space="preserve">, </w:t>
      </w:r>
      <w:r w:rsidRPr="00430A13">
        <w:rPr>
          <w:rFonts w:cstheme="minorHAnsi"/>
          <w:i/>
          <w:iCs/>
          <w:sz w:val="24"/>
          <w:szCs w:val="24"/>
        </w:rPr>
        <w:t>3</w:t>
      </w:r>
      <w:r w:rsidRPr="00430A13">
        <w:rPr>
          <w:rFonts w:cstheme="minorHAnsi"/>
          <w:sz w:val="24"/>
          <w:szCs w:val="24"/>
        </w:rPr>
        <w:t>, 283–292. 10.1037/sgd0000172</w:t>
      </w:r>
    </w:p>
    <w:p w14:paraId="1EDB615B"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Cheng, H.-L., Hitter, T. L., Adams, E. M., &amp; Williams, C. (2016). Minority stress and depressive symptoms: Familism, ethnic identity, and gender as moderators. </w:t>
      </w:r>
      <w:r w:rsidRPr="00430A13">
        <w:rPr>
          <w:rFonts w:cstheme="minorHAnsi"/>
          <w:i/>
          <w:iCs/>
          <w:sz w:val="24"/>
          <w:szCs w:val="24"/>
        </w:rPr>
        <w:t>The Counseling Psychologist</w:t>
      </w:r>
      <w:r w:rsidRPr="00430A13">
        <w:rPr>
          <w:rFonts w:cstheme="minorHAnsi"/>
          <w:sz w:val="24"/>
          <w:szCs w:val="24"/>
        </w:rPr>
        <w:t xml:space="preserve">, </w:t>
      </w:r>
      <w:r w:rsidRPr="00430A13">
        <w:rPr>
          <w:rFonts w:cstheme="minorHAnsi"/>
          <w:i/>
          <w:iCs/>
          <w:sz w:val="24"/>
          <w:szCs w:val="24"/>
        </w:rPr>
        <w:t>44</w:t>
      </w:r>
      <w:r w:rsidRPr="00430A13">
        <w:rPr>
          <w:rFonts w:cstheme="minorHAnsi"/>
          <w:sz w:val="24"/>
          <w:szCs w:val="24"/>
        </w:rPr>
        <w:t>, 841–870. 10.1177/0011000016660377</w:t>
      </w:r>
    </w:p>
    <w:p w14:paraId="6132B331"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Chun, C., Moos, R. H., &amp; Cronkite, R. C. (2006). Culture: A fundamental context for the stress and coping paradigm. In P. T. </w:t>
      </w:r>
      <w:proofErr w:type="spellStart"/>
      <w:proofErr w:type="gramStart"/>
      <w:r w:rsidRPr="00430A13">
        <w:rPr>
          <w:rFonts w:cstheme="minorHAnsi"/>
          <w:sz w:val="24"/>
          <w:szCs w:val="24"/>
        </w:rPr>
        <w:t>P.Wong</w:t>
      </w:r>
      <w:proofErr w:type="spellEnd"/>
      <w:proofErr w:type="gramEnd"/>
      <w:r w:rsidRPr="00430A13">
        <w:rPr>
          <w:rFonts w:cstheme="minorHAnsi"/>
          <w:sz w:val="24"/>
          <w:szCs w:val="24"/>
        </w:rPr>
        <w:t xml:space="preserve"> &amp; L. C. </w:t>
      </w:r>
      <w:proofErr w:type="spellStart"/>
      <w:r w:rsidRPr="00430A13">
        <w:rPr>
          <w:rFonts w:cstheme="minorHAnsi"/>
          <w:sz w:val="24"/>
          <w:szCs w:val="24"/>
        </w:rPr>
        <w:t>J.Wong</w:t>
      </w:r>
      <w:proofErr w:type="spellEnd"/>
      <w:r w:rsidRPr="00430A13">
        <w:rPr>
          <w:rFonts w:cstheme="minorHAnsi"/>
          <w:sz w:val="24"/>
          <w:szCs w:val="24"/>
        </w:rPr>
        <w:t xml:space="preserve"> (Eds.), </w:t>
      </w:r>
      <w:r w:rsidRPr="00430A13">
        <w:rPr>
          <w:rFonts w:cstheme="minorHAnsi"/>
          <w:i/>
          <w:iCs/>
          <w:sz w:val="24"/>
          <w:szCs w:val="24"/>
        </w:rPr>
        <w:t>Handbook of multicultural perspectives on stress and coping</w:t>
      </w:r>
      <w:r w:rsidRPr="00430A13">
        <w:rPr>
          <w:rFonts w:cstheme="minorHAnsi"/>
          <w:sz w:val="24"/>
          <w:szCs w:val="24"/>
        </w:rPr>
        <w:t xml:space="preserve"> (pp. 29–53). Boston, MA: Springer. 10.1007/0-387-26238-5_2</w:t>
      </w:r>
    </w:p>
    <w:p w14:paraId="711139CC"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DeBlaere</w:t>
      </w:r>
      <w:proofErr w:type="spellEnd"/>
      <w:r w:rsidRPr="00430A13">
        <w:rPr>
          <w:rFonts w:cstheme="minorHAnsi"/>
          <w:sz w:val="24"/>
          <w:szCs w:val="24"/>
        </w:rPr>
        <w:t xml:space="preserve">, C., &amp; Bertsch, K. N. (2013). Perceived sexist events and psychological distress of sexual minority women of color: The moderating role of womanism. </w:t>
      </w:r>
      <w:r w:rsidRPr="00430A13">
        <w:rPr>
          <w:rFonts w:cstheme="minorHAnsi"/>
          <w:i/>
          <w:iCs/>
          <w:sz w:val="24"/>
          <w:szCs w:val="24"/>
        </w:rPr>
        <w:t>Psychology of Women Quarterly</w:t>
      </w:r>
      <w:r w:rsidRPr="00430A13">
        <w:rPr>
          <w:rFonts w:cstheme="minorHAnsi"/>
          <w:sz w:val="24"/>
          <w:szCs w:val="24"/>
        </w:rPr>
        <w:t xml:space="preserve">, </w:t>
      </w:r>
      <w:r w:rsidRPr="00430A13">
        <w:rPr>
          <w:rFonts w:cstheme="minorHAnsi"/>
          <w:i/>
          <w:iCs/>
          <w:sz w:val="24"/>
          <w:szCs w:val="24"/>
        </w:rPr>
        <w:t>37</w:t>
      </w:r>
      <w:r w:rsidRPr="00430A13">
        <w:rPr>
          <w:rFonts w:cstheme="minorHAnsi"/>
          <w:sz w:val="24"/>
          <w:szCs w:val="24"/>
        </w:rPr>
        <w:t>, 167–178. 10.1177/0361684312470436</w:t>
      </w:r>
    </w:p>
    <w:p w14:paraId="3CE34B49"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Dozois, S., Seeds, P. M., &amp; Collins, K. A. (2009). Transdiagnostic approaches to the prevention of depression and anxiety. </w:t>
      </w:r>
      <w:r w:rsidRPr="00430A13">
        <w:rPr>
          <w:rFonts w:cstheme="minorHAnsi"/>
          <w:i/>
          <w:iCs/>
          <w:sz w:val="24"/>
          <w:szCs w:val="24"/>
        </w:rPr>
        <w:t>Journal of Cognitive Psychotherapy</w:t>
      </w:r>
      <w:r w:rsidRPr="00430A13">
        <w:rPr>
          <w:rFonts w:cstheme="minorHAnsi"/>
          <w:sz w:val="24"/>
          <w:szCs w:val="24"/>
        </w:rPr>
        <w:t xml:space="preserve">, </w:t>
      </w:r>
      <w:r w:rsidRPr="00430A13">
        <w:rPr>
          <w:rFonts w:cstheme="minorHAnsi"/>
          <w:i/>
          <w:iCs/>
          <w:sz w:val="24"/>
          <w:szCs w:val="24"/>
        </w:rPr>
        <w:t>23</w:t>
      </w:r>
      <w:r w:rsidRPr="00430A13">
        <w:rPr>
          <w:rFonts w:cstheme="minorHAnsi"/>
          <w:sz w:val="24"/>
          <w:szCs w:val="24"/>
        </w:rPr>
        <w:t>, 44–59. 10.1891/0889-8391.23.1.44</w:t>
      </w:r>
    </w:p>
    <w:p w14:paraId="76CBF2E1"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Driscoll, M. W., &amp; Torres, L. (2013). Acculturative stress and Latino depression: The mediating role of behavioral and cognitive resources. </w:t>
      </w:r>
      <w:r w:rsidRPr="00430A13">
        <w:rPr>
          <w:rFonts w:cstheme="minorHAnsi"/>
          <w:i/>
          <w:iCs/>
          <w:sz w:val="24"/>
          <w:szCs w:val="24"/>
        </w:rPr>
        <w:t>Cultural Diversity and Ethnic Minority Psychology</w:t>
      </w:r>
      <w:r w:rsidRPr="00430A13">
        <w:rPr>
          <w:rFonts w:cstheme="minorHAnsi"/>
          <w:sz w:val="24"/>
          <w:szCs w:val="24"/>
        </w:rPr>
        <w:t xml:space="preserve">, </w:t>
      </w:r>
      <w:r w:rsidRPr="00430A13">
        <w:rPr>
          <w:rFonts w:cstheme="minorHAnsi"/>
          <w:i/>
          <w:iCs/>
          <w:sz w:val="24"/>
          <w:szCs w:val="24"/>
        </w:rPr>
        <w:t>19</w:t>
      </w:r>
      <w:r w:rsidRPr="00430A13">
        <w:rPr>
          <w:rFonts w:cstheme="minorHAnsi"/>
          <w:sz w:val="24"/>
          <w:szCs w:val="24"/>
        </w:rPr>
        <w:t>, 373–382. 10.1037/a0032821</w:t>
      </w:r>
    </w:p>
    <w:p w14:paraId="093186E5"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Ehring</w:t>
      </w:r>
      <w:proofErr w:type="spellEnd"/>
      <w:r w:rsidRPr="00430A13">
        <w:rPr>
          <w:rFonts w:cstheme="minorHAnsi"/>
          <w:sz w:val="24"/>
          <w:szCs w:val="24"/>
        </w:rPr>
        <w:t xml:space="preserve">, T., </w:t>
      </w:r>
      <w:proofErr w:type="spellStart"/>
      <w:r w:rsidRPr="00430A13">
        <w:rPr>
          <w:rFonts w:cstheme="minorHAnsi"/>
          <w:sz w:val="24"/>
          <w:szCs w:val="24"/>
        </w:rPr>
        <w:t>Tuschen-Caffier</w:t>
      </w:r>
      <w:proofErr w:type="spellEnd"/>
      <w:r w:rsidRPr="00430A13">
        <w:rPr>
          <w:rFonts w:cstheme="minorHAnsi"/>
          <w:sz w:val="24"/>
          <w:szCs w:val="24"/>
        </w:rPr>
        <w:t xml:space="preserve">, B., </w:t>
      </w:r>
      <w:proofErr w:type="spellStart"/>
      <w:r w:rsidRPr="00430A13">
        <w:rPr>
          <w:rFonts w:cstheme="minorHAnsi"/>
          <w:sz w:val="24"/>
          <w:szCs w:val="24"/>
        </w:rPr>
        <w:t>Schnülle</w:t>
      </w:r>
      <w:proofErr w:type="spellEnd"/>
      <w:r w:rsidRPr="00430A13">
        <w:rPr>
          <w:rFonts w:cstheme="minorHAnsi"/>
          <w:sz w:val="24"/>
          <w:szCs w:val="24"/>
        </w:rPr>
        <w:t xml:space="preserve">, J., Fischer, S., &amp; Gross, J. J. (2010). Emotion regulation and vulnerability to depression: Spontaneous versus instructed use of emotion suppression and reappraisal. </w:t>
      </w:r>
      <w:r w:rsidRPr="00430A13">
        <w:rPr>
          <w:rFonts w:cstheme="minorHAnsi"/>
          <w:i/>
          <w:iCs/>
          <w:sz w:val="24"/>
          <w:szCs w:val="24"/>
        </w:rPr>
        <w:t>Emotion</w:t>
      </w:r>
      <w:r w:rsidRPr="00430A13">
        <w:rPr>
          <w:rFonts w:cstheme="minorHAnsi"/>
          <w:sz w:val="24"/>
          <w:szCs w:val="24"/>
        </w:rPr>
        <w:t xml:space="preserve">, </w:t>
      </w:r>
      <w:r w:rsidRPr="00430A13">
        <w:rPr>
          <w:rFonts w:cstheme="minorHAnsi"/>
          <w:i/>
          <w:iCs/>
          <w:sz w:val="24"/>
          <w:szCs w:val="24"/>
        </w:rPr>
        <w:t>10</w:t>
      </w:r>
      <w:r w:rsidRPr="00430A13">
        <w:rPr>
          <w:rFonts w:cstheme="minorHAnsi"/>
          <w:sz w:val="24"/>
          <w:szCs w:val="24"/>
        </w:rPr>
        <w:t>, 563–572. 10.1037/a0019010</w:t>
      </w:r>
    </w:p>
    <w:p w14:paraId="4C10BB0F"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Fung, J., Kim, J. J., </w:t>
      </w:r>
      <w:proofErr w:type="spellStart"/>
      <w:r w:rsidRPr="00430A13">
        <w:rPr>
          <w:rFonts w:cstheme="minorHAnsi"/>
          <w:sz w:val="24"/>
          <w:szCs w:val="24"/>
        </w:rPr>
        <w:t>Jin</w:t>
      </w:r>
      <w:proofErr w:type="spellEnd"/>
      <w:r w:rsidRPr="00430A13">
        <w:rPr>
          <w:rFonts w:cstheme="minorHAnsi"/>
          <w:sz w:val="24"/>
          <w:szCs w:val="24"/>
        </w:rPr>
        <w:t xml:space="preserve">, J., Chen, G., Bear, L., &amp; Lau, A. S. (2019). A randomized trial evaluating school-based mindfulness intervention for ethnic minority youth: Exploring mediators and moderators of intervention effects. </w:t>
      </w:r>
      <w:r w:rsidRPr="00430A13">
        <w:rPr>
          <w:rFonts w:cstheme="minorHAnsi"/>
          <w:i/>
          <w:iCs/>
          <w:sz w:val="24"/>
          <w:szCs w:val="24"/>
        </w:rPr>
        <w:t>Journal of Abnormal Child Psychology</w:t>
      </w:r>
      <w:r w:rsidRPr="00430A13">
        <w:rPr>
          <w:rFonts w:cstheme="minorHAnsi"/>
          <w:sz w:val="24"/>
          <w:szCs w:val="24"/>
        </w:rPr>
        <w:t xml:space="preserve">, </w:t>
      </w:r>
      <w:r w:rsidRPr="00430A13">
        <w:rPr>
          <w:rFonts w:cstheme="minorHAnsi"/>
          <w:i/>
          <w:iCs/>
          <w:sz w:val="24"/>
          <w:szCs w:val="24"/>
        </w:rPr>
        <w:t>47</w:t>
      </w:r>
      <w:r w:rsidRPr="00430A13">
        <w:rPr>
          <w:rFonts w:cstheme="minorHAnsi"/>
          <w:sz w:val="24"/>
          <w:szCs w:val="24"/>
        </w:rPr>
        <w:t>, 1–19. 10.1007/s10802-018-0425-7</w:t>
      </w:r>
    </w:p>
    <w:p w14:paraId="38E50D4F"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Gardenswartz</w:t>
      </w:r>
      <w:proofErr w:type="spellEnd"/>
      <w:r w:rsidRPr="00430A13">
        <w:rPr>
          <w:rFonts w:cstheme="minorHAnsi"/>
          <w:sz w:val="24"/>
          <w:szCs w:val="24"/>
        </w:rPr>
        <w:t xml:space="preserve">, C. A., &amp; </w:t>
      </w:r>
      <w:proofErr w:type="spellStart"/>
      <w:r w:rsidRPr="00430A13">
        <w:rPr>
          <w:rFonts w:cstheme="minorHAnsi"/>
          <w:sz w:val="24"/>
          <w:szCs w:val="24"/>
        </w:rPr>
        <w:t>Craske</w:t>
      </w:r>
      <w:proofErr w:type="spellEnd"/>
      <w:r w:rsidRPr="00430A13">
        <w:rPr>
          <w:rFonts w:cstheme="minorHAnsi"/>
          <w:sz w:val="24"/>
          <w:szCs w:val="24"/>
        </w:rPr>
        <w:t xml:space="preserve">, M. G. (2001). Prevention of panic disorder. </w:t>
      </w:r>
      <w:r w:rsidRPr="00430A13">
        <w:rPr>
          <w:rFonts w:cstheme="minorHAnsi"/>
          <w:i/>
          <w:iCs/>
          <w:sz w:val="24"/>
          <w:szCs w:val="24"/>
        </w:rPr>
        <w:t>Behavior Therapy</w:t>
      </w:r>
      <w:r w:rsidRPr="00430A13">
        <w:rPr>
          <w:rFonts w:cstheme="minorHAnsi"/>
          <w:sz w:val="24"/>
          <w:szCs w:val="24"/>
        </w:rPr>
        <w:t xml:space="preserve">, </w:t>
      </w:r>
      <w:r w:rsidRPr="00430A13">
        <w:rPr>
          <w:rFonts w:cstheme="minorHAnsi"/>
          <w:i/>
          <w:iCs/>
          <w:sz w:val="24"/>
          <w:szCs w:val="24"/>
        </w:rPr>
        <w:t>32</w:t>
      </w:r>
      <w:r w:rsidRPr="00430A13">
        <w:rPr>
          <w:rFonts w:cstheme="minorHAnsi"/>
          <w:sz w:val="24"/>
          <w:szCs w:val="24"/>
        </w:rPr>
        <w:t>, 725–737. 10.1016/S0005-7894(01)80017-4</w:t>
      </w:r>
    </w:p>
    <w:p w14:paraId="463C67E4"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Goldin, P. R., McRae, K., Ramel, W., &amp; Gross, J. J. (2008). The neural bases of emotion regulation: Reappraisal and suppression of negative emotion. </w:t>
      </w:r>
      <w:r w:rsidRPr="00430A13">
        <w:rPr>
          <w:rFonts w:cstheme="minorHAnsi"/>
          <w:i/>
          <w:iCs/>
          <w:sz w:val="24"/>
          <w:szCs w:val="24"/>
        </w:rPr>
        <w:t>Biological Psychiatry</w:t>
      </w:r>
      <w:r w:rsidRPr="00430A13">
        <w:rPr>
          <w:rFonts w:cstheme="minorHAnsi"/>
          <w:sz w:val="24"/>
          <w:szCs w:val="24"/>
        </w:rPr>
        <w:t xml:space="preserve">, </w:t>
      </w:r>
      <w:r w:rsidRPr="00430A13">
        <w:rPr>
          <w:rFonts w:cstheme="minorHAnsi"/>
          <w:i/>
          <w:iCs/>
          <w:sz w:val="24"/>
          <w:szCs w:val="24"/>
        </w:rPr>
        <w:t>63</w:t>
      </w:r>
      <w:r w:rsidRPr="00430A13">
        <w:rPr>
          <w:rFonts w:cstheme="minorHAnsi"/>
          <w:sz w:val="24"/>
          <w:szCs w:val="24"/>
        </w:rPr>
        <w:t>, 577–586. 10.1016/j.biopsych.2007.05.031</w:t>
      </w:r>
    </w:p>
    <w:p w14:paraId="166A67A7"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Gross, J. J. (1998). The emerging field of emotion regulation: An integrative review. </w:t>
      </w:r>
      <w:r w:rsidRPr="00430A13">
        <w:rPr>
          <w:rFonts w:cstheme="minorHAnsi"/>
          <w:i/>
          <w:iCs/>
          <w:sz w:val="24"/>
          <w:szCs w:val="24"/>
        </w:rPr>
        <w:t>Review of General Psychology</w:t>
      </w:r>
      <w:r w:rsidRPr="00430A13">
        <w:rPr>
          <w:rFonts w:cstheme="minorHAnsi"/>
          <w:sz w:val="24"/>
          <w:szCs w:val="24"/>
        </w:rPr>
        <w:t xml:space="preserve">, </w:t>
      </w:r>
      <w:r w:rsidRPr="00430A13">
        <w:rPr>
          <w:rFonts w:cstheme="minorHAnsi"/>
          <w:i/>
          <w:iCs/>
          <w:sz w:val="24"/>
          <w:szCs w:val="24"/>
        </w:rPr>
        <w:t>2</w:t>
      </w:r>
      <w:r w:rsidRPr="00430A13">
        <w:rPr>
          <w:rFonts w:cstheme="minorHAnsi"/>
          <w:sz w:val="24"/>
          <w:szCs w:val="24"/>
        </w:rPr>
        <w:t>, 271–299. 10.1037/1089-2680.2.3.271</w:t>
      </w:r>
    </w:p>
    <w:p w14:paraId="0B1732A2"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Gross, J. J., &amp; John, O. P. (2003). Individual differences in two emotion regulation processes: Implications for affect, relationships, and well-being. </w:t>
      </w:r>
      <w:r w:rsidRPr="00430A13">
        <w:rPr>
          <w:rFonts w:cstheme="minorHAnsi"/>
          <w:i/>
          <w:iCs/>
          <w:sz w:val="24"/>
          <w:szCs w:val="24"/>
        </w:rPr>
        <w:t>Journal of Personality and Social Psychology</w:t>
      </w:r>
      <w:r w:rsidRPr="00430A13">
        <w:rPr>
          <w:rFonts w:cstheme="minorHAnsi"/>
          <w:sz w:val="24"/>
          <w:szCs w:val="24"/>
        </w:rPr>
        <w:t xml:space="preserve">, </w:t>
      </w:r>
      <w:r w:rsidRPr="00430A13">
        <w:rPr>
          <w:rFonts w:cstheme="minorHAnsi"/>
          <w:i/>
          <w:iCs/>
          <w:sz w:val="24"/>
          <w:szCs w:val="24"/>
        </w:rPr>
        <w:t>85</w:t>
      </w:r>
      <w:r w:rsidRPr="00430A13">
        <w:rPr>
          <w:rFonts w:cstheme="minorHAnsi"/>
          <w:sz w:val="24"/>
          <w:szCs w:val="24"/>
        </w:rPr>
        <w:t>, 348–362. 10.1037/0022-3514.85.2.348</w:t>
      </w:r>
    </w:p>
    <w:p w14:paraId="13FE36D6"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Grzywacz</w:t>
      </w:r>
      <w:proofErr w:type="spellEnd"/>
      <w:r w:rsidRPr="00430A13">
        <w:rPr>
          <w:rFonts w:cstheme="minorHAnsi"/>
          <w:sz w:val="24"/>
          <w:szCs w:val="24"/>
        </w:rPr>
        <w:t xml:space="preserve">, J. G., Hovey, J. D., Seligman, L. D., </w:t>
      </w:r>
      <w:proofErr w:type="spellStart"/>
      <w:r w:rsidRPr="00430A13">
        <w:rPr>
          <w:rFonts w:cstheme="minorHAnsi"/>
          <w:sz w:val="24"/>
          <w:szCs w:val="24"/>
        </w:rPr>
        <w:t>Arcury</w:t>
      </w:r>
      <w:proofErr w:type="spellEnd"/>
      <w:r w:rsidRPr="00430A13">
        <w:rPr>
          <w:rFonts w:cstheme="minorHAnsi"/>
          <w:sz w:val="24"/>
          <w:szCs w:val="24"/>
        </w:rPr>
        <w:t xml:space="preserve">, T. A., &amp; </w:t>
      </w:r>
      <w:proofErr w:type="spellStart"/>
      <w:r w:rsidRPr="00430A13">
        <w:rPr>
          <w:rFonts w:cstheme="minorHAnsi"/>
          <w:sz w:val="24"/>
          <w:szCs w:val="24"/>
        </w:rPr>
        <w:t>Quandt</w:t>
      </w:r>
      <w:proofErr w:type="spellEnd"/>
      <w:r w:rsidRPr="00430A13">
        <w:rPr>
          <w:rFonts w:cstheme="minorHAnsi"/>
          <w:sz w:val="24"/>
          <w:szCs w:val="24"/>
        </w:rPr>
        <w:t xml:space="preserve">, S. A. (2006). Evaluating short-form versions of the CES-D for measuring depressive symptoms among immigrants from Mexico. </w:t>
      </w:r>
      <w:r w:rsidRPr="00430A13">
        <w:rPr>
          <w:rFonts w:cstheme="minorHAnsi"/>
          <w:i/>
          <w:iCs/>
          <w:sz w:val="24"/>
          <w:szCs w:val="24"/>
        </w:rPr>
        <w:t>Hispanic Journal of Behavioral Sciences</w:t>
      </w:r>
      <w:r w:rsidRPr="00430A13">
        <w:rPr>
          <w:rFonts w:cstheme="minorHAnsi"/>
          <w:sz w:val="24"/>
          <w:szCs w:val="24"/>
        </w:rPr>
        <w:t xml:space="preserve">, </w:t>
      </w:r>
      <w:r w:rsidRPr="00430A13">
        <w:rPr>
          <w:rFonts w:cstheme="minorHAnsi"/>
          <w:i/>
          <w:iCs/>
          <w:sz w:val="24"/>
          <w:szCs w:val="24"/>
        </w:rPr>
        <w:t>28</w:t>
      </w:r>
      <w:r w:rsidRPr="00430A13">
        <w:rPr>
          <w:rFonts w:cstheme="minorHAnsi"/>
          <w:sz w:val="24"/>
          <w:szCs w:val="24"/>
        </w:rPr>
        <w:t>, 404–424. 10.1177/0739986306290645</w:t>
      </w:r>
    </w:p>
    <w:p w14:paraId="1A8A7C3F"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Hatzenbuehler</w:t>
      </w:r>
      <w:proofErr w:type="spellEnd"/>
      <w:r w:rsidRPr="00430A13">
        <w:rPr>
          <w:rFonts w:cstheme="minorHAnsi"/>
          <w:sz w:val="24"/>
          <w:szCs w:val="24"/>
        </w:rPr>
        <w:t xml:space="preserve">, M. L., Nolen-Hoeksema, S., &amp; Dovidio, J. (2009). How does stigma “get under the skin”? The mediating role of emotion regulation. </w:t>
      </w:r>
      <w:r w:rsidRPr="00430A13">
        <w:rPr>
          <w:rFonts w:cstheme="minorHAnsi"/>
          <w:i/>
          <w:iCs/>
          <w:sz w:val="24"/>
          <w:szCs w:val="24"/>
        </w:rPr>
        <w:t>Psychological Science</w:t>
      </w:r>
      <w:r w:rsidRPr="00430A13">
        <w:rPr>
          <w:rFonts w:cstheme="minorHAnsi"/>
          <w:sz w:val="24"/>
          <w:szCs w:val="24"/>
        </w:rPr>
        <w:t xml:space="preserve">, </w:t>
      </w:r>
      <w:r w:rsidRPr="00430A13">
        <w:rPr>
          <w:rFonts w:cstheme="minorHAnsi"/>
          <w:i/>
          <w:iCs/>
          <w:sz w:val="24"/>
          <w:szCs w:val="24"/>
        </w:rPr>
        <w:t>20</w:t>
      </w:r>
      <w:r w:rsidRPr="00430A13">
        <w:rPr>
          <w:rFonts w:cstheme="minorHAnsi"/>
          <w:sz w:val="24"/>
          <w:szCs w:val="24"/>
        </w:rPr>
        <w:t>, 1282–1289. 10.1111/j.1467-9280.</w:t>
      </w:r>
      <w:proofErr w:type="gramStart"/>
      <w:r w:rsidRPr="00430A13">
        <w:rPr>
          <w:rFonts w:cstheme="minorHAnsi"/>
          <w:sz w:val="24"/>
          <w:szCs w:val="24"/>
        </w:rPr>
        <w:t>2009.02441.x</w:t>
      </w:r>
      <w:proofErr w:type="gramEnd"/>
    </w:p>
    <w:p w14:paraId="4DCD41D2"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Hayes, A. F. (2013). </w:t>
      </w:r>
      <w:r w:rsidRPr="00430A13">
        <w:rPr>
          <w:rFonts w:cstheme="minorHAnsi"/>
          <w:i/>
          <w:iCs/>
          <w:sz w:val="24"/>
          <w:szCs w:val="24"/>
        </w:rPr>
        <w:t>Introduction to mediation, moderation, and conditional process analysis: A regression-based approach</w:t>
      </w:r>
      <w:r w:rsidRPr="00430A13">
        <w:rPr>
          <w:rFonts w:cstheme="minorHAnsi"/>
          <w:sz w:val="24"/>
          <w:szCs w:val="24"/>
        </w:rPr>
        <w:t>. New York, NY: Guilford Press.</w:t>
      </w:r>
    </w:p>
    <w:p w14:paraId="5662F353"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Hayes, A. F., Montoya, A. K., &amp; Rockwood, N. J. (2017). The analysis of mechanisms and their contingencies: PROCESS versus structural equation modeling. </w:t>
      </w:r>
      <w:r w:rsidRPr="00430A13">
        <w:rPr>
          <w:rFonts w:cstheme="minorHAnsi"/>
          <w:i/>
          <w:iCs/>
          <w:sz w:val="24"/>
          <w:szCs w:val="24"/>
        </w:rPr>
        <w:t>Australasian Marketing Journal</w:t>
      </w:r>
      <w:r w:rsidRPr="00430A13">
        <w:rPr>
          <w:rFonts w:cstheme="minorHAnsi"/>
          <w:sz w:val="24"/>
          <w:szCs w:val="24"/>
        </w:rPr>
        <w:t xml:space="preserve">, </w:t>
      </w:r>
      <w:r w:rsidRPr="00430A13">
        <w:rPr>
          <w:rFonts w:cstheme="minorHAnsi"/>
          <w:i/>
          <w:iCs/>
          <w:sz w:val="24"/>
          <w:szCs w:val="24"/>
        </w:rPr>
        <w:t>25</w:t>
      </w:r>
      <w:r w:rsidRPr="00430A13">
        <w:rPr>
          <w:rFonts w:cstheme="minorHAnsi"/>
          <w:sz w:val="24"/>
          <w:szCs w:val="24"/>
        </w:rPr>
        <w:t>, 76–81. 10.1016/j.ausmj.2017.02.001</w:t>
      </w:r>
    </w:p>
    <w:p w14:paraId="2D1D8F6B"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Jardín</w:t>
      </w:r>
      <w:proofErr w:type="spellEnd"/>
      <w:r w:rsidRPr="00430A13">
        <w:rPr>
          <w:rFonts w:cstheme="minorHAnsi"/>
          <w:sz w:val="24"/>
          <w:szCs w:val="24"/>
        </w:rPr>
        <w:t xml:space="preserve">, C., Mayorga, N. A., </w:t>
      </w:r>
      <w:proofErr w:type="spellStart"/>
      <w:r w:rsidRPr="00430A13">
        <w:rPr>
          <w:rFonts w:cstheme="minorHAnsi"/>
          <w:sz w:val="24"/>
          <w:szCs w:val="24"/>
        </w:rPr>
        <w:t>Bakhshaie</w:t>
      </w:r>
      <w:proofErr w:type="spellEnd"/>
      <w:r w:rsidRPr="00430A13">
        <w:rPr>
          <w:rFonts w:cstheme="minorHAnsi"/>
          <w:sz w:val="24"/>
          <w:szCs w:val="24"/>
        </w:rPr>
        <w:t xml:space="preserve">, J., </w:t>
      </w:r>
      <w:proofErr w:type="spellStart"/>
      <w:r w:rsidRPr="00430A13">
        <w:rPr>
          <w:rFonts w:cstheme="minorHAnsi"/>
          <w:sz w:val="24"/>
          <w:szCs w:val="24"/>
        </w:rPr>
        <w:t>Garey</w:t>
      </w:r>
      <w:proofErr w:type="spellEnd"/>
      <w:r w:rsidRPr="00430A13">
        <w:rPr>
          <w:rFonts w:cstheme="minorHAnsi"/>
          <w:sz w:val="24"/>
          <w:szCs w:val="24"/>
        </w:rPr>
        <w:t>, L., Viana, A. G., Sharp, C., . . .</w:t>
      </w:r>
      <w:proofErr w:type="spellStart"/>
      <w:r w:rsidRPr="00430A13">
        <w:rPr>
          <w:rFonts w:cstheme="minorHAnsi"/>
          <w:sz w:val="24"/>
          <w:szCs w:val="24"/>
        </w:rPr>
        <w:t>Zvolensky</w:t>
      </w:r>
      <w:proofErr w:type="spellEnd"/>
      <w:r w:rsidRPr="00430A13">
        <w:rPr>
          <w:rFonts w:cstheme="minorHAnsi"/>
          <w:sz w:val="24"/>
          <w:szCs w:val="24"/>
        </w:rPr>
        <w:t xml:space="preserve">, M. J. (2018). Clarifying the relation of acculturative stress and anxiety/depressive symptoms: The role of anxiety sensitivity among Hispanic college students. </w:t>
      </w:r>
      <w:r w:rsidRPr="00430A13">
        <w:rPr>
          <w:rFonts w:cstheme="minorHAnsi"/>
          <w:i/>
          <w:iCs/>
          <w:sz w:val="24"/>
          <w:szCs w:val="24"/>
        </w:rPr>
        <w:t>Cultural Diversity and Ethnic Minority Psychology</w:t>
      </w:r>
      <w:r w:rsidRPr="00430A13">
        <w:rPr>
          <w:rFonts w:cstheme="minorHAnsi"/>
          <w:sz w:val="24"/>
          <w:szCs w:val="24"/>
        </w:rPr>
        <w:t xml:space="preserve">, </w:t>
      </w:r>
      <w:r w:rsidRPr="00430A13">
        <w:rPr>
          <w:rFonts w:cstheme="minorHAnsi"/>
          <w:i/>
          <w:iCs/>
          <w:sz w:val="24"/>
          <w:szCs w:val="24"/>
        </w:rPr>
        <w:t>24</w:t>
      </w:r>
      <w:r w:rsidRPr="00430A13">
        <w:rPr>
          <w:rFonts w:cstheme="minorHAnsi"/>
          <w:sz w:val="24"/>
          <w:szCs w:val="24"/>
        </w:rPr>
        <w:t>, 221–230. 10.1037/cdp0000175</w:t>
      </w:r>
    </w:p>
    <w:p w14:paraId="6213D4A9"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Johnson, S. E., Mitchell, M. A., Bean, M. G., </w:t>
      </w:r>
      <w:proofErr w:type="spellStart"/>
      <w:r w:rsidRPr="00430A13">
        <w:rPr>
          <w:rFonts w:cstheme="minorHAnsi"/>
          <w:sz w:val="24"/>
          <w:szCs w:val="24"/>
        </w:rPr>
        <w:t>Richeson</w:t>
      </w:r>
      <w:proofErr w:type="spellEnd"/>
      <w:r w:rsidRPr="00430A13">
        <w:rPr>
          <w:rFonts w:cstheme="minorHAnsi"/>
          <w:sz w:val="24"/>
          <w:szCs w:val="24"/>
        </w:rPr>
        <w:t xml:space="preserve">, J. A., &amp; Shelton, J. N. (2010). Gender moderates the self-regulatory consequences of suppressing emotional reactions to sexism. </w:t>
      </w:r>
      <w:r w:rsidRPr="00430A13">
        <w:rPr>
          <w:rFonts w:cstheme="minorHAnsi"/>
          <w:i/>
          <w:iCs/>
          <w:sz w:val="24"/>
          <w:szCs w:val="24"/>
        </w:rPr>
        <w:t>Group Processes &amp; Intergroup Relations</w:t>
      </w:r>
      <w:r w:rsidRPr="00430A13">
        <w:rPr>
          <w:rFonts w:cstheme="minorHAnsi"/>
          <w:sz w:val="24"/>
          <w:szCs w:val="24"/>
        </w:rPr>
        <w:t xml:space="preserve">, </w:t>
      </w:r>
      <w:r w:rsidRPr="00430A13">
        <w:rPr>
          <w:rFonts w:cstheme="minorHAnsi"/>
          <w:i/>
          <w:iCs/>
          <w:sz w:val="24"/>
          <w:szCs w:val="24"/>
        </w:rPr>
        <w:t>13</w:t>
      </w:r>
      <w:r w:rsidRPr="00430A13">
        <w:rPr>
          <w:rFonts w:cstheme="minorHAnsi"/>
          <w:sz w:val="24"/>
          <w:szCs w:val="24"/>
        </w:rPr>
        <w:t>, 215–226. 10.1177/1368430209344867</w:t>
      </w:r>
    </w:p>
    <w:p w14:paraId="2DD23A9A"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Jones, K. P., Peddie, C. I., </w:t>
      </w:r>
      <w:proofErr w:type="spellStart"/>
      <w:r w:rsidRPr="00430A13">
        <w:rPr>
          <w:rFonts w:cstheme="minorHAnsi"/>
          <w:sz w:val="24"/>
          <w:szCs w:val="24"/>
        </w:rPr>
        <w:t>Gilrane</w:t>
      </w:r>
      <w:proofErr w:type="spellEnd"/>
      <w:r w:rsidRPr="00430A13">
        <w:rPr>
          <w:rFonts w:cstheme="minorHAnsi"/>
          <w:sz w:val="24"/>
          <w:szCs w:val="24"/>
        </w:rPr>
        <w:t xml:space="preserve">, V. L., King, E. B., &amp; Gray, A. L. (2016). Not so subtle: A meta-analytic investigation of the correlates of subtle and overt discrimination. </w:t>
      </w:r>
      <w:r w:rsidRPr="00430A13">
        <w:rPr>
          <w:rFonts w:cstheme="minorHAnsi"/>
          <w:i/>
          <w:iCs/>
          <w:sz w:val="24"/>
          <w:szCs w:val="24"/>
        </w:rPr>
        <w:t>Journal of Management</w:t>
      </w:r>
      <w:r w:rsidRPr="00430A13">
        <w:rPr>
          <w:rFonts w:cstheme="minorHAnsi"/>
          <w:sz w:val="24"/>
          <w:szCs w:val="24"/>
        </w:rPr>
        <w:t xml:space="preserve">, </w:t>
      </w:r>
      <w:r w:rsidRPr="00430A13">
        <w:rPr>
          <w:rFonts w:cstheme="minorHAnsi"/>
          <w:i/>
          <w:iCs/>
          <w:sz w:val="24"/>
          <w:szCs w:val="24"/>
        </w:rPr>
        <w:t>42</w:t>
      </w:r>
      <w:r w:rsidRPr="00430A13">
        <w:rPr>
          <w:rFonts w:cstheme="minorHAnsi"/>
          <w:sz w:val="24"/>
          <w:szCs w:val="24"/>
        </w:rPr>
        <w:t>, 1588–1613. 10.1177/0149206313506466</w:t>
      </w:r>
    </w:p>
    <w:p w14:paraId="751EEC4D"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Juang</w:t>
      </w:r>
      <w:proofErr w:type="spellEnd"/>
      <w:r w:rsidRPr="00430A13">
        <w:rPr>
          <w:rFonts w:cstheme="minorHAnsi"/>
          <w:sz w:val="24"/>
          <w:szCs w:val="24"/>
        </w:rPr>
        <w:t xml:space="preserve">, L. P., Moffitt, U., Kim, S. Y., Lee, R. M., Soto, J. A., Hurley, E., . . .Whitbourne, S. K. (2016). Cognitive reappraisal and expressive suppression: Links to racial-ethnic discrimination and adjustment among Latino/a and Asian-heritage college students. </w:t>
      </w:r>
      <w:r w:rsidRPr="00430A13">
        <w:rPr>
          <w:rFonts w:cstheme="minorHAnsi"/>
          <w:i/>
          <w:iCs/>
          <w:sz w:val="24"/>
          <w:szCs w:val="24"/>
        </w:rPr>
        <w:t>Journal of Adolescence</w:t>
      </w:r>
      <w:r w:rsidRPr="00430A13">
        <w:rPr>
          <w:rFonts w:cstheme="minorHAnsi"/>
          <w:sz w:val="24"/>
          <w:szCs w:val="24"/>
        </w:rPr>
        <w:t xml:space="preserve">, </w:t>
      </w:r>
      <w:r w:rsidRPr="00430A13">
        <w:rPr>
          <w:rFonts w:cstheme="minorHAnsi"/>
          <w:i/>
          <w:iCs/>
          <w:sz w:val="24"/>
          <w:szCs w:val="24"/>
        </w:rPr>
        <w:t>53</w:t>
      </w:r>
      <w:r w:rsidRPr="00430A13">
        <w:rPr>
          <w:rFonts w:cstheme="minorHAnsi"/>
          <w:sz w:val="24"/>
          <w:szCs w:val="24"/>
        </w:rPr>
        <w:t>, 21–33. 10.1016/j.adolescence.2016.08.012</w:t>
      </w:r>
    </w:p>
    <w:p w14:paraId="3E5C3551"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Kessler, R. C., Berglund, P., </w:t>
      </w:r>
      <w:proofErr w:type="spellStart"/>
      <w:r w:rsidRPr="00430A13">
        <w:rPr>
          <w:rFonts w:cstheme="minorHAnsi"/>
          <w:sz w:val="24"/>
          <w:szCs w:val="24"/>
        </w:rPr>
        <w:t>Demler</w:t>
      </w:r>
      <w:proofErr w:type="spellEnd"/>
      <w:r w:rsidRPr="00430A13">
        <w:rPr>
          <w:rFonts w:cstheme="minorHAnsi"/>
          <w:sz w:val="24"/>
          <w:szCs w:val="24"/>
        </w:rPr>
        <w:t xml:space="preserve">, O., </w:t>
      </w:r>
      <w:proofErr w:type="spellStart"/>
      <w:r w:rsidRPr="00430A13">
        <w:rPr>
          <w:rFonts w:cstheme="minorHAnsi"/>
          <w:sz w:val="24"/>
          <w:szCs w:val="24"/>
        </w:rPr>
        <w:t>Jin</w:t>
      </w:r>
      <w:proofErr w:type="spellEnd"/>
      <w:r w:rsidRPr="00430A13">
        <w:rPr>
          <w:rFonts w:cstheme="minorHAnsi"/>
          <w:sz w:val="24"/>
          <w:szCs w:val="24"/>
        </w:rPr>
        <w:t xml:space="preserve">, R., </w:t>
      </w:r>
      <w:proofErr w:type="spellStart"/>
      <w:r w:rsidRPr="00430A13">
        <w:rPr>
          <w:rFonts w:cstheme="minorHAnsi"/>
          <w:sz w:val="24"/>
          <w:szCs w:val="24"/>
        </w:rPr>
        <w:t>Merikangas</w:t>
      </w:r>
      <w:proofErr w:type="spellEnd"/>
      <w:r w:rsidRPr="00430A13">
        <w:rPr>
          <w:rFonts w:cstheme="minorHAnsi"/>
          <w:sz w:val="24"/>
          <w:szCs w:val="24"/>
        </w:rPr>
        <w:t xml:space="preserve">, K. R., &amp; Walters, E. E. (2005). Lifetime prevalence and age-of-onset distributions of </w:t>
      </w:r>
      <w:r w:rsidRPr="00430A13">
        <w:rPr>
          <w:rFonts w:cstheme="minorHAnsi"/>
          <w:i/>
          <w:iCs/>
          <w:sz w:val="24"/>
          <w:szCs w:val="24"/>
        </w:rPr>
        <w:t>DSM–IV</w:t>
      </w:r>
      <w:r w:rsidRPr="00430A13">
        <w:rPr>
          <w:rFonts w:cstheme="minorHAnsi"/>
          <w:sz w:val="24"/>
          <w:szCs w:val="24"/>
        </w:rPr>
        <w:t xml:space="preserve"> disorders in the National Comorbidity Survey Replication. </w:t>
      </w:r>
      <w:r w:rsidRPr="00430A13">
        <w:rPr>
          <w:rFonts w:cstheme="minorHAnsi"/>
          <w:i/>
          <w:iCs/>
          <w:sz w:val="24"/>
          <w:szCs w:val="24"/>
        </w:rPr>
        <w:t>Archives of General Psychiatry</w:t>
      </w:r>
      <w:r w:rsidRPr="00430A13">
        <w:rPr>
          <w:rFonts w:cstheme="minorHAnsi"/>
          <w:sz w:val="24"/>
          <w:szCs w:val="24"/>
        </w:rPr>
        <w:t xml:space="preserve">, </w:t>
      </w:r>
      <w:r w:rsidRPr="00430A13">
        <w:rPr>
          <w:rFonts w:cstheme="minorHAnsi"/>
          <w:i/>
          <w:iCs/>
          <w:sz w:val="24"/>
          <w:szCs w:val="24"/>
        </w:rPr>
        <w:t>62</w:t>
      </w:r>
      <w:r w:rsidRPr="00430A13">
        <w:rPr>
          <w:rFonts w:cstheme="minorHAnsi"/>
          <w:sz w:val="24"/>
          <w:szCs w:val="24"/>
        </w:rPr>
        <w:t>, 593–602. 10.1001/archpsyc.62.6.593</w:t>
      </w:r>
    </w:p>
    <w:p w14:paraId="72763B44"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Klonoff</w:t>
      </w:r>
      <w:proofErr w:type="spellEnd"/>
      <w:r w:rsidRPr="00430A13">
        <w:rPr>
          <w:rFonts w:cstheme="minorHAnsi"/>
          <w:sz w:val="24"/>
          <w:szCs w:val="24"/>
        </w:rPr>
        <w:t xml:space="preserve">, E. A., &amp; </w:t>
      </w:r>
      <w:proofErr w:type="spellStart"/>
      <w:r w:rsidRPr="00430A13">
        <w:rPr>
          <w:rFonts w:cstheme="minorHAnsi"/>
          <w:sz w:val="24"/>
          <w:szCs w:val="24"/>
        </w:rPr>
        <w:t>Landrine</w:t>
      </w:r>
      <w:proofErr w:type="spellEnd"/>
      <w:r w:rsidRPr="00430A13">
        <w:rPr>
          <w:rFonts w:cstheme="minorHAnsi"/>
          <w:sz w:val="24"/>
          <w:szCs w:val="24"/>
        </w:rPr>
        <w:t xml:space="preserve">, H. (1995). The schedule of sexist events: A measure of lifetime and recent sexist discrimination in women’s lives. </w:t>
      </w:r>
      <w:r w:rsidRPr="00430A13">
        <w:rPr>
          <w:rFonts w:cstheme="minorHAnsi"/>
          <w:i/>
          <w:iCs/>
          <w:sz w:val="24"/>
          <w:szCs w:val="24"/>
        </w:rPr>
        <w:t>Psychology of Women Quarterly</w:t>
      </w:r>
      <w:r w:rsidRPr="00430A13">
        <w:rPr>
          <w:rFonts w:cstheme="minorHAnsi"/>
          <w:sz w:val="24"/>
          <w:szCs w:val="24"/>
        </w:rPr>
        <w:t xml:space="preserve">, </w:t>
      </w:r>
      <w:r w:rsidRPr="00430A13">
        <w:rPr>
          <w:rFonts w:cstheme="minorHAnsi"/>
          <w:i/>
          <w:iCs/>
          <w:sz w:val="24"/>
          <w:szCs w:val="24"/>
        </w:rPr>
        <w:t>19</w:t>
      </w:r>
      <w:r w:rsidRPr="00430A13">
        <w:rPr>
          <w:rFonts w:cstheme="minorHAnsi"/>
          <w:sz w:val="24"/>
          <w:szCs w:val="24"/>
        </w:rPr>
        <w:t>, 439–472. 10.1111/j.1471-</w:t>
      </w:r>
      <w:proofErr w:type="gramStart"/>
      <w:r w:rsidRPr="00430A13">
        <w:rPr>
          <w:rFonts w:cstheme="minorHAnsi"/>
          <w:sz w:val="24"/>
          <w:szCs w:val="24"/>
        </w:rPr>
        <w:t>6402.1995.tb</w:t>
      </w:r>
      <w:proofErr w:type="gramEnd"/>
      <w:r w:rsidRPr="00430A13">
        <w:rPr>
          <w:rFonts w:cstheme="minorHAnsi"/>
          <w:sz w:val="24"/>
          <w:szCs w:val="24"/>
        </w:rPr>
        <w:t>00086.x</w:t>
      </w:r>
    </w:p>
    <w:p w14:paraId="3CCC8D8C"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Klonoff</w:t>
      </w:r>
      <w:proofErr w:type="spellEnd"/>
      <w:r w:rsidRPr="00430A13">
        <w:rPr>
          <w:rFonts w:cstheme="minorHAnsi"/>
          <w:sz w:val="24"/>
          <w:szCs w:val="24"/>
        </w:rPr>
        <w:t xml:space="preserve">, E. A., </w:t>
      </w:r>
      <w:proofErr w:type="spellStart"/>
      <w:r w:rsidRPr="00430A13">
        <w:rPr>
          <w:rFonts w:cstheme="minorHAnsi"/>
          <w:sz w:val="24"/>
          <w:szCs w:val="24"/>
        </w:rPr>
        <w:t>Landrine</w:t>
      </w:r>
      <w:proofErr w:type="spellEnd"/>
      <w:r w:rsidRPr="00430A13">
        <w:rPr>
          <w:rFonts w:cstheme="minorHAnsi"/>
          <w:sz w:val="24"/>
          <w:szCs w:val="24"/>
        </w:rPr>
        <w:t xml:space="preserve">, H., &amp; Campbell, R. (2000). Sexist discrimination may account for well-known gender differences in psychiatric symptoms. </w:t>
      </w:r>
      <w:r w:rsidRPr="00430A13">
        <w:rPr>
          <w:rFonts w:cstheme="minorHAnsi"/>
          <w:i/>
          <w:iCs/>
          <w:sz w:val="24"/>
          <w:szCs w:val="24"/>
        </w:rPr>
        <w:t>Psychology of Women Quarterly</w:t>
      </w:r>
      <w:r w:rsidRPr="00430A13">
        <w:rPr>
          <w:rFonts w:cstheme="minorHAnsi"/>
          <w:sz w:val="24"/>
          <w:szCs w:val="24"/>
        </w:rPr>
        <w:t xml:space="preserve">, </w:t>
      </w:r>
      <w:r w:rsidRPr="00430A13">
        <w:rPr>
          <w:rFonts w:cstheme="minorHAnsi"/>
          <w:i/>
          <w:iCs/>
          <w:sz w:val="24"/>
          <w:szCs w:val="24"/>
        </w:rPr>
        <w:t>24</w:t>
      </w:r>
      <w:r w:rsidRPr="00430A13">
        <w:rPr>
          <w:rFonts w:cstheme="minorHAnsi"/>
          <w:sz w:val="24"/>
          <w:szCs w:val="24"/>
        </w:rPr>
        <w:t>, 93–99. 10.1111/j.1471-</w:t>
      </w:r>
      <w:proofErr w:type="gramStart"/>
      <w:r w:rsidRPr="00430A13">
        <w:rPr>
          <w:rFonts w:cstheme="minorHAnsi"/>
          <w:sz w:val="24"/>
          <w:szCs w:val="24"/>
        </w:rPr>
        <w:t>6402.2000.tb</w:t>
      </w:r>
      <w:proofErr w:type="gramEnd"/>
      <w:r w:rsidRPr="00430A13">
        <w:rPr>
          <w:rFonts w:cstheme="minorHAnsi"/>
          <w:sz w:val="24"/>
          <w:szCs w:val="24"/>
        </w:rPr>
        <w:t>01025.x</w:t>
      </w:r>
    </w:p>
    <w:p w14:paraId="0E5F18CB"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Kohout</w:t>
      </w:r>
      <w:proofErr w:type="spellEnd"/>
      <w:r w:rsidRPr="00430A13">
        <w:rPr>
          <w:rFonts w:cstheme="minorHAnsi"/>
          <w:sz w:val="24"/>
          <w:szCs w:val="24"/>
        </w:rPr>
        <w:t xml:space="preserve">, B., Berkman, L. F., Evans, D. A., &amp; </w:t>
      </w:r>
      <w:proofErr w:type="spellStart"/>
      <w:r w:rsidRPr="00430A13">
        <w:rPr>
          <w:rFonts w:cstheme="minorHAnsi"/>
          <w:sz w:val="24"/>
          <w:szCs w:val="24"/>
        </w:rPr>
        <w:t>Cornoni</w:t>
      </w:r>
      <w:proofErr w:type="spellEnd"/>
      <w:r w:rsidRPr="00430A13">
        <w:rPr>
          <w:rFonts w:cstheme="minorHAnsi"/>
          <w:sz w:val="24"/>
          <w:szCs w:val="24"/>
        </w:rPr>
        <w:t xml:space="preserve">-Huntley, J. (1993). Two shorter forms of the CES-D depression symptoms index. </w:t>
      </w:r>
      <w:r w:rsidRPr="00430A13">
        <w:rPr>
          <w:rFonts w:cstheme="minorHAnsi"/>
          <w:i/>
          <w:iCs/>
          <w:sz w:val="24"/>
          <w:szCs w:val="24"/>
        </w:rPr>
        <w:t>Journal of Aging and Health</w:t>
      </w:r>
      <w:r w:rsidRPr="00430A13">
        <w:rPr>
          <w:rFonts w:cstheme="minorHAnsi"/>
          <w:sz w:val="24"/>
          <w:szCs w:val="24"/>
        </w:rPr>
        <w:t xml:space="preserve">, </w:t>
      </w:r>
      <w:r w:rsidRPr="00430A13">
        <w:rPr>
          <w:rFonts w:cstheme="minorHAnsi"/>
          <w:i/>
          <w:iCs/>
          <w:sz w:val="24"/>
          <w:szCs w:val="24"/>
        </w:rPr>
        <w:t>5</w:t>
      </w:r>
      <w:r w:rsidRPr="00430A13">
        <w:rPr>
          <w:rFonts w:cstheme="minorHAnsi"/>
          <w:sz w:val="24"/>
          <w:szCs w:val="24"/>
        </w:rPr>
        <w:t>, 179–193. 10.1177/089826439300500202</w:t>
      </w:r>
    </w:p>
    <w:p w14:paraId="7146CA8E"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Lazarus, S., &amp; Folkman, S. (1984). </w:t>
      </w:r>
      <w:r w:rsidRPr="00430A13">
        <w:rPr>
          <w:rFonts w:cstheme="minorHAnsi"/>
          <w:i/>
          <w:iCs/>
          <w:sz w:val="24"/>
          <w:szCs w:val="24"/>
        </w:rPr>
        <w:t>Stress, appraisal, and coping</w:t>
      </w:r>
      <w:r w:rsidRPr="00430A13">
        <w:rPr>
          <w:rFonts w:cstheme="minorHAnsi"/>
          <w:sz w:val="24"/>
          <w:szCs w:val="24"/>
        </w:rPr>
        <w:t>. New York, NY: Springer.</w:t>
      </w:r>
    </w:p>
    <w:p w14:paraId="43D5AD3C"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Lee, D., &amp; </w:t>
      </w:r>
      <w:proofErr w:type="spellStart"/>
      <w:r w:rsidRPr="00430A13">
        <w:rPr>
          <w:rFonts w:cstheme="minorHAnsi"/>
          <w:sz w:val="24"/>
          <w:szCs w:val="24"/>
        </w:rPr>
        <w:t>Ahn</w:t>
      </w:r>
      <w:proofErr w:type="spellEnd"/>
      <w:r w:rsidRPr="00430A13">
        <w:rPr>
          <w:rFonts w:cstheme="minorHAnsi"/>
          <w:sz w:val="24"/>
          <w:szCs w:val="24"/>
        </w:rPr>
        <w:t>, S. (2012). Discrimination against Latina/</w:t>
      </w:r>
      <w:proofErr w:type="spellStart"/>
      <w:r w:rsidRPr="00430A13">
        <w:rPr>
          <w:rFonts w:cstheme="minorHAnsi"/>
          <w:sz w:val="24"/>
          <w:szCs w:val="24"/>
        </w:rPr>
        <w:t>os</w:t>
      </w:r>
      <w:proofErr w:type="spellEnd"/>
      <w:r w:rsidRPr="00430A13">
        <w:rPr>
          <w:rFonts w:cstheme="minorHAnsi"/>
          <w:sz w:val="24"/>
          <w:szCs w:val="24"/>
        </w:rPr>
        <w:t xml:space="preserve">: A meta-analysis of individual-level resources and outcomes. </w:t>
      </w:r>
      <w:r w:rsidRPr="00430A13">
        <w:rPr>
          <w:rFonts w:cstheme="minorHAnsi"/>
          <w:i/>
          <w:iCs/>
          <w:sz w:val="24"/>
          <w:szCs w:val="24"/>
        </w:rPr>
        <w:t>The Counseling Psychologist</w:t>
      </w:r>
      <w:r w:rsidRPr="00430A13">
        <w:rPr>
          <w:rFonts w:cstheme="minorHAnsi"/>
          <w:sz w:val="24"/>
          <w:szCs w:val="24"/>
        </w:rPr>
        <w:t xml:space="preserve">, </w:t>
      </w:r>
      <w:r w:rsidRPr="00430A13">
        <w:rPr>
          <w:rFonts w:cstheme="minorHAnsi"/>
          <w:i/>
          <w:iCs/>
          <w:sz w:val="24"/>
          <w:szCs w:val="24"/>
        </w:rPr>
        <w:t>40</w:t>
      </w:r>
      <w:r w:rsidRPr="00430A13">
        <w:rPr>
          <w:rFonts w:cstheme="minorHAnsi"/>
          <w:sz w:val="24"/>
          <w:szCs w:val="24"/>
        </w:rPr>
        <w:t>, 28–65. 10.1177/0011000011403326</w:t>
      </w:r>
    </w:p>
    <w:p w14:paraId="7763B62D"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Lewis, J. A., &amp; </w:t>
      </w:r>
      <w:proofErr w:type="spellStart"/>
      <w:r w:rsidRPr="00430A13">
        <w:rPr>
          <w:rFonts w:cstheme="minorHAnsi"/>
          <w:sz w:val="24"/>
          <w:szCs w:val="24"/>
        </w:rPr>
        <w:t>Grzanka</w:t>
      </w:r>
      <w:proofErr w:type="spellEnd"/>
      <w:r w:rsidRPr="00430A13">
        <w:rPr>
          <w:rFonts w:cstheme="minorHAnsi"/>
          <w:sz w:val="24"/>
          <w:szCs w:val="24"/>
        </w:rPr>
        <w:t xml:space="preserve">, P. R. (2016). Applying intersectionality theory to research on perceived racism. In A. </w:t>
      </w:r>
      <w:proofErr w:type="spellStart"/>
      <w:proofErr w:type="gramStart"/>
      <w:r w:rsidRPr="00430A13">
        <w:rPr>
          <w:rFonts w:cstheme="minorHAnsi"/>
          <w:sz w:val="24"/>
          <w:szCs w:val="24"/>
        </w:rPr>
        <w:t>N.Alvarez</w:t>
      </w:r>
      <w:proofErr w:type="spellEnd"/>
      <w:proofErr w:type="gramEnd"/>
      <w:r w:rsidRPr="00430A13">
        <w:rPr>
          <w:rFonts w:cstheme="minorHAnsi"/>
          <w:sz w:val="24"/>
          <w:szCs w:val="24"/>
        </w:rPr>
        <w:t xml:space="preserve">, C. T. </w:t>
      </w:r>
      <w:proofErr w:type="spellStart"/>
      <w:r w:rsidRPr="00430A13">
        <w:rPr>
          <w:rFonts w:cstheme="minorHAnsi"/>
          <w:sz w:val="24"/>
          <w:szCs w:val="24"/>
        </w:rPr>
        <w:t>H.Liang</w:t>
      </w:r>
      <w:proofErr w:type="spellEnd"/>
      <w:r w:rsidRPr="00430A13">
        <w:rPr>
          <w:rFonts w:cstheme="minorHAnsi"/>
          <w:sz w:val="24"/>
          <w:szCs w:val="24"/>
        </w:rPr>
        <w:t xml:space="preserve">, &amp; H. </w:t>
      </w:r>
      <w:proofErr w:type="spellStart"/>
      <w:proofErr w:type="gramStart"/>
      <w:r w:rsidRPr="00430A13">
        <w:rPr>
          <w:rFonts w:cstheme="minorHAnsi"/>
          <w:sz w:val="24"/>
          <w:szCs w:val="24"/>
        </w:rPr>
        <w:t>A.Neville</w:t>
      </w:r>
      <w:proofErr w:type="spellEnd"/>
      <w:proofErr w:type="gramEnd"/>
      <w:r w:rsidRPr="00430A13">
        <w:rPr>
          <w:rFonts w:cstheme="minorHAnsi"/>
          <w:sz w:val="24"/>
          <w:szCs w:val="24"/>
        </w:rPr>
        <w:t xml:space="preserve"> (Eds.), </w:t>
      </w:r>
      <w:r w:rsidRPr="00430A13">
        <w:rPr>
          <w:rFonts w:cstheme="minorHAnsi"/>
          <w:i/>
          <w:iCs/>
          <w:sz w:val="24"/>
          <w:szCs w:val="24"/>
        </w:rPr>
        <w:t>The cost of racism for people of color: Contextualizing experiences of discrimination</w:t>
      </w:r>
      <w:r w:rsidRPr="00430A13">
        <w:rPr>
          <w:rFonts w:cstheme="minorHAnsi"/>
          <w:sz w:val="24"/>
          <w:szCs w:val="24"/>
        </w:rPr>
        <w:t>, (pp. 31–54). Washington, DC: American Psychological Association. 10.1037/14852-003</w:t>
      </w:r>
    </w:p>
    <w:p w14:paraId="4750E551"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Lewis, T. T., Cogburn, C. D., &amp; Williams, D. R. (2015). Self-reported experiences of discrimination and health: Scientific advances, ongoing controversies, and emerging issues. </w:t>
      </w:r>
      <w:r w:rsidRPr="00430A13">
        <w:rPr>
          <w:rFonts w:cstheme="minorHAnsi"/>
          <w:i/>
          <w:iCs/>
          <w:sz w:val="24"/>
          <w:szCs w:val="24"/>
        </w:rPr>
        <w:t>Annual Review of Clinical Psychology</w:t>
      </w:r>
      <w:r w:rsidRPr="00430A13">
        <w:rPr>
          <w:rFonts w:cstheme="minorHAnsi"/>
          <w:sz w:val="24"/>
          <w:szCs w:val="24"/>
        </w:rPr>
        <w:t xml:space="preserve">, </w:t>
      </w:r>
      <w:r w:rsidRPr="00430A13">
        <w:rPr>
          <w:rFonts w:cstheme="minorHAnsi"/>
          <w:i/>
          <w:iCs/>
          <w:sz w:val="24"/>
          <w:szCs w:val="24"/>
        </w:rPr>
        <w:t>11</w:t>
      </w:r>
      <w:r w:rsidRPr="00430A13">
        <w:rPr>
          <w:rFonts w:cstheme="minorHAnsi"/>
          <w:sz w:val="24"/>
          <w:szCs w:val="24"/>
        </w:rPr>
        <w:t>, 407–440. 10.1146/annurev-clinpsy-032814-112728</w:t>
      </w:r>
    </w:p>
    <w:p w14:paraId="057A2FC4"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McLaughlin, K. A., &amp; </w:t>
      </w:r>
      <w:proofErr w:type="spellStart"/>
      <w:r w:rsidRPr="00430A13">
        <w:rPr>
          <w:rFonts w:cstheme="minorHAnsi"/>
          <w:sz w:val="24"/>
          <w:szCs w:val="24"/>
        </w:rPr>
        <w:t>Hatzenbuehler</w:t>
      </w:r>
      <w:proofErr w:type="spellEnd"/>
      <w:r w:rsidRPr="00430A13">
        <w:rPr>
          <w:rFonts w:cstheme="minorHAnsi"/>
          <w:sz w:val="24"/>
          <w:szCs w:val="24"/>
        </w:rPr>
        <w:t xml:space="preserve">, M. L. (2009). Stressful life events, anxiety sensitivity, and internalizing symptoms in adolescents. </w:t>
      </w:r>
      <w:r w:rsidRPr="00430A13">
        <w:rPr>
          <w:rFonts w:cstheme="minorHAnsi"/>
          <w:i/>
          <w:iCs/>
          <w:sz w:val="24"/>
          <w:szCs w:val="24"/>
        </w:rPr>
        <w:t>Journal of Abnormal Psychology</w:t>
      </w:r>
      <w:r w:rsidRPr="00430A13">
        <w:rPr>
          <w:rFonts w:cstheme="minorHAnsi"/>
          <w:sz w:val="24"/>
          <w:szCs w:val="24"/>
        </w:rPr>
        <w:t xml:space="preserve">, </w:t>
      </w:r>
      <w:r w:rsidRPr="00430A13">
        <w:rPr>
          <w:rFonts w:cstheme="minorHAnsi"/>
          <w:i/>
          <w:iCs/>
          <w:sz w:val="24"/>
          <w:szCs w:val="24"/>
        </w:rPr>
        <w:t>118</w:t>
      </w:r>
      <w:r w:rsidRPr="00430A13">
        <w:rPr>
          <w:rFonts w:cstheme="minorHAnsi"/>
          <w:sz w:val="24"/>
          <w:szCs w:val="24"/>
        </w:rPr>
        <w:t>, 659–669. 10.1037/a0016499</w:t>
      </w:r>
    </w:p>
    <w:p w14:paraId="3B8735CA"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McMahon, T. P., &amp; </w:t>
      </w:r>
      <w:proofErr w:type="spellStart"/>
      <w:r w:rsidRPr="00430A13">
        <w:rPr>
          <w:rFonts w:cstheme="minorHAnsi"/>
          <w:sz w:val="24"/>
          <w:szCs w:val="24"/>
        </w:rPr>
        <w:t>Naragon</w:t>
      </w:r>
      <w:proofErr w:type="spellEnd"/>
      <w:r w:rsidRPr="00430A13">
        <w:rPr>
          <w:rFonts w:cstheme="minorHAnsi"/>
          <w:sz w:val="24"/>
          <w:szCs w:val="24"/>
        </w:rPr>
        <w:t xml:space="preserve">-Gainey, K. (2019). The multilevel structure of daily emotion-regulation strategy use: An examination of within- and between-person associations in naturalistic settings. </w:t>
      </w:r>
      <w:r w:rsidRPr="00430A13">
        <w:rPr>
          <w:rFonts w:cstheme="minorHAnsi"/>
          <w:i/>
          <w:iCs/>
          <w:sz w:val="24"/>
          <w:szCs w:val="24"/>
        </w:rPr>
        <w:t>Clinical Psychological Science</w:t>
      </w:r>
      <w:r w:rsidRPr="00430A13">
        <w:rPr>
          <w:rFonts w:cstheme="minorHAnsi"/>
          <w:sz w:val="24"/>
          <w:szCs w:val="24"/>
        </w:rPr>
        <w:t xml:space="preserve">, </w:t>
      </w:r>
      <w:r w:rsidRPr="00430A13">
        <w:rPr>
          <w:rFonts w:cstheme="minorHAnsi"/>
          <w:i/>
          <w:iCs/>
          <w:sz w:val="24"/>
          <w:szCs w:val="24"/>
        </w:rPr>
        <w:t>7</w:t>
      </w:r>
      <w:r w:rsidRPr="00430A13">
        <w:rPr>
          <w:rFonts w:cstheme="minorHAnsi"/>
          <w:sz w:val="24"/>
          <w:szCs w:val="24"/>
        </w:rPr>
        <w:t>, 321–339. 10.1177/2167702618807408</w:t>
      </w:r>
    </w:p>
    <w:p w14:paraId="4D275A14"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McNally, R. J. (1989). Is anxiety sensitivity distinguishable from trait anxiety? Reply to Lilienfeld, Jacob, and Turner (1989). </w:t>
      </w:r>
      <w:r w:rsidRPr="00430A13">
        <w:rPr>
          <w:rFonts w:cstheme="minorHAnsi"/>
          <w:i/>
          <w:iCs/>
          <w:sz w:val="24"/>
          <w:szCs w:val="24"/>
        </w:rPr>
        <w:t>Journal of Abnormal Psychology</w:t>
      </w:r>
      <w:r w:rsidRPr="00430A13">
        <w:rPr>
          <w:rFonts w:cstheme="minorHAnsi"/>
          <w:sz w:val="24"/>
          <w:szCs w:val="24"/>
        </w:rPr>
        <w:t xml:space="preserve">, </w:t>
      </w:r>
      <w:r w:rsidRPr="00430A13">
        <w:rPr>
          <w:rFonts w:cstheme="minorHAnsi"/>
          <w:i/>
          <w:iCs/>
          <w:sz w:val="24"/>
          <w:szCs w:val="24"/>
        </w:rPr>
        <w:t>98</w:t>
      </w:r>
      <w:r w:rsidRPr="00430A13">
        <w:rPr>
          <w:rFonts w:cstheme="minorHAnsi"/>
          <w:sz w:val="24"/>
          <w:szCs w:val="24"/>
        </w:rPr>
        <w:t>, 193–194. 10.1037/0021-843X.98.2.193</w:t>
      </w:r>
    </w:p>
    <w:p w14:paraId="79B786FB"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Moradi, B., &amp; </w:t>
      </w:r>
      <w:proofErr w:type="spellStart"/>
      <w:r w:rsidRPr="00430A13">
        <w:rPr>
          <w:rFonts w:cstheme="minorHAnsi"/>
          <w:sz w:val="24"/>
          <w:szCs w:val="24"/>
        </w:rPr>
        <w:t>DeBlaere</w:t>
      </w:r>
      <w:proofErr w:type="spellEnd"/>
      <w:r w:rsidRPr="00430A13">
        <w:rPr>
          <w:rFonts w:cstheme="minorHAnsi"/>
          <w:sz w:val="24"/>
          <w:szCs w:val="24"/>
        </w:rPr>
        <w:t xml:space="preserve">, C. (2010). Women’s experiences of sexist discrimination: Review of research and directions for centralizing race, ethnicity, and culture. In </w:t>
      </w:r>
      <w:proofErr w:type="spellStart"/>
      <w:proofErr w:type="gramStart"/>
      <w:r w:rsidRPr="00430A13">
        <w:rPr>
          <w:rFonts w:cstheme="minorHAnsi"/>
          <w:sz w:val="24"/>
          <w:szCs w:val="24"/>
        </w:rPr>
        <w:t>H.Landrine</w:t>
      </w:r>
      <w:proofErr w:type="spellEnd"/>
      <w:proofErr w:type="gramEnd"/>
      <w:r w:rsidRPr="00430A13">
        <w:rPr>
          <w:rFonts w:cstheme="minorHAnsi"/>
          <w:sz w:val="24"/>
          <w:szCs w:val="24"/>
        </w:rPr>
        <w:t xml:space="preserve"> &amp; N. </w:t>
      </w:r>
      <w:proofErr w:type="spellStart"/>
      <w:r w:rsidRPr="00430A13">
        <w:rPr>
          <w:rFonts w:cstheme="minorHAnsi"/>
          <w:sz w:val="24"/>
          <w:szCs w:val="24"/>
        </w:rPr>
        <w:t>F.Russo</w:t>
      </w:r>
      <w:proofErr w:type="spellEnd"/>
      <w:r w:rsidRPr="00430A13">
        <w:rPr>
          <w:rFonts w:cstheme="minorHAnsi"/>
          <w:sz w:val="24"/>
          <w:szCs w:val="24"/>
        </w:rPr>
        <w:t xml:space="preserve"> (Eds.), </w:t>
      </w:r>
      <w:r w:rsidRPr="00430A13">
        <w:rPr>
          <w:rFonts w:cstheme="minorHAnsi"/>
          <w:i/>
          <w:iCs/>
          <w:sz w:val="24"/>
          <w:szCs w:val="24"/>
        </w:rPr>
        <w:t>Handbook of diversity in feminist psychology</w:t>
      </w:r>
      <w:r w:rsidRPr="00430A13">
        <w:rPr>
          <w:rFonts w:cstheme="minorHAnsi"/>
          <w:sz w:val="24"/>
          <w:szCs w:val="24"/>
        </w:rPr>
        <w:t>, (pp. 173–210). New York, NY: Springer.</w:t>
      </w:r>
    </w:p>
    <w:p w14:paraId="10C24399" w14:textId="0A52716A"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Morelen</w:t>
      </w:r>
      <w:proofErr w:type="spellEnd"/>
      <w:r w:rsidRPr="00430A13">
        <w:rPr>
          <w:rFonts w:cstheme="minorHAnsi"/>
          <w:sz w:val="24"/>
          <w:szCs w:val="24"/>
        </w:rPr>
        <w:t xml:space="preserve">, D., &amp; </w:t>
      </w:r>
      <w:proofErr w:type="spellStart"/>
      <w:r w:rsidRPr="00430A13">
        <w:rPr>
          <w:rFonts w:cstheme="minorHAnsi"/>
          <w:sz w:val="24"/>
          <w:szCs w:val="24"/>
        </w:rPr>
        <w:t>Thomassin</w:t>
      </w:r>
      <w:proofErr w:type="spellEnd"/>
      <w:r w:rsidRPr="00430A13">
        <w:rPr>
          <w:rFonts w:cstheme="minorHAnsi"/>
          <w:sz w:val="24"/>
          <w:szCs w:val="24"/>
        </w:rPr>
        <w:t xml:space="preserve">, K. (2013). Emotion socialization and ethnicity: An examination of practices and outcomes in African American, Asian American, and Latin American families. </w:t>
      </w:r>
      <w:r w:rsidRPr="00430A13">
        <w:rPr>
          <w:rFonts w:cstheme="minorHAnsi"/>
          <w:i/>
          <w:iCs/>
          <w:sz w:val="24"/>
          <w:szCs w:val="24"/>
        </w:rPr>
        <w:t>The Yale Journal of Biology and Medicine</w:t>
      </w:r>
      <w:r w:rsidRPr="00430A13">
        <w:rPr>
          <w:rFonts w:cstheme="minorHAnsi"/>
          <w:sz w:val="24"/>
          <w:szCs w:val="24"/>
        </w:rPr>
        <w:t xml:space="preserve">, </w:t>
      </w:r>
      <w:r w:rsidRPr="00430A13">
        <w:rPr>
          <w:rFonts w:cstheme="minorHAnsi"/>
          <w:i/>
          <w:iCs/>
          <w:sz w:val="24"/>
          <w:szCs w:val="24"/>
        </w:rPr>
        <w:t>86</w:t>
      </w:r>
      <w:r w:rsidRPr="00430A13">
        <w:rPr>
          <w:rFonts w:cstheme="minorHAnsi"/>
          <w:sz w:val="24"/>
          <w:szCs w:val="24"/>
        </w:rPr>
        <w:t xml:space="preserve">, 168–178. Retrieved from </w:t>
      </w:r>
      <w:r w:rsidRPr="0042250A">
        <w:rPr>
          <w:rFonts w:cstheme="minorHAnsi"/>
          <w:sz w:val="24"/>
          <w:szCs w:val="24"/>
        </w:rPr>
        <w:t>https://0-www-ncbi-nlm-nih-gov.libus.csd.mu.edu/pmc/articles/PMC3670437/pdf/yjbm_86_2_168.pdf</w:t>
      </w:r>
    </w:p>
    <w:p w14:paraId="07A7F42A"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Nadal, K. L., Davidoff, K. C., Davis, L. S., Wong, Y., Marshall, D., &amp; McKenzie, V. (2015). A qualitative approach to intersectional microaggressions: Understanding influences of race, ethnicity, gender, </w:t>
      </w:r>
      <w:proofErr w:type="gramStart"/>
      <w:r w:rsidRPr="00430A13">
        <w:rPr>
          <w:rFonts w:cstheme="minorHAnsi"/>
          <w:sz w:val="24"/>
          <w:szCs w:val="24"/>
        </w:rPr>
        <w:t>sexuality</w:t>
      </w:r>
      <w:proofErr w:type="gramEnd"/>
      <w:r w:rsidRPr="00430A13">
        <w:rPr>
          <w:rFonts w:cstheme="minorHAnsi"/>
          <w:sz w:val="24"/>
          <w:szCs w:val="24"/>
        </w:rPr>
        <w:t xml:space="preserve"> and religion. </w:t>
      </w:r>
      <w:r w:rsidRPr="00430A13">
        <w:rPr>
          <w:rFonts w:cstheme="minorHAnsi"/>
          <w:i/>
          <w:iCs/>
          <w:sz w:val="24"/>
          <w:szCs w:val="24"/>
        </w:rPr>
        <w:t>Qualitative Psychology</w:t>
      </w:r>
      <w:r w:rsidRPr="00430A13">
        <w:rPr>
          <w:rFonts w:cstheme="minorHAnsi"/>
          <w:sz w:val="24"/>
          <w:szCs w:val="24"/>
        </w:rPr>
        <w:t xml:space="preserve">, </w:t>
      </w:r>
      <w:r w:rsidRPr="00430A13">
        <w:rPr>
          <w:rFonts w:cstheme="minorHAnsi"/>
          <w:i/>
          <w:iCs/>
          <w:sz w:val="24"/>
          <w:szCs w:val="24"/>
        </w:rPr>
        <w:t>2</w:t>
      </w:r>
      <w:r w:rsidRPr="00430A13">
        <w:rPr>
          <w:rFonts w:cstheme="minorHAnsi"/>
          <w:sz w:val="24"/>
          <w:szCs w:val="24"/>
        </w:rPr>
        <w:t>, 147–163. 10.1037/qup0000026</w:t>
      </w:r>
    </w:p>
    <w:p w14:paraId="514EAFD8"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Naragon</w:t>
      </w:r>
      <w:proofErr w:type="spellEnd"/>
      <w:r w:rsidRPr="00430A13">
        <w:rPr>
          <w:rFonts w:cstheme="minorHAnsi"/>
          <w:sz w:val="24"/>
          <w:szCs w:val="24"/>
        </w:rPr>
        <w:t xml:space="preserve">-Gainey, K. (2010). Meta-analysis of the relations of anxiety sensitivity to the depressive and anxiety disorders. </w:t>
      </w:r>
      <w:r w:rsidRPr="00430A13">
        <w:rPr>
          <w:rFonts w:cstheme="minorHAnsi"/>
          <w:i/>
          <w:iCs/>
          <w:sz w:val="24"/>
          <w:szCs w:val="24"/>
        </w:rPr>
        <w:t>Psychological Bulletin</w:t>
      </w:r>
      <w:r w:rsidRPr="00430A13">
        <w:rPr>
          <w:rFonts w:cstheme="minorHAnsi"/>
          <w:sz w:val="24"/>
          <w:szCs w:val="24"/>
        </w:rPr>
        <w:t xml:space="preserve">, </w:t>
      </w:r>
      <w:r w:rsidRPr="00430A13">
        <w:rPr>
          <w:rFonts w:cstheme="minorHAnsi"/>
          <w:i/>
          <w:iCs/>
          <w:sz w:val="24"/>
          <w:szCs w:val="24"/>
        </w:rPr>
        <w:t>136</w:t>
      </w:r>
      <w:r w:rsidRPr="00430A13">
        <w:rPr>
          <w:rFonts w:cstheme="minorHAnsi"/>
          <w:sz w:val="24"/>
          <w:szCs w:val="24"/>
        </w:rPr>
        <w:t>, 128–150. 10.1037/a0018055</w:t>
      </w:r>
    </w:p>
    <w:p w14:paraId="52BCE156"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Naragon</w:t>
      </w:r>
      <w:proofErr w:type="spellEnd"/>
      <w:r w:rsidRPr="00430A13">
        <w:rPr>
          <w:rFonts w:cstheme="minorHAnsi"/>
          <w:sz w:val="24"/>
          <w:szCs w:val="24"/>
        </w:rPr>
        <w:t xml:space="preserve">-Gainey, K., McMahon, T. P., &amp; Chacko, T. P. (2017). The structure of common emotion regulation strategies: A meta-analytic examination. </w:t>
      </w:r>
      <w:r w:rsidRPr="00430A13">
        <w:rPr>
          <w:rFonts w:cstheme="minorHAnsi"/>
          <w:i/>
          <w:iCs/>
          <w:sz w:val="24"/>
          <w:szCs w:val="24"/>
        </w:rPr>
        <w:t>Psychological Bulletin</w:t>
      </w:r>
      <w:r w:rsidRPr="00430A13">
        <w:rPr>
          <w:rFonts w:cstheme="minorHAnsi"/>
          <w:sz w:val="24"/>
          <w:szCs w:val="24"/>
        </w:rPr>
        <w:t xml:space="preserve">, </w:t>
      </w:r>
      <w:r w:rsidRPr="00430A13">
        <w:rPr>
          <w:rFonts w:cstheme="minorHAnsi"/>
          <w:i/>
          <w:iCs/>
          <w:sz w:val="24"/>
          <w:szCs w:val="24"/>
        </w:rPr>
        <w:t>143</w:t>
      </w:r>
      <w:r w:rsidRPr="00430A13">
        <w:rPr>
          <w:rFonts w:cstheme="minorHAnsi"/>
          <w:sz w:val="24"/>
          <w:szCs w:val="24"/>
        </w:rPr>
        <w:t>, 384–427. 10.1037/bul0000093</w:t>
      </w:r>
    </w:p>
    <w:p w14:paraId="331D815A"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Naragon</w:t>
      </w:r>
      <w:proofErr w:type="spellEnd"/>
      <w:r w:rsidRPr="00430A13">
        <w:rPr>
          <w:rFonts w:cstheme="minorHAnsi"/>
          <w:sz w:val="24"/>
          <w:szCs w:val="24"/>
        </w:rPr>
        <w:t xml:space="preserve">-Gainey, K., &amp; Watson, D. (2018). What lies beyond neuroticism? An examination of the unique contributions of social-cognitive vulnerabilities to internalizing disorders. </w:t>
      </w:r>
      <w:r w:rsidRPr="00430A13">
        <w:rPr>
          <w:rFonts w:cstheme="minorHAnsi"/>
          <w:i/>
          <w:iCs/>
          <w:sz w:val="24"/>
          <w:szCs w:val="24"/>
        </w:rPr>
        <w:t>Assessment</w:t>
      </w:r>
      <w:r w:rsidRPr="00430A13">
        <w:rPr>
          <w:rFonts w:cstheme="minorHAnsi"/>
          <w:sz w:val="24"/>
          <w:szCs w:val="24"/>
        </w:rPr>
        <w:t xml:space="preserve">, </w:t>
      </w:r>
      <w:r w:rsidRPr="00430A13">
        <w:rPr>
          <w:rFonts w:cstheme="minorHAnsi"/>
          <w:i/>
          <w:iCs/>
          <w:sz w:val="24"/>
          <w:szCs w:val="24"/>
        </w:rPr>
        <w:t>25</w:t>
      </w:r>
      <w:r w:rsidRPr="00430A13">
        <w:rPr>
          <w:rFonts w:cstheme="minorHAnsi"/>
          <w:sz w:val="24"/>
          <w:szCs w:val="24"/>
        </w:rPr>
        <w:t>, 143–158. 10.1177/1073191116659741</w:t>
      </w:r>
    </w:p>
    <w:p w14:paraId="0DF81CC2" w14:textId="2D26E935"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National Institute of Mental Health. (2019). </w:t>
      </w:r>
      <w:r w:rsidRPr="00430A13">
        <w:rPr>
          <w:rFonts w:cstheme="minorHAnsi"/>
          <w:i/>
          <w:iCs/>
          <w:sz w:val="24"/>
          <w:szCs w:val="24"/>
        </w:rPr>
        <w:t>Strategic research priorities overview</w:t>
      </w:r>
      <w:r w:rsidRPr="00430A13">
        <w:rPr>
          <w:rFonts w:cstheme="minorHAnsi"/>
          <w:sz w:val="24"/>
          <w:szCs w:val="24"/>
        </w:rPr>
        <w:t xml:space="preserve">. Retrieved from </w:t>
      </w:r>
      <w:r w:rsidRPr="0042250A">
        <w:rPr>
          <w:rFonts w:cstheme="minorHAnsi"/>
          <w:sz w:val="24"/>
          <w:szCs w:val="24"/>
        </w:rPr>
        <w:t>https://www.nimh.nih.gov/about/strategic-planning-reports/strategic-research-priorities/index.shtml</w:t>
      </w:r>
    </w:p>
    <w:p w14:paraId="027407C3"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Nolen-Hoeksema, S., &amp; </w:t>
      </w:r>
      <w:proofErr w:type="spellStart"/>
      <w:r w:rsidRPr="00430A13">
        <w:rPr>
          <w:rFonts w:cstheme="minorHAnsi"/>
          <w:sz w:val="24"/>
          <w:szCs w:val="24"/>
        </w:rPr>
        <w:t>Aldao</w:t>
      </w:r>
      <w:proofErr w:type="spellEnd"/>
      <w:r w:rsidRPr="00430A13">
        <w:rPr>
          <w:rFonts w:cstheme="minorHAnsi"/>
          <w:sz w:val="24"/>
          <w:szCs w:val="24"/>
        </w:rPr>
        <w:t xml:space="preserve">, A. (2011). Gender and age differences in emotion regulation strategies and their relationship to depressive symptoms. </w:t>
      </w:r>
      <w:r w:rsidRPr="00430A13">
        <w:rPr>
          <w:rFonts w:cstheme="minorHAnsi"/>
          <w:i/>
          <w:iCs/>
          <w:sz w:val="24"/>
          <w:szCs w:val="24"/>
        </w:rPr>
        <w:t>Personality and Individual Differences</w:t>
      </w:r>
      <w:r w:rsidRPr="00430A13">
        <w:rPr>
          <w:rFonts w:cstheme="minorHAnsi"/>
          <w:sz w:val="24"/>
          <w:szCs w:val="24"/>
        </w:rPr>
        <w:t xml:space="preserve">, </w:t>
      </w:r>
      <w:r w:rsidRPr="00430A13">
        <w:rPr>
          <w:rFonts w:cstheme="minorHAnsi"/>
          <w:i/>
          <w:iCs/>
          <w:sz w:val="24"/>
          <w:szCs w:val="24"/>
        </w:rPr>
        <w:t>51</w:t>
      </w:r>
      <w:r w:rsidRPr="00430A13">
        <w:rPr>
          <w:rFonts w:cstheme="minorHAnsi"/>
          <w:sz w:val="24"/>
          <w:szCs w:val="24"/>
        </w:rPr>
        <w:t>, 704–708. 10.1016/j.paid.2011.06.012</w:t>
      </w:r>
    </w:p>
    <w:p w14:paraId="385A69AE"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Olatunji, B. O., &amp; </w:t>
      </w:r>
      <w:proofErr w:type="spellStart"/>
      <w:r w:rsidRPr="00430A13">
        <w:rPr>
          <w:rFonts w:cstheme="minorHAnsi"/>
          <w:sz w:val="24"/>
          <w:szCs w:val="24"/>
        </w:rPr>
        <w:t>Wolitzky</w:t>
      </w:r>
      <w:proofErr w:type="spellEnd"/>
      <w:r w:rsidRPr="00430A13">
        <w:rPr>
          <w:rFonts w:cstheme="minorHAnsi"/>
          <w:sz w:val="24"/>
          <w:szCs w:val="24"/>
        </w:rPr>
        <w:t xml:space="preserve">-Taylor, K. B. (2009). Anxiety sensitivity and the anxiety disorders: A meta-analytic review and synthesis. </w:t>
      </w:r>
      <w:r w:rsidRPr="00430A13">
        <w:rPr>
          <w:rFonts w:cstheme="minorHAnsi"/>
          <w:i/>
          <w:iCs/>
          <w:sz w:val="24"/>
          <w:szCs w:val="24"/>
        </w:rPr>
        <w:t>Psychological Bulletin</w:t>
      </w:r>
      <w:r w:rsidRPr="00430A13">
        <w:rPr>
          <w:rFonts w:cstheme="minorHAnsi"/>
          <w:sz w:val="24"/>
          <w:szCs w:val="24"/>
        </w:rPr>
        <w:t xml:space="preserve">, </w:t>
      </w:r>
      <w:r w:rsidRPr="00430A13">
        <w:rPr>
          <w:rFonts w:cstheme="minorHAnsi"/>
          <w:i/>
          <w:iCs/>
          <w:sz w:val="24"/>
          <w:szCs w:val="24"/>
        </w:rPr>
        <w:t>135</w:t>
      </w:r>
      <w:r w:rsidRPr="00430A13">
        <w:rPr>
          <w:rFonts w:cstheme="minorHAnsi"/>
          <w:sz w:val="24"/>
          <w:szCs w:val="24"/>
        </w:rPr>
        <w:t>, 974–999. 10.1037/a0017428</w:t>
      </w:r>
    </w:p>
    <w:p w14:paraId="7F9507A2"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Paradies</w:t>
      </w:r>
      <w:proofErr w:type="spellEnd"/>
      <w:r w:rsidRPr="00430A13">
        <w:rPr>
          <w:rFonts w:cstheme="minorHAnsi"/>
          <w:sz w:val="24"/>
          <w:szCs w:val="24"/>
        </w:rPr>
        <w:t xml:space="preserve">, Y., Ben, J., Denson, N., Elias, A., Priest, N., Pieterse, A., . . .Gee, G. (2015). Racism as a determinant of health: A systematic review and meta-analysis. </w:t>
      </w:r>
      <w:proofErr w:type="spellStart"/>
      <w:r w:rsidRPr="00430A13">
        <w:rPr>
          <w:rFonts w:cstheme="minorHAnsi"/>
          <w:i/>
          <w:iCs/>
          <w:sz w:val="24"/>
          <w:szCs w:val="24"/>
        </w:rPr>
        <w:t>PLoS</w:t>
      </w:r>
      <w:proofErr w:type="spellEnd"/>
      <w:r w:rsidRPr="00430A13">
        <w:rPr>
          <w:rFonts w:cstheme="minorHAnsi"/>
          <w:i/>
          <w:iCs/>
          <w:sz w:val="24"/>
          <w:szCs w:val="24"/>
        </w:rPr>
        <w:t xml:space="preserve"> ONE</w:t>
      </w:r>
      <w:r w:rsidRPr="00430A13">
        <w:rPr>
          <w:rFonts w:cstheme="minorHAnsi"/>
          <w:sz w:val="24"/>
          <w:szCs w:val="24"/>
        </w:rPr>
        <w:t xml:space="preserve">, </w:t>
      </w:r>
      <w:r w:rsidRPr="00430A13">
        <w:rPr>
          <w:rFonts w:cstheme="minorHAnsi"/>
          <w:i/>
          <w:iCs/>
          <w:sz w:val="24"/>
          <w:szCs w:val="24"/>
        </w:rPr>
        <w:t>10</w:t>
      </w:r>
      <w:r w:rsidRPr="00430A13">
        <w:rPr>
          <w:rFonts w:cstheme="minorHAnsi"/>
          <w:sz w:val="24"/>
          <w:szCs w:val="24"/>
        </w:rPr>
        <w:t>, 0138511. 10.1371/journal.pone.0138511</w:t>
      </w:r>
    </w:p>
    <w:p w14:paraId="1352D760"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Park, I. J. K., Wang, L., Williams, D. R., &amp; </w:t>
      </w:r>
      <w:proofErr w:type="spellStart"/>
      <w:r w:rsidRPr="00430A13">
        <w:rPr>
          <w:rFonts w:cstheme="minorHAnsi"/>
          <w:sz w:val="24"/>
          <w:szCs w:val="24"/>
        </w:rPr>
        <w:t>Alegría</w:t>
      </w:r>
      <w:proofErr w:type="spellEnd"/>
      <w:r w:rsidRPr="00430A13">
        <w:rPr>
          <w:rFonts w:cstheme="minorHAnsi"/>
          <w:sz w:val="24"/>
          <w:szCs w:val="24"/>
        </w:rPr>
        <w:t xml:space="preserve">, M. (2017). Coping with racism: Moderators of discrimination-adjustment link among Mexican-origin adolescents. </w:t>
      </w:r>
      <w:r w:rsidRPr="00430A13">
        <w:rPr>
          <w:rFonts w:cstheme="minorHAnsi"/>
          <w:i/>
          <w:iCs/>
          <w:sz w:val="24"/>
          <w:szCs w:val="24"/>
        </w:rPr>
        <w:t>Child Development</w:t>
      </w:r>
      <w:r w:rsidRPr="00430A13">
        <w:rPr>
          <w:rFonts w:cstheme="minorHAnsi"/>
          <w:sz w:val="24"/>
          <w:szCs w:val="24"/>
        </w:rPr>
        <w:t xml:space="preserve">, </w:t>
      </w:r>
      <w:r w:rsidRPr="00430A13">
        <w:rPr>
          <w:rFonts w:cstheme="minorHAnsi"/>
          <w:i/>
          <w:iCs/>
          <w:sz w:val="24"/>
          <w:szCs w:val="24"/>
        </w:rPr>
        <w:t>89</w:t>
      </w:r>
      <w:r w:rsidRPr="00430A13">
        <w:rPr>
          <w:rFonts w:cstheme="minorHAnsi"/>
          <w:sz w:val="24"/>
          <w:szCs w:val="24"/>
        </w:rPr>
        <w:t>(3), e293–e310. 10.1111/cdev.12856</w:t>
      </w:r>
    </w:p>
    <w:p w14:paraId="6C1D4BB9"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Pascoe, E. A., &amp; Smart Richman, L. (2009). Perceived discrimination and health: A meta-analytic review. </w:t>
      </w:r>
      <w:r w:rsidRPr="00430A13">
        <w:rPr>
          <w:rFonts w:cstheme="minorHAnsi"/>
          <w:i/>
          <w:iCs/>
          <w:sz w:val="24"/>
          <w:szCs w:val="24"/>
        </w:rPr>
        <w:t>Psychological Bulletin</w:t>
      </w:r>
      <w:r w:rsidRPr="00430A13">
        <w:rPr>
          <w:rFonts w:cstheme="minorHAnsi"/>
          <w:sz w:val="24"/>
          <w:szCs w:val="24"/>
        </w:rPr>
        <w:t xml:space="preserve">, </w:t>
      </w:r>
      <w:r w:rsidRPr="00430A13">
        <w:rPr>
          <w:rFonts w:cstheme="minorHAnsi"/>
          <w:i/>
          <w:iCs/>
          <w:sz w:val="24"/>
          <w:szCs w:val="24"/>
        </w:rPr>
        <w:t>135</w:t>
      </w:r>
      <w:r w:rsidRPr="00430A13">
        <w:rPr>
          <w:rFonts w:cstheme="minorHAnsi"/>
          <w:sz w:val="24"/>
          <w:szCs w:val="24"/>
        </w:rPr>
        <w:t>, 531–554. 10.1037/a0016059</w:t>
      </w:r>
    </w:p>
    <w:p w14:paraId="3AEEEDD8" w14:textId="64275215"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Pew Research Center. (2016). </w:t>
      </w:r>
      <w:r w:rsidRPr="00430A13">
        <w:rPr>
          <w:rFonts w:cstheme="minorHAnsi"/>
          <w:i/>
          <w:iCs/>
          <w:sz w:val="24"/>
          <w:szCs w:val="24"/>
        </w:rPr>
        <w:t>On views of race and inequality, Blacks and Whites are world apart</w:t>
      </w:r>
      <w:r w:rsidRPr="00430A13">
        <w:rPr>
          <w:rFonts w:cstheme="minorHAnsi"/>
          <w:sz w:val="24"/>
          <w:szCs w:val="24"/>
        </w:rPr>
        <w:t xml:space="preserve">. Retrieved from </w:t>
      </w:r>
      <w:r w:rsidRPr="0042250A">
        <w:rPr>
          <w:rFonts w:cstheme="minorHAnsi"/>
          <w:sz w:val="24"/>
          <w:szCs w:val="24"/>
        </w:rPr>
        <w:t>http://www.pewsocialtrends.org/2016/06/27/on-views-of-race-and-inequality-blacks-and-whites-are-worlds-apart/</w:t>
      </w:r>
    </w:p>
    <w:p w14:paraId="7B275833"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Piña, A. A., &amp; Silverman, W. K. (2004). Clinical phenomenology, somatic symptoms, and distress in Hispanic/Latino and European American youths with anxiety disorders. </w:t>
      </w:r>
      <w:r w:rsidRPr="00430A13">
        <w:rPr>
          <w:rFonts w:cstheme="minorHAnsi"/>
          <w:i/>
          <w:iCs/>
          <w:sz w:val="24"/>
          <w:szCs w:val="24"/>
        </w:rPr>
        <w:t>Journal of Clinical Child and Adolescent Psychology</w:t>
      </w:r>
      <w:r w:rsidRPr="00430A13">
        <w:rPr>
          <w:rFonts w:cstheme="minorHAnsi"/>
          <w:sz w:val="24"/>
          <w:szCs w:val="24"/>
        </w:rPr>
        <w:t xml:space="preserve">, </w:t>
      </w:r>
      <w:r w:rsidRPr="00430A13">
        <w:rPr>
          <w:rFonts w:cstheme="minorHAnsi"/>
          <w:i/>
          <w:iCs/>
          <w:sz w:val="24"/>
          <w:szCs w:val="24"/>
        </w:rPr>
        <w:t>33</w:t>
      </w:r>
      <w:r w:rsidRPr="00430A13">
        <w:rPr>
          <w:rFonts w:cstheme="minorHAnsi"/>
          <w:sz w:val="24"/>
          <w:szCs w:val="24"/>
        </w:rPr>
        <w:t>, 227–236. 10.1207/s15374424jccp3302_3</w:t>
      </w:r>
    </w:p>
    <w:p w14:paraId="2F6F8979"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Reiss, S., Peterson, R. A., </w:t>
      </w:r>
      <w:proofErr w:type="spellStart"/>
      <w:r w:rsidRPr="00430A13">
        <w:rPr>
          <w:rFonts w:cstheme="minorHAnsi"/>
          <w:sz w:val="24"/>
          <w:szCs w:val="24"/>
        </w:rPr>
        <w:t>Gursky</w:t>
      </w:r>
      <w:proofErr w:type="spellEnd"/>
      <w:r w:rsidRPr="00430A13">
        <w:rPr>
          <w:rFonts w:cstheme="minorHAnsi"/>
          <w:sz w:val="24"/>
          <w:szCs w:val="24"/>
        </w:rPr>
        <w:t xml:space="preserve">, D. M., &amp; McNally, R. J. (1986). Anxiety sensitivity, anxiety frequency and the prediction of fearfulness. </w:t>
      </w:r>
      <w:r w:rsidRPr="00430A13">
        <w:rPr>
          <w:rFonts w:cstheme="minorHAnsi"/>
          <w:i/>
          <w:iCs/>
          <w:sz w:val="24"/>
          <w:szCs w:val="24"/>
        </w:rPr>
        <w:t>Behaviour Research and Therapy</w:t>
      </w:r>
      <w:r w:rsidRPr="00430A13">
        <w:rPr>
          <w:rFonts w:cstheme="minorHAnsi"/>
          <w:sz w:val="24"/>
          <w:szCs w:val="24"/>
        </w:rPr>
        <w:t xml:space="preserve">, </w:t>
      </w:r>
      <w:r w:rsidRPr="00430A13">
        <w:rPr>
          <w:rFonts w:cstheme="minorHAnsi"/>
          <w:i/>
          <w:iCs/>
          <w:sz w:val="24"/>
          <w:szCs w:val="24"/>
        </w:rPr>
        <w:t>24</w:t>
      </w:r>
      <w:r w:rsidRPr="00430A13">
        <w:rPr>
          <w:rFonts w:cstheme="minorHAnsi"/>
          <w:sz w:val="24"/>
          <w:szCs w:val="24"/>
        </w:rPr>
        <w:t>, 1–8. 10.1016/0005-7967(86)90143-9</w:t>
      </w:r>
    </w:p>
    <w:p w14:paraId="64F9C4FD"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Richardson, C. E. (2017). Emotion regulation in the context of daily stress: Impact on daily affect. </w:t>
      </w:r>
      <w:r w:rsidRPr="00430A13">
        <w:rPr>
          <w:rFonts w:cstheme="minorHAnsi"/>
          <w:i/>
          <w:iCs/>
          <w:sz w:val="24"/>
          <w:szCs w:val="24"/>
        </w:rPr>
        <w:t>Personality and Individual Differences</w:t>
      </w:r>
      <w:r w:rsidRPr="00430A13">
        <w:rPr>
          <w:rFonts w:cstheme="minorHAnsi"/>
          <w:sz w:val="24"/>
          <w:szCs w:val="24"/>
        </w:rPr>
        <w:t xml:space="preserve">, </w:t>
      </w:r>
      <w:r w:rsidRPr="00430A13">
        <w:rPr>
          <w:rFonts w:cstheme="minorHAnsi"/>
          <w:i/>
          <w:iCs/>
          <w:sz w:val="24"/>
          <w:szCs w:val="24"/>
        </w:rPr>
        <w:t>112</w:t>
      </w:r>
      <w:r w:rsidRPr="00430A13">
        <w:rPr>
          <w:rFonts w:cstheme="minorHAnsi"/>
          <w:sz w:val="24"/>
          <w:szCs w:val="24"/>
        </w:rPr>
        <w:t>, 150–156. 10.1016/j.paid.2017.02.058</w:t>
      </w:r>
    </w:p>
    <w:p w14:paraId="5D071C8A"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Sechrist</w:t>
      </w:r>
      <w:proofErr w:type="spellEnd"/>
      <w:r w:rsidRPr="00430A13">
        <w:rPr>
          <w:rFonts w:cstheme="minorHAnsi"/>
          <w:sz w:val="24"/>
          <w:szCs w:val="24"/>
        </w:rPr>
        <w:t xml:space="preserve">, G. B., Swim, J. K., &amp; Mark, M. M. (2003). Mood as information in making attributions to discrimination. </w:t>
      </w:r>
      <w:r w:rsidRPr="00430A13">
        <w:rPr>
          <w:rFonts w:cstheme="minorHAnsi"/>
          <w:i/>
          <w:iCs/>
          <w:sz w:val="24"/>
          <w:szCs w:val="24"/>
        </w:rPr>
        <w:t>Personality and Social Psychology Bulletin</w:t>
      </w:r>
      <w:r w:rsidRPr="00430A13">
        <w:rPr>
          <w:rFonts w:cstheme="minorHAnsi"/>
          <w:sz w:val="24"/>
          <w:szCs w:val="24"/>
        </w:rPr>
        <w:t xml:space="preserve">, </w:t>
      </w:r>
      <w:r w:rsidRPr="00430A13">
        <w:rPr>
          <w:rFonts w:cstheme="minorHAnsi"/>
          <w:i/>
          <w:iCs/>
          <w:sz w:val="24"/>
          <w:szCs w:val="24"/>
        </w:rPr>
        <w:t>29</w:t>
      </w:r>
      <w:r w:rsidRPr="00430A13">
        <w:rPr>
          <w:rFonts w:cstheme="minorHAnsi"/>
          <w:sz w:val="24"/>
          <w:szCs w:val="24"/>
        </w:rPr>
        <w:t>, 524–531. 10.1177/0146167202250922</w:t>
      </w:r>
    </w:p>
    <w:p w14:paraId="74DEB2EC"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Sheppes</w:t>
      </w:r>
      <w:proofErr w:type="spellEnd"/>
      <w:r w:rsidRPr="00430A13">
        <w:rPr>
          <w:rFonts w:cstheme="minorHAnsi"/>
          <w:sz w:val="24"/>
          <w:szCs w:val="24"/>
        </w:rPr>
        <w:t xml:space="preserve">, G., </w:t>
      </w:r>
      <w:proofErr w:type="spellStart"/>
      <w:r w:rsidRPr="00430A13">
        <w:rPr>
          <w:rFonts w:cstheme="minorHAnsi"/>
          <w:sz w:val="24"/>
          <w:szCs w:val="24"/>
        </w:rPr>
        <w:t>Scheibe</w:t>
      </w:r>
      <w:proofErr w:type="spellEnd"/>
      <w:r w:rsidRPr="00430A13">
        <w:rPr>
          <w:rFonts w:cstheme="minorHAnsi"/>
          <w:sz w:val="24"/>
          <w:szCs w:val="24"/>
        </w:rPr>
        <w:t xml:space="preserve">, S., Suri, G., &amp; Gross, J. J. (2011). Emotion-regulation choice. </w:t>
      </w:r>
      <w:r w:rsidRPr="00430A13">
        <w:rPr>
          <w:rFonts w:cstheme="minorHAnsi"/>
          <w:i/>
          <w:iCs/>
          <w:sz w:val="24"/>
          <w:szCs w:val="24"/>
        </w:rPr>
        <w:t>Psychological Science</w:t>
      </w:r>
      <w:r w:rsidRPr="00430A13">
        <w:rPr>
          <w:rFonts w:cstheme="minorHAnsi"/>
          <w:sz w:val="24"/>
          <w:szCs w:val="24"/>
        </w:rPr>
        <w:t xml:space="preserve">, </w:t>
      </w:r>
      <w:r w:rsidRPr="00430A13">
        <w:rPr>
          <w:rFonts w:cstheme="minorHAnsi"/>
          <w:i/>
          <w:iCs/>
          <w:sz w:val="24"/>
          <w:szCs w:val="24"/>
        </w:rPr>
        <w:t>22</w:t>
      </w:r>
      <w:r w:rsidRPr="00430A13">
        <w:rPr>
          <w:rFonts w:cstheme="minorHAnsi"/>
          <w:sz w:val="24"/>
          <w:szCs w:val="24"/>
        </w:rPr>
        <w:t>, 1391–1396. 10.1177/0956797611418350</w:t>
      </w:r>
    </w:p>
    <w:p w14:paraId="1E82EAF1"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Shorter-Gooden, K. (2004). Multiple resistance strategies: How African American women cope with racism and sexism. </w:t>
      </w:r>
      <w:r w:rsidRPr="00430A13">
        <w:rPr>
          <w:rFonts w:cstheme="minorHAnsi"/>
          <w:i/>
          <w:iCs/>
          <w:sz w:val="24"/>
          <w:szCs w:val="24"/>
        </w:rPr>
        <w:t>Journal of Black Psychology</w:t>
      </w:r>
      <w:r w:rsidRPr="00430A13">
        <w:rPr>
          <w:rFonts w:cstheme="minorHAnsi"/>
          <w:sz w:val="24"/>
          <w:szCs w:val="24"/>
        </w:rPr>
        <w:t xml:space="preserve">, </w:t>
      </w:r>
      <w:r w:rsidRPr="00430A13">
        <w:rPr>
          <w:rFonts w:cstheme="minorHAnsi"/>
          <w:i/>
          <w:iCs/>
          <w:sz w:val="24"/>
          <w:szCs w:val="24"/>
        </w:rPr>
        <w:t>30</w:t>
      </w:r>
      <w:r w:rsidRPr="00430A13">
        <w:rPr>
          <w:rFonts w:cstheme="minorHAnsi"/>
          <w:sz w:val="24"/>
          <w:szCs w:val="24"/>
        </w:rPr>
        <w:t>, 406–425. 10.1177/0095798404266050</w:t>
      </w:r>
    </w:p>
    <w:p w14:paraId="1F7BE5E9"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Smits, J. A., Berry, A. C., Tart, C. D., &amp; Powers, M. B. (2008). The efficacy of cognitive-behavioral interventions for reducing anxiety sensitivity: A meta-analytic review. </w:t>
      </w:r>
      <w:r w:rsidRPr="00430A13">
        <w:rPr>
          <w:rFonts w:cstheme="minorHAnsi"/>
          <w:i/>
          <w:iCs/>
          <w:sz w:val="24"/>
          <w:szCs w:val="24"/>
        </w:rPr>
        <w:t>Behaviour Research and Therapy</w:t>
      </w:r>
      <w:r w:rsidRPr="00430A13">
        <w:rPr>
          <w:rFonts w:cstheme="minorHAnsi"/>
          <w:sz w:val="24"/>
          <w:szCs w:val="24"/>
        </w:rPr>
        <w:t xml:space="preserve">, </w:t>
      </w:r>
      <w:r w:rsidRPr="00430A13">
        <w:rPr>
          <w:rFonts w:cstheme="minorHAnsi"/>
          <w:i/>
          <w:iCs/>
          <w:sz w:val="24"/>
          <w:szCs w:val="24"/>
        </w:rPr>
        <w:t>46</w:t>
      </w:r>
      <w:r w:rsidRPr="00430A13">
        <w:rPr>
          <w:rFonts w:cstheme="minorHAnsi"/>
          <w:sz w:val="24"/>
          <w:szCs w:val="24"/>
        </w:rPr>
        <w:t>, 1047–1054. 10.1016/j.brat.2008.06.010</w:t>
      </w:r>
    </w:p>
    <w:p w14:paraId="6F2FE49F"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Stewart, S. H., Taylor, S., &amp; Baker, J. M. (1997). Gender differences in dimensions of anxiety sensitivity. </w:t>
      </w:r>
      <w:r w:rsidRPr="00430A13">
        <w:rPr>
          <w:rFonts w:cstheme="minorHAnsi"/>
          <w:i/>
          <w:iCs/>
          <w:sz w:val="24"/>
          <w:szCs w:val="24"/>
        </w:rPr>
        <w:t>Journal of Anxiety Disorders</w:t>
      </w:r>
      <w:r w:rsidRPr="00430A13">
        <w:rPr>
          <w:rFonts w:cstheme="minorHAnsi"/>
          <w:sz w:val="24"/>
          <w:szCs w:val="24"/>
        </w:rPr>
        <w:t xml:space="preserve">, </w:t>
      </w:r>
      <w:r w:rsidRPr="00430A13">
        <w:rPr>
          <w:rFonts w:cstheme="minorHAnsi"/>
          <w:i/>
          <w:iCs/>
          <w:sz w:val="24"/>
          <w:szCs w:val="24"/>
        </w:rPr>
        <w:t>11</w:t>
      </w:r>
      <w:r w:rsidRPr="00430A13">
        <w:rPr>
          <w:rFonts w:cstheme="minorHAnsi"/>
          <w:sz w:val="24"/>
          <w:szCs w:val="24"/>
        </w:rPr>
        <w:t>, 179–200. 10.1016/S0887-6185(97)00005-4</w:t>
      </w:r>
    </w:p>
    <w:p w14:paraId="1B62A4D2"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Swim, J. K., Aikin, K. J., Hall, W. S., &amp; Hunter, B. A. (1995). Sexism and racism: Old-fashioned and modern prejudices. </w:t>
      </w:r>
      <w:r w:rsidRPr="00430A13">
        <w:rPr>
          <w:rFonts w:cstheme="minorHAnsi"/>
          <w:i/>
          <w:iCs/>
          <w:sz w:val="24"/>
          <w:szCs w:val="24"/>
        </w:rPr>
        <w:t>Journal of Personality and Social Psychology</w:t>
      </w:r>
      <w:r w:rsidRPr="00430A13">
        <w:rPr>
          <w:rFonts w:cstheme="minorHAnsi"/>
          <w:sz w:val="24"/>
          <w:szCs w:val="24"/>
        </w:rPr>
        <w:t xml:space="preserve">, </w:t>
      </w:r>
      <w:r w:rsidRPr="00430A13">
        <w:rPr>
          <w:rFonts w:cstheme="minorHAnsi"/>
          <w:i/>
          <w:iCs/>
          <w:sz w:val="24"/>
          <w:szCs w:val="24"/>
        </w:rPr>
        <w:t>68</w:t>
      </w:r>
      <w:r w:rsidRPr="00430A13">
        <w:rPr>
          <w:rFonts w:cstheme="minorHAnsi"/>
          <w:sz w:val="24"/>
          <w:szCs w:val="24"/>
        </w:rPr>
        <w:t>, 199–214. 10.1037/0022-3514.68.2.199</w:t>
      </w:r>
    </w:p>
    <w:p w14:paraId="3259C5E9"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Taylor, S., Jang, K. L., Stewart, S. H., &amp; Stein, M. B. (2008). Etiology of the dimensions of anxiety sensitivity: A behavioral-genetic analysis. </w:t>
      </w:r>
      <w:r w:rsidRPr="00430A13">
        <w:rPr>
          <w:rFonts w:cstheme="minorHAnsi"/>
          <w:i/>
          <w:iCs/>
          <w:sz w:val="24"/>
          <w:szCs w:val="24"/>
        </w:rPr>
        <w:t>Journal of Anxiety Disorders</w:t>
      </w:r>
      <w:r w:rsidRPr="00430A13">
        <w:rPr>
          <w:rFonts w:cstheme="minorHAnsi"/>
          <w:sz w:val="24"/>
          <w:szCs w:val="24"/>
        </w:rPr>
        <w:t xml:space="preserve">, </w:t>
      </w:r>
      <w:r w:rsidRPr="00430A13">
        <w:rPr>
          <w:rFonts w:cstheme="minorHAnsi"/>
          <w:i/>
          <w:iCs/>
          <w:sz w:val="24"/>
          <w:szCs w:val="24"/>
        </w:rPr>
        <w:t>22</w:t>
      </w:r>
      <w:r w:rsidRPr="00430A13">
        <w:rPr>
          <w:rFonts w:cstheme="minorHAnsi"/>
          <w:sz w:val="24"/>
          <w:szCs w:val="24"/>
        </w:rPr>
        <w:t>, 899–914. 10.1016/j.janxdis.2007.09.005</w:t>
      </w:r>
    </w:p>
    <w:p w14:paraId="390A4945"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Taylor, S., </w:t>
      </w:r>
      <w:proofErr w:type="spellStart"/>
      <w:r w:rsidRPr="00430A13">
        <w:rPr>
          <w:rFonts w:cstheme="minorHAnsi"/>
          <w:sz w:val="24"/>
          <w:szCs w:val="24"/>
        </w:rPr>
        <w:t>Zvolensky</w:t>
      </w:r>
      <w:proofErr w:type="spellEnd"/>
      <w:r w:rsidRPr="00430A13">
        <w:rPr>
          <w:rFonts w:cstheme="minorHAnsi"/>
          <w:sz w:val="24"/>
          <w:szCs w:val="24"/>
        </w:rPr>
        <w:t xml:space="preserve">, M. J., Cox, B. J., Deacon, B., Heimberg, R. G., </w:t>
      </w:r>
      <w:proofErr w:type="spellStart"/>
      <w:r w:rsidRPr="00430A13">
        <w:rPr>
          <w:rFonts w:cstheme="minorHAnsi"/>
          <w:sz w:val="24"/>
          <w:szCs w:val="24"/>
        </w:rPr>
        <w:t>Ledley</w:t>
      </w:r>
      <w:proofErr w:type="spellEnd"/>
      <w:r w:rsidRPr="00430A13">
        <w:rPr>
          <w:rFonts w:cstheme="minorHAnsi"/>
          <w:sz w:val="24"/>
          <w:szCs w:val="24"/>
        </w:rPr>
        <w:t xml:space="preserve">, D. R., . . .Cardenas, S. J. (2007). Robust dimensions of anxiety sensitivity: Development and initial validation of the Anxiety Sensitivity Index-3. </w:t>
      </w:r>
      <w:r w:rsidRPr="00430A13">
        <w:rPr>
          <w:rFonts w:cstheme="minorHAnsi"/>
          <w:i/>
          <w:iCs/>
          <w:sz w:val="24"/>
          <w:szCs w:val="24"/>
        </w:rPr>
        <w:t>Psychological Assessment</w:t>
      </w:r>
      <w:r w:rsidRPr="00430A13">
        <w:rPr>
          <w:rFonts w:cstheme="minorHAnsi"/>
          <w:sz w:val="24"/>
          <w:szCs w:val="24"/>
        </w:rPr>
        <w:t xml:space="preserve">, </w:t>
      </w:r>
      <w:r w:rsidRPr="00430A13">
        <w:rPr>
          <w:rFonts w:cstheme="minorHAnsi"/>
          <w:i/>
          <w:iCs/>
          <w:sz w:val="24"/>
          <w:szCs w:val="24"/>
        </w:rPr>
        <w:t>19</w:t>
      </w:r>
      <w:r w:rsidRPr="00430A13">
        <w:rPr>
          <w:rFonts w:cstheme="minorHAnsi"/>
          <w:sz w:val="24"/>
          <w:szCs w:val="24"/>
        </w:rPr>
        <w:t>, 176–188. 10.1037/1040-3590.19.2.176</w:t>
      </w:r>
    </w:p>
    <w:p w14:paraId="5AA9BCCC"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Torres, L., &amp; Mata-</w:t>
      </w:r>
      <w:proofErr w:type="spellStart"/>
      <w:r w:rsidRPr="00430A13">
        <w:rPr>
          <w:rFonts w:cstheme="minorHAnsi"/>
          <w:sz w:val="24"/>
          <w:szCs w:val="24"/>
        </w:rPr>
        <w:t>Greve</w:t>
      </w:r>
      <w:proofErr w:type="spellEnd"/>
      <w:r w:rsidRPr="00430A13">
        <w:rPr>
          <w:rFonts w:cstheme="minorHAnsi"/>
          <w:sz w:val="24"/>
          <w:szCs w:val="24"/>
        </w:rPr>
        <w:t xml:space="preserve">, F. (2017). Anxiety sensitivity as a predictor of Latino alcohol use: A moderated mediational model. </w:t>
      </w:r>
      <w:r w:rsidRPr="00430A13">
        <w:rPr>
          <w:rFonts w:cstheme="minorHAnsi"/>
          <w:i/>
          <w:iCs/>
          <w:sz w:val="24"/>
          <w:szCs w:val="24"/>
        </w:rPr>
        <w:t>Journal of Latina/o Psychology</w:t>
      </w:r>
      <w:r w:rsidRPr="00430A13">
        <w:rPr>
          <w:rFonts w:cstheme="minorHAnsi"/>
          <w:sz w:val="24"/>
          <w:szCs w:val="24"/>
        </w:rPr>
        <w:t xml:space="preserve">, </w:t>
      </w:r>
      <w:r w:rsidRPr="00430A13">
        <w:rPr>
          <w:rFonts w:cstheme="minorHAnsi"/>
          <w:i/>
          <w:iCs/>
          <w:sz w:val="24"/>
          <w:szCs w:val="24"/>
        </w:rPr>
        <w:t>5</w:t>
      </w:r>
      <w:r w:rsidRPr="00430A13">
        <w:rPr>
          <w:rFonts w:cstheme="minorHAnsi"/>
          <w:sz w:val="24"/>
          <w:szCs w:val="24"/>
        </w:rPr>
        <w:t>, 61–75. 10.1037/lat0000062</w:t>
      </w:r>
    </w:p>
    <w:p w14:paraId="3CBCCB0E"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Torres, L., Mata-</w:t>
      </w:r>
      <w:proofErr w:type="spellStart"/>
      <w:r w:rsidRPr="00430A13">
        <w:rPr>
          <w:rFonts w:cstheme="minorHAnsi"/>
          <w:sz w:val="24"/>
          <w:szCs w:val="24"/>
        </w:rPr>
        <w:t>Greve</w:t>
      </w:r>
      <w:proofErr w:type="spellEnd"/>
      <w:r w:rsidRPr="00430A13">
        <w:rPr>
          <w:rFonts w:cstheme="minorHAnsi"/>
          <w:sz w:val="24"/>
          <w:szCs w:val="24"/>
        </w:rPr>
        <w:t xml:space="preserve">, F., Bird, C., &amp; Herrera-Hernandez, E. (2018). Intersectionality research within Latinx mental health: Conceptual and methodological considerations. </w:t>
      </w:r>
      <w:r w:rsidRPr="00430A13">
        <w:rPr>
          <w:rFonts w:cstheme="minorHAnsi"/>
          <w:i/>
          <w:iCs/>
          <w:sz w:val="24"/>
          <w:szCs w:val="24"/>
        </w:rPr>
        <w:t>Journal of Latina/o Psychology</w:t>
      </w:r>
      <w:r w:rsidRPr="00430A13">
        <w:rPr>
          <w:rFonts w:cstheme="minorHAnsi"/>
          <w:sz w:val="24"/>
          <w:szCs w:val="24"/>
        </w:rPr>
        <w:t xml:space="preserve">, </w:t>
      </w:r>
      <w:r w:rsidRPr="00430A13">
        <w:rPr>
          <w:rFonts w:cstheme="minorHAnsi"/>
          <w:i/>
          <w:iCs/>
          <w:sz w:val="24"/>
          <w:szCs w:val="24"/>
        </w:rPr>
        <w:t>6</w:t>
      </w:r>
      <w:r w:rsidRPr="00430A13">
        <w:rPr>
          <w:rFonts w:cstheme="minorHAnsi"/>
          <w:sz w:val="24"/>
          <w:szCs w:val="24"/>
        </w:rPr>
        <w:t>, 304–317. 10.1037/lat0000122</w:t>
      </w:r>
    </w:p>
    <w:p w14:paraId="31C6B5F9" w14:textId="0193DDA9"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U.S. Census Bureau. (2016). </w:t>
      </w:r>
      <w:r w:rsidRPr="00430A13">
        <w:rPr>
          <w:rFonts w:cstheme="minorHAnsi"/>
          <w:i/>
          <w:iCs/>
          <w:sz w:val="24"/>
          <w:szCs w:val="24"/>
        </w:rPr>
        <w:t>Profile of selected social characteristics: United States</w:t>
      </w:r>
      <w:r w:rsidRPr="00430A13">
        <w:rPr>
          <w:rFonts w:cstheme="minorHAnsi"/>
          <w:sz w:val="24"/>
          <w:szCs w:val="24"/>
        </w:rPr>
        <w:t xml:space="preserve">. Retrieved from </w:t>
      </w:r>
      <w:r w:rsidRPr="0042250A">
        <w:rPr>
          <w:rFonts w:cstheme="minorHAnsi"/>
          <w:sz w:val="24"/>
          <w:szCs w:val="24"/>
        </w:rPr>
        <w:t>data.census.gov</w:t>
      </w:r>
    </w:p>
    <w:p w14:paraId="2F3FDBCA"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Utsey</w:t>
      </w:r>
      <w:proofErr w:type="spellEnd"/>
      <w:r w:rsidRPr="00430A13">
        <w:rPr>
          <w:rFonts w:cstheme="minorHAnsi"/>
          <w:sz w:val="24"/>
          <w:szCs w:val="24"/>
        </w:rPr>
        <w:t xml:space="preserve">, S. O., </w:t>
      </w:r>
      <w:proofErr w:type="spellStart"/>
      <w:r w:rsidRPr="00430A13">
        <w:rPr>
          <w:rFonts w:cstheme="minorHAnsi"/>
          <w:sz w:val="24"/>
          <w:szCs w:val="24"/>
        </w:rPr>
        <w:t>Ponterotto</w:t>
      </w:r>
      <w:proofErr w:type="spellEnd"/>
      <w:r w:rsidRPr="00430A13">
        <w:rPr>
          <w:rFonts w:cstheme="minorHAnsi"/>
          <w:sz w:val="24"/>
          <w:szCs w:val="24"/>
        </w:rPr>
        <w:t xml:space="preserve">, J. G., Reynolds, A. L., &amp; Cancelli, A. A. (2000). Racial discrimination, coping, life satisfaction, and self-esteem among African Americans. </w:t>
      </w:r>
      <w:r w:rsidRPr="00430A13">
        <w:rPr>
          <w:rFonts w:cstheme="minorHAnsi"/>
          <w:i/>
          <w:iCs/>
          <w:sz w:val="24"/>
          <w:szCs w:val="24"/>
        </w:rPr>
        <w:t>Journal of Counseling &amp; Development</w:t>
      </w:r>
      <w:r w:rsidRPr="00430A13">
        <w:rPr>
          <w:rFonts w:cstheme="minorHAnsi"/>
          <w:sz w:val="24"/>
          <w:szCs w:val="24"/>
        </w:rPr>
        <w:t xml:space="preserve">, </w:t>
      </w:r>
      <w:r w:rsidRPr="00430A13">
        <w:rPr>
          <w:rFonts w:cstheme="minorHAnsi"/>
          <w:i/>
          <w:iCs/>
          <w:sz w:val="24"/>
          <w:szCs w:val="24"/>
        </w:rPr>
        <w:t>78</w:t>
      </w:r>
      <w:r w:rsidRPr="00430A13">
        <w:rPr>
          <w:rFonts w:cstheme="minorHAnsi"/>
          <w:sz w:val="24"/>
          <w:szCs w:val="24"/>
        </w:rPr>
        <w:t>, 72–80. 10.1002/j.1556-</w:t>
      </w:r>
      <w:proofErr w:type="gramStart"/>
      <w:r w:rsidRPr="00430A13">
        <w:rPr>
          <w:rFonts w:cstheme="minorHAnsi"/>
          <w:sz w:val="24"/>
          <w:szCs w:val="24"/>
        </w:rPr>
        <w:t>6676.2000.tb</w:t>
      </w:r>
      <w:proofErr w:type="gramEnd"/>
      <w:r w:rsidRPr="00430A13">
        <w:rPr>
          <w:rFonts w:cstheme="minorHAnsi"/>
          <w:sz w:val="24"/>
          <w:szCs w:val="24"/>
        </w:rPr>
        <w:t>02562.x</w:t>
      </w:r>
    </w:p>
    <w:p w14:paraId="3FDF8F0D"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Varela, R. E., Weems, C. F., Berman, S. L., Hensley, L., &amp; de Bernal, M. C. R. (2007). Internalizing symptoms in Latinos: The role of anxiety sensitivity. </w:t>
      </w:r>
      <w:r w:rsidRPr="00430A13">
        <w:rPr>
          <w:rFonts w:cstheme="minorHAnsi"/>
          <w:i/>
          <w:iCs/>
          <w:sz w:val="24"/>
          <w:szCs w:val="24"/>
        </w:rPr>
        <w:t>Journal of Youth and Adolescence</w:t>
      </w:r>
      <w:r w:rsidRPr="00430A13">
        <w:rPr>
          <w:rFonts w:cstheme="minorHAnsi"/>
          <w:sz w:val="24"/>
          <w:szCs w:val="24"/>
        </w:rPr>
        <w:t xml:space="preserve">, </w:t>
      </w:r>
      <w:r w:rsidRPr="00430A13">
        <w:rPr>
          <w:rFonts w:cstheme="minorHAnsi"/>
          <w:i/>
          <w:iCs/>
          <w:sz w:val="24"/>
          <w:szCs w:val="24"/>
        </w:rPr>
        <w:t>36</w:t>
      </w:r>
      <w:r w:rsidRPr="00430A13">
        <w:rPr>
          <w:rFonts w:cstheme="minorHAnsi"/>
          <w:sz w:val="24"/>
          <w:szCs w:val="24"/>
        </w:rPr>
        <w:t>, 429–440. 10.1007/s10964-007-9168-4</w:t>
      </w:r>
    </w:p>
    <w:p w14:paraId="7E7FC82D"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Velasco, R. V., </w:t>
      </w:r>
      <w:proofErr w:type="spellStart"/>
      <w:r w:rsidRPr="00430A13">
        <w:rPr>
          <w:rFonts w:cstheme="minorHAnsi"/>
          <w:sz w:val="24"/>
          <w:szCs w:val="24"/>
        </w:rPr>
        <w:t>Bakhshaie</w:t>
      </w:r>
      <w:proofErr w:type="spellEnd"/>
      <w:r w:rsidRPr="00430A13">
        <w:rPr>
          <w:rFonts w:cstheme="minorHAnsi"/>
          <w:sz w:val="24"/>
          <w:szCs w:val="24"/>
        </w:rPr>
        <w:t>, J., Walker, R. L., Viana, A. G., Garza, M., Ochoa-Perez, M., . . .</w:t>
      </w:r>
      <w:proofErr w:type="spellStart"/>
      <w:r w:rsidRPr="00430A13">
        <w:rPr>
          <w:rFonts w:cstheme="minorHAnsi"/>
          <w:sz w:val="24"/>
          <w:szCs w:val="24"/>
        </w:rPr>
        <w:t>Zvolensky</w:t>
      </w:r>
      <w:proofErr w:type="spellEnd"/>
      <w:r w:rsidRPr="00430A13">
        <w:rPr>
          <w:rFonts w:cstheme="minorHAnsi"/>
          <w:sz w:val="24"/>
          <w:szCs w:val="24"/>
        </w:rPr>
        <w:t xml:space="preserve">, M. J. (2016). Synergistic effects of pain intensity and anxiety sensitivity in relation to anxiety and depressive symptoms and disorders among </w:t>
      </w:r>
      <w:proofErr w:type="gramStart"/>
      <w:r w:rsidRPr="00430A13">
        <w:rPr>
          <w:rFonts w:cstheme="minorHAnsi"/>
          <w:sz w:val="24"/>
          <w:szCs w:val="24"/>
        </w:rPr>
        <w:t>economically disadvantaged</w:t>
      </w:r>
      <w:proofErr w:type="gramEnd"/>
      <w:r w:rsidRPr="00430A13">
        <w:rPr>
          <w:rFonts w:cstheme="minorHAnsi"/>
          <w:sz w:val="24"/>
          <w:szCs w:val="24"/>
        </w:rPr>
        <w:t xml:space="preserve"> Latinos in a community-based primary care setting. </w:t>
      </w:r>
      <w:r w:rsidRPr="00430A13">
        <w:rPr>
          <w:rFonts w:cstheme="minorHAnsi"/>
          <w:i/>
          <w:iCs/>
          <w:sz w:val="24"/>
          <w:szCs w:val="24"/>
        </w:rPr>
        <w:t>Journal of Anxiety Disorders</w:t>
      </w:r>
      <w:r w:rsidRPr="00430A13">
        <w:rPr>
          <w:rFonts w:cstheme="minorHAnsi"/>
          <w:sz w:val="24"/>
          <w:szCs w:val="24"/>
        </w:rPr>
        <w:t xml:space="preserve">, </w:t>
      </w:r>
      <w:r w:rsidRPr="00430A13">
        <w:rPr>
          <w:rFonts w:cstheme="minorHAnsi"/>
          <w:i/>
          <w:iCs/>
          <w:sz w:val="24"/>
          <w:szCs w:val="24"/>
        </w:rPr>
        <w:t>43</w:t>
      </w:r>
      <w:r w:rsidRPr="00430A13">
        <w:rPr>
          <w:rFonts w:cstheme="minorHAnsi"/>
          <w:sz w:val="24"/>
          <w:szCs w:val="24"/>
        </w:rPr>
        <w:t>, 23–31. 10.1016/j.janxdis.2016.07.007</w:t>
      </w:r>
    </w:p>
    <w:p w14:paraId="072F5A1E"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Viana, A. G., Paulus, D. J., </w:t>
      </w:r>
      <w:proofErr w:type="spellStart"/>
      <w:r w:rsidRPr="00430A13">
        <w:rPr>
          <w:rFonts w:cstheme="minorHAnsi"/>
          <w:sz w:val="24"/>
          <w:szCs w:val="24"/>
        </w:rPr>
        <w:t>Bakhshaie</w:t>
      </w:r>
      <w:proofErr w:type="spellEnd"/>
      <w:r w:rsidRPr="00430A13">
        <w:rPr>
          <w:rFonts w:cstheme="minorHAnsi"/>
          <w:sz w:val="24"/>
          <w:szCs w:val="24"/>
        </w:rPr>
        <w:t xml:space="preserve">, J., Garza, M., </w:t>
      </w:r>
      <w:proofErr w:type="spellStart"/>
      <w:r w:rsidRPr="00430A13">
        <w:rPr>
          <w:rFonts w:cstheme="minorHAnsi"/>
          <w:sz w:val="24"/>
          <w:szCs w:val="24"/>
        </w:rPr>
        <w:t>Valdivieso</w:t>
      </w:r>
      <w:proofErr w:type="spellEnd"/>
      <w:r w:rsidRPr="00430A13">
        <w:rPr>
          <w:rFonts w:cstheme="minorHAnsi"/>
          <w:sz w:val="24"/>
          <w:szCs w:val="24"/>
        </w:rPr>
        <w:t>, J., Ochoa-Perez, M., . . .</w:t>
      </w:r>
      <w:proofErr w:type="spellStart"/>
      <w:r w:rsidRPr="00430A13">
        <w:rPr>
          <w:rFonts w:cstheme="minorHAnsi"/>
          <w:sz w:val="24"/>
          <w:szCs w:val="24"/>
        </w:rPr>
        <w:t>Zvolensky</w:t>
      </w:r>
      <w:proofErr w:type="spellEnd"/>
      <w:r w:rsidRPr="00430A13">
        <w:rPr>
          <w:rFonts w:cstheme="minorHAnsi"/>
          <w:sz w:val="24"/>
          <w:szCs w:val="24"/>
        </w:rPr>
        <w:t xml:space="preserve">, M. J. (2017). Emotional nonacceptance within the context of traumatic event exposure: The explanatory role of anxiety sensitivity for traumatic stress symptoms and disability among Latinos in a primary care setting. </w:t>
      </w:r>
      <w:r w:rsidRPr="00430A13">
        <w:rPr>
          <w:rFonts w:cstheme="minorHAnsi"/>
          <w:i/>
          <w:iCs/>
          <w:sz w:val="24"/>
          <w:szCs w:val="24"/>
        </w:rPr>
        <w:t>General Hospital Psychiatry</w:t>
      </w:r>
      <w:r w:rsidRPr="00430A13">
        <w:rPr>
          <w:rFonts w:cstheme="minorHAnsi"/>
          <w:sz w:val="24"/>
          <w:szCs w:val="24"/>
        </w:rPr>
        <w:t xml:space="preserve">, </w:t>
      </w:r>
      <w:r w:rsidRPr="00430A13">
        <w:rPr>
          <w:rFonts w:cstheme="minorHAnsi"/>
          <w:i/>
          <w:iCs/>
          <w:sz w:val="24"/>
          <w:szCs w:val="24"/>
        </w:rPr>
        <w:t>44</w:t>
      </w:r>
      <w:r w:rsidRPr="00430A13">
        <w:rPr>
          <w:rFonts w:cstheme="minorHAnsi"/>
          <w:sz w:val="24"/>
          <w:szCs w:val="24"/>
        </w:rPr>
        <w:t>, 30–37. 10.1016/j.genhosppsych.2016.10.007</w:t>
      </w:r>
    </w:p>
    <w:p w14:paraId="3EA0D670" w14:textId="77777777" w:rsidR="00430A13" w:rsidRPr="00430A13" w:rsidRDefault="00430A13" w:rsidP="00A34604">
      <w:pPr>
        <w:spacing w:after="0"/>
        <w:ind w:left="720" w:hanging="720"/>
        <w:rPr>
          <w:rFonts w:cstheme="minorHAnsi"/>
          <w:sz w:val="24"/>
          <w:szCs w:val="24"/>
        </w:rPr>
      </w:pPr>
      <w:r w:rsidRPr="00430A13">
        <w:rPr>
          <w:rFonts w:cstheme="minorHAnsi"/>
          <w:sz w:val="24"/>
          <w:szCs w:val="24"/>
        </w:rPr>
        <w:t xml:space="preserve">Weems, C. F., Hayward, C., Killen, J., &amp; Taylor, C. B. (2002). A longitudinal investigation of anxiety sensitivity in adolescence. </w:t>
      </w:r>
      <w:r w:rsidRPr="00430A13">
        <w:rPr>
          <w:rFonts w:cstheme="minorHAnsi"/>
          <w:i/>
          <w:iCs/>
          <w:sz w:val="24"/>
          <w:szCs w:val="24"/>
        </w:rPr>
        <w:t>Journal of Abnormal Psychology</w:t>
      </w:r>
      <w:r w:rsidRPr="00430A13">
        <w:rPr>
          <w:rFonts w:cstheme="minorHAnsi"/>
          <w:sz w:val="24"/>
          <w:szCs w:val="24"/>
        </w:rPr>
        <w:t xml:space="preserve">, </w:t>
      </w:r>
      <w:r w:rsidRPr="00430A13">
        <w:rPr>
          <w:rFonts w:cstheme="minorHAnsi"/>
          <w:i/>
          <w:iCs/>
          <w:sz w:val="24"/>
          <w:szCs w:val="24"/>
        </w:rPr>
        <w:t>111</w:t>
      </w:r>
      <w:r w:rsidRPr="00430A13">
        <w:rPr>
          <w:rFonts w:cstheme="minorHAnsi"/>
          <w:sz w:val="24"/>
          <w:szCs w:val="24"/>
        </w:rPr>
        <w:t>, 471–477. 10.1037/0021-843X.111.3.471</w:t>
      </w:r>
    </w:p>
    <w:p w14:paraId="3B4F609A"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Zavos</w:t>
      </w:r>
      <w:proofErr w:type="spellEnd"/>
      <w:r w:rsidRPr="00430A13">
        <w:rPr>
          <w:rFonts w:cstheme="minorHAnsi"/>
          <w:sz w:val="24"/>
          <w:szCs w:val="24"/>
        </w:rPr>
        <w:t xml:space="preserve">, H. M. S., Wong, C. C. Y., Barclay, N. L., </w:t>
      </w:r>
      <w:proofErr w:type="spellStart"/>
      <w:r w:rsidRPr="00430A13">
        <w:rPr>
          <w:rFonts w:cstheme="minorHAnsi"/>
          <w:sz w:val="24"/>
          <w:szCs w:val="24"/>
        </w:rPr>
        <w:t>Keers</w:t>
      </w:r>
      <w:proofErr w:type="spellEnd"/>
      <w:r w:rsidRPr="00430A13">
        <w:rPr>
          <w:rFonts w:cstheme="minorHAnsi"/>
          <w:sz w:val="24"/>
          <w:szCs w:val="24"/>
        </w:rPr>
        <w:t xml:space="preserve">, R., Mill, J., </w:t>
      </w:r>
      <w:proofErr w:type="spellStart"/>
      <w:r w:rsidRPr="00430A13">
        <w:rPr>
          <w:rFonts w:cstheme="minorHAnsi"/>
          <w:sz w:val="24"/>
          <w:szCs w:val="24"/>
        </w:rPr>
        <w:t>Rijsdijk</w:t>
      </w:r>
      <w:proofErr w:type="spellEnd"/>
      <w:r w:rsidRPr="00430A13">
        <w:rPr>
          <w:rFonts w:cstheme="minorHAnsi"/>
          <w:sz w:val="24"/>
          <w:szCs w:val="24"/>
        </w:rPr>
        <w:t>, F. V., . . .</w:t>
      </w:r>
      <w:proofErr w:type="spellStart"/>
      <w:r w:rsidRPr="00430A13">
        <w:rPr>
          <w:rFonts w:cstheme="minorHAnsi"/>
          <w:sz w:val="24"/>
          <w:szCs w:val="24"/>
        </w:rPr>
        <w:t>Eley</w:t>
      </w:r>
      <w:proofErr w:type="spellEnd"/>
      <w:r w:rsidRPr="00430A13">
        <w:rPr>
          <w:rFonts w:cstheme="minorHAnsi"/>
          <w:sz w:val="24"/>
          <w:szCs w:val="24"/>
        </w:rPr>
        <w:t xml:space="preserve">, T. C. (2012). Anxiety sensitivity in adolescence and young adulthood: The role of stressful life events, 5HTTLPR and their interaction. </w:t>
      </w:r>
      <w:r w:rsidRPr="00430A13">
        <w:rPr>
          <w:rFonts w:cstheme="minorHAnsi"/>
          <w:i/>
          <w:iCs/>
          <w:sz w:val="24"/>
          <w:szCs w:val="24"/>
        </w:rPr>
        <w:t>Depression and Anxiety</w:t>
      </w:r>
      <w:r w:rsidRPr="00430A13">
        <w:rPr>
          <w:rFonts w:cstheme="minorHAnsi"/>
          <w:sz w:val="24"/>
          <w:szCs w:val="24"/>
        </w:rPr>
        <w:t xml:space="preserve">, </w:t>
      </w:r>
      <w:r w:rsidRPr="00430A13">
        <w:rPr>
          <w:rFonts w:cstheme="minorHAnsi"/>
          <w:i/>
          <w:iCs/>
          <w:sz w:val="24"/>
          <w:szCs w:val="24"/>
        </w:rPr>
        <w:t>29</w:t>
      </w:r>
      <w:r w:rsidRPr="00430A13">
        <w:rPr>
          <w:rFonts w:cstheme="minorHAnsi"/>
          <w:sz w:val="24"/>
          <w:szCs w:val="24"/>
        </w:rPr>
        <w:t>, 400–408. 10.1002/da.21921</w:t>
      </w:r>
    </w:p>
    <w:p w14:paraId="6F39CC95"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Zvolensky</w:t>
      </w:r>
      <w:proofErr w:type="spellEnd"/>
      <w:r w:rsidRPr="00430A13">
        <w:rPr>
          <w:rFonts w:cstheme="minorHAnsi"/>
          <w:sz w:val="24"/>
          <w:szCs w:val="24"/>
        </w:rPr>
        <w:t xml:space="preserve">, M. J., </w:t>
      </w:r>
      <w:proofErr w:type="spellStart"/>
      <w:r w:rsidRPr="00430A13">
        <w:rPr>
          <w:rFonts w:cstheme="minorHAnsi"/>
          <w:sz w:val="24"/>
          <w:szCs w:val="24"/>
        </w:rPr>
        <w:t>Bakhshaie</w:t>
      </w:r>
      <w:proofErr w:type="spellEnd"/>
      <w:r w:rsidRPr="00430A13">
        <w:rPr>
          <w:rFonts w:cstheme="minorHAnsi"/>
          <w:sz w:val="24"/>
          <w:szCs w:val="24"/>
        </w:rPr>
        <w:t xml:space="preserve">, J., Garza, M., </w:t>
      </w:r>
      <w:proofErr w:type="spellStart"/>
      <w:r w:rsidRPr="00430A13">
        <w:rPr>
          <w:rFonts w:cstheme="minorHAnsi"/>
          <w:sz w:val="24"/>
          <w:szCs w:val="24"/>
        </w:rPr>
        <w:t>Valdivieso</w:t>
      </w:r>
      <w:proofErr w:type="spellEnd"/>
      <w:r w:rsidRPr="00430A13">
        <w:rPr>
          <w:rFonts w:cstheme="minorHAnsi"/>
          <w:sz w:val="24"/>
          <w:szCs w:val="24"/>
        </w:rPr>
        <w:t xml:space="preserve">, J., Ortiz, M., </w:t>
      </w:r>
      <w:proofErr w:type="spellStart"/>
      <w:r w:rsidRPr="00430A13">
        <w:rPr>
          <w:rFonts w:cstheme="minorHAnsi"/>
          <w:sz w:val="24"/>
          <w:szCs w:val="24"/>
        </w:rPr>
        <w:t>Bogiaizian</w:t>
      </w:r>
      <w:proofErr w:type="spellEnd"/>
      <w:r w:rsidRPr="00430A13">
        <w:rPr>
          <w:rFonts w:cstheme="minorHAnsi"/>
          <w:sz w:val="24"/>
          <w:szCs w:val="24"/>
        </w:rPr>
        <w:t>, D., . . .</w:t>
      </w:r>
      <w:proofErr w:type="spellStart"/>
      <w:r w:rsidRPr="00430A13">
        <w:rPr>
          <w:rFonts w:cstheme="minorHAnsi"/>
          <w:sz w:val="24"/>
          <w:szCs w:val="24"/>
        </w:rPr>
        <w:t>Vujanovic</w:t>
      </w:r>
      <w:proofErr w:type="spellEnd"/>
      <w:r w:rsidRPr="00430A13">
        <w:rPr>
          <w:rFonts w:cstheme="minorHAnsi"/>
          <w:sz w:val="24"/>
          <w:szCs w:val="24"/>
        </w:rPr>
        <w:t xml:space="preserve">, A. (2015). Anxiety sensitivity and subjective social status in relation to anxiety and depressive symptoms and disorders among Latinos in primary care. </w:t>
      </w:r>
      <w:r w:rsidRPr="00430A13">
        <w:rPr>
          <w:rFonts w:cstheme="minorHAnsi"/>
          <w:i/>
          <w:iCs/>
          <w:sz w:val="24"/>
          <w:szCs w:val="24"/>
        </w:rPr>
        <w:t>Journal of Anxiety Disorders</w:t>
      </w:r>
      <w:r w:rsidRPr="00430A13">
        <w:rPr>
          <w:rFonts w:cstheme="minorHAnsi"/>
          <w:sz w:val="24"/>
          <w:szCs w:val="24"/>
        </w:rPr>
        <w:t xml:space="preserve">, </w:t>
      </w:r>
      <w:r w:rsidRPr="00430A13">
        <w:rPr>
          <w:rFonts w:cstheme="minorHAnsi"/>
          <w:i/>
          <w:iCs/>
          <w:sz w:val="24"/>
          <w:szCs w:val="24"/>
        </w:rPr>
        <w:t>32</w:t>
      </w:r>
      <w:r w:rsidRPr="00430A13">
        <w:rPr>
          <w:rFonts w:cstheme="minorHAnsi"/>
          <w:sz w:val="24"/>
          <w:szCs w:val="24"/>
        </w:rPr>
        <w:t>, 38–45. 10.1016/j.janxdis.2015.03.006</w:t>
      </w:r>
    </w:p>
    <w:p w14:paraId="176A6BC3" w14:textId="77777777" w:rsidR="00430A13" w:rsidRPr="00430A13" w:rsidRDefault="00430A13" w:rsidP="00A34604">
      <w:pPr>
        <w:spacing w:after="0"/>
        <w:ind w:left="720" w:hanging="720"/>
        <w:rPr>
          <w:rFonts w:cstheme="minorHAnsi"/>
          <w:sz w:val="24"/>
          <w:szCs w:val="24"/>
        </w:rPr>
      </w:pPr>
      <w:proofErr w:type="spellStart"/>
      <w:r w:rsidRPr="00430A13">
        <w:rPr>
          <w:rFonts w:cstheme="minorHAnsi"/>
          <w:sz w:val="24"/>
          <w:szCs w:val="24"/>
        </w:rPr>
        <w:t>Zvolensky</w:t>
      </w:r>
      <w:proofErr w:type="spellEnd"/>
      <w:r w:rsidRPr="00430A13">
        <w:rPr>
          <w:rFonts w:cstheme="minorHAnsi"/>
          <w:sz w:val="24"/>
          <w:szCs w:val="24"/>
        </w:rPr>
        <w:t xml:space="preserve">, M. J., Rogers, A. H., </w:t>
      </w:r>
      <w:proofErr w:type="spellStart"/>
      <w:r w:rsidRPr="00430A13">
        <w:rPr>
          <w:rFonts w:cstheme="minorHAnsi"/>
          <w:sz w:val="24"/>
          <w:szCs w:val="24"/>
        </w:rPr>
        <w:t>Bakhshaie</w:t>
      </w:r>
      <w:proofErr w:type="spellEnd"/>
      <w:r w:rsidRPr="00430A13">
        <w:rPr>
          <w:rFonts w:cstheme="minorHAnsi"/>
          <w:sz w:val="24"/>
          <w:szCs w:val="24"/>
        </w:rPr>
        <w:t xml:space="preserve">, J., Viana, A. G., Walker, R., Mayorga, N. A., . . .Ochoa-Perez, M. (2019). Perceived racial discrimination, anxiety sensitivity, and mental health among Latinos in a federally qualified health center. </w:t>
      </w:r>
      <w:r w:rsidRPr="00430A13">
        <w:rPr>
          <w:rFonts w:cstheme="minorHAnsi"/>
          <w:i/>
          <w:iCs/>
          <w:sz w:val="24"/>
          <w:szCs w:val="24"/>
        </w:rPr>
        <w:t>Stigma and Health</w:t>
      </w:r>
      <w:r w:rsidRPr="00430A13">
        <w:rPr>
          <w:rFonts w:cstheme="minorHAnsi"/>
          <w:sz w:val="24"/>
          <w:szCs w:val="24"/>
        </w:rPr>
        <w:t xml:space="preserve">, </w:t>
      </w:r>
      <w:r w:rsidRPr="00430A13">
        <w:rPr>
          <w:rFonts w:cstheme="minorHAnsi"/>
          <w:i/>
          <w:iCs/>
          <w:sz w:val="24"/>
          <w:szCs w:val="24"/>
        </w:rPr>
        <w:t>4</w:t>
      </w:r>
      <w:r w:rsidRPr="00430A13">
        <w:rPr>
          <w:rFonts w:cstheme="minorHAnsi"/>
          <w:sz w:val="24"/>
          <w:szCs w:val="24"/>
        </w:rPr>
        <w:t>, 473–479. 10.1037/sah0000160</w:t>
      </w:r>
    </w:p>
    <w:p w14:paraId="7499F239" w14:textId="77777777" w:rsidR="00515CF0" w:rsidRPr="00515CF0" w:rsidRDefault="00515CF0" w:rsidP="00A34604">
      <w:pPr>
        <w:spacing w:after="0"/>
        <w:ind w:left="720" w:hanging="720"/>
        <w:rPr>
          <w:rFonts w:cstheme="minorHAnsi"/>
          <w:sz w:val="24"/>
          <w:szCs w:val="24"/>
        </w:rPr>
      </w:pPr>
    </w:p>
    <w:sectPr w:rsidR="00515CF0"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1"/>
  </w:num>
  <w:num w:numId="4">
    <w:abstractNumId w:val="34"/>
  </w:num>
  <w:num w:numId="5">
    <w:abstractNumId w:val="46"/>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0"/>
  </w:num>
  <w:num w:numId="16">
    <w:abstractNumId w:val="38"/>
  </w:num>
  <w:num w:numId="17">
    <w:abstractNumId w:val="45"/>
  </w:num>
  <w:num w:numId="18">
    <w:abstractNumId w:val="12"/>
  </w:num>
  <w:num w:numId="19">
    <w:abstractNumId w:val="18"/>
  </w:num>
  <w:num w:numId="20">
    <w:abstractNumId w:val="37"/>
  </w:num>
  <w:num w:numId="21">
    <w:abstractNumId w:val="9"/>
  </w:num>
  <w:num w:numId="22">
    <w:abstractNumId w:val="26"/>
  </w:num>
  <w:num w:numId="23">
    <w:abstractNumId w:val="33"/>
  </w:num>
  <w:num w:numId="24">
    <w:abstractNumId w:val="35"/>
  </w:num>
  <w:num w:numId="25">
    <w:abstractNumId w:val="6"/>
  </w:num>
  <w:num w:numId="26">
    <w:abstractNumId w:val="36"/>
  </w:num>
  <w:num w:numId="27">
    <w:abstractNumId w:val="21"/>
  </w:num>
  <w:num w:numId="28">
    <w:abstractNumId w:val="19"/>
  </w:num>
  <w:num w:numId="29">
    <w:abstractNumId w:val="11"/>
  </w:num>
  <w:num w:numId="30">
    <w:abstractNumId w:val="2"/>
  </w:num>
  <w:num w:numId="31">
    <w:abstractNumId w:val="44"/>
  </w:num>
  <w:num w:numId="32">
    <w:abstractNumId w:val="39"/>
  </w:num>
  <w:num w:numId="33">
    <w:abstractNumId w:val="27"/>
  </w:num>
  <w:num w:numId="34">
    <w:abstractNumId w:val="25"/>
  </w:num>
  <w:num w:numId="35">
    <w:abstractNumId w:val="8"/>
  </w:num>
  <w:num w:numId="36">
    <w:abstractNumId w:val="23"/>
  </w:num>
  <w:num w:numId="37">
    <w:abstractNumId w:val="40"/>
  </w:num>
  <w:num w:numId="38">
    <w:abstractNumId w:val="15"/>
  </w:num>
  <w:num w:numId="39">
    <w:abstractNumId w:val="3"/>
  </w:num>
  <w:num w:numId="40">
    <w:abstractNumId w:val="16"/>
  </w:num>
  <w:num w:numId="41">
    <w:abstractNumId w:val="13"/>
  </w:num>
  <w:num w:numId="42">
    <w:abstractNumId w:val="42"/>
  </w:num>
  <w:num w:numId="43">
    <w:abstractNumId w:val="29"/>
  </w:num>
  <w:num w:numId="44">
    <w:abstractNumId w:val="43"/>
  </w:num>
  <w:num w:numId="45">
    <w:abstractNumId w:val="32"/>
  </w:num>
  <w:num w:numId="46">
    <w:abstractNumId w:val="14"/>
  </w:num>
  <w:num w:numId="47">
    <w:abstractNumId w:val="4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ZnpypPfps9x6x7wadqIpOVRLAORdKFtFmHz9bL6NfH512BeUDUf++Vd4pafVEpYWzyO1Xdm6E+xv7kArfGmfYg==" w:salt="S5HyZ76K2rZouOSYi7vpu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0A86"/>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6305"/>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2BF9"/>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43F"/>
    <w:rsid w:val="00146A5C"/>
    <w:rsid w:val="00146E50"/>
    <w:rsid w:val="001500F0"/>
    <w:rsid w:val="00150DB6"/>
    <w:rsid w:val="00154C62"/>
    <w:rsid w:val="00154D34"/>
    <w:rsid w:val="00160CBF"/>
    <w:rsid w:val="00160E1F"/>
    <w:rsid w:val="00161372"/>
    <w:rsid w:val="001622DB"/>
    <w:rsid w:val="001637E0"/>
    <w:rsid w:val="00163F71"/>
    <w:rsid w:val="001706A2"/>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304C"/>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5F9C"/>
    <w:rsid w:val="0027699C"/>
    <w:rsid w:val="00276C06"/>
    <w:rsid w:val="00280198"/>
    <w:rsid w:val="00280EB7"/>
    <w:rsid w:val="00281C11"/>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C6A8D"/>
    <w:rsid w:val="002D02F2"/>
    <w:rsid w:val="002D28EA"/>
    <w:rsid w:val="002D3D3A"/>
    <w:rsid w:val="002D43F8"/>
    <w:rsid w:val="002D51BB"/>
    <w:rsid w:val="002D5BAE"/>
    <w:rsid w:val="002D5DDC"/>
    <w:rsid w:val="002D6AA3"/>
    <w:rsid w:val="002E5C33"/>
    <w:rsid w:val="002E5D29"/>
    <w:rsid w:val="002E6E4B"/>
    <w:rsid w:val="002F538B"/>
    <w:rsid w:val="00300EE4"/>
    <w:rsid w:val="0030197F"/>
    <w:rsid w:val="0030223E"/>
    <w:rsid w:val="00303A1E"/>
    <w:rsid w:val="00303BBD"/>
    <w:rsid w:val="00310508"/>
    <w:rsid w:val="00313440"/>
    <w:rsid w:val="00314FCD"/>
    <w:rsid w:val="0032274D"/>
    <w:rsid w:val="00324290"/>
    <w:rsid w:val="00331737"/>
    <w:rsid w:val="0033243D"/>
    <w:rsid w:val="003332F4"/>
    <w:rsid w:val="00336012"/>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A2B"/>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2250A"/>
    <w:rsid w:val="0043008C"/>
    <w:rsid w:val="00430A13"/>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2689"/>
    <w:rsid w:val="004E34F8"/>
    <w:rsid w:val="004E3C84"/>
    <w:rsid w:val="004E528B"/>
    <w:rsid w:val="004E6917"/>
    <w:rsid w:val="004F146C"/>
    <w:rsid w:val="004F1F3C"/>
    <w:rsid w:val="004F3B6E"/>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156"/>
    <w:rsid w:val="00563D7B"/>
    <w:rsid w:val="00563E3B"/>
    <w:rsid w:val="005643C8"/>
    <w:rsid w:val="005673D1"/>
    <w:rsid w:val="005678D3"/>
    <w:rsid w:val="00570F38"/>
    <w:rsid w:val="00573955"/>
    <w:rsid w:val="00575AF4"/>
    <w:rsid w:val="00580E33"/>
    <w:rsid w:val="0058275E"/>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91D"/>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2721"/>
    <w:rsid w:val="0062392C"/>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21FF"/>
    <w:rsid w:val="006A533C"/>
    <w:rsid w:val="006A5E52"/>
    <w:rsid w:val="006A712D"/>
    <w:rsid w:val="006A7B71"/>
    <w:rsid w:val="006B20FD"/>
    <w:rsid w:val="006B3B2B"/>
    <w:rsid w:val="006C024E"/>
    <w:rsid w:val="006C7ED1"/>
    <w:rsid w:val="006D15B9"/>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4F72"/>
    <w:rsid w:val="00735393"/>
    <w:rsid w:val="007441DA"/>
    <w:rsid w:val="007457BC"/>
    <w:rsid w:val="00745E32"/>
    <w:rsid w:val="007466F7"/>
    <w:rsid w:val="0075305E"/>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2C23"/>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2BED"/>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3DD4"/>
    <w:rsid w:val="008B4AD1"/>
    <w:rsid w:val="008B6C91"/>
    <w:rsid w:val="008B6D93"/>
    <w:rsid w:val="008B788F"/>
    <w:rsid w:val="008B7AF1"/>
    <w:rsid w:val="008C0085"/>
    <w:rsid w:val="008C2B55"/>
    <w:rsid w:val="008C3543"/>
    <w:rsid w:val="008C5B8E"/>
    <w:rsid w:val="008C6BC2"/>
    <w:rsid w:val="008D0F0D"/>
    <w:rsid w:val="008D0FF2"/>
    <w:rsid w:val="008D14D6"/>
    <w:rsid w:val="008D1D7F"/>
    <w:rsid w:val="008D2166"/>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656"/>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C7BBF"/>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4223"/>
    <w:rsid w:val="00A34604"/>
    <w:rsid w:val="00A3561C"/>
    <w:rsid w:val="00A36D9A"/>
    <w:rsid w:val="00A400BC"/>
    <w:rsid w:val="00A40701"/>
    <w:rsid w:val="00A42169"/>
    <w:rsid w:val="00A424F1"/>
    <w:rsid w:val="00A426B2"/>
    <w:rsid w:val="00A447A5"/>
    <w:rsid w:val="00A45EE8"/>
    <w:rsid w:val="00A465FC"/>
    <w:rsid w:val="00A47B50"/>
    <w:rsid w:val="00A50459"/>
    <w:rsid w:val="00A506CB"/>
    <w:rsid w:val="00A52369"/>
    <w:rsid w:val="00A52A88"/>
    <w:rsid w:val="00A55701"/>
    <w:rsid w:val="00A56ED1"/>
    <w:rsid w:val="00A648A4"/>
    <w:rsid w:val="00A6505D"/>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1F04"/>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800"/>
    <w:rsid w:val="00B47D09"/>
    <w:rsid w:val="00B50108"/>
    <w:rsid w:val="00B5113B"/>
    <w:rsid w:val="00B525D3"/>
    <w:rsid w:val="00B55B5C"/>
    <w:rsid w:val="00B56290"/>
    <w:rsid w:val="00B56D7E"/>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2BD"/>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1862"/>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0F4"/>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3855"/>
    <w:rsid w:val="00F04133"/>
    <w:rsid w:val="00F10B7C"/>
    <w:rsid w:val="00F1126D"/>
    <w:rsid w:val="00F12233"/>
    <w:rsid w:val="00F12CE1"/>
    <w:rsid w:val="00F14096"/>
    <w:rsid w:val="00F14820"/>
    <w:rsid w:val="00F30DED"/>
    <w:rsid w:val="00F31DB2"/>
    <w:rsid w:val="00F3556C"/>
    <w:rsid w:val="00F37720"/>
    <w:rsid w:val="00F4046D"/>
    <w:rsid w:val="00F40A6C"/>
    <w:rsid w:val="00F40D69"/>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BC2"/>
  </w:style>
  <w:style w:type="paragraph" w:styleId="Heading1">
    <w:name w:val="heading 1"/>
    <w:basedOn w:val="Normal"/>
    <w:next w:val="Normal"/>
    <w:link w:val="Heading1Char"/>
    <w:uiPriority w:val="9"/>
    <w:qFormat/>
    <w:rsid w:val="008C6BC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C6BC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C6BC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C6BC2"/>
    <w:pPr>
      <w:keepNext/>
      <w:keepLines/>
      <w:spacing w:before="40" w:after="0"/>
      <w:outlineLvl w:val="3"/>
    </w:pPr>
    <w:rPr>
      <w:i/>
      <w:iCs/>
    </w:rPr>
  </w:style>
  <w:style w:type="paragraph" w:styleId="Heading5">
    <w:name w:val="heading 5"/>
    <w:basedOn w:val="Normal"/>
    <w:next w:val="Normal"/>
    <w:link w:val="Heading5Char"/>
    <w:uiPriority w:val="9"/>
    <w:unhideWhenUsed/>
    <w:qFormat/>
    <w:rsid w:val="008C6BC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C6BC2"/>
    <w:pPr>
      <w:keepNext/>
      <w:keepLines/>
      <w:spacing w:before="40" w:after="0"/>
      <w:outlineLvl w:val="5"/>
    </w:pPr>
  </w:style>
  <w:style w:type="paragraph" w:styleId="Heading7">
    <w:name w:val="heading 7"/>
    <w:basedOn w:val="Normal"/>
    <w:next w:val="Normal"/>
    <w:link w:val="Heading7Char"/>
    <w:uiPriority w:val="9"/>
    <w:semiHidden/>
    <w:unhideWhenUsed/>
    <w:qFormat/>
    <w:rsid w:val="008C6BC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C6BC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C6BC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BC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C6BC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C6BC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C6BC2"/>
    <w:rPr>
      <w:i/>
      <w:iCs/>
    </w:rPr>
  </w:style>
  <w:style w:type="character" w:customStyle="1" w:styleId="Heading5Char">
    <w:name w:val="Heading 5 Char"/>
    <w:basedOn w:val="DefaultParagraphFont"/>
    <w:link w:val="Heading5"/>
    <w:uiPriority w:val="9"/>
    <w:rsid w:val="008C6BC2"/>
    <w:rPr>
      <w:color w:val="404040" w:themeColor="text1" w:themeTint="BF"/>
    </w:rPr>
  </w:style>
  <w:style w:type="character" w:customStyle="1" w:styleId="Heading6Char">
    <w:name w:val="Heading 6 Char"/>
    <w:basedOn w:val="DefaultParagraphFont"/>
    <w:link w:val="Heading6"/>
    <w:uiPriority w:val="9"/>
    <w:rsid w:val="008C6BC2"/>
  </w:style>
  <w:style w:type="character" w:customStyle="1" w:styleId="Heading7Char">
    <w:name w:val="Heading 7 Char"/>
    <w:basedOn w:val="DefaultParagraphFont"/>
    <w:link w:val="Heading7"/>
    <w:uiPriority w:val="9"/>
    <w:semiHidden/>
    <w:rsid w:val="008C6B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C6BC2"/>
    <w:rPr>
      <w:color w:val="262626" w:themeColor="text1" w:themeTint="D9"/>
      <w:sz w:val="21"/>
      <w:szCs w:val="21"/>
    </w:rPr>
  </w:style>
  <w:style w:type="character" w:customStyle="1" w:styleId="Heading9Char">
    <w:name w:val="Heading 9 Char"/>
    <w:basedOn w:val="DefaultParagraphFont"/>
    <w:link w:val="Heading9"/>
    <w:uiPriority w:val="9"/>
    <w:semiHidden/>
    <w:rsid w:val="008C6BC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C6BC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C6BC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C6BC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C6BC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C6BC2"/>
    <w:rPr>
      <w:color w:val="5A5A5A" w:themeColor="text1" w:themeTint="A5"/>
      <w:spacing w:val="15"/>
    </w:rPr>
  </w:style>
  <w:style w:type="character" w:styleId="Strong">
    <w:name w:val="Strong"/>
    <w:basedOn w:val="DefaultParagraphFont"/>
    <w:uiPriority w:val="22"/>
    <w:qFormat/>
    <w:rsid w:val="008C6BC2"/>
    <w:rPr>
      <w:b/>
      <w:bCs/>
      <w:color w:val="auto"/>
    </w:rPr>
  </w:style>
  <w:style w:type="character" w:styleId="Emphasis">
    <w:name w:val="Emphasis"/>
    <w:basedOn w:val="DefaultParagraphFont"/>
    <w:uiPriority w:val="20"/>
    <w:qFormat/>
    <w:rsid w:val="008C6BC2"/>
    <w:rPr>
      <w:i/>
      <w:iCs/>
      <w:color w:val="auto"/>
    </w:rPr>
  </w:style>
  <w:style w:type="paragraph" w:styleId="NoSpacing">
    <w:name w:val="No Spacing"/>
    <w:uiPriority w:val="1"/>
    <w:qFormat/>
    <w:rsid w:val="008C6BC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C6BC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C6BC2"/>
    <w:rPr>
      <w:i/>
      <w:iCs/>
      <w:color w:val="404040" w:themeColor="text1" w:themeTint="BF"/>
    </w:rPr>
  </w:style>
  <w:style w:type="paragraph" w:styleId="IntenseQuote">
    <w:name w:val="Intense Quote"/>
    <w:basedOn w:val="Normal"/>
    <w:next w:val="Normal"/>
    <w:link w:val="IntenseQuoteChar"/>
    <w:uiPriority w:val="30"/>
    <w:qFormat/>
    <w:rsid w:val="008C6BC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C6BC2"/>
    <w:rPr>
      <w:i/>
      <w:iCs/>
      <w:color w:val="404040" w:themeColor="text1" w:themeTint="BF"/>
    </w:rPr>
  </w:style>
  <w:style w:type="character" w:styleId="SubtleEmphasis">
    <w:name w:val="Subtle Emphasis"/>
    <w:basedOn w:val="DefaultParagraphFont"/>
    <w:uiPriority w:val="19"/>
    <w:qFormat/>
    <w:rsid w:val="008C6BC2"/>
    <w:rPr>
      <w:i/>
      <w:iCs/>
      <w:color w:val="404040" w:themeColor="text1" w:themeTint="BF"/>
    </w:rPr>
  </w:style>
  <w:style w:type="character" w:styleId="IntenseEmphasis">
    <w:name w:val="Intense Emphasis"/>
    <w:basedOn w:val="DefaultParagraphFont"/>
    <w:uiPriority w:val="21"/>
    <w:qFormat/>
    <w:rsid w:val="008C6BC2"/>
    <w:rPr>
      <w:b/>
      <w:bCs/>
      <w:i/>
      <w:iCs/>
      <w:color w:val="auto"/>
    </w:rPr>
  </w:style>
  <w:style w:type="character" w:styleId="SubtleReference">
    <w:name w:val="Subtle Reference"/>
    <w:basedOn w:val="DefaultParagraphFont"/>
    <w:uiPriority w:val="31"/>
    <w:qFormat/>
    <w:rsid w:val="008C6BC2"/>
    <w:rPr>
      <w:smallCaps/>
      <w:color w:val="404040" w:themeColor="text1" w:themeTint="BF"/>
    </w:rPr>
  </w:style>
  <w:style w:type="character" w:styleId="IntenseReference">
    <w:name w:val="Intense Reference"/>
    <w:basedOn w:val="DefaultParagraphFont"/>
    <w:uiPriority w:val="32"/>
    <w:qFormat/>
    <w:rsid w:val="008C6BC2"/>
    <w:rPr>
      <w:b/>
      <w:bCs/>
      <w:smallCaps/>
      <w:color w:val="404040" w:themeColor="text1" w:themeTint="BF"/>
      <w:spacing w:val="5"/>
    </w:rPr>
  </w:style>
  <w:style w:type="character" w:styleId="BookTitle">
    <w:name w:val="Book Title"/>
    <w:basedOn w:val="DefaultParagraphFont"/>
    <w:uiPriority w:val="33"/>
    <w:qFormat/>
    <w:rsid w:val="008C6BC2"/>
    <w:rPr>
      <w:b/>
      <w:bCs/>
      <w:i/>
      <w:iCs/>
      <w:spacing w:val="5"/>
    </w:rPr>
  </w:style>
  <w:style w:type="paragraph" w:styleId="TOCHeading">
    <w:name w:val="TOC Heading"/>
    <w:basedOn w:val="Heading1"/>
    <w:next w:val="Normal"/>
    <w:uiPriority w:val="39"/>
    <w:semiHidden/>
    <w:unhideWhenUsed/>
    <w:qFormat/>
    <w:rsid w:val="008C6BC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paragraph" w:styleId="BodyText">
    <w:name w:val="Body Text"/>
    <w:basedOn w:val="Normal"/>
    <w:link w:val="BodyTextChar"/>
    <w:uiPriority w:val="1"/>
    <w:qFormat/>
    <w:rsid w:val="001F304C"/>
    <w:pPr>
      <w:autoSpaceDE w:val="0"/>
      <w:autoSpaceDN w:val="0"/>
      <w:adjustRightInd w:val="0"/>
      <w:spacing w:after="0" w:line="178" w:lineRule="exact"/>
      <w:ind w:left="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1F304C"/>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130">
      <w:bodyDiv w:val="1"/>
      <w:marLeft w:val="0"/>
      <w:marRight w:val="0"/>
      <w:marTop w:val="0"/>
      <w:marBottom w:val="0"/>
      <w:divBdr>
        <w:top w:val="none" w:sz="0" w:space="0" w:color="auto"/>
        <w:left w:val="none" w:sz="0" w:space="0" w:color="auto"/>
        <w:bottom w:val="none" w:sz="0" w:space="0" w:color="auto"/>
        <w:right w:val="none" w:sz="0" w:space="0" w:color="auto"/>
      </w:divBdr>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420856">
      <w:bodyDiv w:val="1"/>
      <w:marLeft w:val="0"/>
      <w:marRight w:val="0"/>
      <w:marTop w:val="0"/>
      <w:marBottom w:val="0"/>
      <w:divBdr>
        <w:top w:val="none" w:sz="0" w:space="0" w:color="auto"/>
        <w:left w:val="none" w:sz="0" w:space="0" w:color="auto"/>
        <w:bottom w:val="none" w:sz="0" w:space="0" w:color="auto"/>
        <w:right w:val="none" w:sz="0" w:space="0" w:color="auto"/>
      </w:divBdr>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0473885">
      <w:bodyDiv w:val="1"/>
      <w:marLeft w:val="0"/>
      <w:marRight w:val="0"/>
      <w:marTop w:val="0"/>
      <w:marBottom w:val="0"/>
      <w:divBdr>
        <w:top w:val="none" w:sz="0" w:space="0" w:color="auto"/>
        <w:left w:val="none" w:sz="0" w:space="0" w:color="auto"/>
        <w:bottom w:val="none" w:sz="0" w:space="0" w:color="auto"/>
        <w:right w:val="none" w:sz="0" w:space="0" w:color="auto"/>
      </w:divBdr>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ycnet.apa.org/doi/10.1037/lat000015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9067</Words>
  <Characters>51683</Characters>
  <Application>Microsoft Office Word</Application>
  <DocSecurity>8</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50</cp:revision>
  <dcterms:created xsi:type="dcterms:W3CDTF">2021-11-22T17:20:00Z</dcterms:created>
  <dcterms:modified xsi:type="dcterms:W3CDTF">2021-12-09T19:08:00Z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