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65B1C" w14:textId="77777777" w:rsidR="00FB3A37" w:rsidRPr="00504FA5" w:rsidRDefault="00D37037" w:rsidP="00E71C5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</w:pPr>
      <w:r w:rsidRPr="00504FA5"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>Anthony</w:t>
      </w:r>
      <w:r w:rsidR="00E71C56" w:rsidRPr="00504FA5"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>’</w:t>
      </w:r>
      <w:r w:rsidRPr="00504FA5"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>s Silence: The</w:t>
      </w:r>
      <w:r w:rsidR="00E71C56" w:rsidRPr="00504FA5"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 xml:space="preserve"> </w:t>
      </w:r>
      <w:r w:rsidRPr="00504FA5"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>Intersection of Sex, Gender and</w:t>
      </w:r>
      <w:r w:rsidR="00E71C56" w:rsidRPr="00504FA5"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 xml:space="preserve"> </w:t>
      </w:r>
      <w:r w:rsidRPr="00504FA5"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 xml:space="preserve">Race in </w:t>
      </w:r>
      <w:r w:rsidRPr="00504FA5">
        <w:rPr>
          <w:rFonts w:ascii="Times New Roman" w:hAnsi="Times New Roman" w:cs="Times New Roman"/>
          <w:b/>
          <w:bCs/>
          <w:i/>
          <w:color w:val="000000" w:themeColor="text1"/>
          <w:sz w:val="44"/>
          <w:szCs w:val="44"/>
        </w:rPr>
        <w:t>Designing Women</w:t>
      </w:r>
    </w:p>
    <w:p w14:paraId="5691FA91" w14:textId="77777777" w:rsidR="00E71C56" w:rsidRPr="00504FA5" w:rsidRDefault="00E71C56" w:rsidP="00E71C5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</w:pPr>
    </w:p>
    <w:p w14:paraId="39466BC3" w14:textId="77777777" w:rsidR="00D37037" w:rsidRPr="00504FA5" w:rsidRDefault="00D37037" w:rsidP="00D3703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b/>
          <w:bCs/>
          <w:color w:val="000000" w:themeColor="text1"/>
          <w:sz w:val="22"/>
        </w:rPr>
        <w:t xml:space="preserve">Helen M. </w:t>
      </w:r>
      <w:proofErr w:type="spellStart"/>
      <w:r w:rsidRPr="00504FA5">
        <w:rPr>
          <w:rFonts w:ascii="Times New Roman" w:hAnsi="Times New Roman" w:cs="Times New Roman"/>
          <w:b/>
          <w:bCs/>
          <w:color w:val="000000" w:themeColor="text1"/>
          <w:sz w:val="22"/>
        </w:rPr>
        <w:t>Sterk</w:t>
      </w:r>
      <w:proofErr w:type="spellEnd"/>
    </w:p>
    <w:p w14:paraId="5DA0DE92" w14:textId="77777777" w:rsidR="00D37037" w:rsidRPr="00504FA5" w:rsidRDefault="00D37037" w:rsidP="00D37037">
      <w:pPr>
        <w:rPr>
          <w:rFonts w:ascii="Times New Roman" w:hAnsi="Times New Roman" w:cs="Times New Roman"/>
          <w:b/>
          <w:bCs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b/>
          <w:bCs/>
          <w:color w:val="000000" w:themeColor="text1"/>
          <w:sz w:val="22"/>
        </w:rPr>
        <w:t>Lynn H. Turner</w:t>
      </w:r>
    </w:p>
    <w:p w14:paraId="7F8772DB" w14:textId="77777777" w:rsidR="00D37037" w:rsidRPr="00504FA5" w:rsidRDefault="00D37037" w:rsidP="00D3703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Editor's Note: Lynn H. Turner and Helen 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examine one small part of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the Designing Women script, a short speech by Anthony (one of the series'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regulars). They argue that, as the only African American male in the series,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Anthony was in a unique position to examine the gender and race issues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posed by the Thomas/Hill hearings, and by the Thomas nomination itself.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Calling on writings by </w:t>
      </w:r>
      <w:proofErr w:type="gram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African .American</w:t>
      </w:r>
      <w:proofErr w:type="gram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scholars commenting on the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Senate hearings and on race and gender issues generally, the authors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conclude that the structure of Anthony's speech represents a missed</w:t>
      </w:r>
      <w:r w:rsidR="00E71C5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opportunity.</w:t>
      </w:r>
    </w:p>
    <w:p w14:paraId="0A4E4A60" w14:textId="77777777" w:rsidR="00E71C56" w:rsidRPr="00504FA5" w:rsidRDefault="00E71C56" w:rsidP="00D3703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 w:val="22"/>
        </w:rPr>
      </w:pPr>
    </w:p>
    <w:p w14:paraId="78880071" w14:textId="77777777" w:rsidR="00D37037" w:rsidRPr="00504FA5" w:rsidRDefault="00D37037" w:rsidP="008778B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On November 4, 1991, CBS's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Designing Women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departed from the usual</w:t>
      </w:r>
      <w:r w:rsidR="00D97A3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situation comedy format to present the strong views of its creator, Linda</w:t>
      </w:r>
      <w:r w:rsidR="00D97A3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Bloodworth-Thomason, on the gendered aspects of the Anita Hill/Clarence</w:t>
      </w:r>
      <w:r w:rsidR="00D97A3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 Senate hearings and Thomas's eventual confirmation as a Supreme</w:t>
      </w:r>
      <w:r w:rsidR="00D97A3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Court justice. In this episode, the main characters did not engage in dialogue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so much as deliver short speeches representing various feminist or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antifeminist points of view concerning the hearing, Hill's allegations, and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Thomas's responses. The cumulative effect of these speeches reinforced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Bloodworth-Thomason's thesis that Hill was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truthful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and Thomas lied.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Additionally, the episode indicted the hearings and the all-male panel of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senators. Danforth was cast as delusional, Thomas as a ham actor, Doggett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and Kennedy as dogs, Simpson as a pig, and Specter as a perjurer (Ross,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1992).</w:t>
      </w:r>
    </w:p>
    <w:p w14:paraId="1485D867" w14:textId="77777777" w:rsidR="00D37037" w:rsidRPr="00504FA5" w:rsidRDefault="00D37037" w:rsidP="008778B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However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clear the presentation of the gendered aspects of this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situation may have been, the multilayered aspects of race were ignored. This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is unfortunate because one of the main characters, Anthony, was in a prime</w:t>
      </w:r>
      <w:r w:rsidR="008778BB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position to highlight racial issues. The character of Anthony is an African</w:t>
      </w:r>
    </w:p>
    <w:p w14:paraId="6DCBA9E0" w14:textId="77777777" w:rsidR="00D37037" w:rsidRPr="00504FA5" w:rsidRDefault="00D37037" w:rsidP="00B90CF3">
      <w:pPr>
        <w:spacing w:after="0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249</w:t>
      </w:r>
    </w:p>
    <w:p w14:paraId="3940FB00" w14:textId="77777777" w:rsidR="00D37037" w:rsidRPr="00504FA5" w:rsidRDefault="00D37037" w:rsidP="00B90C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250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0CE9F5F6" w14:textId="77777777" w:rsidR="00D37037" w:rsidRPr="00504FA5" w:rsidRDefault="00D37037" w:rsidP="00D3703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American man who might have given voice to some of the racial complexity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inherent in the Hill/Thomas hearings. Instead, Anthony was silenced.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reacted to the women characters, listened to them vent their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feelings on sexual harassment, and finally spoke at some length on what he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claimed was the most important issue: Was Clarence Thomas qualified to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serve on the Supreme Court?</w:t>
      </w:r>
    </w:p>
    <w:p w14:paraId="068D925F" w14:textId="77777777" w:rsidR="00D37037" w:rsidRPr="00504FA5" w:rsidRDefault="00D37037" w:rsidP="00B90CF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Given that Anthony speaks, how can we maintain he was silenced?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Although not literally speechless, Anthony remained silent on issues that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were swirling through African American communities, issues that centered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on racial unity, pain at having "dirty linen" aired, and whether an African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 woman should put her honor before that of an African American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man.</w:t>
      </w:r>
    </w:p>
    <w:p w14:paraId="0034FC3D" w14:textId="77777777" w:rsidR="00D37037" w:rsidRPr="00504FA5" w:rsidRDefault="00D37037" w:rsidP="00B7542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i/>
          <w:iCs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Our argument depends on an analysis of the content of Anthony's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one major speech, which reflected a White feminist point of view,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contrasting that content with what it could have been-a speech more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responsive to nuances of race, gender, and sex. The analysis proceeds in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four parts: first, discussion of the White media's appropriation of the</w:t>
      </w:r>
      <w:r w:rsidR="00B90CF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Hill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>/T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homas narrative; second, exploration of the racially based possibilities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for Anthony's speech; third, exploration of the gender and racially based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possibilities; and fourth, exploration of the sex, gender, and racially based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possibilities.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On the basis of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our analysis, we contend that the character of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Anthony, in this episode, does not speak authentically as an African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 male, with all the historical and cultural baggage that entails, but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rather speaks as a mouthpiece for the Caucasian-American feminist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sensibility that informs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Designing Women.</w:t>
      </w:r>
    </w:p>
    <w:p w14:paraId="0BBD6CB5" w14:textId="77777777" w:rsidR="00D37037" w:rsidRPr="00504FA5" w:rsidRDefault="00D37037" w:rsidP="00D97A3A">
      <w:pPr>
        <w:pStyle w:val="Heading1"/>
        <w:rPr>
          <w:color w:val="000000" w:themeColor="text1"/>
        </w:rPr>
      </w:pPr>
      <w:r w:rsidRPr="00504FA5">
        <w:rPr>
          <w:color w:val="000000" w:themeColor="text1"/>
        </w:rPr>
        <w:lastRenderedPageBreak/>
        <w:t>THE NARRATIVE'S RHETORICAL APPROPRIATION</w:t>
      </w:r>
    </w:p>
    <w:p w14:paraId="7D00063C" w14:textId="77777777" w:rsidR="00D37037" w:rsidRPr="00504FA5" w:rsidRDefault="00D37037" w:rsidP="00B7542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The Hi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>ll/T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homas hearings provided Americans with a powerful, rhetorical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drama. What started out behind the scenes on September 12, 1991, with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Hill's behind-closed-doors testimony about Clarence Thomas's treatment of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her, quickly moved to center stage on October 6 when National Public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Radio and New York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Newsday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scooped their competition by publicizing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Anita Hill's allegations. On October 11, Thomas's hearing was reopened,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carried live on all the networks, as well as C-SPAN (Spencer, 1991). The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hearing carried all the necessary marks of a good rhetorical drama,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including a public playing space, conflict, intrigue, morality and a clash of</w:t>
      </w:r>
      <w:r w:rsidR="00B7542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perspectives that demanded audience involvement (Fisher, 1989).</w:t>
      </w:r>
    </w:p>
    <w:p w14:paraId="04FC3A01" w14:textId="77777777" w:rsidR="00D37037" w:rsidRPr="00504FA5" w:rsidRDefault="00D37037" w:rsidP="00092BD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Thomas took the stage first, denying the allegations and arguing his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reputation had been impugned. He took issue with the publicity of the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allegations, saying, "As if the confidential allegations themselves were not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enough, this apparently calculated public disclosure has caused me,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my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</w:p>
    <w:p w14:paraId="5B49F9A0" w14:textId="77777777" w:rsidR="007032CB" w:rsidRPr="00504FA5" w:rsidRDefault="007032CB" w:rsidP="00092B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133BEC">
        <w:rPr>
          <w:rFonts w:ascii="Times New Roman" w:hAnsi="Times New Roman" w:cs="Times New Roman"/>
          <w:i/>
          <w:color w:val="000000" w:themeColor="text1"/>
          <w:sz w:val="22"/>
        </w:rPr>
        <w:t>Anthony's Silence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251</w:t>
      </w:r>
    </w:p>
    <w:p w14:paraId="3FFA50FB" w14:textId="77777777" w:rsidR="007032CB" w:rsidRPr="00504FA5" w:rsidRDefault="007032CB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family, and my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friends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enormous pain and great harm" (U. S. Senate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Committee, 199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>1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, Part 4, p. 8). By calling Hill's disclosure "calculated,"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 placed the disclosure in the category of a conspiracy. He further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highlighted the conspiratorial interpretation of events by implying that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powerful White interests were behind Hill's testimony. With a certain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amount of passion, he asserted, "I will not provide the rope for my own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lynching, or for further humiliation. I am not going to engage in discussions,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nor wi1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>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I submit to roving questions, of what goes on in the most intimate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parts of my private life, or the sanctity of my bedroom. These are the most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intimate parts of my privacy, and they will remain just that: private" (p. 10).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>Thr</w:t>
      </w:r>
      <w:r w:rsidR="00363FE5" w:rsidRPr="00504FA5">
        <w:rPr>
          <w:rFonts w:ascii="Times New Roman" w:eastAsia="HiddenHorzOCR" w:hAnsi="Times New Roman" w:cs="Times New Roman"/>
          <w:color w:val="000000" w:themeColor="text1"/>
          <w:sz w:val="22"/>
        </w:rPr>
        <w:t>o</w:t>
      </w:r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 xml:space="preserve">ugh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naming the hearings as a kind of lynching, Thomas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reminded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.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listeners of the ugly violence White men perpetrated on Black men over at</w:t>
      </w:r>
      <w:r w:rsidR="00092BD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least the last 1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>00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years.</w:t>
      </w:r>
    </w:p>
    <w:p w14:paraId="01018F92" w14:textId="539E51F2" w:rsidR="007032CB" w:rsidRPr="00504FA5" w:rsidRDefault="007032CB" w:rsidP="00363FE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Close on the heels of this impassioned, angry address by the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accused judge,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Arrita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Hi</w:t>
      </w:r>
      <w:r w:rsidR="000A7987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spoke to the Judiciary Committee and, through the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mass media, to all of America. Her story did not rely on the insidious power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 conspiracy theories for its spine. Instead, she told a story of one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employee, a woman, embarrassed by the disclosures and comments of one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employer, a man:</w:t>
      </w:r>
    </w:p>
    <w:p w14:paraId="33ED741C" w14:textId="77777777" w:rsidR="00BC29F1" w:rsidRPr="00504FA5" w:rsidRDefault="00BC29F1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378C261F" w14:textId="77777777" w:rsidR="007032CB" w:rsidRPr="00504FA5" w:rsidRDefault="007032CB" w:rsidP="00BC29F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My working relationship became even more strained when Judge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 began to use work situations to discuss sex .... He spoke about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acts that he had seen in pornographic films involving such matters as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 having sex with animals and films showing group sex or rape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scenes. He talked about pornographic materials depicting individuals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with large penises or large breasts involving various sex acts. (p. 37)</w:t>
      </w:r>
    </w:p>
    <w:p w14:paraId="169F5156" w14:textId="77777777" w:rsidR="00BC29F1" w:rsidRPr="00504FA5" w:rsidRDefault="00BC29F1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790018C5" w14:textId="77777777" w:rsidR="007032CB" w:rsidRPr="00504FA5" w:rsidRDefault="007032CB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Hill concluded her remarks by telling the committee, and the larger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audience, that Thomas "made a comment that I vividly remember. He said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if I ever told anyone of his behavior that it would ruin his career" (p.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39). She ended her prepared testimony by saying she would have preferred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to keep silent, "But when I was asked by a representative of this committee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to report my experience, I felt I had to tell the truth. I could not keep silent"</w:t>
      </w:r>
      <w:r w:rsidR="00363FE5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(p.40).</w:t>
      </w:r>
    </w:p>
    <w:p w14:paraId="13C3372E" w14:textId="77777777" w:rsidR="00D37037" w:rsidRPr="00504FA5" w:rsidRDefault="007032CB" w:rsidP="005B1AB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In contrast to Thomas, Hill offered no interpretation of or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framework for her story. She placed it in no cultural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context, but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presented it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as a "report" of her experience, for the audience to take up and analyze.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Later, in an interview with Jill Nelson for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Essence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magazine, Hill did place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 racial frame around her testimony. She said she recognized the harassment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 Black women as a betrayal of the race, a recognition not widely shared in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African American communities struggling to establish honor for Black men.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Furthermore, she noted, "[As] African American </w:t>
      </w:r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 xml:space="preserve">women~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we are always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trained to value our community, even at the expense of ourselves, and so we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attempt to protect · the African American community" (Nelson, 1992, p.</w:t>
      </w:r>
    </w:p>
    <w:p w14:paraId="43288BB2" w14:textId="77777777" w:rsidR="007032CB" w:rsidRPr="00504FA5" w:rsidRDefault="007032CB" w:rsidP="005B1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252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0583F70C" w14:textId="2C2284F5" w:rsidR="007032CB" w:rsidRPr="00504FA5" w:rsidRDefault="007032CB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119). However, in her public testimony before the Judicial Committee, Hill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neglected this racial analysis. In so doing, Hi</w:t>
      </w:r>
      <w:r w:rsidR="000A7987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effectively re1inquished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control over her story and invited the firestorm of controversy that followed.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contrast between Hi</w:t>
      </w:r>
      <w:r w:rsidR="000A7987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's and Thomas' stories could hardly have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been greater. As told by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lastRenderedPageBreak/>
        <w:t>Thomas, the al1egations were prompted by White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conspiracy; as told by Hill, the allegations concerned only a female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employee and her male boss. When picked up by the White media, the story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was interpreted as one of sexual harassment, an employer taking advantage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 an employee, a story of gender and power or a story of a woman crying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"Wolf!" to bring down a man (see, e.g., "A not very funny thing," 1991;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Boo, 1991; Carlson, 1991; Gibbs, 1991;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Marton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, 1991;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Painton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1991;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Salholz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, Kaplan, &amp; Clift, 1991; Stone, 1991;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Taubin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1991). These cultural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frames were legitimated by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Hill's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testimony. However, as interpreted by the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Black media, the stories were those prompted by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Thomas's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testimony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stories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 negative effects of White stereotypes of Black sexuality (as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animalistic and unbridled), of Black men's unjust accusations and</w:t>
      </w:r>
      <w:r w:rsidR="005B1AB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spellStart"/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>lynchings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, and stories of the problems for Black women and men if 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>Black women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do not "put the race first" (see, e.g., Al1en, 1991; Boyd, 1991; Bray,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1991; "Clarence Thomas and Anita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HiH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," 1992; Crawford, 1991; Gillespie,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1993; Guy-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Sheftal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, 1991; Jeffers, 1991;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Malveaux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1991; Morrison, 1992;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Nelson, 1992;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Ransby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1991; Simmons, Nelson, Chamber, &amp; Cox, 1992;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"Sisters in defense," 1992). Clarence Thomas raised the issue of race in his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defense; Anita Hill remained focused on the relationship she shared with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Thomas. For two reasons, her perspective dominated the White media. First,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because her focus could more easily be expanded into a broader cu1tural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focus on sexual harassment, something that crosses racial lines, her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interpretation found greater media play. Second, because her interpretation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al10ws the frame of liberal, democratic ideology to be placed on the story</w:t>
      </w:r>
      <w:r w:rsidR="00865EBD" w:rsidRPr="00504FA5">
        <w:rPr>
          <w:rFonts w:ascii="Times New Roman" w:hAnsi="Times New Roman" w:cs="Times New Roman"/>
          <w:color w:val="000000" w:themeColor="text1"/>
          <w:sz w:val="22"/>
        </w:rPr>
        <w:t>--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frame that gives presence to discussions of individual rights, a frame used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to good effect by White feminists who have brought about legal progress for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women-her interpretation met the understanding of a White, rights</w:t>
      </w:r>
      <w:r w:rsidR="00865EBD" w:rsidRPr="00504FA5">
        <w:rPr>
          <w:rFonts w:ascii="Times New Roman" w:hAnsi="Times New Roman" w:cs="Times New Roman"/>
          <w:color w:val="000000" w:themeColor="text1"/>
          <w:sz w:val="22"/>
        </w:rPr>
        <w:t>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conscious</w:t>
      </w:r>
      <w:r w:rsidR="00E84279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cu1ture.</w:t>
      </w:r>
    </w:p>
    <w:p w14:paraId="32A9307F" w14:textId="3C8D1BB6" w:rsidR="007032CB" w:rsidRPr="00504FA5" w:rsidRDefault="007032CB" w:rsidP="00B30CC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Issues surrounding sexual harassment are important, but telling</w:t>
      </w:r>
      <w:r w:rsidR="00865EBD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stories featuring harassment alone strips this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particular case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of its</w:t>
      </w:r>
      <w:r w:rsidR="00865EBD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complexity. Anita Hi</w:t>
      </w:r>
      <w:r w:rsidR="00BC29F1" w:rsidRPr="00504FA5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and Clarence Thomas were both Black; both held</w:t>
      </w:r>
      <w:r w:rsidR="00865EBD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privileged places in a White-dominated society. Treated as a heroine by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many in the mainstream media, such as </w:t>
      </w:r>
      <w:proofErr w:type="spellStart"/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>th~t</w:t>
      </w:r>
      <w:proofErr w:type="spellEnd"/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represented by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Newsweek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and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Time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magazines, Hi</w:t>
      </w:r>
      <w:r w:rsidR="00E90BD8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was not accepted wholeheartedly as a heroine in the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Black media. As the rest of this chapter will show, many African American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people, especial1y men, but also women, saw this entire episode as shameful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for the race. Concern for one's race leads to a consciousness of personal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responsibility for the good of the group over individual rights. Many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African Americans believed the good of the race would be served by Hi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's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public silence. If she had problems with Thomas's behavior, they thought,</w:t>
      </w:r>
    </w:p>
    <w:p w14:paraId="1FB64743" w14:textId="77777777" w:rsidR="007032CB" w:rsidRPr="00504FA5" w:rsidRDefault="007032CB" w:rsidP="00B30C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133BEC">
        <w:rPr>
          <w:rFonts w:ascii="Times New Roman" w:hAnsi="Times New Roman" w:cs="Times New Roman"/>
          <w:i/>
          <w:color w:val="000000" w:themeColor="text1"/>
          <w:sz w:val="22"/>
        </w:rPr>
        <w:t>Anthony's Silence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253</w:t>
      </w:r>
    </w:p>
    <w:p w14:paraId="2ED8A7FD" w14:textId="77777777" w:rsidR="007032CB" w:rsidRPr="00504FA5" w:rsidRDefault="007032CB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she should have dealt with him in private. For example, Shahrazad Ali,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author of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Blackman s Guide to Understanding the 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Blackwoman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was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quoted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in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Essence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magazine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as saying, "I do not think that a Black woman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under any circumstances should report any kind of sexual issue to a White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man, unless it's rape or something like that. ... It's just a sham, because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every Black woman in America knows how to get a Black man off her"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(Simmons et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aI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., 1992, p. 59). Although Ali's statement may sound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somewhat crude, it spoke for more than just one person. Issues of shame for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African Americans, of pressures on 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>Hill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to remain silent so a Black man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could sit on the bench of the highest court in the land, and of racial unity</w:t>
      </w:r>
      <w:r w:rsidR="00B30CC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were not issues that found voice in media normal1y heard, read, or viewed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by a broad range of White Americans.</w:t>
      </w:r>
    </w:p>
    <w:p w14:paraId="48B155CC" w14:textId="77777777" w:rsidR="007032CB" w:rsidRPr="00504FA5" w:rsidRDefault="007032CB" w:rsidP="0005058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Because these issues were muted in American mass media, public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decision making was impoverished. As Walter Fisher (1989) has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established, 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>public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decisions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>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-political, social, cultural, and religious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>--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depend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upon stories to give common folk the "good reasons" to make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decisions. When people watched the hearings on television or discussed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them around the water cooler at work or at the dinner table, they weighed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stories. Hill's story was reinforced by stories of other women who had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been harassed, such as in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Newsweek's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feature, "All Too Common a Story."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Thomas's claim of racial bias, and corresponding questions of why Black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 should continue to put themselves behind Black men, rarely were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featured. As a result, the three ingredients of race, sex, and gender were not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mixed together in a search for "good reasons" to make decisions about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harassment or about racial preference. Instead, gender usually was distilled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out and served up as the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key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"good reason" to use in deciding how men and</w:t>
      </w:r>
      <w:r w:rsidR="0005058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spellStart"/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>wom~n</w:t>
      </w:r>
      <w:proofErr w:type="spellEnd"/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should relate to one another.</w:t>
      </w:r>
    </w:p>
    <w:p w14:paraId="5635587C" w14:textId="77777777" w:rsidR="007032CB" w:rsidRPr="00504FA5" w:rsidRDefault="007032CB" w:rsidP="00047756">
      <w:pPr>
        <w:pStyle w:val="Heading1"/>
        <w:rPr>
          <w:color w:val="000000" w:themeColor="text1"/>
        </w:rPr>
      </w:pPr>
      <w:r w:rsidRPr="00504FA5">
        <w:rPr>
          <w:color w:val="000000" w:themeColor="text1"/>
        </w:rPr>
        <w:lastRenderedPageBreak/>
        <w:t>POSSIBILITIES FOR RACIALLY BASED SPEECH</w:t>
      </w:r>
    </w:p>
    <w:p w14:paraId="57908408" w14:textId="77777777" w:rsidR="007032CB" w:rsidRPr="00504FA5" w:rsidRDefault="007032CB" w:rsidP="00AF50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Before the Clarence Thomas</w:t>
      </w:r>
      <w:r w:rsidR="00047756" w:rsidRPr="00504FA5">
        <w:rPr>
          <w:rFonts w:ascii="Times New Roman" w:hAnsi="Times New Roman" w:cs="Times New Roman"/>
          <w:color w:val="000000" w:themeColor="text1"/>
          <w:sz w:val="22"/>
        </w:rPr>
        <w:t>/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Anita Hill hearings took place, many African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Americans were concerned with Thomas's qualifications for the Supreme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Court. This concern was focused on the question of whether Thomas was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equipped, intellectually or ideologically, to give voice to the traditional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values of the African American community. Beverly Guy-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Sheftal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(1991), in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 Scholar,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discussed the fears the Black community shared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including:</w:t>
      </w:r>
    </w:p>
    <w:p w14:paraId="5E2611D4" w14:textId="77777777" w:rsidR="00047756" w:rsidRPr="00504FA5" w:rsidRDefault="00047756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7586D392" w14:textId="77777777" w:rsidR="007032CB" w:rsidRPr="00504FA5" w:rsidRDefault="007032CB" w:rsidP="00AF5068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his unfitness to serve on the High Court due to inadequate judicial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experience and overall mediocrity; his views on affirmative action and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abortion; his record at the EEOC; his disavowal of deeply held,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frequently stated right-wing views; his portrayal of his hard-working,</w:t>
      </w:r>
    </w:p>
    <w:p w14:paraId="506F74E9" w14:textId="77777777" w:rsidR="007032CB" w:rsidRPr="00504FA5" w:rsidRDefault="007032CB" w:rsidP="00AF50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254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5EE4E5A2" w14:textId="77777777" w:rsidR="007032CB" w:rsidRPr="00504FA5" w:rsidRDefault="007032CB" w:rsidP="0004775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supportive sister as a disgusting welfare mother; and his obvious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lying-he claims not to have read a report opposing abortion which he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signed, or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having ever discussed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Roe v. Wade.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(p. 35)</w:t>
      </w:r>
    </w:p>
    <w:p w14:paraId="0E4A73A3" w14:textId="77777777" w:rsidR="00047756" w:rsidRPr="00504FA5" w:rsidRDefault="00047756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5942EA63" w14:textId="77777777" w:rsidR="007032CB" w:rsidRPr="00504FA5" w:rsidRDefault="007032CB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In media sensitive to African American concerns, such as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Black Enterprise</w:t>
      </w:r>
      <w:r w:rsidR="00AF5068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magazine and the PBS documentary produced by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Ofra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Bikel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"Clarence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 and Anita Hill: Public Hearings, Private Pain," two conflicting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desires emerged. First, African Americans keenly felt the need for one of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their own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race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to be represented on the Supreme Court. Second, they wanted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African American interests-which were not seen as fitting into a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conservative political agenda-to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enter into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Court decisions. They were not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sure that Clarence Thomas, even though Black, was the person to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accomplish this.</w:t>
      </w:r>
    </w:p>
    <w:p w14:paraId="7726BE50" w14:textId="77777777" w:rsidR="007032CB" w:rsidRPr="00504FA5" w:rsidRDefault="007032CB" w:rsidP="00AF50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In early July 1991, the N.A.A.C.P. met one week after President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Bush nominated Thomas. Thomas's race did matter to them and so did his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conservative views. The N.A.A.C.P. decided to postpone their decision for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six weeks. During that crucial time period, John Danforth worked the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Senate for Thomas's approval ("Clarence Thomas and Anita Hill," 1992).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Congressional Black Caucus went on record as being opposed to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Thomas. They said, "We cannot ignore or excuse Clarence Thomas's record,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views and values merely because he is Black. His view of constitutional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rights as he has articulated them as jurist, administrator and before the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nation's press are inconsistent with the interests of the people we serve"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(Foote, 1991). Thomas's race mattered deeply to many African Americans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because, as Roger Wilkins of George Mason University said, a "perverse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kind of racism" ("Clarence Thomas and Anita Hill," 1992) was expressed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by nominating a conservative African American with little judicial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experience as a Supreme Court justice.</w:t>
      </w:r>
    </w:p>
    <w:p w14:paraId="246007EA" w14:textId="77777777" w:rsidR="007032CB" w:rsidRPr="00504FA5" w:rsidRDefault="007032CB" w:rsidP="00AF50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Anthony's one sustained speech in the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Designing Women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episode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devoted to the Hill/Thomas hearings spoke to Thomas's limited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qualifications and the insult that was delivered to African Americans by</w:t>
      </w:r>
      <w:r w:rsidR="00AF506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choosing someone who had black skin, but lacked credentials:</w:t>
      </w:r>
    </w:p>
    <w:p w14:paraId="131C516F" w14:textId="77777777" w:rsidR="00353ECF" w:rsidRPr="00504FA5" w:rsidRDefault="00353ECF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406CD65B" w14:textId="77777777" w:rsidR="00353ECF" w:rsidRPr="00504FA5" w:rsidRDefault="007032CB" w:rsidP="00353EC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You know what bothers me about the whole thing? Everyone has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gotten off the issues: Is Clarence Thomas qualified to be a Supreme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Court justice? All I know is that the American Bar Association voted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him barely qualified. For the first time in history, two committee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members voted not qualified. Now, I am a Black law student and I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don't need fourteen White men to tell me how remarkable it is for this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man to pull himself up from his roots. But that does not a Supreme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Court justice make. Now what amazes me is how all those senators sat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there and let him make that speech about how all these liberal groups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are persecuting him because he's Black, when it is painfully obvious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is the only thing that they like about him. (Bloodworth-Thomason,</w:t>
      </w:r>
      <w:r w:rsidR="00353ECF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1991)</w:t>
      </w:r>
    </w:p>
    <w:p w14:paraId="2A684264" w14:textId="77777777" w:rsidR="007032CB" w:rsidRPr="00504FA5" w:rsidRDefault="007032CB" w:rsidP="00BD68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F11C6D">
        <w:rPr>
          <w:rFonts w:ascii="Times New Roman" w:hAnsi="Times New Roman" w:cs="Times New Roman"/>
          <w:i/>
          <w:color w:val="000000" w:themeColor="text1"/>
          <w:sz w:val="22"/>
        </w:rPr>
        <w:t>Anthony's Silence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255</w:t>
      </w:r>
    </w:p>
    <w:p w14:paraId="7CC7CE4A" w14:textId="77777777" w:rsidR="007032CB" w:rsidRPr="00504FA5" w:rsidRDefault="007032CB" w:rsidP="00BD680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However, this was not the speech of a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raciaHy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conscious person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who had witnessed the Hi11ffhomas hearings. The speech echoes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concerns</w:t>
      </w:r>
      <w:proofErr w:type="gramEnd"/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the White community had about Thomas, while ignoring the issues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voiced by African Americans. Even though Anthony stated he, too, is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Black, Anthony's reference to race was painfully superficial. If he were to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speak as a racially conscious person, he might have focused on Thomas's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ideological positions and commented on how they dashed with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lastRenderedPageBreak/>
        <w:t>traditional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African American concerns. Furthermore, Anthony's speech addressed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neither of the issues stated earlier as important to his race-getting a Black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person on the court and getting Black interests a place on the table. Anthony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did, not support Thomas in order to get a Black person on the court, and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did not speak to Thomas's anti-Black ideology. As a result,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did not make an authentic, racially nuanced statement.</w:t>
      </w:r>
    </w:p>
    <w:p w14:paraId="1841F687" w14:textId="77777777" w:rsidR="007032CB" w:rsidRPr="00504FA5" w:rsidRDefault="007032CB" w:rsidP="00353ECF">
      <w:pPr>
        <w:pStyle w:val="Heading1"/>
        <w:rPr>
          <w:color w:val="000000" w:themeColor="text1"/>
        </w:rPr>
      </w:pPr>
      <w:r w:rsidRPr="00504FA5">
        <w:rPr>
          <w:color w:val="000000" w:themeColor="text1"/>
        </w:rPr>
        <w:t>POSSIBILITIES FOR RACIAL AND GENDER BASED SPEECH</w:t>
      </w:r>
    </w:p>
    <w:p w14:paraId="359B6672" w14:textId="77777777" w:rsidR="007032CB" w:rsidRPr="00504FA5" w:rsidRDefault="007032CB" w:rsidP="00BD680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During the Hill/Thomas hearings and subsequent to them, within the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African American community, the relatively straightforward issue of race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became complicated by its juxtaposition with issues of gender (gender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referring to the cultural construction of "woman" and "man"). Several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gender issues emerged during and shortly after the hearings, including Black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women's recognition of the relatively low status of women within African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 social systems (and the perceived need for African American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 to submerge their self-interests for the "good of the race") and the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anger felt by Black men, as well as some women, over a Black woman</w:t>
      </w:r>
      <w:r w:rsidR="00BD6804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being used to bring down a Black man. ,</w:t>
      </w:r>
    </w:p>
    <w:p w14:paraId="25B5EF3E" w14:textId="77777777" w:rsidR="007032CB" w:rsidRPr="00504FA5" w:rsidRDefault="007032CB" w:rsidP="00F704C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These gender issues differ significantly from those affecting White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>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Americans.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White-Americans enjoy racial privilege in America; being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White is considered the norm, whereas other races are framed culturally and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literally as "the other." In America, where many White-Americans still feel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"White makes right," and many African Americans believe when White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>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Americans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refer to "justice" they mean "just-us," another layer of power,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over and above patriarchal power, is imposed on gender relations. Race adds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complexity to gender in that African Americans feel obliged to act in a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united way in order to make progress in a White-dominated culture. What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this means for African American women is that they feel a pressure to put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their men's good ahead of their own, at least until racial equality is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achieved. At that time, women's autonomy and authority can be given fuller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attention (hooks, 1989, 1990; Walker, 1983).</w:t>
      </w:r>
    </w:p>
    <w:p w14:paraId="4FA7F078" w14:textId="77777777" w:rsidR="007032CB" w:rsidRPr="00504FA5" w:rsidRDefault="007032CB" w:rsidP="00F704C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In some very compelling ways, African American women, feminist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and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nonfeminist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alike, are caught between a rock and a hard place. They see</w:t>
      </w:r>
      <w:r w:rsidR="00F704C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their future in society as bound together with the future of African American</w:t>
      </w:r>
    </w:p>
    <w:p w14:paraId="78C1085A" w14:textId="77777777" w:rsidR="007032CB" w:rsidRPr="00504FA5" w:rsidRDefault="007032CB" w:rsidP="00883D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256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206A5FF4" w14:textId="4F0D69E2" w:rsidR="007032CB" w:rsidRPr="00504FA5" w:rsidRDefault="007032CB" w:rsidP="007032C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men in a way quite unlike White-American women, who tend to view their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future good as somewhat independent from the future good of White men.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For many White feminists, the only way to achieve empowerment is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through the dismantling of the White male power structure. However, for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African American women, acting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responsibly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for communal good holds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higher value than their acting to gain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rights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as individuals. Rosemary Bray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(1991) says of the sacrifice made willingly by Black women, that it "has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been an unspoken promise to our people; it has made us partners with Black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men in a way White women and men cannot know" (p. 94). At least one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outcome of being in partnership with Black men has been Black women's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silence on misogyny within African American communities. Quoted in an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Essence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article surveying 21 influential African Americans, Ralph Wiley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indicated his displeasure with Anita Hill for choosing her individual rights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over the good of the race: "But the Black women I really talked to, do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business with, whose opinions I respect or have had past relations with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refused to take that quantum leap into 'Well, we're women first.' They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seemed to understand the relationship of their negritude to this whole thing"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(Simmons et a1., 1992, p. 92). More obliquely, yet just as surely, Joseph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Perkins, editorial writer for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San Diego Union,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suggested that Hi</w:t>
      </w:r>
      <w:r w:rsidR="00DC36CD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had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betrayed her race. That most Black women believed Thomas over 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>Hill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,</w:t>
      </w:r>
      <w:r w:rsidR="00883DE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Perkins asserted, suggests that they "brought a certain level of objectivity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and detachment" to the issue (Simmons et a1., 1992, p. 92). No truly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"objective" and "detached" Black woman could possibly believe another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Black woman's accusations against a Black man.</w:t>
      </w:r>
    </w:p>
    <w:p w14:paraId="2BEFE5D7" w14:textId="77777777" w:rsidR="007032CB" w:rsidRPr="00504FA5" w:rsidRDefault="007032CB" w:rsidP="0093698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Although African American women voluntarily, for the most part,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have linked their fortunes with African American men, many feel frustration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their choice is not given honor within their culture. Gillespie (1993)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lamented that "we women have routinely been expected to put our men first,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no matter what. But many of us are also painfully conscious of the way that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misogyny in our community is often both heightened and disguised under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banner of racial consciousness" (p. 80). Some African American women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called members of their community to account, using the Hill/Thomas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hearings as an opportunity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lastRenderedPageBreak/>
        <w:t>to argue for the personhood of women, as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deserving of liberation and respect as Black men. Thus,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Ransby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(1991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) .</w:t>
      </w:r>
      <w:proofErr w:type="gramEnd"/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argued for "an agenda that recognizes the personhood of all African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 people, and which recognizes that for more than half of the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population, liberation also means fighting against the sexist and misogynist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culture which affects us as Black women" '(po 83). The "trashing" of Anita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Hill within African American communities gave presence to the risk to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personal reputation, honor, and loss of group status a Black woman might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face if she "betrayed" the race.</w:t>
      </w:r>
    </w:p>
    <w:p w14:paraId="2D51268C" w14:textId="77777777" w:rsidR="007032CB" w:rsidRPr="00504FA5" w:rsidRDefault="007032CB" w:rsidP="0093698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Although Black women chafed at having to bear indignities in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silence for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racial .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good, Black men were angered at being brought low by a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Black woman, one of their own. Joseph Perkins compared the Thomas case</w:t>
      </w:r>
    </w:p>
    <w:p w14:paraId="1D40A09A" w14:textId="77777777" w:rsidR="00FE6F3C" w:rsidRPr="00504FA5" w:rsidRDefault="00FE6F3C" w:rsidP="009369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F11C6D">
        <w:rPr>
          <w:rFonts w:ascii="Times New Roman" w:hAnsi="Times New Roman" w:cs="Times New Roman"/>
          <w:i/>
          <w:color w:val="000000" w:themeColor="text1"/>
          <w:sz w:val="22"/>
        </w:rPr>
        <w:t>Anthony's Silence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257</w:t>
      </w:r>
    </w:p>
    <w:p w14:paraId="535E0252" w14:textId="77777777" w:rsidR="00FE6F3C" w:rsidRPr="00504FA5" w:rsidRDefault="00FE6F3C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with that of DC Mayor Marion Barry, for in both scenarios "a Black woman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was used to bring down a Black man" (Simmons et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aI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., 1992, p. 92). The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Black men interviewed by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Ofra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Bikel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for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Frontline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agreed that they were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"against what she did for harmony's sake, for the sake of peace and pride"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("Clarence Thomas and Anita Hill," 1992). Anita Hill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was seen as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breaking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rank with people she should have been united with; as a result, her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testimony was viewed as betrayal, and the appropriate response to betrayal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is anger.</w:t>
      </w:r>
    </w:p>
    <w:p w14:paraId="588BDD7A" w14:textId="77777777" w:rsidR="00FE6F3C" w:rsidRPr="00504FA5" w:rsidRDefault="00FE6F3C" w:rsidP="000860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For African Americans, there was at least one more issue of gender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and race, and that was that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were not sought out by the media as experts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on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what Black-on-Black sexual harassment might mean. Hill and Thomas</w:t>
      </w:r>
      <w:r w:rsidR="0093698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were treated by the media as if they were White, ignoring the potential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nuances harassment might exhibit because of their race. Both Black men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and Black women found themselves excluded from the pantheon of "talking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heads" the news' media called up for comment (Crawford, 1991, p. 16). The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Frontline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documentary included such statements by African American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feminists as "I'm not sure I want to leave it up to White women to articulate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my needs" and "They [White feminists] never remembered they were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liberated from their kitchens because my grandmother cleaned them"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("Clarence Thomas and Anita Hill," 1992). The point they were making is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White feminist experience is not Black feminist experience; White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 may experience sexism, but Black women have historically borne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brunt of White women's own brand of sexism, one flavored with racism.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White women who assume they know Black women's experience without at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least attempting to understand it through research and conversation insult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Black women as surely as men who presume to speak for women insult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women. Black women, especially feminists, have felt their silencing keenly,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coming as it did from their two sources of community-one racial, the other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ideological.</w:t>
      </w:r>
    </w:p>
    <w:p w14:paraId="08BC7B6C" w14:textId="041CC25F" w:rsidR="007032CB" w:rsidRPr="00504FA5" w:rsidRDefault="00FE6F3C" w:rsidP="000860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When gender issues are blended together with racial ones, many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possibilities emerge for the character of Anthony on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Designing Women.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If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Bloodworth-Thomason had wished to play up Anthony's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identitication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with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women's concerns, Anthony could have commented on Thomas's perspective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Black males constitute the race. When Thomas cal1ed attention to his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"high-tech lynching," he highlighted the experience of Black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males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 a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White-dominated society. Furthermore, Anthony could have pointed out, as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did Ernest Al1en (1991) in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 Scholar,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"the connection between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lynching of Black males and racial stereotypes had to do with the alleged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rape of White females, not the sexual harassment of Black ones" (p. 15).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might have spoken with reference to a group of women called the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"Sisters in Defense of Anita Hi</w:t>
      </w:r>
      <w:r w:rsidR="00EB2647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" They wrote in their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New York Times</w:t>
      </w:r>
      <w:r w:rsidR="00086083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advertisement (1992) that "Clarence Thomas outrageously manipulated the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legacy of lynching in order to shelter himself from Anita Hi</w:t>
      </w:r>
      <w:r w:rsidR="00EB2647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's allegations"</w:t>
      </w:r>
      <w:r w:rsidR="0008608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(p. 56). With a certain amount of heat, Julianne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Malveaux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(1991) argued, "But</w:t>
      </w:r>
    </w:p>
    <w:p w14:paraId="41D79981" w14:textId="77777777" w:rsidR="00FE6F3C" w:rsidRPr="00504FA5" w:rsidRDefault="00FE6F3C" w:rsidP="009A61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258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0728B758" w14:textId="77777777" w:rsidR="00FE6F3C" w:rsidRPr="00504FA5" w:rsidRDefault="00FE6F3C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here is the bottom line. Supreme Court Justice Clarence Thomas was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confirmed because he invoked the image of a Black man hanging. They don't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make ropes for Black women's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lynchings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or destroy us with high drama.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Instead, it is the daily grind of life that wears us slowly down, the struggle for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 dignified survival" (p. 71). Thomas was confirmed; he was not hanged from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 tree. He abused the powerful, culturally charged image of lynching in order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to highlight the racial injustice men with black skins have suffered in this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country ever since they were brought here as slaves.</w:t>
      </w:r>
    </w:p>
    <w:p w14:paraId="400E5767" w14:textId="77777777" w:rsidR="00FE6F3C" w:rsidRPr="00504FA5" w:rsidRDefault="00FE6F3C" w:rsidP="009A614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lastRenderedPageBreak/>
        <w:t>The abuse was that Thomas ignored the very real sexual terrorism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 Anita Hill that also took place during and after the hearings. Anthony's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speech might have acknowledged this. On at least two counts, Thomas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could have been said to have distorted Black experience in America by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ignoring Black women as being in the race with him and by rhetorically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manipulating the reality of lynching. If, on the other hand, Bloodworth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>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Thomason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had wanted Anthony to speak as a male-identified Black man,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could have expressed some sense of outrage at Anita Hill's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accusations of one of her own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race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>. Not a hint of either perspective appeared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 his speech; his speech responded to issues that mattered before Hill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spoke, issues of credentials, rather than to issues crucial to race and gender.</w:t>
      </w:r>
    </w:p>
    <w:p w14:paraId="013BD93F" w14:textId="77777777" w:rsidR="00FE6F3C" w:rsidRPr="00504FA5" w:rsidRDefault="00FE6F3C" w:rsidP="00B41B02">
      <w:pPr>
        <w:pStyle w:val="Heading1"/>
        <w:rPr>
          <w:color w:val="000000" w:themeColor="text1"/>
        </w:rPr>
      </w:pPr>
      <w:r w:rsidRPr="00504FA5">
        <w:rPr>
          <w:color w:val="000000" w:themeColor="text1"/>
        </w:rPr>
        <w:t>POSSIBILITIES FOR RACIAL,</w:t>
      </w:r>
      <w:r w:rsidR="00B41B02" w:rsidRPr="00504FA5">
        <w:rPr>
          <w:color w:val="000000" w:themeColor="text1"/>
        </w:rPr>
        <w:t xml:space="preserve"> </w:t>
      </w:r>
      <w:r w:rsidRPr="00504FA5">
        <w:rPr>
          <w:color w:val="000000" w:themeColor="text1"/>
        </w:rPr>
        <w:t>GENDER AND SEXUALLY BASED SPEECH</w:t>
      </w:r>
    </w:p>
    <w:p w14:paraId="7009FCA8" w14:textId="77777777" w:rsidR="00FE6F3C" w:rsidRPr="00504FA5" w:rsidRDefault="00FE6F3C" w:rsidP="00B41B0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On other occasions he referred to the size of his own penis as being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larger than normal, and he also spoke on some occasions of the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pleasures he had given to women with oral sex. (U. S. Senate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Committee, 1991, Part 4, p. 38)</w:t>
      </w:r>
    </w:p>
    <w:p w14:paraId="4A2EB0C4" w14:textId="77777777" w:rsidR="00B41B02" w:rsidRPr="00504FA5" w:rsidRDefault="00B41B02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7C403E9E" w14:textId="77777777" w:rsidR="00FE6F3C" w:rsidRPr="00504FA5" w:rsidRDefault="00FE6F3C" w:rsidP="009A614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The Hill</w:t>
      </w:r>
      <w:r w:rsidR="00B41B02" w:rsidRPr="00504FA5">
        <w:rPr>
          <w:rFonts w:ascii="Times New Roman" w:hAnsi="Times New Roman" w:cs="Times New Roman"/>
          <w:color w:val="000000" w:themeColor="text1"/>
          <w:sz w:val="22"/>
        </w:rPr>
        <w:t>/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>T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homas hearings greatly humiliated African Americans.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Talk of penises and pubic hair, and sex talk overlaid with racial overtones,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shamed African Americans. Shame silences, for it is evoked when taboos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are broken. To speak to the taboo takes great bravery, because resistance to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open discussion is so strong. In this case, the taboo from the African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 perspective was to talk about sex between Black people,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especially nonconsensual sexual activity. In America, African American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sexuality has been framed by White-Americans as bestial, wild, and "bigger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than life." Many African Americans therefore choose not to feed the fires of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stereotype and prejudice by discussing their sexuality, especially anything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negative about it, outside of their own communities. To talk about sexuality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would invite what Patricia Williams called, "the pornographic voyeurism of</w:t>
      </w:r>
      <w:r w:rsidR="009A614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white people" (Simmons et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aI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., 1992, p. 59).</w:t>
      </w:r>
    </w:p>
    <w:p w14:paraId="47AF376C" w14:textId="77777777" w:rsidR="00FE6F3C" w:rsidRPr="00504FA5" w:rsidRDefault="00FE6F3C" w:rsidP="00706F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F11C6D">
        <w:rPr>
          <w:rFonts w:ascii="Times New Roman" w:hAnsi="Times New Roman" w:cs="Times New Roman"/>
          <w:i/>
          <w:color w:val="000000" w:themeColor="text1"/>
          <w:sz w:val="22"/>
        </w:rPr>
        <w:t>Anthony's Silence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259</w:t>
      </w:r>
    </w:p>
    <w:p w14:paraId="27EE062C" w14:textId="77777777" w:rsidR="00FE6F3C" w:rsidRPr="00504FA5" w:rsidRDefault="00FE6F3C" w:rsidP="00706F8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At least two themes associated with Black sexuality emerged in the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hearings: references to male insatiability and to female promiscuity. The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first was evoked when Thomas called the hearings a "high-tech lynching,"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and when he said he would "not provide the rope for my own lynching" (U.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S. Senate Committee, 1991, Part 4, p. 10). White men, especial1y White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men hooded and covered with white sheets, have hanged Black men for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allegedly raping White women. These allegations hinged on the perception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Black men could not control their sexual desires for White women and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would risk their lives for the chance to rape White women.</w:t>
      </w:r>
    </w:p>
    <w:p w14:paraId="716F9AF3" w14:textId="335FB84E" w:rsidR="00FE6F3C" w:rsidRPr="00504FA5" w:rsidRDefault="00FE6F3C" w:rsidP="00706F8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If Black men are stereotyped as insatiable, driven wild by desire for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White women, Black women also suffer from sexual stereotyping, the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stereotyping of promiscuity. This justifies all sorts of sexual abuse of Black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women. If a woman is promiscuous, after all, she cannot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by definition be</w:t>
      </w:r>
      <w:proofErr w:type="gramEnd"/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"raped," in that she is always available, always willing, always fair game.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During the hearings, some of the comments of the members of the Judicial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Committee came dangerously close to such a characterization of Anita Hill.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In particular, Alan Simpson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impugned Hi</w:t>
      </w:r>
      <w:r w:rsidR="00EE3EFE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's sexual reputation:</w:t>
      </w:r>
    </w:p>
    <w:p w14:paraId="61985BBB" w14:textId="77777777" w:rsidR="0002668F" w:rsidRPr="00504FA5" w:rsidRDefault="0002668F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2D03EDBA" w14:textId="77777777" w:rsidR="00FE6F3C" w:rsidRPr="00504FA5" w:rsidRDefault="00FE6F3C" w:rsidP="0002668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And now I really am getting stuff over the transom about Professor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Hill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. . . .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I got letters hanging out of my pockets, I got faxes, I've got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statements from her former law professor, statements from people that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know her, statements from Tulsa, Oklahoma, saying WATCH OUT for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this woman .... But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noOOdy's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got the guts to say it because it gets all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tangled up in this sexual-harassment crap .... If we had 104 days to go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into Ms. Hill, her character, her background, her proclivities, and all the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rest, r d feel much better about the system. (U. S. Senate Committee,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1991, Part 4, p. 253)</w:t>
      </w:r>
    </w:p>
    <w:p w14:paraId="0AC3B56A" w14:textId="77777777" w:rsidR="0002668F" w:rsidRPr="00504FA5" w:rsidRDefault="0002668F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14:paraId="111369DE" w14:textId="5CA1369B" w:rsidR="00FE6F3C" w:rsidRPr="00504FA5" w:rsidRDefault="00FE6F3C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Although Simpson left ambiguous just what he meant by "proclivities," he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did imply that there were sexual slurs he could make about her. He did not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produce any proof of these claims during the hearings-no letters, faxes, or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statements-but he did introduce innuendo into the proceedings, innuendo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that Hi</w:t>
      </w:r>
      <w:r w:rsidR="00F11C6D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was impure. He used implication to destroy her credibility,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because, of course, an impure woman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deserves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lastRenderedPageBreak/>
        <w:t xml:space="preserve">harassment. Barbara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Ransby</w:t>
      </w:r>
      <w:proofErr w:type="spellEnd"/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(1991) expressed outrage at Simpson and his colleagues, claiming that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"what was termed by reactionary White conservatives as a 'high tech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lynching' of Clarence Hi</w:t>
      </w:r>
      <w:r w:rsidR="001B5F89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was in actuality a public gang rape of Anita Hi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,</w:t>
      </w:r>
      <w:r w:rsidR="00706F80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and by extension a violent assault upon all women of African descent" (p.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85). It is the deepest kind of sexism that says if a woman is not a "lady" as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patriarchal cu1ture defines "lady," then she, and everyone like her, is a tramp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who deserves and gets no respect and can be abused with impunity.</w:t>
      </w:r>
    </w:p>
    <w:p w14:paraId="30D132A1" w14:textId="77777777" w:rsidR="00FE6F3C" w:rsidRPr="00504FA5" w:rsidRDefault="00FE6F3C" w:rsidP="0033715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The news media framed the Hi</w:t>
      </w:r>
      <w:r w:rsidR="0002668F" w:rsidRPr="00504FA5">
        <w:rPr>
          <w:rFonts w:ascii="Times New Roman" w:hAnsi="Times New Roman" w:cs="Times New Roman"/>
          <w:color w:val="000000" w:themeColor="text1"/>
          <w:sz w:val="22"/>
        </w:rPr>
        <w:t>ll/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>T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homas hearings as being first and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foremost about sexual harassment and, second, about African American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sexual practices. However, such was not the case for African American</w:t>
      </w:r>
      <w:r w:rsidR="0033715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people. For them, a race sexually used and abused by White-Americans, the</w:t>
      </w:r>
    </w:p>
    <w:p w14:paraId="6490212E" w14:textId="77777777" w:rsidR="00FE6F3C" w:rsidRPr="00504FA5" w:rsidRDefault="00FE6F3C" w:rsidP="00337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260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0855C19F" w14:textId="77777777" w:rsidR="00FE6F3C" w:rsidRPr="00504FA5" w:rsidRDefault="00FE6F3C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accusation that a very powerful African American man sexual1y humiliated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 wen-educated and relatively powerful African American woman caused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deep shame and embarrassment and tore the semblance of dignity from the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race. For them, these hearings were about the humiliation and leveling of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African American race on national television (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Ransby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1991; Simmons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et a1., 1992).</w:t>
      </w:r>
    </w:p>
    <w:p w14:paraId="5CF1B76B" w14:textId="6FF17685" w:rsidR="00FE6F3C" w:rsidRPr="00504FA5" w:rsidRDefault="00FE6F3C" w:rsidP="005F643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The character of Anthony on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Designing Women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did not reflect this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sense either in his sustained speech about Thomas's qualifications or in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other actions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during the course of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the show. To the contrary, in one little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interchange with Bernice, a rather empty-headed older female character,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Anthony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reinforced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White stereotypes of Black sexuality. As the characters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on the show watch the Hi</w:t>
      </w:r>
      <w:r w:rsidR="001B5F89">
        <w:rPr>
          <w:rFonts w:ascii="Times New Roman" w:hAnsi="Times New Roman" w:cs="Times New Roman"/>
          <w:color w:val="000000" w:themeColor="text1"/>
          <w:sz w:val="22"/>
        </w:rPr>
        <w:t>ll/T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homas hearings on their television, the issue of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oversized Black male sexual organs emerges. When Bernice says, "I must</w:t>
      </w:r>
      <w:r w:rsidR="00935A8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admit I have wondered if what they say is true." Anthony responds, "This is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kind of sexual harassment I put up with around here every day," but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adds the aside, "And yes, Bernice, it is true" (Bloodworth-Thomason,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1991). This interchange, as well as the longer speech, plays with White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stereotypes, not Black concerns. Although the banter is humorous, its humor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appeals more to White audiences than to Black ones. In fact, given the kind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 humiliation felt by Black America over the hearings in general, this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commentary by Anthony could wel1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be seen as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tasteless, if not disrespectful.</w:t>
      </w:r>
    </w:p>
    <w:p w14:paraId="401668BA" w14:textId="22CB91EA" w:rsidR="00FE6F3C" w:rsidRPr="00504FA5" w:rsidRDefault="00FE6F3C" w:rsidP="005F643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From an African American perspective, this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Designing Women</w:t>
      </w:r>
      <w:r w:rsidR="005F6432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episode had a wealth of complex issues to explore. The character of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provided a perfect vehicle for voicing at least some of them. In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other episodes, Bloodworth-Thomason has Anthony speak to Black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concerns of oppression and stereotypes. The interplay in earlier seasons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between Anthony's character and one of the women characters, Suzanne,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often highlighted stereotyped conceptions of African American males, and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deflated them. In this episode Anthony-and along with him any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distinctively African American concern-is rendered mute. Furthermore,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character of Anthony is doubly silenced in this episode. First, the point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made in his one sustained speech about Thomas's qualifications is never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picked up and discussed by the women characters. So, in effect, his speech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stands alone, unintegrated into the rest of the episode. The lack of uptake by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other characters reinforces the perception that Anthony speaks as a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mouthpiece and not as a human being enmeshed in the racial and sexual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realities incumbent upon his identity as </w:t>
      </w:r>
      <w:r w:rsidR="00F11C6D">
        <w:rPr>
          <w:rFonts w:ascii="Times New Roman" w:eastAsia="HiddenHorzOCR" w:hAnsi="Times New Roman" w:cs="Times New Roman"/>
          <w:color w:val="000000" w:themeColor="text1"/>
          <w:sz w:val="22"/>
        </w:rPr>
        <w:t>a</w:t>
      </w:r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 xml:space="preserve">n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African American male. Second,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character of Anthony is not given any lines referring to uniquely African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American concerns about the Hill/Thomas hearings, concerns such as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power, women's place in Black culture, and racial-sexual stereotyping.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Because of this silencing, Linda Bloodworth-Thomason missed an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opportunity to enrich America's understanding of race and gender relations.</w:t>
      </w:r>
    </w:p>
    <w:p w14:paraId="36BC6DC7" w14:textId="77777777" w:rsidR="00FE6F3C" w:rsidRPr="00504FA5" w:rsidRDefault="00FE6F3C" w:rsidP="005F6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F11C6D">
        <w:rPr>
          <w:rFonts w:ascii="Times New Roman" w:hAnsi="Times New Roman" w:cs="Times New Roman"/>
          <w:i/>
          <w:color w:val="000000" w:themeColor="text1"/>
          <w:sz w:val="22"/>
        </w:rPr>
        <w:t>Anthony's Silence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261</w:t>
      </w:r>
    </w:p>
    <w:p w14:paraId="75CC4CB2" w14:textId="77777777" w:rsidR="00FE6F3C" w:rsidRPr="00504FA5" w:rsidRDefault="00FE6F3C" w:rsidP="000E19BE">
      <w:pPr>
        <w:pStyle w:val="Heading1"/>
        <w:rPr>
          <w:color w:val="000000" w:themeColor="text1"/>
        </w:rPr>
      </w:pPr>
      <w:r w:rsidRPr="00504FA5">
        <w:rPr>
          <w:color w:val="000000" w:themeColor="text1"/>
        </w:rPr>
        <w:t>HOW THE POSSIBILITIES COULD HAVE BEEN MADE ACTUAL</w:t>
      </w:r>
    </w:p>
    <w:p w14:paraId="39A74DF6" w14:textId="77777777" w:rsidR="00FE6F3C" w:rsidRPr="00504FA5" w:rsidRDefault="00FE6F3C" w:rsidP="001C2A9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Based on the preceding analysis, it seems to us that the character of</w:t>
      </w:r>
      <w:r w:rsidR="005F6432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had available to him at least two racially, sexually, and gender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>-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based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options from which to speak--either to pass some sort of judgment on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Hill for "dissing" a Black man and, therefore, the Black race, via her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graphic depictions of conversations years passed, or conversely to bring into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awareness the lonely courage it takes for a Black woman to accuse a Black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man of sexual improprieties, a prerogative culturally reserved for White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 and men. In either case, a racially oriented Anthony would have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been aware of the shame and humiliation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lastRenderedPageBreak/>
        <w:t>many African Americans felt over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two wealthy, well-educated, successful Black people discussing sexual</w:t>
      </w:r>
      <w:r w:rsidR="001C2A93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secrets in excruciating, explicit detail.</w:t>
      </w:r>
    </w:p>
    <w:p w14:paraId="6266B599" w14:textId="77777777" w:rsidR="00FE6F3C" w:rsidRPr="00504FA5" w:rsidRDefault="00FE6F3C" w:rsidP="00A35D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Awareness of the shame would not necessarily demand that</w:t>
      </w:r>
      <w:r w:rsidR="00AB683A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Anthony express it; he could simply have acknowledged it. Consider, for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example, Michele Wallace's observations about the hearings: "I have never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seen Black people on television like that-in control of their own statements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and their own images" (Simmons et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aI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., 1992, p. 92). Anthony similarly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could have recognized that, despite al1 its indignities, the hearings brought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two very prominent Black people before the American public and gave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them a high-profile public forum. This was especial1y true in Anita Hill's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case, in that Thomas had already appeared on television at length during the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first round of confirmation hearings.</w:t>
      </w:r>
    </w:p>
    <w:p w14:paraId="1951A99E" w14:textId="77777777" w:rsidR="00FE6F3C" w:rsidRPr="00504FA5" w:rsidRDefault="00FE6F3C" w:rsidP="00A35D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Instead, Anthony addressed the "safe" issue of Thomas's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credentials and the subtle racism that kept opponents from grilling Thomas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further. In so doing, the character of Anthony ignored the complexity of race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and gender relations implicit in the Hil1-Thomas hearings. As. a result,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Designing Women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did not do a thorough job of exploring the varied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implications of this public event.</w:t>
      </w:r>
    </w:p>
    <w:p w14:paraId="6CE4CF9D" w14:textId="27976952" w:rsidR="00FE6F3C" w:rsidRPr="00504FA5" w:rsidRDefault="00FE6F3C" w:rsidP="00A35D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It seems to us that in writing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Designing Women's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"The Strange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Case of Clarence and Anita," Linda Bloodworth-Thomason would have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done well to make Anthony more central rather than relegating him to a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minor character role. Anthony was the only character in the show who could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address these implications-he is a thoughtful Black man, surrounded by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White women who spend a lot of time talking about gender issues. The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other characters could have asked him what his perspective on the Hi</w:t>
      </w:r>
      <w:r w:rsidR="00052A02">
        <w:rPr>
          <w:rFonts w:ascii="Times New Roman" w:hAnsi="Times New Roman" w:cs="Times New Roman"/>
          <w:color w:val="000000" w:themeColor="text1"/>
          <w:sz w:val="22"/>
        </w:rPr>
        <w:t>ll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-Thomas hearing was and then worked the commentary and humor around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this perspective.</w:t>
      </w:r>
    </w:p>
    <w:p w14:paraId="20FDA33D" w14:textId="77777777" w:rsidR="00FE6F3C" w:rsidRPr="00504FA5" w:rsidRDefault="00FE6F3C" w:rsidP="00A35D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Crenshaw (1992) observes that "at least one important way social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power is mediated in American society is through the contestation between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the many narrative structures through which reality might be perceived and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talked about" (p. 403). Bloodworth-Thomason chose to highlight a White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feminist narrative whose key issue is sexual harassment in the workplace at</w:t>
      </w:r>
    </w:p>
    <w:p w14:paraId="3D6C0F89" w14:textId="77777777" w:rsidR="00FE6F3C" w:rsidRPr="00504FA5" w:rsidRDefault="00FE6F3C" w:rsidP="00A35D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262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759CD355" w14:textId="77777777" w:rsidR="00FE6F3C" w:rsidRPr="00504FA5" w:rsidRDefault="00FE6F3C" w:rsidP="00FE6F3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the expense of so many others, more culturally and racially situated, that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could have been told in this episode. She had the characterological resources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needed to tell a more enlightened story-sympathetic, liberal, White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women; a conservative and arrogant White woman; a slightly off-center,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eccentric, older female character; and a Black man who has experienced</w:t>
      </w:r>
      <w:r w:rsidR="00A35D5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oppression. Anthony had been imprisoned for some time and alludes to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sexual pressures in prison; that could have served as an entry point for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observations on power and sex, perhaps even the intersections of power,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sex,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and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race. Anthony was silenced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in spite of the fact that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it would have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been in character for him to explore these other narratives.</w:t>
      </w:r>
    </w:p>
    <w:p w14:paraId="1C64588B" w14:textId="77777777" w:rsidR="00FE6F3C" w:rsidRPr="00504FA5" w:rsidRDefault="00FE6F3C" w:rsidP="00D5525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Perhaps having Anthony function as we suggest here would have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jeopardized the clear feminist focus of the "he did it," "she lied" arguments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of this episode. Still, there would have been great value in taking that risk.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Unless women and men of color can speak from and to their own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experiences in the mainstream mass media, our understanding of gender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will continue to be shaped by the voices of power and privilege, whether</w:t>
      </w:r>
      <w:r w:rsidR="00D55257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those belong to rich, White, ideological1y biased men-or women.</w:t>
      </w:r>
    </w:p>
    <w:p w14:paraId="50A59F4B" w14:textId="77777777" w:rsidR="00FE6F3C" w:rsidRPr="00504FA5" w:rsidRDefault="00FE6F3C" w:rsidP="003F0E91">
      <w:pPr>
        <w:pStyle w:val="Heading1"/>
        <w:rPr>
          <w:color w:val="000000" w:themeColor="text1"/>
        </w:rPr>
      </w:pPr>
      <w:r w:rsidRPr="00504FA5">
        <w:rPr>
          <w:color w:val="000000" w:themeColor="text1"/>
        </w:rPr>
        <w:t>REFERENCES</w:t>
      </w:r>
    </w:p>
    <w:p w14:paraId="7CDCCF11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Allen, E., Jr. (1991). Race and gender stereotyping in the Thomas</w:t>
      </w:r>
      <w:r w:rsidR="003F0E9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confirmation hearings.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 Scholar,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22, 4-7.</w:t>
      </w:r>
    </w:p>
    <w:p w14:paraId="3E00C2AD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Bloodworth-Thomason, L. (1991, November 4). The Strange Case of</w:t>
      </w:r>
      <w:r w:rsidR="003F0E9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Clarence and Anita [TV episode].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Designing Women.</w:t>
      </w:r>
    </w:p>
    <w:p w14:paraId="3E39384C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Boo, K. (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December,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1991). The organization woman.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Washington Monthly,</w:t>
      </w:r>
      <w:r w:rsidR="003F0E91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pp.44-50.</w:t>
      </w:r>
    </w:p>
    <w:p w14:paraId="34318018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Boyd, M. J. (1991). Collard greens, Clarence Thomas, and the high-tech</w:t>
      </w:r>
      <w:r w:rsidR="003F0E91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rape of Anita Hill.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 Scholar,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22,25-27.</w:t>
      </w:r>
    </w:p>
    <w:p w14:paraId="6A0BF34E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proofErr w:type="spellStart"/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Bray,R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.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(1991, November 17). Taking sides against ourselves.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New York</w:t>
      </w:r>
      <w:r w:rsidR="003F0E91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Times Magazine,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56, 94-95, 101.</w:t>
      </w:r>
    </w:p>
    <w:p w14:paraId="6781E853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Carlson, M. (1991, October 21). The ultimate men's club. Time, pp. 50-51.</w:t>
      </w:r>
    </w:p>
    <w:p w14:paraId="7DBAB50E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Clarence Thomas and Anita Hill: Public Hearing, Private Pain. (1992,</w:t>
      </w:r>
      <w:r w:rsidR="0006155E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October 13)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Frontline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[produced and written by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Ofra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Bikel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and</w:t>
      </w:r>
      <w:r w:rsidR="0006155E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narrated by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Ofra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Bikel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]. The Documentary Consortium, PBS.</w:t>
      </w:r>
    </w:p>
    <w:p w14:paraId="7EC0D26B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Crawford, V. (1991). On the Clarence Thomas hearings.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The Black Scholar,</w:t>
      </w:r>
      <w:r w:rsidR="0006155E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22, 15-17.</w:t>
      </w:r>
    </w:p>
    <w:p w14:paraId="46554849" w14:textId="77777777" w:rsidR="00FE6F3C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lastRenderedPageBreak/>
        <w:t>Crenshaw, K. (1992). Whose story is it, anyway? Feminist and antiracist</w:t>
      </w:r>
      <w:r w:rsidR="0006155E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appropriations of Anita</w:t>
      </w:r>
      <w:bookmarkStart w:id="0" w:name="_GoBack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Hi</w:t>
      </w:r>
      <w:bookmarkEnd w:id="0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ll. In T. Morrison (Ed.),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Race-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ing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justice,</w:t>
      </w:r>
      <w:r w:rsidR="0006155E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en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-gender-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ing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power: Essays on Anita Hill, Clarence Thomas, and the</w:t>
      </w:r>
      <w:r w:rsidR="0006155E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construction of social reality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(pp. 402-440). New York: Pantheon</w:t>
      </w:r>
      <w:r w:rsidR="0006155E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Books.</w:t>
      </w:r>
    </w:p>
    <w:p w14:paraId="50C2E445" w14:textId="77777777" w:rsidR="00EB02CF" w:rsidRPr="00504FA5" w:rsidRDefault="00FE6F3C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Fisher, W. (1989).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Human communication as narration.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Columbia:</w:t>
      </w:r>
      <w:r w:rsidR="0006155E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University of South Carolina Press.</w:t>
      </w:r>
      <w:r w:rsidR="0006155E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EB02CF" w:rsidRPr="00504FA5">
        <w:rPr>
          <w:rFonts w:ascii="Times New Roman" w:hAnsi="Times New Roman" w:cs="Times New Roman"/>
          <w:color w:val="000000" w:themeColor="text1"/>
          <w:sz w:val="22"/>
        </w:rPr>
        <w:t xml:space="preserve">Anthony's </w:t>
      </w:r>
      <w:r w:rsidR="00EB02CF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Silence </w:t>
      </w:r>
      <w:r w:rsidR="00EB02CF" w:rsidRPr="00504FA5">
        <w:rPr>
          <w:rFonts w:ascii="Times New Roman" w:hAnsi="Times New Roman" w:cs="Times New Roman"/>
          <w:color w:val="000000" w:themeColor="text1"/>
          <w:sz w:val="22"/>
        </w:rPr>
        <w:t>263</w:t>
      </w:r>
    </w:p>
    <w:p w14:paraId="5FBC1D68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Foote, C. F., Jr. (1991, October). Doubting Thomas: A test for Black</w:t>
      </w:r>
      <w:r w:rsidR="0006155E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conservatism.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Black Enterprise,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p. 13.</w:t>
      </w:r>
    </w:p>
    <w:p w14:paraId="4EC0FFAA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Gibbs, N. (1991, October 21). An ugly circus.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Time,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 34-35.</w:t>
      </w:r>
    </w:p>
    <w:p w14:paraId="5D1CF147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Gillespie, M. A. (1993, January/February). What's good for the race?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Ms.,</w:t>
      </w:r>
      <w:r w:rsidR="00A059BC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pp.80-81.</w:t>
      </w:r>
    </w:p>
    <w:p w14:paraId="3A610670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Guy-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Sheftal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B. (1991). Breaking the silence: A Black feminist response to</w:t>
      </w:r>
      <w:r w:rsidR="00A059B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the ThomaslHi11 hearings (for Audre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Lourde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).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The Black Scholar, 22,</w:t>
      </w:r>
      <w:r w:rsidR="00A059BC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35-37.</w:t>
      </w:r>
    </w:p>
    <w:p w14:paraId="3740C1C4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hooks, b. (1989).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Talking back: Thinking feminist, thinking Black.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Boston:</w:t>
      </w:r>
      <w:r w:rsidR="00A059B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South End Press.</w:t>
      </w:r>
    </w:p>
    <w:p w14:paraId="4A565631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hooks, b. (1990)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Yearning: Race, gender and cultural politics.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Boston:</w:t>
      </w:r>
      <w:r w:rsidR="00A059B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South End Press.</w:t>
      </w:r>
    </w:p>
    <w:p w14:paraId="6D357568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Jeffers, T. L. (1991). We have heard: We have seen: Do we believe? The</w:t>
      </w:r>
      <w:r w:rsidR="00A059B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Clarence Thomas-Anita Hill hearing.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 Scholar,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22, 54-56.</w:t>
      </w:r>
    </w:p>
    <w:p w14:paraId="36E60E4B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Malveaux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, 1. '(1991). No peace in a sisterly space.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The Black Scholar, 22,</w:t>
      </w:r>
      <w:r w:rsidR="00A059BC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68-71.</w:t>
      </w:r>
    </w:p>
    <w:p w14:paraId="32BF224C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Marton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K. (1991, October 21). An all too common story. Newsweek, p. 8.</w:t>
      </w:r>
    </w:p>
    <w:p w14:paraId="69938949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Morrison, T. (1992). Introduction: Friday on the Potomac. In T. Morrison</w:t>
      </w:r>
      <w:r w:rsidR="00A059B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(Ed.),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Race-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ing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justice, 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en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-gender-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ing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power: Essays on Anita Hill,</w:t>
      </w:r>
      <w:r w:rsidR="00A059BC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Clarence Thomas, and the construction of social reality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(pp. vii-xxx).</w:t>
      </w:r>
      <w:r w:rsidR="00A059B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New York: Pantheon Books.</w:t>
      </w:r>
    </w:p>
    <w:p w14:paraId="5C06A0E4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Nelson, J. (1992, March). Anita Hill: No regrets.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Essence,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 55-56, 116,</w:t>
      </w:r>
      <w:r w:rsidR="00A059BC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119.</w:t>
      </w:r>
    </w:p>
    <w:p w14:paraId="05572FD6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 not very funny thing on the way to the court. (October 12, 1991).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The</w:t>
      </w:r>
      <w:r w:rsidR="00675F4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Economist,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 25-26.</w:t>
      </w:r>
    </w:p>
    <w:p w14:paraId="7CD2D285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Painton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, P. (1991, October 28). Woman power.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Time,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 24-26.</w:t>
      </w:r>
    </w:p>
    <w:p w14:paraId="3EE337D8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eastAsia="HiddenHorzOCR" w:hAnsi="Times New Roman" w:cs="Times New Roman"/>
          <w:color w:val="000000" w:themeColor="text1"/>
          <w:sz w:val="22"/>
        </w:rPr>
      </w:pP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Ransby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B. (1991). The gang rape of Anita Hill and the assault upon all</w:t>
      </w:r>
      <w:r w:rsidR="00675F4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women of African descent.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 Scholar,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22, </w:t>
      </w:r>
      <w:r w:rsidRPr="00504FA5">
        <w:rPr>
          <w:rFonts w:ascii="Times New Roman" w:eastAsia="HiddenHorzOCR" w:hAnsi="Times New Roman" w:cs="Times New Roman"/>
          <w:color w:val="000000" w:themeColor="text1"/>
          <w:sz w:val="22"/>
        </w:rPr>
        <w:t>8~-85.</w:t>
      </w:r>
    </w:p>
    <w:p w14:paraId="2DE2394E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Ross, A. (1992). The Private Parts of Justice. In T. Morrison (Ed.),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Race-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ing</w:t>
      </w:r>
      <w:proofErr w:type="spellEnd"/>
      <w:r w:rsidR="00675F4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Justice, 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en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-gender-</w:t>
      </w:r>
      <w:proofErr w:type="spell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ing</w:t>
      </w:r>
      <w:proofErr w:type="spell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power: Essays on Anita Hill, Clarence Thomas</w:t>
      </w:r>
      <w:proofErr w:type="gramStart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,</w:t>
      </w:r>
      <w:r w:rsidR="00675F4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,</w:t>
      </w:r>
      <w:proofErr w:type="gramEnd"/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and the construction of social reality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(pp. 40-60). New York: Pantheon</w:t>
      </w:r>
      <w:r w:rsidR="00675F4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Books.</w:t>
      </w:r>
    </w:p>
    <w:p w14:paraId="5ABD2506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Salholz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>, E., Kaplan, D. A., &amp; Clift, E. (1991, October 21). Anatomy of a</w:t>
      </w:r>
      <w:r w:rsidR="00675F4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debacle.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Newsweek,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 26-32.</w:t>
      </w:r>
    </w:p>
    <w:p w14:paraId="25424028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Simmons, J., Nelson, J., Chamber, G., &amp; Cox, C. (1992, January). A house</w:t>
      </w:r>
      <w:r w:rsidR="00675F4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divided.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Essence,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 58-59, 91-93.</w:t>
      </w:r>
    </w:p>
    <w:p w14:paraId="79A4045C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Sisters in Defense of Professor Hill. (1992, March). Excerpts from an</w:t>
      </w:r>
      <w:r w:rsidR="00675F4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advertisement that </w:t>
      </w:r>
      <w:proofErr w:type="gramStart"/>
      <w:r w:rsidRPr="00504FA5">
        <w:rPr>
          <w:rFonts w:ascii="Times New Roman" w:hAnsi="Times New Roman" w:cs="Times New Roman"/>
          <w:color w:val="000000" w:themeColor="text1"/>
          <w:sz w:val="22"/>
        </w:rPr>
        <w:t>appeared ,in</w:t>
      </w:r>
      <w:proofErr w:type="gram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a November 1991 edition of the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New</w:t>
      </w:r>
      <w:r w:rsidR="00675F46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York Times,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written and sponsored by African American Women in</w:t>
      </w:r>
      <w:r w:rsidR="00675F4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Defense of Ourselves. Essence, p. 56.</w:t>
      </w:r>
    </w:p>
    <w:p w14:paraId="244848B7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Spencer, C. (1991). The chronology of the Clarence Thomas confirmation.</w:t>
      </w:r>
      <w:r w:rsidR="00675F46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Black Scholar,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22, 1-3.</w:t>
      </w:r>
    </w:p>
    <w:p w14:paraId="041A61BC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Stone, L. (1991. November 19). Of human bondage.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Village Voice,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p. 20.</w:t>
      </w:r>
    </w:p>
    <w:p w14:paraId="03242731" w14:textId="77777777" w:rsidR="00FE6F3C" w:rsidRPr="00504FA5" w:rsidRDefault="00EB02CF" w:rsidP="00386228">
      <w:pPr>
        <w:spacing w:after="0"/>
        <w:ind w:left="720" w:hanging="720"/>
        <w:rPr>
          <w:rFonts w:ascii="Times New Roman" w:hAnsi="Times New Roman" w:cs="Times New Roman"/>
          <w:color w:val="000000" w:themeColor="text1"/>
          <w:sz w:val="22"/>
        </w:rPr>
      </w:pP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Taubin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, A. (1991, November 19). He did it.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Village Voice,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pp. 47-48.</w:t>
      </w:r>
    </w:p>
    <w:p w14:paraId="1D0037A1" w14:textId="77777777" w:rsidR="00EB02CF" w:rsidRPr="00504FA5" w:rsidRDefault="00EB02CF" w:rsidP="00386228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264 </w:t>
      </w:r>
      <w:proofErr w:type="spellStart"/>
      <w:r w:rsidRPr="00504FA5">
        <w:rPr>
          <w:rFonts w:ascii="Times New Roman" w:hAnsi="Times New Roman" w:cs="Times New Roman"/>
          <w:color w:val="000000" w:themeColor="text1"/>
          <w:sz w:val="22"/>
        </w:rPr>
        <w:t>Sterk</w:t>
      </w:r>
      <w:proofErr w:type="spellEnd"/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 &amp; Turner</w:t>
      </w:r>
    </w:p>
    <w:p w14:paraId="2C62D124" w14:textId="77777777" w:rsidR="00EB02CF" w:rsidRPr="00504FA5" w:rsidRDefault="00EB02CF" w:rsidP="003F0E9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>U.S. Senate Committee on the Judiciary. (1991, Part 4, October 11, 12, 13).</w:t>
      </w:r>
      <w:r w:rsidR="0038622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The nomination of Judge Clarence Thomas to be Associate Justice of</w:t>
      </w:r>
      <w:r w:rsidR="00386228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the Supreme Court of the United States.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Washington, DC: U.S.</w:t>
      </w:r>
      <w:r w:rsidR="00386228" w:rsidRPr="00504FA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Government Printing Office.</w:t>
      </w:r>
    </w:p>
    <w:p w14:paraId="65FE1EA7" w14:textId="77777777" w:rsidR="00EB02CF" w:rsidRPr="00504FA5" w:rsidRDefault="00EB02CF" w:rsidP="0038622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504FA5">
        <w:rPr>
          <w:rFonts w:ascii="Times New Roman" w:hAnsi="Times New Roman" w:cs="Times New Roman"/>
          <w:color w:val="000000" w:themeColor="text1"/>
          <w:sz w:val="22"/>
        </w:rPr>
        <w:t xml:space="preserve">Walker, Alice. (1983). </w:t>
      </w:r>
      <w:r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>In search of our mothers' gardens: Womanist prose.</w:t>
      </w:r>
      <w:r w:rsidR="00386228" w:rsidRPr="00504FA5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</w:t>
      </w:r>
      <w:r w:rsidRPr="00504FA5">
        <w:rPr>
          <w:rFonts w:ascii="Times New Roman" w:hAnsi="Times New Roman" w:cs="Times New Roman"/>
          <w:color w:val="000000" w:themeColor="text1"/>
          <w:sz w:val="22"/>
        </w:rPr>
        <w:t>San Diego: Harcourt Brace Jovanovich.</w:t>
      </w:r>
    </w:p>
    <w:sectPr w:rsidR="00EB02CF" w:rsidRPr="0050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037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8F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47756"/>
    <w:rsid w:val="0005058A"/>
    <w:rsid w:val="000525F1"/>
    <w:rsid w:val="00052A02"/>
    <w:rsid w:val="0005313E"/>
    <w:rsid w:val="0005413F"/>
    <w:rsid w:val="00054ABF"/>
    <w:rsid w:val="000555DA"/>
    <w:rsid w:val="00056858"/>
    <w:rsid w:val="00057D20"/>
    <w:rsid w:val="000606A8"/>
    <w:rsid w:val="00061102"/>
    <w:rsid w:val="0006155E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83"/>
    <w:rsid w:val="000860EB"/>
    <w:rsid w:val="00087367"/>
    <w:rsid w:val="0009064A"/>
    <w:rsid w:val="00091815"/>
    <w:rsid w:val="00092BD7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987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19BE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3BEC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5F89"/>
    <w:rsid w:val="001B6E76"/>
    <w:rsid w:val="001C06CD"/>
    <w:rsid w:val="001C2604"/>
    <w:rsid w:val="001C2A93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151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3ECF"/>
    <w:rsid w:val="00354018"/>
    <w:rsid w:val="003546E3"/>
    <w:rsid w:val="00360206"/>
    <w:rsid w:val="00361429"/>
    <w:rsid w:val="003624EE"/>
    <w:rsid w:val="003632E1"/>
    <w:rsid w:val="00363CD3"/>
    <w:rsid w:val="00363FE5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28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0E91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4FA5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B15"/>
    <w:rsid w:val="005A6FD1"/>
    <w:rsid w:val="005B08F1"/>
    <w:rsid w:val="005B1303"/>
    <w:rsid w:val="005B1AB7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E5F69"/>
    <w:rsid w:val="005F06C7"/>
    <w:rsid w:val="005F089E"/>
    <w:rsid w:val="005F0CFB"/>
    <w:rsid w:val="005F1484"/>
    <w:rsid w:val="005F46EC"/>
    <w:rsid w:val="005F49C9"/>
    <w:rsid w:val="005F6432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5F46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32CB"/>
    <w:rsid w:val="00705F37"/>
    <w:rsid w:val="007065D3"/>
    <w:rsid w:val="007065FF"/>
    <w:rsid w:val="00706F80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5EBD"/>
    <w:rsid w:val="0086670A"/>
    <w:rsid w:val="00870BA1"/>
    <w:rsid w:val="00872ABF"/>
    <w:rsid w:val="00873CDE"/>
    <w:rsid w:val="00874421"/>
    <w:rsid w:val="00875997"/>
    <w:rsid w:val="008778BB"/>
    <w:rsid w:val="0087796C"/>
    <w:rsid w:val="00877A24"/>
    <w:rsid w:val="00877D5B"/>
    <w:rsid w:val="00880932"/>
    <w:rsid w:val="008825B5"/>
    <w:rsid w:val="00883DE0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A82"/>
    <w:rsid w:val="00935F23"/>
    <w:rsid w:val="00935F72"/>
    <w:rsid w:val="00936987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A6141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059BC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35D5C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83A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06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0CC1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B02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5423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0CF3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29F1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D680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37037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257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97A3A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36CD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E7FD5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1C56"/>
    <w:rsid w:val="00E747D9"/>
    <w:rsid w:val="00E75D5D"/>
    <w:rsid w:val="00E766CA"/>
    <w:rsid w:val="00E76F1F"/>
    <w:rsid w:val="00E76FEE"/>
    <w:rsid w:val="00E816DB"/>
    <w:rsid w:val="00E81F85"/>
    <w:rsid w:val="00E8413D"/>
    <w:rsid w:val="00E84279"/>
    <w:rsid w:val="00E84C2A"/>
    <w:rsid w:val="00E866A6"/>
    <w:rsid w:val="00E90BD8"/>
    <w:rsid w:val="00E90CA1"/>
    <w:rsid w:val="00E91D25"/>
    <w:rsid w:val="00E94E66"/>
    <w:rsid w:val="00E95F4D"/>
    <w:rsid w:val="00E97067"/>
    <w:rsid w:val="00EA6E8E"/>
    <w:rsid w:val="00EA7978"/>
    <w:rsid w:val="00EA7D19"/>
    <w:rsid w:val="00EB02CF"/>
    <w:rsid w:val="00EB2647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3EFE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C6D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04C6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6F3C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AC4E"/>
  <w15:chartTrackingRefBased/>
  <w15:docId w15:val="{71C5C2C5-B0E1-442E-8C99-6E13511B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7A5626-FC70-43BA-AB16-63F817C81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F92DCE-8857-4E50-B1B7-679A0917D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B7CF7-FB82-4B4A-A9ED-847CAC7280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6242</Words>
  <Characters>35583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12</cp:revision>
  <dcterms:created xsi:type="dcterms:W3CDTF">2019-04-05T13:56:00Z</dcterms:created>
  <dcterms:modified xsi:type="dcterms:W3CDTF">2019-04-05T15:03:00Z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