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32A8D58" w:rsidR="000A7622" w:rsidRPr="00C04F25" w:rsidRDefault="003A6529"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EED4312" w:rsidR="000A7622" w:rsidRDefault="00A96528" w:rsidP="00D14423">
      <w:pPr>
        <w:rPr>
          <w:rFonts w:cstheme="minorHAnsi"/>
          <w:sz w:val="24"/>
          <w:szCs w:val="24"/>
        </w:rPr>
      </w:pPr>
      <w:proofErr w:type="spellStart"/>
      <w:r>
        <w:rPr>
          <w:rFonts w:cstheme="minorHAnsi"/>
          <w:i/>
          <w:sz w:val="24"/>
          <w:szCs w:val="24"/>
          <w:lang w:val="fr-FR"/>
        </w:rPr>
        <w:t>Assessment</w:t>
      </w:r>
      <w:proofErr w:type="spellEnd"/>
      <w:r w:rsidR="000A7622" w:rsidRPr="00C04F25">
        <w:rPr>
          <w:rFonts w:cstheme="minorHAnsi"/>
          <w:sz w:val="24"/>
          <w:szCs w:val="24"/>
          <w:lang w:val="fr-FR"/>
        </w:rPr>
        <w:t xml:space="preserve">, Vol. </w:t>
      </w:r>
      <w:r>
        <w:rPr>
          <w:rFonts w:cstheme="minorHAnsi"/>
          <w:sz w:val="24"/>
          <w:szCs w:val="24"/>
          <w:lang w:val="fr-FR"/>
        </w:rPr>
        <w:t>28</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211-224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D6BEE">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D6BEE">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6D6BEE">
        <w:rPr>
          <w:rFonts w:cstheme="minorHAnsi"/>
          <w:sz w:val="24"/>
          <w:szCs w:val="24"/>
        </w:rPr>
        <w:t>SAGE Publications</w:t>
      </w:r>
      <w:r w:rsidR="000A7622" w:rsidRPr="00C04F25">
        <w:rPr>
          <w:rFonts w:cstheme="minorHAnsi"/>
          <w:sz w:val="24"/>
          <w:szCs w:val="24"/>
        </w:rPr>
        <w:t xml:space="preserve">. </w:t>
      </w:r>
      <w:bookmarkEnd w:id="1"/>
    </w:p>
    <w:p w14:paraId="36D66B89" w14:textId="7A4EF447" w:rsidR="000976FB" w:rsidRDefault="000976FB" w:rsidP="000976FB"/>
    <w:p w14:paraId="41FE515D" w14:textId="04212777" w:rsidR="00CC43B6" w:rsidRDefault="00CC43B6" w:rsidP="00CC43B6">
      <w:pPr>
        <w:pStyle w:val="Title"/>
      </w:pPr>
      <w:r w:rsidRPr="00CC43B6">
        <w:t>Assessing the Psychometric Proprieties of the Attitudes Toward Seeking Professional Psychological Help Scale–Short Form (ATSPPH-SF) Among Latino Adults</w:t>
      </w:r>
    </w:p>
    <w:p w14:paraId="2180BD1D" w14:textId="77777777" w:rsidR="003A6529" w:rsidRDefault="003A6529" w:rsidP="00CC43B6"/>
    <w:p w14:paraId="06F3A7B9" w14:textId="3EB42F20" w:rsidR="00CC43B6" w:rsidRPr="00626EBE" w:rsidRDefault="00CC43B6" w:rsidP="00626EBE">
      <w:pPr>
        <w:pStyle w:val="NoSpacing"/>
        <w:rPr>
          <w:sz w:val="32"/>
          <w:szCs w:val="32"/>
        </w:rPr>
      </w:pPr>
      <w:r w:rsidRPr="00626EBE">
        <w:rPr>
          <w:sz w:val="32"/>
          <w:szCs w:val="32"/>
        </w:rPr>
        <w:t xml:space="preserve">Lucas Torres </w:t>
      </w:r>
    </w:p>
    <w:p w14:paraId="54EBE287" w14:textId="2C52F679" w:rsidR="003A6529" w:rsidRPr="00626EBE" w:rsidRDefault="00626EBE" w:rsidP="00626EBE">
      <w:pPr>
        <w:pStyle w:val="NoSpacing"/>
        <w:rPr>
          <w:sz w:val="24"/>
          <w:szCs w:val="24"/>
        </w:rPr>
      </w:pPr>
      <w:r w:rsidRPr="00626EBE">
        <w:rPr>
          <w:sz w:val="24"/>
          <w:szCs w:val="24"/>
        </w:rPr>
        <w:t>Psychology Department, Marquette University, Milwaukee, WI</w:t>
      </w:r>
    </w:p>
    <w:p w14:paraId="51F6F1BA" w14:textId="79803FB2" w:rsidR="003A6529" w:rsidRPr="00626EBE" w:rsidRDefault="003A6529" w:rsidP="00626EBE">
      <w:pPr>
        <w:pStyle w:val="NoSpacing"/>
        <w:rPr>
          <w:sz w:val="32"/>
          <w:szCs w:val="32"/>
        </w:rPr>
      </w:pPr>
      <w:r w:rsidRPr="00626EBE">
        <w:rPr>
          <w:sz w:val="32"/>
          <w:szCs w:val="32"/>
        </w:rPr>
        <w:t>Brooke Magnus</w:t>
      </w:r>
    </w:p>
    <w:p w14:paraId="716268AC" w14:textId="417D23EF" w:rsidR="003A6529" w:rsidRPr="00626EBE" w:rsidRDefault="00626EBE" w:rsidP="00626EBE">
      <w:pPr>
        <w:pStyle w:val="NoSpacing"/>
        <w:rPr>
          <w:sz w:val="24"/>
          <w:szCs w:val="24"/>
        </w:rPr>
      </w:pPr>
      <w:r w:rsidRPr="00626EBE">
        <w:rPr>
          <w:sz w:val="24"/>
          <w:szCs w:val="24"/>
        </w:rPr>
        <w:t>Psychology Department, Marquette University, Milwaukee, WI</w:t>
      </w:r>
    </w:p>
    <w:p w14:paraId="7B850C19" w14:textId="7A7F4949" w:rsidR="003A6529" w:rsidRPr="00626EBE" w:rsidRDefault="003A6529" w:rsidP="00626EBE">
      <w:pPr>
        <w:pStyle w:val="NoSpacing"/>
        <w:rPr>
          <w:sz w:val="32"/>
          <w:szCs w:val="32"/>
        </w:rPr>
      </w:pPr>
      <w:r w:rsidRPr="00626EBE">
        <w:rPr>
          <w:sz w:val="32"/>
          <w:szCs w:val="32"/>
        </w:rPr>
        <w:t xml:space="preserve">Natasha </w:t>
      </w:r>
      <w:proofErr w:type="spellStart"/>
      <w:r w:rsidRPr="00626EBE">
        <w:rPr>
          <w:sz w:val="32"/>
          <w:szCs w:val="32"/>
        </w:rPr>
        <w:t>Najar</w:t>
      </w:r>
      <w:proofErr w:type="spellEnd"/>
    </w:p>
    <w:p w14:paraId="78D858BE" w14:textId="77777777" w:rsidR="00626EBE" w:rsidRPr="00626EBE" w:rsidRDefault="00626EBE" w:rsidP="00626EBE">
      <w:pPr>
        <w:pStyle w:val="NoSpacing"/>
        <w:rPr>
          <w:sz w:val="24"/>
          <w:szCs w:val="24"/>
        </w:rPr>
      </w:pPr>
      <w:r w:rsidRPr="00626EBE">
        <w:rPr>
          <w:sz w:val="24"/>
          <w:szCs w:val="24"/>
        </w:rPr>
        <w:t>Psychology Department, Marquette University, Milwaukee, WI</w:t>
      </w:r>
    </w:p>
    <w:p w14:paraId="1F5B5FDB" w14:textId="77777777" w:rsidR="003A6529" w:rsidRDefault="003A6529" w:rsidP="00CC43B6"/>
    <w:p w14:paraId="36F1B378" w14:textId="77777777" w:rsidR="00055C42" w:rsidRPr="00055C42" w:rsidRDefault="00055C42" w:rsidP="00626EBE">
      <w:pPr>
        <w:pStyle w:val="Heading1"/>
      </w:pPr>
      <w:r w:rsidRPr="00055C42">
        <w:t>Abstract</w:t>
      </w:r>
    </w:p>
    <w:p w14:paraId="717EE5A5" w14:textId="77777777" w:rsidR="00055C42" w:rsidRPr="00055C42" w:rsidRDefault="00055C42" w:rsidP="00055C42">
      <w:r w:rsidRPr="00055C42">
        <w:t xml:space="preserve">The Latino population continues to underutilize mental health services at an alarming rate. The Attitudes Toward Seeking Professional Psychological Help Scale–Short Form (ATSPPH-SF) is one of the </w:t>
      </w:r>
      <w:proofErr w:type="gramStart"/>
      <w:r w:rsidRPr="00055C42">
        <w:t>most commonly used</w:t>
      </w:r>
      <w:proofErr w:type="gramEnd"/>
      <w:r w:rsidRPr="00055C42">
        <w:t xml:space="preserve"> instruments to assess help-seeking attitudes. The current study sought to evaluate the factor structure and test for the presence of differential item functioning on the ATSPPH-SF with a sample of Latino adult individuals across nativity status (U.S.- vs. foreign-born), language format (English vs. Spanish), and gender. The analyses revealed two relatively independent factors named Openness to Seeking Treatment and Value and Need in Seeking Treatment. Measurement equivalence and practical implications are discussed in the context of use with Latino individuals.</w:t>
      </w:r>
    </w:p>
    <w:p w14:paraId="2C3CF017" w14:textId="77777777" w:rsidR="00055C42" w:rsidRPr="00055C42" w:rsidRDefault="00055C42" w:rsidP="00626EBE">
      <w:pPr>
        <w:pStyle w:val="Heading1"/>
      </w:pPr>
      <w:r w:rsidRPr="00055C42">
        <w:t>Keywords </w:t>
      </w:r>
    </w:p>
    <w:p w14:paraId="38D373A7" w14:textId="2579D7BC" w:rsidR="00055C42" w:rsidRPr="00055C42" w:rsidRDefault="00055C42" w:rsidP="00055C42">
      <w:r w:rsidRPr="00626EBE">
        <w:t>help-seeking</w:t>
      </w:r>
      <w:r w:rsidRPr="00055C42">
        <w:t>, </w:t>
      </w:r>
      <w:r w:rsidRPr="00626EBE">
        <w:t>Latino/a</w:t>
      </w:r>
      <w:r w:rsidRPr="00055C42">
        <w:t>, </w:t>
      </w:r>
      <w:r w:rsidRPr="00626EBE">
        <w:t>differential item functioning</w:t>
      </w:r>
      <w:r w:rsidRPr="00055C42">
        <w:t>, </w:t>
      </w:r>
      <w:r w:rsidRPr="00626EBE">
        <w:t>DIF</w:t>
      </w:r>
      <w:r w:rsidRPr="00055C42">
        <w:t>, </w:t>
      </w:r>
      <w:r w:rsidRPr="00626EBE">
        <w:t>measurement equivalence</w:t>
      </w:r>
    </w:p>
    <w:p w14:paraId="2308AA95" w14:textId="1BB401F0" w:rsidR="00055C42" w:rsidRPr="00055C42" w:rsidRDefault="00055C42" w:rsidP="00055C42">
      <w:r w:rsidRPr="00055C42">
        <w:lastRenderedPageBreak/>
        <w:t>The general underutilization of mental health care services among racial/ethnic minority individuals, including Latinos, is of growing concern. More specifically, despite prevalence rates that parallel or exceed their White American counterparts, racial/ethnic minorities are less likely to seek professional psychological help and are more often to terminate treatment prematurely (</w:t>
      </w:r>
      <w:r w:rsidRPr="006A29B3">
        <w:t>U.S. Department of Health and Human Services, 2001</w:t>
      </w:r>
      <w:r w:rsidRPr="00055C42">
        <w:t>). For instance, among Latinos with a diagnosed mental disorder, only 9.3% reported using a mental health care provider (</w:t>
      </w:r>
      <w:r w:rsidRPr="006A29B3">
        <w:t>Vega et al., 2001</w:t>
      </w:r>
      <w:r w:rsidRPr="00055C42">
        <w:t>). Additionally, mental health service use among Latino immigrants was even lower than U.S.-born Latinos, where fewer than 1 in 20 will contact a mental health care provider and less than 1 in 10 will seek services from a general practitioner (</w:t>
      </w:r>
      <w:r w:rsidRPr="006A29B3">
        <w:t>U.S. Department of Health and Human Services, 2001</w:t>
      </w:r>
      <w:r w:rsidRPr="00055C42">
        <w:t>). A more recent epidemiological study supported these findings and reported that approximately 5% of Latinos sampled received mental health treatment despite 17% having received a psychiatric diagnosis in the past year (</w:t>
      </w:r>
      <w:r w:rsidRPr="006A29B3">
        <w:t>Burnett-Zeigler et al., 2018</w:t>
      </w:r>
      <w:r w:rsidRPr="00055C42">
        <w:t>).</w:t>
      </w:r>
    </w:p>
    <w:p w14:paraId="1E84D299" w14:textId="7AA02881" w:rsidR="00055C42" w:rsidRPr="00055C42" w:rsidRDefault="00055C42" w:rsidP="00055C42">
      <w:r w:rsidRPr="00055C42">
        <w:t>Empirical work has suggested that positive attitudes toward mental health care is associated with help-seeking behaviors (</w:t>
      </w:r>
      <w:proofErr w:type="spellStart"/>
      <w:r w:rsidRPr="006A29B3">
        <w:t>Mojtabai</w:t>
      </w:r>
      <w:proofErr w:type="spellEnd"/>
      <w:r w:rsidRPr="006A29B3">
        <w:t xml:space="preserve"> et al., 2002</w:t>
      </w:r>
      <w:r w:rsidRPr="00055C42">
        <w:t>). Still, attitudes toward mental health treatment can vary across cultures, ethnicity, and gender (</w:t>
      </w:r>
      <w:r w:rsidRPr="006A29B3">
        <w:t>Gonzalez et al., 2011</w:t>
      </w:r>
      <w:r w:rsidRPr="00055C42">
        <w:t xml:space="preserve">). Given the key role positive attitudes toward mental health treatment may have in seeking psychological help, it is important to be able to </w:t>
      </w:r>
      <w:proofErr w:type="gramStart"/>
      <w:r w:rsidRPr="00055C42">
        <w:t>effectively and accurately assess this construct</w:t>
      </w:r>
      <w:proofErr w:type="gramEnd"/>
      <w:r w:rsidRPr="00055C42">
        <w:t xml:space="preserve"> across groups. Unfortunately, minimal work has examined the psychometric properties of instruments measuring attitudes toward seeking mental health treatment among Latino samples. Latinos continue to be one of the fastest growing groups in the United States and, in 2017, were the nation’s largest ethnic minority group constituting 18.1% of the total population (</w:t>
      </w:r>
      <w:r w:rsidRPr="006A29B3">
        <w:t>U.S. Census Bureau, 2018</w:t>
      </w:r>
      <w:r w:rsidRPr="00055C42">
        <w:t>). The current study sought to evaluate the factor structure and test for the presence of differential item functioning (DIF) on the Attitudes Toward Seeking Professional Psychological Help Scale–Short Form (ATSPPH-SF; </w:t>
      </w:r>
      <w:r w:rsidRPr="006A29B3">
        <w:t>Fischer &amp; Farina, 1995</w:t>
      </w:r>
      <w:r w:rsidRPr="00055C42">
        <w:t>) with a sample of Latino adult individuals across nativity status (U.S.- vs. foreign-born), language format (English vs. Spanish), and gender.</w:t>
      </w:r>
    </w:p>
    <w:p w14:paraId="68900176" w14:textId="77777777" w:rsidR="00055C42" w:rsidRPr="00055C42" w:rsidRDefault="00055C42" w:rsidP="002C6591">
      <w:pPr>
        <w:pStyle w:val="Heading1"/>
      </w:pPr>
      <w:bookmarkStart w:id="2" w:name="_i1"/>
      <w:bookmarkEnd w:id="2"/>
      <w:r w:rsidRPr="00055C42">
        <w:t>ATSPPH-SF</w:t>
      </w:r>
    </w:p>
    <w:p w14:paraId="7794E973" w14:textId="42EB3CB3" w:rsidR="00055C42" w:rsidRPr="00055C42" w:rsidRDefault="00055C42" w:rsidP="00055C42">
      <w:r w:rsidRPr="00055C42">
        <w:t>The ATSPPH-SF was adapted from </w:t>
      </w:r>
      <w:r w:rsidRPr="006A29B3">
        <w:t>Fischer and Turner’s (1970)</w:t>
      </w:r>
      <w:r w:rsidRPr="00055C42">
        <w:t> ATSPPH. Both the original and short-form version of the scale are commonly used measures of help-seeking attitudes (</w:t>
      </w:r>
      <w:proofErr w:type="spellStart"/>
      <w:r w:rsidRPr="006A29B3">
        <w:t>Elhai</w:t>
      </w:r>
      <w:proofErr w:type="spellEnd"/>
      <w:r w:rsidRPr="006A29B3">
        <w:t xml:space="preserve"> et al., 2008</w:t>
      </w:r>
      <w:r w:rsidRPr="00055C42">
        <w:t>). The shortened version was developed using 14 of the original 29 items with the highest item-total score correlations (</w:t>
      </w:r>
      <w:r w:rsidRPr="006A29B3">
        <w:t>Fischer &amp; Farina, 1995</w:t>
      </w:r>
      <w:r w:rsidRPr="00055C42">
        <w:t>). A factor analysis of the ATSPPH-SF was conducted with 389 college students and revealed a two-factor solution. The authors reported that Factor 1 contained 10 items reflecting a willingness to seek psychological help. Factor 2 contained the remaining four items that reflected a disclosure/interpersonal openness dimension. Due to low internal consistency of the second factor (Cronbach’s α = .64), the items were subsequently dropped and the 10 items from Factor 1 were retained to comprise the ATSPPH-SF.</w:t>
      </w:r>
    </w:p>
    <w:p w14:paraId="26CCDBF6" w14:textId="2C2AF602" w:rsidR="00055C42" w:rsidRPr="00055C42" w:rsidRDefault="00055C42" w:rsidP="00055C42">
      <w:r w:rsidRPr="00055C42">
        <w:t>The development of the ATSPPH-SF addressed some of the limitations of the original scale, changed and updated some of the terminology, discarded items with low validity and reliability, and constructed a revised scale with a single unitary dimension. However, some questions regarding the factor structure of the ATSPPH-SF have emerged. For example, </w:t>
      </w:r>
      <w:proofErr w:type="spellStart"/>
      <w:r w:rsidRPr="006A29B3">
        <w:t>Elhai</w:t>
      </w:r>
      <w:proofErr w:type="spellEnd"/>
      <w:r w:rsidRPr="006A29B3">
        <w:t xml:space="preserve"> et al. (2008)</w:t>
      </w:r>
      <w:r w:rsidRPr="00055C42">
        <w:t xml:space="preserve"> investigated the factor structure of the ATSPPH-SF with a sample of 296 college students, primarily European Americans. Exploratory factor analysis (EFA) showed evidence for two factors named Openness to Seeking Treatment for Emotional Problems and Value and Need in Seeking Treatment. A confirmatory factor analysis (CFA) validated the scale’s two-factor solution with a large sample of medical patients, most </w:t>
      </w:r>
      <w:proofErr w:type="gramStart"/>
      <w:r w:rsidRPr="00055C42">
        <w:t>whom</w:t>
      </w:r>
      <w:proofErr w:type="gramEnd"/>
      <w:r w:rsidRPr="00055C42">
        <w:t xml:space="preserve"> were European American.</w:t>
      </w:r>
    </w:p>
    <w:p w14:paraId="1C1F3786" w14:textId="2C6F9C07" w:rsidR="00055C42" w:rsidRPr="00055C42" w:rsidRDefault="00055C42" w:rsidP="00055C42">
      <w:r w:rsidRPr="00055C42">
        <w:t>Some research has examined the factor structure of the ATSPPH-SF with non-European American samples and revealed some inconsistencies. </w:t>
      </w:r>
      <w:r w:rsidRPr="006A29B3">
        <w:t>Ang et al. (2007)</w:t>
      </w:r>
      <w:r w:rsidRPr="00055C42">
        <w:t> investigated the factorial structure of the ATSPPH-SF across two Asian samples from Singapore. Using CFA, they found a poor fit with both data samples and the original one-factor solution proposed by </w:t>
      </w:r>
      <w:r w:rsidRPr="006A29B3">
        <w:t>Fischer and Farina (1995)</w:t>
      </w:r>
      <w:r w:rsidRPr="00055C42">
        <w:t xml:space="preserve">. Further investigation of each item revealed that the wording of Item #7 (“A person with an emotional problem is not likely to solve it alone; they are likely to solve it with professional help”) was double-barreled and was dropped from the model. </w:t>
      </w:r>
      <w:proofErr w:type="gramStart"/>
      <w:r w:rsidRPr="00055C42">
        <w:t>CFA’s</w:t>
      </w:r>
      <w:proofErr w:type="gramEnd"/>
      <w:r w:rsidRPr="00055C42">
        <w:t xml:space="preserve"> performed to test the goodness of fit of the one-factor model with nine items indicated an adequate fit among both Asian samples. Overall, findings from the </w:t>
      </w:r>
      <w:r w:rsidRPr="006A29B3">
        <w:t>Ang et al. (2007)</w:t>
      </w:r>
      <w:r w:rsidRPr="00055C42">
        <w:t> study provided strong support for a unidimensional factorial model for the nine-item scale, rather the original 10 items.</w:t>
      </w:r>
    </w:p>
    <w:p w14:paraId="74A1CA45" w14:textId="54C8AFBF" w:rsidR="00055C42" w:rsidRPr="00055C42" w:rsidRDefault="00055C42" w:rsidP="00055C42">
      <w:r w:rsidRPr="00055C42">
        <w:t>However, the single-factor structure of the ATSPPH-SF was found to be a poor fit to the data among a sample of mainland Chinese university students (</w:t>
      </w:r>
      <w:r w:rsidRPr="006A29B3">
        <w:t>Fang et al., 2011</w:t>
      </w:r>
      <w:r w:rsidRPr="00055C42">
        <w:t>). Instead, a two-factor model was determined after removing three double-barreled items. The internal consistency of the two-factor structured fell into the low range (below .60) leading the authors to conclude that there was no evidence for the cross-cultural equivalence of the ATSPPH-SF for mainland Chinese individuals. On the other hand, a separate study with Chinese college students found evidence for the two-factor structure of the ATSPPH-SF with acceptable, although low, internal consistency (</w:t>
      </w:r>
      <w:r w:rsidRPr="006A29B3">
        <w:t>Chang, 2007</w:t>
      </w:r>
      <w:r w:rsidRPr="00055C42">
        <w:t>). More recent work examined the single- and two-factor models of the ATSPPH-SF among a large sample of individuals from Singapore (</w:t>
      </w:r>
      <w:proofErr w:type="spellStart"/>
      <w:r w:rsidRPr="006A29B3">
        <w:t>Picco</w:t>
      </w:r>
      <w:proofErr w:type="spellEnd"/>
      <w:r w:rsidRPr="006A29B3">
        <w:t xml:space="preserve"> et al., 2016</w:t>
      </w:r>
      <w:r w:rsidRPr="00055C42">
        <w:t>). The major findings suggested that a three-factor structure showed the best fit of the data, while poor fit was reported for both the single- (nine item) and two-factor models.</w:t>
      </w:r>
    </w:p>
    <w:p w14:paraId="7DD9BAEA" w14:textId="6EED59A3" w:rsidR="00055C42" w:rsidRPr="00055C42" w:rsidRDefault="00055C42" w:rsidP="00055C42">
      <w:r w:rsidRPr="00055C42">
        <w:t>Criticisms of the psychometric properties of the shortened scale including stability of its factor structure and its cross-cultural validity have emerged (</w:t>
      </w:r>
      <w:r w:rsidRPr="006A29B3">
        <w:t>Mackenzie et al., 2004</w:t>
      </w:r>
      <w:r w:rsidRPr="00055C42">
        <w:t>). That is, the empirical findings have been inconsistent regarding the factor structure of the ATSPPH-SF when used across cultural groups. Still the ATSPPH-SF has been used widely in the United States with diverse cultural groups and internationally resulting in the translation of the instrument into numerous different languages (</w:t>
      </w:r>
      <w:r w:rsidRPr="006A29B3">
        <w:t>Fang et al., 2011</w:t>
      </w:r>
      <w:r w:rsidRPr="00055C42">
        <w:t>). The bulk of ATSPPH-SF psychometric studies have sampled university students with cultural equivalence focusing on Asian groups. To our knowledge, measurement equivalence of the ATSPPH-SF with Latino populations has yet to be reported. Still this measure has been used extensively across Latino groups including university students (</w:t>
      </w:r>
      <w:r w:rsidRPr="006A29B3">
        <w:t>Gloria et al., 2010</w:t>
      </w:r>
      <w:r w:rsidRPr="00055C42">
        <w:t>; </w:t>
      </w:r>
      <w:proofErr w:type="spellStart"/>
      <w:r w:rsidRPr="006A29B3">
        <w:t>Miville</w:t>
      </w:r>
      <w:proofErr w:type="spellEnd"/>
      <w:r w:rsidRPr="006A29B3">
        <w:t xml:space="preserve"> &amp; Constantine, 2006</w:t>
      </w:r>
      <w:r w:rsidRPr="00055C42">
        <w:t>; </w:t>
      </w:r>
      <w:r w:rsidRPr="006A29B3">
        <w:t>Ramos-Sanchez &amp; Atkinson, 2009</w:t>
      </w:r>
      <w:r w:rsidRPr="00055C42">
        <w:t>), Latino men from the community (</w:t>
      </w:r>
      <w:r w:rsidRPr="006A29B3">
        <w:t>Davis &amp; Liang, 2015</w:t>
      </w:r>
      <w:r w:rsidRPr="00055C42">
        <w:t>), and older adults (</w:t>
      </w:r>
      <w:proofErr w:type="spellStart"/>
      <w:r w:rsidRPr="006A29B3">
        <w:t>Hartlaub</w:t>
      </w:r>
      <w:proofErr w:type="spellEnd"/>
      <w:r w:rsidRPr="006A29B3">
        <w:t xml:space="preserve"> et al., 2014</w:t>
      </w:r>
      <w:r w:rsidRPr="00055C42">
        <w:t>; </w:t>
      </w:r>
      <w:r w:rsidRPr="006A29B3">
        <w:t>Jang et al., 2011</w:t>
      </w:r>
      <w:r w:rsidRPr="00055C42">
        <w:t>).</w:t>
      </w:r>
    </w:p>
    <w:p w14:paraId="24E49AF8" w14:textId="77777777" w:rsidR="00055C42" w:rsidRPr="00055C42" w:rsidRDefault="00055C42" w:rsidP="002C6591">
      <w:pPr>
        <w:pStyle w:val="Heading1"/>
      </w:pPr>
      <w:bookmarkStart w:id="3" w:name="_i2"/>
      <w:bookmarkEnd w:id="3"/>
      <w:r w:rsidRPr="00055C42">
        <w:t>Demographic Differences</w:t>
      </w:r>
    </w:p>
    <w:p w14:paraId="7119EE96" w14:textId="77777777" w:rsidR="00055C42" w:rsidRPr="00055C42" w:rsidRDefault="00055C42" w:rsidP="00055C42">
      <w:r w:rsidRPr="00055C42">
        <w:t>As noted, inconsistencies regarding the factor structure of the ATSPPH-SF across ethnically diverse samples suggest the need to better understand the measurement equivalence of this measure, particularly among Latino groups. As such, it is important to assess the equivalence of the ATSPPH-SF across key demographic variables that are thought to influence help-seeking attitudes within the Latino community, namely gender, nativity status, and language preferences.</w:t>
      </w:r>
    </w:p>
    <w:p w14:paraId="0AE2F02C" w14:textId="77777777" w:rsidR="00055C42" w:rsidRPr="00055C42" w:rsidRDefault="00055C42" w:rsidP="002C6591">
      <w:pPr>
        <w:pStyle w:val="Heading2"/>
      </w:pPr>
      <w:r w:rsidRPr="00055C42">
        <w:t>Gender</w:t>
      </w:r>
    </w:p>
    <w:p w14:paraId="3F248F3E" w14:textId="552D26DA" w:rsidR="00055C42" w:rsidRPr="00055C42" w:rsidRDefault="00055C42" w:rsidP="00055C42">
      <w:r w:rsidRPr="00055C42">
        <w:t>Empirical research examining the relationship between gender and attitudes toward help seeking have noted that women tend to report more positive views than men (</w:t>
      </w:r>
      <w:r w:rsidRPr="006A29B3">
        <w:t>Gonzalez et al., 2005</w:t>
      </w:r>
      <w:r w:rsidRPr="00055C42">
        <w:t>). This gender difference was found in a meta-analysis utilizing studies with college student samples (</w:t>
      </w:r>
      <w:r w:rsidRPr="006A29B3">
        <w:t>Nam et al., 2010</w:t>
      </w:r>
      <w:r w:rsidRPr="00055C42">
        <w:t xml:space="preserve">). Similarly, </w:t>
      </w:r>
      <w:proofErr w:type="gramStart"/>
      <w:r w:rsidRPr="00055C42">
        <w:t>the vast majority of</w:t>
      </w:r>
      <w:proofErr w:type="gramEnd"/>
      <w:r w:rsidRPr="00055C42">
        <w:t xml:space="preserve"> Latina women interviewed believed that services would be helpful, whereas men were more likely to have negative attitudes about the effectiveness of treatment (</w:t>
      </w:r>
      <w:r w:rsidRPr="006A29B3">
        <w:t>Bridges et al., 2012</w:t>
      </w:r>
      <w:r w:rsidRPr="00055C42">
        <w:t>). This difference in help-seeking attitudes may help explain the findings that Latina women are three times more likely to seek mental health providers when compared with Latino men (</w:t>
      </w:r>
      <w:r w:rsidRPr="006A29B3">
        <w:t>Vega et al., 2001</w:t>
      </w:r>
      <w:r w:rsidRPr="00055C42">
        <w:t>).</w:t>
      </w:r>
    </w:p>
    <w:p w14:paraId="78980D65" w14:textId="77777777" w:rsidR="00055C42" w:rsidRPr="00055C42" w:rsidRDefault="00055C42" w:rsidP="002C6591">
      <w:pPr>
        <w:pStyle w:val="Heading2"/>
      </w:pPr>
      <w:r w:rsidRPr="00055C42">
        <w:t>Nativity Status</w:t>
      </w:r>
    </w:p>
    <w:p w14:paraId="7C46CDA7" w14:textId="7C555D39" w:rsidR="00055C42" w:rsidRPr="00055C42" w:rsidRDefault="00055C42" w:rsidP="00055C42">
      <w:r w:rsidRPr="00055C42">
        <w:t>In terms of help seeking, some research has shown that foreign-born Latinos utilize mental health and general medical care at rates lower than their U.S.-born counterparts (</w:t>
      </w:r>
      <w:proofErr w:type="spellStart"/>
      <w:r w:rsidRPr="006A29B3">
        <w:t>Alegría</w:t>
      </w:r>
      <w:proofErr w:type="spellEnd"/>
      <w:r w:rsidRPr="006A29B3">
        <w:t xml:space="preserve"> et al., 2007</w:t>
      </w:r>
      <w:r w:rsidRPr="00055C42">
        <w:t>; </w:t>
      </w:r>
      <w:r w:rsidRPr="006A29B3">
        <w:t>Vega et al., 2001</w:t>
      </w:r>
      <w:r w:rsidRPr="00055C42">
        <w:t>). Latinos who have lived in the United States for fewer than 5 years have reported less satisfaction with mental health treatment than those in residence for 20 years or greater (</w:t>
      </w:r>
      <w:proofErr w:type="spellStart"/>
      <w:r w:rsidRPr="006A29B3">
        <w:t>Alegría</w:t>
      </w:r>
      <w:proofErr w:type="spellEnd"/>
      <w:r w:rsidRPr="006A29B3">
        <w:t xml:space="preserve"> et al., 2007</w:t>
      </w:r>
      <w:r w:rsidRPr="00055C42">
        <w:t>). Additionally, negative attitudes toward treatment have been thought to influence the ability to receive timely care, particularly for Latino immigrant men (</w:t>
      </w:r>
      <w:proofErr w:type="spellStart"/>
      <w:r w:rsidRPr="006A29B3">
        <w:t>Cabassa</w:t>
      </w:r>
      <w:proofErr w:type="spellEnd"/>
      <w:r w:rsidRPr="006A29B3">
        <w:t>, 2007</w:t>
      </w:r>
      <w:r w:rsidRPr="00055C42">
        <w:t>).</w:t>
      </w:r>
    </w:p>
    <w:p w14:paraId="434C8A83" w14:textId="77777777" w:rsidR="00055C42" w:rsidRPr="00055C42" w:rsidRDefault="00055C42" w:rsidP="002C6591">
      <w:pPr>
        <w:pStyle w:val="Heading2"/>
      </w:pPr>
      <w:r w:rsidRPr="00055C42">
        <w:t>Language Preference</w:t>
      </w:r>
    </w:p>
    <w:p w14:paraId="6A6A8D64" w14:textId="12801869" w:rsidR="00055C42" w:rsidRPr="00055C42" w:rsidRDefault="00055C42" w:rsidP="00055C42">
      <w:r w:rsidRPr="00055C42">
        <w:t>Empirical research has demonstrated that, among Latino groups, Spanish language preference has been associated with a lower likelihood of utilizing psychological services, particularly targeting anxiety and mood difficulties (</w:t>
      </w:r>
      <w:proofErr w:type="spellStart"/>
      <w:r w:rsidRPr="006A29B3">
        <w:t>Alegría</w:t>
      </w:r>
      <w:proofErr w:type="spellEnd"/>
      <w:r w:rsidRPr="006A29B3">
        <w:t xml:space="preserve"> et al., 2007</w:t>
      </w:r>
      <w:r w:rsidRPr="00055C42">
        <w:t>; </w:t>
      </w:r>
      <w:proofErr w:type="spellStart"/>
      <w:r w:rsidRPr="006A29B3">
        <w:t>Berdahl</w:t>
      </w:r>
      <w:proofErr w:type="spellEnd"/>
      <w:r w:rsidRPr="006A29B3">
        <w:t xml:space="preserve"> &amp; Stone, 2009</w:t>
      </w:r>
      <w:r w:rsidRPr="00055C42">
        <w:t>; </w:t>
      </w:r>
      <w:r w:rsidRPr="006A29B3">
        <w:t>Keyes et al., 2012</w:t>
      </w:r>
      <w:r w:rsidRPr="00055C42">
        <w:t>). Among foreign-born Latinos with a diagnosed disorder, limited English proficiency was related to decreased mental health service use (</w:t>
      </w:r>
      <w:r w:rsidRPr="006A29B3">
        <w:t>Kim et al., 2011</w:t>
      </w:r>
      <w:r w:rsidRPr="00055C42">
        <w:t>). Although language preference has been thought to be correlated to an individual’s attitudes toward help seeking and beliefs about health, minimal empirical work has sought to examine this link among Latino groups. Given its widespread use, the ATSPPH has been translated into several languages for study across diverse populations (</w:t>
      </w:r>
      <w:r w:rsidRPr="006A29B3">
        <w:t>Fang et al., 2011</w:t>
      </w:r>
      <w:r w:rsidRPr="00055C42">
        <w:t>). Still the language equivalence of the ATSSPH-SF has yet to be examined for Spanish-speaking participants.</w:t>
      </w:r>
    </w:p>
    <w:p w14:paraId="14BF3250" w14:textId="77777777" w:rsidR="00055C42" w:rsidRPr="00055C42" w:rsidRDefault="00055C42" w:rsidP="002C6591">
      <w:pPr>
        <w:pStyle w:val="Heading1"/>
      </w:pPr>
      <w:bookmarkStart w:id="4" w:name="_i6"/>
      <w:bookmarkEnd w:id="4"/>
      <w:r w:rsidRPr="00055C42">
        <w:t>Purpose of the Current Study</w:t>
      </w:r>
    </w:p>
    <w:p w14:paraId="05F9D9A5" w14:textId="4A84E993" w:rsidR="00055C42" w:rsidRPr="00055C42" w:rsidRDefault="00055C42" w:rsidP="00055C42">
      <w:r w:rsidRPr="00055C42">
        <w:t>The main objectives of the current study were to examine the factor structure of the ATSPPH-SF scale with a sample of Latino community adults. The two-factor model was tested as well as alternative factor structures. The measurement equivalence of the ATSPPH-SF was also examined by testing for DIF across gender, nativity status, and language format of survey. Because we were most interested in understanding whether there are item-specific characteristics (e.g., vocabulary, phrasing) that may result in DIF, we adopt an item response theory (IRT) approach in testing for DIF rather than the common structural equation modeling (SEM) approach of testing for measurement nonequivalence; however, both methods provide similar information (</w:t>
      </w:r>
      <w:proofErr w:type="spellStart"/>
      <w:r w:rsidRPr="006A29B3">
        <w:t>Thissen</w:t>
      </w:r>
      <w:proofErr w:type="spellEnd"/>
      <w:r w:rsidRPr="006A29B3">
        <w:t>, 2017</w:t>
      </w:r>
      <w:r w:rsidRPr="00055C42">
        <w:t>). </w:t>
      </w:r>
      <w:proofErr w:type="spellStart"/>
      <w:r w:rsidRPr="006A29B3">
        <w:t>Thissen</w:t>
      </w:r>
      <w:proofErr w:type="spellEnd"/>
      <w:r w:rsidRPr="006A29B3">
        <w:t xml:space="preserve"> (2017)</w:t>
      </w:r>
      <w:r w:rsidRPr="00055C42">
        <w:t xml:space="preserve"> illustrated that for ordinal items with seven plus or minus two response categories, DIF analysis from an IRT framework and multiple groups analysis from an SEM framework yield similar results. The main difference between the two approaches, as </w:t>
      </w:r>
      <w:proofErr w:type="spellStart"/>
      <w:r w:rsidRPr="00055C42">
        <w:t>Thissen</w:t>
      </w:r>
      <w:proofErr w:type="spellEnd"/>
      <w:r w:rsidRPr="00055C42">
        <w:t xml:space="preserve"> describes, is that IRT DIF analyses focus first on the individual item and then on the parameter type (i.e., discrimination, threshold), whereas SEM multiple group analyses focus first on the parameter type (i.e., factor loadings for all items simultaneously) and then on the item.</w:t>
      </w:r>
    </w:p>
    <w:p w14:paraId="5D1F335B" w14:textId="50FAACAE" w:rsidR="00055C42" w:rsidRPr="00055C42" w:rsidRDefault="00055C42" w:rsidP="00055C42">
      <w:r w:rsidRPr="00055C42">
        <w:t xml:space="preserve">Which approach is used largely depends on the research question of </w:t>
      </w:r>
      <w:proofErr w:type="gramStart"/>
      <w:r w:rsidRPr="00055C42">
        <w:t>interest.</w:t>
      </w:r>
      <w:proofErr w:type="gramEnd"/>
      <w:r w:rsidRPr="00055C42">
        <w:t xml:space="preserve"> From a test theory perspective, it is typically the item that is of interest first, followed by the type of parameter. Some scholars have argued that item-level DIF analysis is necessary in establishing measurement equivalence, particularly with translated instruments, as these strategies provide information that multiple group CFAs at the scale level may overlook (</w:t>
      </w:r>
      <w:proofErr w:type="spellStart"/>
      <w:r w:rsidRPr="006A29B3">
        <w:t>Zumbo</w:t>
      </w:r>
      <w:proofErr w:type="spellEnd"/>
      <w:r w:rsidRPr="006A29B3">
        <w:t>, 2003</w:t>
      </w:r>
      <w:r w:rsidRPr="00055C42">
        <w:t>). </w:t>
      </w:r>
      <w:r w:rsidRPr="006A29B3">
        <w:t>Meade and Lautenschlager (2004)</w:t>
      </w:r>
      <w:r w:rsidRPr="00055C42">
        <w:t> have also argued that when the equivalence of specific scale items is of primary interest, then the IRT approach may be more desirable. While both approaches have strengths and weaknesses, we adopt the IRT DIF approach in the current application; some of its limitations are addressed in the Discussion section.</w:t>
      </w:r>
    </w:p>
    <w:p w14:paraId="11020E8A" w14:textId="77777777" w:rsidR="00055C42" w:rsidRPr="00055C42" w:rsidRDefault="00055C42" w:rsidP="002C6591">
      <w:pPr>
        <w:pStyle w:val="Heading2"/>
      </w:pPr>
      <w:r w:rsidRPr="00055C42">
        <w:t>Differential Item Functioning</w:t>
      </w:r>
    </w:p>
    <w:p w14:paraId="16F48DDD" w14:textId="717D42EA" w:rsidR="00055C42" w:rsidRPr="00055C42" w:rsidRDefault="00055C42" w:rsidP="00055C42">
      <w:r w:rsidRPr="00055C42">
        <w:t>For valid interpretation, test scores should have the same meaning across all groups responding to the questionnaire. An item is said to exhibit DIF when two individuals who are administered the same measure and have equal amounts of the construct that is being measured do not have the same probability of endorsing each response category of the item (</w:t>
      </w:r>
      <w:proofErr w:type="spellStart"/>
      <w:r w:rsidRPr="006A29B3">
        <w:t>Reise</w:t>
      </w:r>
      <w:proofErr w:type="spellEnd"/>
      <w:r w:rsidRPr="006A29B3">
        <w:t xml:space="preserve"> &amp; Waller, 2009</w:t>
      </w:r>
      <w:r w:rsidRPr="00055C42">
        <w:t xml:space="preserve">). In DIF analysis, it is common to consider two individuals from two different groups (e.g., gender, </w:t>
      </w:r>
      <w:proofErr w:type="gramStart"/>
      <w:r w:rsidRPr="00055C42">
        <w:t>race</w:t>
      </w:r>
      <w:proofErr w:type="gramEnd"/>
      <w:r w:rsidRPr="00055C42">
        <w:t xml:space="preserve"> or ethnicity, etc.). Evaluation of DIF is particularly important when test scores are used to make claims regarding group differences on the construct, as scores computed with DIF-contaminated items may obscure or create misleading differences between groups (</w:t>
      </w:r>
      <w:r w:rsidRPr="006A29B3">
        <w:t xml:space="preserve">Holland &amp; </w:t>
      </w:r>
      <w:proofErr w:type="spellStart"/>
      <w:r w:rsidRPr="006A29B3">
        <w:t>Wainer</w:t>
      </w:r>
      <w:proofErr w:type="spellEnd"/>
      <w:r w:rsidRPr="006A29B3">
        <w:t>, 1993</w:t>
      </w:r>
      <w:r w:rsidRPr="00055C42">
        <w:t>). Thus, it is important to ask as follows: Do mean differences reflect real group differences in the latent variable that is being measured (e.g., Openness to Seeking Treatment), or are they merely an artifact of certain items on the measure having different psychometric properties between the two groups?</w:t>
      </w:r>
    </w:p>
    <w:p w14:paraId="3EF326EF" w14:textId="49A022EC" w:rsidR="00055C42" w:rsidRPr="00055C42" w:rsidRDefault="00055C42" w:rsidP="00055C42">
      <w:r w:rsidRPr="00055C42">
        <w:t>Within an IRT framework, DIF is often classified as one of two types: uniform or nonuniform. An item exhibits uniform (or threshold) DIF when after controlling for levels of the latent variable, one group is consistently more likely to endorse the item than the other group. Uniform DIF is shown graphically with item response functions that are shifted horizontally for one group relative to the other. In contrast, an item exhibits nonuniform (or discrimination) DIF when it is more salient for one group than another; thus, the relationship between the item and the construct differs between groups (</w:t>
      </w:r>
      <w:r w:rsidRPr="006A29B3">
        <w:t>Orlando &amp; Marshall, 2002</w:t>
      </w:r>
      <w:r w:rsidRPr="00055C42">
        <w:t>). Nonuniform DIF tends to manifest as the item being more easily endorsed by one group only at certain levels of the latent variable. Nonuniform DIF is shown graphically with item response functions that cross, as the item slopes are unequal.</w:t>
      </w:r>
    </w:p>
    <w:p w14:paraId="11297BE3" w14:textId="77777777" w:rsidR="00055C42" w:rsidRPr="00055C42" w:rsidRDefault="00055C42" w:rsidP="002C6591">
      <w:pPr>
        <w:pStyle w:val="Heading1"/>
      </w:pPr>
      <w:bookmarkStart w:id="5" w:name="_i8"/>
      <w:bookmarkEnd w:id="5"/>
      <w:r w:rsidRPr="00055C42">
        <w:t>Method</w:t>
      </w:r>
    </w:p>
    <w:p w14:paraId="7F827DDD" w14:textId="77777777" w:rsidR="00055C42" w:rsidRPr="00055C42" w:rsidRDefault="00055C42" w:rsidP="002C6591">
      <w:pPr>
        <w:pStyle w:val="Heading2"/>
      </w:pPr>
      <w:r w:rsidRPr="00055C42">
        <w:t>Participants</w:t>
      </w:r>
    </w:p>
    <w:p w14:paraId="4C2395A6" w14:textId="77777777" w:rsidR="00055C42" w:rsidRPr="00055C42" w:rsidRDefault="00055C42" w:rsidP="00055C42">
      <w:r w:rsidRPr="00055C42">
        <w:t>The current study included 437 adult individuals who self-identified as Latina/o, Hispanic, or of Spanish origin (i.e., Mexican, Puerto Rican, South American, Cuban, or other). The sample averaged approximately 43 years of age (</w:t>
      </w:r>
      <w:r w:rsidRPr="00055C42">
        <w:rPr>
          <w:i/>
          <w:iCs/>
        </w:rPr>
        <w:t>SD</w:t>
      </w:r>
      <w:r w:rsidRPr="00055C42">
        <w:t> = 16.59, range = 18-84) and included mostly women (67%, </w:t>
      </w:r>
      <w:r w:rsidRPr="00055C42">
        <w:rPr>
          <w:i/>
          <w:iCs/>
        </w:rPr>
        <w:t>n</w:t>
      </w:r>
      <w:r w:rsidRPr="00055C42">
        <w:t xml:space="preserve"> = 287). </w:t>
      </w:r>
      <w:proofErr w:type="gramStart"/>
      <w:r w:rsidRPr="00055C42">
        <w:t>The vast majority of</w:t>
      </w:r>
      <w:proofErr w:type="gramEnd"/>
      <w:r w:rsidRPr="00055C42">
        <w:t xml:space="preserve"> participants identified as Mexican/Mexican American or Chicano (90%, </w:t>
      </w:r>
      <w:r w:rsidRPr="00055C42">
        <w:rPr>
          <w:i/>
          <w:iCs/>
        </w:rPr>
        <w:t>n</w:t>
      </w:r>
      <w:r w:rsidRPr="00055C42">
        <w:t> = 392). For nativity status, most individuals indicated having been born in the United States (60%, </w:t>
      </w:r>
      <w:r w:rsidRPr="00055C42">
        <w:rPr>
          <w:i/>
          <w:iCs/>
        </w:rPr>
        <w:t>n</w:t>
      </w:r>
      <w:r w:rsidRPr="00055C42">
        <w:t> = 259). In terms of annual household income, approximately 30% of the sample (</w:t>
      </w:r>
      <w:r w:rsidRPr="00055C42">
        <w:rPr>
          <w:i/>
          <w:iCs/>
        </w:rPr>
        <w:t>n</w:t>
      </w:r>
      <w:r w:rsidRPr="00055C42">
        <w:t> = 127) reported earning less than $20,000, 45% (</w:t>
      </w:r>
      <w:r w:rsidRPr="00055C42">
        <w:rPr>
          <w:i/>
          <w:iCs/>
        </w:rPr>
        <w:t>n</w:t>
      </w:r>
      <w:r w:rsidRPr="00055C42">
        <w:t> = 199) indicated earning between $20,000 and $50,000, while about 21% (</w:t>
      </w:r>
      <w:r w:rsidRPr="00055C42">
        <w:rPr>
          <w:i/>
          <w:iCs/>
        </w:rPr>
        <w:t>n</w:t>
      </w:r>
      <w:r w:rsidRPr="00055C42">
        <w:t> = 92) stated over $75,000.</w:t>
      </w:r>
    </w:p>
    <w:p w14:paraId="0C30DFA5" w14:textId="77777777" w:rsidR="00055C42" w:rsidRPr="00055C42" w:rsidRDefault="00055C42" w:rsidP="002C6591">
      <w:pPr>
        <w:pStyle w:val="Heading2"/>
      </w:pPr>
      <w:r w:rsidRPr="00055C42">
        <w:t>Measures</w:t>
      </w:r>
    </w:p>
    <w:p w14:paraId="4A00645A" w14:textId="31451DE3" w:rsidR="00055C42" w:rsidRPr="00055C42" w:rsidRDefault="00055C42" w:rsidP="00055C42">
      <w:r w:rsidRPr="00055C42">
        <w:t>The ATSPPH-SF (</w:t>
      </w:r>
      <w:r w:rsidRPr="006A29B3">
        <w:t>Fischer &amp; Farina, 1995</w:t>
      </w:r>
      <w:r w:rsidRPr="00055C42">
        <w:t>) is a 10-item measure used to assess attitudes toward seeking psychological help. This unidimensional scale was developed from the original 29-item multidimensional measure (</w:t>
      </w:r>
      <w:r w:rsidRPr="006A29B3">
        <w:t>Fischer &amp; Turner, 1970</w:t>
      </w:r>
      <w:r w:rsidRPr="00055C42">
        <w:t>). Participants are asked to rate each statement on a 4-point Likert-type scale (0 = </w:t>
      </w:r>
      <w:r w:rsidRPr="00055C42">
        <w:rPr>
          <w:i/>
          <w:iCs/>
        </w:rPr>
        <w:t>disagree</w:t>
      </w:r>
      <w:r w:rsidRPr="00055C42">
        <w:t>, 1 = </w:t>
      </w:r>
      <w:r w:rsidRPr="00055C42">
        <w:rPr>
          <w:i/>
          <w:iCs/>
        </w:rPr>
        <w:t>somewhat disagree</w:t>
      </w:r>
      <w:r w:rsidRPr="00055C42">
        <w:t>, 2 = </w:t>
      </w:r>
      <w:r w:rsidRPr="00055C42">
        <w:rPr>
          <w:i/>
          <w:iCs/>
        </w:rPr>
        <w:t>somewhat agree</w:t>
      </w:r>
      <w:r w:rsidRPr="00055C42">
        <w:t>, 3 = </w:t>
      </w:r>
      <w:r w:rsidRPr="00055C42">
        <w:rPr>
          <w:i/>
          <w:iCs/>
        </w:rPr>
        <w:t>agree</w:t>
      </w:r>
      <w:r w:rsidRPr="00055C42">
        <w:t>). Total obtained score can range from 0 to 30, with higher scores indicating more positive attitudes toward treatment. The proportion of missing data at the item level ranged from less than 0.01 to 0.04.</w:t>
      </w:r>
    </w:p>
    <w:p w14:paraId="0C16BF5E" w14:textId="77777777" w:rsidR="00055C42" w:rsidRPr="00055C42" w:rsidRDefault="00055C42" w:rsidP="002C6591">
      <w:pPr>
        <w:pStyle w:val="Heading2"/>
      </w:pPr>
      <w:r w:rsidRPr="00055C42">
        <w:t>Procedure</w:t>
      </w:r>
    </w:p>
    <w:p w14:paraId="5FB8377D" w14:textId="77777777" w:rsidR="00055C42" w:rsidRPr="00055C42" w:rsidRDefault="00055C42" w:rsidP="00055C42">
      <w:r w:rsidRPr="00055C42">
        <w:t>Participants were recruited, as part of a larger study examining Latino mental health, from local community/church fairs or neighborhood events celebrating Latino culture in a moderately sized Midwestern city. Interested participants were informed about the nature of the study, which involved answering questions about their daily lives as Latinos living in the United States, confidentiality, and anonymity. Participants who gave verbal consent were asked to complete a series of questionnaires that included the ATSPPH-SF. On completion, participants were compensated with a $10 gift card. All procedures were approved by the host institution’s internal review board.</w:t>
      </w:r>
    </w:p>
    <w:p w14:paraId="3935950C" w14:textId="59EF1DCE" w:rsidR="00055C42" w:rsidRPr="00055C42" w:rsidRDefault="00055C42" w:rsidP="00055C42">
      <w:r w:rsidRPr="00055C42">
        <w:t>Questionnaires were made available in either English (</w:t>
      </w:r>
      <w:r w:rsidRPr="00055C42">
        <w:rPr>
          <w:i/>
          <w:iCs/>
        </w:rPr>
        <w:t>n</w:t>
      </w:r>
      <w:r w:rsidRPr="00055C42">
        <w:t> = 302) or Spanish (</w:t>
      </w:r>
      <w:r w:rsidRPr="00055C42">
        <w:rPr>
          <w:i/>
          <w:iCs/>
        </w:rPr>
        <w:t>n</w:t>
      </w:r>
      <w:r w:rsidRPr="00055C42">
        <w:t> = 135). The Spanish ATSPPH-SF was created for the current study using a double translation procedure; the gold standard in developing equivalent versions of instruments (</w:t>
      </w:r>
      <w:r w:rsidRPr="006A29B3">
        <w:t>Knight et al., 2009</w:t>
      </w:r>
      <w:r w:rsidRPr="00055C42">
        <w:t>; </w:t>
      </w:r>
      <w:r w:rsidRPr="006A29B3">
        <w:t>Marín &amp; Marín, 1991</w:t>
      </w:r>
      <w:r w:rsidRPr="00055C42">
        <w:t xml:space="preserve">). A bilingual professional, not related to the project, first translated the English ATSPPH-SF into Spanish. Then, the Spanish version was </w:t>
      </w:r>
      <w:proofErr w:type="gramStart"/>
      <w:r w:rsidRPr="00055C42">
        <w:t>back-translated</w:t>
      </w:r>
      <w:proofErr w:type="gramEnd"/>
      <w:r w:rsidRPr="00055C42">
        <w:t xml:space="preserve"> into English by bilingual, bicultural research assistants. The back-translated and original English versions were then checked for accuracy and found to be similar in content. Translation of measures is a necessary step for inclusion of representative samples in research and it has been argued that including only English-speaking Latinos limits research to a select group of Latinos (</w:t>
      </w:r>
      <w:r w:rsidRPr="006A29B3">
        <w:t>Knight et al., 2009</w:t>
      </w:r>
      <w:r w:rsidRPr="00055C42">
        <w:t>). Furthermore, scholars contend that it is reasonable to assess measurement equivalence when participants self-select into language administration groups so long as the construct being evaluated is not directly influenced by language fluency or cultural practices (</w:t>
      </w:r>
      <w:r w:rsidRPr="006A29B3">
        <w:t>Schwartz et al., 2014</w:t>
      </w:r>
      <w:r w:rsidRPr="00055C42">
        <w:t>), neither of which apply to the ATSPPH-SF. Analysis of internal consistency for the current study of the ATSPPH-SF revealed a Cronbach’s α of .70 for English and .70 for Spanish.</w:t>
      </w:r>
    </w:p>
    <w:p w14:paraId="57A3B0A5" w14:textId="77777777" w:rsidR="00055C42" w:rsidRPr="00055C42" w:rsidRDefault="00055C42" w:rsidP="002C6591">
      <w:pPr>
        <w:pStyle w:val="Heading2"/>
      </w:pPr>
      <w:r w:rsidRPr="00055C42">
        <w:t>Analytic Plan</w:t>
      </w:r>
    </w:p>
    <w:p w14:paraId="3DBC8820" w14:textId="77777777" w:rsidR="00055C42" w:rsidRPr="002C6591" w:rsidRDefault="00055C42" w:rsidP="002C6591">
      <w:pPr>
        <w:pStyle w:val="Heading3"/>
        <w:rPr>
          <w:i/>
          <w:iCs/>
        </w:rPr>
      </w:pPr>
      <w:r w:rsidRPr="002C6591">
        <w:rPr>
          <w:i/>
          <w:iCs/>
        </w:rPr>
        <w:t>Scale Dimensionality</w:t>
      </w:r>
    </w:p>
    <w:p w14:paraId="04BF19D5" w14:textId="5DD98CD8" w:rsidR="00055C42" w:rsidRPr="00055C42" w:rsidRDefault="00055C42" w:rsidP="00055C42">
      <w:r w:rsidRPr="00055C42">
        <w:t>To evaluate the dimensionality of the measure, unidimensional and multidimensional graded response models (GRMs) were fit to the data using IRT patient-reported outcomes (IRTPRO; </w:t>
      </w:r>
      <w:r w:rsidRPr="006A29B3">
        <w:t>Cai et al., 2011</w:t>
      </w:r>
      <w:r w:rsidRPr="00055C42">
        <w:t>). Two- and three-factor EFAs were also conducted. The GRM is a type of item response model designed for the analysis of ordered categorical responses (e.g., Never, Rarely, Sometimes, Often, Always). For a unidimensional GRM, each item is characterized by a discrimination parameter (</w:t>
      </w:r>
      <w:proofErr w:type="spellStart"/>
      <w:r w:rsidRPr="00055C42">
        <w:rPr>
          <w:i/>
          <w:iCs/>
        </w:rPr>
        <w:t>a</w:t>
      </w:r>
      <w:r w:rsidRPr="00055C42">
        <w:rPr>
          <w:i/>
          <w:iCs/>
          <w:vertAlign w:val="subscript"/>
        </w:rPr>
        <w:t>j</w:t>
      </w:r>
      <w:proofErr w:type="spellEnd"/>
      <w:r w:rsidRPr="00055C42">
        <w:t>) that describes the strength of the relationship between item </w:t>
      </w:r>
      <w:r w:rsidRPr="00055C42">
        <w:rPr>
          <w:i/>
          <w:iCs/>
        </w:rPr>
        <w:t>j</w:t>
      </w:r>
      <w:r w:rsidRPr="00055C42">
        <w:t> and the latent variable θ, as well as a set of category-specific threshold parameters (</w:t>
      </w:r>
      <w:proofErr w:type="spellStart"/>
      <w:r w:rsidRPr="00055C42">
        <w:rPr>
          <w:i/>
          <w:iCs/>
        </w:rPr>
        <w:t>b</w:t>
      </w:r>
      <w:r w:rsidRPr="00055C42">
        <w:rPr>
          <w:i/>
          <w:iCs/>
          <w:vertAlign w:val="subscript"/>
        </w:rPr>
        <w:t>jk</w:t>
      </w:r>
      <w:proofErr w:type="spellEnd"/>
      <w:r w:rsidRPr="00055C42">
        <w:t>). The larger the discrimination parameter </w:t>
      </w:r>
      <w:proofErr w:type="spellStart"/>
      <w:r w:rsidRPr="00055C42">
        <w:rPr>
          <w:i/>
          <w:iCs/>
        </w:rPr>
        <w:t>a</w:t>
      </w:r>
      <w:r w:rsidRPr="00055C42">
        <w:rPr>
          <w:i/>
          <w:iCs/>
          <w:vertAlign w:val="subscript"/>
        </w:rPr>
        <w:t>j</w:t>
      </w:r>
      <w:proofErr w:type="spellEnd"/>
      <w:r w:rsidRPr="00055C42">
        <w:t>, the stronger the relationship between the item </w:t>
      </w:r>
      <w:r w:rsidRPr="00055C42">
        <w:rPr>
          <w:i/>
          <w:iCs/>
        </w:rPr>
        <w:t>j</w:t>
      </w:r>
      <w:r w:rsidRPr="00055C42">
        <w:t> and the latent variable θ. Threshold parameter </w:t>
      </w:r>
      <w:proofErr w:type="spellStart"/>
      <w:r w:rsidRPr="00055C42">
        <w:rPr>
          <w:i/>
          <w:iCs/>
        </w:rPr>
        <w:t>b</w:t>
      </w:r>
      <w:r w:rsidRPr="00055C42">
        <w:rPr>
          <w:i/>
          <w:iCs/>
          <w:vertAlign w:val="subscript"/>
        </w:rPr>
        <w:t>jk</w:t>
      </w:r>
      <w:proofErr w:type="spellEnd"/>
      <w:r w:rsidRPr="00055C42">
        <w:t> describes the location on θ where, for item </w:t>
      </w:r>
      <w:r w:rsidRPr="00055C42">
        <w:rPr>
          <w:i/>
          <w:iCs/>
        </w:rPr>
        <w:t>j</w:t>
      </w:r>
      <w:r w:rsidRPr="00055C42">
        <w:t>, a respondent has a 0.5 probability of endorsing category </w:t>
      </w:r>
      <w:r w:rsidRPr="00055C42">
        <w:rPr>
          <w:i/>
          <w:iCs/>
        </w:rPr>
        <w:t>k</w:t>
      </w:r>
      <w:r w:rsidRPr="00055C42">
        <w:t> or higher. For an item with </w:t>
      </w:r>
      <w:r w:rsidRPr="00055C42">
        <w:rPr>
          <w:i/>
          <w:iCs/>
        </w:rPr>
        <w:t>K</w:t>
      </w:r>
      <w:r w:rsidRPr="00055C42">
        <w:t> response categories, a total of </w:t>
      </w:r>
      <w:r w:rsidRPr="00055C42">
        <w:rPr>
          <w:i/>
          <w:iCs/>
        </w:rPr>
        <w:t>K</w:t>
      </w:r>
      <w:r w:rsidRPr="00055C42">
        <w:t> − 1 threshold parameters are estimated (the probability of responding in the first category or higher is 1).</w:t>
      </w:r>
    </w:p>
    <w:p w14:paraId="324EAA91" w14:textId="25E773B7" w:rsidR="00055C42" w:rsidRPr="00055C42" w:rsidRDefault="00055C42" w:rsidP="00055C42">
      <w:r w:rsidRPr="00055C42">
        <w:t xml:space="preserve">The multidimensional model found in the ATSPPH literature comprises two latent variables, with five items loading on each latent variable. We also considered a unidimensional model in which all 10 items load on a single latent variable, as well as two independent unidimensional models with five items each. For model identification, the mean and variance of each latent variable were fixed to 0 and 1, respectively. For multidimensional models, the correlation between the latent variables was estimated. Models were fit to the full sample, as well as to each subgroup: those taking the questionnaire in English, those taking the questionnaire in Spanish, U.S.-born respondents, foreign-born respondents, men, and women. To evaluate absolute model fit, models were first estimated using weighted least square mean and variance adjusted (WLSMV) as implemented in </w:t>
      </w:r>
      <w:proofErr w:type="spellStart"/>
      <w:r w:rsidRPr="00055C42">
        <w:t>M</w:t>
      </w:r>
      <w:r w:rsidRPr="00055C42">
        <w:rPr>
          <w:i/>
          <w:iCs/>
        </w:rPr>
        <w:t>plus</w:t>
      </w:r>
      <w:proofErr w:type="spellEnd"/>
      <w:r w:rsidRPr="00055C42">
        <w:t> version 8, which accounts for the ordinal nature of the data. After obtaining model fit information, all model parameters were estimated using maximum likelihood in IRTPRO (</w:t>
      </w:r>
      <w:r w:rsidRPr="006A29B3">
        <w:t>Cai et al., 2011</w:t>
      </w:r>
      <w:r w:rsidRPr="00055C42">
        <w:t>). For each model, the correlation between the latent variables (if relevant), model fit, and item parameter estimates (discriminations and thresholds) were evaluated. We considered multiple goodness-of-fit statistics, including the root mean square error of approximation (RMSEA), the comparative fit index (CFI), the Tucker–</w:t>
      </w:r>
      <w:proofErr w:type="gramStart"/>
      <w:r w:rsidRPr="00055C42">
        <w:t>Lewis</w:t>
      </w:r>
      <w:proofErr w:type="gramEnd"/>
      <w:r w:rsidRPr="00055C42">
        <w:t xml:space="preserve"> index (TLI), and the standardized root mean square residual (SRMR). General guidelines exist for “poor,” “acceptable,” and “good” levels of model fit (e.g., </w:t>
      </w:r>
      <w:r w:rsidRPr="006A29B3">
        <w:t xml:space="preserve">Browne &amp; </w:t>
      </w:r>
      <w:proofErr w:type="spellStart"/>
      <w:r w:rsidRPr="006A29B3">
        <w:t>Cudeck</w:t>
      </w:r>
      <w:proofErr w:type="spellEnd"/>
      <w:r w:rsidRPr="006A29B3">
        <w:t>, 1993</w:t>
      </w:r>
      <w:r w:rsidRPr="00055C42">
        <w:t>; </w:t>
      </w:r>
      <w:r w:rsidRPr="006A29B3">
        <w:t xml:space="preserve">Hu &amp; </w:t>
      </w:r>
      <w:proofErr w:type="spellStart"/>
      <w:r w:rsidRPr="006A29B3">
        <w:t>Bentler</w:t>
      </w:r>
      <w:proofErr w:type="spellEnd"/>
      <w:r w:rsidRPr="006A29B3">
        <w:t>, 1999</w:t>
      </w:r>
      <w:r w:rsidRPr="00055C42">
        <w:t>); however, these guidelines were developed and tested with maximum likelihood under the assumption of multivariate normality, which deviates from the current study. </w:t>
      </w:r>
      <w:r w:rsidRPr="006A29B3">
        <w:t>Zhao (2014)</w:t>
      </w:r>
      <w:r w:rsidRPr="00055C42">
        <w:t xml:space="preserve"> conducted a large-scale simulation study examining the performance of these fit statistics with ordinal data and the WLSMV </w:t>
      </w:r>
      <w:proofErr w:type="gramStart"/>
      <w:r w:rsidRPr="00055C42">
        <w:t>estimator, and</w:t>
      </w:r>
      <w:proofErr w:type="gramEnd"/>
      <w:r w:rsidRPr="00055C42">
        <w:t xml:space="preserve"> cautioned against using strict cutoff values because so much variability exists among models (e.g., sample size, model complexity, etc.). For these reasons, rather than using stringent cutoffs, we evaluated model fit with the general goal of obtaining RMSEA values less than 0.08 (</w:t>
      </w:r>
      <w:r w:rsidRPr="006A29B3">
        <w:t xml:space="preserve">Browne &amp; </w:t>
      </w:r>
      <w:proofErr w:type="spellStart"/>
      <w:r w:rsidRPr="006A29B3">
        <w:t>Cudeck</w:t>
      </w:r>
      <w:proofErr w:type="spellEnd"/>
      <w:r w:rsidRPr="006A29B3">
        <w:t>, 1993</w:t>
      </w:r>
      <w:r w:rsidRPr="00055C42">
        <w:t>), CFI and TLI values greater than 0.95 (</w:t>
      </w:r>
      <w:r w:rsidRPr="006A29B3">
        <w:t xml:space="preserve">Hu &amp; </w:t>
      </w:r>
      <w:proofErr w:type="spellStart"/>
      <w:r w:rsidRPr="006A29B3">
        <w:t>Bentler</w:t>
      </w:r>
      <w:proofErr w:type="spellEnd"/>
      <w:r w:rsidRPr="006A29B3">
        <w:t>, 1999</w:t>
      </w:r>
      <w:r w:rsidRPr="00055C42">
        <w:t>), and SRMR values less than 0.08 (</w:t>
      </w:r>
      <w:r w:rsidRPr="006A29B3">
        <w:t xml:space="preserve">Hu &amp; </w:t>
      </w:r>
      <w:proofErr w:type="spellStart"/>
      <w:r w:rsidRPr="006A29B3">
        <w:t>Bentler</w:t>
      </w:r>
      <w:proofErr w:type="spellEnd"/>
      <w:r w:rsidRPr="006A29B3">
        <w:t>, 1999</w:t>
      </w:r>
      <w:r w:rsidRPr="00055C42">
        <w:t>). We identified a single best-fitting model to be used for the DIF analyses.</w:t>
      </w:r>
    </w:p>
    <w:p w14:paraId="0EF23A45" w14:textId="77777777" w:rsidR="00055C42" w:rsidRPr="002C6591" w:rsidRDefault="00055C42" w:rsidP="002C6591">
      <w:pPr>
        <w:pStyle w:val="Heading3"/>
        <w:rPr>
          <w:i/>
          <w:iCs/>
        </w:rPr>
      </w:pPr>
      <w:r w:rsidRPr="002C6591">
        <w:rPr>
          <w:i/>
          <w:iCs/>
        </w:rPr>
        <w:t>Differential Item Functioning</w:t>
      </w:r>
    </w:p>
    <w:p w14:paraId="7DB22861" w14:textId="20055C53" w:rsidR="00055C42" w:rsidRPr="00055C42" w:rsidRDefault="00055C42" w:rsidP="00055C42">
      <w:r w:rsidRPr="00055C42">
        <w:t>After determining scale dimensionality, each item was tested for language-based (English vs. Spanish), nativity-based (U.S.-born vs. foreign-born), and gender-based (men vs. women) DIF, using all other items on the respective subscale as anchors that are presumed to be DIF-free. For example, in testing the first item on a five-item subscale for DIF, the other four items were used as anchors. For each candidate item, Wald χ</w:t>
      </w:r>
      <w:r w:rsidRPr="00055C42">
        <w:rPr>
          <w:vertAlign w:val="superscript"/>
        </w:rPr>
        <w:t>2</w:t>
      </w:r>
      <w:r w:rsidRPr="00055C42">
        <w:t> tests were conducted to test for both uniform and nonuniform DIF. To control the false discovery rate, the </w:t>
      </w:r>
      <w:proofErr w:type="spellStart"/>
      <w:r w:rsidRPr="006A29B3">
        <w:t>Benjamini</w:t>
      </w:r>
      <w:proofErr w:type="spellEnd"/>
      <w:r w:rsidRPr="006A29B3">
        <w:t xml:space="preserve"> and Hochberg (1995)</w:t>
      </w:r>
      <w:r w:rsidRPr="00055C42">
        <w:t> procedure was used to adjust </w:t>
      </w:r>
      <w:r w:rsidRPr="00055C42">
        <w:rPr>
          <w:i/>
          <w:iCs/>
        </w:rPr>
        <w:t>p</w:t>
      </w:r>
      <w:r w:rsidRPr="00055C42">
        <w:t> values. This procedure is commonly used when examining several items for DIF on a single measure.</w:t>
      </w:r>
    </w:p>
    <w:p w14:paraId="36C3FDBC" w14:textId="5028B9BD" w:rsidR="00055C42" w:rsidRPr="00055C42" w:rsidRDefault="00055C42" w:rsidP="00055C42">
      <w:r w:rsidRPr="00055C42">
        <w:t xml:space="preserve">An item that exhibits statistically significant DIF does not necessarily indicate practical or clinical significance; thus, we used graphical and statistical methods to evaluate the magnitude of the DIF. Expected score plots, which are a function of the item discrimination and threshold parameters, trace a respondent’s expected response (e.g., strongly disagree) as a function of the latent variable. For an item without DIF, the expected score plots should not differ between groups: Two individuals having the same level of the construct are expected to endorse the same response category, even if the individuals belong to two different groups. If an item exhibits uniform or nonuniform DIF, the expected score plots are no longer equivalent between groups. Larger discrepancies in the expected score plots suggest greater impact of DIF. The </w:t>
      </w:r>
      <w:proofErr w:type="spellStart"/>
      <w:r w:rsidRPr="00055C42">
        <w:t>noncompensatory</w:t>
      </w:r>
      <w:proofErr w:type="spellEnd"/>
      <w:r w:rsidRPr="00055C42">
        <w:t xml:space="preserve"> DIF (NCDIF) index, which is the average squared difference in the expected item scores between groups, was used to quantify the discrepancy between groups in their expected responses. Items with an NCDIF &gt; 0.006 may be considered as showing practically significant DIF (</w:t>
      </w:r>
      <w:r w:rsidRPr="006A29B3">
        <w:t>Raju et al., 1995</w:t>
      </w:r>
      <w:r w:rsidRPr="00055C42">
        <w:t>). Items that were determined to have practically significant DIF were removed from the measure. A final set of item parameters was estimated for the full sample using the revised measure. Item and test information functions were also examined to compare the relative performance of each item and measure.</w:t>
      </w:r>
    </w:p>
    <w:p w14:paraId="17E9EFBD" w14:textId="77777777" w:rsidR="00055C42" w:rsidRPr="002C6591" w:rsidRDefault="00055C42" w:rsidP="002C6591">
      <w:pPr>
        <w:pStyle w:val="Heading3"/>
        <w:rPr>
          <w:i/>
          <w:iCs/>
        </w:rPr>
      </w:pPr>
      <w:r w:rsidRPr="002C6591">
        <w:rPr>
          <w:i/>
          <w:iCs/>
        </w:rPr>
        <w:t>Group Differences</w:t>
      </w:r>
    </w:p>
    <w:p w14:paraId="049EE25B" w14:textId="77777777" w:rsidR="00055C42" w:rsidRPr="00055C42" w:rsidRDefault="00055C42" w:rsidP="00055C42">
      <w:r w:rsidRPr="00055C42">
        <w:t>To examine group differences on the latent variables after correcting for DIF, item parameters were fixed to those from the full sample calibration and IRT-based scores (i.e., response pattern expected a posteriori scores) were calculated for each subscale, as observed scores are commonly used in practice. Independent samples </w:t>
      </w:r>
      <w:r w:rsidRPr="00055C42">
        <w:rPr>
          <w:i/>
          <w:iCs/>
        </w:rPr>
        <w:t>t</w:t>
      </w:r>
      <w:r w:rsidRPr="00055C42">
        <w:t> tests were conducted on the IRT-based scores to determine whether there are significant differences in scores between (a) those who took the measure in English and Spanish, (b) U.S.-born and foreign-born respondents, and (c) men and women. Confidence intervals (CIs) and Cohen’s </w:t>
      </w:r>
      <w:r w:rsidRPr="00055C42">
        <w:rPr>
          <w:i/>
          <w:iCs/>
        </w:rPr>
        <w:t>d</w:t>
      </w:r>
      <w:r w:rsidRPr="00055C42">
        <w:t> were also calculated for the mean differences. All analyses of group differences were done in R.</w:t>
      </w:r>
    </w:p>
    <w:p w14:paraId="5E5E757A" w14:textId="77777777" w:rsidR="00055C42" w:rsidRPr="00055C42" w:rsidRDefault="00055C42" w:rsidP="002C6591">
      <w:pPr>
        <w:pStyle w:val="Heading1"/>
      </w:pPr>
      <w:bookmarkStart w:id="6" w:name="_i16"/>
      <w:bookmarkEnd w:id="6"/>
      <w:r w:rsidRPr="00055C42">
        <w:t>Results</w:t>
      </w:r>
    </w:p>
    <w:p w14:paraId="68CDC0E7" w14:textId="77777777" w:rsidR="00055C42" w:rsidRPr="00055C42" w:rsidRDefault="00055C42" w:rsidP="002C6591">
      <w:pPr>
        <w:pStyle w:val="Heading2"/>
      </w:pPr>
      <w:r w:rsidRPr="00055C42">
        <w:t>Scale Dimensionality</w:t>
      </w:r>
    </w:p>
    <w:p w14:paraId="386E5A3A" w14:textId="3BA3F25C" w:rsidR="00055C42" w:rsidRPr="00055C42" w:rsidRDefault="00055C42" w:rsidP="00055C42">
      <w:r w:rsidRPr="00055C42">
        <w:t>To establish the dimensionality of the scale, we tested several models, including a one-factor IRT model, two-factor IRT models with correlated and uncorrelated factors, and two- and three-factor EFAs. Model fit statistics of all tested models for the full sample can be found in </w:t>
      </w:r>
      <w:r w:rsidRPr="006A29B3">
        <w:t>Table 1</w:t>
      </w:r>
      <w:r w:rsidRPr="00055C42">
        <w:t>. The one-factor IRT model exhibits very poor fit, suggesting that at least two factors are necessary. While the three-factor EFA exhibits the best fit, interpretability is lost, as no items load significantly on the third factor. The IRT model with two correlated latent variables showed marginal to adequate fit in the full sample (RMSEA = 0.095, CFI = 0.94, TLI = 0.92, SRMR = 0.06), as well as in each of the six subgroups (RMSEA = 0.06-0.13, CFI = 0.90-0.97, TLI = 0.87-0.96, SRMR = 0.049-0.094); discrimination parameter estimates for the full sample are shown in </w:t>
      </w:r>
      <w:r w:rsidRPr="006A29B3">
        <w:t>Table 2</w:t>
      </w:r>
      <w:r w:rsidRPr="00055C42">
        <w:t>. The correlation between the two latent variables was not significantly different from zero for any of the six subgroups (</w:t>
      </w:r>
      <w:r w:rsidRPr="00055C42">
        <w:rPr>
          <w:i/>
          <w:iCs/>
        </w:rPr>
        <w:t>r</w:t>
      </w:r>
      <w:r w:rsidRPr="00055C42">
        <w:t> = −0.14-0.04); furthermore, estimating a two-factor model in which the correlation between the two factors is fixed to zero results in the improvement of most model fit statistics (RMSEA = 0.072, CFI = 0.96, TLI = 0.95, SRMR = 0.06). This finding suggests that the multidimensional scale really comprises two unidimensional scales (</w:t>
      </w:r>
      <w:r w:rsidRPr="006A29B3">
        <w:t>Liu et al., 2018</w:t>
      </w:r>
      <w:r w:rsidRPr="00055C42">
        <w:t>). Thus, we proceeded to treat the measure as two unidimensional measures, entitled “Openness to Seeking Treatment” and “Value and Need in Seeking Treatment.”</w:t>
      </w:r>
    </w:p>
    <w:p w14:paraId="7843B184" w14:textId="77777777" w:rsidR="00055C42" w:rsidRPr="00055C42" w:rsidRDefault="00055C42" w:rsidP="00055C42">
      <w:r w:rsidRPr="00055C42">
        <w:rPr>
          <w:b/>
          <w:bCs/>
        </w:rPr>
        <w:t>Table 1.</w:t>
      </w:r>
      <w:r w:rsidRPr="00055C42">
        <w:t> Fit Statistics and Factor Correlations for All Tested Models.</w:t>
      </w:r>
    </w:p>
    <w:p w14:paraId="790B456E" w14:textId="77777777" w:rsidR="00DB6FEA" w:rsidRPr="00DB6FEA" w:rsidRDefault="00DB6FEA" w:rsidP="00DB6FEA">
      <w:pPr>
        <w:kinsoku w:val="0"/>
        <w:overflowPunct w:val="0"/>
        <w:autoSpaceDE w:val="0"/>
        <w:autoSpaceDN w:val="0"/>
        <w:adjustRightInd w:val="0"/>
        <w:spacing w:before="7" w:after="0" w:line="240" w:lineRule="auto"/>
        <w:rPr>
          <w:rFonts w:ascii="Times New Roman" w:hAnsi="Times New Roman" w:cs="Times New Roman"/>
          <w:sz w:val="6"/>
          <w:szCs w:val="6"/>
        </w:rPr>
      </w:pPr>
    </w:p>
    <w:tbl>
      <w:tblPr>
        <w:tblStyle w:val="TableGrid"/>
        <w:tblW w:w="0" w:type="auto"/>
        <w:tblLook w:val="0020" w:firstRow="1" w:lastRow="0" w:firstColumn="0" w:lastColumn="0" w:noHBand="0" w:noVBand="0"/>
      </w:tblPr>
      <w:tblGrid>
        <w:gridCol w:w="2656"/>
        <w:gridCol w:w="2010"/>
        <w:gridCol w:w="718"/>
        <w:gridCol w:w="1692"/>
        <w:gridCol w:w="1025"/>
        <w:gridCol w:w="1936"/>
      </w:tblGrid>
      <w:tr w:rsidR="00DB6FEA" w:rsidRPr="00DB6FEA" w14:paraId="08E5EE7D" w14:textId="77777777" w:rsidTr="00703E2F">
        <w:trPr>
          <w:trHeight w:val="355"/>
        </w:trPr>
        <w:tc>
          <w:tcPr>
            <w:tcW w:w="0" w:type="auto"/>
          </w:tcPr>
          <w:p w14:paraId="4073800D" w14:textId="77777777" w:rsidR="00DB6FEA" w:rsidRPr="00DB6FEA" w:rsidRDefault="00DB6FEA" w:rsidP="00DB6FEA">
            <w:pPr>
              <w:pStyle w:val="NoSpacing"/>
            </w:pPr>
            <w:r w:rsidRPr="00DB6FEA">
              <w:t>Model</w:t>
            </w:r>
          </w:p>
        </w:tc>
        <w:tc>
          <w:tcPr>
            <w:tcW w:w="0" w:type="auto"/>
          </w:tcPr>
          <w:p w14:paraId="2A044C90" w14:textId="77777777" w:rsidR="00DB6FEA" w:rsidRPr="00DB6FEA" w:rsidRDefault="00DB6FEA" w:rsidP="00DB6FEA">
            <w:pPr>
              <w:pStyle w:val="NoSpacing"/>
              <w:rPr>
                <w:w w:val="105"/>
              </w:rPr>
            </w:pPr>
            <w:r w:rsidRPr="00DB6FEA">
              <w:rPr>
                <w:w w:val="105"/>
              </w:rPr>
              <w:t>RMSEA [90% CI]</w:t>
            </w:r>
          </w:p>
        </w:tc>
        <w:tc>
          <w:tcPr>
            <w:tcW w:w="0" w:type="auto"/>
          </w:tcPr>
          <w:p w14:paraId="01FA01FD" w14:textId="77777777" w:rsidR="00DB6FEA" w:rsidRPr="00DB6FEA" w:rsidRDefault="00DB6FEA" w:rsidP="00DB6FEA">
            <w:pPr>
              <w:pStyle w:val="NoSpacing"/>
            </w:pPr>
            <w:r w:rsidRPr="00DB6FEA">
              <w:t>CFI</w:t>
            </w:r>
          </w:p>
        </w:tc>
        <w:tc>
          <w:tcPr>
            <w:tcW w:w="1692" w:type="dxa"/>
          </w:tcPr>
          <w:p w14:paraId="6F2AF9EF" w14:textId="77777777" w:rsidR="00DB6FEA" w:rsidRPr="00DB6FEA" w:rsidRDefault="00DB6FEA" w:rsidP="00DB6FEA">
            <w:pPr>
              <w:pStyle w:val="NoSpacing"/>
            </w:pPr>
            <w:r w:rsidRPr="00DB6FEA">
              <w:t>TLI</w:t>
            </w:r>
          </w:p>
        </w:tc>
        <w:tc>
          <w:tcPr>
            <w:tcW w:w="1025" w:type="dxa"/>
          </w:tcPr>
          <w:p w14:paraId="5EC33A6A" w14:textId="77777777" w:rsidR="00DB6FEA" w:rsidRPr="00DB6FEA" w:rsidRDefault="00DB6FEA" w:rsidP="00DB6FEA">
            <w:pPr>
              <w:pStyle w:val="NoSpacing"/>
              <w:rPr>
                <w:w w:val="105"/>
              </w:rPr>
            </w:pPr>
            <w:r w:rsidRPr="00DB6FEA">
              <w:rPr>
                <w:w w:val="105"/>
              </w:rPr>
              <w:t>SRMR</w:t>
            </w:r>
          </w:p>
        </w:tc>
        <w:tc>
          <w:tcPr>
            <w:tcW w:w="1936" w:type="dxa"/>
          </w:tcPr>
          <w:p w14:paraId="02A4D758" w14:textId="77777777" w:rsidR="00DB6FEA" w:rsidRPr="00DB6FEA" w:rsidRDefault="00DB6FEA" w:rsidP="00DB6FEA">
            <w:pPr>
              <w:pStyle w:val="NoSpacing"/>
              <w:rPr>
                <w:w w:val="95"/>
              </w:rPr>
            </w:pPr>
            <w:r w:rsidRPr="00DB6FEA">
              <w:rPr>
                <w:w w:val="95"/>
              </w:rPr>
              <w:t>Factor correlation(s) (</w:t>
            </w:r>
            <w:r w:rsidRPr="00DB6FEA">
              <w:rPr>
                <w:rFonts w:ascii="Gill Sans MT" w:hAnsi="Gill Sans MT" w:cs="Gill Sans MT"/>
                <w:i/>
                <w:iCs/>
                <w:w w:val="95"/>
              </w:rPr>
              <w:t>SE</w:t>
            </w:r>
            <w:r w:rsidRPr="00DB6FEA">
              <w:rPr>
                <w:w w:val="95"/>
              </w:rPr>
              <w:t>)</w:t>
            </w:r>
          </w:p>
        </w:tc>
      </w:tr>
      <w:tr w:rsidR="00DB6FEA" w:rsidRPr="00DB6FEA" w14:paraId="264EA4DC" w14:textId="77777777" w:rsidTr="00703E2F">
        <w:trPr>
          <w:trHeight w:val="282"/>
        </w:trPr>
        <w:tc>
          <w:tcPr>
            <w:tcW w:w="0" w:type="auto"/>
          </w:tcPr>
          <w:p w14:paraId="77FAE8A2" w14:textId="77777777" w:rsidR="00DB6FEA" w:rsidRPr="00DB6FEA" w:rsidRDefault="00DB6FEA" w:rsidP="00DB6FEA">
            <w:pPr>
              <w:pStyle w:val="NoSpacing"/>
            </w:pPr>
            <w:r w:rsidRPr="00DB6FEA">
              <w:t>One factor</w:t>
            </w:r>
          </w:p>
        </w:tc>
        <w:tc>
          <w:tcPr>
            <w:tcW w:w="0" w:type="auto"/>
          </w:tcPr>
          <w:p w14:paraId="6FBB7AA9" w14:textId="77777777" w:rsidR="00DB6FEA" w:rsidRPr="00DB6FEA" w:rsidRDefault="00DB6FEA" w:rsidP="00DB6FEA">
            <w:pPr>
              <w:pStyle w:val="NoSpacing"/>
            </w:pPr>
            <w:r w:rsidRPr="00DB6FEA">
              <w:t>0.258 [0.245, 0.272]</w:t>
            </w:r>
          </w:p>
        </w:tc>
        <w:tc>
          <w:tcPr>
            <w:tcW w:w="0" w:type="auto"/>
          </w:tcPr>
          <w:p w14:paraId="065DA500" w14:textId="77777777" w:rsidR="00DB6FEA" w:rsidRPr="00DB6FEA" w:rsidRDefault="00DB6FEA" w:rsidP="00DB6FEA">
            <w:pPr>
              <w:pStyle w:val="NoSpacing"/>
            </w:pPr>
            <w:r w:rsidRPr="00DB6FEA">
              <w:t>0.510</w:t>
            </w:r>
          </w:p>
        </w:tc>
        <w:tc>
          <w:tcPr>
            <w:tcW w:w="1692" w:type="dxa"/>
          </w:tcPr>
          <w:p w14:paraId="518FB15D" w14:textId="77777777" w:rsidR="00DB6FEA" w:rsidRPr="00DB6FEA" w:rsidRDefault="00DB6FEA" w:rsidP="00DB6FEA">
            <w:pPr>
              <w:pStyle w:val="NoSpacing"/>
            </w:pPr>
            <w:r w:rsidRPr="00DB6FEA">
              <w:t>0.370</w:t>
            </w:r>
          </w:p>
        </w:tc>
        <w:tc>
          <w:tcPr>
            <w:tcW w:w="1025" w:type="dxa"/>
          </w:tcPr>
          <w:p w14:paraId="109417C0" w14:textId="77777777" w:rsidR="00DB6FEA" w:rsidRPr="00DB6FEA" w:rsidRDefault="00DB6FEA" w:rsidP="00DB6FEA">
            <w:pPr>
              <w:pStyle w:val="NoSpacing"/>
            </w:pPr>
            <w:r w:rsidRPr="00DB6FEA">
              <w:t>0.143</w:t>
            </w:r>
          </w:p>
        </w:tc>
        <w:tc>
          <w:tcPr>
            <w:tcW w:w="1936" w:type="dxa"/>
          </w:tcPr>
          <w:p w14:paraId="1C5FE7DC" w14:textId="77777777" w:rsidR="00DB6FEA" w:rsidRPr="00DB6FEA" w:rsidRDefault="00DB6FEA" w:rsidP="00DB6FEA">
            <w:pPr>
              <w:pStyle w:val="NoSpacing"/>
              <w:rPr>
                <w:w w:val="136"/>
              </w:rPr>
            </w:pPr>
            <w:r w:rsidRPr="00DB6FEA">
              <w:rPr>
                <w:w w:val="136"/>
              </w:rPr>
              <w:t>—</w:t>
            </w:r>
          </w:p>
        </w:tc>
      </w:tr>
      <w:tr w:rsidR="00DB6FEA" w:rsidRPr="00DB6FEA" w14:paraId="5E9D5BEE" w14:textId="77777777" w:rsidTr="00703E2F">
        <w:trPr>
          <w:trHeight w:val="230"/>
        </w:trPr>
        <w:tc>
          <w:tcPr>
            <w:tcW w:w="0" w:type="auto"/>
          </w:tcPr>
          <w:p w14:paraId="32175FC5" w14:textId="77777777" w:rsidR="00DB6FEA" w:rsidRPr="00DB6FEA" w:rsidRDefault="00DB6FEA" w:rsidP="00DB6FEA">
            <w:pPr>
              <w:pStyle w:val="NoSpacing"/>
            </w:pPr>
            <w:r w:rsidRPr="00DB6FEA">
              <w:t>Two correlated factors</w:t>
            </w:r>
          </w:p>
        </w:tc>
        <w:tc>
          <w:tcPr>
            <w:tcW w:w="0" w:type="auto"/>
          </w:tcPr>
          <w:p w14:paraId="45C1C5DC" w14:textId="77777777" w:rsidR="00DB6FEA" w:rsidRPr="00DB6FEA" w:rsidRDefault="00DB6FEA" w:rsidP="00DB6FEA">
            <w:pPr>
              <w:pStyle w:val="NoSpacing"/>
            </w:pPr>
            <w:r w:rsidRPr="00DB6FEA">
              <w:t>0.095 [0.081, 0.110]</w:t>
            </w:r>
          </w:p>
        </w:tc>
        <w:tc>
          <w:tcPr>
            <w:tcW w:w="0" w:type="auto"/>
          </w:tcPr>
          <w:p w14:paraId="35D052BA" w14:textId="77777777" w:rsidR="00DB6FEA" w:rsidRPr="00DB6FEA" w:rsidRDefault="00DB6FEA" w:rsidP="00DB6FEA">
            <w:pPr>
              <w:pStyle w:val="NoSpacing"/>
            </w:pPr>
            <w:r w:rsidRPr="00DB6FEA">
              <w:t>0.936</w:t>
            </w:r>
          </w:p>
        </w:tc>
        <w:tc>
          <w:tcPr>
            <w:tcW w:w="1692" w:type="dxa"/>
          </w:tcPr>
          <w:p w14:paraId="14028031" w14:textId="77777777" w:rsidR="00DB6FEA" w:rsidRPr="00DB6FEA" w:rsidRDefault="00DB6FEA" w:rsidP="00DB6FEA">
            <w:pPr>
              <w:pStyle w:val="NoSpacing"/>
            </w:pPr>
            <w:r w:rsidRPr="00DB6FEA">
              <w:t>0.915</w:t>
            </w:r>
          </w:p>
        </w:tc>
        <w:tc>
          <w:tcPr>
            <w:tcW w:w="1025" w:type="dxa"/>
          </w:tcPr>
          <w:p w14:paraId="3EFC8A61" w14:textId="77777777" w:rsidR="00DB6FEA" w:rsidRPr="00DB6FEA" w:rsidRDefault="00DB6FEA" w:rsidP="00DB6FEA">
            <w:pPr>
              <w:pStyle w:val="NoSpacing"/>
            </w:pPr>
            <w:r w:rsidRPr="00DB6FEA">
              <w:t>0.062</w:t>
            </w:r>
          </w:p>
        </w:tc>
        <w:tc>
          <w:tcPr>
            <w:tcW w:w="1936" w:type="dxa"/>
          </w:tcPr>
          <w:p w14:paraId="79557603" w14:textId="77777777" w:rsidR="00DB6FEA" w:rsidRPr="00DB6FEA" w:rsidRDefault="00DB6FEA" w:rsidP="00DB6FEA">
            <w:pPr>
              <w:pStyle w:val="NoSpacing"/>
            </w:pPr>
            <w:r w:rsidRPr="00DB6FEA">
              <w:t>0.072 (0.059)</w:t>
            </w:r>
          </w:p>
        </w:tc>
      </w:tr>
      <w:tr w:rsidR="00DB6FEA" w:rsidRPr="00DB6FEA" w14:paraId="6F34A8CA" w14:textId="77777777" w:rsidTr="00703E2F">
        <w:trPr>
          <w:trHeight w:val="230"/>
        </w:trPr>
        <w:tc>
          <w:tcPr>
            <w:tcW w:w="0" w:type="auto"/>
          </w:tcPr>
          <w:p w14:paraId="55DCA9A1" w14:textId="77777777" w:rsidR="00DB6FEA" w:rsidRPr="00DB6FEA" w:rsidRDefault="00DB6FEA" w:rsidP="00DB6FEA">
            <w:pPr>
              <w:pStyle w:val="NoSpacing"/>
            </w:pPr>
            <w:r w:rsidRPr="00DB6FEA">
              <w:t>Two uncorrelated factors</w:t>
            </w:r>
          </w:p>
        </w:tc>
        <w:tc>
          <w:tcPr>
            <w:tcW w:w="0" w:type="auto"/>
          </w:tcPr>
          <w:p w14:paraId="0D645C1C" w14:textId="77777777" w:rsidR="00DB6FEA" w:rsidRPr="00DB6FEA" w:rsidRDefault="00DB6FEA" w:rsidP="00DB6FEA">
            <w:pPr>
              <w:pStyle w:val="NoSpacing"/>
            </w:pPr>
            <w:r w:rsidRPr="00DB6FEA">
              <w:t>0.072 [0.057, 0.087]</w:t>
            </w:r>
          </w:p>
        </w:tc>
        <w:tc>
          <w:tcPr>
            <w:tcW w:w="0" w:type="auto"/>
          </w:tcPr>
          <w:p w14:paraId="5E2E50BF" w14:textId="77777777" w:rsidR="00DB6FEA" w:rsidRPr="00DB6FEA" w:rsidRDefault="00DB6FEA" w:rsidP="00DB6FEA">
            <w:pPr>
              <w:pStyle w:val="NoSpacing"/>
            </w:pPr>
            <w:r w:rsidRPr="00DB6FEA">
              <w:t>0.962</w:t>
            </w:r>
          </w:p>
        </w:tc>
        <w:tc>
          <w:tcPr>
            <w:tcW w:w="1692" w:type="dxa"/>
          </w:tcPr>
          <w:p w14:paraId="31DCA088" w14:textId="77777777" w:rsidR="00DB6FEA" w:rsidRPr="00DB6FEA" w:rsidRDefault="00DB6FEA" w:rsidP="00DB6FEA">
            <w:pPr>
              <w:pStyle w:val="NoSpacing"/>
            </w:pPr>
            <w:r w:rsidRPr="00DB6FEA">
              <w:t>0.952</w:t>
            </w:r>
          </w:p>
        </w:tc>
        <w:tc>
          <w:tcPr>
            <w:tcW w:w="1025" w:type="dxa"/>
          </w:tcPr>
          <w:p w14:paraId="78073F85" w14:textId="77777777" w:rsidR="00DB6FEA" w:rsidRPr="00DB6FEA" w:rsidRDefault="00DB6FEA" w:rsidP="00DB6FEA">
            <w:pPr>
              <w:pStyle w:val="NoSpacing"/>
            </w:pPr>
            <w:r w:rsidRPr="00DB6FEA">
              <w:t>0.064</w:t>
            </w:r>
          </w:p>
        </w:tc>
        <w:tc>
          <w:tcPr>
            <w:tcW w:w="1936" w:type="dxa"/>
          </w:tcPr>
          <w:p w14:paraId="491CC169" w14:textId="77777777" w:rsidR="00DB6FEA" w:rsidRPr="00DB6FEA" w:rsidRDefault="00DB6FEA" w:rsidP="00DB6FEA">
            <w:pPr>
              <w:pStyle w:val="NoSpacing"/>
              <w:rPr>
                <w:w w:val="136"/>
              </w:rPr>
            </w:pPr>
            <w:r w:rsidRPr="00DB6FEA">
              <w:rPr>
                <w:w w:val="136"/>
              </w:rPr>
              <w:t>—</w:t>
            </w:r>
          </w:p>
        </w:tc>
      </w:tr>
      <w:tr w:rsidR="00DB6FEA" w:rsidRPr="00DB6FEA" w14:paraId="4D95A87F" w14:textId="77777777" w:rsidTr="00703E2F">
        <w:trPr>
          <w:trHeight w:val="230"/>
        </w:trPr>
        <w:tc>
          <w:tcPr>
            <w:tcW w:w="0" w:type="auto"/>
          </w:tcPr>
          <w:p w14:paraId="523C50CE" w14:textId="77777777" w:rsidR="00DB6FEA" w:rsidRPr="00DB6FEA" w:rsidRDefault="00DB6FEA" w:rsidP="00DB6FEA">
            <w:pPr>
              <w:pStyle w:val="NoSpacing"/>
            </w:pPr>
            <w:r w:rsidRPr="00DB6FEA">
              <w:t>Two-factor EFA</w:t>
            </w:r>
          </w:p>
        </w:tc>
        <w:tc>
          <w:tcPr>
            <w:tcW w:w="0" w:type="auto"/>
          </w:tcPr>
          <w:p w14:paraId="6EF4DFC0" w14:textId="77777777" w:rsidR="00DB6FEA" w:rsidRPr="00DB6FEA" w:rsidRDefault="00DB6FEA" w:rsidP="00DB6FEA">
            <w:pPr>
              <w:pStyle w:val="NoSpacing"/>
            </w:pPr>
            <w:r w:rsidRPr="00DB6FEA">
              <w:t>0.065 [0.048, 0.083]</w:t>
            </w:r>
          </w:p>
        </w:tc>
        <w:tc>
          <w:tcPr>
            <w:tcW w:w="0" w:type="auto"/>
          </w:tcPr>
          <w:p w14:paraId="4338BEB0" w14:textId="77777777" w:rsidR="00DB6FEA" w:rsidRPr="00DB6FEA" w:rsidRDefault="00DB6FEA" w:rsidP="00DB6FEA">
            <w:pPr>
              <w:pStyle w:val="NoSpacing"/>
            </w:pPr>
            <w:r w:rsidRPr="00DB6FEA">
              <w:t>0.977</w:t>
            </w:r>
          </w:p>
        </w:tc>
        <w:tc>
          <w:tcPr>
            <w:tcW w:w="1692" w:type="dxa"/>
          </w:tcPr>
          <w:p w14:paraId="72F83C2D" w14:textId="77777777" w:rsidR="00DB6FEA" w:rsidRPr="00DB6FEA" w:rsidRDefault="00DB6FEA" w:rsidP="00DB6FEA">
            <w:pPr>
              <w:pStyle w:val="NoSpacing"/>
            </w:pPr>
            <w:r w:rsidRPr="00DB6FEA">
              <w:t>0.960</w:t>
            </w:r>
          </w:p>
        </w:tc>
        <w:tc>
          <w:tcPr>
            <w:tcW w:w="1025" w:type="dxa"/>
          </w:tcPr>
          <w:p w14:paraId="38298D2C" w14:textId="77777777" w:rsidR="00DB6FEA" w:rsidRPr="00DB6FEA" w:rsidRDefault="00DB6FEA" w:rsidP="00DB6FEA">
            <w:pPr>
              <w:pStyle w:val="NoSpacing"/>
            </w:pPr>
            <w:r w:rsidRPr="00DB6FEA">
              <w:t>0.040</w:t>
            </w:r>
          </w:p>
        </w:tc>
        <w:tc>
          <w:tcPr>
            <w:tcW w:w="1936" w:type="dxa"/>
          </w:tcPr>
          <w:p w14:paraId="2D19B085" w14:textId="77777777" w:rsidR="00DB6FEA" w:rsidRPr="00DB6FEA" w:rsidRDefault="00DB6FEA" w:rsidP="00DB6FEA">
            <w:pPr>
              <w:pStyle w:val="NoSpacing"/>
            </w:pPr>
            <w:r w:rsidRPr="00DB6FEA">
              <w:t>−0.081 (0.070)</w:t>
            </w:r>
          </w:p>
        </w:tc>
      </w:tr>
      <w:tr w:rsidR="00DB6FEA" w:rsidRPr="00DB6FEA" w14:paraId="0A082008" w14:textId="77777777" w:rsidTr="00703E2F">
        <w:trPr>
          <w:trHeight w:val="430"/>
        </w:trPr>
        <w:tc>
          <w:tcPr>
            <w:tcW w:w="0" w:type="auto"/>
          </w:tcPr>
          <w:p w14:paraId="016DE33D" w14:textId="77777777" w:rsidR="00DB6FEA" w:rsidRPr="00DB6FEA" w:rsidRDefault="00DB6FEA" w:rsidP="00DB6FEA">
            <w:pPr>
              <w:pStyle w:val="NoSpacing"/>
            </w:pPr>
            <w:r w:rsidRPr="00DB6FEA">
              <w:t>Three-factor EFA</w:t>
            </w:r>
          </w:p>
        </w:tc>
        <w:tc>
          <w:tcPr>
            <w:tcW w:w="0" w:type="auto"/>
          </w:tcPr>
          <w:p w14:paraId="6FB33921" w14:textId="77777777" w:rsidR="00DB6FEA" w:rsidRPr="00DB6FEA" w:rsidRDefault="00DB6FEA" w:rsidP="00DB6FEA">
            <w:pPr>
              <w:pStyle w:val="NoSpacing"/>
            </w:pPr>
            <w:r w:rsidRPr="00DB6FEA">
              <w:t>0.047 [0.023, 0.070]</w:t>
            </w:r>
          </w:p>
        </w:tc>
        <w:tc>
          <w:tcPr>
            <w:tcW w:w="0" w:type="auto"/>
          </w:tcPr>
          <w:p w14:paraId="49A39A01" w14:textId="77777777" w:rsidR="00DB6FEA" w:rsidRPr="00DB6FEA" w:rsidRDefault="00DB6FEA" w:rsidP="00DB6FEA">
            <w:pPr>
              <w:pStyle w:val="NoSpacing"/>
            </w:pPr>
            <w:r w:rsidRPr="00DB6FEA">
              <w:t>0.992</w:t>
            </w:r>
          </w:p>
        </w:tc>
        <w:tc>
          <w:tcPr>
            <w:tcW w:w="1692" w:type="dxa"/>
          </w:tcPr>
          <w:p w14:paraId="2457F6DA" w14:textId="77777777" w:rsidR="00DB6FEA" w:rsidRPr="00DB6FEA" w:rsidRDefault="00DB6FEA" w:rsidP="00DB6FEA">
            <w:pPr>
              <w:pStyle w:val="NoSpacing"/>
            </w:pPr>
            <w:r w:rsidRPr="00DB6FEA">
              <w:t>0.979</w:t>
            </w:r>
          </w:p>
        </w:tc>
        <w:tc>
          <w:tcPr>
            <w:tcW w:w="1025" w:type="dxa"/>
          </w:tcPr>
          <w:p w14:paraId="5DA5BE8B" w14:textId="77777777" w:rsidR="00DB6FEA" w:rsidRPr="00DB6FEA" w:rsidRDefault="00DB6FEA" w:rsidP="00DB6FEA">
            <w:pPr>
              <w:pStyle w:val="NoSpacing"/>
            </w:pPr>
            <w:r w:rsidRPr="00DB6FEA">
              <w:t>0.027</w:t>
            </w:r>
          </w:p>
        </w:tc>
        <w:tc>
          <w:tcPr>
            <w:tcW w:w="1936" w:type="dxa"/>
          </w:tcPr>
          <w:p w14:paraId="3A8BC0EC" w14:textId="77777777" w:rsidR="00DB6FEA" w:rsidRPr="002F6C7C" w:rsidRDefault="00DB6FEA" w:rsidP="002F6C7C">
            <w:pPr>
              <w:pStyle w:val="NoSpacing"/>
            </w:pPr>
            <w:r w:rsidRPr="002F6C7C">
              <w:t>−0.085 (0.120)</w:t>
            </w:r>
          </w:p>
          <w:p w14:paraId="1E750331" w14:textId="77777777" w:rsidR="00DB6FEA" w:rsidRPr="00DB6FEA" w:rsidRDefault="00DB6FEA" w:rsidP="002F6C7C">
            <w:pPr>
              <w:pStyle w:val="NoSpacing"/>
              <w:rPr>
                <w:w w:val="90"/>
              </w:rPr>
            </w:pPr>
            <w:r w:rsidRPr="002F6C7C">
              <w:t>0.231 (0.123)</w:t>
            </w:r>
          </w:p>
        </w:tc>
      </w:tr>
      <w:tr w:rsidR="00DB6FEA" w:rsidRPr="00DB6FEA" w14:paraId="6C7979E7" w14:textId="77777777" w:rsidTr="00703E2F">
        <w:trPr>
          <w:trHeight w:val="209"/>
        </w:trPr>
        <w:tc>
          <w:tcPr>
            <w:tcW w:w="0" w:type="auto"/>
          </w:tcPr>
          <w:p w14:paraId="74C19357" w14:textId="77777777" w:rsidR="00DB6FEA" w:rsidRPr="00DB6FEA" w:rsidRDefault="00DB6FEA" w:rsidP="00DB6FEA">
            <w:pPr>
              <w:pStyle w:val="NoSpacing"/>
              <w:rPr>
                <w:rFonts w:ascii="Times New Roman" w:hAnsi="Times New Roman" w:cs="Times New Roman"/>
                <w:sz w:val="14"/>
                <w:szCs w:val="14"/>
              </w:rPr>
            </w:pPr>
          </w:p>
        </w:tc>
        <w:tc>
          <w:tcPr>
            <w:tcW w:w="0" w:type="auto"/>
          </w:tcPr>
          <w:p w14:paraId="413E78E6" w14:textId="77777777" w:rsidR="00DB6FEA" w:rsidRPr="00DB6FEA" w:rsidRDefault="00DB6FEA" w:rsidP="00DB6FEA">
            <w:pPr>
              <w:pStyle w:val="NoSpacing"/>
              <w:rPr>
                <w:rFonts w:ascii="Times New Roman" w:hAnsi="Times New Roman" w:cs="Times New Roman"/>
                <w:sz w:val="14"/>
                <w:szCs w:val="14"/>
              </w:rPr>
            </w:pPr>
          </w:p>
        </w:tc>
        <w:tc>
          <w:tcPr>
            <w:tcW w:w="0" w:type="auto"/>
          </w:tcPr>
          <w:p w14:paraId="14B0F8FB" w14:textId="77777777" w:rsidR="00DB6FEA" w:rsidRPr="00DB6FEA" w:rsidRDefault="00DB6FEA" w:rsidP="00DB6FEA">
            <w:pPr>
              <w:pStyle w:val="NoSpacing"/>
              <w:rPr>
                <w:rFonts w:ascii="Times New Roman" w:hAnsi="Times New Roman" w:cs="Times New Roman"/>
                <w:sz w:val="14"/>
                <w:szCs w:val="14"/>
              </w:rPr>
            </w:pPr>
          </w:p>
        </w:tc>
        <w:tc>
          <w:tcPr>
            <w:tcW w:w="1692" w:type="dxa"/>
          </w:tcPr>
          <w:p w14:paraId="644C7E76" w14:textId="77777777" w:rsidR="00DB6FEA" w:rsidRPr="00DB6FEA" w:rsidRDefault="00DB6FEA" w:rsidP="00DB6FEA">
            <w:pPr>
              <w:pStyle w:val="NoSpacing"/>
              <w:rPr>
                <w:rFonts w:ascii="Times New Roman" w:hAnsi="Times New Roman" w:cs="Times New Roman"/>
                <w:sz w:val="14"/>
                <w:szCs w:val="14"/>
              </w:rPr>
            </w:pPr>
          </w:p>
        </w:tc>
        <w:tc>
          <w:tcPr>
            <w:tcW w:w="1025" w:type="dxa"/>
          </w:tcPr>
          <w:p w14:paraId="659C676E" w14:textId="77777777" w:rsidR="00DB6FEA" w:rsidRPr="00DB6FEA" w:rsidRDefault="00DB6FEA" w:rsidP="00DB6FEA">
            <w:pPr>
              <w:pStyle w:val="NoSpacing"/>
              <w:rPr>
                <w:rFonts w:ascii="Times New Roman" w:hAnsi="Times New Roman" w:cs="Times New Roman"/>
                <w:sz w:val="14"/>
                <w:szCs w:val="14"/>
              </w:rPr>
            </w:pPr>
          </w:p>
        </w:tc>
        <w:tc>
          <w:tcPr>
            <w:tcW w:w="1936" w:type="dxa"/>
          </w:tcPr>
          <w:p w14:paraId="3C38DCC0" w14:textId="77777777" w:rsidR="00DB6FEA" w:rsidRPr="00DB6FEA" w:rsidRDefault="00DB6FEA" w:rsidP="00DB6FEA">
            <w:pPr>
              <w:pStyle w:val="NoSpacing"/>
            </w:pPr>
            <w:r w:rsidRPr="00DB6FEA">
              <w:t>0.139 (0.150)</w:t>
            </w:r>
          </w:p>
        </w:tc>
      </w:tr>
      <w:tr w:rsidR="00DB6FEA" w:rsidRPr="00DB6FEA" w14:paraId="74AFEFBD" w14:textId="77777777" w:rsidTr="00703E2F">
        <w:trPr>
          <w:trHeight w:val="240"/>
        </w:trPr>
        <w:tc>
          <w:tcPr>
            <w:tcW w:w="0" w:type="auto"/>
          </w:tcPr>
          <w:p w14:paraId="0B46900D" w14:textId="77777777" w:rsidR="00DB6FEA" w:rsidRPr="00DB6FEA" w:rsidRDefault="00DB6FEA" w:rsidP="00DB6FEA">
            <w:pPr>
              <w:pStyle w:val="NoSpacing"/>
            </w:pPr>
            <w:r w:rsidRPr="00DB6FEA">
              <w:t>Openness (unidimensional)</w:t>
            </w:r>
          </w:p>
        </w:tc>
        <w:tc>
          <w:tcPr>
            <w:tcW w:w="0" w:type="auto"/>
          </w:tcPr>
          <w:p w14:paraId="2D110363" w14:textId="77777777" w:rsidR="00DB6FEA" w:rsidRPr="00DB6FEA" w:rsidRDefault="00DB6FEA" w:rsidP="00DB6FEA">
            <w:pPr>
              <w:pStyle w:val="NoSpacing"/>
            </w:pPr>
            <w:r w:rsidRPr="00DB6FEA">
              <w:t>0.082 [0.046, 0.122]</w:t>
            </w:r>
          </w:p>
        </w:tc>
        <w:tc>
          <w:tcPr>
            <w:tcW w:w="0" w:type="auto"/>
          </w:tcPr>
          <w:p w14:paraId="00BBBD71" w14:textId="77777777" w:rsidR="00DB6FEA" w:rsidRPr="00DB6FEA" w:rsidRDefault="00DB6FEA" w:rsidP="00DB6FEA">
            <w:pPr>
              <w:pStyle w:val="NoSpacing"/>
            </w:pPr>
            <w:r w:rsidRPr="00DB6FEA">
              <w:t>0.991</w:t>
            </w:r>
          </w:p>
        </w:tc>
        <w:tc>
          <w:tcPr>
            <w:tcW w:w="1692" w:type="dxa"/>
          </w:tcPr>
          <w:p w14:paraId="3D5F4EAD" w14:textId="77777777" w:rsidR="00DB6FEA" w:rsidRPr="00DB6FEA" w:rsidRDefault="00DB6FEA" w:rsidP="00DB6FEA">
            <w:pPr>
              <w:pStyle w:val="NoSpacing"/>
            </w:pPr>
            <w:r w:rsidRPr="00DB6FEA">
              <w:t>0.983</w:t>
            </w:r>
          </w:p>
        </w:tc>
        <w:tc>
          <w:tcPr>
            <w:tcW w:w="1025" w:type="dxa"/>
          </w:tcPr>
          <w:p w14:paraId="362D3483" w14:textId="67F19185" w:rsidR="00DB6FEA" w:rsidRPr="00DB6FEA" w:rsidRDefault="00DB6FEA" w:rsidP="00DB6FEA">
            <w:pPr>
              <w:pStyle w:val="NoSpacing"/>
              <w:rPr>
                <w:w w:val="115"/>
              </w:rPr>
            </w:pPr>
            <w:r w:rsidRPr="00DB6FEA">
              <w:rPr>
                <w:w w:val="110"/>
              </w:rPr>
              <w:t xml:space="preserve">0.019 </w:t>
            </w:r>
          </w:p>
        </w:tc>
        <w:tc>
          <w:tcPr>
            <w:tcW w:w="1936" w:type="dxa"/>
          </w:tcPr>
          <w:p w14:paraId="0C5A064A" w14:textId="396886C4" w:rsidR="00DB6FEA" w:rsidRPr="00DB6FEA" w:rsidRDefault="00B04C00" w:rsidP="00DB6FEA">
            <w:pPr>
              <w:pStyle w:val="NoSpacing"/>
              <w:rPr>
                <w:w w:val="115"/>
              </w:rPr>
            </w:pPr>
            <w:r w:rsidRPr="00DB6FEA">
              <w:rPr>
                <w:w w:val="115"/>
              </w:rPr>
              <w:t>—</w:t>
            </w:r>
          </w:p>
        </w:tc>
      </w:tr>
      <w:tr w:rsidR="00DB6FEA" w:rsidRPr="00DB6FEA" w14:paraId="7B7462C4" w14:textId="77777777" w:rsidTr="00703E2F">
        <w:trPr>
          <w:trHeight w:val="292"/>
        </w:trPr>
        <w:tc>
          <w:tcPr>
            <w:tcW w:w="0" w:type="auto"/>
          </w:tcPr>
          <w:p w14:paraId="1C8D21F8" w14:textId="77777777" w:rsidR="00DB6FEA" w:rsidRPr="00DB6FEA" w:rsidRDefault="00DB6FEA" w:rsidP="00DB6FEA">
            <w:pPr>
              <w:pStyle w:val="NoSpacing"/>
            </w:pPr>
            <w:r w:rsidRPr="00DB6FEA">
              <w:t>Value (unidimensional)</w:t>
            </w:r>
          </w:p>
        </w:tc>
        <w:tc>
          <w:tcPr>
            <w:tcW w:w="0" w:type="auto"/>
          </w:tcPr>
          <w:p w14:paraId="6D5CE7C1" w14:textId="77777777" w:rsidR="00DB6FEA" w:rsidRPr="00DB6FEA" w:rsidRDefault="00DB6FEA" w:rsidP="00DB6FEA">
            <w:pPr>
              <w:pStyle w:val="NoSpacing"/>
            </w:pPr>
            <w:r w:rsidRPr="00DB6FEA">
              <w:t>0.085 [0.049, 0.125]</w:t>
            </w:r>
          </w:p>
        </w:tc>
        <w:tc>
          <w:tcPr>
            <w:tcW w:w="0" w:type="auto"/>
          </w:tcPr>
          <w:p w14:paraId="2033CDF4" w14:textId="77777777" w:rsidR="00DB6FEA" w:rsidRPr="00DB6FEA" w:rsidRDefault="00DB6FEA" w:rsidP="00DB6FEA">
            <w:pPr>
              <w:pStyle w:val="NoSpacing"/>
            </w:pPr>
            <w:r w:rsidRPr="00DB6FEA">
              <w:t>0.977</w:t>
            </w:r>
          </w:p>
        </w:tc>
        <w:tc>
          <w:tcPr>
            <w:tcW w:w="1692" w:type="dxa"/>
          </w:tcPr>
          <w:p w14:paraId="7E70C069" w14:textId="77777777" w:rsidR="00DB6FEA" w:rsidRPr="00DB6FEA" w:rsidRDefault="00DB6FEA" w:rsidP="00DB6FEA">
            <w:pPr>
              <w:pStyle w:val="NoSpacing"/>
            </w:pPr>
            <w:r w:rsidRPr="00DB6FEA">
              <w:t>0.955</w:t>
            </w:r>
          </w:p>
        </w:tc>
        <w:tc>
          <w:tcPr>
            <w:tcW w:w="1025" w:type="dxa"/>
          </w:tcPr>
          <w:p w14:paraId="4C49CE5C" w14:textId="7BD823FB" w:rsidR="00DB6FEA" w:rsidRPr="00DB6FEA" w:rsidRDefault="00DB6FEA" w:rsidP="00DB6FEA">
            <w:pPr>
              <w:pStyle w:val="NoSpacing"/>
              <w:rPr>
                <w:w w:val="115"/>
              </w:rPr>
            </w:pPr>
            <w:r w:rsidRPr="00DB6FEA">
              <w:rPr>
                <w:w w:val="110"/>
              </w:rPr>
              <w:t xml:space="preserve">0.028 </w:t>
            </w:r>
          </w:p>
        </w:tc>
        <w:tc>
          <w:tcPr>
            <w:tcW w:w="1936" w:type="dxa"/>
          </w:tcPr>
          <w:p w14:paraId="469273E1" w14:textId="2DE93DFC" w:rsidR="00DB6FEA" w:rsidRPr="00DB6FEA" w:rsidRDefault="00B04C00" w:rsidP="00DB6FEA">
            <w:pPr>
              <w:pStyle w:val="NoSpacing"/>
              <w:rPr>
                <w:w w:val="115"/>
              </w:rPr>
            </w:pPr>
            <w:r w:rsidRPr="00DB6FEA">
              <w:rPr>
                <w:w w:val="115"/>
              </w:rPr>
              <w:t>—</w:t>
            </w:r>
          </w:p>
        </w:tc>
      </w:tr>
    </w:tbl>
    <w:p w14:paraId="57FE0E30" w14:textId="205B8A1D" w:rsidR="00055C42" w:rsidRDefault="00291D18" w:rsidP="00291D18">
      <w:pPr>
        <w:pStyle w:val="NoSpacing"/>
      </w:pPr>
      <w:r w:rsidRPr="00291D18">
        <w:t>Note. RMSEA = root mean square error of approximation; CI = confidence interval; CFI = comparative fit index; TLI = Tucker–</w:t>
      </w:r>
      <w:proofErr w:type="gramStart"/>
      <w:r w:rsidRPr="00291D18">
        <w:t>Lewis</w:t>
      </w:r>
      <w:proofErr w:type="gramEnd"/>
      <w:r w:rsidRPr="00291D18">
        <w:t xml:space="preserve"> index;</w:t>
      </w:r>
      <w:r>
        <w:t xml:space="preserve"> </w:t>
      </w:r>
      <w:r w:rsidRPr="00291D18">
        <w:t>SRMR = standardized root mean square residual; SE = standard error; EFA = exploratory factors analysis.</w:t>
      </w:r>
    </w:p>
    <w:p w14:paraId="6B0E6797" w14:textId="77777777" w:rsidR="00291D18" w:rsidRPr="00055C42" w:rsidRDefault="00291D18" w:rsidP="00291D18">
      <w:pPr>
        <w:pStyle w:val="NoSpacing"/>
      </w:pPr>
    </w:p>
    <w:p w14:paraId="586E0B64" w14:textId="77777777" w:rsidR="00055C42" w:rsidRPr="00055C42" w:rsidRDefault="00055C42" w:rsidP="00055C42">
      <w:r w:rsidRPr="00055C42">
        <w:rPr>
          <w:b/>
          <w:bCs/>
        </w:rPr>
        <w:t>Table 2.</w:t>
      </w:r>
      <w:r w:rsidRPr="00055C42">
        <w:t> Discrimination Parameter Estimates (SEs) From the Multidimensional IRT Model When Fit to the Full Sample.</w:t>
      </w:r>
    </w:p>
    <w:tbl>
      <w:tblPr>
        <w:tblStyle w:val="TableGrid"/>
        <w:tblW w:w="0" w:type="auto"/>
        <w:tblLook w:val="04A0" w:firstRow="1" w:lastRow="0" w:firstColumn="1" w:lastColumn="0" w:noHBand="0" w:noVBand="1"/>
      </w:tblPr>
      <w:tblGrid>
        <w:gridCol w:w="6127"/>
        <w:gridCol w:w="1876"/>
        <w:gridCol w:w="2067"/>
      </w:tblGrid>
      <w:tr w:rsidR="00DB3A12" w:rsidRPr="00175199" w14:paraId="1CC9DCBC" w14:textId="77777777" w:rsidTr="00175199">
        <w:tc>
          <w:tcPr>
            <w:tcW w:w="0" w:type="auto"/>
          </w:tcPr>
          <w:p w14:paraId="34C46829" w14:textId="0A2DCAC5" w:rsidR="00DB3A12" w:rsidRPr="00175199" w:rsidRDefault="00DB3A12" w:rsidP="00175199">
            <w:pPr>
              <w:pStyle w:val="NoSpacing"/>
            </w:pPr>
            <w:r w:rsidRPr="00175199">
              <w:t>Item</w:t>
            </w:r>
          </w:p>
        </w:tc>
        <w:tc>
          <w:tcPr>
            <w:tcW w:w="0" w:type="auto"/>
          </w:tcPr>
          <w:p w14:paraId="6DDCC95B" w14:textId="6FB470FD" w:rsidR="00DB3A12" w:rsidRPr="00175199" w:rsidRDefault="00DB3A12" w:rsidP="00175199">
            <w:pPr>
              <w:pStyle w:val="NoSpacing"/>
            </w:pPr>
            <w:r w:rsidRPr="00175199">
              <w:t>Openness to Seeking Treatment</w:t>
            </w:r>
          </w:p>
        </w:tc>
        <w:tc>
          <w:tcPr>
            <w:tcW w:w="0" w:type="auto"/>
          </w:tcPr>
          <w:p w14:paraId="4A258771" w14:textId="503B3359" w:rsidR="00DB3A12" w:rsidRPr="00175199" w:rsidRDefault="00DB3A12" w:rsidP="00175199">
            <w:pPr>
              <w:pStyle w:val="NoSpacing"/>
            </w:pPr>
            <w:r w:rsidRPr="00175199">
              <w:t>Value and Need in Seeking Treatment</w:t>
            </w:r>
          </w:p>
        </w:tc>
      </w:tr>
      <w:tr w:rsidR="00DB3A12" w:rsidRPr="00175199" w14:paraId="31FE4D62" w14:textId="77777777" w:rsidTr="00175199">
        <w:tc>
          <w:tcPr>
            <w:tcW w:w="0" w:type="auto"/>
          </w:tcPr>
          <w:p w14:paraId="0725D43E" w14:textId="66F52E64" w:rsidR="00DB3A12" w:rsidRPr="00175199" w:rsidRDefault="00A03929" w:rsidP="00175199">
            <w:pPr>
              <w:pStyle w:val="NoSpacing"/>
            </w:pPr>
            <w:r w:rsidRPr="00175199">
              <w:t>If I believe I was having a mental breakdown, my first</w:t>
            </w:r>
            <w:r w:rsidRPr="00175199">
              <w:t xml:space="preserve"> </w:t>
            </w:r>
            <w:r w:rsidRPr="00175199">
              <w:t>inclination would be to get professional attention.</w:t>
            </w:r>
          </w:p>
        </w:tc>
        <w:tc>
          <w:tcPr>
            <w:tcW w:w="0" w:type="auto"/>
          </w:tcPr>
          <w:p w14:paraId="514C0DFD" w14:textId="4EB3B838" w:rsidR="00DB3A12" w:rsidRPr="00175199" w:rsidRDefault="00A03929" w:rsidP="00175199">
            <w:pPr>
              <w:pStyle w:val="NoSpacing"/>
            </w:pPr>
            <w:r w:rsidRPr="00175199">
              <w:t>2.12 (0.23)</w:t>
            </w:r>
          </w:p>
        </w:tc>
        <w:tc>
          <w:tcPr>
            <w:tcW w:w="0" w:type="auto"/>
          </w:tcPr>
          <w:p w14:paraId="6DC176FA" w14:textId="18E4EA1A" w:rsidR="00DB3A12" w:rsidRPr="00175199" w:rsidRDefault="00A03929" w:rsidP="00175199">
            <w:pPr>
              <w:pStyle w:val="NoSpacing"/>
            </w:pPr>
            <w:r w:rsidRPr="00175199">
              <w:t>—</w:t>
            </w:r>
          </w:p>
        </w:tc>
      </w:tr>
      <w:tr w:rsidR="00DB3A12" w:rsidRPr="00175199" w14:paraId="5823A33C" w14:textId="77777777" w:rsidTr="00175199">
        <w:tc>
          <w:tcPr>
            <w:tcW w:w="0" w:type="auto"/>
          </w:tcPr>
          <w:p w14:paraId="03EB661F" w14:textId="22028007" w:rsidR="00DB3A12" w:rsidRPr="00175199" w:rsidRDefault="00A03929" w:rsidP="00175199">
            <w:pPr>
              <w:pStyle w:val="NoSpacing"/>
            </w:pPr>
            <w:r w:rsidRPr="00175199">
              <w:t>If I were experiencing a serious emotional crisis at this</w:t>
            </w:r>
            <w:r w:rsidRPr="00175199">
              <w:t xml:space="preserve"> </w:t>
            </w:r>
            <w:r w:rsidRPr="00175199">
              <w:t>point in my life, I would be confidence that I could find</w:t>
            </w:r>
            <w:r w:rsidRPr="00175199">
              <w:t xml:space="preserve"> </w:t>
            </w:r>
            <w:r w:rsidRPr="00175199">
              <w:t>relief in psychotherapy.</w:t>
            </w:r>
          </w:p>
        </w:tc>
        <w:tc>
          <w:tcPr>
            <w:tcW w:w="0" w:type="auto"/>
          </w:tcPr>
          <w:p w14:paraId="78B96B9B" w14:textId="66CB0CDA" w:rsidR="00DB3A12" w:rsidRPr="00175199" w:rsidRDefault="00DB0237" w:rsidP="00175199">
            <w:pPr>
              <w:pStyle w:val="NoSpacing"/>
            </w:pPr>
            <w:r w:rsidRPr="00175199">
              <w:t xml:space="preserve">2.80 (0.31) </w:t>
            </w:r>
          </w:p>
        </w:tc>
        <w:tc>
          <w:tcPr>
            <w:tcW w:w="0" w:type="auto"/>
          </w:tcPr>
          <w:p w14:paraId="7C6209EC" w14:textId="16B8F545" w:rsidR="00DB3A12" w:rsidRPr="00175199" w:rsidRDefault="00DB0237" w:rsidP="00175199">
            <w:pPr>
              <w:pStyle w:val="NoSpacing"/>
            </w:pPr>
            <w:r w:rsidRPr="00175199">
              <w:t>—</w:t>
            </w:r>
          </w:p>
        </w:tc>
      </w:tr>
      <w:tr w:rsidR="00DB3A12" w:rsidRPr="00175199" w14:paraId="5FCA9250" w14:textId="77777777" w:rsidTr="00175199">
        <w:tc>
          <w:tcPr>
            <w:tcW w:w="0" w:type="auto"/>
          </w:tcPr>
          <w:p w14:paraId="6A3A226A" w14:textId="3573F66F" w:rsidR="00DB3A12" w:rsidRPr="00175199" w:rsidRDefault="00DB0237" w:rsidP="00175199">
            <w:pPr>
              <w:pStyle w:val="NoSpacing"/>
            </w:pPr>
            <w:r w:rsidRPr="00175199">
              <w:t>I would want to get psychological help if I were worried</w:t>
            </w:r>
            <w:r w:rsidRPr="00175199">
              <w:t xml:space="preserve"> </w:t>
            </w:r>
            <w:r w:rsidRPr="00175199">
              <w:t>or upset for a long period of time.</w:t>
            </w:r>
          </w:p>
        </w:tc>
        <w:tc>
          <w:tcPr>
            <w:tcW w:w="0" w:type="auto"/>
          </w:tcPr>
          <w:p w14:paraId="534732BE" w14:textId="25D888F2" w:rsidR="00DB3A12" w:rsidRPr="00175199" w:rsidRDefault="00DB0237" w:rsidP="00175199">
            <w:pPr>
              <w:pStyle w:val="NoSpacing"/>
            </w:pPr>
            <w:r w:rsidRPr="00175199">
              <w:t>3.37 (0.43)</w:t>
            </w:r>
          </w:p>
        </w:tc>
        <w:tc>
          <w:tcPr>
            <w:tcW w:w="0" w:type="auto"/>
          </w:tcPr>
          <w:p w14:paraId="6D7294FD" w14:textId="2DB9DF62" w:rsidR="00DB3A12" w:rsidRPr="00175199" w:rsidRDefault="00DB0237" w:rsidP="00175199">
            <w:pPr>
              <w:pStyle w:val="NoSpacing"/>
            </w:pPr>
            <w:r w:rsidRPr="00175199">
              <w:t>—</w:t>
            </w:r>
          </w:p>
        </w:tc>
      </w:tr>
      <w:tr w:rsidR="00DB3A12" w:rsidRPr="00175199" w14:paraId="4FE7C138" w14:textId="77777777" w:rsidTr="00175199">
        <w:tc>
          <w:tcPr>
            <w:tcW w:w="0" w:type="auto"/>
          </w:tcPr>
          <w:p w14:paraId="795BF02F" w14:textId="5C5E8F22" w:rsidR="00DB3A12" w:rsidRPr="00175199" w:rsidRDefault="003246B5" w:rsidP="00175199">
            <w:pPr>
              <w:pStyle w:val="NoSpacing"/>
            </w:pPr>
            <w:r w:rsidRPr="00175199">
              <w:t>I might want to have psychological counseling in the</w:t>
            </w:r>
            <w:r w:rsidRPr="00175199">
              <w:t xml:space="preserve"> </w:t>
            </w:r>
            <w:r w:rsidRPr="00175199">
              <w:t>future.</w:t>
            </w:r>
          </w:p>
        </w:tc>
        <w:tc>
          <w:tcPr>
            <w:tcW w:w="0" w:type="auto"/>
          </w:tcPr>
          <w:p w14:paraId="571A3535" w14:textId="5F094031" w:rsidR="00DB3A12" w:rsidRPr="00175199" w:rsidRDefault="003246B5" w:rsidP="00175199">
            <w:pPr>
              <w:pStyle w:val="NoSpacing"/>
            </w:pPr>
            <w:r w:rsidRPr="00175199">
              <w:t>1.37 (0.15)</w:t>
            </w:r>
          </w:p>
        </w:tc>
        <w:tc>
          <w:tcPr>
            <w:tcW w:w="0" w:type="auto"/>
          </w:tcPr>
          <w:p w14:paraId="23780F18" w14:textId="0171A6F2" w:rsidR="00DB3A12" w:rsidRPr="00175199" w:rsidRDefault="003246B5" w:rsidP="00175199">
            <w:pPr>
              <w:pStyle w:val="NoSpacing"/>
            </w:pPr>
            <w:r w:rsidRPr="00175199">
              <w:t>—</w:t>
            </w:r>
          </w:p>
        </w:tc>
      </w:tr>
      <w:tr w:rsidR="00DB3A12" w:rsidRPr="00175199" w14:paraId="7CAB3B8D" w14:textId="77777777" w:rsidTr="00175199">
        <w:tc>
          <w:tcPr>
            <w:tcW w:w="0" w:type="auto"/>
          </w:tcPr>
          <w:p w14:paraId="08EC4F59" w14:textId="71167B52" w:rsidR="00DB3A12" w:rsidRPr="00175199" w:rsidRDefault="003246B5" w:rsidP="00175199">
            <w:pPr>
              <w:pStyle w:val="NoSpacing"/>
            </w:pPr>
            <w:r w:rsidRPr="00175199">
              <w:t>A person with an emotional problem is not likely to</w:t>
            </w:r>
            <w:r w:rsidR="00175199">
              <w:t xml:space="preserve"> </w:t>
            </w:r>
            <w:r w:rsidRPr="00175199">
              <w:t>solve it alone; he or she is likely to solve it with</w:t>
            </w:r>
            <w:r w:rsidR="00175199">
              <w:t xml:space="preserve"> </w:t>
            </w:r>
            <w:r w:rsidRPr="00175199">
              <w:t>professional help.</w:t>
            </w:r>
          </w:p>
        </w:tc>
        <w:tc>
          <w:tcPr>
            <w:tcW w:w="0" w:type="auto"/>
          </w:tcPr>
          <w:p w14:paraId="6CACC02D" w14:textId="0FCAA25B" w:rsidR="00DB3A12" w:rsidRPr="00175199" w:rsidRDefault="003246B5" w:rsidP="00175199">
            <w:pPr>
              <w:pStyle w:val="NoSpacing"/>
            </w:pPr>
            <w:r w:rsidRPr="00175199">
              <w:t>1.44 (0.15)</w:t>
            </w:r>
          </w:p>
        </w:tc>
        <w:tc>
          <w:tcPr>
            <w:tcW w:w="0" w:type="auto"/>
          </w:tcPr>
          <w:p w14:paraId="3A557D0D" w14:textId="62699C47" w:rsidR="00DB3A12" w:rsidRPr="00175199" w:rsidRDefault="003246B5" w:rsidP="00175199">
            <w:pPr>
              <w:pStyle w:val="NoSpacing"/>
            </w:pPr>
            <w:r w:rsidRPr="00175199">
              <w:t>—</w:t>
            </w:r>
          </w:p>
        </w:tc>
      </w:tr>
      <w:tr w:rsidR="00DB3A12" w:rsidRPr="00175199" w14:paraId="33781A90" w14:textId="77777777" w:rsidTr="00175199">
        <w:tc>
          <w:tcPr>
            <w:tcW w:w="0" w:type="auto"/>
          </w:tcPr>
          <w:p w14:paraId="50189CA3" w14:textId="3872FA1B" w:rsidR="00DB3A12" w:rsidRPr="00175199" w:rsidRDefault="00146788" w:rsidP="00175199">
            <w:pPr>
              <w:pStyle w:val="NoSpacing"/>
            </w:pPr>
            <w:r w:rsidRPr="00175199">
              <w:t>The idea of talking about problems with a psychologist</w:t>
            </w:r>
            <w:r w:rsidRPr="00175199">
              <w:t xml:space="preserve"> </w:t>
            </w:r>
            <w:r w:rsidRPr="00175199">
              <w:t>strikes me as a poor way to get rid of emotional conflict.</w:t>
            </w:r>
          </w:p>
        </w:tc>
        <w:tc>
          <w:tcPr>
            <w:tcW w:w="0" w:type="auto"/>
          </w:tcPr>
          <w:p w14:paraId="5B3E0257" w14:textId="65319924" w:rsidR="00DB3A12" w:rsidRPr="00175199" w:rsidRDefault="00146788" w:rsidP="00175199">
            <w:pPr>
              <w:pStyle w:val="NoSpacing"/>
            </w:pPr>
            <w:r w:rsidRPr="00175199">
              <w:t>—</w:t>
            </w:r>
          </w:p>
        </w:tc>
        <w:tc>
          <w:tcPr>
            <w:tcW w:w="0" w:type="auto"/>
          </w:tcPr>
          <w:p w14:paraId="74EC975F" w14:textId="6F0F3E8F" w:rsidR="00DB3A12" w:rsidRPr="00175199" w:rsidRDefault="00146788" w:rsidP="00175199">
            <w:pPr>
              <w:pStyle w:val="NoSpacing"/>
            </w:pPr>
            <w:r w:rsidRPr="00175199">
              <w:t>1.36 (0.18)</w:t>
            </w:r>
          </w:p>
        </w:tc>
      </w:tr>
      <w:tr w:rsidR="00146788" w:rsidRPr="00175199" w14:paraId="6437C01B" w14:textId="77777777" w:rsidTr="00175199">
        <w:tc>
          <w:tcPr>
            <w:tcW w:w="0" w:type="auto"/>
          </w:tcPr>
          <w:p w14:paraId="55FD1F5F" w14:textId="79B655B9" w:rsidR="00146788" w:rsidRPr="00175199" w:rsidRDefault="00F93322" w:rsidP="00175199">
            <w:pPr>
              <w:pStyle w:val="NoSpacing"/>
            </w:pPr>
            <w:r w:rsidRPr="00175199">
              <w:t>There is something admirable in the attitude of a person</w:t>
            </w:r>
            <w:r w:rsidRPr="00175199">
              <w:t xml:space="preserve"> </w:t>
            </w:r>
            <w:r w:rsidRPr="00175199">
              <w:t>who is willing to cope with his or her conflicts and</w:t>
            </w:r>
            <w:r w:rsidRPr="00175199">
              <w:t xml:space="preserve"> </w:t>
            </w:r>
            <w:r w:rsidRPr="00175199">
              <w:t>fears without resorting to professional help.</w:t>
            </w:r>
          </w:p>
        </w:tc>
        <w:tc>
          <w:tcPr>
            <w:tcW w:w="0" w:type="auto"/>
          </w:tcPr>
          <w:p w14:paraId="6AA9633D" w14:textId="6A744980" w:rsidR="00146788" w:rsidRPr="00175199" w:rsidRDefault="00F93322" w:rsidP="00175199">
            <w:pPr>
              <w:pStyle w:val="NoSpacing"/>
            </w:pPr>
            <w:r w:rsidRPr="00175199">
              <w:t>—</w:t>
            </w:r>
          </w:p>
        </w:tc>
        <w:tc>
          <w:tcPr>
            <w:tcW w:w="0" w:type="auto"/>
          </w:tcPr>
          <w:p w14:paraId="7F51124B" w14:textId="7DDE0F6D" w:rsidR="00146788" w:rsidRPr="00175199" w:rsidRDefault="00F93322" w:rsidP="00175199">
            <w:pPr>
              <w:pStyle w:val="NoSpacing"/>
            </w:pPr>
            <w:r w:rsidRPr="00175199">
              <w:t>1.03 (0.14)</w:t>
            </w:r>
          </w:p>
        </w:tc>
      </w:tr>
      <w:tr w:rsidR="00146788" w:rsidRPr="00175199" w14:paraId="2CA49488" w14:textId="77777777" w:rsidTr="00175199">
        <w:tc>
          <w:tcPr>
            <w:tcW w:w="0" w:type="auto"/>
          </w:tcPr>
          <w:p w14:paraId="4CB746A0" w14:textId="2B8B4BAC" w:rsidR="00146788" w:rsidRPr="00175199" w:rsidRDefault="00F93322" w:rsidP="00175199">
            <w:pPr>
              <w:pStyle w:val="NoSpacing"/>
            </w:pPr>
            <w:r w:rsidRPr="00175199">
              <w:t>Considering the time and expense involved in</w:t>
            </w:r>
            <w:r w:rsidRPr="00175199">
              <w:t xml:space="preserve"> </w:t>
            </w:r>
            <w:r w:rsidRPr="00175199">
              <w:t>psychotherapy, it would have doubtful value for a</w:t>
            </w:r>
            <w:r w:rsidRPr="00175199">
              <w:t xml:space="preserve"> </w:t>
            </w:r>
            <w:r w:rsidRPr="00175199">
              <w:t>person like me.</w:t>
            </w:r>
          </w:p>
        </w:tc>
        <w:tc>
          <w:tcPr>
            <w:tcW w:w="0" w:type="auto"/>
          </w:tcPr>
          <w:p w14:paraId="2E1D4902" w14:textId="0D843A3C" w:rsidR="00146788" w:rsidRPr="00175199" w:rsidRDefault="00F93322" w:rsidP="00175199">
            <w:pPr>
              <w:pStyle w:val="NoSpacing"/>
            </w:pPr>
            <w:r w:rsidRPr="00175199">
              <w:t>—</w:t>
            </w:r>
          </w:p>
        </w:tc>
        <w:tc>
          <w:tcPr>
            <w:tcW w:w="0" w:type="auto"/>
          </w:tcPr>
          <w:p w14:paraId="3486A63F" w14:textId="2AD88E78" w:rsidR="00146788" w:rsidRPr="00175199" w:rsidRDefault="00F93322" w:rsidP="00175199">
            <w:pPr>
              <w:pStyle w:val="NoSpacing"/>
            </w:pPr>
            <w:r w:rsidRPr="00175199">
              <w:t>1.46 (0.18)</w:t>
            </w:r>
          </w:p>
        </w:tc>
      </w:tr>
      <w:tr w:rsidR="00146788" w:rsidRPr="00175199" w14:paraId="0A2446F9" w14:textId="77777777" w:rsidTr="00175199">
        <w:tc>
          <w:tcPr>
            <w:tcW w:w="0" w:type="auto"/>
          </w:tcPr>
          <w:p w14:paraId="3D38B7E3" w14:textId="7F5EB1B5" w:rsidR="00146788" w:rsidRPr="00175199" w:rsidRDefault="00224FA9" w:rsidP="00175199">
            <w:pPr>
              <w:pStyle w:val="NoSpacing"/>
            </w:pPr>
            <w:r w:rsidRPr="00175199">
              <w:t>A person should work out their own problems; getting</w:t>
            </w:r>
            <w:r w:rsidRPr="00175199">
              <w:t xml:space="preserve"> </w:t>
            </w:r>
            <w:r w:rsidRPr="00175199">
              <w:t>psychological counseling would be a last resort.</w:t>
            </w:r>
          </w:p>
        </w:tc>
        <w:tc>
          <w:tcPr>
            <w:tcW w:w="0" w:type="auto"/>
          </w:tcPr>
          <w:p w14:paraId="43F34E70" w14:textId="270A6601" w:rsidR="00146788" w:rsidRPr="00175199" w:rsidRDefault="00224FA9" w:rsidP="00175199">
            <w:pPr>
              <w:pStyle w:val="NoSpacing"/>
            </w:pPr>
            <w:r w:rsidRPr="00175199">
              <w:t>—</w:t>
            </w:r>
          </w:p>
        </w:tc>
        <w:tc>
          <w:tcPr>
            <w:tcW w:w="0" w:type="auto"/>
          </w:tcPr>
          <w:p w14:paraId="681509C2" w14:textId="1F7F4BD5" w:rsidR="00146788" w:rsidRPr="00175199" w:rsidRDefault="00224FA9" w:rsidP="00175199">
            <w:pPr>
              <w:pStyle w:val="NoSpacing"/>
            </w:pPr>
            <w:r w:rsidRPr="00175199">
              <w:t>1.92 (0.25)</w:t>
            </w:r>
          </w:p>
        </w:tc>
      </w:tr>
      <w:tr w:rsidR="00146788" w:rsidRPr="00175199" w14:paraId="38526ED4" w14:textId="77777777" w:rsidTr="00175199">
        <w:tc>
          <w:tcPr>
            <w:tcW w:w="0" w:type="auto"/>
          </w:tcPr>
          <w:p w14:paraId="5DEB4A77" w14:textId="4149E4C5" w:rsidR="00146788" w:rsidRPr="00175199" w:rsidRDefault="00224FA9" w:rsidP="00175199">
            <w:pPr>
              <w:pStyle w:val="NoSpacing"/>
            </w:pPr>
            <w:r w:rsidRPr="00175199">
              <w:t>Personal and emotional troubles, like many things, tend</w:t>
            </w:r>
            <w:r w:rsidR="001623E1" w:rsidRPr="00175199">
              <w:t xml:space="preserve"> </w:t>
            </w:r>
            <w:r w:rsidRPr="00175199">
              <w:t>to work out by themselves.</w:t>
            </w:r>
          </w:p>
        </w:tc>
        <w:tc>
          <w:tcPr>
            <w:tcW w:w="0" w:type="auto"/>
          </w:tcPr>
          <w:p w14:paraId="2694A0F5" w14:textId="5129F650" w:rsidR="00146788" w:rsidRPr="00175199" w:rsidRDefault="001623E1" w:rsidP="00175199">
            <w:pPr>
              <w:pStyle w:val="NoSpacing"/>
            </w:pPr>
            <w:r w:rsidRPr="00175199">
              <w:t>—</w:t>
            </w:r>
          </w:p>
        </w:tc>
        <w:tc>
          <w:tcPr>
            <w:tcW w:w="0" w:type="auto"/>
          </w:tcPr>
          <w:p w14:paraId="2EEF95CC" w14:textId="63C8443F" w:rsidR="00146788" w:rsidRPr="00175199" w:rsidRDefault="001623E1" w:rsidP="00175199">
            <w:pPr>
              <w:pStyle w:val="NoSpacing"/>
            </w:pPr>
            <w:r w:rsidRPr="00175199">
              <w:t>1.74 (0.23)</w:t>
            </w:r>
          </w:p>
        </w:tc>
      </w:tr>
      <w:tr w:rsidR="00224FA9" w:rsidRPr="00175199" w14:paraId="50252221" w14:textId="77777777" w:rsidTr="00175199">
        <w:tc>
          <w:tcPr>
            <w:tcW w:w="0" w:type="auto"/>
          </w:tcPr>
          <w:p w14:paraId="2DC90C86" w14:textId="77777777" w:rsidR="00224FA9" w:rsidRPr="00175199" w:rsidRDefault="00224FA9" w:rsidP="00175199">
            <w:pPr>
              <w:pStyle w:val="NoSpacing"/>
            </w:pPr>
          </w:p>
        </w:tc>
        <w:tc>
          <w:tcPr>
            <w:tcW w:w="0" w:type="auto"/>
          </w:tcPr>
          <w:p w14:paraId="14F23099" w14:textId="1D41CA19" w:rsidR="00224FA9" w:rsidRPr="00175199" w:rsidRDefault="001623E1" w:rsidP="00175199">
            <w:pPr>
              <w:pStyle w:val="NoSpacing"/>
            </w:pPr>
            <w:r w:rsidRPr="00175199">
              <w:t>r = −.05 (0.07)</w:t>
            </w:r>
          </w:p>
        </w:tc>
        <w:tc>
          <w:tcPr>
            <w:tcW w:w="0" w:type="auto"/>
          </w:tcPr>
          <w:p w14:paraId="2A3F0EBD" w14:textId="77777777" w:rsidR="00224FA9" w:rsidRPr="00175199" w:rsidRDefault="00224FA9" w:rsidP="00175199">
            <w:pPr>
              <w:pStyle w:val="NoSpacing"/>
            </w:pPr>
          </w:p>
        </w:tc>
      </w:tr>
    </w:tbl>
    <w:p w14:paraId="10B7EDBF" w14:textId="060CE247" w:rsidR="00055C42" w:rsidRPr="00055C42" w:rsidRDefault="001623E1" w:rsidP="001623E1">
      <w:pPr>
        <w:pStyle w:val="NoSpacing"/>
      </w:pPr>
      <w:r>
        <w:rPr>
          <w:rFonts w:ascii="GillSansMTPro-MediumItalic" w:hAnsi="GillSansMTPro-MediumItalic" w:cs="GillSansMTPro-MediumItalic"/>
          <w:i/>
          <w:iCs/>
        </w:rPr>
        <w:t xml:space="preserve">Note. SE </w:t>
      </w:r>
      <w:r>
        <w:rPr>
          <w:rFonts w:ascii="MathematicalPiLTStd" w:hAnsi="MathematicalPiLTStd" w:cs="MathematicalPiLTStd"/>
        </w:rPr>
        <w:t xml:space="preserve">= </w:t>
      </w:r>
      <w:r>
        <w:t xml:space="preserve">standard error; IRT </w:t>
      </w:r>
      <w:r>
        <w:rPr>
          <w:rFonts w:ascii="MathematicalPiLTStd" w:hAnsi="MathematicalPiLTStd" w:cs="MathematicalPiLTStd"/>
        </w:rPr>
        <w:t xml:space="preserve">= </w:t>
      </w:r>
      <w:r>
        <w:t>item response theory.</w:t>
      </w:r>
    </w:p>
    <w:p w14:paraId="65926078" w14:textId="77777777" w:rsidR="001623E1" w:rsidRDefault="001623E1" w:rsidP="00055C42"/>
    <w:p w14:paraId="5AD856C6" w14:textId="7A2B2E0B" w:rsidR="00055C42" w:rsidRPr="00055C42" w:rsidRDefault="00055C42" w:rsidP="00F5783F">
      <w:pPr>
        <w:pStyle w:val="Heading2"/>
      </w:pPr>
      <w:r w:rsidRPr="00055C42">
        <w:t>Openness to Seeking Treatment</w:t>
      </w:r>
    </w:p>
    <w:p w14:paraId="3885C006" w14:textId="12620657" w:rsidR="00055C42" w:rsidRPr="00055C42" w:rsidRDefault="00055C42" w:rsidP="00055C42">
      <w:r w:rsidRPr="00055C42">
        <w:t>The unidimensional Openness to Seeking Treatment scale exhibited good fit in the full sample (RMSEA = 0.08, CFI = 0.99, TLI = 0.98). Item parameter estimates for this subscale are shown in </w:t>
      </w:r>
      <w:r w:rsidRPr="006A29B3">
        <w:t>Table 3</w:t>
      </w:r>
      <w:r w:rsidRPr="00055C42">
        <w:t>. Discrimination parameters range from 1.37 to 3.37, with “I would want to get psychological help if I were worried or upset for a long period of time (Item #5)” being the most discriminating.</w:t>
      </w:r>
    </w:p>
    <w:p w14:paraId="0A8AFEF8" w14:textId="77777777" w:rsidR="00055C42" w:rsidRPr="00055C42" w:rsidRDefault="00055C42" w:rsidP="00055C42">
      <w:r w:rsidRPr="00055C42">
        <w:rPr>
          <w:b/>
          <w:bCs/>
        </w:rPr>
        <w:t>Table 3.</w:t>
      </w:r>
      <w:r w:rsidRPr="00055C42">
        <w:t> Item Discrimination (</w:t>
      </w:r>
      <w:r w:rsidRPr="00055C42">
        <w:rPr>
          <w:i/>
          <w:iCs/>
        </w:rPr>
        <w:t>a</w:t>
      </w:r>
      <w:r w:rsidRPr="00055C42">
        <w:t>) and Threshold (</w:t>
      </w:r>
      <w:r w:rsidRPr="00055C42">
        <w:rPr>
          <w:i/>
          <w:iCs/>
        </w:rPr>
        <w:t>b</w:t>
      </w:r>
      <w:r w:rsidRPr="00055C42">
        <w:t xml:space="preserve">) Parameter Estimates </w:t>
      </w:r>
      <w:proofErr w:type="gramStart"/>
      <w:r w:rsidRPr="00055C42">
        <w:t>From</w:t>
      </w:r>
      <w:proofErr w:type="gramEnd"/>
      <w:r w:rsidRPr="00055C42">
        <w:t xml:space="preserve"> the Two Unidimensional Models When Fit to the Full Sample.</w:t>
      </w:r>
    </w:p>
    <w:p w14:paraId="5C610363" w14:textId="77777777" w:rsidR="007B2C0F" w:rsidRPr="007B2C0F" w:rsidRDefault="007B2C0F" w:rsidP="007B2C0F">
      <w:pPr>
        <w:kinsoku w:val="0"/>
        <w:overflowPunct w:val="0"/>
        <w:autoSpaceDE w:val="0"/>
        <w:autoSpaceDN w:val="0"/>
        <w:adjustRightInd w:val="0"/>
        <w:spacing w:before="11"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4585"/>
        <w:gridCol w:w="1260"/>
        <w:gridCol w:w="1440"/>
        <w:gridCol w:w="1350"/>
        <w:gridCol w:w="1435"/>
      </w:tblGrid>
      <w:tr w:rsidR="004B35D2" w:rsidRPr="007B2C0F" w14:paraId="20A2FA41" w14:textId="77777777" w:rsidTr="00703E2F">
        <w:trPr>
          <w:trHeight w:val="282"/>
        </w:trPr>
        <w:tc>
          <w:tcPr>
            <w:tcW w:w="4585" w:type="dxa"/>
          </w:tcPr>
          <w:p w14:paraId="10CBE0CF" w14:textId="77777777" w:rsidR="007B2C0F" w:rsidRPr="007B2C0F" w:rsidRDefault="007B2C0F" w:rsidP="007B2C0F">
            <w:pPr>
              <w:pStyle w:val="NoSpacing"/>
            </w:pPr>
          </w:p>
        </w:tc>
        <w:tc>
          <w:tcPr>
            <w:tcW w:w="1260" w:type="dxa"/>
          </w:tcPr>
          <w:p w14:paraId="787C11A1" w14:textId="77777777" w:rsidR="007B2C0F" w:rsidRPr="007B2C0F" w:rsidRDefault="007B2C0F" w:rsidP="007B2C0F">
            <w:pPr>
              <w:pStyle w:val="NoSpacing"/>
            </w:pPr>
            <w:r w:rsidRPr="007B2C0F">
              <w:t>a (SE)</w:t>
            </w:r>
          </w:p>
        </w:tc>
        <w:tc>
          <w:tcPr>
            <w:tcW w:w="1440" w:type="dxa"/>
          </w:tcPr>
          <w:p w14:paraId="4ABD42AD" w14:textId="77777777" w:rsidR="007B2C0F" w:rsidRPr="007B2C0F" w:rsidRDefault="007B2C0F" w:rsidP="007B2C0F">
            <w:pPr>
              <w:pStyle w:val="NoSpacing"/>
            </w:pPr>
            <w:r w:rsidRPr="007B2C0F">
              <w:t>b1 (SE)</w:t>
            </w:r>
          </w:p>
        </w:tc>
        <w:tc>
          <w:tcPr>
            <w:tcW w:w="1350" w:type="dxa"/>
          </w:tcPr>
          <w:p w14:paraId="59B3C3FB" w14:textId="77777777" w:rsidR="007B2C0F" w:rsidRPr="007B2C0F" w:rsidRDefault="007B2C0F" w:rsidP="007B2C0F">
            <w:pPr>
              <w:pStyle w:val="NoSpacing"/>
            </w:pPr>
            <w:r w:rsidRPr="007B2C0F">
              <w:t>b2 (SE)</w:t>
            </w:r>
          </w:p>
        </w:tc>
        <w:tc>
          <w:tcPr>
            <w:tcW w:w="1435" w:type="dxa"/>
          </w:tcPr>
          <w:p w14:paraId="60726BEB" w14:textId="77777777" w:rsidR="007B2C0F" w:rsidRPr="007B2C0F" w:rsidRDefault="007B2C0F" w:rsidP="007B2C0F">
            <w:pPr>
              <w:pStyle w:val="NoSpacing"/>
            </w:pPr>
            <w:r w:rsidRPr="007B2C0F">
              <w:t>b3 (SE)</w:t>
            </w:r>
          </w:p>
        </w:tc>
      </w:tr>
      <w:tr w:rsidR="004B35D2" w:rsidRPr="007B2C0F" w14:paraId="7FD2F236" w14:textId="77777777" w:rsidTr="00703E2F">
        <w:trPr>
          <w:trHeight w:val="277"/>
        </w:trPr>
        <w:tc>
          <w:tcPr>
            <w:tcW w:w="4585" w:type="dxa"/>
          </w:tcPr>
          <w:p w14:paraId="276747F6" w14:textId="77777777" w:rsidR="007B2C0F" w:rsidRPr="00492936" w:rsidRDefault="007B2C0F" w:rsidP="007B2C0F">
            <w:pPr>
              <w:pStyle w:val="NoSpacing"/>
              <w:rPr>
                <w:i/>
                <w:iCs/>
              </w:rPr>
            </w:pPr>
            <w:r w:rsidRPr="00492936">
              <w:rPr>
                <w:i/>
                <w:iCs/>
              </w:rPr>
              <w:t>Openness to Seeking Treatment</w:t>
            </w:r>
          </w:p>
        </w:tc>
        <w:tc>
          <w:tcPr>
            <w:tcW w:w="1260" w:type="dxa"/>
          </w:tcPr>
          <w:p w14:paraId="4040729F" w14:textId="77777777" w:rsidR="007B2C0F" w:rsidRPr="007B2C0F" w:rsidRDefault="007B2C0F" w:rsidP="007B2C0F">
            <w:pPr>
              <w:pStyle w:val="NoSpacing"/>
            </w:pPr>
          </w:p>
        </w:tc>
        <w:tc>
          <w:tcPr>
            <w:tcW w:w="1440" w:type="dxa"/>
          </w:tcPr>
          <w:p w14:paraId="037A17D4" w14:textId="77777777" w:rsidR="007B2C0F" w:rsidRPr="007B2C0F" w:rsidRDefault="007B2C0F" w:rsidP="007B2C0F">
            <w:pPr>
              <w:pStyle w:val="NoSpacing"/>
            </w:pPr>
          </w:p>
        </w:tc>
        <w:tc>
          <w:tcPr>
            <w:tcW w:w="1350" w:type="dxa"/>
          </w:tcPr>
          <w:p w14:paraId="7DF0E03A" w14:textId="77777777" w:rsidR="007B2C0F" w:rsidRPr="007B2C0F" w:rsidRDefault="007B2C0F" w:rsidP="007B2C0F">
            <w:pPr>
              <w:pStyle w:val="NoSpacing"/>
            </w:pPr>
          </w:p>
        </w:tc>
        <w:tc>
          <w:tcPr>
            <w:tcW w:w="1435" w:type="dxa"/>
          </w:tcPr>
          <w:p w14:paraId="1CD70476" w14:textId="77777777" w:rsidR="007B2C0F" w:rsidRPr="007B2C0F" w:rsidRDefault="007B2C0F" w:rsidP="007B2C0F">
            <w:pPr>
              <w:pStyle w:val="NoSpacing"/>
            </w:pPr>
          </w:p>
        </w:tc>
      </w:tr>
      <w:tr w:rsidR="004B35D2" w:rsidRPr="007B2C0F" w14:paraId="58B25F09" w14:textId="77777777" w:rsidTr="00703E2F">
        <w:trPr>
          <w:trHeight w:val="440"/>
        </w:trPr>
        <w:tc>
          <w:tcPr>
            <w:tcW w:w="4585" w:type="dxa"/>
          </w:tcPr>
          <w:p w14:paraId="5AA30F88" w14:textId="77777777" w:rsidR="007B2C0F" w:rsidRPr="007B2C0F" w:rsidRDefault="007B2C0F" w:rsidP="007B2C0F">
            <w:pPr>
              <w:pStyle w:val="NoSpacing"/>
            </w:pPr>
            <w:r w:rsidRPr="007B2C0F">
              <w:t>If I believe I was having a mental breakdown, my first inclination would be to get professional attention.</w:t>
            </w:r>
          </w:p>
        </w:tc>
        <w:tc>
          <w:tcPr>
            <w:tcW w:w="1260" w:type="dxa"/>
          </w:tcPr>
          <w:p w14:paraId="3C97AF72" w14:textId="77777777" w:rsidR="007B2C0F" w:rsidRPr="007B2C0F" w:rsidRDefault="007B2C0F" w:rsidP="007B2C0F">
            <w:pPr>
              <w:pStyle w:val="NoSpacing"/>
            </w:pPr>
            <w:r w:rsidRPr="007B2C0F">
              <w:t>2.12 (0.23)</w:t>
            </w:r>
          </w:p>
        </w:tc>
        <w:tc>
          <w:tcPr>
            <w:tcW w:w="1440" w:type="dxa"/>
          </w:tcPr>
          <w:p w14:paraId="2232767E" w14:textId="77777777" w:rsidR="007B2C0F" w:rsidRPr="007B2C0F" w:rsidRDefault="007B2C0F" w:rsidP="007B2C0F">
            <w:pPr>
              <w:pStyle w:val="NoSpacing"/>
            </w:pPr>
            <w:r w:rsidRPr="007B2C0F">
              <w:t>−1.31 (0.11)</w:t>
            </w:r>
          </w:p>
        </w:tc>
        <w:tc>
          <w:tcPr>
            <w:tcW w:w="1350" w:type="dxa"/>
          </w:tcPr>
          <w:p w14:paraId="04F87D98" w14:textId="77777777" w:rsidR="007B2C0F" w:rsidRPr="007B2C0F" w:rsidRDefault="007B2C0F" w:rsidP="007B2C0F">
            <w:pPr>
              <w:pStyle w:val="NoSpacing"/>
            </w:pPr>
            <w:r w:rsidRPr="007B2C0F">
              <w:t>−0.76 (0.09)</w:t>
            </w:r>
          </w:p>
        </w:tc>
        <w:tc>
          <w:tcPr>
            <w:tcW w:w="1435" w:type="dxa"/>
          </w:tcPr>
          <w:p w14:paraId="4BF6DE13" w14:textId="77777777" w:rsidR="007B2C0F" w:rsidRPr="007B2C0F" w:rsidRDefault="007B2C0F" w:rsidP="007B2C0F">
            <w:pPr>
              <w:pStyle w:val="NoSpacing"/>
            </w:pPr>
            <w:r w:rsidRPr="007B2C0F">
              <w:t>−0.02 (0.08)</w:t>
            </w:r>
          </w:p>
        </w:tc>
      </w:tr>
      <w:tr w:rsidR="004B35D2" w:rsidRPr="007B2C0F" w14:paraId="22DD1FC7" w14:textId="77777777" w:rsidTr="00703E2F">
        <w:trPr>
          <w:trHeight w:val="650"/>
        </w:trPr>
        <w:tc>
          <w:tcPr>
            <w:tcW w:w="4585" w:type="dxa"/>
          </w:tcPr>
          <w:p w14:paraId="4DF4B7D5" w14:textId="77777777" w:rsidR="007B2C0F" w:rsidRPr="007B2C0F" w:rsidRDefault="007B2C0F" w:rsidP="007B2C0F">
            <w:pPr>
              <w:pStyle w:val="NoSpacing"/>
            </w:pPr>
            <w:r w:rsidRPr="007B2C0F">
              <w:t>If I were experiencing a serious emotional crisis at this point in my life, I would be confidence that I could find relief in psychotherapy.</w:t>
            </w:r>
          </w:p>
        </w:tc>
        <w:tc>
          <w:tcPr>
            <w:tcW w:w="1260" w:type="dxa"/>
          </w:tcPr>
          <w:p w14:paraId="403D3EDF" w14:textId="77777777" w:rsidR="007B2C0F" w:rsidRPr="007B2C0F" w:rsidRDefault="007B2C0F" w:rsidP="007B2C0F">
            <w:pPr>
              <w:pStyle w:val="NoSpacing"/>
            </w:pPr>
            <w:r w:rsidRPr="007B2C0F">
              <w:t>2.80 (0.31)</w:t>
            </w:r>
          </w:p>
        </w:tc>
        <w:tc>
          <w:tcPr>
            <w:tcW w:w="1440" w:type="dxa"/>
          </w:tcPr>
          <w:p w14:paraId="08A1B859" w14:textId="77777777" w:rsidR="007B2C0F" w:rsidRPr="007B2C0F" w:rsidRDefault="007B2C0F" w:rsidP="007B2C0F">
            <w:pPr>
              <w:pStyle w:val="NoSpacing"/>
            </w:pPr>
            <w:r w:rsidRPr="007B2C0F">
              <w:t>−1.39 (0.11)</w:t>
            </w:r>
          </w:p>
        </w:tc>
        <w:tc>
          <w:tcPr>
            <w:tcW w:w="1350" w:type="dxa"/>
          </w:tcPr>
          <w:p w14:paraId="3F29DED0" w14:textId="77777777" w:rsidR="007B2C0F" w:rsidRPr="007B2C0F" w:rsidRDefault="007B2C0F" w:rsidP="007B2C0F">
            <w:pPr>
              <w:pStyle w:val="NoSpacing"/>
            </w:pPr>
            <w:r w:rsidRPr="007B2C0F">
              <w:t>0.67 (0.08)</w:t>
            </w:r>
          </w:p>
        </w:tc>
        <w:tc>
          <w:tcPr>
            <w:tcW w:w="1435" w:type="dxa"/>
          </w:tcPr>
          <w:p w14:paraId="4455990B" w14:textId="77777777" w:rsidR="007B2C0F" w:rsidRPr="007B2C0F" w:rsidRDefault="007B2C0F" w:rsidP="007B2C0F">
            <w:pPr>
              <w:pStyle w:val="NoSpacing"/>
            </w:pPr>
            <w:r w:rsidRPr="007B2C0F">
              <w:t>0.33 (0.07)</w:t>
            </w:r>
          </w:p>
        </w:tc>
      </w:tr>
      <w:tr w:rsidR="004B35D2" w:rsidRPr="007B2C0F" w14:paraId="415B87B2" w14:textId="77777777" w:rsidTr="00703E2F">
        <w:trPr>
          <w:trHeight w:val="440"/>
        </w:trPr>
        <w:tc>
          <w:tcPr>
            <w:tcW w:w="4585" w:type="dxa"/>
          </w:tcPr>
          <w:p w14:paraId="1818D489" w14:textId="77777777" w:rsidR="007B2C0F" w:rsidRPr="007B2C0F" w:rsidRDefault="007B2C0F" w:rsidP="007B2C0F">
            <w:pPr>
              <w:pStyle w:val="NoSpacing"/>
            </w:pPr>
            <w:r w:rsidRPr="007B2C0F">
              <w:t>I would want to get psychological help if I were worried or upset for a long period of time.</w:t>
            </w:r>
          </w:p>
        </w:tc>
        <w:tc>
          <w:tcPr>
            <w:tcW w:w="1260" w:type="dxa"/>
          </w:tcPr>
          <w:p w14:paraId="0B9E4AF0" w14:textId="77777777" w:rsidR="007B2C0F" w:rsidRPr="007B2C0F" w:rsidRDefault="007B2C0F" w:rsidP="007B2C0F">
            <w:pPr>
              <w:pStyle w:val="NoSpacing"/>
            </w:pPr>
            <w:r w:rsidRPr="007B2C0F">
              <w:t>3.37 (0.43)</w:t>
            </w:r>
          </w:p>
        </w:tc>
        <w:tc>
          <w:tcPr>
            <w:tcW w:w="1440" w:type="dxa"/>
          </w:tcPr>
          <w:p w14:paraId="52AD9162" w14:textId="77777777" w:rsidR="007B2C0F" w:rsidRPr="007B2C0F" w:rsidRDefault="007B2C0F" w:rsidP="007B2C0F">
            <w:pPr>
              <w:pStyle w:val="NoSpacing"/>
            </w:pPr>
            <w:r w:rsidRPr="007B2C0F">
              <w:t>−1.38 (0.10)</w:t>
            </w:r>
          </w:p>
        </w:tc>
        <w:tc>
          <w:tcPr>
            <w:tcW w:w="1350" w:type="dxa"/>
          </w:tcPr>
          <w:p w14:paraId="67AF3F48" w14:textId="77777777" w:rsidR="007B2C0F" w:rsidRPr="007B2C0F" w:rsidRDefault="007B2C0F" w:rsidP="007B2C0F">
            <w:pPr>
              <w:pStyle w:val="NoSpacing"/>
            </w:pPr>
            <w:r w:rsidRPr="007B2C0F">
              <w:t>−0.76 (0.07)</w:t>
            </w:r>
          </w:p>
        </w:tc>
        <w:tc>
          <w:tcPr>
            <w:tcW w:w="1435" w:type="dxa"/>
          </w:tcPr>
          <w:p w14:paraId="491B8F76" w14:textId="77777777" w:rsidR="007B2C0F" w:rsidRPr="007B2C0F" w:rsidRDefault="007B2C0F" w:rsidP="007B2C0F">
            <w:pPr>
              <w:pStyle w:val="NoSpacing"/>
            </w:pPr>
            <w:r w:rsidRPr="007B2C0F">
              <w:t>0.23 (0.07)</w:t>
            </w:r>
          </w:p>
        </w:tc>
      </w:tr>
      <w:tr w:rsidR="004B35D2" w:rsidRPr="007B2C0F" w14:paraId="41D8FFBA" w14:textId="77777777" w:rsidTr="00703E2F">
        <w:trPr>
          <w:trHeight w:val="229"/>
        </w:trPr>
        <w:tc>
          <w:tcPr>
            <w:tcW w:w="4585" w:type="dxa"/>
          </w:tcPr>
          <w:p w14:paraId="6F718BBB" w14:textId="77777777" w:rsidR="007B2C0F" w:rsidRPr="007B2C0F" w:rsidRDefault="007B2C0F" w:rsidP="007B2C0F">
            <w:pPr>
              <w:pStyle w:val="NoSpacing"/>
            </w:pPr>
            <w:r w:rsidRPr="007B2C0F">
              <w:t>I might want to have psychological counseling in the future.</w:t>
            </w:r>
          </w:p>
        </w:tc>
        <w:tc>
          <w:tcPr>
            <w:tcW w:w="1260" w:type="dxa"/>
          </w:tcPr>
          <w:p w14:paraId="720A7D7E" w14:textId="77777777" w:rsidR="007B2C0F" w:rsidRPr="007B2C0F" w:rsidRDefault="007B2C0F" w:rsidP="007B2C0F">
            <w:pPr>
              <w:pStyle w:val="NoSpacing"/>
            </w:pPr>
            <w:r w:rsidRPr="007B2C0F">
              <w:t>1.37 (0.15)</w:t>
            </w:r>
          </w:p>
        </w:tc>
        <w:tc>
          <w:tcPr>
            <w:tcW w:w="1440" w:type="dxa"/>
          </w:tcPr>
          <w:p w14:paraId="177D2EA8" w14:textId="77777777" w:rsidR="007B2C0F" w:rsidRPr="007B2C0F" w:rsidRDefault="007B2C0F" w:rsidP="007B2C0F">
            <w:pPr>
              <w:pStyle w:val="NoSpacing"/>
            </w:pPr>
            <w:r w:rsidRPr="007B2C0F">
              <w:t>−1.19 (0.14)</w:t>
            </w:r>
          </w:p>
        </w:tc>
        <w:tc>
          <w:tcPr>
            <w:tcW w:w="1350" w:type="dxa"/>
          </w:tcPr>
          <w:p w14:paraId="38739B74" w14:textId="77777777" w:rsidR="007B2C0F" w:rsidRPr="007B2C0F" w:rsidRDefault="007B2C0F" w:rsidP="007B2C0F">
            <w:pPr>
              <w:pStyle w:val="NoSpacing"/>
            </w:pPr>
            <w:r w:rsidRPr="007B2C0F">
              <w:t>−0.30 (0.10)</w:t>
            </w:r>
          </w:p>
        </w:tc>
        <w:tc>
          <w:tcPr>
            <w:tcW w:w="1435" w:type="dxa"/>
          </w:tcPr>
          <w:p w14:paraId="461F825D" w14:textId="77777777" w:rsidR="007B2C0F" w:rsidRPr="007B2C0F" w:rsidRDefault="007B2C0F" w:rsidP="007B2C0F">
            <w:pPr>
              <w:pStyle w:val="NoSpacing"/>
            </w:pPr>
            <w:r w:rsidRPr="007B2C0F">
              <w:t>1.11 (0.14)</w:t>
            </w:r>
          </w:p>
        </w:tc>
      </w:tr>
      <w:tr w:rsidR="004B35D2" w:rsidRPr="007B2C0F" w14:paraId="4EE23AB5" w14:textId="77777777" w:rsidTr="00703E2F">
        <w:trPr>
          <w:trHeight w:val="440"/>
        </w:trPr>
        <w:tc>
          <w:tcPr>
            <w:tcW w:w="4585" w:type="dxa"/>
          </w:tcPr>
          <w:p w14:paraId="3CD76986" w14:textId="77777777" w:rsidR="007B2C0F" w:rsidRPr="007B2C0F" w:rsidRDefault="007B2C0F" w:rsidP="007B2C0F">
            <w:pPr>
              <w:pStyle w:val="NoSpacing"/>
            </w:pPr>
            <w:r w:rsidRPr="007B2C0F">
              <w:t>A person with an emotional problem is not likely to solve it alone; they are likely to solve it with professional help.</w:t>
            </w:r>
          </w:p>
        </w:tc>
        <w:tc>
          <w:tcPr>
            <w:tcW w:w="1260" w:type="dxa"/>
          </w:tcPr>
          <w:p w14:paraId="2EF80330" w14:textId="77777777" w:rsidR="007B2C0F" w:rsidRPr="007B2C0F" w:rsidRDefault="007B2C0F" w:rsidP="007B2C0F">
            <w:pPr>
              <w:pStyle w:val="NoSpacing"/>
            </w:pPr>
            <w:r w:rsidRPr="007B2C0F">
              <w:t>1.44 (0.15)</w:t>
            </w:r>
          </w:p>
        </w:tc>
        <w:tc>
          <w:tcPr>
            <w:tcW w:w="1440" w:type="dxa"/>
          </w:tcPr>
          <w:p w14:paraId="7B9F032E" w14:textId="77777777" w:rsidR="007B2C0F" w:rsidRPr="007B2C0F" w:rsidRDefault="007B2C0F" w:rsidP="007B2C0F">
            <w:pPr>
              <w:pStyle w:val="NoSpacing"/>
            </w:pPr>
            <w:r w:rsidRPr="007B2C0F">
              <w:t>−1.64 (0.16)</w:t>
            </w:r>
          </w:p>
        </w:tc>
        <w:tc>
          <w:tcPr>
            <w:tcW w:w="1350" w:type="dxa"/>
          </w:tcPr>
          <w:p w14:paraId="1E49E523" w14:textId="77777777" w:rsidR="007B2C0F" w:rsidRPr="007B2C0F" w:rsidRDefault="007B2C0F" w:rsidP="007B2C0F">
            <w:pPr>
              <w:pStyle w:val="NoSpacing"/>
            </w:pPr>
            <w:r w:rsidRPr="007B2C0F">
              <w:t>−0.51 (0.10)</w:t>
            </w:r>
          </w:p>
        </w:tc>
        <w:tc>
          <w:tcPr>
            <w:tcW w:w="1435" w:type="dxa"/>
          </w:tcPr>
          <w:p w14:paraId="13E83913" w14:textId="77777777" w:rsidR="007B2C0F" w:rsidRPr="007B2C0F" w:rsidRDefault="007B2C0F" w:rsidP="007B2C0F">
            <w:pPr>
              <w:pStyle w:val="NoSpacing"/>
            </w:pPr>
            <w:r w:rsidRPr="007B2C0F">
              <w:t>0.75 (0.12)</w:t>
            </w:r>
          </w:p>
        </w:tc>
      </w:tr>
      <w:tr w:rsidR="004B35D2" w:rsidRPr="007B2C0F" w14:paraId="2E3E2CB7" w14:textId="77777777" w:rsidTr="00703E2F">
        <w:trPr>
          <w:trHeight w:val="229"/>
        </w:trPr>
        <w:tc>
          <w:tcPr>
            <w:tcW w:w="4585" w:type="dxa"/>
          </w:tcPr>
          <w:p w14:paraId="57F3236B" w14:textId="77777777" w:rsidR="007B2C0F" w:rsidRPr="00492936" w:rsidRDefault="007B2C0F" w:rsidP="007B2C0F">
            <w:pPr>
              <w:pStyle w:val="NoSpacing"/>
              <w:rPr>
                <w:i/>
                <w:iCs/>
              </w:rPr>
            </w:pPr>
            <w:r w:rsidRPr="00492936">
              <w:rPr>
                <w:i/>
                <w:iCs/>
              </w:rPr>
              <w:t>Value and Need in Seeking Treatment</w:t>
            </w:r>
          </w:p>
        </w:tc>
        <w:tc>
          <w:tcPr>
            <w:tcW w:w="1260" w:type="dxa"/>
          </w:tcPr>
          <w:p w14:paraId="25A2AEC4" w14:textId="77777777" w:rsidR="007B2C0F" w:rsidRPr="007B2C0F" w:rsidRDefault="007B2C0F" w:rsidP="007B2C0F">
            <w:pPr>
              <w:pStyle w:val="NoSpacing"/>
            </w:pPr>
          </w:p>
        </w:tc>
        <w:tc>
          <w:tcPr>
            <w:tcW w:w="1440" w:type="dxa"/>
          </w:tcPr>
          <w:p w14:paraId="6D176872" w14:textId="77777777" w:rsidR="007B2C0F" w:rsidRPr="007B2C0F" w:rsidRDefault="007B2C0F" w:rsidP="007B2C0F">
            <w:pPr>
              <w:pStyle w:val="NoSpacing"/>
            </w:pPr>
          </w:p>
        </w:tc>
        <w:tc>
          <w:tcPr>
            <w:tcW w:w="1350" w:type="dxa"/>
          </w:tcPr>
          <w:p w14:paraId="360ED60D" w14:textId="77777777" w:rsidR="007B2C0F" w:rsidRPr="007B2C0F" w:rsidRDefault="007B2C0F" w:rsidP="007B2C0F">
            <w:pPr>
              <w:pStyle w:val="NoSpacing"/>
            </w:pPr>
          </w:p>
        </w:tc>
        <w:tc>
          <w:tcPr>
            <w:tcW w:w="1435" w:type="dxa"/>
          </w:tcPr>
          <w:p w14:paraId="72367548" w14:textId="77777777" w:rsidR="007B2C0F" w:rsidRPr="007B2C0F" w:rsidRDefault="007B2C0F" w:rsidP="007B2C0F">
            <w:pPr>
              <w:pStyle w:val="NoSpacing"/>
            </w:pPr>
          </w:p>
        </w:tc>
      </w:tr>
      <w:tr w:rsidR="004B35D2" w:rsidRPr="007B2C0F" w14:paraId="1EDDF4A2" w14:textId="77777777" w:rsidTr="00703E2F">
        <w:trPr>
          <w:trHeight w:val="440"/>
        </w:trPr>
        <w:tc>
          <w:tcPr>
            <w:tcW w:w="4585" w:type="dxa"/>
          </w:tcPr>
          <w:p w14:paraId="22462F24" w14:textId="77777777" w:rsidR="007B2C0F" w:rsidRPr="007B2C0F" w:rsidRDefault="007B2C0F" w:rsidP="007B2C0F">
            <w:pPr>
              <w:pStyle w:val="NoSpacing"/>
            </w:pPr>
            <w:r w:rsidRPr="007B2C0F">
              <w:t>The idea of talking about problems with a psychologist strikes me as a poor way to get rid of emotional conflict.</w:t>
            </w:r>
          </w:p>
        </w:tc>
        <w:tc>
          <w:tcPr>
            <w:tcW w:w="1260" w:type="dxa"/>
          </w:tcPr>
          <w:p w14:paraId="798B3691" w14:textId="77777777" w:rsidR="007B2C0F" w:rsidRPr="007B2C0F" w:rsidRDefault="007B2C0F" w:rsidP="007B2C0F">
            <w:pPr>
              <w:pStyle w:val="NoSpacing"/>
            </w:pPr>
            <w:r w:rsidRPr="007B2C0F">
              <w:t>1.36 (0.18)</w:t>
            </w:r>
          </w:p>
        </w:tc>
        <w:tc>
          <w:tcPr>
            <w:tcW w:w="1440" w:type="dxa"/>
          </w:tcPr>
          <w:p w14:paraId="6CB9453F" w14:textId="77777777" w:rsidR="007B2C0F" w:rsidRPr="007B2C0F" w:rsidRDefault="007B2C0F" w:rsidP="007B2C0F">
            <w:pPr>
              <w:pStyle w:val="NoSpacing"/>
            </w:pPr>
            <w:r w:rsidRPr="007B2C0F">
              <w:t>−0.21 (0.09)</w:t>
            </w:r>
          </w:p>
        </w:tc>
        <w:tc>
          <w:tcPr>
            <w:tcW w:w="1350" w:type="dxa"/>
          </w:tcPr>
          <w:p w14:paraId="1AA2635F" w14:textId="77777777" w:rsidR="007B2C0F" w:rsidRPr="007B2C0F" w:rsidRDefault="007B2C0F" w:rsidP="007B2C0F">
            <w:pPr>
              <w:pStyle w:val="NoSpacing"/>
            </w:pPr>
            <w:r w:rsidRPr="007B2C0F">
              <w:t>0.75 (0.11)</w:t>
            </w:r>
          </w:p>
        </w:tc>
        <w:tc>
          <w:tcPr>
            <w:tcW w:w="1435" w:type="dxa"/>
          </w:tcPr>
          <w:p w14:paraId="62CAF320" w14:textId="77777777" w:rsidR="007B2C0F" w:rsidRPr="007B2C0F" w:rsidRDefault="007B2C0F" w:rsidP="007B2C0F">
            <w:pPr>
              <w:pStyle w:val="NoSpacing"/>
            </w:pPr>
            <w:r w:rsidRPr="007B2C0F">
              <w:t>1.94 (0.21)</w:t>
            </w:r>
          </w:p>
        </w:tc>
      </w:tr>
      <w:tr w:rsidR="004B35D2" w:rsidRPr="007B2C0F" w14:paraId="1548A0B5" w14:textId="77777777" w:rsidTr="00703E2F">
        <w:trPr>
          <w:trHeight w:val="639"/>
        </w:trPr>
        <w:tc>
          <w:tcPr>
            <w:tcW w:w="4585" w:type="dxa"/>
          </w:tcPr>
          <w:p w14:paraId="43FEB4CE" w14:textId="77777777" w:rsidR="007B2C0F" w:rsidRPr="007B2C0F" w:rsidRDefault="007B2C0F" w:rsidP="007B2C0F">
            <w:pPr>
              <w:pStyle w:val="NoSpacing"/>
            </w:pPr>
            <w:r w:rsidRPr="007B2C0F">
              <w:t>There is something admirable in the attitude of a person who is willing to cope with their conflicts and fears without resorting to professional help.</w:t>
            </w:r>
          </w:p>
        </w:tc>
        <w:tc>
          <w:tcPr>
            <w:tcW w:w="1260" w:type="dxa"/>
          </w:tcPr>
          <w:p w14:paraId="1D6B2764" w14:textId="77777777" w:rsidR="007B2C0F" w:rsidRPr="007B2C0F" w:rsidRDefault="007B2C0F" w:rsidP="007B2C0F">
            <w:pPr>
              <w:pStyle w:val="NoSpacing"/>
            </w:pPr>
            <w:r w:rsidRPr="007B2C0F">
              <w:t>1.02 (0.14)</w:t>
            </w:r>
          </w:p>
        </w:tc>
        <w:tc>
          <w:tcPr>
            <w:tcW w:w="1440" w:type="dxa"/>
          </w:tcPr>
          <w:p w14:paraId="32D2F807" w14:textId="77777777" w:rsidR="007B2C0F" w:rsidRPr="007B2C0F" w:rsidRDefault="007B2C0F" w:rsidP="007B2C0F">
            <w:pPr>
              <w:pStyle w:val="NoSpacing"/>
            </w:pPr>
            <w:r w:rsidRPr="007B2C0F">
              <w:t>−1.42 (0.20)</w:t>
            </w:r>
          </w:p>
        </w:tc>
        <w:tc>
          <w:tcPr>
            <w:tcW w:w="1350" w:type="dxa"/>
          </w:tcPr>
          <w:p w14:paraId="6281F012" w14:textId="77777777" w:rsidR="007B2C0F" w:rsidRPr="007B2C0F" w:rsidRDefault="007B2C0F" w:rsidP="007B2C0F">
            <w:pPr>
              <w:pStyle w:val="NoSpacing"/>
            </w:pPr>
            <w:r w:rsidRPr="007B2C0F">
              <w:t>−0.13 (0.11)</w:t>
            </w:r>
          </w:p>
        </w:tc>
        <w:tc>
          <w:tcPr>
            <w:tcW w:w="1435" w:type="dxa"/>
          </w:tcPr>
          <w:p w14:paraId="2DE3BFFA" w14:textId="77777777" w:rsidR="007B2C0F" w:rsidRPr="007B2C0F" w:rsidRDefault="007B2C0F" w:rsidP="007B2C0F">
            <w:pPr>
              <w:pStyle w:val="NoSpacing"/>
            </w:pPr>
            <w:r w:rsidRPr="007B2C0F">
              <w:t>1.38 (0.19)</w:t>
            </w:r>
          </w:p>
        </w:tc>
      </w:tr>
      <w:tr w:rsidR="004B35D2" w:rsidRPr="007B2C0F" w14:paraId="3130FCAC" w14:textId="77777777" w:rsidTr="00703E2F">
        <w:trPr>
          <w:trHeight w:val="450"/>
        </w:trPr>
        <w:tc>
          <w:tcPr>
            <w:tcW w:w="4585" w:type="dxa"/>
          </w:tcPr>
          <w:p w14:paraId="1E49ECCA" w14:textId="77777777" w:rsidR="007B2C0F" w:rsidRPr="007B2C0F" w:rsidRDefault="007B2C0F" w:rsidP="007B2C0F">
            <w:pPr>
              <w:pStyle w:val="NoSpacing"/>
            </w:pPr>
            <w:r w:rsidRPr="007B2C0F">
              <w:t>Considering the time and expense involved in psychotherapy, it would have doubtful value for a person like me.</w:t>
            </w:r>
          </w:p>
        </w:tc>
        <w:tc>
          <w:tcPr>
            <w:tcW w:w="1260" w:type="dxa"/>
          </w:tcPr>
          <w:p w14:paraId="150DBB3B" w14:textId="77777777" w:rsidR="007B2C0F" w:rsidRPr="007B2C0F" w:rsidRDefault="007B2C0F" w:rsidP="007B2C0F">
            <w:pPr>
              <w:pStyle w:val="NoSpacing"/>
            </w:pPr>
            <w:r w:rsidRPr="007B2C0F">
              <w:t>1.44 (0.18)</w:t>
            </w:r>
          </w:p>
        </w:tc>
        <w:tc>
          <w:tcPr>
            <w:tcW w:w="1440" w:type="dxa"/>
          </w:tcPr>
          <w:p w14:paraId="4AD4829A" w14:textId="77777777" w:rsidR="007B2C0F" w:rsidRPr="007B2C0F" w:rsidRDefault="007B2C0F" w:rsidP="007B2C0F">
            <w:pPr>
              <w:pStyle w:val="NoSpacing"/>
            </w:pPr>
            <w:r w:rsidRPr="007B2C0F">
              <w:t>−0.85 (0.12)</w:t>
            </w:r>
          </w:p>
        </w:tc>
        <w:tc>
          <w:tcPr>
            <w:tcW w:w="1350" w:type="dxa"/>
          </w:tcPr>
          <w:p w14:paraId="55A32250" w14:textId="77777777" w:rsidR="007B2C0F" w:rsidRPr="007B2C0F" w:rsidRDefault="007B2C0F" w:rsidP="007B2C0F">
            <w:pPr>
              <w:pStyle w:val="NoSpacing"/>
            </w:pPr>
            <w:r w:rsidRPr="007B2C0F">
              <w:t>0.28 (0.09)</w:t>
            </w:r>
          </w:p>
        </w:tc>
        <w:tc>
          <w:tcPr>
            <w:tcW w:w="1435" w:type="dxa"/>
          </w:tcPr>
          <w:p w14:paraId="6E684521" w14:textId="77777777" w:rsidR="007B2C0F" w:rsidRPr="007B2C0F" w:rsidRDefault="007B2C0F" w:rsidP="007B2C0F">
            <w:pPr>
              <w:pStyle w:val="NoSpacing"/>
            </w:pPr>
            <w:r w:rsidRPr="007B2C0F">
              <w:t>1.67 (0.18)</w:t>
            </w:r>
          </w:p>
        </w:tc>
      </w:tr>
      <w:tr w:rsidR="004B35D2" w:rsidRPr="007B2C0F" w14:paraId="2E53A6CF" w14:textId="77777777" w:rsidTr="00703E2F">
        <w:trPr>
          <w:trHeight w:val="439"/>
        </w:trPr>
        <w:tc>
          <w:tcPr>
            <w:tcW w:w="4585" w:type="dxa"/>
          </w:tcPr>
          <w:p w14:paraId="3F5A2BB9" w14:textId="77777777" w:rsidR="007B2C0F" w:rsidRPr="007B2C0F" w:rsidRDefault="007B2C0F" w:rsidP="007B2C0F">
            <w:pPr>
              <w:pStyle w:val="NoSpacing"/>
            </w:pPr>
            <w:r w:rsidRPr="007B2C0F">
              <w:t>A person should work out their own problems; getting psychological counseling would be a last resort.</w:t>
            </w:r>
          </w:p>
        </w:tc>
        <w:tc>
          <w:tcPr>
            <w:tcW w:w="1260" w:type="dxa"/>
          </w:tcPr>
          <w:p w14:paraId="014C3EDD" w14:textId="77777777" w:rsidR="007B2C0F" w:rsidRPr="007B2C0F" w:rsidRDefault="007B2C0F" w:rsidP="007B2C0F">
            <w:pPr>
              <w:pStyle w:val="NoSpacing"/>
            </w:pPr>
            <w:r w:rsidRPr="007B2C0F">
              <w:t>1.92 (0.25)</w:t>
            </w:r>
          </w:p>
        </w:tc>
        <w:tc>
          <w:tcPr>
            <w:tcW w:w="1440" w:type="dxa"/>
          </w:tcPr>
          <w:p w14:paraId="651451EA" w14:textId="77777777" w:rsidR="007B2C0F" w:rsidRPr="007B2C0F" w:rsidRDefault="007B2C0F" w:rsidP="007B2C0F">
            <w:pPr>
              <w:pStyle w:val="NoSpacing"/>
            </w:pPr>
            <w:r w:rsidRPr="007B2C0F">
              <w:t>−0.58 (0.09)</w:t>
            </w:r>
          </w:p>
        </w:tc>
        <w:tc>
          <w:tcPr>
            <w:tcW w:w="1350" w:type="dxa"/>
          </w:tcPr>
          <w:p w14:paraId="57976F99" w14:textId="77777777" w:rsidR="007B2C0F" w:rsidRPr="007B2C0F" w:rsidRDefault="007B2C0F" w:rsidP="007B2C0F">
            <w:pPr>
              <w:pStyle w:val="NoSpacing"/>
            </w:pPr>
            <w:r w:rsidRPr="007B2C0F">
              <w:t>0.30 (0.08)</w:t>
            </w:r>
          </w:p>
        </w:tc>
        <w:tc>
          <w:tcPr>
            <w:tcW w:w="1435" w:type="dxa"/>
          </w:tcPr>
          <w:p w14:paraId="67A133F8" w14:textId="77777777" w:rsidR="007B2C0F" w:rsidRPr="007B2C0F" w:rsidRDefault="007B2C0F" w:rsidP="007B2C0F">
            <w:pPr>
              <w:pStyle w:val="NoSpacing"/>
            </w:pPr>
            <w:r w:rsidRPr="007B2C0F">
              <w:t>1.33 (0.14)</w:t>
            </w:r>
          </w:p>
        </w:tc>
      </w:tr>
      <w:tr w:rsidR="004B35D2" w:rsidRPr="007B2C0F" w14:paraId="0F300332" w14:textId="77777777" w:rsidTr="00703E2F">
        <w:trPr>
          <w:trHeight w:val="429"/>
        </w:trPr>
        <w:tc>
          <w:tcPr>
            <w:tcW w:w="4585" w:type="dxa"/>
          </w:tcPr>
          <w:p w14:paraId="5A331463" w14:textId="77777777" w:rsidR="007B2C0F" w:rsidRPr="007B2C0F" w:rsidRDefault="007B2C0F" w:rsidP="007B2C0F">
            <w:pPr>
              <w:pStyle w:val="NoSpacing"/>
            </w:pPr>
            <w:r w:rsidRPr="007B2C0F">
              <w:t>Personal and emotional troubles, like many things, tend to work out by themselves.</w:t>
            </w:r>
          </w:p>
        </w:tc>
        <w:tc>
          <w:tcPr>
            <w:tcW w:w="1260" w:type="dxa"/>
          </w:tcPr>
          <w:p w14:paraId="74A1F4DA" w14:textId="77777777" w:rsidR="007B2C0F" w:rsidRPr="007B2C0F" w:rsidRDefault="007B2C0F" w:rsidP="007B2C0F">
            <w:pPr>
              <w:pStyle w:val="NoSpacing"/>
            </w:pPr>
            <w:r w:rsidRPr="007B2C0F">
              <w:t>1.76 (0.22)</w:t>
            </w:r>
          </w:p>
        </w:tc>
        <w:tc>
          <w:tcPr>
            <w:tcW w:w="1440" w:type="dxa"/>
          </w:tcPr>
          <w:p w14:paraId="043B35B4" w14:textId="77777777" w:rsidR="007B2C0F" w:rsidRPr="007B2C0F" w:rsidRDefault="007B2C0F" w:rsidP="007B2C0F">
            <w:pPr>
              <w:pStyle w:val="NoSpacing"/>
            </w:pPr>
            <w:r w:rsidRPr="007B2C0F">
              <w:t>−0.52 (0.09)</w:t>
            </w:r>
          </w:p>
        </w:tc>
        <w:tc>
          <w:tcPr>
            <w:tcW w:w="1350" w:type="dxa"/>
          </w:tcPr>
          <w:p w14:paraId="6E87DA15" w14:textId="77777777" w:rsidR="007B2C0F" w:rsidRPr="007B2C0F" w:rsidRDefault="007B2C0F" w:rsidP="007B2C0F">
            <w:pPr>
              <w:pStyle w:val="NoSpacing"/>
            </w:pPr>
            <w:r w:rsidRPr="007B2C0F">
              <w:t>0.39 (0.09)</w:t>
            </w:r>
          </w:p>
        </w:tc>
        <w:tc>
          <w:tcPr>
            <w:tcW w:w="1435" w:type="dxa"/>
          </w:tcPr>
          <w:p w14:paraId="6CC65176" w14:textId="77777777" w:rsidR="007B2C0F" w:rsidRPr="007B2C0F" w:rsidRDefault="007B2C0F" w:rsidP="007B2C0F">
            <w:pPr>
              <w:pStyle w:val="NoSpacing"/>
            </w:pPr>
            <w:r w:rsidRPr="007B2C0F">
              <w:t>1.78 (0.17)</w:t>
            </w:r>
          </w:p>
        </w:tc>
      </w:tr>
    </w:tbl>
    <w:p w14:paraId="116418C8" w14:textId="4F9B8EB5" w:rsidR="00055C42" w:rsidRPr="00055C42" w:rsidRDefault="00055C42" w:rsidP="00055C42"/>
    <w:p w14:paraId="4809B440" w14:textId="77777777" w:rsidR="00055C42" w:rsidRPr="00FE4623" w:rsidRDefault="00055C42" w:rsidP="00FE4623">
      <w:pPr>
        <w:pStyle w:val="Heading3"/>
        <w:rPr>
          <w:i/>
          <w:iCs/>
        </w:rPr>
      </w:pPr>
      <w:r w:rsidRPr="00FE4623">
        <w:rPr>
          <w:i/>
          <w:iCs/>
        </w:rPr>
        <w:t>Differential Item Functioning</w:t>
      </w:r>
    </w:p>
    <w:p w14:paraId="3754E041" w14:textId="396F95A0" w:rsidR="00055C42" w:rsidRPr="00055C42" w:rsidRDefault="00055C42" w:rsidP="00055C42">
      <w:r w:rsidRPr="00055C42">
        <w:t>Results of the DIF analysis for the Openness to Seeking Treatment subscale are shown </w:t>
      </w:r>
      <w:r w:rsidRPr="006A29B3">
        <w:t>Table 4</w:t>
      </w:r>
      <w:r w:rsidRPr="00055C42">
        <w:t>. All </w:t>
      </w:r>
      <w:r w:rsidRPr="00055C42">
        <w:rPr>
          <w:i/>
          <w:iCs/>
        </w:rPr>
        <w:t>p</w:t>
      </w:r>
      <w:r w:rsidRPr="00055C42">
        <w:t xml:space="preserve"> values have been adjusted for multiple comparisons according to the </w:t>
      </w:r>
      <w:proofErr w:type="spellStart"/>
      <w:r w:rsidRPr="00055C42">
        <w:t>Benjamini</w:t>
      </w:r>
      <w:proofErr w:type="spellEnd"/>
      <w:r w:rsidRPr="00055C42">
        <w:t>–Hochberg procedure. The item “A person with an emotional problem is not likely to solve it alone; they are likely to solve it with professional help (Item #7)” exhibited significant nonuniform DIF, χ</w:t>
      </w:r>
      <w:r w:rsidRPr="00055C42">
        <w:rPr>
          <w:vertAlign w:val="superscript"/>
        </w:rPr>
        <w:t>2</w:t>
      </w:r>
      <w:r w:rsidRPr="00055C42">
        <w:t> (1) = 16.1, </w:t>
      </w:r>
      <w:r w:rsidRPr="00055C42">
        <w:rPr>
          <w:i/>
          <w:iCs/>
        </w:rPr>
        <w:t>p</w:t>
      </w:r>
      <w:r w:rsidRPr="00055C42">
        <w:t> &lt; .001, such that the item is much more effective at measuring individual differences for those who took the questionnaire in English (</w:t>
      </w:r>
      <w:r w:rsidRPr="00055C42">
        <w:rPr>
          <w:i/>
          <w:iCs/>
        </w:rPr>
        <w:t>a</w:t>
      </w:r>
      <w:r w:rsidRPr="00055C42">
        <w:t> = 1.90) rather than Spanish (</w:t>
      </w:r>
      <w:r w:rsidRPr="00055C42">
        <w:rPr>
          <w:i/>
          <w:iCs/>
        </w:rPr>
        <w:t>a</w:t>
      </w:r>
      <w:r w:rsidRPr="00055C42">
        <w:t> = 0.69). The upper panel of </w:t>
      </w:r>
      <w:r w:rsidRPr="006A29B3">
        <w:t>Figure 1</w:t>
      </w:r>
      <w:r w:rsidRPr="00055C42">
        <w:t> shows the expected response as a function of Openness to Seeking Treatment. English speakers are represented with the solid black line; Spanish speakers are represented with the dashed blue line. Levels of the latent variable along the </w:t>
      </w:r>
      <w:r w:rsidRPr="00055C42">
        <w:rPr>
          <w:i/>
          <w:iCs/>
        </w:rPr>
        <w:t>x</w:t>
      </w:r>
      <w:r w:rsidRPr="00055C42">
        <w:t>-axis (θ) can be interpreted as standard scores, where θ = 0 indicates someone who is average on the construct. For both groups, those with higher levels of Openness to Seeking Treatment are more likely to express agreement with the item; however, the nonuniform nature of the DIF is shown with (a) the overall flatter slope for the Spanish-speaking group and (b) the intersecting slopes. For those who are below (approximately) average on Openness to Seeking Treatment (θ &lt; −0.5), people taking the questionnaire in Spanish are more likely to endorse agreement with the item than those taking the questionnaire in English; for those who are at or above average, the opposite is true. The discrimination parameter is also considerably weaker for those who took the questionnaire in Spanish, reflected in the flatter slope. This suggests that the item is not as useful for measuring individual differences in those completing the questionnaire in Spanish. The NCDIF index for this item is 0.20, which is well above the practical significance cutoff value of 0.006 that is suggested by </w:t>
      </w:r>
      <w:r w:rsidRPr="006A29B3">
        <w:t>Raju et al. (1995)</w:t>
      </w:r>
      <w:r w:rsidRPr="00055C42">
        <w:t>.</w:t>
      </w:r>
    </w:p>
    <w:p w14:paraId="4FF38D78" w14:textId="77777777" w:rsidR="00D05222" w:rsidRDefault="00D05222" w:rsidP="00055C42">
      <w:pPr>
        <w:rPr>
          <w:b/>
          <w:bCs/>
        </w:rPr>
        <w:sectPr w:rsidR="00D05222" w:rsidSect="00013176">
          <w:pgSz w:w="12240" w:h="15840"/>
          <w:pgMar w:top="1080" w:right="1080" w:bottom="1080" w:left="1080" w:header="720" w:footer="720" w:gutter="0"/>
          <w:cols w:space="720"/>
          <w:docGrid w:linePitch="360"/>
        </w:sectPr>
      </w:pPr>
    </w:p>
    <w:p w14:paraId="2C455E82" w14:textId="77777777" w:rsidR="00055C42" w:rsidRPr="00055C42" w:rsidRDefault="00055C42" w:rsidP="00055C42">
      <w:r w:rsidRPr="00055C42">
        <w:rPr>
          <w:b/>
          <w:bCs/>
        </w:rPr>
        <w:t>Table 4.</w:t>
      </w:r>
      <w:r w:rsidRPr="00055C42">
        <w:t> Discrimination (Nonuniform) and Threshold (Uniform) Differential Item Functioning Statistics for the Openness to Seeking Treatment Scale.</w:t>
      </w:r>
    </w:p>
    <w:tbl>
      <w:tblPr>
        <w:tblStyle w:val="TableGrid"/>
        <w:tblW w:w="0" w:type="auto"/>
        <w:tblLook w:val="04A0" w:firstRow="1" w:lastRow="0" w:firstColumn="1" w:lastColumn="0" w:noHBand="0" w:noVBand="1"/>
      </w:tblPr>
      <w:tblGrid>
        <w:gridCol w:w="1595"/>
        <w:gridCol w:w="1512"/>
        <w:gridCol w:w="710"/>
        <w:gridCol w:w="1109"/>
        <w:gridCol w:w="696"/>
        <w:gridCol w:w="1512"/>
        <w:gridCol w:w="712"/>
        <w:gridCol w:w="1109"/>
        <w:gridCol w:w="698"/>
        <w:gridCol w:w="1512"/>
        <w:gridCol w:w="698"/>
        <w:gridCol w:w="1109"/>
        <w:gridCol w:w="698"/>
      </w:tblGrid>
      <w:tr w:rsidR="005501DB" w:rsidRPr="00A134BA" w14:paraId="246079FC" w14:textId="77777777" w:rsidTr="00D05222">
        <w:tc>
          <w:tcPr>
            <w:tcW w:w="1343" w:type="dxa"/>
          </w:tcPr>
          <w:p w14:paraId="191FF35B" w14:textId="77777777" w:rsidR="00130CEF" w:rsidRPr="00A134BA" w:rsidRDefault="00130CEF" w:rsidP="005501DB">
            <w:pPr>
              <w:pStyle w:val="NoSpacing"/>
              <w:rPr>
                <w:rFonts w:cstheme="minorHAnsi"/>
              </w:rPr>
            </w:pPr>
          </w:p>
        </w:tc>
        <w:tc>
          <w:tcPr>
            <w:tcW w:w="726" w:type="dxa"/>
          </w:tcPr>
          <w:p w14:paraId="79C7B4D5" w14:textId="3AB43671" w:rsidR="00130CEF" w:rsidRPr="00A134BA" w:rsidRDefault="006C33FC" w:rsidP="005501DB">
            <w:pPr>
              <w:pStyle w:val="NoSpacing"/>
              <w:rPr>
                <w:rFonts w:cstheme="minorHAnsi"/>
              </w:rPr>
            </w:pPr>
            <w:r w:rsidRPr="00A134BA">
              <w:rPr>
                <w:rFonts w:cstheme="minorHAnsi"/>
              </w:rPr>
              <w:t>English vs. Spanish</w:t>
            </w:r>
          </w:p>
        </w:tc>
        <w:tc>
          <w:tcPr>
            <w:tcW w:w="726" w:type="dxa"/>
          </w:tcPr>
          <w:p w14:paraId="7D715A38" w14:textId="77777777" w:rsidR="00130CEF" w:rsidRPr="00A134BA" w:rsidRDefault="00130CEF" w:rsidP="005501DB">
            <w:pPr>
              <w:pStyle w:val="NoSpacing"/>
              <w:rPr>
                <w:rFonts w:cstheme="minorHAnsi"/>
              </w:rPr>
            </w:pPr>
          </w:p>
        </w:tc>
        <w:tc>
          <w:tcPr>
            <w:tcW w:w="726" w:type="dxa"/>
          </w:tcPr>
          <w:p w14:paraId="009F0684" w14:textId="77777777" w:rsidR="00130CEF" w:rsidRPr="00A134BA" w:rsidRDefault="00130CEF" w:rsidP="005501DB">
            <w:pPr>
              <w:pStyle w:val="NoSpacing"/>
              <w:rPr>
                <w:rFonts w:cstheme="minorHAnsi"/>
              </w:rPr>
            </w:pPr>
          </w:p>
        </w:tc>
        <w:tc>
          <w:tcPr>
            <w:tcW w:w="726" w:type="dxa"/>
          </w:tcPr>
          <w:p w14:paraId="6FC9A647" w14:textId="77777777" w:rsidR="00130CEF" w:rsidRPr="00A134BA" w:rsidRDefault="00130CEF" w:rsidP="005501DB">
            <w:pPr>
              <w:pStyle w:val="NoSpacing"/>
              <w:rPr>
                <w:rFonts w:cstheme="minorHAnsi"/>
              </w:rPr>
            </w:pPr>
          </w:p>
        </w:tc>
        <w:tc>
          <w:tcPr>
            <w:tcW w:w="727" w:type="dxa"/>
          </w:tcPr>
          <w:p w14:paraId="25FCF811" w14:textId="6C3F8F06" w:rsidR="00130CEF" w:rsidRPr="00A134BA" w:rsidRDefault="005501DB" w:rsidP="005501DB">
            <w:pPr>
              <w:pStyle w:val="NoSpacing"/>
              <w:rPr>
                <w:rFonts w:cstheme="minorHAnsi"/>
              </w:rPr>
            </w:pPr>
            <w:r w:rsidRPr="00A134BA">
              <w:rPr>
                <w:rFonts w:cstheme="minorHAnsi"/>
              </w:rPr>
              <w:t>U.S.-born vs. foreign-born</w:t>
            </w:r>
          </w:p>
        </w:tc>
        <w:tc>
          <w:tcPr>
            <w:tcW w:w="728" w:type="dxa"/>
          </w:tcPr>
          <w:p w14:paraId="74C5765F" w14:textId="77777777" w:rsidR="00130CEF" w:rsidRPr="00A134BA" w:rsidRDefault="00130CEF" w:rsidP="005501DB">
            <w:pPr>
              <w:pStyle w:val="NoSpacing"/>
              <w:rPr>
                <w:rFonts w:cstheme="minorHAnsi"/>
              </w:rPr>
            </w:pPr>
          </w:p>
        </w:tc>
        <w:tc>
          <w:tcPr>
            <w:tcW w:w="728" w:type="dxa"/>
          </w:tcPr>
          <w:p w14:paraId="565AFE51" w14:textId="77777777" w:rsidR="00130CEF" w:rsidRPr="00A134BA" w:rsidRDefault="00130CEF" w:rsidP="005501DB">
            <w:pPr>
              <w:pStyle w:val="NoSpacing"/>
              <w:rPr>
                <w:rFonts w:cstheme="minorHAnsi"/>
              </w:rPr>
            </w:pPr>
          </w:p>
        </w:tc>
        <w:tc>
          <w:tcPr>
            <w:tcW w:w="728" w:type="dxa"/>
          </w:tcPr>
          <w:p w14:paraId="7BDB412A" w14:textId="77777777" w:rsidR="00130CEF" w:rsidRPr="00A134BA" w:rsidRDefault="00130CEF" w:rsidP="005501DB">
            <w:pPr>
              <w:pStyle w:val="NoSpacing"/>
              <w:rPr>
                <w:rFonts w:cstheme="minorHAnsi"/>
              </w:rPr>
            </w:pPr>
          </w:p>
        </w:tc>
        <w:tc>
          <w:tcPr>
            <w:tcW w:w="728" w:type="dxa"/>
          </w:tcPr>
          <w:p w14:paraId="255FDD00" w14:textId="6A78B66E" w:rsidR="00130CEF" w:rsidRPr="00A134BA" w:rsidRDefault="005501DB" w:rsidP="005501DB">
            <w:pPr>
              <w:pStyle w:val="NoSpacing"/>
              <w:rPr>
                <w:rFonts w:cstheme="minorHAnsi"/>
              </w:rPr>
            </w:pPr>
            <w:r w:rsidRPr="00A134BA">
              <w:rPr>
                <w:rFonts w:cstheme="minorHAnsi"/>
              </w:rPr>
              <w:t>Men vs. women</w:t>
            </w:r>
          </w:p>
        </w:tc>
        <w:tc>
          <w:tcPr>
            <w:tcW w:w="728" w:type="dxa"/>
          </w:tcPr>
          <w:p w14:paraId="69ADFC79" w14:textId="77777777" w:rsidR="00130CEF" w:rsidRPr="00A134BA" w:rsidRDefault="00130CEF" w:rsidP="005501DB">
            <w:pPr>
              <w:pStyle w:val="NoSpacing"/>
              <w:rPr>
                <w:rFonts w:cstheme="minorHAnsi"/>
              </w:rPr>
            </w:pPr>
          </w:p>
        </w:tc>
        <w:tc>
          <w:tcPr>
            <w:tcW w:w="728" w:type="dxa"/>
          </w:tcPr>
          <w:p w14:paraId="52BBA5FE" w14:textId="77777777" w:rsidR="00130CEF" w:rsidRPr="00A134BA" w:rsidRDefault="00130CEF" w:rsidP="005501DB">
            <w:pPr>
              <w:pStyle w:val="NoSpacing"/>
              <w:rPr>
                <w:rFonts w:cstheme="minorHAnsi"/>
              </w:rPr>
            </w:pPr>
          </w:p>
        </w:tc>
        <w:tc>
          <w:tcPr>
            <w:tcW w:w="728" w:type="dxa"/>
          </w:tcPr>
          <w:p w14:paraId="03DBDAAB" w14:textId="77777777" w:rsidR="00130CEF" w:rsidRPr="00A134BA" w:rsidRDefault="00130CEF" w:rsidP="005501DB">
            <w:pPr>
              <w:pStyle w:val="NoSpacing"/>
              <w:rPr>
                <w:rFonts w:cstheme="minorHAnsi"/>
              </w:rPr>
            </w:pPr>
          </w:p>
        </w:tc>
      </w:tr>
      <w:tr w:rsidR="005501DB" w:rsidRPr="00A134BA" w14:paraId="3E604399" w14:textId="77777777" w:rsidTr="00D05222">
        <w:tc>
          <w:tcPr>
            <w:tcW w:w="1343" w:type="dxa"/>
          </w:tcPr>
          <w:p w14:paraId="2434844D" w14:textId="77777777" w:rsidR="00130CEF" w:rsidRPr="00A134BA" w:rsidRDefault="00130CEF" w:rsidP="005501DB">
            <w:pPr>
              <w:pStyle w:val="NoSpacing"/>
              <w:rPr>
                <w:rFonts w:cstheme="minorHAnsi"/>
              </w:rPr>
            </w:pPr>
          </w:p>
        </w:tc>
        <w:tc>
          <w:tcPr>
            <w:tcW w:w="726" w:type="dxa"/>
          </w:tcPr>
          <w:p w14:paraId="0DC449F4" w14:textId="696413EF" w:rsidR="00130CEF" w:rsidRPr="00A134BA" w:rsidRDefault="006C33FC" w:rsidP="005501DB">
            <w:pPr>
              <w:pStyle w:val="NoSpacing"/>
              <w:rPr>
                <w:rFonts w:cstheme="minorHAnsi"/>
              </w:rPr>
            </w:pPr>
            <w:r w:rsidRPr="00A134BA">
              <w:rPr>
                <w:rFonts w:cstheme="minorHAnsi"/>
              </w:rPr>
              <w:t>Discrimination</w:t>
            </w:r>
          </w:p>
        </w:tc>
        <w:tc>
          <w:tcPr>
            <w:tcW w:w="726" w:type="dxa"/>
          </w:tcPr>
          <w:p w14:paraId="3E55D029" w14:textId="77777777" w:rsidR="00130CEF" w:rsidRPr="00A134BA" w:rsidRDefault="00130CEF" w:rsidP="005501DB">
            <w:pPr>
              <w:pStyle w:val="NoSpacing"/>
              <w:rPr>
                <w:rFonts w:cstheme="minorHAnsi"/>
              </w:rPr>
            </w:pPr>
          </w:p>
        </w:tc>
        <w:tc>
          <w:tcPr>
            <w:tcW w:w="726" w:type="dxa"/>
          </w:tcPr>
          <w:p w14:paraId="7D1F8969" w14:textId="19E26622" w:rsidR="00130CEF" w:rsidRPr="00A134BA" w:rsidRDefault="006C33FC" w:rsidP="005501DB">
            <w:pPr>
              <w:pStyle w:val="NoSpacing"/>
              <w:rPr>
                <w:rFonts w:cstheme="minorHAnsi"/>
              </w:rPr>
            </w:pPr>
            <w:r w:rsidRPr="00A134BA">
              <w:rPr>
                <w:rFonts w:cstheme="minorHAnsi"/>
              </w:rPr>
              <w:t>Threshold</w:t>
            </w:r>
          </w:p>
        </w:tc>
        <w:tc>
          <w:tcPr>
            <w:tcW w:w="726" w:type="dxa"/>
          </w:tcPr>
          <w:p w14:paraId="3DE77D27" w14:textId="77777777" w:rsidR="00130CEF" w:rsidRPr="00A134BA" w:rsidRDefault="00130CEF" w:rsidP="005501DB">
            <w:pPr>
              <w:pStyle w:val="NoSpacing"/>
              <w:rPr>
                <w:rFonts w:cstheme="minorHAnsi"/>
              </w:rPr>
            </w:pPr>
          </w:p>
        </w:tc>
        <w:tc>
          <w:tcPr>
            <w:tcW w:w="727" w:type="dxa"/>
          </w:tcPr>
          <w:p w14:paraId="74B90C51" w14:textId="5AC2E60C" w:rsidR="00130CEF" w:rsidRPr="00A134BA" w:rsidRDefault="006C33FC" w:rsidP="005501DB">
            <w:pPr>
              <w:pStyle w:val="NoSpacing"/>
              <w:rPr>
                <w:rFonts w:cstheme="minorHAnsi"/>
              </w:rPr>
            </w:pPr>
            <w:r w:rsidRPr="00A134BA">
              <w:rPr>
                <w:rFonts w:cstheme="minorHAnsi"/>
              </w:rPr>
              <w:t>Discrimination</w:t>
            </w:r>
          </w:p>
        </w:tc>
        <w:tc>
          <w:tcPr>
            <w:tcW w:w="728" w:type="dxa"/>
          </w:tcPr>
          <w:p w14:paraId="7A1A86BE" w14:textId="77777777" w:rsidR="00130CEF" w:rsidRPr="00A134BA" w:rsidRDefault="00130CEF" w:rsidP="005501DB">
            <w:pPr>
              <w:pStyle w:val="NoSpacing"/>
              <w:rPr>
                <w:rFonts w:cstheme="minorHAnsi"/>
              </w:rPr>
            </w:pPr>
          </w:p>
        </w:tc>
        <w:tc>
          <w:tcPr>
            <w:tcW w:w="728" w:type="dxa"/>
          </w:tcPr>
          <w:p w14:paraId="66B02906" w14:textId="096AD798" w:rsidR="00130CEF" w:rsidRPr="00A134BA" w:rsidRDefault="006C33FC" w:rsidP="005501DB">
            <w:pPr>
              <w:pStyle w:val="NoSpacing"/>
              <w:rPr>
                <w:rFonts w:cstheme="minorHAnsi"/>
              </w:rPr>
            </w:pPr>
            <w:r w:rsidRPr="00A134BA">
              <w:rPr>
                <w:rFonts w:cstheme="minorHAnsi"/>
              </w:rPr>
              <w:t>Threshold</w:t>
            </w:r>
          </w:p>
        </w:tc>
        <w:tc>
          <w:tcPr>
            <w:tcW w:w="728" w:type="dxa"/>
          </w:tcPr>
          <w:p w14:paraId="0F22AAB7" w14:textId="77777777" w:rsidR="00130CEF" w:rsidRPr="00A134BA" w:rsidRDefault="00130CEF" w:rsidP="005501DB">
            <w:pPr>
              <w:pStyle w:val="NoSpacing"/>
              <w:rPr>
                <w:rFonts w:cstheme="minorHAnsi"/>
              </w:rPr>
            </w:pPr>
          </w:p>
        </w:tc>
        <w:tc>
          <w:tcPr>
            <w:tcW w:w="728" w:type="dxa"/>
          </w:tcPr>
          <w:p w14:paraId="3FFBF8A9" w14:textId="748FBC78" w:rsidR="00130CEF" w:rsidRPr="00A134BA" w:rsidRDefault="006C33FC" w:rsidP="005501DB">
            <w:pPr>
              <w:pStyle w:val="NoSpacing"/>
              <w:rPr>
                <w:rFonts w:cstheme="minorHAnsi"/>
              </w:rPr>
            </w:pPr>
            <w:r w:rsidRPr="00A134BA">
              <w:rPr>
                <w:rFonts w:cstheme="minorHAnsi"/>
              </w:rPr>
              <w:t>Discrimination</w:t>
            </w:r>
          </w:p>
        </w:tc>
        <w:tc>
          <w:tcPr>
            <w:tcW w:w="728" w:type="dxa"/>
          </w:tcPr>
          <w:p w14:paraId="407F3E7E" w14:textId="77777777" w:rsidR="00130CEF" w:rsidRPr="00A134BA" w:rsidRDefault="00130CEF" w:rsidP="005501DB">
            <w:pPr>
              <w:pStyle w:val="NoSpacing"/>
              <w:rPr>
                <w:rFonts w:cstheme="minorHAnsi"/>
              </w:rPr>
            </w:pPr>
          </w:p>
        </w:tc>
        <w:tc>
          <w:tcPr>
            <w:tcW w:w="728" w:type="dxa"/>
          </w:tcPr>
          <w:p w14:paraId="6C8D2C1B" w14:textId="33FA5C28" w:rsidR="00130CEF" w:rsidRPr="00A134BA" w:rsidRDefault="006C33FC" w:rsidP="005501DB">
            <w:pPr>
              <w:pStyle w:val="NoSpacing"/>
              <w:rPr>
                <w:rFonts w:cstheme="minorHAnsi"/>
              </w:rPr>
            </w:pPr>
            <w:r w:rsidRPr="00A134BA">
              <w:rPr>
                <w:rFonts w:cstheme="minorHAnsi"/>
              </w:rPr>
              <w:t>Threshold</w:t>
            </w:r>
          </w:p>
        </w:tc>
        <w:tc>
          <w:tcPr>
            <w:tcW w:w="728" w:type="dxa"/>
          </w:tcPr>
          <w:p w14:paraId="7EE1FAD2" w14:textId="77777777" w:rsidR="00130CEF" w:rsidRPr="00A134BA" w:rsidRDefault="00130CEF" w:rsidP="005501DB">
            <w:pPr>
              <w:pStyle w:val="NoSpacing"/>
              <w:rPr>
                <w:rFonts w:cstheme="minorHAnsi"/>
              </w:rPr>
            </w:pPr>
          </w:p>
        </w:tc>
      </w:tr>
      <w:tr w:rsidR="005501DB" w:rsidRPr="00A134BA" w14:paraId="72F24357" w14:textId="77777777" w:rsidTr="00D05222">
        <w:tc>
          <w:tcPr>
            <w:tcW w:w="1343" w:type="dxa"/>
          </w:tcPr>
          <w:p w14:paraId="0E0E216C" w14:textId="77777777" w:rsidR="0079179F" w:rsidRPr="00A134BA" w:rsidRDefault="0079179F" w:rsidP="005501DB">
            <w:pPr>
              <w:pStyle w:val="NoSpacing"/>
              <w:rPr>
                <w:rFonts w:cstheme="minorHAnsi"/>
              </w:rPr>
            </w:pPr>
            <w:bookmarkStart w:id="7" w:name="_Hlk93567065"/>
          </w:p>
        </w:tc>
        <w:tc>
          <w:tcPr>
            <w:tcW w:w="726" w:type="dxa"/>
          </w:tcPr>
          <w:p w14:paraId="4F24E1BC" w14:textId="567DD0F1" w:rsidR="0079179F" w:rsidRPr="00A134BA" w:rsidRDefault="0079179F" w:rsidP="005501DB">
            <w:pPr>
              <w:pStyle w:val="NoSpacing"/>
              <w:rPr>
                <w:rFonts w:cstheme="minorHAnsi"/>
              </w:rPr>
            </w:pPr>
            <w:r w:rsidRPr="00A134BA">
              <w:rPr>
                <w:rFonts w:cstheme="minorHAnsi"/>
              </w:rPr>
              <w:t>χ2 (df)</w:t>
            </w:r>
          </w:p>
        </w:tc>
        <w:tc>
          <w:tcPr>
            <w:tcW w:w="726" w:type="dxa"/>
          </w:tcPr>
          <w:p w14:paraId="54F4B74C" w14:textId="19FBD345" w:rsidR="0079179F" w:rsidRPr="00A134BA" w:rsidRDefault="0079179F" w:rsidP="005501DB">
            <w:pPr>
              <w:pStyle w:val="NoSpacing"/>
              <w:rPr>
                <w:rFonts w:cstheme="minorHAnsi"/>
              </w:rPr>
            </w:pPr>
            <w:r w:rsidRPr="00A134BA">
              <w:rPr>
                <w:rFonts w:cstheme="minorHAnsi"/>
              </w:rPr>
              <w:t>p</w:t>
            </w:r>
          </w:p>
        </w:tc>
        <w:tc>
          <w:tcPr>
            <w:tcW w:w="726" w:type="dxa"/>
          </w:tcPr>
          <w:p w14:paraId="4B28BBD2" w14:textId="0D2A7E0C" w:rsidR="0079179F" w:rsidRPr="00A134BA" w:rsidRDefault="0079179F" w:rsidP="005501DB">
            <w:pPr>
              <w:pStyle w:val="NoSpacing"/>
              <w:rPr>
                <w:rFonts w:cstheme="minorHAnsi"/>
              </w:rPr>
            </w:pPr>
            <w:r w:rsidRPr="00A134BA">
              <w:rPr>
                <w:rFonts w:cstheme="minorHAnsi"/>
              </w:rPr>
              <w:t>χ2 (df)</w:t>
            </w:r>
          </w:p>
        </w:tc>
        <w:tc>
          <w:tcPr>
            <w:tcW w:w="726" w:type="dxa"/>
          </w:tcPr>
          <w:p w14:paraId="74BA3FA0" w14:textId="32324144" w:rsidR="0079179F" w:rsidRPr="00A134BA" w:rsidRDefault="0079179F" w:rsidP="005501DB">
            <w:pPr>
              <w:pStyle w:val="NoSpacing"/>
              <w:rPr>
                <w:rFonts w:cstheme="minorHAnsi"/>
              </w:rPr>
            </w:pPr>
            <w:r w:rsidRPr="00A134BA">
              <w:rPr>
                <w:rFonts w:cstheme="minorHAnsi"/>
              </w:rPr>
              <w:t>p</w:t>
            </w:r>
          </w:p>
        </w:tc>
        <w:tc>
          <w:tcPr>
            <w:tcW w:w="727" w:type="dxa"/>
          </w:tcPr>
          <w:p w14:paraId="2827E340" w14:textId="4CFE9C4D" w:rsidR="0079179F" w:rsidRPr="00A134BA" w:rsidRDefault="0079179F" w:rsidP="005501DB">
            <w:pPr>
              <w:pStyle w:val="NoSpacing"/>
              <w:rPr>
                <w:rFonts w:cstheme="minorHAnsi"/>
              </w:rPr>
            </w:pPr>
            <w:r w:rsidRPr="00A134BA">
              <w:rPr>
                <w:rFonts w:cstheme="minorHAnsi"/>
              </w:rPr>
              <w:t>χ2 (df)</w:t>
            </w:r>
          </w:p>
        </w:tc>
        <w:tc>
          <w:tcPr>
            <w:tcW w:w="728" w:type="dxa"/>
          </w:tcPr>
          <w:p w14:paraId="1D45C71F" w14:textId="5EBF2491" w:rsidR="0079179F" w:rsidRPr="00A134BA" w:rsidRDefault="0079179F" w:rsidP="005501DB">
            <w:pPr>
              <w:pStyle w:val="NoSpacing"/>
              <w:rPr>
                <w:rFonts w:cstheme="minorHAnsi"/>
              </w:rPr>
            </w:pPr>
            <w:r w:rsidRPr="00A134BA">
              <w:rPr>
                <w:rFonts w:cstheme="minorHAnsi"/>
              </w:rPr>
              <w:t>p</w:t>
            </w:r>
          </w:p>
        </w:tc>
        <w:tc>
          <w:tcPr>
            <w:tcW w:w="728" w:type="dxa"/>
          </w:tcPr>
          <w:p w14:paraId="18F4C4EF" w14:textId="65EAAC69" w:rsidR="0079179F" w:rsidRPr="00A134BA" w:rsidRDefault="0079179F" w:rsidP="005501DB">
            <w:pPr>
              <w:pStyle w:val="NoSpacing"/>
              <w:rPr>
                <w:rFonts w:cstheme="minorHAnsi"/>
              </w:rPr>
            </w:pPr>
            <w:r w:rsidRPr="00A134BA">
              <w:rPr>
                <w:rFonts w:cstheme="minorHAnsi"/>
              </w:rPr>
              <w:t>χ2 (df)</w:t>
            </w:r>
          </w:p>
        </w:tc>
        <w:tc>
          <w:tcPr>
            <w:tcW w:w="728" w:type="dxa"/>
          </w:tcPr>
          <w:p w14:paraId="0133C20B" w14:textId="76E51AE6" w:rsidR="0079179F" w:rsidRPr="00A134BA" w:rsidRDefault="0079179F" w:rsidP="005501DB">
            <w:pPr>
              <w:pStyle w:val="NoSpacing"/>
              <w:rPr>
                <w:rFonts w:cstheme="minorHAnsi"/>
              </w:rPr>
            </w:pPr>
            <w:r w:rsidRPr="00A134BA">
              <w:rPr>
                <w:rFonts w:cstheme="minorHAnsi"/>
              </w:rPr>
              <w:t>p</w:t>
            </w:r>
          </w:p>
        </w:tc>
        <w:tc>
          <w:tcPr>
            <w:tcW w:w="728" w:type="dxa"/>
          </w:tcPr>
          <w:p w14:paraId="39A7E2D5" w14:textId="4E45D2D4" w:rsidR="0079179F" w:rsidRPr="00A134BA" w:rsidRDefault="0079179F" w:rsidP="005501DB">
            <w:pPr>
              <w:pStyle w:val="NoSpacing"/>
              <w:rPr>
                <w:rFonts w:cstheme="minorHAnsi"/>
              </w:rPr>
            </w:pPr>
            <w:r w:rsidRPr="00A134BA">
              <w:rPr>
                <w:rFonts w:cstheme="minorHAnsi"/>
              </w:rPr>
              <w:t>χ2 (df)</w:t>
            </w:r>
          </w:p>
        </w:tc>
        <w:tc>
          <w:tcPr>
            <w:tcW w:w="728" w:type="dxa"/>
          </w:tcPr>
          <w:p w14:paraId="78B5E01D" w14:textId="67B5F0CC" w:rsidR="0079179F" w:rsidRPr="00A134BA" w:rsidRDefault="0079179F" w:rsidP="005501DB">
            <w:pPr>
              <w:pStyle w:val="NoSpacing"/>
              <w:rPr>
                <w:rFonts w:cstheme="minorHAnsi"/>
              </w:rPr>
            </w:pPr>
            <w:r w:rsidRPr="00A134BA">
              <w:rPr>
                <w:rFonts w:cstheme="minorHAnsi"/>
              </w:rPr>
              <w:t>p</w:t>
            </w:r>
          </w:p>
        </w:tc>
        <w:tc>
          <w:tcPr>
            <w:tcW w:w="728" w:type="dxa"/>
          </w:tcPr>
          <w:p w14:paraId="7463C2ED" w14:textId="49E39D86" w:rsidR="0079179F" w:rsidRPr="00A134BA" w:rsidRDefault="0079179F" w:rsidP="005501DB">
            <w:pPr>
              <w:pStyle w:val="NoSpacing"/>
              <w:rPr>
                <w:rFonts w:cstheme="minorHAnsi"/>
              </w:rPr>
            </w:pPr>
            <w:r w:rsidRPr="00A134BA">
              <w:rPr>
                <w:rFonts w:cstheme="minorHAnsi"/>
              </w:rPr>
              <w:t>χ2 (df)</w:t>
            </w:r>
          </w:p>
        </w:tc>
        <w:tc>
          <w:tcPr>
            <w:tcW w:w="728" w:type="dxa"/>
          </w:tcPr>
          <w:p w14:paraId="3239EAD2" w14:textId="3C1EE83C" w:rsidR="0079179F" w:rsidRPr="00A134BA" w:rsidRDefault="0079179F" w:rsidP="005501DB">
            <w:pPr>
              <w:pStyle w:val="NoSpacing"/>
              <w:rPr>
                <w:rFonts w:cstheme="minorHAnsi"/>
              </w:rPr>
            </w:pPr>
            <w:r w:rsidRPr="00A134BA">
              <w:rPr>
                <w:rFonts w:cstheme="minorHAnsi"/>
              </w:rPr>
              <w:t>p</w:t>
            </w:r>
          </w:p>
        </w:tc>
      </w:tr>
      <w:bookmarkEnd w:id="7"/>
      <w:tr w:rsidR="005501DB" w:rsidRPr="00A134BA" w14:paraId="063F7FBC" w14:textId="77777777" w:rsidTr="00D05222">
        <w:tc>
          <w:tcPr>
            <w:tcW w:w="1343" w:type="dxa"/>
          </w:tcPr>
          <w:p w14:paraId="530E64A1" w14:textId="43C8B1A7" w:rsidR="00130CEF" w:rsidRPr="00A134BA" w:rsidRDefault="0037641A" w:rsidP="005501DB">
            <w:pPr>
              <w:pStyle w:val="NoSpacing"/>
              <w:rPr>
                <w:rFonts w:cstheme="minorHAnsi"/>
              </w:rPr>
            </w:pPr>
            <w:r w:rsidRPr="00A134BA">
              <w:rPr>
                <w:rFonts w:cstheme="minorHAnsi"/>
              </w:rPr>
              <w:t>If I believe I was having a mental</w:t>
            </w:r>
            <w:r w:rsidR="00527464" w:rsidRPr="00A134BA">
              <w:rPr>
                <w:rFonts w:cstheme="minorHAnsi"/>
              </w:rPr>
              <w:t xml:space="preserve"> </w:t>
            </w:r>
            <w:r w:rsidRPr="00A134BA">
              <w:rPr>
                <w:rFonts w:cstheme="minorHAnsi"/>
              </w:rPr>
              <w:t>breakdown, my first inclination</w:t>
            </w:r>
            <w:r w:rsidR="00527464" w:rsidRPr="00A134BA">
              <w:rPr>
                <w:rFonts w:cstheme="minorHAnsi"/>
              </w:rPr>
              <w:t xml:space="preserve"> </w:t>
            </w:r>
            <w:r w:rsidRPr="00A134BA">
              <w:rPr>
                <w:rFonts w:cstheme="minorHAnsi"/>
              </w:rPr>
              <w:t>would be to get professional</w:t>
            </w:r>
            <w:r w:rsidR="00527464" w:rsidRPr="00A134BA">
              <w:rPr>
                <w:rFonts w:cstheme="minorHAnsi"/>
              </w:rPr>
              <w:t xml:space="preserve"> </w:t>
            </w:r>
            <w:r w:rsidRPr="00A134BA">
              <w:rPr>
                <w:rFonts w:cstheme="minorHAnsi"/>
              </w:rPr>
              <w:t>attention.</w:t>
            </w:r>
          </w:p>
        </w:tc>
        <w:tc>
          <w:tcPr>
            <w:tcW w:w="726" w:type="dxa"/>
          </w:tcPr>
          <w:p w14:paraId="6A37506C" w14:textId="324A37B6" w:rsidR="00130CEF" w:rsidRPr="00A134BA" w:rsidRDefault="00527464" w:rsidP="005501DB">
            <w:pPr>
              <w:pStyle w:val="NoSpacing"/>
              <w:rPr>
                <w:rFonts w:cstheme="minorHAnsi"/>
              </w:rPr>
            </w:pPr>
            <w:r w:rsidRPr="00A134BA">
              <w:rPr>
                <w:rFonts w:cstheme="minorHAnsi"/>
              </w:rPr>
              <w:t>2.0 (1)</w:t>
            </w:r>
          </w:p>
        </w:tc>
        <w:tc>
          <w:tcPr>
            <w:tcW w:w="726" w:type="dxa"/>
          </w:tcPr>
          <w:p w14:paraId="67153A90" w14:textId="26090D5B" w:rsidR="00130CEF" w:rsidRPr="00A134BA" w:rsidRDefault="00527464" w:rsidP="005501DB">
            <w:pPr>
              <w:pStyle w:val="NoSpacing"/>
              <w:rPr>
                <w:rFonts w:cstheme="minorHAnsi"/>
              </w:rPr>
            </w:pPr>
            <w:r w:rsidRPr="00A134BA">
              <w:rPr>
                <w:rFonts w:cstheme="minorHAnsi"/>
              </w:rPr>
              <w:t>.16</w:t>
            </w:r>
          </w:p>
        </w:tc>
        <w:tc>
          <w:tcPr>
            <w:tcW w:w="726" w:type="dxa"/>
          </w:tcPr>
          <w:p w14:paraId="3474A5C4" w14:textId="7E7FA908" w:rsidR="00130CEF" w:rsidRPr="00A134BA" w:rsidRDefault="00527464" w:rsidP="005501DB">
            <w:pPr>
              <w:pStyle w:val="NoSpacing"/>
              <w:rPr>
                <w:rFonts w:cstheme="minorHAnsi"/>
              </w:rPr>
            </w:pPr>
            <w:r w:rsidRPr="00A134BA">
              <w:rPr>
                <w:rFonts w:cstheme="minorHAnsi"/>
              </w:rPr>
              <w:t>3.6 (3)</w:t>
            </w:r>
          </w:p>
        </w:tc>
        <w:tc>
          <w:tcPr>
            <w:tcW w:w="726" w:type="dxa"/>
          </w:tcPr>
          <w:p w14:paraId="7A0828EA" w14:textId="5CD3F700" w:rsidR="00130CEF" w:rsidRPr="00A134BA" w:rsidRDefault="00527464" w:rsidP="005501DB">
            <w:pPr>
              <w:pStyle w:val="NoSpacing"/>
              <w:rPr>
                <w:rFonts w:cstheme="minorHAnsi"/>
              </w:rPr>
            </w:pPr>
            <w:r w:rsidRPr="00A134BA">
              <w:rPr>
                <w:rFonts w:cstheme="minorHAnsi"/>
              </w:rPr>
              <w:t>.31</w:t>
            </w:r>
          </w:p>
        </w:tc>
        <w:tc>
          <w:tcPr>
            <w:tcW w:w="727" w:type="dxa"/>
          </w:tcPr>
          <w:p w14:paraId="26169B9C" w14:textId="4A0DC279" w:rsidR="00130CEF" w:rsidRPr="00A134BA" w:rsidRDefault="00527464" w:rsidP="005501DB">
            <w:pPr>
              <w:pStyle w:val="NoSpacing"/>
              <w:rPr>
                <w:rFonts w:cstheme="minorHAnsi"/>
              </w:rPr>
            </w:pPr>
            <w:r w:rsidRPr="00A134BA">
              <w:rPr>
                <w:rFonts w:cstheme="minorHAnsi"/>
              </w:rPr>
              <w:t>4.3 (1)</w:t>
            </w:r>
          </w:p>
        </w:tc>
        <w:tc>
          <w:tcPr>
            <w:tcW w:w="728" w:type="dxa"/>
          </w:tcPr>
          <w:p w14:paraId="4C5C7A3A" w14:textId="47BDDA15" w:rsidR="00130CEF" w:rsidRPr="00A134BA" w:rsidRDefault="00527464" w:rsidP="005501DB">
            <w:pPr>
              <w:pStyle w:val="NoSpacing"/>
              <w:rPr>
                <w:rFonts w:cstheme="minorHAnsi"/>
              </w:rPr>
            </w:pPr>
            <w:r w:rsidRPr="00A134BA">
              <w:rPr>
                <w:rFonts w:cstheme="minorHAnsi"/>
              </w:rPr>
              <w:t>.04</w:t>
            </w:r>
          </w:p>
        </w:tc>
        <w:tc>
          <w:tcPr>
            <w:tcW w:w="728" w:type="dxa"/>
          </w:tcPr>
          <w:p w14:paraId="12C9D2A6" w14:textId="56E77554" w:rsidR="00130CEF" w:rsidRPr="00A134BA" w:rsidRDefault="00A70660" w:rsidP="005501DB">
            <w:pPr>
              <w:pStyle w:val="NoSpacing"/>
              <w:rPr>
                <w:rFonts w:cstheme="minorHAnsi"/>
              </w:rPr>
            </w:pPr>
            <w:r w:rsidRPr="00A134BA">
              <w:rPr>
                <w:rFonts w:cstheme="minorHAnsi"/>
              </w:rPr>
              <w:t>4.4 (3)</w:t>
            </w:r>
          </w:p>
        </w:tc>
        <w:tc>
          <w:tcPr>
            <w:tcW w:w="728" w:type="dxa"/>
          </w:tcPr>
          <w:p w14:paraId="63A2DA08" w14:textId="0670D5FB" w:rsidR="00130CEF" w:rsidRPr="00A134BA" w:rsidRDefault="00A70660" w:rsidP="005501DB">
            <w:pPr>
              <w:pStyle w:val="NoSpacing"/>
              <w:rPr>
                <w:rFonts w:cstheme="minorHAnsi"/>
              </w:rPr>
            </w:pPr>
            <w:r w:rsidRPr="00A134BA">
              <w:rPr>
                <w:rFonts w:cstheme="minorHAnsi"/>
              </w:rPr>
              <w:t>.23</w:t>
            </w:r>
          </w:p>
        </w:tc>
        <w:tc>
          <w:tcPr>
            <w:tcW w:w="728" w:type="dxa"/>
          </w:tcPr>
          <w:p w14:paraId="799359CB" w14:textId="23C29A0D" w:rsidR="00130CEF" w:rsidRPr="00A134BA" w:rsidRDefault="00A70660" w:rsidP="005501DB">
            <w:pPr>
              <w:pStyle w:val="NoSpacing"/>
              <w:rPr>
                <w:rFonts w:cstheme="minorHAnsi"/>
              </w:rPr>
            </w:pPr>
            <w:r w:rsidRPr="00A134BA">
              <w:rPr>
                <w:rFonts w:cstheme="minorHAnsi"/>
              </w:rPr>
              <w:t>1.6 (1)</w:t>
            </w:r>
          </w:p>
        </w:tc>
        <w:tc>
          <w:tcPr>
            <w:tcW w:w="728" w:type="dxa"/>
          </w:tcPr>
          <w:p w14:paraId="24E8A860" w14:textId="61765B68" w:rsidR="00130CEF" w:rsidRPr="00A134BA" w:rsidRDefault="00A70660" w:rsidP="005501DB">
            <w:pPr>
              <w:pStyle w:val="NoSpacing"/>
              <w:rPr>
                <w:rFonts w:cstheme="minorHAnsi"/>
              </w:rPr>
            </w:pPr>
            <w:r w:rsidRPr="00A134BA">
              <w:rPr>
                <w:rFonts w:cstheme="minorHAnsi"/>
              </w:rPr>
              <w:t>.21</w:t>
            </w:r>
          </w:p>
        </w:tc>
        <w:tc>
          <w:tcPr>
            <w:tcW w:w="728" w:type="dxa"/>
          </w:tcPr>
          <w:p w14:paraId="0C902672" w14:textId="2AF90AE3" w:rsidR="00130CEF" w:rsidRPr="00A134BA" w:rsidRDefault="00A70660" w:rsidP="005501DB">
            <w:pPr>
              <w:pStyle w:val="NoSpacing"/>
              <w:rPr>
                <w:rFonts w:cstheme="minorHAnsi"/>
              </w:rPr>
            </w:pPr>
            <w:r w:rsidRPr="00A134BA">
              <w:rPr>
                <w:rFonts w:cstheme="minorHAnsi"/>
              </w:rPr>
              <w:t>4.1 (3)</w:t>
            </w:r>
          </w:p>
        </w:tc>
        <w:tc>
          <w:tcPr>
            <w:tcW w:w="728" w:type="dxa"/>
          </w:tcPr>
          <w:p w14:paraId="111FA667" w14:textId="7584F4D8" w:rsidR="00130CEF" w:rsidRPr="00A134BA" w:rsidRDefault="00A70660" w:rsidP="005501DB">
            <w:pPr>
              <w:pStyle w:val="NoSpacing"/>
              <w:rPr>
                <w:rFonts w:cstheme="minorHAnsi"/>
              </w:rPr>
            </w:pPr>
            <w:r w:rsidRPr="00A134BA">
              <w:rPr>
                <w:rFonts w:cstheme="minorHAnsi"/>
              </w:rPr>
              <w:t>.25</w:t>
            </w:r>
          </w:p>
        </w:tc>
      </w:tr>
      <w:tr w:rsidR="005501DB" w:rsidRPr="00A134BA" w14:paraId="188FA48E" w14:textId="77777777" w:rsidTr="00D05222">
        <w:tc>
          <w:tcPr>
            <w:tcW w:w="1343" w:type="dxa"/>
          </w:tcPr>
          <w:p w14:paraId="4D13F942" w14:textId="73B1226F" w:rsidR="00130CEF" w:rsidRPr="00A134BA" w:rsidRDefault="00D05222" w:rsidP="005501DB">
            <w:pPr>
              <w:pStyle w:val="NoSpacing"/>
              <w:rPr>
                <w:rFonts w:cstheme="minorHAnsi"/>
              </w:rPr>
            </w:pPr>
            <w:r w:rsidRPr="00A134BA">
              <w:rPr>
                <w:rFonts w:cstheme="minorHAnsi"/>
              </w:rPr>
              <w:t>If I were experiencing a serious</w:t>
            </w:r>
            <w:r w:rsidR="00A70660" w:rsidRPr="00A134BA">
              <w:rPr>
                <w:rFonts w:cstheme="minorHAnsi"/>
              </w:rPr>
              <w:t xml:space="preserve"> </w:t>
            </w:r>
            <w:r w:rsidRPr="00A134BA">
              <w:rPr>
                <w:rFonts w:cstheme="minorHAnsi"/>
              </w:rPr>
              <w:t>emotional crisis at this point in</w:t>
            </w:r>
            <w:r w:rsidR="00A70660" w:rsidRPr="00A134BA">
              <w:rPr>
                <w:rFonts w:cstheme="minorHAnsi"/>
              </w:rPr>
              <w:t xml:space="preserve"> </w:t>
            </w:r>
            <w:r w:rsidRPr="00A134BA">
              <w:rPr>
                <w:rFonts w:cstheme="minorHAnsi"/>
              </w:rPr>
              <w:t>my life, I would be confidence</w:t>
            </w:r>
            <w:r w:rsidR="00A70660" w:rsidRPr="00A134BA">
              <w:rPr>
                <w:rFonts w:cstheme="minorHAnsi"/>
              </w:rPr>
              <w:t xml:space="preserve"> </w:t>
            </w:r>
            <w:r w:rsidRPr="00A134BA">
              <w:rPr>
                <w:rFonts w:cstheme="minorHAnsi"/>
              </w:rPr>
              <w:t>that I could find relief in</w:t>
            </w:r>
            <w:r w:rsidR="00A70660" w:rsidRPr="00A134BA">
              <w:rPr>
                <w:rFonts w:cstheme="minorHAnsi"/>
              </w:rPr>
              <w:t xml:space="preserve"> </w:t>
            </w:r>
            <w:r w:rsidRPr="00A134BA">
              <w:rPr>
                <w:rFonts w:cstheme="minorHAnsi"/>
              </w:rPr>
              <w:t>psychotherapy.</w:t>
            </w:r>
          </w:p>
        </w:tc>
        <w:tc>
          <w:tcPr>
            <w:tcW w:w="726" w:type="dxa"/>
          </w:tcPr>
          <w:p w14:paraId="124E2807" w14:textId="3DF1F388" w:rsidR="00130CEF" w:rsidRPr="00A134BA" w:rsidRDefault="00A70660" w:rsidP="005501DB">
            <w:pPr>
              <w:pStyle w:val="NoSpacing"/>
              <w:rPr>
                <w:rFonts w:cstheme="minorHAnsi"/>
              </w:rPr>
            </w:pPr>
            <w:r w:rsidRPr="00A134BA">
              <w:rPr>
                <w:rFonts w:cstheme="minorHAnsi"/>
              </w:rPr>
              <w:t>0.0 (1)</w:t>
            </w:r>
          </w:p>
        </w:tc>
        <w:tc>
          <w:tcPr>
            <w:tcW w:w="726" w:type="dxa"/>
          </w:tcPr>
          <w:p w14:paraId="5B626038" w14:textId="415BE717" w:rsidR="00130CEF" w:rsidRPr="00A134BA" w:rsidRDefault="00A70660" w:rsidP="005501DB">
            <w:pPr>
              <w:pStyle w:val="NoSpacing"/>
              <w:rPr>
                <w:rFonts w:cstheme="minorHAnsi"/>
              </w:rPr>
            </w:pPr>
            <w:r w:rsidRPr="00A134BA">
              <w:rPr>
                <w:rFonts w:cstheme="minorHAnsi"/>
              </w:rPr>
              <w:t>.86</w:t>
            </w:r>
          </w:p>
        </w:tc>
        <w:tc>
          <w:tcPr>
            <w:tcW w:w="726" w:type="dxa"/>
          </w:tcPr>
          <w:p w14:paraId="68122FB7" w14:textId="38B25B70" w:rsidR="00130CEF" w:rsidRPr="00A134BA" w:rsidRDefault="00A70660" w:rsidP="005501DB">
            <w:pPr>
              <w:pStyle w:val="NoSpacing"/>
              <w:rPr>
                <w:rFonts w:cstheme="minorHAnsi"/>
              </w:rPr>
            </w:pPr>
            <w:r w:rsidRPr="00A134BA">
              <w:rPr>
                <w:rFonts w:cstheme="minorHAnsi"/>
              </w:rPr>
              <w:t>2.1 (3)</w:t>
            </w:r>
          </w:p>
        </w:tc>
        <w:tc>
          <w:tcPr>
            <w:tcW w:w="726" w:type="dxa"/>
          </w:tcPr>
          <w:p w14:paraId="1CBD647C" w14:textId="14E8F4EE" w:rsidR="00130CEF" w:rsidRPr="00A134BA" w:rsidRDefault="00A70660" w:rsidP="005501DB">
            <w:pPr>
              <w:pStyle w:val="NoSpacing"/>
              <w:rPr>
                <w:rFonts w:cstheme="minorHAnsi"/>
              </w:rPr>
            </w:pPr>
            <w:r w:rsidRPr="00A134BA">
              <w:rPr>
                <w:rFonts w:cstheme="minorHAnsi"/>
              </w:rPr>
              <w:t>.56</w:t>
            </w:r>
          </w:p>
        </w:tc>
        <w:tc>
          <w:tcPr>
            <w:tcW w:w="727" w:type="dxa"/>
          </w:tcPr>
          <w:p w14:paraId="28C4BD31" w14:textId="69AD94A5" w:rsidR="00130CEF" w:rsidRPr="00A134BA" w:rsidRDefault="00A70660" w:rsidP="005501DB">
            <w:pPr>
              <w:pStyle w:val="NoSpacing"/>
              <w:rPr>
                <w:rFonts w:cstheme="minorHAnsi"/>
              </w:rPr>
            </w:pPr>
            <w:r w:rsidRPr="00A134BA">
              <w:rPr>
                <w:rFonts w:cstheme="minorHAnsi"/>
              </w:rPr>
              <w:t>2.5 (1)</w:t>
            </w:r>
          </w:p>
        </w:tc>
        <w:tc>
          <w:tcPr>
            <w:tcW w:w="728" w:type="dxa"/>
          </w:tcPr>
          <w:p w14:paraId="1E9AD9F8" w14:textId="16E2F8E4" w:rsidR="00130CEF" w:rsidRPr="00A134BA" w:rsidRDefault="00A70660" w:rsidP="005501DB">
            <w:pPr>
              <w:pStyle w:val="NoSpacing"/>
              <w:rPr>
                <w:rFonts w:cstheme="minorHAnsi"/>
              </w:rPr>
            </w:pPr>
            <w:r w:rsidRPr="00A134BA">
              <w:rPr>
                <w:rFonts w:cstheme="minorHAnsi"/>
              </w:rPr>
              <w:t>.12</w:t>
            </w:r>
          </w:p>
        </w:tc>
        <w:tc>
          <w:tcPr>
            <w:tcW w:w="728" w:type="dxa"/>
          </w:tcPr>
          <w:p w14:paraId="35A8B86A" w14:textId="549C4112" w:rsidR="00130CEF" w:rsidRPr="00A134BA" w:rsidRDefault="00A70660" w:rsidP="005501DB">
            <w:pPr>
              <w:pStyle w:val="NoSpacing"/>
              <w:rPr>
                <w:rFonts w:cstheme="minorHAnsi"/>
              </w:rPr>
            </w:pPr>
            <w:r w:rsidRPr="00A134BA">
              <w:rPr>
                <w:rFonts w:cstheme="minorHAnsi"/>
              </w:rPr>
              <w:t>1.6 (3)</w:t>
            </w:r>
          </w:p>
        </w:tc>
        <w:tc>
          <w:tcPr>
            <w:tcW w:w="728" w:type="dxa"/>
          </w:tcPr>
          <w:p w14:paraId="24B792A0" w14:textId="40435DC0" w:rsidR="00130CEF" w:rsidRPr="00A134BA" w:rsidRDefault="00A70660" w:rsidP="005501DB">
            <w:pPr>
              <w:pStyle w:val="NoSpacing"/>
              <w:rPr>
                <w:rFonts w:cstheme="minorHAnsi"/>
              </w:rPr>
            </w:pPr>
            <w:r w:rsidRPr="00A134BA">
              <w:rPr>
                <w:rFonts w:cstheme="minorHAnsi"/>
              </w:rPr>
              <w:t>.66</w:t>
            </w:r>
          </w:p>
        </w:tc>
        <w:tc>
          <w:tcPr>
            <w:tcW w:w="728" w:type="dxa"/>
          </w:tcPr>
          <w:p w14:paraId="3180CEFB" w14:textId="14C5FB70" w:rsidR="00130CEF" w:rsidRPr="00A134BA" w:rsidRDefault="00A70660" w:rsidP="005501DB">
            <w:pPr>
              <w:pStyle w:val="NoSpacing"/>
              <w:rPr>
                <w:rFonts w:cstheme="minorHAnsi"/>
              </w:rPr>
            </w:pPr>
            <w:r w:rsidRPr="00A134BA">
              <w:rPr>
                <w:rFonts w:cstheme="minorHAnsi"/>
              </w:rPr>
              <w:t>1.5 (1)</w:t>
            </w:r>
          </w:p>
        </w:tc>
        <w:tc>
          <w:tcPr>
            <w:tcW w:w="728" w:type="dxa"/>
          </w:tcPr>
          <w:p w14:paraId="35913845" w14:textId="7F17A7F0" w:rsidR="00130CEF" w:rsidRPr="00A134BA" w:rsidRDefault="00A70660" w:rsidP="005501DB">
            <w:pPr>
              <w:pStyle w:val="NoSpacing"/>
              <w:rPr>
                <w:rFonts w:cstheme="minorHAnsi"/>
              </w:rPr>
            </w:pPr>
            <w:r w:rsidRPr="00A134BA">
              <w:rPr>
                <w:rFonts w:cstheme="minorHAnsi"/>
              </w:rPr>
              <w:t>.23</w:t>
            </w:r>
          </w:p>
        </w:tc>
        <w:tc>
          <w:tcPr>
            <w:tcW w:w="728" w:type="dxa"/>
          </w:tcPr>
          <w:p w14:paraId="1F2874AD" w14:textId="221785E0" w:rsidR="00130CEF" w:rsidRPr="00A134BA" w:rsidRDefault="00A70660" w:rsidP="005501DB">
            <w:pPr>
              <w:pStyle w:val="NoSpacing"/>
              <w:rPr>
                <w:rFonts w:cstheme="minorHAnsi"/>
              </w:rPr>
            </w:pPr>
            <w:r w:rsidRPr="00A134BA">
              <w:rPr>
                <w:rFonts w:cstheme="minorHAnsi"/>
              </w:rPr>
              <w:t>1.2 (3)</w:t>
            </w:r>
          </w:p>
        </w:tc>
        <w:tc>
          <w:tcPr>
            <w:tcW w:w="728" w:type="dxa"/>
          </w:tcPr>
          <w:p w14:paraId="6E10E0DE" w14:textId="44BCC7C9" w:rsidR="00130CEF" w:rsidRPr="00A134BA" w:rsidRDefault="00A70660" w:rsidP="005501DB">
            <w:pPr>
              <w:pStyle w:val="NoSpacing"/>
              <w:rPr>
                <w:rFonts w:cstheme="minorHAnsi"/>
              </w:rPr>
            </w:pPr>
            <w:r w:rsidRPr="00A134BA">
              <w:rPr>
                <w:rFonts w:cstheme="minorHAnsi"/>
              </w:rPr>
              <w:t>.76</w:t>
            </w:r>
          </w:p>
        </w:tc>
      </w:tr>
      <w:tr w:rsidR="005501DB" w:rsidRPr="00A134BA" w14:paraId="3575211B" w14:textId="77777777" w:rsidTr="00D05222">
        <w:tc>
          <w:tcPr>
            <w:tcW w:w="1343" w:type="dxa"/>
          </w:tcPr>
          <w:p w14:paraId="270DA0BE" w14:textId="00B8DA95" w:rsidR="0037641A" w:rsidRPr="00A134BA" w:rsidRDefault="00D05222" w:rsidP="005501DB">
            <w:pPr>
              <w:pStyle w:val="NoSpacing"/>
              <w:rPr>
                <w:rFonts w:cstheme="minorHAnsi"/>
              </w:rPr>
            </w:pPr>
            <w:r w:rsidRPr="00A134BA">
              <w:rPr>
                <w:rFonts w:cstheme="minorHAnsi"/>
              </w:rPr>
              <w:t>I would want to get psychological</w:t>
            </w:r>
            <w:r w:rsidR="00A70660" w:rsidRPr="00A134BA">
              <w:rPr>
                <w:rFonts w:cstheme="minorHAnsi"/>
              </w:rPr>
              <w:t xml:space="preserve"> </w:t>
            </w:r>
            <w:r w:rsidRPr="00A134BA">
              <w:rPr>
                <w:rFonts w:cstheme="minorHAnsi"/>
              </w:rPr>
              <w:t>help if I were worried or upset</w:t>
            </w:r>
            <w:r w:rsidR="00A70660" w:rsidRPr="00A134BA">
              <w:rPr>
                <w:rFonts w:cstheme="minorHAnsi"/>
              </w:rPr>
              <w:t xml:space="preserve"> </w:t>
            </w:r>
            <w:r w:rsidRPr="00A134BA">
              <w:rPr>
                <w:rFonts w:cstheme="minorHAnsi"/>
              </w:rPr>
              <w:t>for a long period of time.</w:t>
            </w:r>
          </w:p>
        </w:tc>
        <w:tc>
          <w:tcPr>
            <w:tcW w:w="726" w:type="dxa"/>
          </w:tcPr>
          <w:p w14:paraId="50DC5BEF" w14:textId="058685BB" w:rsidR="0037641A" w:rsidRPr="00A134BA" w:rsidRDefault="00A70660" w:rsidP="005501DB">
            <w:pPr>
              <w:pStyle w:val="NoSpacing"/>
              <w:rPr>
                <w:rFonts w:cstheme="minorHAnsi"/>
              </w:rPr>
            </w:pPr>
            <w:r w:rsidRPr="00A134BA">
              <w:rPr>
                <w:rFonts w:cstheme="minorHAnsi"/>
              </w:rPr>
              <w:t>0.0 (1)</w:t>
            </w:r>
          </w:p>
        </w:tc>
        <w:tc>
          <w:tcPr>
            <w:tcW w:w="726" w:type="dxa"/>
          </w:tcPr>
          <w:p w14:paraId="30BFC188" w14:textId="1BB7758A" w:rsidR="0037641A" w:rsidRPr="00A134BA" w:rsidRDefault="00A70660" w:rsidP="005501DB">
            <w:pPr>
              <w:pStyle w:val="NoSpacing"/>
              <w:rPr>
                <w:rFonts w:cstheme="minorHAnsi"/>
              </w:rPr>
            </w:pPr>
            <w:r w:rsidRPr="00A134BA">
              <w:rPr>
                <w:rFonts w:cstheme="minorHAnsi"/>
              </w:rPr>
              <w:t>.84</w:t>
            </w:r>
          </w:p>
        </w:tc>
        <w:tc>
          <w:tcPr>
            <w:tcW w:w="726" w:type="dxa"/>
          </w:tcPr>
          <w:p w14:paraId="477052DA" w14:textId="4A9F8DF1" w:rsidR="0037641A" w:rsidRPr="00A134BA" w:rsidRDefault="00A70660" w:rsidP="005501DB">
            <w:pPr>
              <w:pStyle w:val="NoSpacing"/>
              <w:rPr>
                <w:rFonts w:cstheme="minorHAnsi"/>
              </w:rPr>
            </w:pPr>
            <w:r w:rsidRPr="00A134BA">
              <w:rPr>
                <w:rFonts w:cstheme="minorHAnsi"/>
              </w:rPr>
              <w:t>1.8 (3)</w:t>
            </w:r>
          </w:p>
        </w:tc>
        <w:tc>
          <w:tcPr>
            <w:tcW w:w="726" w:type="dxa"/>
          </w:tcPr>
          <w:p w14:paraId="3B2743DF" w14:textId="23D0F152" w:rsidR="0037641A" w:rsidRPr="00A134BA" w:rsidRDefault="00A70660" w:rsidP="005501DB">
            <w:pPr>
              <w:pStyle w:val="NoSpacing"/>
              <w:rPr>
                <w:rFonts w:cstheme="minorHAnsi"/>
              </w:rPr>
            </w:pPr>
            <w:r w:rsidRPr="00A134BA">
              <w:rPr>
                <w:rFonts w:cstheme="minorHAnsi"/>
              </w:rPr>
              <w:t>.62</w:t>
            </w:r>
          </w:p>
        </w:tc>
        <w:tc>
          <w:tcPr>
            <w:tcW w:w="727" w:type="dxa"/>
          </w:tcPr>
          <w:p w14:paraId="6C639135" w14:textId="507D4FAB" w:rsidR="0037641A" w:rsidRPr="00A134BA" w:rsidRDefault="00A70660" w:rsidP="005501DB">
            <w:pPr>
              <w:pStyle w:val="NoSpacing"/>
              <w:rPr>
                <w:rFonts w:cstheme="minorHAnsi"/>
              </w:rPr>
            </w:pPr>
            <w:r w:rsidRPr="00A134BA">
              <w:rPr>
                <w:rFonts w:cstheme="minorHAnsi"/>
              </w:rPr>
              <w:t>0.2 (1)</w:t>
            </w:r>
          </w:p>
        </w:tc>
        <w:tc>
          <w:tcPr>
            <w:tcW w:w="728" w:type="dxa"/>
          </w:tcPr>
          <w:p w14:paraId="42C69E3B" w14:textId="494F7FE5" w:rsidR="0037641A" w:rsidRPr="00A134BA" w:rsidRDefault="00A70660" w:rsidP="005501DB">
            <w:pPr>
              <w:pStyle w:val="NoSpacing"/>
              <w:rPr>
                <w:rFonts w:cstheme="minorHAnsi"/>
              </w:rPr>
            </w:pPr>
            <w:r w:rsidRPr="00A134BA">
              <w:rPr>
                <w:rFonts w:cstheme="minorHAnsi"/>
              </w:rPr>
              <w:t>.65</w:t>
            </w:r>
          </w:p>
        </w:tc>
        <w:tc>
          <w:tcPr>
            <w:tcW w:w="728" w:type="dxa"/>
          </w:tcPr>
          <w:p w14:paraId="58B12090" w14:textId="16B2FEA9" w:rsidR="0037641A" w:rsidRPr="00A134BA" w:rsidRDefault="002A24E8" w:rsidP="005501DB">
            <w:pPr>
              <w:pStyle w:val="NoSpacing"/>
              <w:rPr>
                <w:rFonts w:cstheme="minorHAnsi"/>
              </w:rPr>
            </w:pPr>
            <w:r w:rsidRPr="00A134BA">
              <w:rPr>
                <w:rFonts w:cstheme="minorHAnsi"/>
              </w:rPr>
              <w:t>0.9 (3)</w:t>
            </w:r>
          </w:p>
        </w:tc>
        <w:tc>
          <w:tcPr>
            <w:tcW w:w="728" w:type="dxa"/>
          </w:tcPr>
          <w:p w14:paraId="1E3B1A11" w14:textId="3B2F34A5" w:rsidR="0037641A" w:rsidRPr="00A134BA" w:rsidRDefault="002A24E8" w:rsidP="005501DB">
            <w:pPr>
              <w:pStyle w:val="NoSpacing"/>
              <w:rPr>
                <w:rFonts w:cstheme="minorHAnsi"/>
              </w:rPr>
            </w:pPr>
            <w:r w:rsidRPr="00A134BA">
              <w:rPr>
                <w:rFonts w:cstheme="minorHAnsi"/>
              </w:rPr>
              <w:t>.84</w:t>
            </w:r>
          </w:p>
        </w:tc>
        <w:tc>
          <w:tcPr>
            <w:tcW w:w="728" w:type="dxa"/>
          </w:tcPr>
          <w:p w14:paraId="5C63CB47" w14:textId="6771468F" w:rsidR="0037641A" w:rsidRPr="00A134BA" w:rsidRDefault="002A24E8" w:rsidP="005501DB">
            <w:pPr>
              <w:pStyle w:val="NoSpacing"/>
              <w:rPr>
                <w:rFonts w:cstheme="minorHAnsi"/>
              </w:rPr>
            </w:pPr>
            <w:r w:rsidRPr="00A134BA">
              <w:rPr>
                <w:rFonts w:cstheme="minorHAnsi"/>
              </w:rPr>
              <w:t>0.0 (1)</w:t>
            </w:r>
          </w:p>
        </w:tc>
        <w:tc>
          <w:tcPr>
            <w:tcW w:w="728" w:type="dxa"/>
          </w:tcPr>
          <w:p w14:paraId="7B7A391B" w14:textId="5BCB5ACA" w:rsidR="0037641A" w:rsidRPr="00A134BA" w:rsidRDefault="002A24E8" w:rsidP="005501DB">
            <w:pPr>
              <w:pStyle w:val="NoSpacing"/>
              <w:rPr>
                <w:rFonts w:cstheme="minorHAnsi"/>
              </w:rPr>
            </w:pPr>
            <w:r w:rsidRPr="00A134BA">
              <w:rPr>
                <w:rFonts w:cstheme="minorHAnsi"/>
              </w:rPr>
              <w:t>.88</w:t>
            </w:r>
          </w:p>
        </w:tc>
        <w:tc>
          <w:tcPr>
            <w:tcW w:w="728" w:type="dxa"/>
          </w:tcPr>
          <w:p w14:paraId="1AEDCA9B" w14:textId="531A09D5" w:rsidR="0037641A" w:rsidRPr="00A134BA" w:rsidRDefault="002A24E8" w:rsidP="005501DB">
            <w:pPr>
              <w:pStyle w:val="NoSpacing"/>
              <w:rPr>
                <w:rFonts w:cstheme="minorHAnsi"/>
              </w:rPr>
            </w:pPr>
            <w:r w:rsidRPr="00A134BA">
              <w:rPr>
                <w:rFonts w:cstheme="minorHAnsi"/>
              </w:rPr>
              <w:t>1.0 (3)</w:t>
            </w:r>
          </w:p>
        </w:tc>
        <w:tc>
          <w:tcPr>
            <w:tcW w:w="728" w:type="dxa"/>
          </w:tcPr>
          <w:p w14:paraId="2F825149" w14:textId="068F48B9" w:rsidR="0037641A" w:rsidRPr="00A134BA" w:rsidRDefault="002817F5" w:rsidP="005501DB">
            <w:pPr>
              <w:pStyle w:val="NoSpacing"/>
              <w:rPr>
                <w:rFonts w:cstheme="minorHAnsi"/>
              </w:rPr>
            </w:pPr>
            <w:r w:rsidRPr="00A134BA">
              <w:rPr>
                <w:rFonts w:cstheme="minorHAnsi"/>
              </w:rPr>
              <w:t>.79</w:t>
            </w:r>
          </w:p>
        </w:tc>
      </w:tr>
      <w:tr w:rsidR="005501DB" w:rsidRPr="00A134BA" w14:paraId="15FBABCB" w14:textId="77777777" w:rsidTr="00D05222">
        <w:tc>
          <w:tcPr>
            <w:tcW w:w="1343" w:type="dxa"/>
          </w:tcPr>
          <w:p w14:paraId="46235D06" w14:textId="24458648" w:rsidR="0037641A" w:rsidRPr="00A134BA" w:rsidRDefault="00D05222" w:rsidP="005501DB">
            <w:pPr>
              <w:pStyle w:val="NoSpacing"/>
              <w:rPr>
                <w:rFonts w:cstheme="minorHAnsi"/>
              </w:rPr>
            </w:pPr>
            <w:r w:rsidRPr="00A134BA">
              <w:rPr>
                <w:rFonts w:cstheme="minorHAnsi"/>
              </w:rPr>
              <w:t>I might want to have psychological</w:t>
            </w:r>
            <w:r w:rsidR="002817F5" w:rsidRPr="00A134BA">
              <w:rPr>
                <w:rFonts w:cstheme="minorHAnsi"/>
              </w:rPr>
              <w:t xml:space="preserve"> </w:t>
            </w:r>
            <w:r w:rsidRPr="00A134BA">
              <w:rPr>
                <w:rFonts w:cstheme="minorHAnsi"/>
              </w:rPr>
              <w:t>counseling in the future.</w:t>
            </w:r>
          </w:p>
        </w:tc>
        <w:tc>
          <w:tcPr>
            <w:tcW w:w="726" w:type="dxa"/>
          </w:tcPr>
          <w:p w14:paraId="55B49070" w14:textId="0FD0B820" w:rsidR="0037641A" w:rsidRPr="00A134BA" w:rsidRDefault="008D680B" w:rsidP="005501DB">
            <w:pPr>
              <w:pStyle w:val="NoSpacing"/>
              <w:rPr>
                <w:rFonts w:cstheme="minorHAnsi"/>
              </w:rPr>
            </w:pPr>
            <w:r w:rsidRPr="00A134BA">
              <w:rPr>
                <w:rFonts w:cstheme="minorHAnsi"/>
              </w:rPr>
              <w:t>0.3 (1)</w:t>
            </w:r>
          </w:p>
        </w:tc>
        <w:tc>
          <w:tcPr>
            <w:tcW w:w="726" w:type="dxa"/>
          </w:tcPr>
          <w:p w14:paraId="0B15E9B0" w14:textId="14236380" w:rsidR="0037641A" w:rsidRPr="00A134BA" w:rsidRDefault="008D680B" w:rsidP="005501DB">
            <w:pPr>
              <w:pStyle w:val="NoSpacing"/>
              <w:rPr>
                <w:rFonts w:cstheme="minorHAnsi"/>
              </w:rPr>
            </w:pPr>
            <w:r w:rsidRPr="00A134BA">
              <w:rPr>
                <w:rFonts w:cstheme="minorHAnsi"/>
              </w:rPr>
              <w:t>.56</w:t>
            </w:r>
          </w:p>
        </w:tc>
        <w:tc>
          <w:tcPr>
            <w:tcW w:w="726" w:type="dxa"/>
          </w:tcPr>
          <w:p w14:paraId="62B2C5F9" w14:textId="5128DC23" w:rsidR="0037641A" w:rsidRPr="00A134BA" w:rsidRDefault="008D680B" w:rsidP="005501DB">
            <w:pPr>
              <w:pStyle w:val="NoSpacing"/>
              <w:rPr>
                <w:rFonts w:cstheme="minorHAnsi"/>
              </w:rPr>
            </w:pPr>
            <w:r w:rsidRPr="00A134BA">
              <w:rPr>
                <w:rFonts w:cstheme="minorHAnsi"/>
              </w:rPr>
              <w:t>7.9 (3)</w:t>
            </w:r>
          </w:p>
        </w:tc>
        <w:tc>
          <w:tcPr>
            <w:tcW w:w="726" w:type="dxa"/>
          </w:tcPr>
          <w:p w14:paraId="7F61D4C5" w14:textId="2715E14B" w:rsidR="0037641A" w:rsidRPr="00A134BA" w:rsidRDefault="008D680B" w:rsidP="005501DB">
            <w:pPr>
              <w:pStyle w:val="NoSpacing"/>
              <w:rPr>
                <w:rFonts w:cstheme="minorHAnsi"/>
              </w:rPr>
            </w:pPr>
            <w:r w:rsidRPr="00A134BA">
              <w:rPr>
                <w:rFonts w:cstheme="minorHAnsi"/>
              </w:rPr>
              <w:t>.05</w:t>
            </w:r>
          </w:p>
        </w:tc>
        <w:tc>
          <w:tcPr>
            <w:tcW w:w="727" w:type="dxa"/>
          </w:tcPr>
          <w:p w14:paraId="672C784F" w14:textId="646356D4" w:rsidR="0037641A" w:rsidRPr="00A134BA" w:rsidRDefault="008D680B" w:rsidP="005501DB">
            <w:pPr>
              <w:pStyle w:val="NoSpacing"/>
              <w:rPr>
                <w:rFonts w:cstheme="minorHAnsi"/>
              </w:rPr>
            </w:pPr>
            <w:r w:rsidRPr="00A134BA">
              <w:rPr>
                <w:rFonts w:cstheme="minorHAnsi"/>
              </w:rPr>
              <w:t>0.9 (1)</w:t>
            </w:r>
          </w:p>
        </w:tc>
        <w:tc>
          <w:tcPr>
            <w:tcW w:w="728" w:type="dxa"/>
          </w:tcPr>
          <w:p w14:paraId="30105A86" w14:textId="285673D4" w:rsidR="0037641A" w:rsidRPr="00A134BA" w:rsidRDefault="008D680B" w:rsidP="005501DB">
            <w:pPr>
              <w:pStyle w:val="NoSpacing"/>
              <w:rPr>
                <w:rFonts w:cstheme="minorHAnsi"/>
              </w:rPr>
            </w:pPr>
            <w:r w:rsidRPr="00A134BA">
              <w:rPr>
                <w:rFonts w:cstheme="minorHAnsi"/>
              </w:rPr>
              <w:t>.34</w:t>
            </w:r>
          </w:p>
        </w:tc>
        <w:tc>
          <w:tcPr>
            <w:tcW w:w="728" w:type="dxa"/>
          </w:tcPr>
          <w:p w14:paraId="7E6D88C3" w14:textId="4F50AF35" w:rsidR="0037641A" w:rsidRPr="00A134BA" w:rsidRDefault="00D05222" w:rsidP="005501DB">
            <w:pPr>
              <w:pStyle w:val="NoSpacing"/>
              <w:rPr>
                <w:rFonts w:cstheme="minorHAnsi"/>
              </w:rPr>
            </w:pPr>
            <w:r w:rsidRPr="00A134BA">
              <w:rPr>
                <w:rFonts w:cstheme="minorHAnsi"/>
              </w:rPr>
              <w:t>3.5 (3)</w:t>
            </w:r>
          </w:p>
        </w:tc>
        <w:tc>
          <w:tcPr>
            <w:tcW w:w="728" w:type="dxa"/>
          </w:tcPr>
          <w:p w14:paraId="4B24A8FC" w14:textId="34532527" w:rsidR="0037641A" w:rsidRPr="00A134BA" w:rsidRDefault="00D05222" w:rsidP="005501DB">
            <w:pPr>
              <w:pStyle w:val="NoSpacing"/>
              <w:rPr>
                <w:rFonts w:cstheme="minorHAnsi"/>
              </w:rPr>
            </w:pPr>
            <w:r w:rsidRPr="00A134BA">
              <w:rPr>
                <w:rFonts w:cstheme="minorHAnsi"/>
              </w:rPr>
              <w:t>.33</w:t>
            </w:r>
          </w:p>
        </w:tc>
        <w:tc>
          <w:tcPr>
            <w:tcW w:w="728" w:type="dxa"/>
          </w:tcPr>
          <w:p w14:paraId="5873A708" w14:textId="52DA6B88" w:rsidR="0037641A" w:rsidRPr="00A134BA" w:rsidRDefault="00D05222" w:rsidP="005501DB">
            <w:pPr>
              <w:pStyle w:val="NoSpacing"/>
              <w:rPr>
                <w:rFonts w:cstheme="minorHAnsi"/>
              </w:rPr>
            </w:pPr>
            <w:r w:rsidRPr="00A134BA">
              <w:rPr>
                <w:rFonts w:cstheme="minorHAnsi"/>
              </w:rPr>
              <w:t>0.0 (1)</w:t>
            </w:r>
          </w:p>
        </w:tc>
        <w:tc>
          <w:tcPr>
            <w:tcW w:w="728" w:type="dxa"/>
          </w:tcPr>
          <w:p w14:paraId="67DBD5CA" w14:textId="7D936479" w:rsidR="0037641A" w:rsidRPr="00A134BA" w:rsidRDefault="00D05222" w:rsidP="005501DB">
            <w:pPr>
              <w:pStyle w:val="NoSpacing"/>
              <w:rPr>
                <w:rFonts w:cstheme="minorHAnsi"/>
              </w:rPr>
            </w:pPr>
            <w:r w:rsidRPr="00A134BA">
              <w:rPr>
                <w:rFonts w:cstheme="minorHAnsi"/>
              </w:rPr>
              <w:t>1.0</w:t>
            </w:r>
          </w:p>
        </w:tc>
        <w:tc>
          <w:tcPr>
            <w:tcW w:w="728" w:type="dxa"/>
          </w:tcPr>
          <w:p w14:paraId="77A59832" w14:textId="762F73B9" w:rsidR="0037641A" w:rsidRPr="00A134BA" w:rsidRDefault="00D05222" w:rsidP="005501DB">
            <w:pPr>
              <w:pStyle w:val="NoSpacing"/>
              <w:rPr>
                <w:rFonts w:cstheme="minorHAnsi"/>
              </w:rPr>
            </w:pPr>
            <w:r w:rsidRPr="00A134BA">
              <w:rPr>
                <w:rFonts w:cstheme="minorHAnsi"/>
              </w:rPr>
              <w:t>7.8 (3)</w:t>
            </w:r>
          </w:p>
        </w:tc>
        <w:tc>
          <w:tcPr>
            <w:tcW w:w="728" w:type="dxa"/>
          </w:tcPr>
          <w:p w14:paraId="26CCB2FF" w14:textId="6083FE85" w:rsidR="0037641A" w:rsidRPr="00A134BA" w:rsidRDefault="00D05222" w:rsidP="005501DB">
            <w:pPr>
              <w:pStyle w:val="NoSpacing"/>
              <w:rPr>
                <w:rFonts w:cstheme="minorHAnsi"/>
              </w:rPr>
            </w:pPr>
            <w:r w:rsidRPr="00A134BA">
              <w:rPr>
                <w:rFonts w:cstheme="minorHAnsi"/>
              </w:rPr>
              <w:t>.05</w:t>
            </w:r>
          </w:p>
        </w:tc>
      </w:tr>
      <w:tr w:rsidR="005501DB" w:rsidRPr="00A134BA" w14:paraId="4294AF4C" w14:textId="77777777" w:rsidTr="00D05222">
        <w:tc>
          <w:tcPr>
            <w:tcW w:w="1343" w:type="dxa"/>
          </w:tcPr>
          <w:p w14:paraId="2A3FD487" w14:textId="5BC35D4C" w:rsidR="0037641A" w:rsidRPr="00A134BA" w:rsidRDefault="00D05222" w:rsidP="005501DB">
            <w:pPr>
              <w:pStyle w:val="NoSpacing"/>
              <w:rPr>
                <w:rFonts w:cstheme="minorHAnsi"/>
              </w:rPr>
            </w:pPr>
            <w:r w:rsidRPr="00A134BA">
              <w:rPr>
                <w:rFonts w:cstheme="minorHAnsi"/>
              </w:rPr>
              <w:t>A person with an emotional</w:t>
            </w:r>
            <w:r w:rsidR="008D680B" w:rsidRPr="00A134BA">
              <w:rPr>
                <w:rFonts w:cstheme="minorHAnsi"/>
              </w:rPr>
              <w:t xml:space="preserve"> </w:t>
            </w:r>
            <w:r w:rsidRPr="00A134BA">
              <w:rPr>
                <w:rFonts w:cstheme="minorHAnsi"/>
              </w:rPr>
              <w:t>problem is not likely to solve it</w:t>
            </w:r>
            <w:r w:rsidR="002817F5" w:rsidRPr="00A134BA">
              <w:rPr>
                <w:rFonts w:cstheme="minorHAnsi"/>
              </w:rPr>
              <w:t xml:space="preserve"> </w:t>
            </w:r>
            <w:r w:rsidRPr="00A134BA">
              <w:rPr>
                <w:rFonts w:cstheme="minorHAnsi"/>
              </w:rPr>
              <w:t>alone; he or she is likely to solve</w:t>
            </w:r>
            <w:r w:rsidR="002817F5" w:rsidRPr="00A134BA">
              <w:rPr>
                <w:rFonts w:cstheme="minorHAnsi"/>
              </w:rPr>
              <w:t xml:space="preserve"> </w:t>
            </w:r>
            <w:r w:rsidRPr="00A134BA">
              <w:rPr>
                <w:rFonts w:cstheme="minorHAnsi"/>
              </w:rPr>
              <w:t>it with professional help.</w:t>
            </w:r>
          </w:p>
        </w:tc>
        <w:tc>
          <w:tcPr>
            <w:tcW w:w="726" w:type="dxa"/>
          </w:tcPr>
          <w:p w14:paraId="6DC8FE81" w14:textId="6DE0C1DC" w:rsidR="0037641A" w:rsidRPr="00A134BA" w:rsidRDefault="00D05222" w:rsidP="005501DB">
            <w:pPr>
              <w:pStyle w:val="NoSpacing"/>
              <w:rPr>
                <w:rFonts w:cstheme="minorHAnsi"/>
              </w:rPr>
            </w:pPr>
            <w:r w:rsidRPr="00A134BA">
              <w:rPr>
                <w:rFonts w:cstheme="minorHAnsi"/>
              </w:rPr>
              <w:t>*16.1 (1)</w:t>
            </w:r>
          </w:p>
        </w:tc>
        <w:tc>
          <w:tcPr>
            <w:tcW w:w="726" w:type="dxa"/>
          </w:tcPr>
          <w:p w14:paraId="52D8954C" w14:textId="72F01B2A" w:rsidR="0037641A" w:rsidRPr="00A134BA" w:rsidRDefault="00D05222" w:rsidP="005501DB">
            <w:pPr>
              <w:pStyle w:val="NoSpacing"/>
              <w:rPr>
                <w:rFonts w:cstheme="minorHAnsi"/>
              </w:rPr>
            </w:pPr>
            <w:r w:rsidRPr="00A134BA">
              <w:rPr>
                <w:rFonts w:cstheme="minorHAnsi"/>
              </w:rPr>
              <w:t>&lt;.01</w:t>
            </w:r>
          </w:p>
        </w:tc>
        <w:tc>
          <w:tcPr>
            <w:tcW w:w="726" w:type="dxa"/>
          </w:tcPr>
          <w:p w14:paraId="59E456F4" w14:textId="5DACD7F6" w:rsidR="0037641A" w:rsidRPr="00A134BA" w:rsidRDefault="00D05222" w:rsidP="005501DB">
            <w:pPr>
              <w:pStyle w:val="NoSpacing"/>
              <w:rPr>
                <w:rFonts w:cstheme="minorHAnsi"/>
              </w:rPr>
            </w:pPr>
            <w:r w:rsidRPr="00A134BA">
              <w:rPr>
                <w:rFonts w:cstheme="minorHAnsi"/>
              </w:rPr>
              <w:t>5.8 (3)</w:t>
            </w:r>
          </w:p>
        </w:tc>
        <w:tc>
          <w:tcPr>
            <w:tcW w:w="726" w:type="dxa"/>
          </w:tcPr>
          <w:p w14:paraId="27E8C062" w14:textId="764630D5" w:rsidR="0037641A" w:rsidRPr="00A134BA" w:rsidRDefault="00D05222" w:rsidP="005501DB">
            <w:pPr>
              <w:pStyle w:val="NoSpacing"/>
              <w:rPr>
                <w:rFonts w:cstheme="minorHAnsi"/>
              </w:rPr>
            </w:pPr>
            <w:r w:rsidRPr="00A134BA">
              <w:rPr>
                <w:rFonts w:cstheme="minorHAnsi"/>
              </w:rPr>
              <w:t>.12</w:t>
            </w:r>
          </w:p>
        </w:tc>
        <w:tc>
          <w:tcPr>
            <w:tcW w:w="727" w:type="dxa"/>
          </w:tcPr>
          <w:p w14:paraId="27293F1A" w14:textId="1E9A9EDC" w:rsidR="0037641A" w:rsidRPr="00A134BA" w:rsidRDefault="00D05222" w:rsidP="005501DB">
            <w:pPr>
              <w:pStyle w:val="NoSpacing"/>
              <w:rPr>
                <w:rFonts w:cstheme="minorHAnsi"/>
              </w:rPr>
            </w:pPr>
            <w:r w:rsidRPr="00A134BA">
              <w:rPr>
                <w:rFonts w:cstheme="minorHAnsi"/>
              </w:rPr>
              <w:t>*13.8 (1)</w:t>
            </w:r>
          </w:p>
        </w:tc>
        <w:tc>
          <w:tcPr>
            <w:tcW w:w="728" w:type="dxa"/>
          </w:tcPr>
          <w:p w14:paraId="74669791" w14:textId="095C8120" w:rsidR="0037641A" w:rsidRPr="00A134BA" w:rsidRDefault="00D05222" w:rsidP="005501DB">
            <w:pPr>
              <w:pStyle w:val="NoSpacing"/>
              <w:rPr>
                <w:rFonts w:cstheme="minorHAnsi"/>
              </w:rPr>
            </w:pPr>
            <w:r w:rsidRPr="00A134BA">
              <w:rPr>
                <w:rFonts w:cstheme="minorHAnsi"/>
              </w:rPr>
              <w:t>&lt;.01</w:t>
            </w:r>
          </w:p>
        </w:tc>
        <w:tc>
          <w:tcPr>
            <w:tcW w:w="728" w:type="dxa"/>
          </w:tcPr>
          <w:p w14:paraId="1ED18EB0" w14:textId="7EEF61E8" w:rsidR="0037641A" w:rsidRPr="00A134BA" w:rsidRDefault="00D05222" w:rsidP="005501DB">
            <w:pPr>
              <w:pStyle w:val="NoSpacing"/>
              <w:rPr>
                <w:rFonts w:cstheme="minorHAnsi"/>
              </w:rPr>
            </w:pPr>
            <w:r w:rsidRPr="00A134BA">
              <w:rPr>
                <w:rFonts w:cstheme="minorHAnsi"/>
              </w:rPr>
              <w:t>2.5 (3)</w:t>
            </w:r>
          </w:p>
        </w:tc>
        <w:tc>
          <w:tcPr>
            <w:tcW w:w="728" w:type="dxa"/>
          </w:tcPr>
          <w:p w14:paraId="685BB6E6" w14:textId="3D552B8B" w:rsidR="0037641A" w:rsidRPr="00A134BA" w:rsidRDefault="00D05222" w:rsidP="005501DB">
            <w:pPr>
              <w:pStyle w:val="NoSpacing"/>
              <w:rPr>
                <w:rFonts w:cstheme="minorHAnsi"/>
              </w:rPr>
            </w:pPr>
            <w:r w:rsidRPr="00A134BA">
              <w:rPr>
                <w:rFonts w:cstheme="minorHAnsi"/>
              </w:rPr>
              <w:t>.48</w:t>
            </w:r>
          </w:p>
        </w:tc>
        <w:tc>
          <w:tcPr>
            <w:tcW w:w="728" w:type="dxa"/>
          </w:tcPr>
          <w:p w14:paraId="218481E7" w14:textId="7A8D17E4" w:rsidR="0037641A" w:rsidRPr="00A134BA" w:rsidRDefault="00D05222" w:rsidP="005501DB">
            <w:pPr>
              <w:pStyle w:val="NoSpacing"/>
              <w:rPr>
                <w:rFonts w:cstheme="minorHAnsi"/>
              </w:rPr>
            </w:pPr>
            <w:r w:rsidRPr="00A134BA">
              <w:rPr>
                <w:rFonts w:cstheme="minorHAnsi"/>
              </w:rPr>
              <w:t>0.0 (1)</w:t>
            </w:r>
          </w:p>
        </w:tc>
        <w:tc>
          <w:tcPr>
            <w:tcW w:w="728" w:type="dxa"/>
          </w:tcPr>
          <w:p w14:paraId="7378476B" w14:textId="55300EFA" w:rsidR="0037641A" w:rsidRPr="00A134BA" w:rsidRDefault="00D05222" w:rsidP="005501DB">
            <w:pPr>
              <w:pStyle w:val="NoSpacing"/>
              <w:rPr>
                <w:rFonts w:cstheme="minorHAnsi"/>
              </w:rPr>
            </w:pPr>
            <w:r w:rsidRPr="00A134BA">
              <w:rPr>
                <w:rFonts w:cstheme="minorHAnsi"/>
              </w:rPr>
              <w:t>.86</w:t>
            </w:r>
          </w:p>
        </w:tc>
        <w:tc>
          <w:tcPr>
            <w:tcW w:w="728" w:type="dxa"/>
          </w:tcPr>
          <w:p w14:paraId="6858BF2B" w14:textId="01873C12" w:rsidR="0037641A" w:rsidRPr="00A134BA" w:rsidRDefault="00D05222" w:rsidP="005501DB">
            <w:pPr>
              <w:pStyle w:val="NoSpacing"/>
              <w:rPr>
                <w:rFonts w:cstheme="minorHAnsi"/>
              </w:rPr>
            </w:pPr>
            <w:r w:rsidRPr="00A134BA">
              <w:rPr>
                <w:rFonts w:cstheme="minorHAnsi"/>
              </w:rPr>
              <w:t>1.8 (3)</w:t>
            </w:r>
          </w:p>
        </w:tc>
        <w:tc>
          <w:tcPr>
            <w:tcW w:w="728" w:type="dxa"/>
          </w:tcPr>
          <w:p w14:paraId="2FAAB2A8" w14:textId="3B9217BB" w:rsidR="0037641A" w:rsidRPr="00A134BA" w:rsidRDefault="00D05222" w:rsidP="005501DB">
            <w:pPr>
              <w:pStyle w:val="NoSpacing"/>
              <w:rPr>
                <w:rFonts w:cstheme="minorHAnsi"/>
              </w:rPr>
            </w:pPr>
            <w:r w:rsidRPr="00A134BA">
              <w:rPr>
                <w:rFonts w:cstheme="minorHAnsi"/>
              </w:rPr>
              <w:t>.61</w:t>
            </w:r>
          </w:p>
        </w:tc>
      </w:tr>
    </w:tbl>
    <w:p w14:paraId="500BFC75" w14:textId="77777777" w:rsidR="00A134BA" w:rsidRDefault="00A134BA" w:rsidP="00055C42">
      <w:pPr>
        <w:sectPr w:rsidR="00A134BA" w:rsidSect="00D05222">
          <w:pgSz w:w="15840" w:h="12240" w:orient="landscape"/>
          <w:pgMar w:top="1080" w:right="1080" w:bottom="1080" w:left="1080" w:header="720" w:footer="720" w:gutter="0"/>
          <w:cols w:space="720"/>
          <w:docGrid w:linePitch="360"/>
        </w:sectPr>
      </w:pPr>
    </w:p>
    <w:p w14:paraId="7C4766D5" w14:textId="47150ED0" w:rsidR="00055C42" w:rsidRPr="00055C42" w:rsidRDefault="00055C42" w:rsidP="00055C42"/>
    <w:p w14:paraId="083B0BBF" w14:textId="7CD303CA" w:rsidR="00055C42" w:rsidRPr="00055C42" w:rsidRDefault="00055C42" w:rsidP="00A134BA">
      <w:pPr>
        <w:spacing w:after="0"/>
      </w:pPr>
      <w:r w:rsidRPr="00055C42">
        <w:rPr>
          <w:noProof/>
        </w:rPr>
        <w:drawing>
          <wp:inline distT="0" distB="0" distL="0" distR="0" wp14:anchorId="17BE4C04" wp14:editId="7DC029AE">
            <wp:extent cx="2743200" cy="3438144"/>
            <wp:effectExtent l="0" t="0" r="0" b="0"/>
            <wp:docPr id="7" name="Picture 7"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438144"/>
                    </a:xfrm>
                    <a:prstGeom prst="rect">
                      <a:avLst/>
                    </a:prstGeom>
                    <a:noFill/>
                    <a:ln>
                      <a:noFill/>
                    </a:ln>
                  </pic:spPr>
                </pic:pic>
              </a:graphicData>
            </a:graphic>
          </wp:inline>
        </w:drawing>
      </w:r>
    </w:p>
    <w:p w14:paraId="5C3E542F" w14:textId="77777777" w:rsidR="00055C42" w:rsidRPr="00055C42" w:rsidRDefault="00055C42" w:rsidP="00A134BA">
      <w:pPr>
        <w:spacing w:after="0"/>
      </w:pPr>
      <w:r w:rsidRPr="00055C42">
        <w:rPr>
          <w:b/>
          <w:bCs/>
        </w:rPr>
        <w:t>Figure 1.</w:t>
      </w:r>
      <w:r w:rsidRPr="00055C42">
        <w:t> Upper panel: Expected score plot (item response function) for an item with language-based (upper panel) and nativity-based (lower panel) DIF.</w:t>
      </w:r>
    </w:p>
    <w:p w14:paraId="5E3078F2" w14:textId="77777777" w:rsidR="00055C42" w:rsidRPr="00055C42" w:rsidRDefault="00055C42" w:rsidP="00A134BA">
      <w:pPr>
        <w:spacing w:after="0"/>
      </w:pPr>
      <w:r w:rsidRPr="00055C42">
        <w:rPr>
          <w:i/>
          <w:iCs/>
        </w:rPr>
        <w:t>Note</w:t>
      </w:r>
      <w:r w:rsidRPr="00055C42">
        <w:t>. DIF = differential item functioning.</w:t>
      </w:r>
    </w:p>
    <w:p w14:paraId="31941011" w14:textId="77777777" w:rsidR="00A134BA" w:rsidRDefault="00A134BA" w:rsidP="00055C42"/>
    <w:p w14:paraId="049CCF02" w14:textId="58411A0C" w:rsidR="00055C42" w:rsidRPr="00055C42" w:rsidRDefault="00055C42" w:rsidP="00055C42">
      <w:r w:rsidRPr="00055C42">
        <w:t xml:space="preserve">This item also exhibited significant </w:t>
      </w:r>
      <w:proofErr w:type="gramStart"/>
      <w:r w:rsidRPr="00055C42">
        <w:t>nativity-based</w:t>
      </w:r>
      <w:proofErr w:type="gramEnd"/>
      <w:r w:rsidRPr="00055C42">
        <w:t xml:space="preserve"> DIF in its discrimination parameter, χ</w:t>
      </w:r>
      <w:r w:rsidRPr="00055C42">
        <w:rPr>
          <w:vertAlign w:val="superscript"/>
        </w:rPr>
        <w:t>2</w:t>
      </w:r>
      <w:r w:rsidRPr="00055C42">
        <w:t> (1) = 13.8, </w:t>
      </w:r>
      <w:r w:rsidRPr="00055C42">
        <w:rPr>
          <w:i/>
          <w:iCs/>
        </w:rPr>
        <w:t>p</w:t>
      </w:r>
      <w:r w:rsidRPr="00055C42">
        <w:t> &lt; .001, such that the item is better able to measure individual differences for those born in the United States (</w:t>
      </w:r>
      <w:r w:rsidRPr="00055C42">
        <w:rPr>
          <w:i/>
          <w:iCs/>
        </w:rPr>
        <w:t>a</w:t>
      </w:r>
      <w:r w:rsidRPr="00055C42">
        <w:t> = 2.24) than those who are foreign-born (</w:t>
      </w:r>
      <w:r w:rsidRPr="00055C42">
        <w:rPr>
          <w:i/>
          <w:iCs/>
        </w:rPr>
        <w:t>a</w:t>
      </w:r>
      <w:r w:rsidRPr="00055C42">
        <w:t> = 0.91). The magnitude of the DIF is more easily observed in the lower panel of </w:t>
      </w:r>
      <w:r w:rsidRPr="006A29B3">
        <w:t>Figure 1</w:t>
      </w:r>
      <w:r w:rsidRPr="00055C42">
        <w:t xml:space="preserve">; US-born respondents are shown with the solid black line, and foreign-born respondents are shown with the dashed blue line. </w:t>
      </w:r>
      <w:proofErr w:type="gramStart"/>
      <w:r w:rsidRPr="00055C42">
        <w:t>Similar to</w:t>
      </w:r>
      <w:proofErr w:type="gramEnd"/>
      <w:r w:rsidRPr="00055C42">
        <w:t xml:space="preserve"> what was observed when comparing the item between languages, the relationship between Openness to Seeking Treatment and the expected response is noticeably weaker for foreign-born individuals that U.S.-born individuals. Furthermore, for those who are below average on Openness to Seeking Treatment, foreign-born individuals are more likely to endorse agreement with the item than U.S.-born individuals; for those who are at or above average, the reverse holds. The magnitude of the DIF for this item is also well above the suggested cutoff for practical significance, with an NCDIF of 0.16. No items on the Openness to Seeking Treatment scale exhibited significant </w:t>
      </w:r>
      <w:proofErr w:type="gramStart"/>
      <w:r w:rsidRPr="00055C42">
        <w:t>gender-based</w:t>
      </w:r>
      <w:proofErr w:type="gramEnd"/>
      <w:r w:rsidRPr="00055C42">
        <w:t xml:space="preserve"> DIF (</w:t>
      </w:r>
      <w:r w:rsidRPr="006A29B3">
        <w:t>Table 4</w:t>
      </w:r>
      <w:r w:rsidRPr="00055C42">
        <w:t>). This suggests that the discrimination and threshold parameters can be considered equivalent for men and women. None of the items on the Openness scale exhibited significant uniform DIF.</w:t>
      </w:r>
    </w:p>
    <w:p w14:paraId="0EBE3335" w14:textId="77777777" w:rsidR="00055C42" w:rsidRPr="00055C42" w:rsidRDefault="00055C42" w:rsidP="00292067">
      <w:pPr>
        <w:pStyle w:val="Heading2"/>
      </w:pPr>
      <w:r w:rsidRPr="00055C42">
        <w:t>Value and Need in Seeking Treatment</w:t>
      </w:r>
    </w:p>
    <w:p w14:paraId="31BF2390" w14:textId="77777777" w:rsidR="00055C42" w:rsidRPr="00292067" w:rsidRDefault="00055C42" w:rsidP="00292067">
      <w:pPr>
        <w:pStyle w:val="Heading3"/>
        <w:rPr>
          <w:i/>
          <w:iCs/>
        </w:rPr>
      </w:pPr>
      <w:r w:rsidRPr="00292067">
        <w:rPr>
          <w:i/>
          <w:iCs/>
        </w:rPr>
        <w:t>Differential Item Functioning</w:t>
      </w:r>
    </w:p>
    <w:p w14:paraId="0CC424B5" w14:textId="62E1CA9B" w:rsidR="00055C42" w:rsidRPr="00055C42" w:rsidRDefault="00055C42" w:rsidP="00055C42">
      <w:r w:rsidRPr="00055C42">
        <w:t>None of the items on the Value and Need in Seeking Treatment scale exhibited significant uniform of nonuniform DIF in comparing across language, nativity, and gender (</w:t>
      </w:r>
      <w:r w:rsidRPr="006A29B3">
        <w:t>Table 5</w:t>
      </w:r>
      <w:r w:rsidRPr="00055C42">
        <w:t>). Thus, the item parameters and response functions can be viewed as equivalent across all subgroups and no revisions are necessary.</w:t>
      </w:r>
    </w:p>
    <w:p w14:paraId="5C4FADC6" w14:textId="77777777" w:rsidR="009419C0" w:rsidRDefault="009419C0" w:rsidP="00055C42">
      <w:pPr>
        <w:rPr>
          <w:b/>
          <w:bCs/>
        </w:rPr>
        <w:sectPr w:rsidR="009419C0" w:rsidSect="00A134BA">
          <w:pgSz w:w="12240" w:h="15840"/>
          <w:pgMar w:top="1080" w:right="1080" w:bottom="1080" w:left="1080" w:header="720" w:footer="720" w:gutter="0"/>
          <w:cols w:space="720"/>
          <w:docGrid w:linePitch="360"/>
        </w:sectPr>
      </w:pPr>
    </w:p>
    <w:p w14:paraId="47F0D821" w14:textId="77777777" w:rsidR="00055C42" w:rsidRPr="00055C42" w:rsidRDefault="00055C42" w:rsidP="00055C42">
      <w:r w:rsidRPr="00055C42">
        <w:rPr>
          <w:b/>
          <w:bCs/>
        </w:rPr>
        <w:t>Table 5.</w:t>
      </w:r>
      <w:r w:rsidRPr="00055C42">
        <w:t> Discrimination (Nonuniform) and Threshold (Uniform) Differential Item Functioning Statistics for the Value and Need in Seeking Treatment Scale.</w:t>
      </w:r>
    </w:p>
    <w:tbl>
      <w:tblPr>
        <w:tblStyle w:val="TableGrid"/>
        <w:tblW w:w="0" w:type="auto"/>
        <w:tblLook w:val="04A0" w:firstRow="1" w:lastRow="0" w:firstColumn="1" w:lastColumn="0" w:noHBand="0" w:noVBand="1"/>
      </w:tblPr>
      <w:tblGrid>
        <w:gridCol w:w="2594"/>
        <w:gridCol w:w="1542"/>
        <w:gridCol w:w="495"/>
        <w:gridCol w:w="1109"/>
        <w:gridCol w:w="495"/>
        <w:gridCol w:w="1599"/>
        <w:gridCol w:w="495"/>
        <w:gridCol w:w="1109"/>
        <w:gridCol w:w="495"/>
        <w:gridCol w:w="1526"/>
        <w:gridCol w:w="607"/>
        <w:gridCol w:w="1109"/>
        <w:gridCol w:w="495"/>
      </w:tblGrid>
      <w:tr w:rsidR="009419C0" w:rsidRPr="009419C0" w14:paraId="315C1B77" w14:textId="77777777" w:rsidTr="009419C0">
        <w:tc>
          <w:tcPr>
            <w:tcW w:w="0" w:type="auto"/>
          </w:tcPr>
          <w:p w14:paraId="41F6853B" w14:textId="77777777" w:rsidR="008E1C4D" w:rsidRPr="009419C0" w:rsidRDefault="008E1C4D" w:rsidP="00055C42">
            <w:pPr>
              <w:rPr>
                <w:rFonts w:cstheme="minorHAnsi"/>
              </w:rPr>
            </w:pPr>
          </w:p>
        </w:tc>
        <w:tc>
          <w:tcPr>
            <w:tcW w:w="0" w:type="auto"/>
          </w:tcPr>
          <w:p w14:paraId="2961F1B7" w14:textId="08E4B64E" w:rsidR="008E1C4D" w:rsidRPr="009419C0" w:rsidRDefault="00591FFB" w:rsidP="00055C42">
            <w:pPr>
              <w:rPr>
                <w:rFonts w:cstheme="minorHAnsi"/>
              </w:rPr>
            </w:pPr>
            <w:r w:rsidRPr="009419C0">
              <w:rPr>
                <w:rFonts w:cstheme="minorHAnsi"/>
              </w:rPr>
              <w:t>English vs. Spanish</w:t>
            </w:r>
          </w:p>
        </w:tc>
        <w:tc>
          <w:tcPr>
            <w:tcW w:w="0" w:type="auto"/>
          </w:tcPr>
          <w:p w14:paraId="2D82C5AF" w14:textId="77777777" w:rsidR="008E1C4D" w:rsidRPr="009419C0" w:rsidRDefault="008E1C4D" w:rsidP="00055C42">
            <w:pPr>
              <w:rPr>
                <w:rFonts w:cstheme="minorHAnsi"/>
              </w:rPr>
            </w:pPr>
          </w:p>
        </w:tc>
        <w:tc>
          <w:tcPr>
            <w:tcW w:w="0" w:type="auto"/>
          </w:tcPr>
          <w:p w14:paraId="0CE69A00" w14:textId="77777777" w:rsidR="008E1C4D" w:rsidRPr="009419C0" w:rsidRDefault="008E1C4D" w:rsidP="00055C42">
            <w:pPr>
              <w:rPr>
                <w:rFonts w:cstheme="minorHAnsi"/>
              </w:rPr>
            </w:pPr>
          </w:p>
        </w:tc>
        <w:tc>
          <w:tcPr>
            <w:tcW w:w="0" w:type="auto"/>
          </w:tcPr>
          <w:p w14:paraId="05AEBA29" w14:textId="77777777" w:rsidR="008E1C4D" w:rsidRPr="009419C0" w:rsidRDefault="008E1C4D" w:rsidP="00055C42">
            <w:pPr>
              <w:rPr>
                <w:rFonts w:cstheme="minorHAnsi"/>
              </w:rPr>
            </w:pPr>
          </w:p>
        </w:tc>
        <w:tc>
          <w:tcPr>
            <w:tcW w:w="0" w:type="auto"/>
          </w:tcPr>
          <w:p w14:paraId="1B28674D" w14:textId="52311572" w:rsidR="008E1C4D" w:rsidRPr="009419C0" w:rsidRDefault="00803AB1" w:rsidP="00055C42">
            <w:pPr>
              <w:rPr>
                <w:rFonts w:cstheme="minorHAnsi"/>
              </w:rPr>
            </w:pPr>
            <w:r w:rsidRPr="009419C0">
              <w:rPr>
                <w:rFonts w:cstheme="minorHAnsi"/>
              </w:rPr>
              <w:t>U.S.-born vs. Foreign-born</w:t>
            </w:r>
          </w:p>
        </w:tc>
        <w:tc>
          <w:tcPr>
            <w:tcW w:w="0" w:type="auto"/>
          </w:tcPr>
          <w:p w14:paraId="780FB57C" w14:textId="77777777" w:rsidR="008E1C4D" w:rsidRPr="009419C0" w:rsidRDefault="008E1C4D" w:rsidP="00055C42">
            <w:pPr>
              <w:rPr>
                <w:rFonts w:cstheme="minorHAnsi"/>
              </w:rPr>
            </w:pPr>
          </w:p>
        </w:tc>
        <w:tc>
          <w:tcPr>
            <w:tcW w:w="0" w:type="auto"/>
          </w:tcPr>
          <w:p w14:paraId="0DB23EF3" w14:textId="77777777" w:rsidR="008E1C4D" w:rsidRPr="009419C0" w:rsidRDefault="008E1C4D" w:rsidP="00055C42">
            <w:pPr>
              <w:rPr>
                <w:rFonts w:cstheme="minorHAnsi"/>
              </w:rPr>
            </w:pPr>
          </w:p>
        </w:tc>
        <w:tc>
          <w:tcPr>
            <w:tcW w:w="0" w:type="auto"/>
          </w:tcPr>
          <w:p w14:paraId="0A25AF25" w14:textId="77777777" w:rsidR="008E1C4D" w:rsidRPr="009419C0" w:rsidRDefault="008E1C4D" w:rsidP="00055C42">
            <w:pPr>
              <w:rPr>
                <w:rFonts w:cstheme="minorHAnsi"/>
              </w:rPr>
            </w:pPr>
          </w:p>
        </w:tc>
        <w:tc>
          <w:tcPr>
            <w:tcW w:w="0" w:type="auto"/>
          </w:tcPr>
          <w:p w14:paraId="62BCE120" w14:textId="7B7F438F" w:rsidR="008E1C4D" w:rsidRPr="009419C0" w:rsidRDefault="009419C0" w:rsidP="00055C42">
            <w:pPr>
              <w:rPr>
                <w:rFonts w:cstheme="minorHAnsi"/>
              </w:rPr>
            </w:pPr>
            <w:r w:rsidRPr="009419C0">
              <w:rPr>
                <w:rFonts w:cstheme="minorHAnsi"/>
              </w:rPr>
              <w:t>Men vs. Women</w:t>
            </w:r>
          </w:p>
        </w:tc>
        <w:tc>
          <w:tcPr>
            <w:tcW w:w="0" w:type="auto"/>
          </w:tcPr>
          <w:p w14:paraId="03157BCB" w14:textId="77777777" w:rsidR="008E1C4D" w:rsidRPr="009419C0" w:rsidRDefault="008E1C4D" w:rsidP="00055C42">
            <w:pPr>
              <w:rPr>
                <w:rFonts w:cstheme="minorHAnsi"/>
              </w:rPr>
            </w:pPr>
          </w:p>
        </w:tc>
        <w:tc>
          <w:tcPr>
            <w:tcW w:w="0" w:type="auto"/>
          </w:tcPr>
          <w:p w14:paraId="6A3AD530" w14:textId="77777777" w:rsidR="008E1C4D" w:rsidRPr="009419C0" w:rsidRDefault="008E1C4D" w:rsidP="00055C42">
            <w:pPr>
              <w:rPr>
                <w:rFonts w:cstheme="minorHAnsi"/>
              </w:rPr>
            </w:pPr>
          </w:p>
        </w:tc>
        <w:tc>
          <w:tcPr>
            <w:tcW w:w="0" w:type="auto"/>
          </w:tcPr>
          <w:p w14:paraId="6E11865A" w14:textId="77777777" w:rsidR="008E1C4D" w:rsidRPr="009419C0" w:rsidRDefault="008E1C4D" w:rsidP="00055C42">
            <w:pPr>
              <w:rPr>
                <w:rFonts w:cstheme="minorHAnsi"/>
              </w:rPr>
            </w:pPr>
          </w:p>
        </w:tc>
      </w:tr>
      <w:tr w:rsidR="009419C0" w:rsidRPr="009419C0" w14:paraId="56E63190" w14:textId="77777777" w:rsidTr="009419C0">
        <w:tc>
          <w:tcPr>
            <w:tcW w:w="0" w:type="auto"/>
          </w:tcPr>
          <w:p w14:paraId="359665F2" w14:textId="77777777" w:rsidR="00803AB1" w:rsidRPr="009419C0" w:rsidRDefault="00803AB1" w:rsidP="00803AB1">
            <w:pPr>
              <w:rPr>
                <w:rFonts w:cstheme="minorHAnsi"/>
              </w:rPr>
            </w:pPr>
          </w:p>
        </w:tc>
        <w:tc>
          <w:tcPr>
            <w:tcW w:w="0" w:type="auto"/>
          </w:tcPr>
          <w:p w14:paraId="65D1B3DA" w14:textId="19F86E5F" w:rsidR="00803AB1" w:rsidRPr="009419C0" w:rsidRDefault="00803AB1" w:rsidP="00803AB1">
            <w:pPr>
              <w:rPr>
                <w:rFonts w:cstheme="minorHAnsi"/>
              </w:rPr>
            </w:pPr>
            <w:r w:rsidRPr="009419C0">
              <w:rPr>
                <w:rFonts w:cstheme="minorHAnsi"/>
              </w:rPr>
              <w:t>Discrimination</w:t>
            </w:r>
          </w:p>
        </w:tc>
        <w:tc>
          <w:tcPr>
            <w:tcW w:w="0" w:type="auto"/>
          </w:tcPr>
          <w:p w14:paraId="38EDA237" w14:textId="77777777" w:rsidR="00803AB1" w:rsidRPr="009419C0" w:rsidRDefault="00803AB1" w:rsidP="00803AB1">
            <w:pPr>
              <w:rPr>
                <w:rFonts w:cstheme="minorHAnsi"/>
              </w:rPr>
            </w:pPr>
          </w:p>
        </w:tc>
        <w:tc>
          <w:tcPr>
            <w:tcW w:w="0" w:type="auto"/>
          </w:tcPr>
          <w:p w14:paraId="0F74E0AA" w14:textId="62D06691" w:rsidR="00803AB1" w:rsidRPr="009419C0" w:rsidRDefault="00803AB1" w:rsidP="00803AB1">
            <w:pPr>
              <w:rPr>
                <w:rFonts w:cstheme="minorHAnsi"/>
              </w:rPr>
            </w:pPr>
            <w:r w:rsidRPr="009419C0">
              <w:rPr>
                <w:rFonts w:cstheme="minorHAnsi"/>
              </w:rPr>
              <w:t>Threshold</w:t>
            </w:r>
          </w:p>
        </w:tc>
        <w:tc>
          <w:tcPr>
            <w:tcW w:w="0" w:type="auto"/>
          </w:tcPr>
          <w:p w14:paraId="11DB9494" w14:textId="77777777" w:rsidR="00803AB1" w:rsidRPr="009419C0" w:rsidRDefault="00803AB1" w:rsidP="00803AB1">
            <w:pPr>
              <w:rPr>
                <w:rFonts w:cstheme="minorHAnsi"/>
              </w:rPr>
            </w:pPr>
          </w:p>
        </w:tc>
        <w:tc>
          <w:tcPr>
            <w:tcW w:w="0" w:type="auto"/>
          </w:tcPr>
          <w:p w14:paraId="2FDFBBCC" w14:textId="2259AFC3" w:rsidR="00803AB1" w:rsidRPr="009419C0" w:rsidRDefault="00803AB1" w:rsidP="00803AB1">
            <w:pPr>
              <w:rPr>
                <w:rFonts w:cstheme="minorHAnsi"/>
              </w:rPr>
            </w:pPr>
            <w:r w:rsidRPr="009419C0">
              <w:rPr>
                <w:rFonts w:cstheme="minorHAnsi"/>
              </w:rPr>
              <w:t>Discrimination</w:t>
            </w:r>
          </w:p>
        </w:tc>
        <w:tc>
          <w:tcPr>
            <w:tcW w:w="0" w:type="auto"/>
          </w:tcPr>
          <w:p w14:paraId="35344645" w14:textId="77777777" w:rsidR="00803AB1" w:rsidRPr="009419C0" w:rsidRDefault="00803AB1" w:rsidP="00803AB1">
            <w:pPr>
              <w:rPr>
                <w:rFonts w:cstheme="minorHAnsi"/>
              </w:rPr>
            </w:pPr>
          </w:p>
        </w:tc>
        <w:tc>
          <w:tcPr>
            <w:tcW w:w="0" w:type="auto"/>
          </w:tcPr>
          <w:p w14:paraId="317891A5" w14:textId="65B88CE0" w:rsidR="00803AB1" w:rsidRPr="009419C0" w:rsidRDefault="00803AB1" w:rsidP="00803AB1">
            <w:pPr>
              <w:rPr>
                <w:rFonts w:cstheme="minorHAnsi"/>
              </w:rPr>
            </w:pPr>
            <w:r w:rsidRPr="009419C0">
              <w:rPr>
                <w:rFonts w:cstheme="minorHAnsi"/>
              </w:rPr>
              <w:t>Threshold</w:t>
            </w:r>
          </w:p>
        </w:tc>
        <w:tc>
          <w:tcPr>
            <w:tcW w:w="0" w:type="auto"/>
          </w:tcPr>
          <w:p w14:paraId="797832D7" w14:textId="77777777" w:rsidR="00803AB1" w:rsidRPr="009419C0" w:rsidRDefault="00803AB1" w:rsidP="00803AB1">
            <w:pPr>
              <w:rPr>
                <w:rFonts w:cstheme="minorHAnsi"/>
              </w:rPr>
            </w:pPr>
          </w:p>
        </w:tc>
        <w:tc>
          <w:tcPr>
            <w:tcW w:w="0" w:type="auto"/>
          </w:tcPr>
          <w:p w14:paraId="13436263" w14:textId="740160B0" w:rsidR="00803AB1" w:rsidRPr="009419C0" w:rsidRDefault="00803AB1" w:rsidP="00803AB1">
            <w:pPr>
              <w:rPr>
                <w:rFonts w:cstheme="minorHAnsi"/>
              </w:rPr>
            </w:pPr>
            <w:r w:rsidRPr="009419C0">
              <w:rPr>
                <w:rFonts w:cstheme="minorHAnsi"/>
              </w:rPr>
              <w:t>Discrimination</w:t>
            </w:r>
          </w:p>
        </w:tc>
        <w:tc>
          <w:tcPr>
            <w:tcW w:w="0" w:type="auto"/>
          </w:tcPr>
          <w:p w14:paraId="1B22223F" w14:textId="77777777" w:rsidR="00803AB1" w:rsidRPr="009419C0" w:rsidRDefault="00803AB1" w:rsidP="00803AB1">
            <w:pPr>
              <w:rPr>
                <w:rFonts w:cstheme="minorHAnsi"/>
              </w:rPr>
            </w:pPr>
          </w:p>
        </w:tc>
        <w:tc>
          <w:tcPr>
            <w:tcW w:w="0" w:type="auto"/>
          </w:tcPr>
          <w:p w14:paraId="078879CC" w14:textId="73E72EAE" w:rsidR="00803AB1" w:rsidRPr="009419C0" w:rsidRDefault="00803AB1" w:rsidP="00803AB1">
            <w:pPr>
              <w:rPr>
                <w:rFonts w:cstheme="minorHAnsi"/>
              </w:rPr>
            </w:pPr>
            <w:r w:rsidRPr="009419C0">
              <w:rPr>
                <w:rFonts w:cstheme="minorHAnsi"/>
              </w:rPr>
              <w:t>Threshold</w:t>
            </w:r>
          </w:p>
        </w:tc>
        <w:tc>
          <w:tcPr>
            <w:tcW w:w="0" w:type="auto"/>
          </w:tcPr>
          <w:p w14:paraId="19B52F59" w14:textId="77777777" w:rsidR="00803AB1" w:rsidRPr="009419C0" w:rsidRDefault="00803AB1" w:rsidP="00803AB1">
            <w:pPr>
              <w:rPr>
                <w:rFonts w:cstheme="minorHAnsi"/>
              </w:rPr>
            </w:pPr>
          </w:p>
        </w:tc>
      </w:tr>
      <w:tr w:rsidR="009419C0" w:rsidRPr="009419C0" w14:paraId="0D93A6E2" w14:textId="77777777" w:rsidTr="009419C0">
        <w:tc>
          <w:tcPr>
            <w:tcW w:w="0" w:type="auto"/>
          </w:tcPr>
          <w:p w14:paraId="58083F0C" w14:textId="77777777" w:rsidR="006A7697" w:rsidRPr="009419C0" w:rsidRDefault="006A7697" w:rsidP="006A7697">
            <w:pPr>
              <w:rPr>
                <w:rFonts w:cstheme="minorHAnsi"/>
              </w:rPr>
            </w:pPr>
          </w:p>
        </w:tc>
        <w:tc>
          <w:tcPr>
            <w:tcW w:w="0" w:type="auto"/>
          </w:tcPr>
          <w:p w14:paraId="4F67921D" w14:textId="3AB42CCB"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535D4BCF" w14:textId="6FD92473" w:rsidR="006A7697" w:rsidRPr="009419C0" w:rsidRDefault="006A7697" w:rsidP="006A7697">
            <w:pPr>
              <w:rPr>
                <w:rFonts w:cstheme="minorHAnsi"/>
              </w:rPr>
            </w:pPr>
            <w:r w:rsidRPr="009419C0">
              <w:rPr>
                <w:rFonts w:cstheme="minorHAnsi"/>
                <w:i/>
                <w:iCs/>
              </w:rPr>
              <w:t>p</w:t>
            </w:r>
          </w:p>
        </w:tc>
        <w:tc>
          <w:tcPr>
            <w:tcW w:w="0" w:type="auto"/>
          </w:tcPr>
          <w:p w14:paraId="3D3225E8" w14:textId="286AB52E"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47E509BA" w14:textId="20B56015" w:rsidR="006A7697" w:rsidRPr="009419C0" w:rsidRDefault="006A7697" w:rsidP="006A7697">
            <w:pPr>
              <w:rPr>
                <w:rFonts w:cstheme="minorHAnsi"/>
              </w:rPr>
            </w:pPr>
            <w:r w:rsidRPr="009419C0">
              <w:rPr>
                <w:rFonts w:cstheme="minorHAnsi"/>
                <w:i/>
                <w:iCs/>
              </w:rPr>
              <w:t>p</w:t>
            </w:r>
          </w:p>
        </w:tc>
        <w:tc>
          <w:tcPr>
            <w:tcW w:w="0" w:type="auto"/>
          </w:tcPr>
          <w:p w14:paraId="38B2F33F" w14:textId="6933CC36"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442A8716" w14:textId="032E1182" w:rsidR="006A7697" w:rsidRPr="009419C0" w:rsidRDefault="006A7697" w:rsidP="006A7697">
            <w:pPr>
              <w:rPr>
                <w:rFonts w:cstheme="minorHAnsi"/>
              </w:rPr>
            </w:pPr>
            <w:r w:rsidRPr="009419C0">
              <w:rPr>
                <w:rFonts w:cstheme="minorHAnsi"/>
                <w:i/>
                <w:iCs/>
              </w:rPr>
              <w:t>p</w:t>
            </w:r>
          </w:p>
        </w:tc>
        <w:tc>
          <w:tcPr>
            <w:tcW w:w="0" w:type="auto"/>
          </w:tcPr>
          <w:p w14:paraId="2E8D309C" w14:textId="19624C32"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798E8D6F" w14:textId="6B11D4D5" w:rsidR="006A7697" w:rsidRPr="009419C0" w:rsidRDefault="006A7697" w:rsidP="006A7697">
            <w:pPr>
              <w:rPr>
                <w:rFonts w:cstheme="minorHAnsi"/>
              </w:rPr>
            </w:pPr>
            <w:r w:rsidRPr="009419C0">
              <w:rPr>
                <w:rFonts w:cstheme="minorHAnsi"/>
                <w:i/>
                <w:iCs/>
              </w:rPr>
              <w:t>p</w:t>
            </w:r>
          </w:p>
        </w:tc>
        <w:tc>
          <w:tcPr>
            <w:tcW w:w="0" w:type="auto"/>
          </w:tcPr>
          <w:p w14:paraId="6CD4E770" w14:textId="261EE8D7"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3EBFA74D" w14:textId="0AD74485" w:rsidR="006A7697" w:rsidRPr="009419C0" w:rsidRDefault="006A7697" w:rsidP="006A7697">
            <w:pPr>
              <w:rPr>
                <w:rFonts w:cstheme="minorHAnsi"/>
              </w:rPr>
            </w:pPr>
            <w:r w:rsidRPr="009419C0">
              <w:rPr>
                <w:rFonts w:cstheme="minorHAnsi"/>
                <w:i/>
                <w:iCs/>
              </w:rPr>
              <w:t>p</w:t>
            </w:r>
          </w:p>
        </w:tc>
        <w:tc>
          <w:tcPr>
            <w:tcW w:w="0" w:type="auto"/>
          </w:tcPr>
          <w:p w14:paraId="5982194D" w14:textId="7F6C4F92" w:rsidR="006A7697" w:rsidRPr="009419C0" w:rsidRDefault="006A7697" w:rsidP="006A7697">
            <w:pPr>
              <w:rPr>
                <w:rFonts w:cstheme="minorHAnsi"/>
              </w:rPr>
            </w:pPr>
            <w:r w:rsidRPr="009419C0">
              <w:rPr>
                <w:rFonts w:cstheme="minorHAnsi"/>
              </w:rPr>
              <w:t>χ2 (</w:t>
            </w:r>
            <w:r w:rsidRPr="009419C0">
              <w:rPr>
                <w:rFonts w:cstheme="minorHAnsi"/>
                <w:i/>
                <w:iCs/>
              </w:rPr>
              <w:t>df</w:t>
            </w:r>
            <w:r w:rsidRPr="009419C0">
              <w:rPr>
                <w:rFonts w:cstheme="minorHAnsi"/>
              </w:rPr>
              <w:t>)</w:t>
            </w:r>
          </w:p>
        </w:tc>
        <w:tc>
          <w:tcPr>
            <w:tcW w:w="0" w:type="auto"/>
          </w:tcPr>
          <w:p w14:paraId="6F118120" w14:textId="79358926" w:rsidR="006A7697" w:rsidRPr="009419C0" w:rsidRDefault="006A7697" w:rsidP="006A7697">
            <w:pPr>
              <w:rPr>
                <w:rFonts w:cstheme="minorHAnsi"/>
              </w:rPr>
            </w:pPr>
            <w:r w:rsidRPr="009419C0">
              <w:rPr>
                <w:rFonts w:cstheme="minorHAnsi"/>
                <w:i/>
                <w:iCs/>
              </w:rPr>
              <w:t>p</w:t>
            </w:r>
          </w:p>
        </w:tc>
      </w:tr>
      <w:tr w:rsidR="009419C0" w:rsidRPr="009419C0" w14:paraId="0399AD7D" w14:textId="77777777" w:rsidTr="009419C0">
        <w:tc>
          <w:tcPr>
            <w:tcW w:w="0" w:type="auto"/>
          </w:tcPr>
          <w:p w14:paraId="7475E21F" w14:textId="4A4168DE" w:rsidR="008E1C4D" w:rsidRPr="009419C0" w:rsidRDefault="008E1C4D" w:rsidP="008E1C4D">
            <w:pPr>
              <w:autoSpaceDE w:val="0"/>
              <w:autoSpaceDN w:val="0"/>
              <w:adjustRightInd w:val="0"/>
              <w:rPr>
                <w:rFonts w:cstheme="minorHAnsi"/>
              </w:rPr>
            </w:pPr>
            <w:r w:rsidRPr="009419C0">
              <w:rPr>
                <w:rFonts w:cstheme="minorHAnsi"/>
              </w:rPr>
              <w:t>The idea of talking about</w:t>
            </w:r>
            <w:r w:rsidRPr="009419C0">
              <w:rPr>
                <w:rFonts w:cstheme="minorHAnsi"/>
              </w:rPr>
              <w:t xml:space="preserve"> </w:t>
            </w:r>
            <w:r w:rsidRPr="009419C0">
              <w:rPr>
                <w:rFonts w:cstheme="minorHAnsi"/>
              </w:rPr>
              <w:t>problems with a psychologist</w:t>
            </w:r>
            <w:r w:rsidRPr="009419C0">
              <w:rPr>
                <w:rFonts w:cstheme="minorHAnsi"/>
              </w:rPr>
              <w:t xml:space="preserve"> </w:t>
            </w:r>
            <w:r w:rsidRPr="009419C0">
              <w:rPr>
                <w:rFonts w:cstheme="minorHAnsi"/>
              </w:rPr>
              <w:t>strikes me as a poor way to get</w:t>
            </w:r>
            <w:r w:rsidRPr="009419C0">
              <w:rPr>
                <w:rFonts w:cstheme="minorHAnsi"/>
              </w:rPr>
              <w:t xml:space="preserve"> </w:t>
            </w:r>
            <w:r w:rsidRPr="009419C0">
              <w:rPr>
                <w:rFonts w:cstheme="minorHAnsi"/>
              </w:rPr>
              <w:t>rid of emotional conflicts.</w:t>
            </w:r>
          </w:p>
        </w:tc>
        <w:tc>
          <w:tcPr>
            <w:tcW w:w="0" w:type="auto"/>
          </w:tcPr>
          <w:p w14:paraId="6970BE0A" w14:textId="0F1B46BA" w:rsidR="008E1C4D" w:rsidRPr="009419C0" w:rsidRDefault="008E1C4D" w:rsidP="00055C42">
            <w:pPr>
              <w:rPr>
                <w:rFonts w:cstheme="minorHAnsi"/>
              </w:rPr>
            </w:pPr>
            <w:r w:rsidRPr="009419C0">
              <w:rPr>
                <w:rFonts w:cstheme="minorHAnsi"/>
              </w:rPr>
              <w:t>0.8 (1)</w:t>
            </w:r>
          </w:p>
        </w:tc>
        <w:tc>
          <w:tcPr>
            <w:tcW w:w="0" w:type="auto"/>
          </w:tcPr>
          <w:p w14:paraId="25376C5D" w14:textId="1C1E5BE3" w:rsidR="008E1C4D" w:rsidRPr="009419C0" w:rsidRDefault="008E1C4D" w:rsidP="00055C42">
            <w:pPr>
              <w:rPr>
                <w:rFonts w:cstheme="minorHAnsi"/>
              </w:rPr>
            </w:pPr>
            <w:r w:rsidRPr="009419C0">
              <w:rPr>
                <w:rFonts w:cstheme="minorHAnsi"/>
              </w:rPr>
              <w:t>.38</w:t>
            </w:r>
          </w:p>
        </w:tc>
        <w:tc>
          <w:tcPr>
            <w:tcW w:w="0" w:type="auto"/>
          </w:tcPr>
          <w:p w14:paraId="5A44E062" w14:textId="0A155AEC" w:rsidR="008E1C4D" w:rsidRPr="009419C0" w:rsidRDefault="008E1C4D" w:rsidP="00055C42">
            <w:pPr>
              <w:rPr>
                <w:rFonts w:cstheme="minorHAnsi"/>
              </w:rPr>
            </w:pPr>
            <w:r w:rsidRPr="009419C0">
              <w:rPr>
                <w:rFonts w:cstheme="minorHAnsi"/>
              </w:rPr>
              <w:t>4.4 (3)</w:t>
            </w:r>
          </w:p>
        </w:tc>
        <w:tc>
          <w:tcPr>
            <w:tcW w:w="0" w:type="auto"/>
          </w:tcPr>
          <w:p w14:paraId="1F60FD13" w14:textId="6C4923FE" w:rsidR="008E1C4D" w:rsidRPr="009419C0" w:rsidRDefault="008E1C4D" w:rsidP="00055C42">
            <w:pPr>
              <w:rPr>
                <w:rFonts w:cstheme="minorHAnsi"/>
              </w:rPr>
            </w:pPr>
            <w:r w:rsidRPr="009419C0">
              <w:rPr>
                <w:rFonts w:cstheme="minorHAnsi"/>
              </w:rPr>
              <w:t>.23</w:t>
            </w:r>
          </w:p>
        </w:tc>
        <w:tc>
          <w:tcPr>
            <w:tcW w:w="0" w:type="auto"/>
          </w:tcPr>
          <w:p w14:paraId="66D983D6" w14:textId="2EB3E5B0" w:rsidR="008E1C4D" w:rsidRPr="009419C0" w:rsidRDefault="008E1C4D" w:rsidP="00055C42">
            <w:pPr>
              <w:rPr>
                <w:rFonts w:cstheme="minorHAnsi"/>
              </w:rPr>
            </w:pPr>
            <w:r w:rsidRPr="009419C0">
              <w:rPr>
                <w:rFonts w:cstheme="minorHAnsi"/>
              </w:rPr>
              <w:t>1.1 (1)</w:t>
            </w:r>
          </w:p>
        </w:tc>
        <w:tc>
          <w:tcPr>
            <w:tcW w:w="0" w:type="auto"/>
          </w:tcPr>
          <w:p w14:paraId="41A3A2F3" w14:textId="6B760886" w:rsidR="008E1C4D" w:rsidRPr="009419C0" w:rsidRDefault="008E1C4D" w:rsidP="00055C42">
            <w:pPr>
              <w:rPr>
                <w:rFonts w:cstheme="minorHAnsi"/>
              </w:rPr>
            </w:pPr>
            <w:r w:rsidRPr="009419C0">
              <w:rPr>
                <w:rFonts w:cstheme="minorHAnsi"/>
              </w:rPr>
              <w:t>.30</w:t>
            </w:r>
          </w:p>
        </w:tc>
        <w:tc>
          <w:tcPr>
            <w:tcW w:w="0" w:type="auto"/>
          </w:tcPr>
          <w:p w14:paraId="3DAF27EF" w14:textId="467B1A3E" w:rsidR="008E1C4D" w:rsidRPr="009419C0" w:rsidRDefault="008E1C4D" w:rsidP="00055C42">
            <w:pPr>
              <w:rPr>
                <w:rFonts w:cstheme="minorHAnsi"/>
              </w:rPr>
            </w:pPr>
            <w:r w:rsidRPr="009419C0">
              <w:rPr>
                <w:rFonts w:cstheme="minorHAnsi"/>
              </w:rPr>
              <w:t>3.4 (3)</w:t>
            </w:r>
          </w:p>
        </w:tc>
        <w:tc>
          <w:tcPr>
            <w:tcW w:w="0" w:type="auto"/>
          </w:tcPr>
          <w:p w14:paraId="039BC5A2" w14:textId="2F1A5FF8" w:rsidR="008E1C4D" w:rsidRPr="009419C0" w:rsidRDefault="008E1C4D" w:rsidP="00055C42">
            <w:pPr>
              <w:rPr>
                <w:rFonts w:cstheme="minorHAnsi"/>
              </w:rPr>
            </w:pPr>
            <w:r w:rsidRPr="009419C0">
              <w:rPr>
                <w:rFonts w:cstheme="minorHAnsi"/>
              </w:rPr>
              <w:t>.34</w:t>
            </w:r>
          </w:p>
        </w:tc>
        <w:tc>
          <w:tcPr>
            <w:tcW w:w="0" w:type="auto"/>
          </w:tcPr>
          <w:p w14:paraId="09F9881C" w14:textId="0FFA9507" w:rsidR="008E1C4D" w:rsidRPr="009419C0" w:rsidRDefault="008E1C4D" w:rsidP="00055C42">
            <w:pPr>
              <w:rPr>
                <w:rFonts w:cstheme="minorHAnsi"/>
              </w:rPr>
            </w:pPr>
            <w:r w:rsidRPr="009419C0">
              <w:rPr>
                <w:rFonts w:cstheme="minorHAnsi"/>
              </w:rPr>
              <w:t>0.1 (1)</w:t>
            </w:r>
          </w:p>
        </w:tc>
        <w:tc>
          <w:tcPr>
            <w:tcW w:w="0" w:type="auto"/>
          </w:tcPr>
          <w:p w14:paraId="44E74CC0" w14:textId="49B946F5" w:rsidR="008E1C4D" w:rsidRPr="009419C0" w:rsidRDefault="008E1C4D" w:rsidP="00055C42">
            <w:pPr>
              <w:rPr>
                <w:rFonts w:cstheme="minorHAnsi"/>
              </w:rPr>
            </w:pPr>
            <w:r w:rsidRPr="009419C0">
              <w:rPr>
                <w:rFonts w:cstheme="minorHAnsi"/>
              </w:rPr>
              <w:t>.80</w:t>
            </w:r>
          </w:p>
        </w:tc>
        <w:tc>
          <w:tcPr>
            <w:tcW w:w="0" w:type="auto"/>
          </w:tcPr>
          <w:p w14:paraId="78782C86" w14:textId="47E8D392" w:rsidR="008E1C4D" w:rsidRPr="009419C0" w:rsidRDefault="008E1C4D" w:rsidP="00055C42">
            <w:pPr>
              <w:rPr>
                <w:rFonts w:cstheme="minorHAnsi"/>
              </w:rPr>
            </w:pPr>
            <w:r w:rsidRPr="009419C0">
              <w:rPr>
                <w:rFonts w:cstheme="minorHAnsi"/>
              </w:rPr>
              <w:t>4.0 (3)</w:t>
            </w:r>
          </w:p>
        </w:tc>
        <w:tc>
          <w:tcPr>
            <w:tcW w:w="0" w:type="auto"/>
          </w:tcPr>
          <w:p w14:paraId="35511B86" w14:textId="476CDA92" w:rsidR="008E1C4D" w:rsidRPr="009419C0" w:rsidRDefault="008E1C4D" w:rsidP="00055C42">
            <w:pPr>
              <w:rPr>
                <w:rFonts w:cstheme="minorHAnsi"/>
              </w:rPr>
            </w:pPr>
            <w:r w:rsidRPr="009419C0">
              <w:rPr>
                <w:rFonts w:cstheme="minorHAnsi"/>
              </w:rPr>
              <w:t>.26</w:t>
            </w:r>
          </w:p>
        </w:tc>
      </w:tr>
      <w:tr w:rsidR="009419C0" w:rsidRPr="009419C0" w14:paraId="65D1EB95" w14:textId="77777777" w:rsidTr="009419C0">
        <w:tc>
          <w:tcPr>
            <w:tcW w:w="0" w:type="auto"/>
          </w:tcPr>
          <w:p w14:paraId="39A144AA" w14:textId="70935F81" w:rsidR="008E1C4D" w:rsidRPr="009419C0" w:rsidRDefault="00585411" w:rsidP="00585411">
            <w:pPr>
              <w:autoSpaceDE w:val="0"/>
              <w:autoSpaceDN w:val="0"/>
              <w:adjustRightInd w:val="0"/>
              <w:rPr>
                <w:rFonts w:cstheme="minorHAnsi"/>
              </w:rPr>
            </w:pPr>
            <w:r w:rsidRPr="009419C0">
              <w:rPr>
                <w:rFonts w:cstheme="minorHAnsi"/>
              </w:rPr>
              <w:t>There is something admirable in</w:t>
            </w:r>
            <w:r w:rsidRPr="009419C0">
              <w:rPr>
                <w:rFonts w:cstheme="minorHAnsi"/>
              </w:rPr>
              <w:t xml:space="preserve"> </w:t>
            </w:r>
            <w:r w:rsidRPr="009419C0">
              <w:rPr>
                <w:rFonts w:cstheme="minorHAnsi"/>
              </w:rPr>
              <w:t>the attitude of a person who</w:t>
            </w:r>
            <w:r w:rsidRPr="009419C0">
              <w:rPr>
                <w:rFonts w:cstheme="minorHAnsi"/>
              </w:rPr>
              <w:t xml:space="preserve"> </w:t>
            </w:r>
            <w:r w:rsidRPr="009419C0">
              <w:rPr>
                <w:rFonts w:cstheme="minorHAnsi"/>
              </w:rPr>
              <w:t>is willing to cope with his or</w:t>
            </w:r>
            <w:r w:rsidRPr="009419C0">
              <w:rPr>
                <w:rFonts w:cstheme="minorHAnsi"/>
              </w:rPr>
              <w:t xml:space="preserve"> </w:t>
            </w:r>
            <w:r w:rsidRPr="009419C0">
              <w:rPr>
                <w:rFonts w:cstheme="minorHAnsi"/>
              </w:rPr>
              <w:t>her conflicts and fears without</w:t>
            </w:r>
            <w:r w:rsidRPr="009419C0">
              <w:rPr>
                <w:rFonts w:cstheme="minorHAnsi"/>
              </w:rPr>
              <w:t xml:space="preserve"> </w:t>
            </w:r>
            <w:r w:rsidRPr="009419C0">
              <w:rPr>
                <w:rFonts w:cstheme="minorHAnsi"/>
              </w:rPr>
              <w:t>resorting to professional help.</w:t>
            </w:r>
          </w:p>
        </w:tc>
        <w:tc>
          <w:tcPr>
            <w:tcW w:w="0" w:type="auto"/>
          </w:tcPr>
          <w:p w14:paraId="7AD406B2" w14:textId="0FB9234F" w:rsidR="008E1C4D" w:rsidRPr="009419C0" w:rsidRDefault="00585411" w:rsidP="00055C42">
            <w:pPr>
              <w:rPr>
                <w:rFonts w:cstheme="minorHAnsi"/>
              </w:rPr>
            </w:pPr>
            <w:r w:rsidRPr="009419C0">
              <w:rPr>
                <w:rFonts w:cstheme="minorHAnsi"/>
              </w:rPr>
              <w:t>1.4 (1)</w:t>
            </w:r>
          </w:p>
        </w:tc>
        <w:tc>
          <w:tcPr>
            <w:tcW w:w="0" w:type="auto"/>
          </w:tcPr>
          <w:p w14:paraId="3311CBCF" w14:textId="19D9AF76" w:rsidR="008E1C4D" w:rsidRPr="009419C0" w:rsidRDefault="00585411" w:rsidP="00055C42">
            <w:pPr>
              <w:rPr>
                <w:rFonts w:cstheme="minorHAnsi"/>
              </w:rPr>
            </w:pPr>
            <w:r w:rsidRPr="009419C0">
              <w:rPr>
                <w:rFonts w:cstheme="minorHAnsi"/>
              </w:rPr>
              <w:t>.24</w:t>
            </w:r>
          </w:p>
        </w:tc>
        <w:tc>
          <w:tcPr>
            <w:tcW w:w="0" w:type="auto"/>
          </w:tcPr>
          <w:p w14:paraId="4CC48277" w14:textId="799959FA" w:rsidR="008E1C4D" w:rsidRPr="009419C0" w:rsidRDefault="00585411" w:rsidP="00055C42">
            <w:pPr>
              <w:rPr>
                <w:rFonts w:cstheme="minorHAnsi"/>
              </w:rPr>
            </w:pPr>
            <w:r w:rsidRPr="009419C0">
              <w:rPr>
                <w:rFonts w:cstheme="minorHAnsi"/>
              </w:rPr>
              <w:t>2.2 (3)</w:t>
            </w:r>
          </w:p>
        </w:tc>
        <w:tc>
          <w:tcPr>
            <w:tcW w:w="0" w:type="auto"/>
          </w:tcPr>
          <w:p w14:paraId="29CDE6E6" w14:textId="64932891" w:rsidR="008E1C4D" w:rsidRPr="009419C0" w:rsidRDefault="00585411" w:rsidP="00055C42">
            <w:pPr>
              <w:rPr>
                <w:rFonts w:cstheme="minorHAnsi"/>
              </w:rPr>
            </w:pPr>
            <w:r w:rsidRPr="009419C0">
              <w:rPr>
                <w:rFonts w:cstheme="minorHAnsi"/>
              </w:rPr>
              <w:t>.54</w:t>
            </w:r>
          </w:p>
        </w:tc>
        <w:tc>
          <w:tcPr>
            <w:tcW w:w="0" w:type="auto"/>
          </w:tcPr>
          <w:p w14:paraId="5B1FCCF6" w14:textId="409F99E9" w:rsidR="008E1C4D" w:rsidRPr="009419C0" w:rsidRDefault="00585411" w:rsidP="00055C42">
            <w:pPr>
              <w:rPr>
                <w:rFonts w:cstheme="minorHAnsi"/>
              </w:rPr>
            </w:pPr>
            <w:r w:rsidRPr="009419C0">
              <w:rPr>
                <w:rFonts w:cstheme="minorHAnsi"/>
              </w:rPr>
              <w:t>5.0 (1)</w:t>
            </w:r>
          </w:p>
        </w:tc>
        <w:tc>
          <w:tcPr>
            <w:tcW w:w="0" w:type="auto"/>
          </w:tcPr>
          <w:p w14:paraId="6E06D72D" w14:textId="6058FB9D" w:rsidR="008E1C4D" w:rsidRPr="009419C0" w:rsidRDefault="00585411" w:rsidP="00055C42">
            <w:pPr>
              <w:rPr>
                <w:rFonts w:cstheme="minorHAnsi"/>
              </w:rPr>
            </w:pPr>
            <w:r w:rsidRPr="009419C0">
              <w:rPr>
                <w:rFonts w:cstheme="minorHAnsi"/>
              </w:rPr>
              <w:t>.03</w:t>
            </w:r>
          </w:p>
        </w:tc>
        <w:tc>
          <w:tcPr>
            <w:tcW w:w="0" w:type="auto"/>
          </w:tcPr>
          <w:p w14:paraId="1779C313" w14:textId="52CEE45B" w:rsidR="008E1C4D" w:rsidRPr="009419C0" w:rsidRDefault="00585411" w:rsidP="00055C42">
            <w:pPr>
              <w:rPr>
                <w:rFonts w:cstheme="minorHAnsi"/>
              </w:rPr>
            </w:pPr>
            <w:r w:rsidRPr="009419C0">
              <w:rPr>
                <w:rFonts w:cstheme="minorHAnsi"/>
              </w:rPr>
              <w:t>0.4 (3)</w:t>
            </w:r>
          </w:p>
        </w:tc>
        <w:tc>
          <w:tcPr>
            <w:tcW w:w="0" w:type="auto"/>
          </w:tcPr>
          <w:p w14:paraId="353D6EC5" w14:textId="2F42D49C" w:rsidR="008E1C4D" w:rsidRPr="009419C0" w:rsidRDefault="00585411" w:rsidP="00055C42">
            <w:pPr>
              <w:rPr>
                <w:rFonts w:cstheme="minorHAnsi"/>
              </w:rPr>
            </w:pPr>
            <w:r w:rsidRPr="009419C0">
              <w:rPr>
                <w:rFonts w:cstheme="minorHAnsi"/>
              </w:rPr>
              <w:t>.94</w:t>
            </w:r>
          </w:p>
        </w:tc>
        <w:tc>
          <w:tcPr>
            <w:tcW w:w="0" w:type="auto"/>
          </w:tcPr>
          <w:p w14:paraId="10CF3E41" w14:textId="6C1950E9" w:rsidR="008E1C4D" w:rsidRPr="009419C0" w:rsidRDefault="00585411" w:rsidP="00055C42">
            <w:pPr>
              <w:rPr>
                <w:rFonts w:cstheme="minorHAnsi"/>
              </w:rPr>
            </w:pPr>
            <w:r w:rsidRPr="009419C0">
              <w:rPr>
                <w:rFonts w:cstheme="minorHAnsi"/>
              </w:rPr>
              <w:t>0.9 (1)</w:t>
            </w:r>
          </w:p>
        </w:tc>
        <w:tc>
          <w:tcPr>
            <w:tcW w:w="0" w:type="auto"/>
          </w:tcPr>
          <w:p w14:paraId="79941069" w14:textId="58F235E6" w:rsidR="008E1C4D" w:rsidRPr="009419C0" w:rsidRDefault="00585411" w:rsidP="00055C42">
            <w:pPr>
              <w:rPr>
                <w:rFonts w:cstheme="minorHAnsi"/>
              </w:rPr>
            </w:pPr>
            <w:r w:rsidRPr="009419C0">
              <w:rPr>
                <w:rFonts w:cstheme="minorHAnsi"/>
              </w:rPr>
              <w:t>.33</w:t>
            </w:r>
          </w:p>
        </w:tc>
        <w:tc>
          <w:tcPr>
            <w:tcW w:w="0" w:type="auto"/>
          </w:tcPr>
          <w:p w14:paraId="40469351" w14:textId="3A6AF2CB" w:rsidR="008E1C4D" w:rsidRPr="009419C0" w:rsidRDefault="00585411" w:rsidP="00055C42">
            <w:pPr>
              <w:rPr>
                <w:rFonts w:cstheme="minorHAnsi"/>
              </w:rPr>
            </w:pPr>
            <w:r w:rsidRPr="009419C0">
              <w:rPr>
                <w:rFonts w:cstheme="minorHAnsi"/>
              </w:rPr>
              <w:t>0.5 (3)</w:t>
            </w:r>
          </w:p>
        </w:tc>
        <w:tc>
          <w:tcPr>
            <w:tcW w:w="0" w:type="auto"/>
          </w:tcPr>
          <w:p w14:paraId="6E8E57F9" w14:textId="720D13C5" w:rsidR="008E1C4D" w:rsidRPr="009419C0" w:rsidRDefault="00585411" w:rsidP="00055C42">
            <w:pPr>
              <w:rPr>
                <w:rFonts w:cstheme="minorHAnsi"/>
              </w:rPr>
            </w:pPr>
            <w:r w:rsidRPr="009419C0">
              <w:rPr>
                <w:rFonts w:cstheme="minorHAnsi"/>
              </w:rPr>
              <w:t>.93</w:t>
            </w:r>
          </w:p>
        </w:tc>
      </w:tr>
      <w:tr w:rsidR="009419C0" w:rsidRPr="009419C0" w14:paraId="23630E00" w14:textId="77777777" w:rsidTr="009419C0">
        <w:tc>
          <w:tcPr>
            <w:tcW w:w="0" w:type="auto"/>
          </w:tcPr>
          <w:p w14:paraId="4147A459" w14:textId="2EC4553D" w:rsidR="008E1C4D" w:rsidRPr="009419C0" w:rsidRDefault="00395C90" w:rsidP="00395C90">
            <w:pPr>
              <w:autoSpaceDE w:val="0"/>
              <w:autoSpaceDN w:val="0"/>
              <w:adjustRightInd w:val="0"/>
              <w:rPr>
                <w:rFonts w:cstheme="minorHAnsi"/>
              </w:rPr>
            </w:pPr>
            <w:r w:rsidRPr="009419C0">
              <w:rPr>
                <w:rFonts w:cstheme="minorHAnsi"/>
              </w:rPr>
              <w:t>Considering the time and expense</w:t>
            </w:r>
            <w:r w:rsidRPr="009419C0">
              <w:rPr>
                <w:rFonts w:cstheme="minorHAnsi"/>
              </w:rPr>
              <w:t xml:space="preserve"> </w:t>
            </w:r>
            <w:r w:rsidRPr="009419C0">
              <w:rPr>
                <w:rFonts w:cstheme="minorHAnsi"/>
              </w:rPr>
              <w:t>involved in psychotherapy, it</w:t>
            </w:r>
            <w:r w:rsidRPr="009419C0">
              <w:rPr>
                <w:rFonts w:cstheme="minorHAnsi"/>
              </w:rPr>
              <w:t xml:space="preserve"> </w:t>
            </w:r>
            <w:r w:rsidRPr="009419C0">
              <w:rPr>
                <w:rFonts w:cstheme="minorHAnsi"/>
              </w:rPr>
              <w:t>would have doubtful value for a</w:t>
            </w:r>
            <w:r w:rsidRPr="009419C0">
              <w:rPr>
                <w:rFonts w:cstheme="minorHAnsi"/>
              </w:rPr>
              <w:t xml:space="preserve"> </w:t>
            </w:r>
            <w:r w:rsidRPr="009419C0">
              <w:rPr>
                <w:rFonts w:cstheme="minorHAnsi"/>
              </w:rPr>
              <w:t>person like me.</w:t>
            </w:r>
          </w:p>
        </w:tc>
        <w:tc>
          <w:tcPr>
            <w:tcW w:w="0" w:type="auto"/>
          </w:tcPr>
          <w:p w14:paraId="7478AF6A" w14:textId="7C5F5D5F" w:rsidR="008E1C4D" w:rsidRPr="009419C0" w:rsidRDefault="00395C90" w:rsidP="00055C42">
            <w:pPr>
              <w:rPr>
                <w:rFonts w:cstheme="minorHAnsi"/>
              </w:rPr>
            </w:pPr>
            <w:r w:rsidRPr="009419C0">
              <w:rPr>
                <w:rFonts w:cstheme="minorHAnsi"/>
              </w:rPr>
              <w:t>0.0 (1)</w:t>
            </w:r>
          </w:p>
        </w:tc>
        <w:tc>
          <w:tcPr>
            <w:tcW w:w="0" w:type="auto"/>
          </w:tcPr>
          <w:p w14:paraId="54EE617B" w14:textId="62243382" w:rsidR="008E1C4D" w:rsidRPr="009419C0" w:rsidRDefault="00395C90" w:rsidP="00055C42">
            <w:pPr>
              <w:rPr>
                <w:rFonts w:cstheme="minorHAnsi"/>
              </w:rPr>
            </w:pPr>
            <w:r w:rsidRPr="009419C0">
              <w:rPr>
                <w:rFonts w:cstheme="minorHAnsi"/>
              </w:rPr>
              <w:t>.92</w:t>
            </w:r>
          </w:p>
        </w:tc>
        <w:tc>
          <w:tcPr>
            <w:tcW w:w="0" w:type="auto"/>
          </w:tcPr>
          <w:p w14:paraId="581E7BC8" w14:textId="4FDDE808" w:rsidR="008E1C4D" w:rsidRPr="009419C0" w:rsidRDefault="00395C90" w:rsidP="00055C42">
            <w:pPr>
              <w:rPr>
                <w:rFonts w:cstheme="minorHAnsi"/>
              </w:rPr>
            </w:pPr>
            <w:r w:rsidRPr="009419C0">
              <w:rPr>
                <w:rFonts w:cstheme="minorHAnsi"/>
              </w:rPr>
              <w:t>4.2 (3)</w:t>
            </w:r>
          </w:p>
        </w:tc>
        <w:tc>
          <w:tcPr>
            <w:tcW w:w="0" w:type="auto"/>
          </w:tcPr>
          <w:p w14:paraId="247F882A" w14:textId="42B20752" w:rsidR="008E1C4D" w:rsidRPr="009419C0" w:rsidRDefault="00395C90" w:rsidP="00055C42">
            <w:pPr>
              <w:rPr>
                <w:rFonts w:cstheme="minorHAnsi"/>
              </w:rPr>
            </w:pPr>
            <w:r w:rsidRPr="009419C0">
              <w:rPr>
                <w:rFonts w:cstheme="minorHAnsi"/>
              </w:rPr>
              <w:t>.24</w:t>
            </w:r>
          </w:p>
        </w:tc>
        <w:tc>
          <w:tcPr>
            <w:tcW w:w="0" w:type="auto"/>
          </w:tcPr>
          <w:p w14:paraId="4B978B4C" w14:textId="3D3B3246" w:rsidR="008E1C4D" w:rsidRPr="009419C0" w:rsidRDefault="00395C90" w:rsidP="00055C42">
            <w:pPr>
              <w:rPr>
                <w:rFonts w:cstheme="minorHAnsi"/>
              </w:rPr>
            </w:pPr>
            <w:r w:rsidRPr="009419C0">
              <w:rPr>
                <w:rFonts w:cstheme="minorHAnsi"/>
              </w:rPr>
              <w:t>0.0 (1)</w:t>
            </w:r>
          </w:p>
        </w:tc>
        <w:tc>
          <w:tcPr>
            <w:tcW w:w="0" w:type="auto"/>
          </w:tcPr>
          <w:p w14:paraId="0FC7CCDC" w14:textId="7E3C7637" w:rsidR="008E1C4D" w:rsidRPr="009419C0" w:rsidRDefault="00395C90" w:rsidP="00055C42">
            <w:pPr>
              <w:rPr>
                <w:rFonts w:cstheme="minorHAnsi"/>
              </w:rPr>
            </w:pPr>
            <w:r w:rsidRPr="009419C0">
              <w:rPr>
                <w:rFonts w:cstheme="minorHAnsi"/>
              </w:rPr>
              <w:t>.99</w:t>
            </w:r>
          </w:p>
        </w:tc>
        <w:tc>
          <w:tcPr>
            <w:tcW w:w="0" w:type="auto"/>
          </w:tcPr>
          <w:p w14:paraId="7F0ADD20" w14:textId="57FCFAF1" w:rsidR="008E1C4D" w:rsidRPr="009419C0" w:rsidRDefault="00395C90" w:rsidP="00055C42">
            <w:pPr>
              <w:rPr>
                <w:rFonts w:cstheme="minorHAnsi"/>
              </w:rPr>
            </w:pPr>
            <w:r w:rsidRPr="009419C0">
              <w:rPr>
                <w:rFonts w:cstheme="minorHAnsi"/>
              </w:rPr>
              <w:t>4.5 (3)</w:t>
            </w:r>
          </w:p>
        </w:tc>
        <w:tc>
          <w:tcPr>
            <w:tcW w:w="0" w:type="auto"/>
          </w:tcPr>
          <w:p w14:paraId="5ED20038" w14:textId="2D4B6427" w:rsidR="008E1C4D" w:rsidRPr="009419C0" w:rsidRDefault="00395C90" w:rsidP="00055C42">
            <w:pPr>
              <w:rPr>
                <w:rFonts w:cstheme="minorHAnsi"/>
              </w:rPr>
            </w:pPr>
            <w:r w:rsidRPr="009419C0">
              <w:rPr>
                <w:rFonts w:cstheme="minorHAnsi"/>
              </w:rPr>
              <w:t>.22</w:t>
            </w:r>
          </w:p>
        </w:tc>
        <w:tc>
          <w:tcPr>
            <w:tcW w:w="0" w:type="auto"/>
          </w:tcPr>
          <w:p w14:paraId="395F5E41" w14:textId="4C191D6A" w:rsidR="008E1C4D" w:rsidRPr="009419C0" w:rsidRDefault="00395C90" w:rsidP="00055C42">
            <w:pPr>
              <w:rPr>
                <w:rFonts w:cstheme="minorHAnsi"/>
              </w:rPr>
            </w:pPr>
            <w:r w:rsidRPr="009419C0">
              <w:rPr>
                <w:rFonts w:cstheme="minorHAnsi"/>
              </w:rPr>
              <w:t>0.8 (1)</w:t>
            </w:r>
          </w:p>
        </w:tc>
        <w:tc>
          <w:tcPr>
            <w:tcW w:w="0" w:type="auto"/>
          </w:tcPr>
          <w:p w14:paraId="1AAFAB66" w14:textId="3E43A2D3" w:rsidR="008E1C4D" w:rsidRPr="009419C0" w:rsidRDefault="00395C90" w:rsidP="00055C42">
            <w:pPr>
              <w:rPr>
                <w:rFonts w:cstheme="minorHAnsi"/>
              </w:rPr>
            </w:pPr>
            <w:r w:rsidRPr="009419C0">
              <w:rPr>
                <w:rFonts w:cstheme="minorHAnsi"/>
              </w:rPr>
              <w:t>.36</w:t>
            </w:r>
          </w:p>
        </w:tc>
        <w:tc>
          <w:tcPr>
            <w:tcW w:w="0" w:type="auto"/>
          </w:tcPr>
          <w:p w14:paraId="604F1BFA" w14:textId="06042F3D" w:rsidR="008E1C4D" w:rsidRPr="009419C0" w:rsidRDefault="00395C90" w:rsidP="00055C42">
            <w:pPr>
              <w:rPr>
                <w:rFonts w:cstheme="minorHAnsi"/>
              </w:rPr>
            </w:pPr>
            <w:r w:rsidRPr="009419C0">
              <w:rPr>
                <w:rFonts w:cstheme="minorHAnsi"/>
              </w:rPr>
              <w:t>4.0 (3)</w:t>
            </w:r>
          </w:p>
        </w:tc>
        <w:tc>
          <w:tcPr>
            <w:tcW w:w="0" w:type="auto"/>
          </w:tcPr>
          <w:p w14:paraId="55F1414D" w14:textId="698B5F22" w:rsidR="008E1C4D" w:rsidRPr="009419C0" w:rsidRDefault="00395C90" w:rsidP="00055C42">
            <w:pPr>
              <w:rPr>
                <w:rFonts w:cstheme="minorHAnsi"/>
              </w:rPr>
            </w:pPr>
            <w:r w:rsidRPr="009419C0">
              <w:rPr>
                <w:rFonts w:cstheme="minorHAnsi"/>
              </w:rPr>
              <w:t>.26</w:t>
            </w:r>
          </w:p>
        </w:tc>
      </w:tr>
      <w:tr w:rsidR="009419C0" w:rsidRPr="009419C0" w14:paraId="7A0BCD74" w14:textId="77777777" w:rsidTr="009419C0">
        <w:tc>
          <w:tcPr>
            <w:tcW w:w="0" w:type="auto"/>
          </w:tcPr>
          <w:p w14:paraId="2A1CE67A" w14:textId="3FAC279E" w:rsidR="008E1C4D" w:rsidRPr="009419C0" w:rsidRDefault="00FF53FC" w:rsidP="00FF53FC">
            <w:pPr>
              <w:autoSpaceDE w:val="0"/>
              <w:autoSpaceDN w:val="0"/>
              <w:adjustRightInd w:val="0"/>
              <w:rPr>
                <w:rFonts w:cstheme="minorHAnsi"/>
              </w:rPr>
            </w:pPr>
            <w:r w:rsidRPr="009419C0">
              <w:rPr>
                <w:rFonts w:cstheme="minorHAnsi"/>
              </w:rPr>
              <w:t>A person should work out his</w:t>
            </w:r>
            <w:r w:rsidRPr="009419C0">
              <w:rPr>
                <w:rFonts w:cstheme="minorHAnsi"/>
              </w:rPr>
              <w:t xml:space="preserve"> </w:t>
            </w:r>
            <w:r w:rsidRPr="009419C0">
              <w:rPr>
                <w:rFonts w:cstheme="minorHAnsi"/>
              </w:rPr>
              <w:t>or her own problems; getting</w:t>
            </w:r>
            <w:r w:rsidRPr="009419C0">
              <w:rPr>
                <w:rFonts w:cstheme="minorHAnsi"/>
              </w:rPr>
              <w:t xml:space="preserve"> </w:t>
            </w:r>
            <w:r w:rsidRPr="009419C0">
              <w:rPr>
                <w:rFonts w:cstheme="minorHAnsi"/>
              </w:rPr>
              <w:t>psychological counseling would</w:t>
            </w:r>
            <w:r w:rsidRPr="009419C0">
              <w:rPr>
                <w:rFonts w:cstheme="minorHAnsi"/>
              </w:rPr>
              <w:t xml:space="preserve"> </w:t>
            </w:r>
            <w:r w:rsidRPr="009419C0">
              <w:rPr>
                <w:rFonts w:cstheme="minorHAnsi"/>
              </w:rPr>
              <w:t>be a last resort.</w:t>
            </w:r>
          </w:p>
        </w:tc>
        <w:tc>
          <w:tcPr>
            <w:tcW w:w="0" w:type="auto"/>
          </w:tcPr>
          <w:p w14:paraId="31C28CF2" w14:textId="050F9D40" w:rsidR="008E1C4D" w:rsidRPr="009419C0" w:rsidRDefault="00FF53FC" w:rsidP="00055C42">
            <w:pPr>
              <w:rPr>
                <w:rFonts w:cstheme="minorHAnsi"/>
              </w:rPr>
            </w:pPr>
            <w:r w:rsidRPr="009419C0">
              <w:rPr>
                <w:rFonts w:cstheme="minorHAnsi"/>
              </w:rPr>
              <w:t>0.4 (1)</w:t>
            </w:r>
          </w:p>
        </w:tc>
        <w:tc>
          <w:tcPr>
            <w:tcW w:w="0" w:type="auto"/>
          </w:tcPr>
          <w:p w14:paraId="0FA5E35A" w14:textId="3794CD5C" w:rsidR="008E1C4D" w:rsidRPr="009419C0" w:rsidRDefault="00FF53FC" w:rsidP="00055C42">
            <w:pPr>
              <w:rPr>
                <w:rFonts w:cstheme="minorHAnsi"/>
              </w:rPr>
            </w:pPr>
            <w:r w:rsidRPr="009419C0">
              <w:rPr>
                <w:rFonts w:cstheme="minorHAnsi"/>
              </w:rPr>
              <w:t>.54</w:t>
            </w:r>
          </w:p>
        </w:tc>
        <w:tc>
          <w:tcPr>
            <w:tcW w:w="0" w:type="auto"/>
          </w:tcPr>
          <w:p w14:paraId="6A0FB974" w14:textId="409F3D15" w:rsidR="008E1C4D" w:rsidRPr="009419C0" w:rsidRDefault="00FF53FC" w:rsidP="00055C42">
            <w:pPr>
              <w:rPr>
                <w:rFonts w:cstheme="minorHAnsi"/>
              </w:rPr>
            </w:pPr>
            <w:r w:rsidRPr="009419C0">
              <w:rPr>
                <w:rFonts w:cstheme="minorHAnsi"/>
              </w:rPr>
              <w:t>0.7 (3)</w:t>
            </w:r>
          </w:p>
        </w:tc>
        <w:tc>
          <w:tcPr>
            <w:tcW w:w="0" w:type="auto"/>
          </w:tcPr>
          <w:p w14:paraId="784A7519" w14:textId="110663D0" w:rsidR="008E1C4D" w:rsidRPr="009419C0" w:rsidRDefault="00FF53FC" w:rsidP="00055C42">
            <w:pPr>
              <w:rPr>
                <w:rFonts w:cstheme="minorHAnsi"/>
              </w:rPr>
            </w:pPr>
            <w:r w:rsidRPr="009419C0">
              <w:rPr>
                <w:rFonts w:cstheme="minorHAnsi"/>
              </w:rPr>
              <w:t>.88</w:t>
            </w:r>
          </w:p>
        </w:tc>
        <w:tc>
          <w:tcPr>
            <w:tcW w:w="0" w:type="auto"/>
          </w:tcPr>
          <w:p w14:paraId="5B7B37BE" w14:textId="22926071" w:rsidR="008E1C4D" w:rsidRPr="009419C0" w:rsidRDefault="00FF53FC" w:rsidP="00055C42">
            <w:pPr>
              <w:rPr>
                <w:rFonts w:cstheme="minorHAnsi"/>
              </w:rPr>
            </w:pPr>
            <w:r w:rsidRPr="009419C0">
              <w:rPr>
                <w:rFonts w:cstheme="minorHAnsi"/>
              </w:rPr>
              <w:t>1.5 (1)</w:t>
            </w:r>
          </w:p>
        </w:tc>
        <w:tc>
          <w:tcPr>
            <w:tcW w:w="0" w:type="auto"/>
          </w:tcPr>
          <w:p w14:paraId="21165103" w14:textId="4098AC87" w:rsidR="008E1C4D" w:rsidRPr="009419C0" w:rsidRDefault="00FF53FC" w:rsidP="00055C42">
            <w:pPr>
              <w:rPr>
                <w:rFonts w:cstheme="minorHAnsi"/>
              </w:rPr>
            </w:pPr>
            <w:r w:rsidRPr="009419C0">
              <w:rPr>
                <w:rFonts w:cstheme="minorHAnsi"/>
              </w:rPr>
              <w:t>.22</w:t>
            </w:r>
          </w:p>
        </w:tc>
        <w:tc>
          <w:tcPr>
            <w:tcW w:w="0" w:type="auto"/>
          </w:tcPr>
          <w:p w14:paraId="702EA386" w14:textId="4E8F1894" w:rsidR="008E1C4D" w:rsidRPr="009419C0" w:rsidRDefault="00FF53FC" w:rsidP="00055C42">
            <w:pPr>
              <w:rPr>
                <w:rFonts w:cstheme="minorHAnsi"/>
              </w:rPr>
            </w:pPr>
            <w:r w:rsidRPr="009419C0">
              <w:rPr>
                <w:rFonts w:cstheme="minorHAnsi"/>
              </w:rPr>
              <w:t>0.9 (3)</w:t>
            </w:r>
          </w:p>
        </w:tc>
        <w:tc>
          <w:tcPr>
            <w:tcW w:w="0" w:type="auto"/>
          </w:tcPr>
          <w:p w14:paraId="484437CD" w14:textId="651DE14D" w:rsidR="008E1C4D" w:rsidRPr="009419C0" w:rsidRDefault="00FF53FC" w:rsidP="00055C42">
            <w:pPr>
              <w:rPr>
                <w:rFonts w:cstheme="minorHAnsi"/>
              </w:rPr>
            </w:pPr>
            <w:r w:rsidRPr="009419C0">
              <w:rPr>
                <w:rFonts w:cstheme="minorHAnsi"/>
              </w:rPr>
              <w:t>.82</w:t>
            </w:r>
          </w:p>
        </w:tc>
        <w:tc>
          <w:tcPr>
            <w:tcW w:w="0" w:type="auto"/>
          </w:tcPr>
          <w:p w14:paraId="7C1D9181" w14:textId="4A98B64E" w:rsidR="008E1C4D" w:rsidRPr="009419C0" w:rsidRDefault="00FF53FC" w:rsidP="00055C42">
            <w:pPr>
              <w:rPr>
                <w:rFonts w:cstheme="minorHAnsi"/>
              </w:rPr>
            </w:pPr>
            <w:r w:rsidRPr="009419C0">
              <w:rPr>
                <w:rFonts w:cstheme="minorHAnsi"/>
              </w:rPr>
              <w:t>0.1 (1)</w:t>
            </w:r>
          </w:p>
        </w:tc>
        <w:tc>
          <w:tcPr>
            <w:tcW w:w="0" w:type="auto"/>
          </w:tcPr>
          <w:p w14:paraId="1564007F" w14:textId="613F15E5" w:rsidR="008E1C4D" w:rsidRPr="009419C0" w:rsidRDefault="00FF53FC" w:rsidP="00055C42">
            <w:pPr>
              <w:rPr>
                <w:rFonts w:cstheme="minorHAnsi"/>
              </w:rPr>
            </w:pPr>
            <w:r w:rsidRPr="009419C0">
              <w:rPr>
                <w:rFonts w:cstheme="minorHAnsi"/>
              </w:rPr>
              <w:t>.75</w:t>
            </w:r>
          </w:p>
        </w:tc>
        <w:tc>
          <w:tcPr>
            <w:tcW w:w="0" w:type="auto"/>
          </w:tcPr>
          <w:p w14:paraId="3873BAB7" w14:textId="13A4700B" w:rsidR="008E1C4D" w:rsidRPr="009419C0" w:rsidRDefault="00FF53FC" w:rsidP="00055C42">
            <w:pPr>
              <w:rPr>
                <w:rFonts w:cstheme="minorHAnsi"/>
              </w:rPr>
            </w:pPr>
            <w:r w:rsidRPr="009419C0">
              <w:rPr>
                <w:rFonts w:cstheme="minorHAnsi"/>
              </w:rPr>
              <w:t>0.6 (3)</w:t>
            </w:r>
          </w:p>
        </w:tc>
        <w:tc>
          <w:tcPr>
            <w:tcW w:w="0" w:type="auto"/>
          </w:tcPr>
          <w:p w14:paraId="4ACEC942" w14:textId="1E38C28C" w:rsidR="008E1C4D" w:rsidRPr="009419C0" w:rsidRDefault="00FF53FC" w:rsidP="00055C42">
            <w:pPr>
              <w:rPr>
                <w:rFonts w:cstheme="minorHAnsi"/>
              </w:rPr>
            </w:pPr>
            <w:r w:rsidRPr="009419C0">
              <w:rPr>
                <w:rFonts w:cstheme="minorHAnsi"/>
              </w:rPr>
              <w:t>.90</w:t>
            </w:r>
          </w:p>
        </w:tc>
      </w:tr>
      <w:tr w:rsidR="009419C0" w:rsidRPr="009419C0" w14:paraId="2704118D" w14:textId="77777777" w:rsidTr="009419C0">
        <w:tc>
          <w:tcPr>
            <w:tcW w:w="0" w:type="auto"/>
          </w:tcPr>
          <w:p w14:paraId="31D5CB3C" w14:textId="4F603B13" w:rsidR="008E1C4D" w:rsidRPr="009419C0" w:rsidRDefault="009A4942" w:rsidP="00591FFB">
            <w:pPr>
              <w:autoSpaceDE w:val="0"/>
              <w:autoSpaceDN w:val="0"/>
              <w:adjustRightInd w:val="0"/>
              <w:rPr>
                <w:rFonts w:cstheme="minorHAnsi"/>
              </w:rPr>
            </w:pPr>
            <w:r w:rsidRPr="009419C0">
              <w:rPr>
                <w:rFonts w:cstheme="minorHAnsi"/>
              </w:rPr>
              <w:t>Personal and emotional troubles,</w:t>
            </w:r>
            <w:r w:rsidR="00591FFB" w:rsidRPr="009419C0">
              <w:rPr>
                <w:rFonts w:cstheme="minorHAnsi"/>
              </w:rPr>
              <w:t xml:space="preserve"> </w:t>
            </w:r>
            <w:r w:rsidRPr="009419C0">
              <w:rPr>
                <w:rFonts w:cstheme="minorHAnsi"/>
              </w:rPr>
              <w:t>like many things, tend to work</w:t>
            </w:r>
            <w:r w:rsidR="00591FFB" w:rsidRPr="009419C0">
              <w:rPr>
                <w:rFonts w:cstheme="minorHAnsi"/>
              </w:rPr>
              <w:t xml:space="preserve"> </w:t>
            </w:r>
            <w:r w:rsidRPr="009419C0">
              <w:rPr>
                <w:rFonts w:cstheme="minorHAnsi"/>
              </w:rPr>
              <w:t>out by themselves.</w:t>
            </w:r>
          </w:p>
        </w:tc>
        <w:tc>
          <w:tcPr>
            <w:tcW w:w="0" w:type="auto"/>
          </w:tcPr>
          <w:p w14:paraId="71E28C71" w14:textId="78BA0BA0" w:rsidR="008E1C4D" w:rsidRPr="009419C0" w:rsidRDefault="00591FFB" w:rsidP="00055C42">
            <w:pPr>
              <w:rPr>
                <w:rFonts w:cstheme="minorHAnsi"/>
              </w:rPr>
            </w:pPr>
            <w:r w:rsidRPr="009419C0">
              <w:rPr>
                <w:rFonts w:cstheme="minorHAnsi"/>
              </w:rPr>
              <w:t>1.9 (1)</w:t>
            </w:r>
          </w:p>
        </w:tc>
        <w:tc>
          <w:tcPr>
            <w:tcW w:w="0" w:type="auto"/>
          </w:tcPr>
          <w:p w14:paraId="1B32CE7A" w14:textId="11477668" w:rsidR="008E1C4D" w:rsidRPr="009419C0" w:rsidRDefault="00591FFB" w:rsidP="00055C42">
            <w:pPr>
              <w:rPr>
                <w:rFonts w:cstheme="minorHAnsi"/>
              </w:rPr>
            </w:pPr>
            <w:r w:rsidRPr="009419C0">
              <w:rPr>
                <w:rFonts w:cstheme="minorHAnsi"/>
              </w:rPr>
              <w:t>.17</w:t>
            </w:r>
          </w:p>
        </w:tc>
        <w:tc>
          <w:tcPr>
            <w:tcW w:w="0" w:type="auto"/>
          </w:tcPr>
          <w:p w14:paraId="0727E8E1" w14:textId="7D3AC2E5" w:rsidR="008E1C4D" w:rsidRPr="009419C0" w:rsidRDefault="00591FFB" w:rsidP="00055C42">
            <w:pPr>
              <w:rPr>
                <w:rFonts w:cstheme="minorHAnsi"/>
              </w:rPr>
            </w:pPr>
            <w:r w:rsidRPr="009419C0">
              <w:rPr>
                <w:rFonts w:cstheme="minorHAnsi"/>
              </w:rPr>
              <w:t>3.6 (3)</w:t>
            </w:r>
          </w:p>
        </w:tc>
        <w:tc>
          <w:tcPr>
            <w:tcW w:w="0" w:type="auto"/>
          </w:tcPr>
          <w:p w14:paraId="211DA8F3" w14:textId="6378BFC5" w:rsidR="008E1C4D" w:rsidRPr="009419C0" w:rsidRDefault="00591FFB" w:rsidP="00055C42">
            <w:pPr>
              <w:rPr>
                <w:rFonts w:cstheme="minorHAnsi"/>
              </w:rPr>
            </w:pPr>
            <w:r w:rsidRPr="009419C0">
              <w:rPr>
                <w:rFonts w:cstheme="minorHAnsi"/>
              </w:rPr>
              <w:t>.31</w:t>
            </w:r>
          </w:p>
        </w:tc>
        <w:tc>
          <w:tcPr>
            <w:tcW w:w="0" w:type="auto"/>
          </w:tcPr>
          <w:p w14:paraId="09E74860" w14:textId="1DDCF68F" w:rsidR="008E1C4D" w:rsidRPr="009419C0" w:rsidRDefault="00591FFB" w:rsidP="00055C42">
            <w:pPr>
              <w:rPr>
                <w:rFonts w:cstheme="minorHAnsi"/>
              </w:rPr>
            </w:pPr>
            <w:r w:rsidRPr="009419C0">
              <w:rPr>
                <w:rFonts w:cstheme="minorHAnsi"/>
              </w:rPr>
              <w:t>1.9 (1)</w:t>
            </w:r>
          </w:p>
        </w:tc>
        <w:tc>
          <w:tcPr>
            <w:tcW w:w="0" w:type="auto"/>
          </w:tcPr>
          <w:p w14:paraId="08D0330A" w14:textId="39BD49AC" w:rsidR="008E1C4D" w:rsidRPr="009419C0" w:rsidRDefault="00591FFB" w:rsidP="00055C42">
            <w:pPr>
              <w:rPr>
                <w:rFonts w:cstheme="minorHAnsi"/>
              </w:rPr>
            </w:pPr>
            <w:r w:rsidRPr="009419C0">
              <w:rPr>
                <w:rFonts w:cstheme="minorHAnsi"/>
              </w:rPr>
              <w:t>.16</w:t>
            </w:r>
          </w:p>
        </w:tc>
        <w:tc>
          <w:tcPr>
            <w:tcW w:w="0" w:type="auto"/>
          </w:tcPr>
          <w:p w14:paraId="3642C7E5" w14:textId="10FDBAAF" w:rsidR="008E1C4D" w:rsidRPr="009419C0" w:rsidRDefault="00591FFB" w:rsidP="00055C42">
            <w:pPr>
              <w:rPr>
                <w:rFonts w:cstheme="minorHAnsi"/>
              </w:rPr>
            </w:pPr>
            <w:r w:rsidRPr="009419C0">
              <w:rPr>
                <w:rFonts w:cstheme="minorHAnsi"/>
              </w:rPr>
              <w:t>4.8 (3)</w:t>
            </w:r>
          </w:p>
        </w:tc>
        <w:tc>
          <w:tcPr>
            <w:tcW w:w="0" w:type="auto"/>
          </w:tcPr>
          <w:p w14:paraId="3AFB7E0C" w14:textId="332943AC" w:rsidR="008E1C4D" w:rsidRPr="009419C0" w:rsidRDefault="00591FFB" w:rsidP="00055C42">
            <w:pPr>
              <w:rPr>
                <w:rFonts w:cstheme="minorHAnsi"/>
              </w:rPr>
            </w:pPr>
            <w:r w:rsidRPr="009419C0">
              <w:rPr>
                <w:rFonts w:cstheme="minorHAnsi"/>
              </w:rPr>
              <w:t>.19</w:t>
            </w:r>
          </w:p>
        </w:tc>
        <w:tc>
          <w:tcPr>
            <w:tcW w:w="0" w:type="auto"/>
          </w:tcPr>
          <w:p w14:paraId="5D1F74BD" w14:textId="23048E0B" w:rsidR="008E1C4D" w:rsidRPr="009419C0" w:rsidRDefault="00591FFB" w:rsidP="00055C42">
            <w:pPr>
              <w:rPr>
                <w:rFonts w:cstheme="minorHAnsi"/>
              </w:rPr>
            </w:pPr>
            <w:r w:rsidRPr="009419C0">
              <w:rPr>
                <w:rFonts w:cstheme="minorHAnsi"/>
              </w:rPr>
              <w:t>0.4 (1)</w:t>
            </w:r>
          </w:p>
        </w:tc>
        <w:tc>
          <w:tcPr>
            <w:tcW w:w="0" w:type="auto"/>
          </w:tcPr>
          <w:p w14:paraId="1ACE6375" w14:textId="746DEEF9" w:rsidR="008E1C4D" w:rsidRPr="009419C0" w:rsidRDefault="00591FFB" w:rsidP="00055C42">
            <w:pPr>
              <w:rPr>
                <w:rFonts w:cstheme="minorHAnsi"/>
              </w:rPr>
            </w:pPr>
            <w:r w:rsidRPr="009419C0">
              <w:rPr>
                <w:rFonts w:cstheme="minorHAnsi"/>
              </w:rPr>
              <w:t>0.52</w:t>
            </w:r>
          </w:p>
        </w:tc>
        <w:tc>
          <w:tcPr>
            <w:tcW w:w="0" w:type="auto"/>
          </w:tcPr>
          <w:p w14:paraId="7ACA4F73" w14:textId="4DE19034" w:rsidR="008E1C4D" w:rsidRPr="009419C0" w:rsidRDefault="00591FFB" w:rsidP="00055C42">
            <w:pPr>
              <w:rPr>
                <w:rFonts w:cstheme="minorHAnsi"/>
              </w:rPr>
            </w:pPr>
            <w:r w:rsidRPr="009419C0">
              <w:rPr>
                <w:rFonts w:cstheme="minorHAnsi"/>
              </w:rPr>
              <w:t>1.0 (3)</w:t>
            </w:r>
          </w:p>
        </w:tc>
        <w:tc>
          <w:tcPr>
            <w:tcW w:w="0" w:type="auto"/>
          </w:tcPr>
          <w:p w14:paraId="3E56E7B6" w14:textId="2B7CCA9A" w:rsidR="008E1C4D" w:rsidRPr="009419C0" w:rsidRDefault="00591FFB" w:rsidP="00055C42">
            <w:pPr>
              <w:rPr>
                <w:rFonts w:cstheme="minorHAnsi"/>
              </w:rPr>
            </w:pPr>
            <w:r w:rsidRPr="009419C0">
              <w:rPr>
                <w:rFonts w:cstheme="minorHAnsi"/>
              </w:rPr>
              <w:t>.80</w:t>
            </w:r>
          </w:p>
        </w:tc>
      </w:tr>
    </w:tbl>
    <w:p w14:paraId="77CCAF65" w14:textId="77777777" w:rsidR="00201FA1" w:rsidRPr="00201FA1" w:rsidRDefault="00201FA1" w:rsidP="00201FA1">
      <w:pPr>
        <w:pStyle w:val="NoSpacing"/>
      </w:pPr>
      <w:r w:rsidRPr="00201FA1">
        <w:t>Note. df = degrees of freedom.</w:t>
      </w:r>
    </w:p>
    <w:p w14:paraId="63AF8055" w14:textId="77777777" w:rsidR="00201FA1" w:rsidRDefault="00201FA1" w:rsidP="00055C42">
      <w:pPr>
        <w:sectPr w:rsidR="00201FA1" w:rsidSect="009419C0">
          <w:pgSz w:w="15840" w:h="12240" w:orient="landscape"/>
          <w:pgMar w:top="1080" w:right="1080" w:bottom="1080" w:left="1080" w:header="720" w:footer="720" w:gutter="0"/>
          <w:cols w:space="720"/>
          <w:docGrid w:linePitch="360"/>
        </w:sectPr>
      </w:pPr>
    </w:p>
    <w:p w14:paraId="2DB9D5F1" w14:textId="36806C6F" w:rsidR="00055C42" w:rsidRPr="00055C42" w:rsidRDefault="00055C42" w:rsidP="00201FA1">
      <w:pPr>
        <w:pStyle w:val="Heading2"/>
      </w:pPr>
      <w:r w:rsidRPr="00055C42">
        <w:t>Scale Revisions</w:t>
      </w:r>
    </w:p>
    <w:p w14:paraId="4D5156AA" w14:textId="3DFC09F9" w:rsidR="00055C42" w:rsidRPr="00055C42" w:rsidRDefault="00055C42" w:rsidP="00055C42">
      <w:r w:rsidRPr="00055C42">
        <w:t xml:space="preserve">The results of the DIF analyses suggest that the item “A person with an emotional problem is not likely to solve it </w:t>
      </w:r>
      <w:proofErr w:type="gramStart"/>
      <w:r w:rsidRPr="00055C42">
        <w:t>alone;</w:t>
      </w:r>
      <w:proofErr w:type="gramEnd"/>
      <w:r w:rsidRPr="00055C42">
        <w:t xml:space="preserve"> he or she is likely to solve it with professional help (Item #7)” does not perform similarly across language and nativity subgroups. When an item exhibits DIF, the researcher must decide whether and how to account for the DIF. If the DIF is small in effect size, one option is to retain the item and ignore the DIF because the effect is negligible (i.e., scores computed with and without correcting for DIF are the same; </w:t>
      </w:r>
      <w:r w:rsidRPr="006A29B3">
        <w:t>Orlando &amp; Marshall, 2002</w:t>
      </w:r>
      <w:r w:rsidRPr="00055C42">
        <w:t>). If the magnitude of the DIF is more substantial, a second option is to retain the item but allow the discrimination and/or threshold parameters for that item to vary across groups; this approach ensures that any group differences on the latent variable are real differences rather than an artifact of DIF (</w:t>
      </w:r>
      <w:r w:rsidRPr="006A29B3">
        <w:t>Orlando &amp; Marshall, 2002</w:t>
      </w:r>
      <w:r w:rsidRPr="00055C42">
        <w:t>). A third option is to remove the item from the scale (</w:t>
      </w:r>
      <w:proofErr w:type="spellStart"/>
      <w:r w:rsidRPr="006A29B3">
        <w:t>Teresi</w:t>
      </w:r>
      <w:proofErr w:type="spellEnd"/>
      <w:r w:rsidRPr="006A29B3">
        <w:t xml:space="preserve"> et al., 2007</w:t>
      </w:r>
      <w:r w:rsidRPr="00055C42">
        <w:t xml:space="preserve">). We chose this last approach for three reasons. First, because of the overlap in group membership (e.g., a U.S.-born Spanish-speaking man), it is difficult to determine the appropriate DIF adjustment that </w:t>
      </w:r>
      <w:proofErr w:type="gramStart"/>
      <w:r w:rsidRPr="00055C42">
        <w:t>takes into account</w:t>
      </w:r>
      <w:proofErr w:type="gramEnd"/>
      <w:r w:rsidRPr="00055C42">
        <w:t xml:space="preserve"> all group memberships simultaneously. Second, the magnitude of the DIF is so large in this case that the quality of the item is questionable, particularly for individuals who are foreign-born or Spanish speakers. Third, across the entire sample as well as all subgroups, this item is less discriminating than most of the other items on the scale, possibly due to its double-barreled structure; thus, the scale does not lose much in psychometric value when this item is dropped. For subsequent analyses, the Openness to Seeking Treatment scale comprises four items, and the Value in Seeking Treatment scale retains all five original items.</w:t>
      </w:r>
    </w:p>
    <w:p w14:paraId="4476A8F9" w14:textId="524A65A3" w:rsidR="00055C42" w:rsidRPr="00055C42" w:rsidRDefault="00055C42" w:rsidP="00055C42">
      <w:r w:rsidRPr="00055C42">
        <w:t>The revised Openness to Seeking Treatment and Value in Seeking Treatment scales demonstrate good or excellent fit for the full sample (Openness to Seeking Treatment: RMSEA = 0.06, CFI = 1.00, TLI = 0.99; Value in Seeking Treatment: RMSEA = 0.08, CFI = 0.98, TLI = 0.96). Item parameter estimates for the revised scales are shown in </w:t>
      </w:r>
      <w:r w:rsidRPr="006A29B3">
        <w:t>Table 6</w:t>
      </w:r>
      <w:r w:rsidRPr="00055C42">
        <w:t>. </w:t>
      </w:r>
      <w:r w:rsidRPr="006A29B3">
        <w:t>Figure 2</w:t>
      </w:r>
      <w:r w:rsidRPr="00055C42">
        <w:t> displays the item information curves for both scales. The Openness to Seeking Treatment scale provides the most information about individual differences for those who are within approximately 1 standard deviation of the mean, with “If I were experiencing a serious emotional crisis at this point in my life, I would be confident that I could find relief in psychotherapy (Item #3)” and “I would want to get psychological help if I were worried or upset for a long period of time (Item #5)” being the best-performing items. Notably, the scale does a very poor job of measuring individual differences at high ends of the latent variable continuum (θ &gt; 2). For the Value and Need in Seeking Treatment scale, the item providing the most information is “A person should work out his or her own problems; getting psychological counseling would be a last resort (Item #9).” The range of maximal information is wider for this scale, spanning from approximately 1 standard deviation below the mean to 2 standard deviations above the mean; however, the Openness to Seeking Treatment scale provides considerably more information on average, which can be observed in comparing the two solid black lines. Overall, the Value and Need in Seeking Treatment scale is quite weak in its ability to discriminate among individuals across the latent variable continuum.</w:t>
      </w:r>
    </w:p>
    <w:p w14:paraId="77BDC02A" w14:textId="77777777" w:rsidR="009C0C39" w:rsidRDefault="009C0C39" w:rsidP="00055C42">
      <w:pPr>
        <w:rPr>
          <w:b/>
          <w:bCs/>
        </w:rPr>
        <w:sectPr w:rsidR="009C0C39" w:rsidSect="00201FA1">
          <w:pgSz w:w="12240" w:h="15840"/>
          <w:pgMar w:top="1080" w:right="1080" w:bottom="1080" w:left="1080" w:header="720" w:footer="720" w:gutter="0"/>
          <w:cols w:space="720"/>
          <w:docGrid w:linePitch="360"/>
        </w:sectPr>
      </w:pPr>
    </w:p>
    <w:p w14:paraId="437ACEC4" w14:textId="77777777" w:rsidR="00055C42" w:rsidRDefault="00055C42" w:rsidP="00055C42">
      <w:r w:rsidRPr="00055C42">
        <w:rPr>
          <w:b/>
          <w:bCs/>
        </w:rPr>
        <w:t>Table 6.</w:t>
      </w:r>
      <w:r w:rsidRPr="00055C42">
        <w:t> Item Discrimination (</w:t>
      </w:r>
      <w:r w:rsidRPr="00055C42">
        <w:rPr>
          <w:i/>
          <w:iCs/>
        </w:rPr>
        <w:t>a</w:t>
      </w:r>
      <w:r w:rsidRPr="00055C42">
        <w:t>) and Threshold (</w:t>
      </w:r>
      <w:r w:rsidRPr="00055C42">
        <w:rPr>
          <w:i/>
          <w:iCs/>
        </w:rPr>
        <w:t>b</w:t>
      </w:r>
      <w:r w:rsidRPr="00055C42">
        <w:t xml:space="preserve">) Parameter Estimates </w:t>
      </w:r>
      <w:proofErr w:type="gramStart"/>
      <w:r w:rsidRPr="00055C42">
        <w:t>From</w:t>
      </w:r>
      <w:proofErr w:type="gramEnd"/>
      <w:r w:rsidRPr="00055C42">
        <w:t xml:space="preserve"> the Two Revised Unidimensional Models When Fit to the Full Sample.</w:t>
      </w:r>
    </w:p>
    <w:tbl>
      <w:tblPr>
        <w:tblStyle w:val="TableGrid"/>
        <w:tblW w:w="0" w:type="auto"/>
        <w:tblLook w:val="0020" w:firstRow="1" w:lastRow="0" w:firstColumn="0" w:lastColumn="0" w:noHBand="0" w:noVBand="0"/>
      </w:tblPr>
      <w:tblGrid>
        <w:gridCol w:w="8365"/>
        <w:gridCol w:w="1260"/>
        <w:gridCol w:w="1350"/>
        <w:gridCol w:w="1350"/>
        <w:gridCol w:w="1345"/>
      </w:tblGrid>
      <w:tr w:rsidR="009C0C39" w:rsidRPr="00127D57" w14:paraId="53552F53" w14:textId="77777777" w:rsidTr="00703E2F">
        <w:trPr>
          <w:trHeight w:val="288"/>
        </w:trPr>
        <w:tc>
          <w:tcPr>
            <w:tcW w:w="8365" w:type="dxa"/>
          </w:tcPr>
          <w:p w14:paraId="130457C9" w14:textId="77777777" w:rsidR="0079653E" w:rsidRPr="00127D57" w:rsidRDefault="0079653E" w:rsidP="00127D57">
            <w:pPr>
              <w:pStyle w:val="NoSpacing"/>
            </w:pPr>
          </w:p>
        </w:tc>
        <w:tc>
          <w:tcPr>
            <w:tcW w:w="1260" w:type="dxa"/>
          </w:tcPr>
          <w:p w14:paraId="28A888B2" w14:textId="77777777" w:rsidR="0079653E" w:rsidRPr="00127D57" w:rsidRDefault="0079653E" w:rsidP="00127D57">
            <w:pPr>
              <w:pStyle w:val="NoSpacing"/>
            </w:pPr>
            <w:r w:rsidRPr="00127D57">
              <w:t>a (SE)</w:t>
            </w:r>
          </w:p>
        </w:tc>
        <w:tc>
          <w:tcPr>
            <w:tcW w:w="1350" w:type="dxa"/>
          </w:tcPr>
          <w:p w14:paraId="6490E3DD" w14:textId="77777777" w:rsidR="0079653E" w:rsidRPr="00127D57" w:rsidRDefault="0079653E" w:rsidP="00127D57">
            <w:pPr>
              <w:pStyle w:val="NoSpacing"/>
            </w:pPr>
            <w:r w:rsidRPr="00127D57">
              <w:t>b</w:t>
            </w:r>
            <w:r w:rsidRPr="00127D57">
              <w:rPr>
                <w:vertAlign w:val="subscript"/>
              </w:rPr>
              <w:t>1</w:t>
            </w:r>
            <w:r w:rsidRPr="00127D57">
              <w:t xml:space="preserve"> (SE)</w:t>
            </w:r>
          </w:p>
        </w:tc>
        <w:tc>
          <w:tcPr>
            <w:tcW w:w="1350" w:type="dxa"/>
          </w:tcPr>
          <w:p w14:paraId="25826EE7" w14:textId="77777777" w:rsidR="0079653E" w:rsidRPr="00127D57" w:rsidRDefault="0079653E" w:rsidP="00127D57">
            <w:pPr>
              <w:pStyle w:val="NoSpacing"/>
            </w:pPr>
            <w:r w:rsidRPr="00127D57">
              <w:t>b</w:t>
            </w:r>
            <w:r w:rsidRPr="00127D57">
              <w:rPr>
                <w:vertAlign w:val="subscript"/>
              </w:rPr>
              <w:t>2</w:t>
            </w:r>
            <w:r w:rsidRPr="00127D57">
              <w:t xml:space="preserve"> (SE)</w:t>
            </w:r>
          </w:p>
        </w:tc>
        <w:tc>
          <w:tcPr>
            <w:tcW w:w="1345" w:type="dxa"/>
          </w:tcPr>
          <w:p w14:paraId="17E550B0" w14:textId="77777777" w:rsidR="0079653E" w:rsidRPr="00127D57" w:rsidRDefault="0079653E" w:rsidP="00127D57">
            <w:pPr>
              <w:pStyle w:val="NoSpacing"/>
            </w:pPr>
            <w:r w:rsidRPr="00127D57">
              <w:t>b</w:t>
            </w:r>
            <w:r w:rsidRPr="00127D57">
              <w:rPr>
                <w:vertAlign w:val="subscript"/>
              </w:rPr>
              <w:t>3</w:t>
            </w:r>
            <w:r w:rsidRPr="00127D57">
              <w:t xml:space="preserve"> (SE)</w:t>
            </w:r>
          </w:p>
        </w:tc>
      </w:tr>
      <w:tr w:rsidR="009C0C39" w:rsidRPr="00127D57" w14:paraId="4BDEF628" w14:textId="77777777" w:rsidTr="00703E2F">
        <w:trPr>
          <w:trHeight w:val="288"/>
        </w:trPr>
        <w:tc>
          <w:tcPr>
            <w:tcW w:w="8365" w:type="dxa"/>
          </w:tcPr>
          <w:p w14:paraId="0605769F" w14:textId="77777777" w:rsidR="0079653E" w:rsidRPr="00127D57" w:rsidRDefault="0079653E" w:rsidP="00127D57">
            <w:pPr>
              <w:pStyle w:val="NoSpacing"/>
              <w:rPr>
                <w:i/>
                <w:iCs/>
              </w:rPr>
            </w:pPr>
            <w:r w:rsidRPr="00127D57">
              <w:rPr>
                <w:i/>
                <w:iCs/>
              </w:rPr>
              <w:t>Openness to Seeking Treatment</w:t>
            </w:r>
          </w:p>
        </w:tc>
        <w:tc>
          <w:tcPr>
            <w:tcW w:w="1260" w:type="dxa"/>
          </w:tcPr>
          <w:p w14:paraId="1AA461B8" w14:textId="77777777" w:rsidR="0079653E" w:rsidRPr="00127D57" w:rsidRDefault="0079653E" w:rsidP="00127D57">
            <w:pPr>
              <w:pStyle w:val="NoSpacing"/>
            </w:pPr>
          </w:p>
        </w:tc>
        <w:tc>
          <w:tcPr>
            <w:tcW w:w="1350" w:type="dxa"/>
          </w:tcPr>
          <w:p w14:paraId="2F458CE9" w14:textId="77777777" w:rsidR="0079653E" w:rsidRPr="00127D57" w:rsidRDefault="0079653E" w:rsidP="00127D57">
            <w:pPr>
              <w:pStyle w:val="NoSpacing"/>
            </w:pPr>
          </w:p>
        </w:tc>
        <w:tc>
          <w:tcPr>
            <w:tcW w:w="1350" w:type="dxa"/>
          </w:tcPr>
          <w:p w14:paraId="1A3BA1E9" w14:textId="77777777" w:rsidR="0079653E" w:rsidRPr="00127D57" w:rsidRDefault="0079653E" w:rsidP="00127D57">
            <w:pPr>
              <w:pStyle w:val="NoSpacing"/>
            </w:pPr>
          </w:p>
        </w:tc>
        <w:tc>
          <w:tcPr>
            <w:tcW w:w="1345" w:type="dxa"/>
          </w:tcPr>
          <w:p w14:paraId="7CBF2442" w14:textId="77777777" w:rsidR="0079653E" w:rsidRPr="00127D57" w:rsidRDefault="0079653E" w:rsidP="00127D57">
            <w:pPr>
              <w:pStyle w:val="NoSpacing"/>
            </w:pPr>
          </w:p>
        </w:tc>
      </w:tr>
      <w:tr w:rsidR="009C0C39" w:rsidRPr="00127D57" w14:paraId="493ACA76" w14:textId="77777777" w:rsidTr="00703E2F">
        <w:trPr>
          <w:trHeight w:val="288"/>
        </w:trPr>
        <w:tc>
          <w:tcPr>
            <w:tcW w:w="8365" w:type="dxa"/>
          </w:tcPr>
          <w:p w14:paraId="439631E0" w14:textId="77777777" w:rsidR="0079653E" w:rsidRPr="00127D57" w:rsidRDefault="0079653E" w:rsidP="00127D57">
            <w:pPr>
              <w:pStyle w:val="NoSpacing"/>
            </w:pPr>
            <w:r w:rsidRPr="00127D57">
              <w:t>If I believe I was having a mental breakdown, my first inclination would be to get professional attention.</w:t>
            </w:r>
          </w:p>
        </w:tc>
        <w:tc>
          <w:tcPr>
            <w:tcW w:w="1260" w:type="dxa"/>
          </w:tcPr>
          <w:p w14:paraId="740433F1" w14:textId="77777777" w:rsidR="0079653E" w:rsidRPr="00127D57" w:rsidRDefault="0079653E" w:rsidP="00127D57">
            <w:pPr>
              <w:pStyle w:val="NoSpacing"/>
            </w:pPr>
            <w:r w:rsidRPr="00127D57">
              <w:t>2.18 (0.24)</w:t>
            </w:r>
          </w:p>
        </w:tc>
        <w:tc>
          <w:tcPr>
            <w:tcW w:w="1350" w:type="dxa"/>
          </w:tcPr>
          <w:p w14:paraId="60498F06" w14:textId="77777777" w:rsidR="0079653E" w:rsidRPr="00127D57" w:rsidRDefault="0079653E" w:rsidP="00127D57">
            <w:pPr>
              <w:pStyle w:val="NoSpacing"/>
            </w:pPr>
            <w:r w:rsidRPr="00127D57">
              <w:t>−1.30 (0.11)</w:t>
            </w:r>
          </w:p>
        </w:tc>
        <w:tc>
          <w:tcPr>
            <w:tcW w:w="1350" w:type="dxa"/>
          </w:tcPr>
          <w:p w14:paraId="0100B75E" w14:textId="77777777" w:rsidR="0079653E" w:rsidRPr="00127D57" w:rsidRDefault="0079653E" w:rsidP="00127D57">
            <w:pPr>
              <w:pStyle w:val="NoSpacing"/>
            </w:pPr>
            <w:r w:rsidRPr="00127D57">
              <w:t>−0.76 (0.09)</w:t>
            </w:r>
          </w:p>
        </w:tc>
        <w:tc>
          <w:tcPr>
            <w:tcW w:w="1345" w:type="dxa"/>
          </w:tcPr>
          <w:p w14:paraId="138750FE" w14:textId="77777777" w:rsidR="0079653E" w:rsidRPr="00127D57" w:rsidRDefault="0079653E" w:rsidP="00127D57">
            <w:pPr>
              <w:pStyle w:val="NoSpacing"/>
            </w:pPr>
            <w:r w:rsidRPr="00127D57">
              <w:t>−0.02 (0.08)</w:t>
            </w:r>
          </w:p>
        </w:tc>
      </w:tr>
      <w:tr w:rsidR="009C0C39" w:rsidRPr="00127D57" w14:paraId="6951554B" w14:textId="77777777" w:rsidTr="00703E2F">
        <w:trPr>
          <w:trHeight w:val="288"/>
        </w:trPr>
        <w:tc>
          <w:tcPr>
            <w:tcW w:w="8365" w:type="dxa"/>
          </w:tcPr>
          <w:p w14:paraId="6F75D9F5" w14:textId="77777777" w:rsidR="0079653E" w:rsidRPr="00127D57" w:rsidRDefault="0079653E" w:rsidP="00127D57">
            <w:pPr>
              <w:pStyle w:val="NoSpacing"/>
            </w:pPr>
            <w:r w:rsidRPr="00127D57">
              <w:t>If I were experiencing a serious emotional crisis at this point in my life, I would be confidence that I could find relief in psychotherapy.</w:t>
            </w:r>
          </w:p>
        </w:tc>
        <w:tc>
          <w:tcPr>
            <w:tcW w:w="1260" w:type="dxa"/>
          </w:tcPr>
          <w:p w14:paraId="1737804C" w14:textId="77777777" w:rsidR="0079653E" w:rsidRPr="00127D57" w:rsidRDefault="0079653E" w:rsidP="00127D57">
            <w:pPr>
              <w:pStyle w:val="NoSpacing"/>
            </w:pPr>
            <w:r w:rsidRPr="00127D57">
              <w:t>3.05 (0.37)</w:t>
            </w:r>
          </w:p>
        </w:tc>
        <w:tc>
          <w:tcPr>
            <w:tcW w:w="1350" w:type="dxa"/>
          </w:tcPr>
          <w:p w14:paraId="4741937D" w14:textId="77777777" w:rsidR="0079653E" w:rsidRPr="00127D57" w:rsidRDefault="0079653E" w:rsidP="00127D57">
            <w:pPr>
              <w:pStyle w:val="NoSpacing"/>
            </w:pPr>
            <w:r w:rsidRPr="00127D57">
              <w:t>−1.36 (0.11)</w:t>
            </w:r>
          </w:p>
        </w:tc>
        <w:tc>
          <w:tcPr>
            <w:tcW w:w="1350" w:type="dxa"/>
          </w:tcPr>
          <w:p w14:paraId="39C3FEDF" w14:textId="77777777" w:rsidR="0079653E" w:rsidRPr="00127D57" w:rsidRDefault="0079653E" w:rsidP="00127D57">
            <w:pPr>
              <w:pStyle w:val="NoSpacing"/>
            </w:pPr>
            <w:r w:rsidRPr="00127D57">
              <w:t>−0.67 (0.08)</w:t>
            </w:r>
          </w:p>
        </w:tc>
        <w:tc>
          <w:tcPr>
            <w:tcW w:w="1345" w:type="dxa"/>
          </w:tcPr>
          <w:p w14:paraId="2F159066" w14:textId="77777777" w:rsidR="0079653E" w:rsidRPr="00127D57" w:rsidRDefault="0079653E" w:rsidP="00127D57">
            <w:pPr>
              <w:pStyle w:val="NoSpacing"/>
            </w:pPr>
            <w:r w:rsidRPr="00127D57">
              <w:t>0.33 (0.07)</w:t>
            </w:r>
          </w:p>
        </w:tc>
      </w:tr>
      <w:tr w:rsidR="009C0C39" w:rsidRPr="00127D57" w14:paraId="6CAE7414" w14:textId="77777777" w:rsidTr="00703E2F">
        <w:trPr>
          <w:trHeight w:val="288"/>
        </w:trPr>
        <w:tc>
          <w:tcPr>
            <w:tcW w:w="8365" w:type="dxa"/>
          </w:tcPr>
          <w:p w14:paraId="70421FF2" w14:textId="77777777" w:rsidR="0079653E" w:rsidRPr="00127D57" w:rsidRDefault="0079653E" w:rsidP="00127D57">
            <w:pPr>
              <w:pStyle w:val="NoSpacing"/>
            </w:pPr>
            <w:r w:rsidRPr="00127D57">
              <w:t>I would want to get psychological help if I were worried or upset for a long period of time.</w:t>
            </w:r>
          </w:p>
        </w:tc>
        <w:tc>
          <w:tcPr>
            <w:tcW w:w="1260" w:type="dxa"/>
          </w:tcPr>
          <w:p w14:paraId="33D070DD" w14:textId="77777777" w:rsidR="0079653E" w:rsidRPr="00127D57" w:rsidRDefault="0079653E" w:rsidP="00127D57">
            <w:pPr>
              <w:pStyle w:val="NoSpacing"/>
            </w:pPr>
            <w:r w:rsidRPr="00127D57">
              <w:t>3.03 (0.37)</w:t>
            </w:r>
          </w:p>
        </w:tc>
        <w:tc>
          <w:tcPr>
            <w:tcW w:w="1350" w:type="dxa"/>
          </w:tcPr>
          <w:p w14:paraId="5E86A221" w14:textId="77777777" w:rsidR="0079653E" w:rsidRPr="00127D57" w:rsidRDefault="0079653E" w:rsidP="00127D57">
            <w:pPr>
              <w:pStyle w:val="NoSpacing"/>
            </w:pPr>
            <w:r w:rsidRPr="00127D57">
              <w:t>−1.42 (0.11)</w:t>
            </w:r>
          </w:p>
        </w:tc>
        <w:tc>
          <w:tcPr>
            <w:tcW w:w="1350" w:type="dxa"/>
          </w:tcPr>
          <w:p w14:paraId="6E06AFA4" w14:textId="77777777" w:rsidR="0079653E" w:rsidRPr="00127D57" w:rsidRDefault="0079653E" w:rsidP="00127D57">
            <w:pPr>
              <w:pStyle w:val="NoSpacing"/>
            </w:pPr>
            <w:r w:rsidRPr="00127D57">
              <w:t>−0.79 (0.08)</w:t>
            </w:r>
          </w:p>
        </w:tc>
        <w:tc>
          <w:tcPr>
            <w:tcW w:w="1345" w:type="dxa"/>
          </w:tcPr>
          <w:p w14:paraId="118D16C0" w14:textId="77777777" w:rsidR="0079653E" w:rsidRPr="00127D57" w:rsidRDefault="0079653E" w:rsidP="00127D57">
            <w:pPr>
              <w:pStyle w:val="NoSpacing"/>
            </w:pPr>
            <w:r w:rsidRPr="00127D57">
              <w:t>0.23 (0.07)</w:t>
            </w:r>
          </w:p>
        </w:tc>
      </w:tr>
      <w:tr w:rsidR="009C0C39" w:rsidRPr="00127D57" w14:paraId="73090083" w14:textId="77777777" w:rsidTr="00703E2F">
        <w:trPr>
          <w:trHeight w:val="288"/>
        </w:trPr>
        <w:tc>
          <w:tcPr>
            <w:tcW w:w="8365" w:type="dxa"/>
          </w:tcPr>
          <w:p w14:paraId="7BA8032C" w14:textId="77777777" w:rsidR="0079653E" w:rsidRPr="00127D57" w:rsidRDefault="0079653E" w:rsidP="00127D57">
            <w:pPr>
              <w:pStyle w:val="NoSpacing"/>
            </w:pPr>
            <w:r w:rsidRPr="00127D57">
              <w:t>I might want to have psychological counseling in the future.</w:t>
            </w:r>
          </w:p>
        </w:tc>
        <w:tc>
          <w:tcPr>
            <w:tcW w:w="1260" w:type="dxa"/>
          </w:tcPr>
          <w:p w14:paraId="778E9C01" w14:textId="77777777" w:rsidR="0079653E" w:rsidRPr="00127D57" w:rsidRDefault="0079653E" w:rsidP="00127D57">
            <w:pPr>
              <w:pStyle w:val="NoSpacing"/>
            </w:pPr>
            <w:r w:rsidRPr="00127D57">
              <w:t>1.31 (0.15)</w:t>
            </w:r>
          </w:p>
        </w:tc>
        <w:tc>
          <w:tcPr>
            <w:tcW w:w="1350" w:type="dxa"/>
          </w:tcPr>
          <w:p w14:paraId="3503B74B" w14:textId="77777777" w:rsidR="0079653E" w:rsidRPr="00127D57" w:rsidRDefault="0079653E" w:rsidP="00127D57">
            <w:pPr>
              <w:pStyle w:val="NoSpacing"/>
            </w:pPr>
            <w:r w:rsidRPr="00127D57">
              <w:t>−1.22 (0.14)</w:t>
            </w:r>
          </w:p>
        </w:tc>
        <w:tc>
          <w:tcPr>
            <w:tcW w:w="1350" w:type="dxa"/>
          </w:tcPr>
          <w:p w14:paraId="6A9B857F" w14:textId="77777777" w:rsidR="0079653E" w:rsidRPr="00127D57" w:rsidRDefault="0079653E" w:rsidP="00127D57">
            <w:pPr>
              <w:pStyle w:val="NoSpacing"/>
            </w:pPr>
            <w:r w:rsidRPr="00127D57">
              <w:t>−0.30 (0.10)</w:t>
            </w:r>
          </w:p>
        </w:tc>
        <w:tc>
          <w:tcPr>
            <w:tcW w:w="1345" w:type="dxa"/>
          </w:tcPr>
          <w:p w14:paraId="6B5D3D63" w14:textId="77777777" w:rsidR="0079653E" w:rsidRPr="00127D57" w:rsidRDefault="0079653E" w:rsidP="00127D57">
            <w:pPr>
              <w:pStyle w:val="NoSpacing"/>
            </w:pPr>
            <w:r w:rsidRPr="00127D57">
              <w:t>1.13 (0.15)</w:t>
            </w:r>
          </w:p>
        </w:tc>
      </w:tr>
      <w:tr w:rsidR="009C0C39" w:rsidRPr="00127D57" w14:paraId="02DA8081" w14:textId="77777777" w:rsidTr="00703E2F">
        <w:trPr>
          <w:trHeight w:val="288"/>
        </w:trPr>
        <w:tc>
          <w:tcPr>
            <w:tcW w:w="8365" w:type="dxa"/>
          </w:tcPr>
          <w:p w14:paraId="3B65A40A" w14:textId="77777777" w:rsidR="0079653E" w:rsidRPr="009C0C39" w:rsidRDefault="0079653E" w:rsidP="00127D57">
            <w:pPr>
              <w:pStyle w:val="NoSpacing"/>
              <w:rPr>
                <w:i/>
                <w:iCs/>
              </w:rPr>
            </w:pPr>
            <w:r w:rsidRPr="009C0C39">
              <w:rPr>
                <w:i/>
                <w:iCs/>
              </w:rPr>
              <w:t>Value and Need in Seeking Treatment</w:t>
            </w:r>
          </w:p>
        </w:tc>
        <w:tc>
          <w:tcPr>
            <w:tcW w:w="1260" w:type="dxa"/>
          </w:tcPr>
          <w:p w14:paraId="4552F69D" w14:textId="77777777" w:rsidR="0079653E" w:rsidRPr="00127D57" w:rsidRDefault="0079653E" w:rsidP="00127D57">
            <w:pPr>
              <w:pStyle w:val="NoSpacing"/>
            </w:pPr>
          </w:p>
        </w:tc>
        <w:tc>
          <w:tcPr>
            <w:tcW w:w="1350" w:type="dxa"/>
          </w:tcPr>
          <w:p w14:paraId="1ACBBCDB" w14:textId="77777777" w:rsidR="0079653E" w:rsidRPr="00127D57" w:rsidRDefault="0079653E" w:rsidP="00127D57">
            <w:pPr>
              <w:pStyle w:val="NoSpacing"/>
            </w:pPr>
          </w:p>
        </w:tc>
        <w:tc>
          <w:tcPr>
            <w:tcW w:w="1350" w:type="dxa"/>
          </w:tcPr>
          <w:p w14:paraId="1518CC8B" w14:textId="77777777" w:rsidR="0079653E" w:rsidRPr="00127D57" w:rsidRDefault="0079653E" w:rsidP="00127D57">
            <w:pPr>
              <w:pStyle w:val="NoSpacing"/>
            </w:pPr>
          </w:p>
        </w:tc>
        <w:tc>
          <w:tcPr>
            <w:tcW w:w="1345" w:type="dxa"/>
          </w:tcPr>
          <w:p w14:paraId="736B9FB3" w14:textId="77777777" w:rsidR="0079653E" w:rsidRPr="00127D57" w:rsidRDefault="0079653E" w:rsidP="00127D57">
            <w:pPr>
              <w:pStyle w:val="NoSpacing"/>
            </w:pPr>
          </w:p>
        </w:tc>
      </w:tr>
      <w:tr w:rsidR="009C0C39" w:rsidRPr="00127D57" w14:paraId="6D4E483D" w14:textId="77777777" w:rsidTr="00703E2F">
        <w:trPr>
          <w:trHeight w:val="288"/>
        </w:trPr>
        <w:tc>
          <w:tcPr>
            <w:tcW w:w="8365" w:type="dxa"/>
          </w:tcPr>
          <w:p w14:paraId="13808CB0" w14:textId="77777777" w:rsidR="0079653E" w:rsidRPr="00127D57" w:rsidRDefault="0079653E" w:rsidP="00127D57">
            <w:pPr>
              <w:pStyle w:val="NoSpacing"/>
            </w:pPr>
            <w:r w:rsidRPr="00127D57">
              <w:t>The idea of talking about problems with a psychologist strikes me as a poor way to get rid of emotional conflict.</w:t>
            </w:r>
          </w:p>
        </w:tc>
        <w:tc>
          <w:tcPr>
            <w:tcW w:w="1260" w:type="dxa"/>
          </w:tcPr>
          <w:p w14:paraId="45A1FBC7" w14:textId="77777777" w:rsidR="0079653E" w:rsidRPr="00127D57" w:rsidRDefault="0079653E" w:rsidP="00127D57">
            <w:pPr>
              <w:pStyle w:val="NoSpacing"/>
            </w:pPr>
            <w:r w:rsidRPr="00127D57">
              <w:t>1.36 (0.18)</w:t>
            </w:r>
          </w:p>
        </w:tc>
        <w:tc>
          <w:tcPr>
            <w:tcW w:w="1350" w:type="dxa"/>
          </w:tcPr>
          <w:p w14:paraId="7244E8D7" w14:textId="77777777" w:rsidR="0079653E" w:rsidRPr="00127D57" w:rsidRDefault="0079653E" w:rsidP="00127D57">
            <w:pPr>
              <w:pStyle w:val="NoSpacing"/>
            </w:pPr>
            <w:r w:rsidRPr="00127D57">
              <w:t>−0.21 (0.09)</w:t>
            </w:r>
          </w:p>
        </w:tc>
        <w:tc>
          <w:tcPr>
            <w:tcW w:w="1350" w:type="dxa"/>
          </w:tcPr>
          <w:p w14:paraId="58A5815B" w14:textId="77777777" w:rsidR="0079653E" w:rsidRPr="00127D57" w:rsidRDefault="0079653E" w:rsidP="00127D57">
            <w:pPr>
              <w:pStyle w:val="NoSpacing"/>
            </w:pPr>
            <w:r w:rsidRPr="00127D57">
              <w:t>0.75 (0.11)</w:t>
            </w:r>
          </w:p>
        </w:tc>
        <w:tc>
          <w:tcPr>
            <w:tcW w:w="1345" w:type="dxa"/>
          </w:tcPr>
          <w:p w14:paraId="606066A2" w14:textId="77777777" w:rsidR="0079653E" w:rsidRPr="00127D57" w:rsidRDefault="0079653E" w:rsidP="00127D57">
            <w:pPr>
              <w:pStyle w:val="NoSpacing"/>
            </w:pPr>
            <w:r w:rsidRPr="00127D57">
              <w:t>1.94 (0.21)</w:t>
            </w:r>
          </w:p>
        </w:tc>
      </w:tr>
      <w:tr w:rsidR="009C0C39" w:rsidRPr="00127D57" w14:paraId="28EB83C6" w14:textId="77777777" w:rsidTr="00703E2F">
        <w:trPr>
          <w:trHeight w:val="288"/>
        </w:trPr>
        <w:tc>
          <w:tcPr>
            <w:tcW w:w="8365" w:type="dxa"/>
          </w:tcPr>
          <w:p w14:paraId="6F3641DF" w14:textId="77777777" w:rsidR="0079653E" w:rsidRPr="00127D57" w:rsidRDefault="0079653E" w:rsidP="00127D57">
            <w:pPr>
              <w:pStyle w:val="NoSpacing"/>
            </w:pPr>
            <w:r w:rsidRPr="00127D57">
              <w:t>There is something admirable in the attitude of a person who is willing to cope with his or her conflicts and fears without resorting to professional help.</w:t>
            </w:r>
          </w:p>
        </w:tc>
        <w:tc>
          <w:tcPr>
            <w:tcW w:w="1260" w:type="dxa"/>
          </w:tcPr>
          <w:p w14:paraId="0F89EFA4" w14:textId="77777777" w:rsidR="0079653E" w:rsidRPr="00127D57" w:rsidRDefault="0079653E" w:rsidP="00127D57">
            <w:pPr>
              <w:pStyle w:val="NoSpacing"/>
            </w:pPr>
            <w:r w:rsidRPr="00127D57">
              <w:t>1.02 (0.14)</w:t>
            </w:r>
          </w:p>
        </w:tc>
        <w:tc>
          <w:tcPr>
            <w:tcW w:w="1350" w:type="dxa"/>
          </w:tcPr>
          <w:p w14:paraId="39BB2226" w14:textId="77777777" w:rsidR="0079653E" w:rsidRPr="00127D57" w:rsidRDefault="0079653E" w:rsidP="00127D57">
            <w:pPr>
              <w:pStyle w:val="NoSpacing"/>
            </w:pPr>
            <w:r w:rsidRPr="00127D57">
              <w:t>−1.42 (0.20)</w:t>
            </w:r>
          </w:p>
        </w:tc>
        <w:tc>
          <w:tcPr>
            <w:tcW w:w="1350" w:type="dxa"/>
          </w:tcPr>
          <w:p w14:paraId="5B19CECA" w14:textId="77777777" w:rsidR="0079653E" w:rsidRPr="00127D57" w:rsidRDefault="0079653E" w:rsidP="00127D57">
            <w:pPr>
              <w:pStyle w:val="NoSpacing"/>
            </w:pPr>
            <w:r w:rsidRPr="00127D57">
              <w:t>−0.13 (0.11)</w:t>
            </w:r>
          </w:p>
        </w:tc>
        <w:tc>
          <w:tcPr>
            <w:tcW w:w="1345" w:type="dxa"/>
          </w:tcPr>
          <w:p w14:paraId="081F0410" w14:textId="77777777" w:rsidR="0079653E" w:rsidRPr="00127D57" w:rsidRDefault="0079653E" w:rsidP="00127D57">
            <w:pPr>
              <w:pStyle w:val="NoSpacing"/>
            </w:pPr>
            <w:r w:rsidRPr="00127D57">
              <w:t>1.38 (0.19)</w:t>
            </w:r>
          </w:p>
        </w:tc>
      </w:tr>
      <w:tr w:rsidR="009C0C39" w:rsidRPr="00127D57" w14:paraId="64650100" w14:textId="77777777" w:rsidTr="00703E2F">
        <w:trPr>
          <w:trHeight w:val="288"/>
        </w:trPr>
        <w:tc>
          <w:tcPr>
            <w:tcW w:w="8365" w:type="dxa"/>
          </w:tcPr>
          <w:p w14:paraId="6E2B11FA" w14:textId="77777777" w:rsidR="0079653E" w:rsidRPr="00127D57" w:rsidRDefault="0079653E" w:rsidP="00127D57">
            <w:pPr>
              <w:pStyle w:val="NoSpacing"/>
            </w:pPr>
            <w:r w:rsidRPr="00127D57">
              <w:t>Considering the time and expense involved in psychotherapy, it would have doubtful value for a person like me.</w:t>
            </w:r>
          </w:p>
        </w:tc>
        <w:tc>
          <w:tcPr>
            <w:tcW w:w="1260" w:type="dxa"/>
          </w:tcPr>
          <w:p w14:paraId="055D95DD" w14:textId="77777777" w:rsidR="0079653E" w:rsidRPr="00127D57" w:rsidRDefault="0079653E" w:rsidP="00127D57">
            <w:pPr>
              <w:pStyle w:val="NoSpacing"/>
            </w:pPr>
            <w:r w:rsidRPr="00127D57">
              <w:t>1.44 (0.18)</w:t>
            </w:r>
          </w:p>
        </w:tc>
        <w:tc>
          <w:tcPr>
            <w:tcW w:w="1350" w:type="dxa"/>
          </w:tcPr>
          <w:p w14:paraId="724B0471" w14:textId="77777777" w:rsidR="0079653E" w:rsidRPr="00127D57" w:rsidRDefault="0079653E" w:rsidP="00127D57">
            <w:pPr>
              <w:pStyle w:val="NoSpacing"/>
            </w:pPr>
            <w:r w:rsidRPr="00127D57">
              <w:t>−0.85 (0.12)</w:t>
            </w:r>
          </w:p>
        </w:tc>
        <w:tc>
          <w:tcPr>
            <w:tcW w:w="1350" w:type="dxa"/>
          </w:tcPr>
          <w:p w14:paraId="42F655FE" w14:textId="77777777" w:rsidR="0079653E" w:rsidRPr="00127D57" w:rsidRDefault="0079653E" w:rsidP="00127D57">
            <w:pPr>
              <w:pStyle w:val="NoSpacing"/>
            </w:pPr>
            <w:r w:rsidRPr="00127D57">
              <w:t>0.28 (0.09)</w:t>
            </w:r>
          </w:p>
        </w:tc>
        <w:tc>
          <w:tcPr>
            <w:tcW w:w="1345" w:type="dxa"/>
          </w:tcPr>
          <w:p w14:paraId="7F4DBD52" w14:textId="77777777" w:rsidR="0079653E" w:rsidRPr="00127D57" w:rsidRDefault="0079653E" w:rsidP="00127D57">
            <w:pPr>
              <w:pStyle w:val="NoSpacing"/>
            </w:pPr>
            <w:r w:rsidRPr="00127D57">
              <w:t>1.67 (0.18)</w:t>
            </w:r>
          </w:p>
        </w:tc>
      </w:tr>
      <w:tr w:rsidR="009C0C39" w:rsidRPr="00127D57" w14:paraId="0C4E6FA4" w14:textId="77777777" w:rsidTr="00703E2F">
        <w:trPr>
          <w:trHeight w:val="288"/>
        </w:trPr>
        <w:tc>
          <w:tcPr>
            <w:tcW w:w="8365" w:type="dxa"/>
          </w:tcPr>
          <w:p w14:paraId="11E453EA" w14:textId="77777777" w:rsidR="0079653E" w:rsidRPr="00127D57" w:rsidRDefault="0079653E" w:rsidP="00127D57">
            <w:pPr>
              <w:pStyle w:val="NoSpacing"/>
            </w:pPr>
            <w:r w:rsidRPr="00127D57">
              <w:t>A person should work out his or her own problems; getting psychological counseling would be a last resort.</w:t>
            </w:r>
          </w:p>
        </w:tc>
        <w:tc>
          <w:tcPr>
            <w:tcW w:w="1260" w:type="dxa"/>
          </w:tcPr>
          <w:p w14:paraId="7F73F598" w14:textId="77777777" w:rsidR="0079653E" w:rsidRPr="00127D57" w:rsidRDefault="0079653E" w:rsidP="00127D57">
            <w:pPr>
              <w:pStyle w:val="NoSpacing"/>
            </w:pPr>
            <w:r w:rsidRPr="00127D57">
              <w:t>1.92 (0.25)</w:t>
            </w:r>
          </w:p>
        </w:tc>
        <w:tc>
          <w:tcPr>
            <w:tcW w:w="1350" w:type="dxa"/>
          </w:tcPr>
          <w:p w14:paraId="1EA1D443" w14:textId="77777777" w:rsidR="0079653E" w:rsidRPr="00127D57" w:rsidRDefault="0079653E" w:rsidP="00127D57">
            <w:pPr>
              <w:pStyle w:val="NoSpacing"/>
            </w:pPr>
            <w:r w:rsidRPr="00127D57">
              <w:t>−0.58 (0.09)</w:t>
            </w:r>
          </w:p>
        </w:tc>
        <w:tc>
          <w:tcPr>
            <w:tcW w:w="1350" w:type="dxa"/>
          </w:tcPr>
          <w:p w14:paraId="4158D48C" w14:textId="77777777" w:rsidR="0079653E" w:rsidRPr="00127D57" w:rsidRDefault="0079653E" w:rsidP="00127D57">
            <w:pPr>
              <w:pStyle w:val="NoSpacing"/>
            </w:pPr>
            <w:r w:rsidRPr="00127D57">
              <w:t>0.30 (0.08)</w:t>
            </w:r>
          </w:p>
        </w:tc>
        <w:tc>
          <w:tcPr>
            <w:tcW w:w="1345" w:type="dxa"/>
          </w:tcPr>
          <w:p w14:paraId="07DEE045" w14:textId="77777777" w:rsidR="0079653E" w:rsidRPr="00127D57" w:rsidRDefault="0079653E" w:rsidP="00127D57">
            <w:pPr>
              <w:pStyle w:val="NoSpacing"/>
            </w:pPr>
            <w:r w:rsidRPr="00127D57">
              <w:t>1.33 (0.14)</w:t>
            </w:r>
          </w:p>
        </w:tc>
      </w:tr>
      <w:tr w:rsidR="009C0C39" w:rsidRPr="00127D57" w14:paraId="65C66A52" w14:textId="77777777" w:rsidTr="00703E2F">
        <w:trPr>
          <w:trHeight w:val="288"/>
        </w:trPr>
        <w:tc>
          <w:tcPr>
            <w:tcW w:w="8365" w:type="dxa"/>
          </w:tcPr>
          <w:p w14:paraId="381D9F60" w14:textId="77777777" w:rsidR="0079653E" w:rsidRPr="00127D57" w:rsidRDefault="0079653E" w:rsidP="00127D57">
            <w:pPr>
              <w:pStyle w:val="NoSpacing"/>
            </w:pPr>
            <w:r w:rsidRPr="00127D57">
              <w:t>Personal and emotional troubles, like many things, tend to work out by themselves.</w:t>
            </w:r>
          </w:p>
        </w:tc>
        <w:tc>
          <w:tcPr>
            <w:tcW w:w="1260" w:type="dxa"/>
          </w:tcPr>
          <w:p w14:paraId="6377F393" w14:textId="77777777" w:rsidR="0079653E" w:rsidRPr="00127D57" w:rsidRDefault="0079653E" w:rsidP="00127D57">
            <w:pPr>
              <w:pStyle w:val="NoSpacing"/>
            </w:pPr>
            <w:r w:rsidRPr="00127D57">
              <w:t>1.76 (0.22)</w:t>
            </w:r>
          </w:p>
        </w:tc>
        <w:tc>
          <w:tcPr>
            <w:tcW w:w="1350" w:type="dxa"/>
          </w:tcPr>
          <w:p w14:paraId="0BC8361B" w14:textId="77777777" w:rsidR="0079653E" w:rsidRPr="00127D57" w:rsidRDefault="0079653E" w:rsidP="00127D57">
            <w:pPr>
              <w:pStyle w:val="NoSpacing"/>
            </w:pPr>
            <w:r w:rsidRPr="00127D57">
              <w:t>−0.52 (0.09)</w:t>
            </w:r>
          </w:p>
        </w:tc>
        <w:tc>
          <w:tcPr>
            <w:tcW w:w="1350" w:type="dxa"/>
          </w:tcPr>
          <w:p w14:paraId="1AD06C46" w14:textId="77777777" w:rsidR="0079653E" w:rsidRPr="00127D57" w:rsidRDefault="0079653E" w:rsidP="00127D57">
            <w:pPr>
              <w:pStyle w:val="NoSpacing"/>
            </w:pPr>
            <w:r w:rsidRPr="00127D57">
              <w:t>0.39 (0.09)</w:t>
            </w:r>
          </w:p>
        </w:tc>
        <w:tc>
          <w:tcPr>
            <w:tcW w:w="1345" w:type="dxa"/>
          </w:tcPr>
          <w:p w14:paraId="48D67153" w14:textId="77777777" w:rsidR="0079653E" w:rsidRPr="00127D57" w:rsidRDefault="0079653E" w:rsidP="00127D57">
            <w:pPr>
              <w:pStyle w:val="NoSpacing"/>
            </w:pPr>
            <w:r w:rsidRPr="00127D57">
              <w:t>1.78 (0.17)</w:t>
            </w:r>
          </w:p>
        </w:tc>
      </w:tr>
    </w:tbl>
    <w:p w14:paraId="0672C650" w14:textId="0BE18EE8" w:rsidR="00393398" w:rsidRPr="009C0C39" w:rsidRDefault="009C0C39" w:rsidP="009C0C39">
      <w:pPr>
        <w:pStyle w:val="NoSpacing"/>
      </w:pPr>
      <w:r w:rsidRPr="009C0C39">
        <w:t>Note. SE = standard error.</w:t>
      </w:r>
    </w:p>
    <w:p w14:paraId="0E8B32A1" w14:textId="77777777" w:rsidR="009C0C39" w:rsidRDefault="009C0C39" w:rsidP="00055C42">
      <w:pPr>
        <w:rPr>
          <w:noProof/>
        </w:rPr>
        <w:sectPr w:rsidR="009C0C39" w:rsidSect="009C0C39">
          <w:pgSz w:w="15840" w:h="12240" w:orient="landscape"/>
          <w:pgMar w:top="1080" w:right="1080" w:bottom="1080" w:left="1080" w:header="720" w:footer="720" w:gutter="0"/>
          <w:cols w:space="720"/>
          <w:docGrid w:linePitch="360"/>
        </w:sectPr>
      </w:pPr>
    </w:p>
    <w:p w14:paraId="4B77DD62" w14:textId="77777777" w:rsidR="009C0C39" w:rsidRDefault="009C0C39" w:rsidP="00055C42">
      <w:pPr>
        <w:rPr>
          <w:noProof/>
        </w:rPr>
      </w:pPr>
    </w:p>
    <w:p w14:paraId="34E69FA5" w14:textId="72EEBA8E" w:rsidR="00055C42" w:rsidRPr="00055C42" w:rsidRDefault="00055C42" w:rsidP="009C0C39">
      <w:pPr>
        <w:pStyle w:val="NoSpacing"/>
      </w:pPr>
      <w:r w:rsidRPr="00055C42">
        <w:rPr>
          <w:noProof/>
        </w:rPr>
        <w:drawing>
          <wp:inline distT="0" distB="0" distL="0" distR="0" wp14:anchorId="5578579F" wp14:editId="1DAD092D">
            <wp:extent cx="4763135" cy="2360295"/>
            <wp:effectExtent l="0" t="0" r="0" b="1905"/>
            <wp:docPr id="2" name="Picture 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3135" cy="2360295"/>
                    </a:xfrm>
                    <a:prstGeom prst="rect">
                      <a:avLst/>
                    </a:prstGeom>
                    <a:noFill/>
                    <a:ln>
                      <a:noFill/>
                    </a:ln>
                  </pic:spPr>
                </pic:pic>
              </a:graphicData>
            </a:graphic>
          </wp:inline>
        </w:drawing>
      </w:r>
    </w:p>
    <w:p w14:paraId="0E873E5B" w14:textId="77777777" w:rsidR="00055C42" w:rsidRPr="00055C42" w:rsidRDefault="00055C42" w:rsidP="009C0C39">
      <w:pPr>
        <w:pStyle w:val="NoSpacing"/>
      </w:pPr>
      <w:r w:rsidRPr="00055C42">
        <w:rPr>
          <w:b/>
          <w:bCs/>
        </w:rPr>
        <w:t>Figure 2.</w:t>
      </w:r>
      <w:r w:rsidRPr="00055C42">
        <w:t> Item information curves for openness to seeking treatment and value and need in seeking treatment scales.</w:t>
      </w:r>
    </w:p>
    <w:p w14:paraId="756FF27C" w14:textId="77777777" w:rsidR="00055C42" w:rsidRDefault="00055C42" w:rsidP="009C0C39">
      <w:pPr>
        <w:pStyle w:val="NoSpacing"/>
      </w:pPr>
      <w:r w:rsidRPr="00055C42">
        <w:rPr>
          <w:i/>
          <w:iCs/>
        </w:rPr>
        <w:t>Note</w:t>
      </w:r>
      <w:r w:rsidRPr="00055C42">
        <w:t>. The solid black lines represent the average item information for each scale.</w:t>
      </w:r>
    </w:p>
    <w:p w14:paraId="2FA56919" w14:textId="77777777" w:rsidR="009C0C39" w:rsidRPr="00055C42" w:rsidRDefault="009C0C39" w:rsidP="00055C42"/>
    <w:p w14:paraId="62B67F8C" w14:textId="77777777" w:rsidR="00055C42" w:rsidRPr="00055C42" w:rsidRDefault="00055C42" w:rsidP="009C0C39">
      <w:pPr>
        <w:pStyle w:val="Heading2"/>
      </w:pPr>
      <w:r w:rsidRPr="00055C42">
        <w:t>Group Differences</w:t>
      </w:r>
    </w:p>
    <w:p w14:paraId="0E480B7C" w14:textId="110CD7C1" w:rsidR="00055C42" w:rsidRPr="00055C42" w:rsidRDefault="00055C42" w:rsidP="00055C42">
      <w:r w:rsidRPr="00055C42">
        <w:t>The item parameters in </w:t>
      </w:r>
      <w:r w:rsidRPr="006A29B3">
        <w:t>Table 6</w:t>
      </w:r>
      <w:r w:rsidRPr="00055C42">
        <w:t> were used to estimate IRT scale scores for the entire sample for both subscales. Mean differences were then examined for each pair of groups. People taking the questionnaire in Spanish (</w:t>
      </w:r>
      <w:r w:rsidRPr="00055C42">
        <w:rPr>
          <w:i/>
          <w:iCs/>
        </w:rPr>
        <w:t>M</w:t>
      </w:r>
      <w:r w:rsidRPr="00055C42">
        <w:t> = 0.21, </w:t>
      </w:r>
      <w:r w:rsidRPr="00055C42">
        <w:rPr>
          <w:i/>
          <w:iCs/>
        </w:rPr>
        <w:t>SD</w:t>
      </w:r>
      <w:r w:rsidRPr="00055C42">
        <w:t> = 0.93) are significantly more open to seeking treatment than those taking the questionnaire in English (</w:t>
      </w:r>
      <w:r w:rsidRPr="00055C42">
        <w:rPr>
          <w:i/>
          <w:iCs/>
        </w:rPr>
        <w:t>M</w:t>
      </w:r>
      <w:r w:rsidRPr="00055C42">
        <w:t> = −0.09, </w:t>
      </w:r>
      <w:r w:rsidRPr="00055C42">
        <w:rPr>
          <w:i/>
          <w:iCs/>
        </w:rPr>
        <w:t>SD</w:t>
      </w:r>
      <w:r w:rsidRPr="00055C42">
        <w:t> = 0.87) by more than one third of a standard deviation, </w:t>
      </w:r>
      <w:proofErr w:type="gramStart"/>
      <w:r w:rsidRPr="00055C42">
        <w:rPr>
          <w:i/>
          <w:iCs/>
        </w:rPr>
        <w:t>t</w:t>
      </w:r>
      <w:r w:rsidRPr="00055C42">
        <w:t>(</w:t>
      </w:r>
      <w:proofErr w:type="gramEnd"/>
      <w:r w:rsidRPr="00055C42">
        <w:t>425) = 3.24, </w:t>
      </w:r>
      <w:r w:rsidRPr="00055C42">
        <w:rPr>
          <w:i/>
          <w:iCs/>
        </w:rPr>
        <w:t>p</w:t>
      </w:r>
      <w:r w:rsidRPr="00055C42">
        <w:t> = .001, 95% CI = [0.12, 0.48], </w:t>
      </w:r>
      <w:r w:rsidRPr="00055C42">
        <w:rPr>
          <w:i/>
          <w:iCs/>
        </w:rPr>
        <w:t>d</w:t>
      </w:r>
      <w:r w:rsidRPr="00055C42">
        <w:t> = 0.38. Those who are foreign-born (</w:t>
      </w:r>
      <w:r w:rsidRPr="00055C42">
        <w:rPr>
          <w:i/>
          <w:iCs/>
        </w:rPr>
        <w:t>M =</w:t>
      </w:r>
      <w:r w:rsidRPr="00055C42">
        <w:t> 0.16, </w:t>
      </w:r>
      <w:r w:rsidRPr="00055C42">
        <w:rPr>
          <w:i/>
          <w:iCs/>
        </w:rPr>
        <w:t>SD</w:t>
      </w:r>
      <w:r w:rsidRPr="00055C42">
        <w:t> = 0.95) are also significantly more open to seeking treatment that those who are U.S.-born (</w:t>
      </w:r>
      <w:r w:rsidRPr="00055C42">
        <w:rPr>
          <w:i/>
          <w:iCs/>
        </w:rPr>
        <w:t>M =</w:t>
      </w:r>
      <w:r w:rsidRPr="00055C42">
        <w:t> −0.10, </w:t>
      </w:r>
      <w:r w:rsidRPr="00055C42">
        <w:rPr>
          <w:i/>
          <w:iCs/>
        </w:rPr>
        <w:t>SD</w:t>
      </w:r>
      <w:r w:rsidRPr="00055C42">
        <w:t> = 0.85), though the magnitude of the difference is slightly smaller, </w:t>
      </w:r>
      <w:proofErr w:type="gramStart"/>
      <w:r w:rsidRPr="00055C42">
        <w:rPr>
          <w:i/>
          <w:iCs/>
        </w:rPr>
        <w:t>t</w:t>
      </w:r>
      <w:r w:rsidRPr="00055C42">
        <w:t>(</w:t>
      </w:r>
      <w:proofErr w:type="gramEnd"/>
      <w:r w:rsidRPr="00055C42">
        <w:t>422) = 2.94, </w:t>
      </w:r>
      <w:r w:rsidRPr="00055C42">
        <w:rPr>
          <w:i/>
          <w:iCs/>
        </w:rPr>
        <w:t>p</w:t>
      </w:r>
      <w:r w:rsidRPr="00055C42">
        <w:t> = .003, 95% CI = [0.02, 0.26], </w:t>
      </w:r>
      <w:r w:rsidRPr="00055C42">
        <w:rPr>
          <w:i/>
          <w:iCs/>
        </w:rPr>
        <w:t>d</w:t>
      </w:r>
      <w:r w:rsidRPr="00055C42">
        <w:t> = 0.29. Finally, women (</w:t>
      </w:r>
      <w:r w:rsidRPr="00055C42">
        <w:rPr>
          <w:i/>
          <w:iCs/>
        </w:rPr>
        <w:t>M =</w:t>
      </w:r>
      <w:r w:rsidRPr="00055C42">
        <w:t> 0.09, </w:t>
      </w:r>
      <w:r w:rsidRPr="00055C42">
        <w:rPr>
          <w:i/>
          <w:iCs/>
        </w:rPr>
        <w:t>SD</w:t>
      </w:r>
      <w:r w:rsidRPr="00055C42">
        <w:t> = 0.88) are significantly more open to seeking treatment than men (</w:t>
      </w:r>
      <w:r w:rsidRPr="00055C42">
        <w:rPr>
          <w:i/>
          <w:iCs/>
        </w:rPr>
        <w:t>M =</w:t>
      </w:r>
      <w:r w:rsidRPr="00055C42">
        <w:t> −0.17, </w:t>
      </w:r>
      <w:r w:rsidRPr="00055C42">
        <w:rPr>
          <w:i/>
          <w:iCs/>
        </w:rPr>
        <w:t>SD</w:t>
      </w:r>
      <w:r w:rsidRPr="00055C42">
        <w:t> = 0.91) by just under one third of a standard deviation, </w:t>
      </w:r>
      <w:proofErr w:type="gramStart"/>
      <w:r w:rsidRPr="00055C42">
        <w:rPr>
          <w:i/>
          <w:iCs/>
        </w:rPr>
        <w:t>t</w:t>
      </w:r>
      <w:r w:rsidRPr="00055C42">
        <w:t>(</w:t>
      </w:r>
      <w:proofErr w:type="gramEnd"/>
      <w:r w:rsidRPr="00055C42">
        <w:t>417) = 2.78, </w:t>
      </w:r>
      <w:r w:rsidRPr="00055C42">
        <w:rPr>
          <w:i/>
          <w:iCs/>
        </w:rPr>
        <w:t>p</w:t>
      </w:r>
      <w:r w:rsidRPr="00055C42">
        <w:t> = .006, 95% CI = [−0.03, 0.25], </w:t>
      </w:r>
      <w:r w:rsidRPr="00055C42">
        <w:rPr>
          <w:i/>
          <w:iCs/>
        </w:rPr>
        <w:t>d</w:t>
      </w:r>
      <w:r w:rsidRPr="00055C42">
        <w:t> = 0.29.</w:t>
      </w:r>
    </w:p>
    <w:p w14:paraId="7CED3D8E" w14:textId="77777777" w:rsidR="00055C42" w:rsidRPr="00055C42" w:rsidRDefault="00055C42" w:rsidP="00055C42">
      <w:r w:rsidRPr="00055C42">
        <w:t>Individuals who took the questionnaire in Spanish (</w:t>
      </w:r>
      <w:r w:rsidRPr="00055C42">
        <w:rPr>
          <w:i/>
          <w:iCs/>
        </w:rPr>
        <w:t>M</w:t>
      </w:r>
      <w:r w:rsidRPr="00055C42">
        <w:t> = 0.14, </w:t>
      </w:r>
      <w:r w:rsidRPr="00055C42">
        <w:rPr>
          <w:i/>
          <w:iCs/>
        </w:rPr>
        <w:t>SD</w:t>
      </w:r>
      <w:r w:rsidRPr="00055C42">
        <w:t> = 0.89) see significantly more Value and Need in Seeking Treatment that those who took the questionnaire in English (</w:t>
      </w:r>
      <w:r w:rsidRPr="00055C42">
        <w:rPr>
          <w:i/>
          <w:iCs/>
        </w:rPr>
        <w:t>M</w:t>
      </w:r>
      <w:r w:rsidRPr="00055C42">
        <w:t> = −0.06, </w:t>
      </w:r>
      <w:r w:rsidRPr="00055C42">
        <w:rPr>
          <w:i/>
          <w:iCs/>
        </w:rPr>
        <w:t>SD</w:t>
      </w:r>
      <w:r w:rsidRPr="00055C42">
        <w:t> = 0.94) by approximately one quarter of a standard deviation, </w:t>
      </w:r>
      <w:proofErr w:type="gramStart"/>
      <w:r w:rsidRPr="00055C42">
        <w:rPr>
          <w:i/>
          <w:iCs/>
        </w:rPr>
        <w:t>t</w:t>
      </w:r>
      <w:r w:rsidRPr="00055C42">
        <w:t>(</w:t>
      </w:r>
      <w:proofErr w:type="gramEnd"/>
      <w:r w:rsidRPr="00055C42">
        <w:t>425) = 2.28, </w:t>
      </w:r>
      <w:r w:rsidRPr="00055C42">
        <w:rPr>
          <w:i/>
          <w:iCs/>
        </w:rPr>
        <w:t>p</w:t>
      </w:r>
      <w:r w:rsidRPr="00055C42">
        <w:t> = .023, 95% CI = [0.03, 0.38], </w:t>
      </w:r>
      <w:r w:rsidRPr="00055C42">
        <w:rPr>
          <w:i/>
          <w:iCs/>
        </w:rPr>
        <w:t>d</w:t>
      </w:r>
      <w:r w:rsidRPr="00055C42">
        <w:t> = 0.23. There was no significant difference between foreign-born (</w:t>
      </w:r>
      <w:r w:rsidRPr="00055C42">
        <w:rPr>
          <w:i/>
          <w:iCs/>
        </w:rPr>
        <w:t>M</w:t>
      </w:r>
      <w:r w:rsidRPr="00055C42">
        <w:t> = −0.06, </w:t>
      </w:r>
      <w:r w:rsidRPr="00055C42">
        <w:rPr>
          <w:i/>
          <w:iCs/>
        </w:rPr>
        <w:t>SD</w:t>
      </w:r>
      <w:r w:rsidRPr="00055C42">
        <w:t> = 0.83) and U.S.-born (</w:t>
      </w:r>
      <w:r w:rsidRPr="00055C42">
        <w:rPr>
          <w:i/>
          <w:iCs/>
        </w:rPr>
        <w:t>M</w:t>
      </w:r>
      <w:r w:rsidRPr="00055C42">
        <w:t> = 0.08, </w:t>
      </w:r>
      <w:r w:rsidRPr="00055C42">
        <w:rPr>
          <w:i/>
          <w:iCs/>
        </w:rPr>
        <w:t>SD</w:t>
      </w:r>
      <w:r w:rsidRPr="00055C42">
        <w:t> = 0.91) respondents in Value and Need in Seeking Treatment, </w:t>
      </w:r>
      <w:proofErr w:type="gramStart"/>
      <w:r w:rsidRPr="00055C42">
        <w:rPr>
          <w:i/>
          <w:iCs/>
        </w:rPr>
        <w:t>t</w:t>
      </w:r>
      <w:r w:rsidRPr="00055C42">
        <w:t>(</w:t>
      </w:r>
      <w:proofErr w:type="gramEnd"/>
      <w:r w:rsidRPr="00055C42">
        <w:t>422) = 1.59, </w:t>
      </w:r>
      <w:r w:rsidRPr="00055C42">
        <w:rPr>
          <w:i/>
          <w:iCs/>
        </w:rPr>
        <w:t>p</w:t>
      </w:r>
      <w:r w:rsidRPr="00055C42">
        <w:t> = .112. Last, men (</w:t>
      </w:r>
      <w:r w:rsidRPr="00055C42">
        <w:rPr>
          <w:i/>
          <w:iCs/>
        </w:rPr>
        <w:t>M</w:t>
      </w:r>
      <w:r w:rsidRPr="00055C42">
        <w:t> = 0.05, </w:t>
      </w:r>
      <w:r w:rsidRPr="00055C42">
        <w:rPr>
          <w:i/>
          <w:iCs/>
        </w:rPr>
        <w:t>SD</w:t>
      </w:r>
      <w:r w:rsidRPr="00055C42">
        <w:t> = 0.80) and women (</w:t>
      </w:r>
      <w:r w:rsidRPr="00055C42">
        <w:rPr>
          <w:i/>
          <w:iCs/>
        </w:rPr>
        <w:t>M</w:t>
      </w:r>
      <w:r w:rsidRPr="00055C42">
        <w:t> = −0.04, </w:t>
      </w:r>
      <w:r w:rsidRPr="00055C42">
        <w:rPr>
          <w:i/>
          <w:iCs/>
        </w:rPr>
        <w:t>SD</w:t>
      </w:r>
      <w:r w:rsidRPr="00055C42">
        <w:t> = 0.88) did not exhibit a significant difference in Value and Need in Seeking Treatment, </w:t>
      </w:r>
      <w:proofErr w:type="gramStart"/>
      <w:r w:rsidRPr="00055C42">
        <w:rPr>
          <w:i/>
          <w:iCs/>
        </w:rPr>
        <w:t>t</w:t>
      </w:r>
      <w:r w:rsidRPr="00055C42">
        <w:t>(</w:t>
      </w:r>
      <w:proofErr w:type="gramEnd"/>
      <w:r w:rsidRPr="00055C42">
        <w:t>417) = 0.91, </w:t>
      </w:r>
      <w:r w:rsidRPr="00055C42">
        <w:rPr>
          <w:i/>
          <w:iCs/>
        </w:rPr>
        <w:t>p</w:t>
      </w:r>
      <w:r w:rsidRPr="00055C42">
        <w:t> = .36.</w:t>
      </w:r>
    </w:p>
    <w:p w14:paraId="345F628E" w14:textId="77777777" w:rsidR="00055C42" w:rsidRPr="00055C42" w:rsidRDefault="00055C42" w:rsidP="006A29B3">
      <w:pPr>
        <w:pStyle w:val="Heading1"/>
      </w:pPr>
      <w:bookmarkStart w:id="8" w:name="_i32"/>
      <w:bookmarkEnd w:id="8"/>
      <w:r w:rsidRPr="00055C42">
        <w:t>Discussion</w:t>
      </w:r>
    </w:p>
    <w:p w14:paraId="4A549FB4" w14:textId="07FD3700" w:rsidR="00055C42" w:rsidRPr="00055C42" w:rsidRDefault="00055C42" w:rsidP="00055C42">
      <w:r w:rsidRPr="00055C42">
        <w:t>The current study sought to examine the factor structure and measurement equivalence of the ATSPPH-SF among a group of Latino participants. The main findings revealed that this measure’s factor structure was best conceptualized as multiple unidimensional measures. That is, a two-factor structure in which the latent factors were uncorrelated provided the best fit for the data. This factor structure is in line with past work (</w:t>
      </w:r>
      <w:proofErr w:type="spellStart"/>
      <w:r w:rsidRPr="006A29B3">
        <w:t>Elhai</w:t>
      </w:r>
      <w:proofErr w:type="spellEnd"/>
      <w:r w:rsidRPr="006A29B3">
        <w:t xml:space="preserve"> et al., 2008</w:t>
      </w:r>
      <w:r w:rsidRPr="00055C42">
        <w:t>), although the current results suggest that they are relatively independent factors, labeled Openness to Seeking Treatment and Value and Need in Seeking Treatment.</w:t>
      </w:r>
    </w:p>
    <w:p w14:paraId="2B7F861F" w14:textId="1F247B88" w:rsidR="00055C42" w:rsidRPr="00055C42" w:rsidRDefault="00055C42" w:rsidP="00055C42">
      <w:r w:rsidRPr="00055C42">
        <w:t>The main analyses revealed that the item “A person with an emotional problem is not likely to solve it alone; he or she is likely to solve it with professional help (Item #7)” did not perform similarly across language and nativity groups. In their validation study of the ATSPPH-SF with Asian samples, </w:t>
      </w:r>
      <w:r w:rsidRPr="006A29B3">
        <w:t>Ang et al. (2007)</w:t>
      </w:r>
      <w:r w:rsidRPr="00055C42">
        <w:t> found that this item showed poor factor loadings partly because of its double-barreled wording. That is, participants could agree with one part of the item but disagree with the other. Spanish-speaking and foreign-born participants might be particularly conflicted about the two halves of this item or have more difficulty understanding which portion of the item to answer. After removing the problematic item, analyses revealed a good to excellent fit.</w:t>
      </w:r>
    </w:p>
    <w:p w14:paraId="564922E9" w14:textId="77777777" w:rsidR="00055C42" w:rsidRPr="00055C42" w:rsidRDefault="00055C42" w:rsidP="00055C42">
      <w:proofErr w:type="gramStart"/>
      <w:r w:rsidRPr="00055C42">
        <w:t>In reviewing the two-factor structure, it</w:t>
      </w:r>
      <w:proofErr w:type="gramEnd"/>
      <w:r w:rsidRPr="00055C42">
        <w:t xml:space="preserve"> appears that Openness to Seeking Treatment is an effective measure of this construct especially for those who score in the middle ranges. That is, this subscale provides more precision and better discrimination in measuring a Latino individual’s openness to seeking psychological services. However, these items may be less effective at differentiating those who score in the high range. Still these findings suggest that Openness to Seeking Treatment, with Item #7 removed, can be used as an adequate measure in future research with Latino populations. The Values and Need in Seeking Treatment subscale, on the other hand, was shown to be less able to differentiate individuals across ranges of the construct. As such, use of this subscale with Latino populations should be used cautiously.</w:t>
      </w:r>
    </w:p>
    <w:p w14:paraId="4ECD21B4" w14:textId="77777777" w:rsidR="00055C42" w:rsidRPr="00055C42" w:rsidRDefault="00055C42" w:rsidP="00055C42">
      <w:r w:rsidRPr="00055C42">
        <w:t>After removing the DIF-contaminated item, participants who took the ATSPPH-SF in Spanish showed higher Openness to Seeking Treatment and Value and Need in Seeking Treatment than those who preferred English. Similarly, foreign-born participants reported more Openness to Seeking Treatment than their U.S.-born counterparts. These findings are in contrast with past research which has reported that Spanish-speaking and foreign-born Latinos are less likely to utilize psychological services and show less favorable attitudes regarding help seeking. Consistent with previous work, Latina women showed higher Openness to Seeking Treatment when compared with Latino men. No gender differences were observed for Value and Need in Seeking Treatment, thus, providing further evidence for considering these subscales as independent constructs.</w:t>
      </w:r>
    </w:p>
    <w:p w14:paraId="2E92E729" w14:textId="4877D1DE" w:rsidR="00055C42" w:rsidRPr="00055C42" w:rsidRDefault="00055C42" w:rsidP="00055C42">
      <w:r w:rsidRPr="00055C42">
        <w:t>It is important to note that the ATSPPH-SF assesses an individual’s attitudes or opinions toward mental health services. Like other ethnic minority individuals, Latinos often experience a multitude of institutional barriers, including underinsurance and underemployment, to name a few, which may interfere with their ability to use services despite having more favorable opinions to doing so. Still the ATSPPH-SF has been criticized for its item content and ambiguous choice of language (</w:t>
      </w:r>
      <w:r w:rsidRPr="006A29B3">
        <w:t>Mackenzie et al., 2004</w:t>
      </w:r>
      <w:r w:rsidRPr="00055C42">
        <w:t>). For example, the scale appears to use the terms “professional attention” and “psychological counseling” interchangeably. Confusion may arise given that “professional attention” could be interpreted as general medical services rather that psychological treatment. This notion could be particularly salient among Latinos who are more likely to visit a general practitioner than use specialized mental health services (</w:t>
      </w:r>
      <w:proofErr w:type="spellStart"/>
      <w:r w:rsidRPr="006A29B3">
        <w:t>Alegría</w:t>
      </w:r>
      <w:proofErr w:type="spellEnd"/>
      <w:r w:rsidRPr="006A29B3">
        <w:t xml:space="preserve"> et al., 2007</w:t>
      </w:r>
      <w:r w:rsidRPr="00055C42">
        <w:t>; </w:t>
      </w:r>
      <w:r w:rsidRPr="006A29B3">
        <w:t>Vega et al., 2001</w:t>
      </w:r>
      <w:r w:rsidRPr="00055C42">
        <w:t>). Given these and other difficulties, more recent instruments, including the Inventory of Attitudes Toward Seeking Mental Health Services (</w:t>
      </w:r>
      <w:r w:rsidRPr="006A29B3">
        <w:t>Mackenzie et al., 2004</w:t>
      </w:r>
      <w:r w:rsidRPr="00055C42">
        <w:t>) and the Mental Help Seeking Attitudes Scale (</w:t>
      </w:r>
      <w:r w:rsidRPr="006A29B3">
        <w:t>Hammer et al., 2018</w:t>
      </w:r>
      <w:r w:rsidRPr="00055C42">
        <w:t>) have been developed within a theoretical framework and have shown promising findings when compared with the ATSPPH-SF (</w:t>
      </w:r>
      <w:r w:rsidRPr="006A29B3">
        <w:t>Hammer et al., 2018</w:t>
      </w:r>
      <w:r w:rsidRPr="00055C42">
        <w:t>; </w:t>
      </w:r>
      <w:r w:rsidRPr="006A29B3">
        <w:t>Wei et al., 2017</w:t>
      </w:r>
      <w:r w:rsidRPr="00055C42">
        <w:t>). Still the psychometric properties of these measures have yet to be examined with the Latino population and the ATSPPH-SF continues to be the most used scale assessing help-seeking attitudes suggesting that further research is needed.</w:t>
      </w:r>
    </w:p>
    <w:p w14:paraId="54BAD188" w14:textId="77777777" w:rsidR="00055C42" w:rsidRPr="00055C42" w:rsidRDefault="00055C42" w:rsidP="006A29B3">
      <w:pPr>
        <w:pStyle w:val="Heading2"/>
      </w:pPr>
      <w:r w:rsidRPr="00055C42">
        <w:t>Limitations and Future Directions</w:t>
      </w:r>
    </w:p>
    <w:p w14:paraId="1E052CBE" w14:textId="4DAD44B6" w:rsidR="00055C42" w:rsidRPr="00055C42" w:rsidRDefault="00055C42" w:rsidP="00055C42">
      <w:r w:rsidRPr="00055C42">
        <w:t>We adopted the IRT DIF approach in evaluating the equivalence of the measure between groups. Because we were primarily interested in understanding whether certain item characteristics might take on different cultural meanings, we believe that the IRT DIF approach could most directly address our research questions. However, some limitations should be noted. First, the IRT DIF approach does not offer a formal test of configural invariance (i.e., whether the factor structure differs between groups). In the present case, as well as in most applications of IRT DIF analyses, it is assumed that each subscale is unidimensional. Future research should consider evaluating measurement equivalence from an SEM multiple-group approach, which allows a formal test of configural invariance. Second, to the authors’ knowledge, the equivalence of the IRT DIF and SEM multiple groups approaches has not been formally studied under conditions in which normal theory maximum likelihood is inappropriate—that is, when items have fewer than five response alternatives and should thus not be treated as continuous (</w:t>
      </w:r>
      <w:proofErr w:type="spellStart"/>
      <w:r w:rsidRPr="006A29B3">
        <w:t>Rhemtulla</w:t>
      </w:r>
      <w:proofErr w:type="spellEnd"/>
      <w:r w:rsidRPr="006A29B3">
        <w:t xml:space="preserve"> et al., 2012</w:t>
      </w:r>
      <w:r w:rsidRPr="00055C42">
        <w:t xml:space="preserve">). Specifically, if one were to conduct an SEM multiple-group analyses with the current data, which have only four response categories, it would be more justifiable to use a limited information estimator (e.g., WLSMV) that uses estimates of the </w:t>
      </w:r>
      <w:proofErr w:type="spellStart"/>
      <w:r w:rsidRPr="00055C42">
        <w:t>polychoric</w:t>
      </w:r>
      <w:proofErr w:type="spellEnd"/>
      <w:r w:rsidRPr="00055C42">
        <w:t xml:space="preserve"> correlations rather than the raw data (</w:t>
      </w:r>
      <w:proofErr w:type="spellStart"/>
      <w:r w:rsidRPr="006A29B3">
        <w:t>Rhemtulla</w:t>
      </w:r>
      <w:proofErr w:type="spellEnd"/>
      <w:r w:rsidRPr="006A29B3">
        <w:t xml:space="preserve"> et al., 2012</w:t>
      </w:r>
      <w:r w:rsidRPr="00055C42">
        <w:t>). The IRT DIF approach, in contrast, is a full information method that uses the raw data. Thus, the two methodological approaches may be more comparable under the conditions described in </w:t>
      </w:r>
      <w:proofErr w:type="spellStart"/>
      <w:r w:rsidRPr="006A29B3">
        <w:t>Thissen</w:t>
      </w:r>
      <w:proofErr w:type="spellEnd"/>
      <w:r w:rsidRPr="006A29B3">
        <w:t xml:space="preserve"> (2017)</w:t>
      </w:r>
      <w:r w:rsidRPr="00055C42">
        <w:t>, who justified the use of maximum likelihood within the SEM framework due to the large number of response categories, than the conditions described in the present study. Future methodological work should more rigorously examine the comparability of the IRT and SEM approaches when the SEM approach involves a limited information estimator.</w:t>
      </w:r>
    </w:p>
    <w:p w14:paraId="479242CD" w14:textId="77777777" w:rsidR="00055C42" w:rsidRPr="00055C42" w:rsidRDefault="00055C42" w:rsidP="00055C42">
      <w:r w:rsidRPr="00055C42">
        <w:t xml:space="preserve">Unfortunately, the current study did not compare the ATSPPH-SF with other measures of help seeking, thus limiting the ability to evaluate the construct validity of this instrument. Furthermore, </w:t>
      </w:r>
      <w:proofErr w:type="gramStart"/>
      <w:r w:rsidRPr="00055C42">
        <w:t>the majority of</w:t>
      </w:r>
      <w:proofErr w:type="gramEnd"/>
      <w:r w:rsidRPr="00055C42">
        <w:t xml:space="preserve"> the current sample comprised individuals of Mexican descent, thus, not allowing for comparisons across Latino subgroups. Future research should seek to assess the psychometric properties of the ATSPPH-SF within heterogeneous Latino samples and with other ethnic groups. Additionally, the present study did not assess past help-seeking behaviors, which is likely to influence the attitudes toward seeking psychological services. That is, a self-selection bias may have occurred with those who volunteered to participate. Finally, although participants completed the questionnaires in their preferred language, we did not include formal measures of language fluency making it difficult to determine overall language ability or differentiate monolingual from bilingual speakers. Presumably, participants chose the language in which they were the most fluent and comfortable with when completing paper–pencil surveys. Despite these constraints, the current findings provide insight into the utility of the ATSPPH-SF with Latino adults and suggests that further work is needed to understand the factors that contribute to an individual’s attitudes toward seeking psychological services. As such, future research can investigate which ATSPPH-SF subscale may be most predictive of treatment utilization while </w:t>
      </w:r>
      <w:proofErr w:type="gramStart"/>
      <w:r w:rsidRPr="00055C42">
        <w:t>taking into account</w:t>
      </w:r>
      <w:proofErr w:type="gramEnd"/>
      <w:r w:rsidRPr="00055C42">
        <w:t xml:space="preserve"> critical demographic factors including gender, language preference, and nativity status.</w:t>
      </w:r>
    </w:p>
    <w:p w14:paraId="51197AC7" w14:textId="77777777" w:rsidR="00055C42" w:rsidRPr="00055C42" w:rsidRDefault="00055C42" w:rsidP="00055C42">
      <w:r w:rsidRPr="006A29B3">
        <w:rPr>
          <w:rStyle w:val="Heading1Char"/>
        </w:rPr>
        <w:t>Author’s Note</w:t>
      </w:r>
      <w:r w:rsidRPr="006A29B3">
        <w:rPr>
          <w:rStyle w:val="Heading1Char"/>
        </w:rPr>
        <w:br/>
      </w:r>
      <w:r w:rsidRPr="00055C42">
        <w:t xml:space="preserve">Natasha </w:t>
      </w:r>
      <w:proofErr w:type="spellStart"/>
      <w:r w:rsidRPr="00055C42">
        <w:t>Najar</w:t>
      </w:r>
      <w:proofErr w:type="spellEnd"/>
      <w:r w:rsidRPr="00055C42">
        <w:t xml:space="preserve"> is now affiliated with Cognitive Behavioral Institute of Albuquerque, NM.</w:t>
      </w:r>
    </w:p>
    <w:p w14:paraId="598808FF" w14:textId="77777777" w:rsidR="00055C42" w:rsidRPr="00055C42" w:rsidRDefault="00055C42" w:rsidP="00055C42">
      <w:r w:rsidRPr="006A29B3">
        <w:rPr>
          <w:rStyle w:val="Heading1Char"/>
        </w:rPr>
        <w:t>Declaration of Conflicting Interests</w:t>
      </w:r>
      <w:r w:rsidRPr="006A29B3">
        <w:rPr>
          <w:rStyle w:val="Heading1Char"/>
        </w:rPr>
        <w:br/>
      </w:r>
      <w:r w:rsidRPr="00055C42">
        <w:t>The author(s) declared no potential conflicts of interest with respect to the research, authorship, and/or publication of this article.</w:t>
      </w:r>
    </w:p>
    <w:p w14:paraId="52CDFD45" w14:textId="77777777" w:rsidR="00055C42" w:rsidRPr="00055C42" w:rsidRDefault="00055C42" w:rsidP="00055C42">
      <w:r w:rsidRPr="006A29B3">
        <w:rPr>
          <w:rStyle w:val="Heading1Char"/>
        </w:rPr>
        <w:t>Funding</w:t>
      </w:r>
      <w:r w:rsidRPr="006A29B3">
        <w:rPr>
          <w:rStyle w:val="Heading1Char"/>
        </w:rPr>
        <w:br/>
      </w:r>
      <w:r w:rsidRPr="00055C42">
        <w:t>The author(s) received no financial support for the research, authorship, and/or publication of this article.</w:t>
      </w:r>
    </w:p>
    <w:p w14:paraId="409F2FAA" w14:textId="77777777" w:rsidR="00055C42" w:rsidRPr="00055C42" w:rsidRDefault="00055C42" w:rsidP="006A29B3">
      <w:pPr>
        <w:pStyle w:val="Heading1"/>
      </w:pPr>
      <w:bookmarkStart w:id="9" w:name="_i34"/>
      <w:bookmarkEnd w:id="9"/>
      <w:r w:rsidRPr="00055C42">
        <w:t>References</w:t>
      </w:r>
    </w:p>
    <w:tbl>
      <w:tblPr>
        <w:tblStyle w:val="TableGrid"/>
        <w:tblW w:w="0" w:type="auto"/>
        <w:tblLook w:val="04A0" w:firstRow="1" w:lastRow="0" w:firstColumn="1" w:lastColumn="0" w:noHBand="0" w:noVBand="1"/>
      </w:tblPr>
      <w:tblGrid>
        <w:gridCol w:w="10070"/>
      </w:tblGrid>
      <w:tr w:rsidR="006A29B3" w:rsidRPr="00055C42" w14:paraId="30657632" w14:textId="77777777" w:rsidTr="006A29B3">
        <w:tc>
          <w:tcPr>
            <w:tcW w:w="0" w:type="auto"/>
            <w:hideMark/>
          </w:tcPr>
          <w:p w14:paraId="3F014FF6" w14:textId="4BDCADA6" w:rsidR="006A29B3" w:rsidRPr="00055C42" w:rsidRDefault="006A29B3" w:rsidP="006A29B3">
            <w:pPr>
              <w:ind w:left="696" w:hanging="696"/>
            </w:pPr>
            <w:proofErr w:type="spellStart"/>
            <w:r w:rsidRPr="00055C42">
              <w:t>Alegría</w:t>
            </w:r>
            <w:proofErr w:type="spellEnd"/>
            <w:r w:rsidRPr="00055C42">
              <w:t xml:space="preserve">, M., Mulvaney-Day, N., Woo, M., Torres, M., Gao, S., </w:t>
            </w:r>
            <w:proofErr w:type="spellStart"/>
            <w:r w:rsidRPr="00055C42">
              <w:t>Oddo</w:t>
            </w:r>
            <w:proofErr w:type="spellEnd"/>
            <w:r w:rsidRPr="00055C42">
              <w:t>, V. (2007). Correlates of past-year mental health service use among Latinos: Results from the national Latino and Asian American study. American Journal of Public Health, 97(1), 76-83.</w:t>
            </w:r>
          </w:p>
        </w:tc>
      </w:tr>
      <w:tr w:rsidR="006A29B3" w:rsidRPr="00055C42" w14:paraId="6E81F201" w14:textId="77777777" w:rsidTr="006A29B3">
        <w:tc>
          <w:tcPr>
            <w:tcW w:w="0" w:type="auto"/>
            <w:hideMark/>
          </w:tcPr>
          <w:p w14:paraId="1882D715" w14:textId="5694488B" w:rsidR="006A29B3" w:rsidRPr="00055C42" w:rsidRDefault="006A29B3" w:rsidP="006A29B3">
            <w:pPr>
              <w:ind w:left="696" w:hanging="696"/>
            </w:pPr>
            <w:r w:rsidRPr="00055C42">
              <w:t>Ang, R. P., Lau, S., Tan, A.-G., Lim, K. M. (2007). Refining the Attitudes Toward Seeking Professional Psychological Help Scale: Factorial invariance across two Asian samples. Measurement and Evaluation in Counseling and Development, 40(3), 130-141.</w:t>
            </w:r>
          </w:p>
        </w:tc>
      </w:tr>
      <w:tr w:rsidR="006A29B3" w:rsidRPr="00055C42" w14:paraId="5D78BB30" w14:textId="77777777" w:rsidTr="006A29B3">
        <w:tc>
          <w:tcPr>
            <w:tcW w:w="0" w:type="auto"/>
            <w:hideMark/>
          </w:tcPr>
          <w:p w14:paraId="1F5A1232" w14:textId="54DBCCD4" w:rsidR="006A29B3" w:rsidRPr="00055C42" w:rsidRDefault="006A29B3" w:rsidP="006A29B3">
            <w:pPr>
              <w:ind w:left="696" w:hanging="696"/>
            </w:pPr>
            <w:proofErr w:type="spellStart"/>
            <w:r w:rsidRPr="00055C42">
              <w:t>Benjamini</w:t>
            </w:r>
            <w:proofErr w:type="spellEnd"/>
            <w:r w:rsidRPr="00055C42">
              <w:t>, Y., Hochberg, Y. (1995). Controlling the false discovery rate: A practical and powerful approach to multiple testing. Journal of the Royal Statistical Society: Series B: Methodological, 57(1), 289-300.</w:t>
            </w:r>
          </w:p>
        </w:tc>
      </w:tr>
      <w:tr w:rsidR="006A29B3" w:rsidRPr="00055C42" w14:paraId="02224F53" w14:textId="77777777" w:rsidTr="006A29B3">
        <w:tc>
          <w:tcPr>
            <w:tcW w:w="0" w:type="auto"/>
            <w:hideMark/>
          </w:tcPr>
          <w:p w14:paraId="408324A9" w14:textId="0A8F3D03" w:rsidR="006A29B3" w:rsidRPr="00055C42" w:rsidRDefault="006A29B3" w:rsidP="006A29B3">
            <w:pPr>
              <w:ind w:left="696" w:hanging="696"/>
            </w:pPr>
            <w:proofErr w:type="spellStart"/>
            <w:r w:rsidRPr="00055C42">
              <w:t>Berdahl</w:t>
            </w:r>
            <w:proofErr w:type="spellEnd"/>
            <w:r w:rsidRPr="00055C42">
              <w:t>, T. A., Stone, R. A. T. (2009). Examining Latino differences in mental healthcare use: The roles of acculturation and attitudes towards healthcare. Community Mental Health Journal, 45(5), 393-403.</w:t>
            </w:r>
          </w:p>
        </w:tc>
      </w:tr>
      <w:tr w:rsidR="006A29B3" w:rsidRPr="00055C42" w14:paraId="6D9B5659" w14:textId="77777777" w:rsidTr="006A29B3">
        <w:tc>
          <w:tcPr>
            <w:tcW w:w="0" w:type="auto"/>
            <w:hideMark/>
          </w:tcPr>
          <w:p w14:paraId="244E5EE6" w14:textId="1DDDA94D" w:rsidR="006A29B3" w:rsidRPr="00055C42" w:rsidRDefault="006A29B3" w:rsidP="006A29B3">
            <w:pPr>
              <w:ind w:left="696" w:hanging="696"/>
            </w:pPr>
            <w:r w:rsidRPr="00055C42">
              <w:t xml:space="preserve">Bridges, A. J., Andrews, A. R., </w:t>
            </w:r>
            <w:proofErr w:type="spellStart"/>
            <w:r w:rsidRPr="00055C42">
              <w:t>Deen</w:t>
            </w:r>
            <w:proofErr w:type="spellEnd"/>
            <w:r w:rsidRPr="00055C42">
              <w:t>, T. L. (2012). Mental health needs and service utilization by Hispanic immigrants residing in mid-southern United States. Journal of Transcultural Nursing, 23(4), 359-368.</w:t>
            </w:r>
          </w:p>
        </w:tc>
      </w:tr>
      <w:tr w:rsidR="006A29B3" w:rsidRPr="00055C42" w14:paraId="43A0B330" w14:textId="77777777" w:rsidTr="006A29B3">
        <w:tc>
          <w:tcPr>
            <w:tcW w:w="0" w:type="auto"/>
            <w:hideMark/>
          </w:tcPr>
          <w:p w14:paraId="65492F19" w14:textId="0B707814" w:rsidR="006A29B3" w:rsidRPr="00055C42" w:rsidRDefault="006A29B3" w:rsidP="006A29B3">
            <w:pPr>
              <w:ind w:left="696" w:hanging="696"/>
            </w:pPr>
            <w:r w:rsidRPr="00055C42">
              <w:t xml:space="preserve">Browne, M. W., </w:t>
            </w:r>
            <w:proofErr w:type="spellStart"/>
            <w:r w:rsidRPr="00055C42">
              <w:t>Cudeck</w:t>
            </w:r>
            <w:proofErr w:type="spellEnd"/>
            <w:r w:rsidRPr="00055C42">
              <w:t>, R. (1993). Alternative ways of assessing model fit. Sage Focus Editions, 154, 136-136.</w:t>
            </w:r>
          </w:p>
        </w:tc>
      </w:tr>
      <w:tr w:rsidR="006A29B3" w:rsidRPr="00055C42" w14:paraId="121E392A" w14:textId="77777777" w:rsidTr="006A29B3">
        <w:tc>
          <w:tcPr>
            <w:tcW w:w="0" w:type="auto"/>
            <w:hideMark/>
          </w:tcPr>
          <w:p w14:paraId="320F5AE1" w14:textId="446DC798" w:rsidR="006A29B3" w:rsidRPr="00055C42" w:rsidRDefault="006A29B3" w:rsidP="006A29B3">
            <w:pPr>
              <w:ind w:left="696" w:hanging="696"/>
            </w:pPr>
            <w:r w:rsidRPr="00055C42">
              <w:t xml:space="preserve">Burnett-Zeigler, I., Lee, Y., </w:t>
            </w:r>
            <w:proofErr w:type="spellStart"/>
            <w:r w:rsidRPr="00055C42">
              <w:t>Bohnert</w:t>
            </w:r>
            <w:proofErr w:type="spellEnd"/>
            <w:r w:rsidRPr="00055C42">
              <w:t>, K. M. (2018). Ethnic identity, acculturation, and 12-month psychiatric service utilization among Black and Hispanic adults in the U.S. Journal of Behavioral Health Services &amp; Research, 45(1), 13-30.</w:t>
            </w:r>
          </w:p>
        </w:tc>
      </w:tr>
      <w:tr w:rsidR="006A29B3" w:rsidRPr="00055C42" w14:paraId="1B65163D" w14:textId="77777777" w:rsidTr="006A29B3">
        <w:tc>
          <w:tcPr>
            <w:tcW w:w="0" w:type="auto"/>
            <w:hideMark/>
          </w:tcPr>
          <w:p w14:paraId="2E1CA14F" w14:textId="516DC496" w:rsidR="006A29B3" w:rsidRPr="00055C42" w:rsidRDefault="006A29B3" w:rsidP="006A29B3">
            <w:pPr>
              <w:ind w:left="696" w:hanging="696"/>
            </w:pPr>
            <w:proofErr w:type="spellStart"/>
            <w:r w:rsidRPr="00055C42">
              <w:t>Cabassa</w:t>
            </w:r>
            <w:proofErr w:type="spellEnd"/>
            <w:r w:rsidRPr="00055C42">
              <w:t>, L. J. (2007). Latino immigrant men’s perceptions of depression and attitudes toward help seeking. Hispanic Journal of Behavioral Sciences, 29(4), 492-509.</w:t>
            </w:r>
          </w:p>
        </w:tc>
      </w:tr>
      <w:tr w:rsidR="006A29B3" w:rsidRPr="00055C42" w14:paraId="0C1B5E9C" w14:textId="77777777" w:rsidTr="006A29B3">
        <w:tc>
          <w:tcPr>
            <w:tcW w:w="0" w:type="auto"/>
            <w:hideMark/>
          </w:tcPr>
          <w:p w14:paraId="69C3803C" w14:textId="25C33CB0" w:rsidR="006A29B3" w:rsidRPr="00055C42" w:rsidRDefault="006A29B3" w:rsidP="006A29B3">
            <w:pPr>
              <w:ind w:left="696" w:hanging="696"/>
            </w:pPr>
            <w:r w:rsidRPr="00055C42">
              <w:t xml:space="preserve">Cai, L., </w:t>
            </w:r>
            <w:proofErr w:type="spellStart"/>
            <w:r w:rsidRPr="00055C42">
              <w:t>Thissen</w:t>
            </w:r>
            <w:proofErr w:type="spellEnd"/>
            <w:r w:rsidRPr="00055C42">
              <w:t>, D., du Toit, S. H. (2011). IRTPRO: Flexible, multidimensional, multiple categorical IRT modeling [Computer software]. Scientific Software International. </w:t>
            </w:r>
            <w:hyperlink r:id="rId13" w:tgtFrame="_blank" w:history="1">
              <w:r w:rsidRPr="00055C42">
                <w:rPr>
                  <w:rStyle w:val="Hyperlink"/>
                </w:rPr>
                <w:t>http://swmath.org/software/13414</w:t>
              </w:r>
            </w:hyperlink>
          </w:p>
        </w:tc>
      </w:tr>
      <w:tr w:rsidR="006A29B3" w:rsidRPr="00055C42" w14:paraId="7937AD16" w14:textId="77777777" w:rsidTr="006A29B3">
        <w:tc>
          <w:tcPr>
            <w:tcW w:w="0" w:type="auto"/>
            <w:hideMark/>
          </w:tcPr>
          <w:p w14:paraId="013F6CA5" w14:textId="37DA986E" w:rsidR="006A29B3" w:rsidRPr="00055C42" w:rsidRDefault="006A29B3" w:rsidP="006A29B3">
            <w:pPr>
              <w:ind w:left="696" w:hanging="696"/>
            </w:pPr>
            <w:r w:rsidRPr="00055C42">
              <w:t>Chang, H. (2007). Depressive symptom manifestation and help-seeking among Chinese College students in Taiwan. International Journal of Psychology, 42(3), 200-206. </w:t>
            </w:r>
            <w:hyperlink r:id="rId14" w:tgtFrame="_blank" w:history="1">
              <w:r w:rsidRPr="00055C42">
                <w:rPr>
                  <w:rStyle w:val="Hyperlink"/>
                </w:rPr>
                <w:t>https://doi.org/10.1080/00207590600878665</w:t>
              </w:r>
            </w:hyperlink>
          </w:p>
        </w:tc>
      </w:tr>
      <w:tr w:rsidR="006A29B3" w:rsidRPr="00055C42" w14:paraId="703B022F" w14:textId="77777777" w:rsidTr="006A29B3">
        <w:tc>
          <w:tcPr>
            <w:tcW w:w="0" w:type="auto"/>
            <w:hideMark/>
          </w:tcPr>
          <w:p w14:paraId="7B290894" w14:textId="3DDAC829" w:rsidR="006A29B3" w:rsidRPr="00055C42" w:rsidRDefault="006A29B3" w:rsidP="006A29B3">
            <w:pPr>
              <w:ind w:left="696" w:hanging="696"/>
            </w:pPr>
            <w:r w:rsidRPr="00055C42">
              <w:t>Davis, J. M., Liang, C. T. (2015). A test of the mediating role of gender role conflict: Latino masculinities and help-seeking attitudes. Psychology of Men &amp; Masculinity, 16(1), 23-32. </w:t>
            </w:r>
            <w:hyperlink r:id="rId15" w:tgtFrame="_blank" w:history="1">
              <w:r w:rsidRPr="00055C42">
                <w:rPr>
                  <w:rStyle w:val="Hyperlink"/>
                </w:rPr>
                <w:t>https://doi.org/10.1037/a0035320</w:t>
              </w:r>
            </w:hyperlink>
          </w:p>
        </w:tc>
      </w:tr>
      <w:tr w:rsidR="006A29B3" w:rsidRPr="00055C42" w14:paraId="1D1CA6D9" w14:textId="77777777" w:rsidTr="006A29B3">
        <w:tc>
          <w:tcPr>
            <w:tcW w:w="0" w:type="auto"/>
            <w:hideMark/>
          </w:tcPr>
          <w:p w14:paraId="737CFDAC" w14:textId="3AF3BBAD" w:rsidR="006A29B3" w:rsidRPr="00055C42" w:rsidRDefault="006A29B3" w:rsidP="006A29B3">
            <w:pPr>
              <w:ind w:left="696" w:hanging="696"/>
            </w:pPr>
            <w:proofErr w:type="spellStart"/>
            <w:r w:rsidRPr="00055C42">
              <w:t>Elhai</w:t>
            </w:r>
            <w:proofErr w:type="spellEnd"/>
            <w:r w:rsidRPr="00055C42">
              <w:t xml:space="preserve">, J. D., </w:t>
            </w:r>
            <w:proofErr w:type="spellStart"/>
            <w:r w:rsidRPr="00055C42">
              <w:t>Schweinle</w:t>
            </w:r>
            <w:proofErr w:type="spellEnd"/>
            <w:r w:rsidRPr="00055C42">
              <w:t>, W., Anderson, S. M. (2008). Reliability and validity of the Attitudes Toward Seeking Professional Psychological Help Scale-Short Form. Psychiatry Research, 159(3), 320-329.</w:t>
            </w:r>
          </w:p>
        </w:tc>
      </w:tr>
      <w:tr w:rsidR="006A29B3" w:rsidRPr="00055C42" w14:paraId="3298980C" w14:textId="77777777" w:rsidTr="006A29B3">
        <w:tc>
          <w:tcPr>
            <w:tcW w:w="0" w:type="auto"/>
            <w:hideMark/>
          </w:tcPr>
          <w:p w14:paraId="48279C00" w14:textId="648654B0" w:rsidR="006A29B3" w:rsidRPr="00055C42" w:rsidRDefault="006A29B3" w:rsidP="006A29B3">
            <w:pPr>
              <w:ind w:left="696" w:hanging="696"/>
            </w:pPr>
            <w:r w:rsidRPr="00055C42">
              <w:t>Fang, K., Pieterse, A. L., Friedlander, M., Cao, J. (2011). Assessing the psychometric properties of the Attitudes Toward Seeking Professional Psychological Help Scale-Short Form in Mainland China. International Journal for the Advancement of Counseling, 33(4), 309-321.</w:t>
            </w:r>
          </w:p>
        </w:tc>
      </w:tr>
      <w:tr w:rsidR="006A29B3" w:rsidRPr="00055C42" w14:paraId="65BF82E4" w14:textId="77777777" w:rsidTr="006A29B3">
        <w:tc>
          <w:tcPr>
            <w:tcW w:w="0" w:type="auto"/>
            <w:hideMark/>
          </w:tcPr>
          <w:p w14:paraId="015CF213" w14:textId="25DA2A02" w:rsidR="006A29B3" w:rsidRPr="00055C42" w:rsidRDefault="006A29B3" w:rsidP="006A29B3">
            <w:pPr>
              <w:ind w:left="696" w:hanging="696"/>
            </w:pPr>
            <w:r w:rsidRPr="00055C42">
              <w:t>Fischer, E. H., Farina, A. (1995). Attitudes toward seeking professional psychological help: A shortened form and considerations for research. Journal of College Student Development, 36(4), 368-373.</w:t>
            </w:r>
          </w:p>
        </w:tc>
      </w:tr>
      <w:tr w:rsidR="006A29B3" w:rsidRPr="00055C42" w14:paraId="09E9A2A8" w14:textId="77777777" w:rsidTr="006A29B3">
        <w:tc>
          <w:tcPr>
            <w:tcW w:w="0" w:type="auto"/>
            <w:hideMark/>
          </w:tcPr>
          <w:p w14:paraId="2DD971A5" w14:textId="369242CB" w:rsidR="006A29B3" w:rsidRPr="00055C42" w:rsidRDefault="006A29B3" w:rsidP="006A29B3">
            <w:pPr>
              <w:ind w:left="696" w:hanging="696"/>
            </w:pPr>
            <w:r w:rsidRPr="00055C42">
              <w:t>Fischer, E. H., Turner, J. L. (1970). Orientation to seeking professional psychological help: Development and research utility of an attitude scale. Journal of Consulting and Clinical Psychology, 35(1), 79-90.</w:t>
            </w:r>
          </w:p>
        </w:tc>
      </w:tr>
      <w:tr w:rsidR="006A29B3" w:rsidRPr="00055C42" w14:paraId="1A761235" w14:textId="77777777" w:rsidTr="006A29B3">
        <w:tc>
          <w:tcPr>
            <w:tcW w:w="0" w:type="auto"/>
            <w:hideMark/>
          </w:tcPr>
          <w:p w14:paraId="44A57493" w14:textId="6E7EA9A0" w:rsidR="006A29B3" w:rsidRPr="00055C42" w:rsidRDefault="006A29B3" w:rsidP="006A29B3">
            <w:pPr>
              <w:ind w:left="696" w:hanging="696"/>
            </w:pPr>
            <w:r w:rsidRPr="00055C42">
              <w:t>Gloria, A. M., Castellanos, J., Segura-Herrera, T. A., Mayorga, M. (2010). Assessing cultural orientation, cultural fit, and help-seeking attitudes of Latina undergraduates. Journal of College Counseling, 13(2), 126-140.</w:t>
            </w:r>
          </w:p>
        </w:tc>
      </w:tr>
      <w:tr w:rsidR="006A29B3" w:rsidRPr="00055C42" w14:paraId="483C1327" w14:textId="77777777" w:rsidTr="006A29B3">
        <w:tc>
          <w:tcPr>
            <w:tcW w:w="0" w:type="auto"/>
            <w:hideMark/>
          </w:tcPr>
          <w:p w14:paraId="033FF8E5" w14:textId="371CD7C3" w:rsidR="006A29B3" w:rsidRPr="00055C42" w:rsidRDefault="006A29B3" w:rsidP="006A29B3">
            <w:pPr>
              <w:ind w:left="696" w:hanging="696"/>
            </w:pPr>
            <w:r w:rsidRPr="00055C42">
              <w:t xml:space="preserve">Gonzalez, J. M., </w:t>
            </w:r>
            <w:proofErr w:type="spellStart"/>
            <w:r w:rsidRPr="00055C42">
              <w:t>Alegría</w:t>
            </w:r>
            <w:proofErr w:type="spellEnd"/>
            <w:r w:rsidRPr="00055C42">
              <w:t>, M., Prihoda, T. J. (2005). How do attitudes toward mental health treatment vary by age, gender, and ethnicity/race in young adults? Journal of Community Psychology, 33(5), 611-629.</w:t>
            </w:r>
          </w:p>
        </w:tc>
      </w:tr>
      <w:tr w:rsidR="006A29B3" w:rsidRPr="00055C42" w14:paraId="3076A7E0" w14:textId="77777777" w:rsidTr="006A29B3">
        <w:tc>
          <w:tcPr>
            <w:tcW w:w="0" w:type="auto"/>
            <w:hideMark/>
          </w:tcPr>
          <w:p w14:paraId="3B47117C" w14:textId="1C525B17" w:rsidR="006A29B3" w:rsidRPr="00055C42" w:rsidRDefault="006A29B3" w:rsidP="006A29B3">
            <w:pPr>
              <w:ind w:left="696" w:hanging="696"/>
            </w:pPr>
            <w:r w:rsidRPr="00055C42">
              <w:t xml:space="preserve">Gonzalez, J. M., </w:t>
            </w:r>
            <w:proofErr w:type="spellStart"/>
            <w:r w:rsidRPr="00055C42">
              <w:t>Alegría</w:t>
            </w:r>
            <w:proofErr w:type="spellEnd"/>
            <w:r w:rsidRPr="00055C42">
              <w:t xml:space="preserve">, M., Prihoda, T. J., Copeland, L. A., </w:t>
            </w:r>
            <w:proofErr w:type="spellStart"/>
            <w:r w:rsidRPr="00055C42">
              <w:t>Zeber</w:t>
            </w:r>
            <w:proofErr w:type="spellEnd"/>
            <w:r w:rsidRPr="00055C42">
              <w:t>, J. E. (2011). How the relationship of attitudes toward mental health treatment and service use differs by age, gender, ethnicity/</w:t>
            </w:r>
            <w:proofErr w:type="gramStart"/>
            <w:r w:rsidRPr="00055C42">
              <w:t>race</w:t>
            </w:r>
            <w:proofErr w:type="gramEnd"/>
            <w:r w:rsidRPr="00055C42">
              <w:t xml:space="preserve"> and education. Social Psychiatry and Psychiatric epidemiology, 46(1), 45-57.</w:t>
            </w:r>
          </w:p>
        </w:tc>
      </w:tr>
      <w:tr w:rsidR="006A29B3" w:rsidRPr="00055C42" w14:paraId="44488310" w14:textId="77777777" w:rsidTr="006A29B3">
        <w:tc>
          <w:tcPr>
            <w:tcW w:w="0" w:type="auto"/>
            <w:hideMark/>
          </w:tcPr>
          <w:p w14:paraId="2212BF7A" w14:textId="6AD9D513" w:rsidR="006A29B3" w:rsidRPr="00055C42" w:rsidRDefault="006A29B3" w:rsidP="006A29B3">
            <w:pPr>
              <w:ind w:left="696" w:hanging="696"/>
            </w:pPr>
            <w:r w:rsidRPr="00055C42">
              <w:t>Hammer, J. H., Parent, M. C., Spiker, D. A. (2018). Mental Help Seeking Attitudes Scale (MHSAS): Development, reliability, validity, and comparison with the ATSPPH-SF and IASMHS-PO. Journal of Counseling Psychology, 65, 74-85.</w:t>
            </w:r>
          </w:p>
        </w:tc>
      </w:tr>
      <w:tr w:rsidR="006A29B3" w:rsidRPr="00055C42" w14:paraId="6524F5D6" w14:textId="77777777" w:rsidTr="006A29B3">
        <w:tc>
          <w:tcPr>
            <w:tcW w:w="0" w:type="auto"/>
            <w:hideMark/>
          </w:tcPr>
          <w:p w14:paraId="241217BA" w14:textId="41456E9E" w:rsidR="006A29B3" w:rsidRPr="00055C42" w:rsidRDefault="006A29B3" w:rsidP="006A29B3">
            <w:pPr>
              <w:ind w:left="696" w:hanging="696"/>
            </w:pPr>
            <w:proofErr w:type="spellStart"/>
            <w:r w:rsidRPr="00055C42">
              <w:t>Hartlaub</w:t>
            </w:r>
            <w:proofErr w:type="spellEnd"/>
            <w:r w:rsidRPr="00055C42">
              <w:t xml:space="preserve">, M. G., </w:t>
            </w:r>
            <w:proofErr w:type="spellStart"/>
            <w:r w:rsidRPr="00055C42">
              <w:t>Biedenharn</w:t>
            </w:r>
            <w:proofErr w:type="spellEnd"/>
            <w:r w:rsidRPr="00055C42">
              <w:t xml:space="preserve">, P., </w:t>
            </w:r>
            <w:proofErr w:type="spellStart"/>
            <w:r w:rsidRPr="00055C42">
              <w:t>Brouillard</w:t>
            </w:r>
            <w:proofErr w:type="spellEnd"/>
            <w:r w:rsidRPr="00055C42">
              <w:t>, P., Seidel, S. (2014). Attitudes toward treatment and potential barriers to access of mental health services in a sample of elderly Hispanic and Anglo adults. Texas Public Health Journal, 66, 18-20.</w:t>
            </w:r>
          </w:p>
        </w:tc>
      </w:tr>
      <w:tr w:rsidR="006A29B3" w:rsidRPr="00055C42" w14:paraId="2818F8DF" w14:textId="77777777" w:rsidTr="006A29B3">
        <w:tc>
          <w:tcPr>
            <w:tcW w:w="0" w:type="auto"/>
            <w:hideMark/>
          </w:tcPr>
          <w:p w14:paraId="44C3D6EC" w14:textId="0F19B814" w:rsidR="006A29B3" w:rsidRPr="00055C42" w:rsidRDefault="006A29B3" w:rsidP="006A29B3">
            <w:pPr>
              <w:ind w:left="696" w:hanging="696"/>
            </w:pPr>
            <w:r w:rsidRPr="00055C42">
              <w:t xml:space="preserve">Holland, P. W., </w:t>
            </w:r>
            <w:proofErr w:type="spellStart"/>
            <w:r w:rsidRPr="00055C42">
              <w:t>Wainer</w:t>
            </w:r>
            <w:proofErr w:type="spellEnd"/>
            <w:r w:rsidRPr="00055C42">
              <w:t>, H. (Eds.). (1993). Differential item functioning. Lawrence Erlbaum.</w:t>
            </w:r>
          </w:p>
        </w:tc>
      </w:tr>
      <w:tr w:rsidR="006A29B3" w:rsidRPr="00055C42" w14:paraId="4F07F4F2" w14:textId="77777777" w:rsidTr="006A29B3">
        <w:tc>
          <w:tcPr>
            <w:tcW w:w="0" w:type="auto"/>
            <w:hideMark/>
          </w:tcPr>
          <w:p w14:paraId="7BCBA864" w14:textId="085E2F33" w:rsidR="006A29B3" w:rsidRPr="00055C42" w:rsidRDefault="006A29B3" w:rsidP="006A29B3">
            <w:pPr>
              <w:ind w:left="696" w:hanging="696"/>
            </w:pPr>
            <w:r w:rsidRPr="00055C42">
              <w:t xml:space="preserve">Hu, L., </w:t>
            </w:r>
            <w:proofErr w:type="spellStart"/>
            <w:r w:rsidRPr="00055C42">
              <w:t>Bentler</w:t>
            </w:r>
            <w:proofErr w:type="spellEnd"/>
            <w:r w:rsidRPr="00055C42">
              <w:t>, P. M. (1999). Cutoff criteria for fit indexes in covariance structure analysis: Conventional criteria versus new alternatives. Structural Equation Modeling, 6, 1-55.</w:t>
            </w:r>
          </w:p>
        </w:tc>
      </w:tr>
      <w:tr w:rsidR="006A29B3" w:rsidRPr="00055C42" w14:paraId="1555CCED" w14:textId="77777777" w:rsidTr="006A29B3">
        <w:tc>
          <w:tcPr>
            <w:tcW w:w="0" w:type="auto"/>
            <w:hideMark/>
          </w:tcPr>
          <w:p w14:paraId="013CD220" w14:textId="0D89A9EA" w:rsidR="006A29B3" w:rsidRPr="00055C42" w:rsidRDefault="006A29B3" w:rsidP="006A29B3">
            <w:pPr>
              <w:ind w:left="696" w:hanging="696"/>
            </w:pPr>
            <w:r w:rsidRPr="00055C42">
              <w:t xml:space="preserve">Jang, Y., </w:t>
            </w:r>
            <w:proofErr w:type="spellStart"/>
            <w:r w:rsidRPr="00055C42">
              <w:t>Chiriboga</w:t>
            </w:r>
            <w:proofErr w:type="spellEnd"/>
            <w:r w:rsidRPr="00055C42">
              <w:t xml:space="preserve">, D. A., Herrera, J. R., Martinez Tyson, D., </w:t>
            </w:r>
            <w:proofErr w:type="spellStart"/>
            <w:r w:rsidRPr="00055C42">
              <w:t>Schonfeld</w:t>
            </w:r>
            <w:proofErr w:type="spellEnd"/>
            <w:r w:rsidRPr="00055C42">
              <w:t>, L. (2011). Attitudes toward mental health services in Hispanic older adults: The role of misconceptions and personal beliefs. Community Mental Health Journal, 47, 164-170.</w:t>
            </w:r>
          </w:p>
        </w:tc>
      </w:tr>
      <w:tr w:rsidR="006A29B3" w:rsidRPr="00055C42" w14:paraId="20CA5913" w14:textId="77777777" w:rsidTr="006A29B3">
        <w:tc>
          <w:tcPr>
            <w:tcW w:w="0" w:type="auto"/>
            <w:hideMark/>
          </w:tcPr>
          <w:p w14:paraId="6851AF98" w14:textId="61A918CC" w:rsidR="006A29B3" w:rsidRPr="00055C42" w:rsidRDefault="006A29B3" w:rsidP="006A29B3">
            <w:pPr>
              <w:ind w:left="696" w:hanging="696"/>
            </w:pPr>
            <w:r w:rsidRPr="00055C42">
              <w:t xml:space="preserve">Keyes, K. M., Martins, S. S., </w:t>
            </w:r>
            <w:proofErr w:type="spellStart"/>
            <w:r w:rsidRPr="00055C42">
              <w:t>Hatzenbuehler</w:t>
            </w:r>
            <w:proofErr w:type="spellEnd"/>
            <w:r w:rsidRPr="00055C42">
              <w:t xml:space="preserve">, M. L., Blanco, C., Bates, L. M., </w:t>
            </w:r>
            <w:proofErr w:type="spellStart"/>
            <w:r w:rsidRPr="00055C42">
              <w:t>Hasin</w:t>
            </w:r>
            <w:proofErr w:type="spellEnd"/>
            <w:r w:rsidRPr="00055C42">
              <w:t>, D. S. (2012). Mental health service utilization for psychiatric disorders among Latinos living in the United States: The role of ethnic subgroup, ethnic identity, and language/social preferences. Social Psychiatry and Psychiatric Epidemiology, 47, 383-394.</w:t>
            </w:r>
          </w:p>
        </w:tc>
      </w:tr>
      <w:tr w:rsidR="006A29B3" w:rsidRPr="00055C42" w14:paraId="7C1A7039" w14:textId="77777777" w:rsidTr="006A29B3">
        <w:tc>
          <w:tcPr>
            <w:tcW w:w="0" w:type="auto"/>
            <w:hideMark/>
          </w:tcPr>
          <w:p w14:paraId="6C6BBC0F" w14:textId="12E5C753" w:rsidR="006A29B3" w:rsidRPr="00055C42" w:rsidRDefault="006A29B3" w:rsidP="006A29B3">
            <w:pPr>
              <w:ind w:left="696" w:hanging="696"/>
            </w:pPr>
            <w:r w:rsidRPr="00055C42">
              <w:t xml:space="preserve">Kim, G., </w:t>
            </w:r>
            <w:proofErr w:type="spellStart"/>
            <w:r w:rsidRPr="00055C42">
              <w:t>Aguado</w:t>
            </w:r>
            <w:proofErr w:type="spellEnd"/>
            <w:r w:rsidRPr="00055C42">
              <w:t xml:space="preserve"> </w:t>
            </w:r>
            <w:proofErr w:type="spellStart"/>
            <w:r w:rsidRPr="00055C42">
              <w:t>Loi</w:t>
            </w:r>
            <w:proofErr w:type="spellEnd"/>
            <w:r w:rsidRPr="00055C42">
              <w:t xml:space="preserve">, C. X., </w:t>
            </w:r>
            <w:proofErr w:type="spellStart"/>
            <w:r w:rsidRPr="00055C42">
              <w:t>Chiriboga</w:t>
            </w:r>
            <w:proofErr w:type="spellEnd"/>
            <w:r w:rsidRPr="00055C42">
              <w:t>, D. A., Jang, Y., Parmelee, P., Allen, R. S. (2011). Limited English proficiency as a barrier to mental health service use: A study of Latino and Asian immigrants with psychiatric disorders. Journal of Psychiatric Research, 45(1), 104-110.</w:t>
            </w:r>
          </w:p>
        </w:tc>
      </w:tr>
      <w:tr w:rsidR="006A29B3" w:rsidRPr="00055C42" w14:paraId="082F5415" w14:textId="77777777" w:rsidTr="006A29B3">
        <w:tc>
          <w:tcPr>
            <w:tcW w:w="0" w:type="auto"/>
            <w:hideMark/>
          </w:tcPr>
          <w:p w14:paraId="25A00D6A" w14:textId="634E21A2" w:rsidR="006A29B3" w:rsidRPr="00055C42" w:rsidRDefault="006A29B3" w:rsidP="006A29B3">
            <w:pPr>
              <w:ind w:left="696" w:hanging="696"/>
            </w:pPr>
            <w:r w:rsidRPr="00055C42">
              <w:t xml:space="preserve">Knight, G. P., </w:t>
            </w:r>
            <w:proofErr w:type="spellStart"/>
            <w:r w:rsidRPr="00055C42">
              <w:t>Roosa</w:t>
            </w:r>
            <w:proofErr w:type="spellEnd"/>
            <w:r w:rsidRPr="00055C42">
              <w:t xml:space="preserve">, M. W., </w:t>
            </w:r>
            <w:proofErr w:type="spellStart"/>
            <w:r w:rsidRPr="00055C42">
              <w:t>Umaña</w:t>
            </w:r>
            <w:proofErr w:type="spellEnd"/>
            <w:r w:rsidRPr="00055C42">
              <w:t xml:space="preserve">-Taylor, A. J. (2009). Studying ethnic minority and </w:t>
            </w:r>
            <w:proofErr w:type="gramStart"/>
            <w:r w:rsidRPr="00055C42">
              <w:t>economically disadvantaged</w:t>
            </w:r>
            <w:proofErr w:type="gramEnd"/>
            <w:r w:rsidRPr="00055C42">
              <w:t xml:space="preserve"> populations: Methodological challenges and best practices. American Psychological Association.</w:t>
            </w:r>
          </w:p>
        </w:tc>
      </w:tr>
      <w:tr w:rsidR="006A29B3" w:rsidRPr="00055C42" w14:paraId="17F46387" w14:textId="77777777" w:rsidTr="006A29B3">
        <w:tc>
          <w:tcPr>
            <w:tcW w:w="0" w:type="auto"/>
            <w:hideMark/>
          </w:tcPr>
          <w:p w14:paraId="3EC7F44F" w14:textId="74B9CA2C" w:rsidR="006A29B3" w:rsidRPr="00055C42" w:rsidRDefault="006A29B3" w:rsidP="006A29B3">
            <w:pPr>
              <w:ind w:left="696" w:hanging="696"/>
            </w:pPr>
            <w:r w:rsidRPr="00055C42">
              <w:t xml:space="preserve">Liu, Y., Magnus, B. E., O’Connor, H., </w:t>
            </w:r>
            <w:proofErr w:type="spellStart"/>
            <w:r w:rsidRPr="00055C42">
              <w:t>Thissen</w:t>
            </w:r>
            <w:proofErr w:type="spellEnd"/>
            <w:r w:rsidRPr="00055C42">
              <w:t xml:space="preserve">, D. (2018). Multidimensional item response theory. In </w:t>
            </w:r>
            <w:proofErr w:type="spellStart"/>
            <w:r w:rsidRPr="00055C42">
              <w:t>Irwing</w:t>
            </w:r>
            <w:proofErr w:type="spellEnd"/>
            <w:r w:rsidRPr="00055C42">
              <w:t>, P., Booth, T., Hughes, D. (Eds.), The Wiley-Blackwell handbook of psychometric testing (pp. 445-493). John Wiley.</w:t>
            </w:r>
          </w:p>
        </w:tc>
      </w:tr>
      <w:tr w:rsidR="006A29B3" w:rsidRPr="00055C42" w14:paraId="70B91B29" w14:textId="77777777" w:rsidTr="006A29B3">
        <w:tc>
          <w:tcPr>
            <w:tcW w:w="0" w:type="auto"/>
            <w:hideMark/>
          </w:tcPr>
          <w:p w14:paraId="695B5AD9" w14:textId="2B7C0E37" w:rsidR="006A29B3" w:rsidRPr="00055C42" w:rsidRDefault="006A29B3" w:rsidP="006A29B3">
            <w:pPr>
              <w:ind w:left="696" w:hanging="696"/>
            </w:pPr>
            <w:r w:rsidRPr="00055C42">
              <w:t xml:space="preserve">Mackenzie, C. S., Know, V. J., </w:t>
            </w:r>
            <w:proofErr w:type="spellStart"/>
            <w:r w:rsidRPr="00055C42">
              <w:t>Gekoski</w:t>
            </w:r>
            <w:proofErr w:type="spellEnd"/>
            <w:r w:rsidRPr="00055C42">
              <w:t>, W. L., Macaulay, H. L. (2004). An adaptation and extension of the Attitudes Toward Seeking Professional Psychological Help Scale. Journal of Applied Social Psychology, 34, 2410-2435.</w:t>
            </w:r>
          </w:p>
        </w:tc>
      </w:tr>
      <w:tr w:rsidR="006A29B3" w:rsidRPr="00055C42" w14:paraId="2522BA90" w14:textId="77777777" w:rsidTr="006A29B3">
        <w:tc>
          <w:tcPr>
            <w:tcW w:w="0" w:type="auto"/>
            <w:hideMark/>
          </w:tcPr>
          <w:p w14:paraId="3A568B17" w14:textId="2F865049" w:rsidR="006A29B3" w:rsidRPr="00055C42" w:rsidRDefault="006A29B3" w:rsidP="006A29B3">
            <w:pPr>
              <w:ind w:left="696" w:hanging="696"/>
            </w:pPr>
            <w:r w:rsidRPr="00055C42">
              <w:t>Marín, G., Marín, B. (1991). Research with Hispanic populations. Sage.</w:t>
            </w:r>
          </w:p>
        </w:tc>
      </w:tr>
      <w:tr w:rsidR="006A29B3" w:rsidRPr="00055C42" w14:paraId="61428C99" w14:textId="77777777" w:rsidTr="006A29B3">
        <w:tc>
          <w:tcPr>
            <w:tcW w:w="0" w:type="auto"/>
            <w:hideMark/>
          </w:tcPr>
          <w:p w14:paraId="34A2B690" w14:textId="0E6F52F4" w:rsidR="006A29B3" w:rsidRPr="00055C42" w:rsidRDefault="006A29B3" w:rsidP="006A29B3">
            <w:pPr>
              <w:ind w:left="696" w:hanging="696"/>
            </w:pPr>
            <w:r w:rsidRPr="00055C42">
              <w:t>Meade, A. W., Lautenschlager, G. J. (2004). A comparison of item response theory and confirmatory factor analytic methodologies for establishing measurement equivalence/invariance. Organizational Research Methods, 7(4), 361-388.</w:t>
            </w:r>
          </w:p>
        </w:tc>
      </w:tr>
      <w:tr w:rsidR="006A29B3" w:rsidRPr="00055C42" w14:paraId="363177C1" w14:textId="77777777" w:rsidTr="006A29B3">
        <w:tc>
          <w:tcPr>
            <w:tcW w:w="0" w:type="auto"/>
            <w:hideMark/>
          </w:tcPr>
          <w:p w14:paraId="25E75195" w14:textId="352C0369" w:rsidR="006A29B3" w:rsidRPr="00055C42" w:rsidRDefault="006A29B3" w:rsidP="006A29B3">
            <w:pPr>
              <w:ind w:left="696" w:hanging="696"/>
            </w:pPr>
            <w:proofErr w:type="spellStart"/>
            <w:r w:rsidRPr="00055C42">
              <w:t>Miville</w:t>
            </w:r>
            <w:proofErr w:type="spellEnd"/>
            <w:r w:rsidRPr="00055C42">
              <w:t>, M. L., Constantine, M. G. (2006). Sociocultural predictors of psychological help-seeking attitudes and behavior among Mexican American college students. Cultural Diversity &amp; Ethnic Minority Psychology, 12(3), 420-423.</w:t>
            </w:r>
          </w:p>
        </w:tc>
      </w:tr>
      <w:tr w:rsidR="006A29B3" w:rsidRPr="00055C42" w14:paraId="43E233BD" w14:textId="77777777" w:rsidTr="006A29B3">
        <w:tc>
          <w:tcPr>
            <w:tcW w:w="0" w:type="auto"/>
            <w:hideMark/>
          </w:tcPr>
          <w:p w14:paraId="7283C324" w14:textId="6DC05E93" w:rsidR="006A29B3" w:rsidRPr="00055C42" w:rsidRDefault="006A29B3" w:rsidP="006A29B3">
            <w:pPr>
              <w:ind w:left="696" w:hanging="696"/>
            </w:pPr>
            <w:proofErr w:type="spellStart"/>
            <w:r w:rsidRPr="00055C42">
              <w:t>Mojtabai</w:t>
            </w:r>
            <w:proofErr w:type="spellEnd"/>
            <w:r w:rsidRPr="00055C42">
              <w:t xml:space="preserve">, R., </w:t>
            </w:r>
            <w:proofErr w:type="spellStart"/>
            <w:r w:rsidRPr="00055C42">
              <w:t>Olfson</w:t>
            </w:r>
            <w:proofErr w:type="spellEnd"/>
            <w:r w:rsidRPr="00055C42">
              <w:t>, M., Mechanic, D (2002). Perceived need and help-seeking in adults with mood, anxiety, or substance use disorders. Archives of General Psychiatry, 59(1), 77-84.</w:t>
            </w:r>
          </w:p>
        </w:tc>
      </w:tr>
      <w:tr w:rsidR="006A29B3" w:rsidRPr="00055C42" w14:paraId="0EF4E5B2" w14:textId="77777777" w:rsidTr="006A29B3">
        <w:tc>
          <w:tcPr>
            <w:tcW w:w="0" w:type="auto"/>
            <w:hideMark/>
          </w:tcPr>
          <w:p w14:paraId="6E535BC7" w14:textId="7F348D61" w:rsidR="006A29B3" w:rsidRPr="00055C42" w:rsidRDefault="006A29B3" w:rsidP="006A29B3">
            <w:pPr>
              <w:ind w:left="696" w:hanging="696"/>
            </w:pPr>
            <w:r w:rsidRPr="00055C42">
              <w:t>Nam, S. K., Chu, H. J., Lee, M. K., Lee, J. H., Kim, N., Lee, S. M. (2010). A meta-analysis of gender differences in attitudes toward seeking professional psychological help. Journal of American College Health, 59(2), 110-116.</w:t>
            </w:r>
          </w:p>
        </w:tc>
      </w:tr>
      <w:tr w:rsidR="006A29B3" w:rsidRPr="00055C42" w14:paraId="2AD5ED40" w14:textId="77777777" w:rsidTr="006A29B3">
        <w:tc>
          <w:tcPr>
            <w:tcW w:w="0" w:type="auto"/>
            <w:hideMark/>
          </w:tcPr>
          <w:p w14:paraId="67C5D053" w14:textId="429E9153" w:rsidR="006A29B3" w:rsidRPr="00055C42" w:rsidRDefault="006A29B3" w:rsidP="006A29B3">
            <w:pPr>
              <w:ind w:left="696" w:hanging="696"/>
            </w:pPr>
            <w:r w:rsidRPr="00055C42">
              <w:t>Orlando, M., Marshall, G. N. (2002). Differential item functioning in a Spanish translation of the PTSD Checklist: Detection and evaluation of impact. Psychological Assessment, 14(1), 50-59.</w:t>
            </w:r>
          </w:p>
        </w:tc>
      </w:tr>
      <w:tr w:rsidR="006A29B3" w:rsidRPr="00055C42" w14:paraId="59DE6EA3" w14:textId="77777777" w:rsidTr="006A29B3">
        <w:tc>
          <w:tcPr>
            <w:tcW w:w="0" w:type="auto"/>
            <w:hideMark/>
          </w:tcPr>
          <w:p w14:paraId="229F71D3" w14:textId="4B069A69" w:rsidR="006A29B3" w:rsidRPr="00055C42" w:rsidRDefault="006A29B3" w:rsidP="006A29B3">
            <w:pPr>
              <w:ind w:left="696" w:hanging="696"/>
            </w:pPr>
            <w:proofErr w:type="spellStart"/>
            <w:r w:rsidRPr="00055C42">
              <w:t>Picco</w:t>
            </w:r>
            <w:proofErr w:type="spellEnd"/>
            <w:r w:rsidRPr="00055C42">
              <w:t xml:space="preserve">, L., </w:t>
            </w:r>
            <w:proofErr w:type="spellStart"/>
            <w:r w:rsidRPr="00055C42">
              <w:t>Abdin</w:t>
            </w:r>
            <w:proofErr w:type="spellEnd"/>
            <w:r w:rsidRPr="00055C42">
              <w:t xml:space="preserve">, E., Chong, S. A., Pang, S., </w:t>
            </w:r>
            <w:proofErr w:type="spellStart"/>
            <w:r w:rsidRPr="00055C42">
              <w:t>Shafie</w:t>
            </w:r>
            <w:proofErr w:type="spellEnd"/>
            <w:r w:rsidRPr="00055C42">
              <w:t xml:space="preserve">, S., Chua, B. Y., </w:t>
            </w:r>
            <w:proofErr w:type="spellStart"/>
            <w:r w:rsidRPr="00055C42">
              <w:t>Vaingankar</w:t>
            </w:r>
            <w:proofErr w:type="spellEnd"/>
            <w:r w:rsidRPr="00055C42">
              <w:t>, J. A., Ong, L. P., Tay, J., Subramaniam, M. (2016). Attitudes toward seeking professional psychological help: Factor structure and socio-demographic predictors. Frontiers in Psychology, 7, 547-557.</w:t>
            </w:r>
          </w:p>
        </w:tc>
      </w:tr>
      <w:tr w:rsidR="006A29B3" w:rsidRPr="00055C42" w14:paraId="5FD46505" w14:textId="77777777" w:rsidTr="006A29B3">
        <w:tc>
          <w:tcPr>
            <w:tcW w:w="0" w:type="auto"/>
            <w:hideMark/>
          </w:tcPr>
          <w:p w14:paraId="70BEB937" w14:textId="60FB34C0" w:rsidR="006A29B3" w:rsidRPr="00055C42" w:rsidRDefault="006A29B3" w:rsidP="006A29B3">
            <w:pPr>
              <w:ind w:left="696" w:hanging="696"/>
            </w:pPr>
            <w:r w:rsidRPr="00055C42">
              <w:t>Raju, N. S., van der Linden, W. J., Fleer, P. F. (1995). IRT-based internal measures of differential item functioning. Applied Psychological Measurement, 19(4), 353-368.</w:t>
            </w:r>
          </w:p>
        </w:tc>
      </w:tr>
      <w:tr w:rsidR="006A29B3" w:rsidRPr="00055C42" w14:paraId="5E5DA079" w14:textId="77777777" w:rsidTr="006A29B3">
        <w:tc>
          <w:tcPr>
            <w:tcW w:w="0" w:type="auto"/>
            <w:hideMark/>
          </w:tcPr>
          <w:p w14:paraId="4042D120" w14:textId="158A2AFC" w:rsidR="006A29B3" w:rsidRPr="00055C42" w:rsidRDefault="006A29B3" w:rsidP="006A29B3">
            <w:pPr>
              <w:ind w:left="696" w:hanging="696"/>
            </w:pPr>
            <w:r w:rsidRPr="00055C42">
              <w:t>Ramos-Sanchez, L., Atkinson, D. R. (2009). The relationship between Mexican American acculturation, cultural values, gender, and help-seeking intentions. Journal of Counseling &amp; Development, 87(1), 62-71.</w:t>
            </w:r>
          </w:p>
        </w:tc>
      </w:tr>
      <w:tr w:rsidR="006A29B3" w:rsidRPr="00055C42" w14:paraId="5A8414DA" w14:textId="77777777" w:rsidTr="006A29B3">
        <w:tc>
          <w:tcPr>
            <w:tcW w:w="0" w:type="auto"/>
            <w:hideMark/>
          </w:tcPr>
          <w:p w14:paraId="7D41A5D7" w14:textId="72BE32A2" w:rsidR="006A29B3" w:rsidRPr="00055C42" w:rsidRDefault="006A29B3" w:rsidP="006A29B3">
            <w:pPr>
              <w:ind w:left="696" w:hanging="696"/>
            </w:pPr>
            <w:proofErr w:type="spellStart"/>
            <w:r w:rsidRPr="00055C42">
              <w:t>Reise</w:t>
            </w:r>
            <w:proofErr w:type="spellEnd"/>
            <w:r w:rsidRPr="00055C42">
              <w:t>, S. P., Waller, N. G. (2009). Item response theory and clinical measurement. Annual Review of Clinical Psychology, 5, 27-48.</w:t>
            </w:r>
          </w:p>
        </w:tc>
      </w:tr>
      <w:tr w:rsidR="006A29B3" w:rsidRPr="00055C42" w14:paraId="614BC5DD" w14:textId="77777777" w:rsidTr="006A29B3">
        <w:tc>
          <w:tcPr>
            <w:tcW w:w="0" w:type="auto"/>
            <w:hideMark/>
          </w:tcPr>
          <w:p w14:paraId="73500E91" w14:textId="381F106A" w:rsidR="006A29B3" w:rsidRPr="00055C42" w:rsidRDefault="006A29B3" w:rsidP="006A29B3">
            <w:pPr>
              <w:ind w:left="696" w:hanging="696"/>
            </w:pPr>
            <w:proofErr w:type="spellStart"/>
            <w:r w:rsidRPr="00055C42">
              <w:t>Rhemtulla</w:t>
            </w:r>
            <w:proofErr w:type="spellEnd"/>
            <w:r w:rsidRPr="00055C42">
              <w:t xml:space="preserve">, M., Brosseau-Liard, P. É., </w:t>
            </w:r>
            <w:proofErr w:type="spellStart"/>
            <w:r w:rsidRPr="00055C42">
              <w:t>Savalei</w:t>
            </w:r>
            <w:proofErr w:type="spellEnd"/>
            <w:r w:rsidRPr="00055C42">
              <w:t>, V. (2012). When can categorical variables be treated as continuous? A comparison of robust continuous and categorical SEM estimation methods under suboptimal conditions. Psychological Methods, 17, 354-373.</w:t>
            </w:r>
          </w:p>
        </w:tc>
      </w:tr>
      <w:tr w:rsidR="006A29B3" w:rsidRPr="00055C42" w14:paraId="6688B225" w14:textId="77777777" w:rsidTr="006A29B3">
        <w:tc>
          <w:tcPr>
            <w:tcW w:w="0" w:type="auto"/>
            <w:hideMark/>
          </w:tcPr>
          <w:p w14:paraId="48790A30" w14:textId="07F8B682" w:rsidR="006A29B3" w:rsidRPr="00055C42" w:rsidRDefault="006A29B3" w:rsidP="006A29B3">
            <w:pPr>
              <w:ind w:left="696" w:hanging="696"/>
            </w:pPr>
            <w:r w:rsidRPr="00055C42">
              <w:t xml:space="preserve">Schwartz, S. J., Benet-Martínez, V., Knight, G. P., Unger, J. B., Zamboanga, B. L., Des </w:t>
            </w:r>
            <w:proofErr w:type="spellStart"/>
            <w:r w:rsidRPr="00055C42">
              <w:t>Rosiers</w:t>
            </w:r>
            <w:proofErr w:type="spellEnd"/>
            <w:r w:rsidRPr="00055C42">
              <w:t xml:space="preserve">, S. E., Stephens, D., Huang, S., </w:t>
            </w:r>
            <w:proofErr w:type="spellStart"/>
            <w:r w:rsidRPr="00055C42">
              <w:t>Szapocznik</w:t>
            </w:r>
            <w:proofErr w:type="spellEnd"/>
            <w:r w:rsidRPr="00055C42">
              <w:t>, J. (2014). Effects of language of assessment on the measurement of acculturation: Measurement equivalence and cultural frame switching. Psychological Assessment, 26(1), 100-114.</w:t>
            </w:r>
          </w:p>
        </w:tc>
      </w:tr>
      <w:tr w:rsidR="006A29B3" w:rsidRPr="00055C42" w14:paraId="76D805A5" w14:textId="77777777" w:rsidTr="006A29B3">
        <w:tc>
          <w:tcPr>
            <w:tcW w:w="0" w:type="auto"/>
            <w:hideMark/>
          </w:tcPr>
          <w:p w14:paraId="1A1D732B" w14:textId="18623A7B" w:rsidR="006A29B3" w:rsidRPr="00055C42" w:rsidRDefault="006A29B3" w:rsidP="006A29B3">
            <w:pPr>
              <w:ind w:left="696" w:hanging="696"/>
            </w:pPr>
            <w:proofErr w:type="spellStart"/>
            <w:r w:rsidRPr="00055C42">
              <w:t>Teresi</w:t>
            </w:r>
            <w:proofErr w:type="spellEnd"/>
            <w:r w:rsidRPr="00055C42">
              <w:t xml:space="preserve">, J. A., </w:t>
            </w:r>
            <w:proofErr w:type="spellStart"/>
            <w:r w:rsidRPr="00055C42">
              <w:t>Ocepek-Welikson</w:t>
            </w:r>
            <w:proofErr w:type="spellEnd"/>
            <w:r w:rsidRPr="00055C42">
              <w:t xml:space="preserve">, K., Kleinman, M., Cook, K. F., Crane, P. K., Gibbons, L. E., Morales, L. S., Orlando-Edelen, M., </w:t>
            </w:r>
            <w:proofErr w:type="spellStart"/>
            <w:r w:rsidRPr="00055C42">
              <w:t>Cella</w:t>
            </w:r>
            <w:proofErr w:type="spellEnd"/>
            <w:r w:rsidRPr="00055C42">
              <w:t>, D. (2007). Evaluating measurement equivalence using item response theory log-likelihood ratio (IRTLR) method to assess differential item functioning (DIF): Applications (with illustrations) to measures of physical functioning ability and general distress. Quality of Life Research, 16(Suppl. 1), 43-68.</w:t>
            </w:r>
          </w:p>
        </w:tc>
      </w:tr>
      <w:tr w:rsidR="006A29B3" w:rsidRPr="00055C42" w14:paraId="30BF68D4" w14:textId="77777777" w:rsidTr="006A29B3">
        <w:tc>
          <w:tcPr>
            <w:tcW w:w="0" w:type="auto"/>
            <w:hideMark/>
          </w:tcPr>
          <w:p w14:paraId="021D151B" w14:textId="6ED71131" w:rsidR="006A29B3" w:rsidRPr="00055C42" w:rsidRDefault="006A29B3" w:rsidP="006A29B3">
            <w:pPr>
              <w:ind w:left="696" w:hanging="696"/>
            </w:pPr>
            <w:proofErr w:type="spellStart"/>
            <w:r w:rsidRPr="00055C42">
              <w:t>Thissen</w:t>
            </w:r>
            <w:proofErr w:type="spellEnd"/>
            <w:r w:rsidRPr="00055C42">
              <w:t xml:space="preserve">, D. (2017). Similar DIFs: Differential item functioning and factorial invariance for scales with seven (“plus or minus two”) response alternatives. In van der Ark, L. A., </w:t>
            </w:r>
            <w:proofErr w:type="spellStart"/>
            <w:r w:rsidRPr="00055C42">
              <w:t>Wilberg</w:t>
            </w:r>
            <w:proofErr w:type="spellEnd"/>
            <w:r w:rsidRPr="00055C42">
              <w:t>, D. M., Culpepper, S.A., Douglas, J. A., Wang, W-C. (Eds.), Quantitative psychology: The 81st Annual Meeting of the Psychometric Society, Asheville, North Carolina, 2016 (pp. 81-91). Springer.</w:t>
            </w:r>
          </w:p>
        </w:tc>
      </w:tr>
      <w:tr w:rsidR="006A29B3" w:rsidRPr="00055C42" w14:paraId="24002DCC" w14:textId="77777777" w:rsidTr="006A29B3">
        <w:tc>
          <w:tcPr>
            <w:tcW w:w="0" w:type="auto"/>
            <w:hideMark/>
          </w:tcPr>
          <w:p w14:paraId="10BC5471" w14:textId="685CE17A" w:rsidR="006A29B3" w:rsidRPr="00055C42" w:rsidRDefault="006A29B3" w:rsidP="006A29B3">
            <w:pPr>
              <w:ind w:left="696" w:hanging="696"/>
            </w:pPr>
            <w:r w:rsidRPr="00055C42">
              <w:t xml:space="preserve">U.S. Census </w:t>
            </w:r>
            <w:proofErr w:type="gramStart"/>
            <w:r w:rsidRPr="00055C42">
              <w:t>Bureau .</w:t>
            </w:r>
            <w:proofErr w:type="gramEnd"/>
            <w:r w:rsidRPr="00055C42">
              <w:t xml:space="preserve"> (2018). Hispanic heritage month 2018. </w:t>
            </w:r>
            <w:hyperlink r:id="rId16" w:tgtFrame="_blank" w:history="1">
              <w:r w:rsidRPr="00055C42">
                <w:rPr>
                  <w:rStyle w:val="Hyperlink"/>
                </w:rPr>
                <w:t>https://www.census.gov/newsroom/facts-for-features/2018/hispanic-heritage-month.html</w:t>
              </w:r>
            </w:hyperlink>
          </w:p>
        </w:tc>
      </w:tr>
      <w:tr w:rsidR="006A29B3" w:rsidRPr="00055C42" w14:paraId="5345AEB4" w14:textId="77777777" w:rsidTr="006A29B3">
        <w:tc>
          <w:tcPr>
            <w:tcW w:w="0" w:type="auto"/>
            <w:hideMark/>
          </w:tcPr>
          <w:p w14:paraId="7D76D7E7" w14:textId="51418CDF" w:rsidR="006A29B3" w:rsidRPr="00055C42" w:rsidRDefault="006A29B3" w:rsidP="006A29B3">
            <w:pPr>
              <w:ind w:left="696" w:hanging="696"/>
            </w:pPr>
            <w:r w:rsidRPr="00055C42">
              <w:t xml:space="preserve">U.S. Department of Health and Human </w:t>
            </w:r>
            <w:proofErr w:type="gramStart"/>
            <w:r w:rsidRPr="00055C42">
              <w:t>Services .</w:t>
            </w:r>
            <w:proofErr w:type="gramEnd"/>
            <w:r w:rsidRPr="00055C42">
              <w:t xml:space="preserve"> (2001). Mental health: Culture, race, and ethnicity—A supplement to mental health: A report of the surgeon general. </w:t>
            </w:r>
            <w:hyperlink r:id="rId17" w:tgtFrame="_blank" w:history="1">
              <w:r w:rsidRPr="00055C42">
                <w:rPr>
                  <w:rStyle w:val="Hyperlink"/>
                </w:rPr>
                <w:t>https://drum.lib.umd.edu/handle/1903/22834</w:t>
              </w:r>
            </w:hyperlink>
          </w:p>
        </w:tc>
      </w:tr>
      <w:tr w:rsidR="006A29B3" w:rsidRPr="00055C42" w14:paraId="2BC6F9B8" w14:textId="77777777" w:rsidTr="006A29B3">
        <w:tc>
          <w:tcPr>
            <w:tcW w:w="0" w:type="auto"/>
            <w:hideMark/>
          </w:tcPr>
          <w:p w14:paraId="2D478506" w14:textId="15715230" w:rsidR="006A29B3" w:rsidRPr="00055C42" w:rsidRDefault="006A29B3" w:rsidP="006A29B3">
            <w:pPr>
              <w:ind w:left="696" w:hanging="696"/>
            </w:pPr>
            <w:r w:rsidRPr="00055C42">
              <w:t xml:space="preserve">Vega, W. A., </w:t>
            </w:r>
            <w:proofErr w:type="spellStart"/>
            <w:r w:rsidRPr="00055C42">
              <w:t>Kolody</w:t>
            </w:r>
            <w:proofErr w:type="spellEnd"/>
            <w:r w:rsidRPr="00055C42">
              <w:t>, B., Aguilar-</w:t>
            </w:r>
            <w:proofErr w:type="spellStart"/>
            <w:r w:rsidRPr="00055C42">
              <w:t>Gaxiola</w:t>
            </w:r>
            <w:proofErr w:type="spellEnd"/>
            <w:r w:rsidRPr="00055C42">
              <w:t>, S. (2001). Help seeking for mental health problems among Mexican Americans. Journal of Immigrant Health, 3(3), 133-140.</w:t>
            </w:r>
          </w:p>
        </w:tc>
      </w:tr>
      <w:tr w:rsidR="006A29B3" w:rsidRPr="00055C42" w14:paraId="036C9307" w14:textId="77777777" w:rsidTr="006A29B3">
        <w:tc>
          <w:tcPr>
            <w:tcW w:w="0" w:type="auto"/>
            <w:hideMark/>
          </w:tcPr>
          <w:p w14:paraId="77C609A2" w14:textId="64AE0FE2" w:rsidR="006A29B3" w:rsidRPr="00055C42" w:rsidRDefault="006A29B3" w:rsidP="006A29B3">
            <w:pPr>
              <w:ind w:left="696" w:hanging="696"/>
            </w:pPr>
            <w:r w:rsidRPr="00055C42">
              <w:t>Wei, U., McGrath, P. J., Hayden, J., Kutcher, S. (2017). Measurement properties of mental health literacy tools measuring help-seeking: A systematic review. Journal of Mental Health, 26, 543-555.</w:t>
            </w:r>
          </w:p>
        </w:tc>
      </w:tr>
      <w:tr w:rsidR="006A29B3" w:rsidRPr="00055C42" w14:paraId="5562C4BE" w14:textId="77777777" w:rsidTr="006A29B3">
        <w:tc>
          <w:tcPr>
            <w:tcW w:w="0" w:type="auto"/>
            <w:hideMark/>
          </w:tcPr>
          <w:p w14:paraId="5555BDE4" w14:textId="4987DFFF" w:rsidR="006A29B3" w:rsidRPr="00055C42" w:rsidRDefault="006A29B3" w:rsidP="006A29B3">
            <w:pPr>
              <w:ind w:left="696" w:hanging="696"/>
            </w:pPr>
            <w:r w:rsidRPr="00055C42">
              <w:t>Zhao, Y. (2014). The performance of model fit measures by robust weighted least squares estimators in confirmatory factor analysis [Unpublished doctoral dissertation]. The Pennsylvania State University.</w:t>
            </w:r>
          </w:p>
        </w:tc>
      </w:tr>
      <w:tr w:rsidR="006A29B3" w:rsidRPr="00055C42" w14:paraId="3889B665" w14:textId="77777777" w:rsidTr="006A29B3">
        <w:tc>
          <w:tcPr>
            <w:tcW w:w="0" w:type="auto"/>
            <w:hideMark/>
          </w:tcPr>
          <w:p w14:paraId="50D28D76" w14:textId="7D939E88" w:rsidR="006A29B3" w:rsidRPr="00055C42" w:rsidRDefault="006A29B3" w:rsidP="006A29B3">
            <w:pPr>
              <w:ind w:left="696" w:hanging="696"/>
            </w:pPr>
            <w:proofErr w:type="spellStart"/>
            <w:r w:rsidRPr="00055C42">
              <w:t>Zumbo</w:t>
            </w:r>
            <w:proofErr w:type="spellEnd"/>
            <w:r w:rsidRPr="00055C42">
              <w:t>, B. D. (2003). Does item-level DIF manifests itself in scale-level analyses? Implications for translating language tests. Language Testing, 20(2), 136-147.</w:t>
            </w:r>
          </w:p>
        </w:tc>
      </w:tr>
    </w:tbl>
    <w:p w14:paraId="59D2F80B" w14:textId="77777777" w:rsidR="00CC43B6" w:rsidRPr="00CC43B6" w:rsidRDefault="00CC43B6" w:rsidP="00CC43B6"/>
    <w:sectPr w:rsidR="00CC43B6" w:rsidRPr="00CC43B6" w:rsidSect="009C0C3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Pro-MediumItalic">
    <w:altName w:val="Calibri"/>
    <w:panose1 w:val="00000000000000000000"/>
    <w:charset w:val="00"/>
    <w:family w:val="swiss"/>
    <w:notTrueType/>
    <w:pitch w:val="default"/>
    <w:sig w:usb0="00000003" w:usb1="00000000" w:usb2="00000000" w:usb3="00000000" w:csb0="00000001" w:csb1="00000000"/>
  </w:font>
  <w:font w:name="MathematicalPiLTSt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O6i0U1kIHgzd4axHz10FWK03Gnx8uwDefiQLiottCPMAAIJelhhX5LroXEuEX4AB+U9bPnRGJGvwcdLgXNfurA==" w:salt="eXXtXNfNytB/EJ3qOQi4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C42"/>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27D57"/>
    <w:rsid w:val="0013073E"/>
    <w:rsid w:val="00130CEF"/>
    <w:rsid w:val="00131A15"/>
    <w:rsid w:val="00131C28"/>
    <w:rsid w:val="00134CF7"/>
    <w:rsid w:val="0014182B"/>
    <w:rsid w:val="0014490B"/>
    <w:rsid w:val="00146788"/>
    <w:rsid w:val="00146A5C"/>
    <w:rsid w:val="00146E50"/>
    <w:rsid w:val="00150DB6"/>
    <w:rsid w:val="00154D34"/>
    <w:rsid w:val="00160E1F"/>
    <w:rsid w:val="00161372"/>
    <w:rsid w:val="001622DB"/>
    <w:rsid w:val="001623E1"/>
    <w:rsid w:val="00163F71"/>
    <w:rsid w:val="00173556"/>
    <w:rsid w:val="00175199"/>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A1"/>
    <w:rsid w:val="00201FDC"/>
    <w:rsid w:val="002022D8"/>
    <w:rsid w:val="00206486"/>
    <w:rsid w:val="00206CC8"/>
    <w:rsid w:val="00211422"/>
    <w:rsid w:val="00212109"/>
    <w:rsid w:val="00224240"/>
    <w:rsid w:val="00224FA9"/>
    <w:rsid w:val="00226FA2"/>
    <w:rsid w:val="0024134B"/>
    <w:rsid w:val="00251132"/>
    <w:rsid w:val="002535DF"/>
    <w:rsid w:val="002558EB"/>
    <w:rsid w:val="00255B43"/>
    <w:rsid w:val="00255BDC"/>
    <w:rsid w:val="00255BEA"/>
    <w:rsid w:val="00261403"/>
    <w:rsid w:val="00261F59"/>
    <w:rsid w:val="00272AF4"/>
    <w:rsid w:val="00276C06"/>
    <w:rsid w:val="00280198"/>
    <w:rsid w:val="002817F5"/>
    <w:rsid w:val="00282094"/>
    <w:rsid w:val="002843BC"/>
    <w:rsid w:val="00284A84"/>
    <w:rsid w:val="0029129F"/>
    <w:rsid w:val="00291D18"/>
    <w:rsid w:val="00292067"/>
    <w:rsid w:val="00296B90"/>
    <w:rsid w:val="00297296"/>
    <w:rsid w:val="002A0668"/>
    <w:rsid w:val="002A24E8"/>
    <w:rsid w:val="002A6B8B"/>
    <w:rsid w:val="002A7FBB"/>
    <w:rsid w:val="002B1ED8"/>
    <w:rsid w:val="002B45EC"/>
    <w:rsid w:val="002B62C6"/>
    <w:rsid w:val="002C17A7"/>
    <w:rsid w:val="002C2DA5"/>
    <w:rsid w:val="002C4714"/>
    <w:rsid w:val="002C6160"/>
    <w:rsid w:val="002C6591"/>
    <w:rsid w:val="002D02F2"/>
    <w:rsid w:val="002D28EA"/>
    <w:rsid w:val="002D51BB"/>
    <w:rsid w:val="002D5BAE"/>
    <w:rsid w:val="002D5DDC"/>
    <w:rsid w:val="002D6AA3"/>
    <w:rsid w:val="002E5C33"/>
    <w:rsid w:val="002E5D29"/>
    <w:rsid w:val="002F6C7C"/>
    <w:rsid w:val="00300EE4"/>
    <w:rsid w:val="0030197F"/>
    <w:rsid w:val="0030223E"/>
    <w:rsid w:val="00303A1E"/>
    <w:rsid w:val="00303BBD"/>
    <w:rsid w:val="00313440"/>
    <w:rsid w:val="00314FCD"/>
    <w:rsid w:val="00324290"/>
    <w:rsid w:val="003246B5"/>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641A"/>
    <w:rsid w:val="0037755D"/>
    <w:rsid w:val="00381F0E"/>
    <w:rsid w:val="0038549B"/>
    <w:rsid w:val="0038628A"/>
    <w:rsid w:val="0038634F"/>
    <w:rsid w:val="00391C48"/>
    <w:rsid w:val="00393398"/>
    <w:rsid w:val="00394337"/>
    <w:rsid w:val="00395C90"/>
    <w:rsid w:val="003A437A"/>
    <w:rsid w:val="003A503E"/>
    <w:rsid w:val="003A6039"/>
    <w:rsid w:val="003A652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936"/>
    <w:rsid w:val="004932A8"/>
    <w:rsid w:val="00497E47"/>
    <w:rsid w:val="004A0368"/>
    <w:rsid w:val="004A2715"/>
    <w:rsid w:val="004A2894"/>
    <w:rsid w:val="004A2B41"/>
    <w:rsid w:val="004A3B3E"/>
    <w:rsid w:val="004B2226"/>
    <w:rsid w:val="004B35D2"/>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27464"/>
    <w:rsid w:val="00533270"/>
    <w:rsid w:val="00540146"/>
    <w:rsid w:val="00543C22"/>
    <w:rsid w:val="0054405B"/>
    <w:rsid w:val="0054567F"/>
    <w:rsid w:val="00546B44"/>
    <w:rsid w:val="005501DB"/>
    <w:rsid w:val="00553291"/>
    <w:rsid w:val="005546FF"/>
    <w:rsid w:val="00556B72"/>
    <w:rsid w:val="005605E4"/>
    <w:rsid w:val="00563D7B"/>
    <w:rsid w:val="00563E3B"/>
    <w:rsid w:val="005643C8"/>
    <w:rsid w:val="005673D1"/>
    <w:rsid w:val="00570F38"/>
    <w:rsid w:val="00573955"/>
    <w:rsid w:val="00580E33"/>
    <w:rsid w:val="00583225"/>
    <w:rsid w:val="00585411"/>
    <w:rsid w:val="0058724D"/>
    <w:rsid w:val="00591FFB"/>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4D7A"/>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EBE"/>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29B3"/>
    <w:rsid w:val="006A533C"/>
    <w:rsid w:val="006A5E52"/>
    <w:rsid w:val="006A712D"/>
    <w:rsid w:val="006A7697"/>
    <w:rsid w:val="006A7B71"/>
    <w:rsid w:val="006B20FD"/>
    <w:rsid w:val="006B3B2B"/>
    <w:rsid w:val="006C024E"/>
    <w:rsid w:val="006C33FC"/>
    <w:rsid w:val="006C7ED1"/>
    <w:rsid w:val="006D6BEE"/>
    <w:rsid w:val="006D75E1"/>
    <w:rsid w:val="006D7670"/>
    <w:rsid w:val="006E10F4"/>
    <w:rsid w:val="006E10FD"/>
    <w:rsid w:val="006E2996"/>
    <w:rsid w:val="006E2EEC"/>
    <w:rsid w:val="006E471E"/>
    <w:rsid w:val="006E4859"/>
    <w:rsid w:val="006F24E3"/>
    <w:rsid w:val="00703E2F"/>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79F"/>
    <w:rsid w:val="00791DD5"/>
    <w:rsid w:val="0079653E"/>
    <w:rsid w:val="00796875"/>
    <w:rsid w:val="0079756E"/>
    <w:rsid w:val="007A1233"/>
    <w:rsid w:val="007A258F"/>
    <w:rsid w:val="007A3B3A"/>
    <w:rsid w:val="007B0BBA"/>
    <w:rsid w:val="007B2C0F"/>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AB1"/>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D680B"/>
    <w:rsid w:val="008E1C4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9C0"/>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4942"/>
    <w:rsid w:val="009B4F83"/>
    <w:rsid w:val="009B6983"/>
    <w:rsid w:val="009C0C39"/>
    <w:rsid w:val="009C5450"/>
    <w:rsid w:val="009C5716"/>
    <w:rsid w:val="009D316A"/>
    <w:rsid w:val="009D3527"/>
    <w:rsid w:val="009D5368"/>
    <w:rsid w:val="009D54DF"/>
    <w:rsid w:val="009E56AC"/>
    <w:rsid w:val="009E56AE"/>
    <w:rsid w:val="009E56AF"/>
    <w:rsid w:val="009E678D"/>
    <w:rsid w:val="009F28E2"/>
    <w:rsid w:val="009F4BDF"/>
    <w:rsid w:val="009F60BA"/>
    <w:rsid w:val="009F7F44"/>
    <w:rsid w:val="00A01B8D"/>
    <w:rsid w:val="00A034AE"/>
    <w:rsid w:val="00A035F5"/>
    <w:rsid w:val="00A03929"/>
    <w:rsid w:val="00A11F34"/>
    <w:rsid w:val="00A134BA"/>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660"/>
    <w:rsid w:val="00A7290A"/>
    <w:rsid w:val="00A75006"/>
    <w:rsid w:val="00A81E28"/>
    <w:rsid w:val="00A82932"/>
    <w:rsid w:val="00A82D07"/>
    <w:rsid w:val="00A868FB"/>
    <w:rsid w:val="00A915ED"/>
    <w:rsid w:val="00A91CF2"/>
    <w:rsid w:val="00A93BA4"/>
    <w:rsid w:val="00A9416E"/>
    <w:rsid w:val="00A96528"/>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C00"/>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A5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3B6"/>
    <w:rsid w:val="00CD139B"/>
    <w:rsid w:val="00CD5E59"/>
    <w:rsid w:val="00CD7831"/>
    <w:rsid w:val="00CE05D4"/>
    <w:rsid w:val="00CE4712"/>
    <w:rsid w:val="00CF11E5"/>
    <w:rsid w:val="00CF53EE"/>
    <w:rsid w:val="00D01E5B"/>
    <w:rsid w:val="00D02378"/>
    <w:rsid w:val="00D02BE9"/>
    <w:rsid w:val="00D05222"/>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0237"/>
    <w:rsid w:val="00DB357A"/>
    <w:rsid w:val="00DB3A12"/>
    <w:rsid w:val="00DB4233"/>
    <w:rsid w:val="00DB5097"/>
    <w:rsid w:val="00DB6FEA"/>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83F"/>
    <w:rsid w:val="00F60EEE"/>
    <w:rsid w:val="00F6204B"/>
    <w:rsid w:val="00F62CDA"/>
    <w:rsid w:val="00F6448C"/>
    <w:rsid w:val="00F65D8A"/>
    <w:rsid w:val="00F74422"/>
    <w:rsid w:val="00F76222"/>
    <w:rsid w:val="00F76A3B"/>
    <w:rsid w:val="00F83712"/>
    <w:rsid w:val="00F86BEC"/>
    <w:rsid w:val="00F93322"/>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23"/>
    <w:rsid w:val="00FE46AF"/>
    <w:rsid w:val="00FE73C3"/>
    <w:rsid w:val="00FF1F94"/>
    <w:rsid w:val="00FF2B49"/>
    <w:rsid w:val="00FF3001"/>
    <w:rsid w:val="00FF53F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529"/>
  </w:style>
  <w:style w:type="paragraph" w:styleId="Heading1">
    <w:name w:val="heading 1"/>
    <w:basedOn w:val="Normal"/>
    <w:next w:val="Normal"/>
    <w:link w:val="Heading1Char"/>
    <w:uiPriority w:val="9"/>
    <w:qFormat/>
    <w:rsid w:val="003A652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A652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A652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A652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A652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A6529"/>
    <w:pPr>
      <w:keepNext/>
      <w:keepLines/>
      <w:spacing w:before="40" w:after="0"/>
      <w:outlineLvl w:val="5"/>
    </w:pPr>
  </w:style>
  <w:style w:type="paragraph" w:styleId="Heading7">
    <w:name w:val="heading 7"/>
    <w:basedOn w:val="Normal"/>
    <w:next w:val="Normal"/>
    <w:link w:val="Heading7Char"/>
    <w:uiPriority w:val="9"/>
    <w:semiHidden/>
    <w:unhideWhenUsed/>
    <w:qFormat/>
    <w:rsid w:val="003A652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A652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A652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52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A652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A652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A6529"/>
    <w:rPr>
      <w:i/>
      <w:iCs/>
    </w:rPr>
  </w:style>
  <w:style w:type="character" w:customStyle="1" w:styleId="Heading5Char">
    <w:name w:val="Heading 5 Char"/>
    <w:basedOn w:val="DefaultParagraphFont"/>
    <w:link w:val="Heading5"/>
    <w:uiPriority w:val="9"/>
    <w:semiHidden/>
    <w:rsid w:val="003A6529"/>
    <w:rPr>
      <w:color w:val="404040" w:themeColor="text1" w:themeTint="BF"/>
    </w:rPr>
  </w:style>
  <w:style w:type="character" w:customStyle="1" w:styleId="Heading6Char">
    <w:name w:val="Heading 6 Char"/>
    <w:basedOn w:val="DefaultParagraphFont"/>
    <w:link w:val="Heading6"/>
    <w:uiPriority w:val="9"/>
    <w:semiHidden/>
    <w:rsid w:val="003A6529"/>
  </w:style>
  <w:style w:type="character" w:customStyle="1" w:styleId="Heading7Char">
    <w:name w:val="Heading 7 Char"/>
    <w:basedOn w:val="DefaultParagraphFont"/>
    <w:link w:val="Heading7"/>
    <w:uiPriority w:val="9"/>
    <w:semiHidden/>
    <w:rsid w:val="003A652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A6529"/>
    <w:rPr>
      <w:color w:val="262626" w:themeColor="text1" w:themeTint="D9"/>
      <w:sz w:val="21"/>
      <w:szCs w:val="21"/>
    </w:rPr>
  </w:style>
  <w:style w:type="character" w:customStyle="1" w:styleId="Heading9Char">
    <w:name w:val="Heading 9 Char"/>
    <w:basedOn w:val="DefaultParagraphFont"/>
    <w:link w:val="Heading9"/>
    <w:uiPriority w:val="9"/>
    <w:semiHidden/>
    <w:rsid w:val="003A652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A652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A652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A652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A652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A6529"/>
    <w:rPr>
      <w:color w:val="5A5A5A" w:themeColor="text1" w:themeTint="A5"/>
      <w:spacing w:val="15"/>
    </w:rPr>
  </w:style>
  <w:style w:type="character" w:styleId="Strong">
    <w:name w:val="Strong"/>
    <w:basedOn w:val="DefaultParagraphFont"/>
    <w:uiPriority w:val="22"/>
    <w:qFormat/>
    <w:rsid w:val="003A6529"/>
    <w:rPr>
      <w:b/>
      <w:bCs/>
      <w:color w:val="auto"/>
    </w:rPr>
  </w:style>
  <w:style w:type="character" w:styleId="Emphasis">
    <w:name w:val="Emphasis"/>
    <w:basedOn w:val="DefaultParagraphFont"/>
    <w:uiPriority w:val="20"/>
    <w:qFormat/>
    <w:rsid w:val="003A6529"/>
    <w:rPr>
      <w:i/>
      <w:iCs/>
      <w:color w:val="auto"/>
    </w:rPr>
  </w:style>
  <w:style w:type="paragraph" w:styleId="NoSpacing">
    <w:name w:val="No Spacing"/>
    <w:uiPriority w:val="1"/>
    <w:qFormat/>
    <w:rsid w:val="003A652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A652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A6529"/>
    <w:rPr>
      <w:i/>
      <w:iCs/>
      <w:color w:val="404040" w:themeColor="text1" w:themeTint="BF"/>
    </w:rPr>
  </w:style>
  <w:style w:type="paragraph" w:styleId="IntenseQuote">
    <w:name w:val="Intense Quote"/>
    <w:basedOn w:val="Normal"/>
    <w:next w:val="Normal"/>
    <w:link w:val="IntenseQuoteChar"/>
    <w:uiPriority w:val="30"/>
    <w:qFormat/>
    <w:rsid w:val="003A652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A6529"/>
    <w:rPr>
      <w:i/>
      <w:iCs/>
      <w:color w:val="404040" w:themeColor="text1" w:themeTint="BF"/>
    </w:rPr>
  </w:style>
  <w:style w:type="character" w:styleId="SubtleEmphasis">
    <w:name w:val="Subtle Emphasis"/>
    <w:basedOn w:val="DefaultParagraphFont"/>
    <w:uiPriority w:val="19"/>
    <w:qFormat/>
    <w:rsid w:val="003A6529"/>
    <w:rPr>
      <w:i/>
      <w:iCs/>
      <w:color w:val="404040" w:themeColor="text1" w:themeTint="BF"/>
    </w:rPr>
  </w:style>
  <w:style w:type="character" w:styleId="IntenseEmphasis">
    <w:name w:val="Intense Emphasis"/>
    <w:basedOn w:val="DefaultParagraphFont"/>
    <w:uiPriority w:val="21"/>
    <w:qFormat/>
    <w:rsid w:val="003A6529"/>
    <w:rPr>
      <w:b/>
      <w:bCs/>
      <w:i/>
      <w:iCs/>
      <w:color w:val="auto"/>
    </w:rPr>
  </w:style>
  <w:style w:type="character" w:styleId="SubtleReference">
    <w:name w:val="Subtle Reference"/>
    <w:basedOn w:val="DefaultParagraphFont"/>
    <w:uiPriority w:val="31"/>
    <w:qFormat/>
    <w:rsid w:val="003A6529"/>
    <w:rPr>
      <w:smallCaps/>
      <w:color w:val="404040" w:themeColor="text1" w:themeTint="BF"/>
    </w:rPr>
  </w:style>
  <w:style w:type="character" w:styleId="IntenseReference">
    <w:name w:val="Intense Reference"/>
    <w:basedOn w:val="DefaultParagraphFont"/>
    <w:uiPriority w:val="32"/>
    <w:qFormat/>
    <w:rsid w:val="003A6529"/>
    <w:rPr>
      <w:b/>
      <w:bCs/>
      <w:smallCaps/>
      <w:color w:val="404040" w:themeColor="text1" w:themeTint="BF"/>
      <w:spacing w:val="5"/>
    </w:rPr>
  </w:style>
  <w:style w:type="character" w:styleId="BookTitle">
    <w:name w:val="Book Title"/>
    <w:basedOn w:val="DefaultParagraphFont"/>
    <w:uiPriority w:val="33"/>
    <w:qFormat/>
    <w:rsid w:val="003A6529"/>
    <w:rPr>
      <w:b/>
      <w:bCs/>
      <w:i/>
      <w:iCs/>
      <w:spacing w:val="5"/>
    </w:rPr>
  </w:style>
  <w:style w:type="paragraph" w:styleId="TOCHeading">
    <w:name w:val="TOC Heading"/>
    <w:basedOn w:val="Heading1"/>
    <w:next w:val="Normal"/>
    <w:uiPriority w:val="39"/>
    <w:semiHidden/>
    <w:unhideWhenUsed/>
    <w:qFormat/>
    <w:rsid w:val="003A652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055C42"/>
  </w:style>
  <w:style w:type="character" w:customStyle="1" w:styleId="captionlabel">
    <w:name w:val="captionlabel"/>
    <w:basedOn w:val="DefaultParagraphFont"/>
    <w:rsid w:val="00055C42"/>
  </w:style>
  <w:style w:type="character" w:customStyle="1" w:styleId="figure">
    <w:name w:val="figure"/>
    <w:basedOn w:val="DefaultParagraphFont"/>
    <w:rsid w:val="00055C42"/>
  </w:style>
  <w:style w:type="character" w:customStyle="1" w:styleId="overlay">
    <w:name w:val="overlay"/>
    <w:basedOn w:val="DefaultParagraphFont"/>
    <w:rsid w:val="00055C42"/>
  </w:style>
  <w:style w:type="character" w:customStyle="1" w:styleId="nlmfn">
    <w:name w:val="nlm_fn"/>
    <w:basedOn w:val="DefaultParagraphFont"/>
    <w:rsid w:val="00055C42"/>
  </w:style>
  <w:style w:type="character" w:customStyle="1" w:styleId="fn-label">
    <w:name w:val="fn-label"/>
    <w:basedOn w:val="DefaultParagraphFont"/>
    <w:rsid w:val="00055C42"/>
  </w:style>
  <w:style w:type="character" w:customStyle="1" w:styleId="nlminline-graphic">
    <w:name w:val="nlm_inline-graphic"/>
    <w:basedOn w:val="DefaultParagraphFont"/>
    <w:rsid w:val="00055C42"/>
  </w:style>
  <w:style w:type="character" w:customStyle="1" w:styleId="nlmyear">
    <w:name w:val="nlm_year"/>
    <w:basedOn w:val="DefaultParagraphFont"/>
    <w:rsid w:val="00055C42"/>
  </w:style>
  <w:style w:type="character" w:customStyle="1" w:styleId="nlmarticle-title">
    <w:name w:val="nlm_article-title"/>
    <w:basedOn w:val="DefaultParagraphFont"/>
    <w:rsid w:val="00055C42"/>
  </w:style>
  <w:style w:type="character" w:customStyle="1" w:styleId="nlmfpage">
    <w:name w:val="nlm_fpage"/>
    <w:basedOn w:val="DefaultParagraphFont"/>
    <w:rsid w:val="00055C42"/>
  </w:style>
  <w:style w:type="character" w:customStyle="1" w:styleId="nlmlpage">
    <w:name w:val="nlm_lpage"/>
    <w:basedOn w:val="DefaultParagraphFont"/>
    <w:rsid w:val="00055C42"/>
  </w:style>
  <w:style w:type="character" w:customStyle="1" w:styleId="ref-google">
    <w:name w:val="ref-google"/>
    <w:basedOn w:val="DefaultParagraphFont"/>
    <w:rsid w:val="00055C42"/>
  </w:style>
  <w:style w:type="character" w:customStyle="1" w:styleId="ref-xlink">
    <w:name w:val="ref-xlink"/>
    <w:basedOn w:val="DefaultParagraphFont"/>
    <w:rsid w:val="00055C42"/>
  </w:style>
  <w:style w:type="character" w:customStyle="1" w:styleId="ref-sfxlink">
    <w:name w:val="ref-sfxlink"/>
    <w:basedOn w:val="DefaultParagraphFont"/>
    <w:rsid w:val="00055C42"/>
  </w:style>
  <w:style w:type="character" w:customStyle="1" w:styleId="nlmpublisher-name">
    <w:name w:val="nlm_publisher-name"/>
    <w:basedOn w:val="DefaultParagraphFont"/>
    <w:rsid w:val="00055C42"/>
  </w:style>
  <w:style w:type="character" w:customStyle="1" w:styleId="nlmsupplement">
    <w:name w:val="nlm_supplement"/>
    <w:basedOn w:val="DefaultParagraphFont"/>
    <w:rsid w:val="00055C42"/>
  </w:style>
  <w:style w:type="character" w:customStyle="1" w:styleId="nlmpublisher-loc">
    <w:name w:val="nlm_publisher-loc"/>
    <w:basedOn w:val="DefaultParagraphFont"/>
    <w:rsid w:val="00055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91714897">
      <w:bodyDiv w:val="1"/>
      <w:marLeft w:val="0"/>
      <w:marRight w:val="0"/>
      <w:marTop w:val="0"/>
      <w:marBottom w:val="0"/>
      <w:divBdr>
        <w:top w:val="none" w:sz="0" w:space="0" w:color="auto"/>
        <w:left w:val="none" w:sz="0" w:space="0" w:color="auto"/>
        <w:bottom w:val="none" w:sz="0" w:space="0" w:color="auto"/>
        <w:right w:val="none" w:sz="0" w:space="0" w:color="auto"/>
      </w:divBdr>
      <w:divsChild>
        <w:div w:id="1961376112">
          <w:marLeft w:val="0"/>
          <w:marRight w:val="0"/>
          <w:marTop w:val="75"/>
          <w:marBottom w:val="0"/>
          <w:divBdr>
            <w:top w:val="none" w:sz="0" w:space="0" w:color="auto"/>
            <w:left w:val="none" w:sz="0" w:space="0" w:color="auto"/>
            <w:bottom w:val="none" w:sz="0" w:space="0" w:color="auto"/>
            <w:right w:val="none" w:sz="0" w:space="0" w:color="auto"/>
          </w:divBdr>
          <w:divsChild>
            <w:div w:id="1884101757">
              <w:marLeft w:val="0"/>
              <w:marRight w:val="0"/>
              <w:marTop w:val="0"/>
              <w:marBottom w:val="0"/>
              <w:divBdr>
                <w:top w:val="none" w:sz="0" w:space="0" w:color="auto"/>
                <w:left w:val="none" w:sz="0" w:space="0" w:color="auto"/>
                <w:bottom w:val="none" w:sz="0" w:space="0" w:color="auto"/>
                <w:right w:val="none" w:sz="0" w:space="0" w:color="auto"/>
              </w:divBdr>
            </w:div>
            <w:div w:id="2107379649">
              <w:marLeft w:val="0"/>
              <w:marRight w:val="0"/>
              <w:marTop w:val="0"/>
              <w:marBottom w:val="0"/>
              <w:divBdr>
                <w:top w:val="none" w:sz="0" w:space="0" w:color="auto"/>
                <w:left w:val="none" w:sz="0" w:space="0" w:color="auto"/>
                <w:bottom w:val="none" w:sz="0" w:space="0" w:color="auto"/>
                <w:right w:val="none" w:sz="0" w:space="0" w:color="auto"/>
              </w:divBdr>
            </w:div>
          </w:divsChild>
        </w:div>
        <w:div w:id="1747069760">
          <w:marLeft w:val="0"/>
          <w:marRight w:val="0"/>
          <w:marTop w:val="0"/>
          <w:marBottom w:val="150"/>
          <w:divBdr>
            <w:top w:val="none" w:sz="0" w:space="0" w:color="auto"/>
            <w:left w:val="none" w:sz="0" w:space="0" w:color="auto"/>
            <w:bottom w:val="single" w:sz="6" w:space="0" w:color="CCCCCC"/>
            <w:right w:val="none" w:sz="0" w:space="0" w:color="auto"/>
          </w:divBdr>
          <w:divsChild>
            <w:div w:id="1373380903">
              <w:marLeft w:val="300"/>
              <w:marRight w:val="0"/>
              <w:marTop w:val="0"/>
              <w:marBottom w:val="450"/>
              <w:divBdr>
                <w:top w:val="none" w:sz="0" w:space="0" w:color="auto"/>
                <w:left w:val="none" w:sz="0" w:space="0" w:color="auto"/>
                <w:bottom w:val="none" w:sz="0" w:space="0" w:color="auto"/>
                <w:right w:val="none" w:sz="0" w:space="0" w:color="auto"/>
              </w:divBdr>
              <w:divsChild>
                <w:div w:id="65202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9462">
          <w:marLeft w:val="0"/>
          <w:marRight w:val="0"/>
          <w:marTop w:val="0"/>
          <w:marBottom w:val="0"/>
          <w:divBdr>
            <w:top w:val="none" w:sz="0" w:space="0" w:color="auto"/>
            <w:left w:val="none" w:sz="0" w:space="0" w:color="auto"/>
            <w:bottom w:val="none" w:sz="0" w:space="0" w:color="auto"/>
            <w:right w:val="none" w:sz="0" w:space="0" w:color="auto"/>
          </w:divBdr>
          <w:divsChild>
            <w:div w:id="1039008539">
              <w:marLeft w:val="0"/>
              <w:marRight w:val="0"/>
              <w:marTop w:val="0"/>
              <w:marBottom w:val="0"/>
              <w:divBdr>
                <w:top w:val="none" w:sz="0" w:space="0" w:color="auto"/>
                <w:left w:val="none" w:sz="0" w:space="0" w:color="auto"/>
                <w:bottom w:val="none" w:sz="0" w:space="0" w:color="auto"/>
                <w:right w:val="none" w:sz="0" w:space="0" w:color="auto"/>
              </w:divBdr>
              <w:divsChild>
                <w:div w:id="1538005245">
                  <w:marLeft w:val="0"/>
                  <w:marRight w:val="0"/>
                  <w:marTop w:val="0"/>
                  <w:marBottom w:val="0"/>
                  <w:divBdr>
                    <w:top w:val="none" w:sz="0" w:space="0" w:color="auto"/>
                    <w:left w:val="none" w:sz="0" w:space="0" w:color="auto"/>
                    <w:bottom w:val="none" w:sz="0" w:space="0" w:color="auto"/>
                    <w:right w:val="none" w:sz="0" w:space="0" w:color="auto"/>
                  </w:divBdr>
                </w:div>
              </w:divsChild>
            </w:div>
            <w:div w:id="382485033">
              <w:marLeft w:val="0"/>
              <w:marRight w:val="0"/>
              <w:marTop w:val="0"/>
              <w:marBottom w:val="0"/>
              <w:divBdr>
                <w:top w:val="none" w:sz="0" w:space="0" w:color="auto"/>
                <w:left w:val="none" w:sz="0" w:space="0" w:color="auto"/>
                <w:bottom w:val="none" w:sz="0" w:space="0" w:color="auto"/>
                <w:right w:val="none" w:sz="0" w:space="0" w:color="auto"/>
              </w:divBdr>
              <w:divsChild>
                <w:div w:id="484052992">
                  <w:marLeft w:val="0"/>
                  <w:marRight w:val="0"/>
                  <w:marTop w:val="0"/>
                  <w:marBottom w:val="0"/>
                  <w:divBdr>
                    <w:top w:val="none" w:sz="0" w:space="0" w:color="auto"/>
                    <w:left w:val="none" w:sz="0" w:space="0" w:color="auto"/>
                    <w:bottom w:val="none" w:sz="0" w:space="0" w:color="auto"/>
                    <w:right w:val="none" w:sz="0" w:space="0" w:color="auto"/>
                  </w:divBdr>
                </w:div>
                <w:div w:id="988091910">
                  <w:marLeft w:val="0"/>
                  <w:marRight w:val="0"/>
                  <w:marTop w:val="0"/>
                  <w:marBottom w:val="0"/>
                  <w:divBdr>
                    <w:top w:val="none" w:sz="0" w:space="0" w:color="auto"/>
                    <w:left w:val="none" w:sz="0" w:space="0" w:color="auto"/>
                    <w:bottom w:val="none" w:sz="0" w:space="0" w:color="auto"/>
                    <w:right w:val="none" w:sz="0" w:space="0" w:color="auto"/>
                  </w:divBdr>
                  <w:divsChild>
                    <w:div w:id="1271279451">
                      <w:marLeft w:val="300"/>
                      <w:marRight w:val="0"/>
                      <w:marTop w:val="0"/>
                      <w:marBottom w:val="0"/>
                      <w:divBdr>
                        <w:top w:val="none" w:sz="0" w:space="0" w:color="auto"/>
                        <w:left w:val="none" w:sz="0" w:space="0" w:color="auto"/>
                        <w:bottom w:val="none" w:sz="0" w:space="0" w:color="auto"/>
                        <w:right w:val="none" w:sz="0" w:space="0" w:color="auto"/>
                      </w:divBdr>
                    </w:div>
                  </w:divsChild>
                </w:div>
                <w:div w:id="2012248427">
                  <w:marLeft w:val="0"/>
                  <w:marRight w:val="0"/>
                  <w:marTop w:val="0"/>
                  <w:marBottom w:val="0"/>
                  <w:divBdr>
                    <w:top w:val="none" w:sz="0" w:space="0" w:color="auto"/>
                    <w:left w:val="none" w:sz="0" w:space="0" w:color="auto"/>
                    <w:bottom w:val="none" w:sz="0" w:space="0" w:color="auto"/>
                    <w:right w:val="none" w:sz="0" w:space="0" w:color="auto"/>
                  </w:divBdr>
                  <w:divsChild>
                    <w:div w:id="1911386927">
                      <w:marLeft w:val="300"/>
                      <w:marRight w:val="0"/>
                      <w:marTop w:val="0"/>
                      <w:marBottom w:val="0"/>
                      <w:divBdr>
                        <w:top w:val="none" w:sz="0" w:space="0" w:color="auto"/>
                        <w:left w:val="none" w:sz="0" w:space="0" w:color="auto"/>
                        <w:bottom w:val="none" w:sz="0" w:space="0" w:color="auto"/>
                        <w:right w:val="none" w:sz="0" w:space="0" w:color="auto"/>
                      </w:divBdr>
                    </w:div>
                  </w:divsChild>
                </w:div>
                <w:div w:id="1904832630">
                  <w:marLeft w:val="0"/>
                  <w:marRight w:val="0"/>
                  <w:marTop w:val="0"/>
                  <w:marBottom w:val="0"/>
                  <w:divBdr>
                    <w:top w:val="none" w:sz="0" w:space="0" w:color="auto"/>
                    <w:left w:val="none" w:sz="0" w:space="0" w:color="auto"/>
                    <w:bottom w:val="none" w:sz="0" w:space="0" w:color="auto"/>
                    <w:right w:val="none" w:sz="0" w:space="0" w:color="auto"/>
                  </w:divBdr>
                  <w:divsChild>
                    <w:div w:id="94601222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39428389">
              <w:marLeft w:val="0"/>
              <w:marRight w:val="0"/>
              <w:marTop w:val="0"/>
              <w:marBottom w:val="0"/>
              <w:divBdr>
                <w:top w:val="none" w:sz="0" w:space="0" w:color="auto"/>
                <w:left w:val="none" w:sz="0" w:space="0" w:color="auto"/>
                <w:bottom w:val="none" w:sz="0" w:space="0" w:color="auto"/>
                <w:right w:val="none" w:sz="0" w:space="0" w:color="auto"/>
              </w:divBdr>
              <w:divsChild>
                <w:div w:id="840201837">
                  <w:marLeft w:val="0"/>
                  <w:marRight w:val="0"/>
                  <w:marTop w:val="0"/>
                  <w:marBottom w:val="0"/>
                  <w:divBdr>
                    <w:top w:val="none" w:sz="0" w:space="0" w:color="auto"/>
                    <w:left w:val="none" w:sz="0" w:space="0" w:color="auto"/>
                    <w:bottom w:val="none" w:sz="0" w:space="0" w:color="auto"/>
                    <w:right w:val="none" w:sz="0" w:space="0" w:color="auto"/>
                  </w:divBdr>
                </w:div>
                <w:div w:id="1460949239">
                  <w:marLeft w:val="0"/>
                  <w:marRight w:val="0"/>
                  <w:marTop w:val="0"/>
                  <w:marBottom w:val="0"/>
                  <w:divBdr>
                    <w:top w:val="none" w:sz="0" w:space="0" w:color="auto"/>
                    <w:left w:val="none" w:sz="0" w:space="0" w:color="auto"/>
                    <w:bottom w:val="none" w:sz="0" w:space="0" w:color="auto"/>
                    <w:right w:val="none" w:sz="0" w:space="0" w:color="auto"/>
                  </w:divBdr>
                  <w:divsChild>
                    <w:div w:id="14082626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96100259">
              <w:marLeft w:val="0"/>
              <w:marRight w:val="0"/>
              <w:marTop w:val="0"/>
              <w:marBottom w:val="0"/>
              <w:divBdr>
                <w:top w:val="none" w:sz="0" w:space="0" w:color="auto"/>
                <w:left w:val="none" w:sz="0" w:space="0" w:color="auto"/>
                <w:bottom w:val="none" w:sz="0" w:space="0" w:color="auto"/>
                <w:right w:val="none" w:sz="0" w:space="0" w:color="auto"/>
              </w:divBdr>
              <w:divsChild>
                <w:div w:id="550263577">
                  <w:marLeft w:val="0"/>
                  <w:marRight w:val="0"/>
                  <w:marTop w:val="0"/>
                  <w:marBottom w:val="0"/>
                  <w:divBdr>
                    <w:top w:val="none" w:sz="0" w:space="0" w:color="auto"/>
                    <w:left w:val="none" w:sz="0" w:space="0" w:color="auto"/>
                    <w:bottom w:val="none" w:sz="0" w:space="0" w:color="auto"/>
                    <w:right w:val="none" w:sz="0" w:space="0" w:color="auto"/>
                  </w:divBdr>
                </w:div>
                <w:div w:id="1965231833">
                  <w:marLeft w:val="0"/>
                  <w:marRight w:val="0"/>
                  <w:marTop w:val="0"/>
                  <w:marBottom w:val="0"/>
                  <w:divBdr>
                    <w:top w:val="none" w:sz="0" w:space="0" w:color="auto"/>
                    <w:left w:val="none" w:sz="0" w:space="0" w:color="auto"/>
                    <w:bottom w:val="none" w:sz="0" w:space="0" w:color="auto"/>
                    <w:right w:val="none" w:sz="0" w:space="0" w:color="auto"/>
                  </w:divBdr>
                  <w:divsChild>
                    <w:div w:id="1702121921">
                      <w:marLeft w:val="300"/>
                      <w:marRight w:val="0"/>
                      <w:marTop w:val="0"/>
                      <w:marBottom w:val="0"/>
                      <w:divBdr>
                        <w:top w:val="none" w:sz="0" w:space="0" w:color="auto"/>
                        <w:left w:val="none" w:sz="0" w:space="0" w:color="auto"/>
                        <w:bottom w:val="none" w:sz="0" w:space="0" w:color="auto"/>
                        <w:right w:val="none" w:sz="0" w:space="0" w:color="auto"/>
                      </w:divBdr>
                    </w:div>
                  </w:divsChild>
                </w:div>
                <w:div w:id="1242716000">
                  <w:marLeft w:val="0"/>
                  <w:marRight w:val="0"/>
                  <w:marTop w:val="0"/>
                  <w:marBottom w:val="0"/>
                  <w:divBdr>
                    <w:top w:val="none" w:sz="0" w:space="0" w:color="auto"/>
                    <w:left w:val="none" w:sz="0" w:space="0" w:color="auto"/>
                    <w:bottom w:val="none" w:sz="0" w:space="0" w:color="auto"/>
                    <w:right w:val="none" w:sz="0" w:space="0" w:color="auto"/>
                  </w:divBdr>
                  <w:divsChild>
                    <w:div w:id="499739007">
                      <w:marLeft w:val="300"/>
                      <w:marRight w:val="0"/>
                      <w:marTop w:val="0"/>
                      <w:marBottom w:val="0"/>
                      <w:divBdr>
                        <w:top w:val="none" w:sz="0" w:space="0" w:color="auto"/>
                        <w:left w:val="none" w:sz="0" w:space="0" w:color="auto"/>
                        <w:bottom w:val="none" w:sz="0" w:space="0" w:color="auto"/>
                        <w:right w:val="none" w:sz="0" w:space="0" w:color="auto"/>
                      </w:divBdr>
                    </w:div>
                  </w:divsChild>
                </w:div>
                <w:div w:id="458302537">
                  <w:marLeft w:val="0"/>
                  <w:marRight w:val="0"/>
                  <w:marTop w:val="0"/>
                  <w:marBottom w:val="0"/>
                  <w:divBdr>
                    <w:top w:val="none" w:sz="0" w:space="0" w:color="auto"/>
                    <w:left w:val="none" w:sz="0" w:space="0" w:color="auto"/>
                    <w:bottom w:val="none" w:sz="0" w:space="0" w:color="auto"/>
                    <w:right w:val="none" w:sz="0" w:space="0" w:color="auto"/>
                  </w:divBdr>
                  <w:divsChild>
                    <w:div w:id="510265625">
                      <w:marLeft w:val="300"/>
                      <w:marRight w:val="0"/>
                      <w:marTop w:val="0"/>
                      <w:marBottom w:val="0"/>
                      <w:divBdr>
                        <w:top w:val="none" w:sz="0" w:space="0" w:color="auto"/>
                        <w:left w:val="none" w:sz="0" w:space="0" w:color="auto"/>
                        <w:bottom w:val="none" w:sz="0" w:space="0" w:color="auto"/>
                        <w:right w:val="none" w:sz="0" w:space="0" w:color="auto"/>
                      </w:divBdr>
                    </w:div>
                  </w:divsChild>
                </w:div>
                <w:div w:id="214202933">
                  <w:marLeft w:val="0"/>
                  <w:marRight w:val="0"/>
                  <w:marTop w:val="0"/>
                  <w:marBottom w:val="0"/>
                  <w:divBdr>
                    <w:top w:val="none" w:sz="0" w:space="0" w:color="auto"/>
                    <w:left w:val="none" w:sz="0" w:space="0" w:color="auto"/>
                    <w:bottom w:val="none" w:sz="0" w:space="0" w:color="auto"/>
                    <w:right w:val="none" w:sz="0" w:space="0" w:color="auto"/>
                  </w:divBdr>
                  <w:divsChild>
                    <w:div w:id="294216768">
                      <w:marLeft w:val="300"/>
                      <w:marRight w:val="0"/>
                      <w:marTop w:val="0"/>
                      <w:marBottom w:val="0"/>
                      <w:divBdr>
                        <w:top w:val="none" w:sz="0" w:space="0" w:color="auto"/>
                        <w:left w:val="none" w:sz="0" w:space="0" w:color="auto"/>
                        <w:bottom w:val="none" w:sz="0" w:space="0" w:color="auto"/>
                        <w:right w:val="none" w:sz="0" w:space="0" w:color="auto"/>
                      </w:divBdr>
                    </w:div>
                    <w:div w:id="701829963">
                      <w:marLeft w:val="0"/>
                      <w:marRight w:val="0"/>
                      <w:marTop w:val="0"/>
                      <w:marBottom w:val="0"/>
                      <w:divBdr>
                        <w:top w:val="none" w:sz="0" w:space="0" w:color="auto"/>
                        <w:left w:val="none" w:sz="0" w:space="0" w:color="auto"/>
                        <w:bottom w:val="none" w:sz="0" w:space="0" w:color="auto"/>
                        <w:right w:val="none" w:sz="0" w:space="0" w:color="auto"/>
                      </w:divBdr>
                      <w:divsChild>
                        <w:div w:id="552886800">
                          <w:marLeft w:val="300"/>
                          <w:marRight w:val="0"/>
                          <w:marTop w:val="0"/>
                          <w:marBottom w:val="0"/>
                          <w:divBdr>
                            <w:top w:val="none" w:sz="0" w:space="0" w:color="auto"/>
                            <w:left w:val="none" w:sz="0" w:space="0" w:color="auto"/>
                            <w:bottom w:val="none" w:sz="0" w:space="0" w:color="auto"/>
                            <w:right w:val="none" w:sz="0" w:space="0" w:color="auto"/>
                          </w:divBdr>
                        </w:div>
                      </w:divsChild>
                    </w:div>
                    <w:div w:id="909269715">
                      <w:marLeft w:val="0"/>
                      <w:marRight w:val="0"/>
                      <w:marTop w:val="0"/>
                      <w:marBottom w:val="0"/>
                      <w:divBdr>
                        <w:top w:val="none" w:sz="0" w:space="0" w:color="auto"/>
                        <w:left w:val="none" w:sz="0" w:space="0" w:color="auto"/>
                        <w:bottom w:val="none" w:sz="0" w:space="0" w:color="auto"/>
                        <w:right w:val="none" w:sz="0" w:space="0" w:color="auto"/>
                      </w:divBdr>
                      <w:divsChild>
                        <w:div w:id="936671599">
                          <w:marLeft w:val="300"/>
                          <w:marRight w:val="0"/>
                          <w:marTop w:val="0"/>
                          <w:marBottom w:val="0"/>
                          <w:divBdr>
                            <w:top w:val="none" w:sz="0" w:space="0" w:color="auto"/>
                            <w:left w:val="none" w:sz="0" w:space="0" w:color="auto"/>
                            <w:bottom w:val="none" w:sz="0" w:space="0" w:color="auto"/>
                            <w:right w:val="none" w:sz="0" w:space="0" w:color="auto"/>
                          </w:divBdr>
                        </w:div>
                      </w:divsChild>
                    </w:div>
                    <w:div w:id="89857170">
                      <w:marLeft w:val="0"/>
                      <w:marRight w:val="0"/>
                      <w:marTop w:val="0"/>
                      <w:marBottom w:val="0"/>
                      <w:divBdr>
                        <w:top w:val="none" w:sz="0" w:space="0" w:color="auto"/>
                        <w:left w:val="none" w:sz="0" w:space="0" w:color="auto"/>
                        <w:bottom w:val="none" w:sz="0" w:space="0" w:color="auto"/>
                        <w:right w:val="none" w:sz="0" w:space="0" w:color="auto"/>
                      </w:divBdr>
                      <w:divsChild>
                        <w:div w:id="212068295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6097">
              <w:marLeft w:val="0"/>
              <w:marRight w:val="0"/>
              <w:marTop w:val="0"/>
              <w:marBottom w:val="0"/>
              <w:divBdr>
                <w:top w:val="none" w:sz="0" w:space="0" w:color="auto"/>
                <w:left w:val="none" w:sz="0" w:space="0" w:color="auto"/>
                <w:bottom w:val="none" w:sz="0" w:space="0" w:color="auto"/>
                <w:right w:val="none" w:sz="0" w:space="0" w:color="auto"/>
              </w:divBdr>
              <w:divsChild>
                <w:div w:id="373314097">
                  <w:marLeft w:val="0"/>
                  <w:marRight w:val="0"/>
                  <w:marTop w:val="0"/>
                  <w:marBottom w:val="0"/>
                  <w:divBdr>
                    <w:top w:val="none" w:sz="0" w:space="0" w:color="auto"/>
                    <w:left w:val="none" w:sz="0" w:space="0" w:color="auto"/>
                    <w:bottom w:val="none" w:sz="0" w:space="0" w:color="auto"/>
                    <w:right w:val="none" w:sz="0" w:space="0" w:color="auto"/>
                  </w:divBdr>
                </w:div>
                <w:div w:id="745495201">
                  <w:marLeft w:val="0"/>
                  <w:marRight w:val="0"/>
                  <w:marTop w:val="0"/>
                  <w:marBottom w:val="0"/>
                  <w:divBdr>
                    <w:top w:val="none" w:sz="0" w:space="0" w:color="auto"/>
                    <w:left w:val="none" w:sz="0" w:space="0" w:color="auto"/>
                    <w:bottom w:val="none" w:sz="0" w:space="0" w:color="auto"/>
                    <w:right w:val="none" w:sz="0" w:space="0" w:color="auto"/>
                  </w:divBdr>
                  <w:divsChild>
                    <w:div w:id="1311523211">
                      <w:marLeft w:val="300"/>
                      <w:marRight w:val="0"/>
                      <w:marTop w:val="0"/>
                      <w:marBottom w:val="0"/>
                      <w:divBdr>
                        <w:top w:val="none" w:sz="0" w:space="0" w:color="auto"/>
                        <w:left w:val="none" w:sz="0" w:space="0" w:color="auto"/>
                        <w:bottom w:val="none" w:sz="0" w:space="0" w:color="auto"/>
                        <w:right w:val="none" w:sz="0" w:space="0" w:color="auto"/>
                      </w:divBdr>
                    </w:div>
                    <w:div w:id="536967417">
                      <w:marLeft w:val="0"/>
                      <w:marRight w:val="0"/>
                      <w:marTop w:val="0"/>
                      <w:marBottom w:val="0"/>
                      <w:divBdr>
                        <w:top w:val="none" w:sz="0" w:space="0" w:color="auto"/>
                        <w:left w:val="none" w:sz="0" w:space="0" w:color="auto"/>
                        <w:bottom w:val="none" w:sz="0" w:space="0" w:color="auto"/>
                        <w:right w:val="none" w:sz="0" w:space="0" w:color="auto"/>
                      </w:divBdr>
                    </w:div>
                    <w:div w:id="457994677">
                      <w:marLeft w:val="0"/>
                      <w:marRight w:val="0"/>
                      <w:marTop w:val="0"/>
                      <w:marBottom w:val="0"/>
                      <w:divBdr>
                        <w:top w:val="none" w:sz="0" w:space="0" w:color="auto"/>
                        <w:left w:val="none" w:sz="0" w:space="0" w:color="auto"/>
                        <w:bottom w:val="none" w:sz="0" w:space="0" w:color="auto"/>
                        <w:right w:val="none" w:sz="0" w:space="0" w:color="auto"/>
                      </w:divBdr>
                    </w:div>
                    <w:div w:id="1173030491">
                      <w:marLeft w:val="375"/>
                      <w:marRight w:val="375"/>
                      <w:marTop w:val="0"/>
                      <w:marBottom w:val="0"/>
                      <w:divBdr>
                        <w:top w:val="none" w:sz="0" w:space="0" w:color="auto"/>
                        <w:left w:val="none" w:sz="0" w:space="0" w:color="auto"/>
                        <w:bottom w:val="none" w:sz="0" w:space="0" w:color="auto"/>
                        <w:right w:val="none" w:sz="0" w:space="0" w:color="auto"/>
                      </w:divBdr>
                      <w:divsChild>
                        <w:div w:id="1537499739">
                          <w:marLeft w:val="0"/>
                          <w:marRight w:val="0"/>
                          <w:marTop w:val="0"/>
                          <w:marBottom w:val="0"/>
                          <w:divBdr>
                            <w:top w:val="none" w:sz="0" w:space="0" w:color="auto"/>
                            <w:left w:val="none" w:sz="0" w:space="0" w:color="auto"/>
                            <w:bottom w:val="none" w:sz="0" w:space="0" w:color="auto"/>
                            <w:right w:val="none" w:sz="0" w:space="0" w:color="auto"/>
                          </w:divBdr>
                        </w:div>
                        <w:div w:id="1668091843">
                          <w:marLeft w:val="0"/>
                          <w:marRight w:val="0"/>
                          <w:marTop w:val="150"/>
                          <w:marBottom w:val="0"/>
                          <w:divBdr>
                            <w:top w:val="none" w:sz="0" w:space="0" w:color="auto"/>
                            <w:left w:val="none" w:sz="0" w:space="0" w:color="auto"/>
                            <w:bottom w:val="none" w:sz="0" w:space="0" w:color="auto"/>
                            <w:right w:val="none" w:sz="0" w:space="0" w:color="auto"/>
                          </w:divBdr>
                        </w:div>
                      </w:divsChild>
                    </w:div>
                    <w:div w:id="1774474408">
                      <w:marLeft w:val="0"/>
                      <w:marRight w:val="0"/>
                      <w:marTop w:val="0"/>
                      <w:marBottom w:val="0"/>
                      <w:divBdr>
                        <w:top w:val="none" w:sz="0" w:space="0" w:color="auto"/>
                        <w:left w:val="none" w:sz="0" w:space="0" w:color="auto"/>
                        <w:bottom w:val="none" w:sz="0" w:space="0" w:color="auto"/>
                        <w:right w:val="none" w:sz="0" w:space="0" w:color="auto"/>
                      </w:divBdr>
                    </w:div>
                    <w:div w:id="1072045823">
                      <w:marLeft w:val="0"/>
                      <w:marRight w:val="0"/>
                      <w:marTop w:val="0"/>
                      <w:marBottom w:val="0"/>
                      <w:divBdr>
                        <w:top w:val="none" w:sz="0" w:space="0" w:color="auto"/>
                        <w:left w:val="none" w:sz="0" w:space="0" w:color="auto"/>
                        <w:bottom w:val="none" w:sz="0" w:space="0" w:color="auto"/>
                        <w:right w:val="none" w:sz="0" w:space="0" w:color="auto"/>
                      </w:divBdr>
                    </w:div>
                    <w:div w:id="620068827">
                      <w:marLeft w:val="375"/>
                      <w:marRight w:val="375"/>
                      <w:marTop w:val="0"/>
                      <w:marBottom w:val="0"/>
                      <w:divBdr>
                        <w:top w:val="none" w:sz="0" w:space="0" w:color="auto"/>
                        <w:left w:val="none" w:sz="0" w:space="0" w:color="auto"/>
                        <w:bottom w:val="none" w:sz="0" w:space="0" w:color="auto"/>
                        <w:right w:val="none" w:sz="0" w:space="0" w:color="auto"/>
                      </w:divBdr>
                      <w:divsChild>
                        <w:div w:id="1716345977">
                          <w:marLeft w:val="0"/>
                          <w:marRight w:val="0"/>
                          <w:marTop w:val="0"/>
                          <w:marBottom w:val="0"/>
                          <w:divBdr>
                            <w:top w:val="none" w:sz="0" w:space="0" w:color="auto"/>
                            <w:left w:val="none" w:sz="0" w:space="0" w:color="auto"/>
                            <w:bottom w:val="none" w:sz="0" w:space="0" w:color="auto"/>
                            <w:right w:val="none" w:sz="0" w:space="0" w:color="auto"/>
                          </w:divBdr>
                        </w:div>
                        <w:div w:id="7087289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72431787">
                  <w:marLeft w:val="0"/>
                  <w:marRight w:val="0"/>
                  <w:marTop w:val="0"/>
                  <w:marBottom w:val="0"/>
                  <w:divBdr>
                    <w:top w:val="none" w:sz="0" w:space="0" w:color="auto"/>
                    <w:left w:val="none" w:sz="0" w:space="0" w:color="auto"/>
                    <w:bottom w:val="none" w:sz="0" w:space="0" w:color="auto"/>
                    <w:right w:val="none" w:sz="0" w:space="0" w:color="auto"/>
                  </w:divBdr>
                  <w:divsChild>
                    <w:div w:id="2077312284">
                      <w:marLeft w:val="300"/>
                      <w:marRight w:val="0"/>
                      <w:marTop w:val="0"/>
                      <w:marBottom w:val="0"/>
                      <w:divBdr>
                        <w:top w:val="none" w:sz="0" w:space="0" w:color="auto"/>
                        <w:left w:val="none" w:sz="0" w:space="0" w:color="auto"/>
                        <w:bottom w:val="none" w:sz="0" w:space="0" w:color="auto"/>
                        <w:right w:val="none" w:sz="0" w:space="0" w:color="auto"/>
                      </w:divBdr>
                    </w:div>
                    <w:div w:id="1821654487">
                      <w:marLeft w:val="0"/>
                      <w:marRight w:val="0"/>
                      <w:marTop w:val="0"/>
                      <w:marBottom w:val="0"/>
                      <w:divBdr>
                        <w:top w:val="none" w:sz="0" w:space="0" w:color="auto"/>
                        <w:left w:val="none" w:sz="0" w:space="0" w:color="auto"/>
                        <w:bottom w:val="none" w:sz="0" w:space="0" w:color="auto"/>
                        <w:right w:val="none" w:sz="0" w:space="0" w:color="auto"/>
                      </w:divBdr>
                    </w:div>
                    <w:div w:id="1931426238">
                      <w:marLeft w:val="0"/>
                      <w:marRight w:val="0"/>
                      <w:marTop w:val="0"/>
                      <w:marBottom w:val="0"/>
                      <w:divBdr>
                        <w:top w:val="none" w:sz="0" w:space="0" w:color="auto"/>
                        <w:left w:val="none" w:sz="0" w:space="0" w:color="auto"/>
                        <w:bottom w:val="none" w:sz="0" w:space="0" w:color="auto"/>
                        <w:right w:val="none" w:sz="0" w:space="0" w:color="auto"/>
                      </w:divBdr>
                    </w:div>
                    <w:div w:id="1523859988">
                      <w:marLeft w:val="375"/>
                      <w:marRight w:val="375"/>
                      <w:marTop w:val="0"/>
                      <w:marBottom w:val="0"/>
                      <w:divBdr>
                        <w:top w:val="none" w:sz="0" w:space="0" w:color="auto"/>
                        <w:left w:val="none" w:sz="0" w:space="0" w:color="auto"/>
                        <w:bottom w:val="none" w:sz="0" w:space="0" w:color="auto"/>
                        <w:right w:val="none" w:sz="0" w:space="0" w:color="auto"/>
                      </w:divBdr>
                      <w:divsChild>
                        <w:div w:id="692917967">
                          <w:marLeft w:val="0"/>
                          <w:marRight w:val="0"/>
                          <w:marTop w:val="0"/>
                          <w:marBottom w:val="0"/>
                          <w:divBdr>
                            <w:top w:val="none" w:sz="0" w:space="0" w:color="auto"/>
                            <w:left w:val="none" w:sz="0" w:space="0" w:color="auto"/>
                            <w:bottom w:val="none" w:sz="0" w:space="0" w:color="auto"/>
                            <w:right w:val="none" w:sz="0" w:space="0" w:color="auto"/>
                          </w:divBdr>
                        </w:div>
                        <w:div w:id="182478948">
                          <w:marLeft w:val="0"/>
                          <w:marRight w:val="0"/>
                          <w:marTop w:val="150"/>
                          <w:marBottom w:val="0"/>
                          <w:divBdr>
                            <w:top w:val="none" w:sz="0" w:space="0" w:color="auto"/>
                            <w:left w:val="none" w:sz="0" w:space="0" w:color="auto"/>
                            <w:bottom w:val="none" w:sz="0" w:space="0" w:color="auto"/>
                            <w:right w:val="none" w:sz="0" w:space="0" w:color="auto"/>
                          </w:divBdr>
                        </w:div>
                      </w:divsChild>
                    </w:div>
                    <w:div w:id="450826584">
                      <w:marLeft w:val="0"/>
                      <w:marRight w:val="0"/>
                      <w:marTop w:val="0"/>
                      <w:marBottom w:val="0"/>
                      <w:divBdr>
                        <w:top w:val="none" w:sz="0" w:space="0" w:color="auto"/>
                        <w:left w:val="none" w:sz="0" w:space="0" w:color="auto"/>
                        <w:bottom w:val="none" w:sz="0" w:space="0" w:color="auto"/>
                        <w:right w:val="none" w:sz="0" w:space="0" w:color="auto"/>
                      </w:divBdr>
                      <w:divsChild>
                        <w:div w:id="654451609">
                          <w:marLeft w:val="300"/>
                          <w:marRight w:val="0"/>
                          <w:marTop w:val="0"/>
                          <w:marBottom w:val="0"/>
                          <w:divBdr>
                            <w:top w:val="none" w:sz="0" w:space="0" w:color="auto"/>
                            <w:left w:val="none" w:sz="0" w:space="0" w:color="auto"/>
                            <w:bottom w:val="none" w:sz="0" w:space="0" w:color="auto"/>
                            <w:right w:val="none" w:sz="0" w:space="0" w:color="auto"/>
                          </w:divBdr>
                        </w:div>
                        <w:div w:id="1047297189">
                          <w:marLeft w:val="0"/>
                          <w:marRight w:val="0"/>
                          <w:marTop w:val="0"/>
                          <w:marBottom w:val="0"/>
                          <w:divBdr>
                            <w:top w:val="none" w:sz="0" w:space="0" w:color="auto"/>
                            <w:left w:val="none" w:sz="0" w:space="0" w:color="auto"/>
                            <w:bottom w:val="none" w:sz="0" w:space="0" w:color="auto"/>
                            <w:right w:val="none" w:sz="0" w:space="0" w:color="auto"/>
                          </w:divBdr>
                        </w:div>
                        <w:div w:id="1901095962">
                          <w:marLeft w:val="0"/>
                          <w:marRight w:val="0"/>
                          <w:marTop w:val="0"/>
                          <w:marBottom w:val="0"/>
                          <w:divBdr>
                            <w:top w:val="none" w:sz="0" w:space="0" w:color="auto"/>
                            <w:left w:val="none" w:sz="0" w:space="0" w:color="auto"/>
                            <w:bottom w:val="none" w:sz="0" w:space="0" w:color="auto"/>
                            <w:right w:val="none" w:sz="0" w:space="0" w:color="auto"/>
                          </w:divBdr>
                        </w:div>
                        <w:div w:id="56562215">
                          <w:marLeft w:val="375"/>
                          <w:marRight w:val="375"/>
                          <w:marTop w:val="0"/>
                          <w:marBottom w:val="0"/>
                          <w:divBdr>
                            <w:top w:val="none" w:sz="0" w:space="0" w:color="auto"/>
                            <w:left w:val="none" w:sz="0" w:space="0" w:color="auto"/>
                            <w:bottom w:val="none" w:sz="0" w:space="0" w:color="auto"/>
                            <w:right w:val="none" w:sz="0" w:space="0" w:color="auto"/>
                          </w:divBdr>
                          <w:divsChild>
                            <w:div w:id="976029758">
                              <w:marLeft w:val="0"/>
                              <w:marRight w:val="0"/>
                              <w:marTop w:val="0"/>
                              <w:marBottom w:val="0"/>
                              <w:divBdr>
                                <w:top w:val="none" w:sz="0" w:space="0" w:color="auto"/>
                                <w:left w:val="none" w:sz="0" w:space="0" w:color="auto"/>
                                <w:bottom w:val="none" w:sz="0" w:space="0" w:color="auto"/>
                                <w:right w:val="none" w:sz="0" w:space="0" w:color="auto"/>
                              </w:divBdr>
                            </w:div>
                            <w:div w:id="1136337025">
                              <w:marLeft w:val="0"/>
                              <w:marRight w:val="0"/>
                              <w:marTop w:val="150"/>
                              <w:marBottom w:val="0"/>
                              <w:divBdr>
                                <w:top w:val="none" w:sz="0" w:space="0" w:color="auto"/>
                                <w:left w:val="none" w:sz="0" w:space="0" w:color="auto"/>
                                <w:bottom w:val="none" w:sz="0" w:space="0" w:color="auto"/>
                                <w:right w:val="none" w:sz="0" w:space="0" w:color="auto"/>
                              </w:divBdr>
                            </w:div>
                          </w:divsChild>
                        </w:div>
                        <w:div w:id="1975017770">
                          <w:marLeft w:val="300"/>
                          <w:marRight w:val="0"/>
                          <w:marTop w:val="0"/>
                          <w:marBottom w:val="0"/>
                          <w:divBdr>
                            <w:top w:val="none" w:sz="0" w:space="0" w:color="auto"/>
                            <w:left w:val="none" w:sz="0" w:space="0" w:color="auto"/>
                            <w:bottom w:val="none" w:sz="0" w:space="0" w:color="auto"/>
                            <w:right w:val="none" w:sz="0" w:space="0" w:color="auto"/>
                          </w:divBdr>
                          <w:divsChild>
                            <w:div w:id="503934356">
                              <w:marLeft w:val="0"/>
                              <w:marRight w:val="0"/>
                              <w:marTop w:val="0"/>
                              <w:marBottom w:val="375"/>
                              <w:divBdr>
                                <w:top w:val="none" w:sz="0" w:space="0" w:color="auto"/>
                                <w:left w:val="none" w:sz="0" w:space="0" w:color="auto"/>
                                <w:bottom w:val="none" w:sz="0" w:space="0" w:color="auto"/>
                                <w:right w:val="none" w:sz="0" w:space="0" w:color="auto"/>
                              </w:divBdr>
                              <w:divsChild>
                                <w:div w:id="16551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593340">
                  <w:marLeft w:val="0"/>
                  <w:marRight w:val="0"/>
                  <w:marTop w:val="0"/>
                  <w:marBottom w:val="0"/>
                  <w:divBdr>
                    <w:top w:val="none" w:sz="0" w:space="0" w:color="auto"/>
                    <w:left w:val="none" w:sz="0" w:space="0" w:color="auto"/>
                    <w:bottom w:val="none" w:sz="0" w:space="0" w:color="auto"/>
                    <w:right w:val="none" w:sz="0" w:space="0" w:color="auto"/>
                  </w:divBdr>
                  <w:divsChild>
                    <w:div w:id="462963051">
                      <w:marLeft w:val="300"/>
                      <w:marRight w:val="0"/>
                      <w:marTop w:val="0"/>
                      <w:marBottom w:val="0"/>
                      <w:divBdr>
                        <w:top w:val="none" w:sz="0" w:space="0" w:color="auto"/>
                        <w:left w:val="none" w:sz="0" w:space="0" w:color="auto"/>
                        <w:bottom w:val="none" w:sz="0" w:space="0" w:color="auto"/>
                        <w:right w:val="none" w:sz="0" w:space="0" w:color="auto"/>
                      </w:divBdr>
                    </w:div>
                    <w:div w:id="1974556886">
                      <w:marLeft w:val="0"/>
                      <w:marRight w:val="0"/>
                      <w:marTop w:val="0"/>
                      <w:marBottom w:val="0"/>
                      <w:divBdr>
                        <w:top w:val="none" w:sz="0" w:space="0" w:color="auto"/>
                        <w:left w:val="none" w:sz="0" w:space="0" w:color="auto"/>
                        <w:bottom w:val="none" w:sz="0" w:space="0" w:color="auto"/>
                        <w:right w:val="none" w:sz="0" w:space="0" w:color="auto"/>
                      </w:divBdr>
                      <w:divsChild>
                        <w:div w:id="1251889722">
                          <w:marLeft w:val="300"/>
                          <w:marRight w:val="0"/>
                          <w:marTop w:val="0"/>
                          <w:marBottom w:val="0"/>
                          <w:divBdr>
                            <w:top w:val="none" w:sz="0" w:space="0" w:color="auto"/>
                            <w:left w:val="none" w:sz="0" w:space="0" w:color="auto"/>
                            <w:bottom w:val="none" w:sz="0" w:space="0" w:color="auto"/>
                            <w:right w:val="none" w:sz="0" w:space="0" w:color="auto"/>
                          </w:divBdr>
                        </w:div>
                        <w:div w:id="469515640">
                          <w:marLeft w:val="0"/>
                          <w:marRight w:val="0"/>
                          <w:marTop w:val="0"/>
                          <w:marBottom w:val="0"/>
                          <w:divBdr>
                            <w:top w:val="none" w:sz="0" w:space="0" w:color="auto"/>
                            <w:left w:val="none" w:sz="0" w:space="0" w:color="auto"/>
                            <w:bottom w:val="none" w:sz="0" w:space="0" w:color="auto"/>
                            <w:right w:val="none" w:sz="0" w:space="0" w:color="auto"/>
                          </w:divBdr>
                        </w:div>
                        <w:div w:id="1183475084">
                          <w:marLeft w:val="0"/>
                          <w:marRight w:val="0"/>
                          <w:marTop w:val="0"/>
                          <w:marBottom w:val="0"/>
                          <w:divBdr>
                            <w:top w:val="none" w:sz="0" w:space="0" w:color="auto"/>
                            <w:left w:val="none" w:sz="0" w:space="0" w:color="auto"/>
                            <w:bottom w:val="none" w:sz="0" w:space="0" w:color="auto"/>
                            <w:right w:val="none" w:sz="0" w:space="0" w:color="auto"/>
                          </w:divBdr>
                        </w:div>
                        <w:div w:id="1346127770">
                          <w:marLeft w:val="375"/>
                          <w:marRight w:val="375"/>
                          <w:marTop w:val="0"/>
                          <w:marBottom w:val="0"/>
                          <w:divBdr>
                            <w:top w:val="none" w:sz="0" w:space="0" w:color="auto"/>
                            <w:left w:val="none" w:sz="0" w:space="0" w:color="auto"/>
                            <w:bottom w:val="none" w:sz="0" w:space="0" w:color="auto"/>
                            <w:right w:val="none" w:sz="0" w:space="0" w:color="auto"/>
                          </w:divBdr>
                          <w:divsChild>
                            <w:div w:id="1218323157">
                              <w:marLeft w:val="0"/>
                              <w:marRight w:val="0"/>
                              <w:marTop w:val="0"/>
                              <w:marBottom w:val="0"/>
                              <w:divBdr>
                                <w:top w:val="none" w:sz="0" w:space="0" w:color="auto"/>
                                <w:left w:val="none" w:sz="0" w:space="0" w:color="auto"/>
                                <w:bottom w:val="none" w:sz="0" w:space="0" w:color="auto"/>
                                <w:right w:val="none" w:sz="0" w:space="0" w:color="auto"/>
                              </w:divBdr>
                            </w:div>
                            <w:div w:id="12222483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81672673">
                  <w:marLeft w:val="0"/>
                  <w:marRight w:val="0"/>
                  <w:marTop w:val="0"/>
                  <w:marBottom w:val="0"/>
                  <w:divBdr>
                    <w:top w:val="none" w:sz="0" w:space="0" w:color="auto"/>
                    <w:left w:val="none" w:sz="0" w:space="0" w:color="auto"/>
                    <w:bottom w:val="none" w:sz="0" w:space="0" w:color="auto"/>
                    <w:right w:val="none" w:sz="0" w:space="0" w:color="auto"/>
                  </w:divBdr>
                  <w:divsChild>
                    <w:div w:id="1777754990">
                      <w:marLeft w:val="300"/>
                      <w:marRight w:val="0"/>
                      <w:marTop w:val="0"/>
                      <w:marBottom w:val="0"/>
                      <w:divBdr>
                        <w:top w:val="none" w:sz="0" w:space="0" w:color="auto"/>
                        <w:left w:val="none" w:sz="0" w:space="0" w:color="auto"/>
                        <w:bottom w:val="none" w:sz="0" w:space="0" w:color="auto"/>
                        <w:right w:val="none" w:sz="0" w:space="0" w:color="auto"/>
                      </w:divBdr>
                    </w:div>
                    <w:div w:id="132523815">
                      <w:marLeft w:val="0"/>
                      <w:marRight w:val="0"/>
                      <w:marTop w:val="0"/>
                      <w:marBottom w:val="0"/>
                      <w:divBdr>
                        <w:top w:val="none" w:sz="0" w:space="0" w:color="auto"/>
                        <w:left w:val="none" w:sz="0" w:space="0" w:color="auto"/>
                        <w:bottom w:val="none" w:sz="0" w:space="0" w:color="auto"/>
                        <w:right w:val="none" w:sz="0" w:space="0" w:color="auto"/>
                      </w:divBdr>
                    </w:div>
                    <w:div w:id="420759484">
                      <w:marLeft w:val="0"/>
                      <w:marRight w:val="0"/>
                      <w:marTop w:val="0"/>
                      <w:marBottom w:val="0"/>
                      <w:divBdr>
                        <w:top w:val="none" w:sz="0" w:space="0" w:color="auto"/>
                        <w:left w:val="none" w:sz="0" w:space="0" w:color="auto"/>
                        <w:bottom w:val="none" w:sz="0" w:space="0" w:color="auto"/>
                        <w:right w:val="none" w:sz="0" w:space="0" w:color="auto"/>
                      </w:divBdr>
                    </w:div>
                    <w:div w:id="1031422125">
                      <w:marLeft w:val="375"/>
                      <w:marRight w:val="375"/>
                      <w:marTop w:val="0"/>
                      <w:marBottom w:val="0"/>
                      <w:divBdr>
                        <w:top w:val="none" w:sz="0" w:space="0" w:color="auto"/>
                        <w:left w:val="none" w:sz="0" w:space="0" w:color="auto"/>
                        <w:bottom w:val="none" w:sz="0" w:space="0" w:color="auto"/>
                        <w:right w:val="none" w:sz="0" w:space="0" w:color="auto"/>
                      </w:divBdr>
                      <w:divsChild>
                        <w:div w:id="1805779722">
                          <w:marLeft w:val="0"/>
                          <w:marRight w:val="0"/>
                          <w:marTop w:val="0"/>
                          <w:marBottom w:val="0"/>
                          <w:divBdr>
                            <w:top w:val="none" w:sz="0" w:space="0" w:color="auto"/>
                            <w:left w:val="none" w:sz="0" w:space="0" w:color="auto"/>
                            <w:bottom w:val="none" w:sz="0" w:space="0" w:color="auto"/>
                            <w:right w:val="none" w:sz="0" w:space="0" w:color="auto"/>
                          </w:divBdr>
                        </w:div>
                        <w:div w:id="404643301">
                          <w:marLeft w:val="0"/>
                          <w:marRight w:val="0"/>
                          <w:marTop w:val="150"/>
                          <w:marBottom w:val="0"/>
                          <w:divBdr>
                            <w:top w:val="none" w:sz="0" w:space="0" w:color="auto"/>
                            <w:left w:val="none" w:sz="0" w:space="0" w:color="auto"/>
                            <w:bottom w:val="none" w:sz="0" w:space="0" w:color="auto"/>
                            <w:right w:val="none" w:sz="0" w:space="0" w:color="auto"/>
                          </w:divBdr>
                        </w:div>
                      </w:divsChild>
                    </w:div>
                    <w:div w:id="1794056033">
                      <w:marLeft w:val="300"/>
                      <w:marRight w:val="0"/>
                      <w:marTop w:val="0"/>
                      <w:marBottom w:val="0"/>
                      <w:divBdr>
                        <w:top w:val="none" w:sz="0" w:space="0" w:color="auto"/>
                        <w:left w:val="none" w:sz="0" w:space="0" w:color="auto"/>
                        <w:bottom w:val="none" w:sz="0" w:space="0" w:color="auto"/>
                        <w:right w:val="none" w:sz="0" w:space="0" w:color="auto"/>
                      </w:divBdr>
                      <w:divsChild>
                        <w:div w:id="1825391540">
                          <w:marLeft w:val="0"/>
                          <w:marRight w:val="0"/>
                          <w:marTop w:val="0"/>
                          <w:marBottom w:val="375"/>
                          <w:divBdr>
                            <w:top w:val="none" w:sz="0" w:space="0" w:color="auto"/>
                            <w:left w:val="none" w:sz="0" w:space="0" w:color="auto"/>
                            <w:bottom w:val="none" w:sz="0" w:space="0" w:color="auto"/>
                            <w:right w:val="none" w:sz="0" w:space="0" w:color="auto"/>
                          </w:divBdr>
                          <w:divsChild>
                            <w:div w:id="10366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407558">
                  <w:marLeft w:val="0"/>
                  <w:marRight w:val="0"/>
                  <w:marTop w:val="0"/>
                  <w:marBottom w:val="0"/>
                  <w:divBdr>
                    <w:top w:val="none" w:sz="0" w:space="0" w:color="auto"/>
                    <w:left w:val="none" w:sz="0" w:space="0" w:color="auto"/>
                    <w:bottom w:val="none" w:sz="0" w:space="0" w:color="auto"/>
                    <w:right w:val="none" w:sz="0" w:space="0" w:color="auto"/>
                  </w:divBdr>
                  <w:divsChild>
                    <w:div w:id="96582052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9867094">
              <w:marLeft w:val="0"/>
              <w:marRight w:val="0"/>
              <w:marTop w:val="0"/>
              <w:marBottom w:val="0"/>
              <w:divBdr>
                <w:top w:val="none" w:sz="0" w:space="0" w:color="auto"/>
                <w:left w:val="none" w:sz="0" w:space="0" w:color="auto"/>
                <w:bottom w:val="none" w:sz="0" w:space="0" w:color="auto"/>
                <w:right w:val="none" w:sz="0" w:space="0" w:color="auto"/>
              </w:divBdr>
              <w:divsChild>
                <w:div w:id="682778865">
                  <w:marLeft w:val="0"/>
                  <w:marRight w:val="0"/>
                  <w:marTop w:val="0"/>
                  <w:marBottom w:val="0"/>
                  <w:divBdr>
                    <w:top w:val="none" w:sz="0" w:space="0" w:color="auto"/>
                    <w:left w:val="none" w:sz="0" w:space="0" w:color="auto"/>
                    <w:bottom w:val="none" w:sz="0" w:space="0" w:color="auto"/>
                    <w:right w:val="none" w:sz="0" w:space="0" w:color="auto"/>
                  </w:divBdr>
                </w:div>
                <w:div w:id="860050472">
                  <w:marLeft w:val="0"/>
                  <w:marRight w:val="0"/>
                  <w:marTop w:val="0"/>
                  <w:marBottom w:val="0"/>
                  <w:divBdr>
                    <w:top w:val="none" w:sz="0" w:space="0" w:color="auto"/>
                    <w:left w:val="none" w:sz="0" w:space="0" w:color="auto"/>
                    <w:bottom w:val="none" w:sz="0" w:space="0" w:color="auto"/>
                    <w:right w:val="none" w:sz="0" w:space="0" w:color="auto"/>
                  </w:divBdr>
                  <w:divsChild>
                    <w:div w:id="27297901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25090847">
              <w:marLeft w:val="0"/>
              <w:marRight w:val="0"/>
              <w:marTop w:val="0"/>
              <w:marBottom w:val="0"/>
              <w:divBdr>
                <w:top w:val="none" w:sz="0" w:space="0" w:color="auto"/>
                <w:left w:val="none" w:sz="0" w:space="0" w:color="auto"/>
                <w:bottom w:val="none" w:sz="0" w:space="0" w:color="auto"/>
                <w:right w:val="none" w:sz="0" w:space="0" w:color="auto"/>
              </w:divBdr>
            </w:div>
            <w:div w:id="142889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1073191119899470" TargetMode="External"/><Relationship Id="rId13" Type="http://schemas.openxmlformats.org/officeDocument/2006/relationships/hyperlink" Target="http://swmath.org/software/1341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s://drum.lib.umd.edu/handle/1903/22834" TargetMode="External"/><Relationship Id="rId2" Type="http://schemas.openxmlformats.org/officeDocument/2006/relationships/customXml" Target="../customXml/item2.xml"/><Relationship Id="rId16" Type="http://schemas.openxmlformats.org/officeDocument/2006/relationships/hyperlink" Target="https://www.census.gov/newsroom/facts-for-features/2018/hispanic-heritage-month.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hyperlink" Target="https://doi.org/10.1037/a0035320" TargetMode="External"/><Relationship Id="rId10" Type="http://schemas.openxmlformats.org/officeDocument/2006/relationships/hyperlink" Target="https://journals.sagepub.com/doi/full/10.1177/107319111989947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1080/002075906008786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9697</Words>
  <Characters>55276</Characters>
  <Application>Microsoft Office Word</Application>
  <DocSecurity>8</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2022-01-19T19:39:00Z</dcterms:created>
  <dcterms:modified xsi:type="dcterms:W3CDTF">2022-01-20T16:59:00Z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