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5570EA" w:rsidRDefault="000A7622" w:rsidP="000A7622">
      <w:pPr>
        <w:pStyle w:val="Default"/>
        <w:rPr>
          <w:rFonts w:asciiTheme="minorHAnsi" w:hAnsiTheme="minorHAnsi" w:cstheme="minorHAnsi"/>
          <w:sz w:val="22"/>
          <w:szCs w:val="22"/>
        </w:rPr>
      </w:pPr>
    </w:p>
    <w:p w14:paraId="2538F7F5" w14:textId="77777777" w:rsidR="000A7622" w:rsidRPr="005570EA"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5570EA">
        <w:rPr>
          <w:rFonts w:cstheme="minorHAnsi"/>
          <w:b/>
          <w:bCs/>
          <w:color w:val="316192"/>
          <w:sz w:val="28"/>
          <w:szCs w:val="26"/>
        </w:rPr>
        <w:t>Marquette University</w:t>
      </w:r>
    </w:p>
    <w:p w14:paraId="158D4B9F" w14:textId="77777777" w:rsidR="000A7622" w:rsidRPr="005570EA" w:rsidRDefault="000A7622" w:rsidP="00D14423">
      <w:pPr>
        <w:autoSpaceDE w:val="0"/>
        <w:autoSpaceDN w:val="0"/>
        <w:adjustRightInd w:val="0"/>
        <w:rPr>
          <w:rFonts w:cstheme="minorHAnsi"/>
          <w:b/>
          <w:bCs/>
          <w:color w:val="316192"/>
          <w:sz w:val="40"/>
          <w:szCs w:val="36"/>
        </w:rPr>
      </w:pPr>
      <w:r w:rsidRPr="005570EA">
        <w:rPr>
          <w:rFonts w:cstheme="minorHAnsi"/>
          <w:b/>
          <w:bCs/>
          <w:color w:val="316192"/>
          <w:sz w:val="40"/>
          <w:szCs w:val="36"/>
        </w:rPr>
        <w:t>e-Publications@Marquette</w:t>
      </w:r>
    </w:p>
    <w:p w14:paraId="689ACF87" w14:textId="77777777" w:rsidR="000A7622" w:rsidRPr="005570EA" w:rsidRDefault="000A7622" w:rsidP="00D14423">
      <w:pPr>
        <w:autoSpaceDE w:val="0"/>
        <w:autoSpaceDN w:val="0"/>
        <w:adjustRightInd w:val="0"/>
        <w:rPr>
          <w:rFonts w:cstheme="minorHAnsi"/>
          <w:b/>
          <w:bCs/>
          <w:i/>
          <w:iCs/>
        </w:rPr>
      </w:pPr>
    </w:p>
    <w:p w14:paraId="161853CC" w14:textId="1B6A05DB" w:rsidR="000A7622" w:rsidRPr="005570EA" w:rsidRDefault="00737B20" w:rsidP="00D14423">
      <w:pPr>
        <w:autoSpaceDE w:val="0"/>
        <w:autoSpaceDN w:val="0"/>
        <w:adjustRightInd w:val="0"/>
        <w:rPr>
          <w:rFonts w:cstheme="minorHAnsi"/>
          <w:b/>
          <w:bCs/>
          <w:i/>
          <w:iCs/>
          <w:sz w:val="32"/>
          <w:szCs w:val="32"/>
        </w:rPr>
      </w:pPr>
      <w:r w:rsidRPr="005570EA">
        <w:rPr>
          <w:rFonts w:cstheme="minorHAnsi"/>
          <w:b/>
          <w:bCs/>
          <w:i/>
          <w:iCs/>
          <w:sz w:val="32"/>
          <w:szCs w:val="32"/>
        </w:rPr>
        <w:t xml:space="preserve">Electrical and Computer Engineering </w:t>
      </w:r>
      <w:r w:rsidR="000A7622" w:rsidRPr="005570EA">
        <w:rPr>
          <w:rFonts w:cstheme="minorHAnsi"/>
          <w:b/>
          <w:bCs/>
          <w:i/>
          <w:iCs/>
          <w:sz w:val="32"/>
          <w:szCs w:val="32"/>
        </w:rPr>
        <w:t>Faculty Research and Publications/</w:t>
      </w:r>
      <w:r w:rsidR="009732A9" w:rsidRPr="005570EA">
        <w:rPr>
          <w:rFonts w:cstheme="minorHAnsi"/>
          <w:b/>
          <w:bCs/>
          <w:i/>
          <w:iCs/>
          <w:sz w:val="32"/>
          <w:szCs w:val="32"/>
        </w:rPr>
        <w:t xml:space="preserve">College of </w:t>
      </w:r>
      <w:r w:rsidRPr="005570EA">
        <w:rPr>
          <w:rFonts w:cstheme="minorHAnsi"/>
          <w:b/>
          <w:bCs/>
          <w:i/>
          <w:iCs/>
          <w:sz w:val="32"/>
          <w:szCs w:val="32"/>
        </w:rPr>
        <w:t>Engineering</w:t>
      </w:r>
    </w:p>
    <w:bookmarkEnd w:id="0"/>
    <w:p w14:paraId="3E538636" w14:textId="77777777" w:rsidR="000A7622" w:rsidRPr="005570EA" w:rsidRDefault="000A7622" w:rsidP="00D14423">
      <w:pPr>
        <w:jc w:val="center"/>
        <w:rPr>
          <w:rFonts w:cstheme="minorHAnsi"/>
          <w:b/>
          <w:bCs/>
          <w:i/>
          <w:iCs/>
        </w:rPr>
      </w:pPr>
    </w:p>
    <w:p w14:paraId="25509BF0" w14:textId="06EF8E0B" w:rsidR="000A7622" w:rsidRPr="005570EA" w:rsidRDefault="000A7622" w:rsidP="00D14423">
      <w:pPr>
        <w:jc w:val="center"/>
        <w:rPr>
          <w:rFonts w:cstheme="minorHAnsi"/>
          <w:sz w:val="24"/>
          <w:szCs w:val="24"/>
        </w:rPr>
      </w:pPr>
      <w:r w:rsidRPr="005570EA">
        <w:rPr>
          <w:rFonts w:cstheme="minorHAnsi"/>
          <w:b/>
          <w:bCs/>
          <w:i/>
          <w:iCs/>
          <w:sz w:val="24"/>
          <w:szCs w:val="24"/>
        </w:rPr>
        <w:t xml:space="preserve">This paper is NOT THE PUBLISHED VERSION; </w:t>
      </w:r>
      <w:r w:rsidRPr="005570EA">
        <w:rPr>
          <w:rFonts w:cstheme="minorHAnsi"/>
          <w:b/>
          <w:bCs/>
          <w:sz w:val="24"/>
          <w:szCs w:val="24"/>
        </w:rPr>
        <w:t xml:space="preserve">but the author’s final, peer-reviewed manuscript. </w:t>
      </w:r>
      <w:r w:rsidRPr="005570EA">
        <w:rPr>
          <w:rFonts w:cstheme="minorHAnsi"/>
          <w:sz w:val="24"/>
          <w:szCs w:val="24"/>
        </w:rPr>
        <w:t>The published version may be accessed by following the link in th</w:t>
      </w:r>
      <w:r w:rsidR="00737B20" w:rsidRPr="005570EA">
        <w:rPr>
          <w:rFonts w:cstheme="minorHAnsi"/>
          <w:sz w:val="24"/>
          <w:szCs w:val="24"/>
        </w:rPr>
        <w:t>e</w:t>
      </w:r>
      <w:r w:rsidRPr="005570EA">
        <w:rPr>
          <w:rFonts w:cstheme="minorHAnsi"/>
          <w:sz w:val="24"/>
          <w:szCs w:val="24"/>
        </w:rPr>
        <w:t xml:space="preserve"> citation below.</w:t>
      </w:r>
    </w:p>
    <w:p w14:paraId="207B0342" w14:textId="51030BD1" w:rsidR="000A7622" w:rsidRPr="005570EA" w:rsidRDefault="000A7622" w:rsidP="00D14423">
      <w:pPr>
        <w:jc w:val="center"/>
        <w:rPr>
          <w:rFonts w:cstheme="minorHAnsi"/>
          <w:sz w:val="24"/>
          <w:szCs w:val="24"/>
        </w:rPr>
      </w:pPr>
    </w:p>
    <w:p w14:paraId="2A38AFE1" w14:textId="4FB3C246" w:rsidR="000A7622" w:rsidRPr="005570EA" w:rsidRDefault="00737B20" w:rsidP="00D14423">
      <w:pPr>
        <w:rPr>
          <w:rFonts w:cstheme="minorHAnsi"/>
          <w:sz w:val="24"/>
          <w:szCs w:val="24"/>
        </w:rPr>
      </w:pPr>
      <w:r w:rsidRPr="005570EA">
        <w:rPr>
          <w:rFonts w:cstheme="minorHAnsi"/>
          <w:i/>
          <w:sz w:val="24"/>
          <w:szCs w:val="24"/>
          <w:lang w:val="fr-FR"/>
        </w:rPr>
        <w:t>IEEE Journal of Quantum Electronics</w:t>
      </w:r>
      <w:r w:rsidR="000A7622" w:rsidRPr="005570EA">
        <w:rPr>
          <w:rFonts w:cstheme="minorHAnsi"/>
          <w:sz w:val="24"/>
          <w:szCs w:val="24"/>
          <w:lang w:val="fr-FR"/>
        </w:rPr>
        <w:t xml:space="preserve">, Vol. </w:t>
      </w:r>
      <w:r w:rsidRPr="005570EA">
        <w:rPr>
          <w:rFonts w:cstheme="minorHAnsi"/>
          <w:sz w:val="24"/>
          <w:szCs w:val="24"/>
          <w:lang w:val="fr-FR"/>
        </w:rPr>
        <w:t>39</w:t>
      </w:r>
      <w:r w:rsidR="000A7622" w:rsidRPr="005570EA">
        <w:rPr>
          <w:rFonts w:cstheme="minorHAnsi"/>
          <w:sz w:val="24"/>
          <w:szCs w:val="24"/>
          <w:lang w:val="fr-FR"/>
        </w:rPr>
        <w:t>, No</w:t>
      </w:r>
      <w:r w:rsidRPr="005570EA">
        <w:rPr>
          <w:rFonts w:cstheme="minorHAnsi"/>
          <w:sz w:val="24"/>
          <w:szCs w:val="24"/>
          <w:lang w:val="fr-FR"/>
        </w:rPr>
        <w:t>.</w:t>
      </w:r>
      <w:r w:rsidR="000A7622" w:rsidRPr="005570EA">
        <w:rPr>
          <w:rFonts w:cstheme="minorHAnsi"/>
          <w:sz w:val="24"/>
          <w:szCs w:val="24"/>
          <w:lang w:val="fr-FR"/>
        </w:rPr>
        <w:t xml:space="preserve"> </w:t>
      </w:r>
      <w:r w:rsidRPr="005570EA">
        <w:rPr>
          <w:rFonts w:cstheme="minorHAnsi"/>
          <w:sz w:val="24"/>
          <w:szCs w:val="24"/>
          <w:lang w:val="fr-FR"/>
        </w:rPr>
        <w:t>1</w:t>
      </w:r>
      <w:r w:rsidR="000A7622" w:rsidRPr="005570EA">
        <w:rPr>
          <w:rFonts w:cstheme="minorHAnsi"/>
          <w:sz w:val="24"/>
          <w:szCs w:val="24"/>
          <w:lang w:val="fr-FR"/>
        </w:rPr>
        <w:t xml:space="preserve"> (</w:t>
      </w:r>
      <w:r w:rsidR="004C7A68" w:rsidRPr="005570EA">
        <w:rPr>
          <w:rFonts w:cstheme="minorHAnsi"/>
          <w:sz w:val="24"/>
          <w:szCs w:val="24"/>
          <w:lang w:val="fr-FR"/>
        </w:rPr>
        <w:t>2003</w:t>
      </w:r>
      <w:r w:rsidR="000A7622" w:rsidRPr="005570EA">
        <w:rPr>
          <w:rFonts w:cstheme="minorHAnsi"/>
          <w:sz w:val="24"/>
          <w:szCs w:val="24"/>
          <w:lang w:val="fr-FR"/>
        </w:rPr>
        <w:t xml:space="preserve">): </w:t>
      </w:r>
      <w:r w:rsidR="004C7A68" w:rsidRPr="005570EA">
        <w:rPr>
          <w:rFonts w:cstheme="minorHAnsi"/>
          <w:sz w:val="24"/>
          <w:szCs w:val="24"/>
          <w:lang w:val="fr-FR"/>
        </w:rPr>
        <w:t>179</w:t>
      </w:r>
      <w:r w:rsidR="000A7622" w:rsidRPr="005570EA">
        <w:rPr>
          <w:rFonts w:cstheme="minorHAnsi"/>
          <w:sz w:val="24"/>
          <w:szCs w:val="24"/>
          <w:lang w:val="fr-FR"/>
        </w:rPr>
        <w:t>-</w:t>
      </w:r>
      <w:r w:rsidR="004C7A68" w:rsidRPr="005570EA">
        <w:rPr>
          <w:rFonts w:cstheme="minorHAnsi"/>
          <w:sz w:val="24"/>
          <w:szCs w:val="24"/>
          <w:lang w:val="fr-FR"/>
        </w:rPr>
        <w:t>185</w:t>
      </w:r>
      <w:r w:rsidR="000A7622" w:rsidRPr="005570EA">
        <w:rPr>
          <w:rFonts w:cstheme="minorHAnsi"/>
          <w:sz w:val="24"/>
          <w:szCs w:val="24"/>
          <w:lang w:val="fr-FR"/>
        </w:rPr>
        <w:t xml:space="preserve">. </w:t>
      </w:r>
      <w:hyperlink r:id="rId8" w:history="1">
        <w:r w:rsidR="000A7622" w:rsidRPr="005570EA">
          <w:rPr>
            <w:rFonts w:cstheme="minorHAnsi"/>
            <w:color w:val="0563C1" w:themeColor="hyperlink"/>
            <w:sz w:val="24"/>
            <w:szCs w:val="24"/>
            <w:u w:val="single"/>
            <w:lang w:val="fr-FR"/>
          </w:rPr>
          <w:t>DOI</w:t>
        </w:r>
      </w:hyperlink>
      <w:r w:rsidR="000A7622" w:rsidRPr="005570EA">
        <w:rPr>
          <w:rFonts w:cstheme="minorHAnsi"/>
          <w:sz w:val="24"/>
          <w:szCs w:val="24"/>
          <w:lang w:val="fr-FR"/>
        </w:rPr>
        <w:t xml:space="preserve">. </w:t>
      </w:r>
      <w:r w:rsidR="000A7622" w:rsidRPr="005570EA">
        <w:rPr>
          <w:rFonts w:cstheme="minorHAnsi"/>
          <w:sz w:val="24"/>
          <w:szCs w:val="24"/>
        </w:rPr>
        <w:t xml:space="preserve">This article is © </w:t>
      </w:r>
      <w:bookmarkStart w:id="2" w:name="_Hlk22298530"/>
      <w:r w:rsidR="004C7A68" w:rsidRPr="005570EA">
        <w:rPr>
          <w:rFonts w:cstheme="minorHAnsi"/>
          <w:sz w:val="24"/>
          <w:szCs w:val="24"/>
        </w:rPr>
        <w:t>Institute of Electrical and Electronic Engineers (IEEE)</w:t>
      </w:r>
      <w:r w:rsidR="000A7622" w:rsidRPr="005570EA">
        <w:rPr>
          <w:rFonts w:cstheme="minorHAnsi"/>
          <w:sz w:val="24"/>
          <w:szCs w:val="24"/>
        </w:rPr>
        <w:t xml:space="preserve"> </w:t>
      </w:r>
      <w:bookmarkEnd w:id="2"/>
      <w:r w:rsidR="000A7622" w:rsidRPr="005570EA">
        <w:rPr>
          <w:rFonts w:cstheme="minorHAnsi"/>
          <w:sz w:val="24"/>
          <w:szCs w:val="24"/>
        </w:rPr>
        <w:t xml:space="preserve">and permission has been granted for this version to appear in </w:t>
      </w:r>
      <w:hyperlink r:id="rId9" w:history="1">
        <w:r w:rsidR="000A7622" w:rsidRPr="005570EA">
          <w:rPr>
            <w:rFonts w:cstheme="minorHAnsi"/>
            <w:color w:val="0563C1" w:themeColor="hyperlink"/>
            <w:sz w:val="24"/>
            <w:szCs w:val="24"/>
            <w:u w:val="single"/>
          </w:rPr>
          <w:t>e-Publications@Marquette</w:t>
        </w:r>
      </w:hyperlink>
      <w:r w:rsidR="000A7622" w:rsidRPr="005570EA">
        <w:rPr>
          <w:rFonts w:cstheme="minorHAnsi"/>
          <w:sz w:val="24"/>
          <w:szCs w:val="24"/>
        </w:rPr>
        <w:t xml:space="preserve">. </w:t>
      </w:r>
      <w:r w:rsidR="004C7A68" w:rsidRPr="005570EA">
        <w:rPr>
          <w:rFonts w:cstheme="minorHAnsi"/>
          <w:sz w:val="24"/>
          <w:szCs w:val="24"/>
        </w:rPr>
        <w:t xml:space="preserve">Institute of Electrical and Electronic Engineers (IEEE) </w:t>
      </w:r>
      <w:r w:rsidR="000A7622" w:rsidRPr="005570EA">
        <w:rPr>
          <w:rFonts w:cstheme="minorHAnsi"/>
          <w:sz w:val="24"/>
          <w:szCs w:val="24"/>
        </w:rPr>
        <w:t xml:space="preserve">does not grant permission for this article to be further copied/distributed or hosted elsewhere without the express permission from </w:t>
      </w:r>
      <w:r w:rsidR="0021746C" w:rsidRPr="005570EA">
        <w:rPr>
          <w:rFonts w:cstheme="minorHAnsi"/>
          <w:sz w:val="24"/>
          <w:szCs w:val="24"/>
        </w:rPr>
        <w:t>Institute of Electrical and Electronic Engineers (IEEE)</w:t>
      </w:r>
      <w:r w:rsidR="000A7622" w:rsidRPr="005570EA">
        <w:rPr>
          <w:rFonts w:cstheme="minorHAnsi"/>
          <w:sz w:val="24"/>
          <w:szCs w:val="24"/>
        </w:rPr>
        <w:t xml:space="preserve">. </w:t>
      </w:r>
    </w:p>
    <w:p w14:paraId="6B471E5E" w14:textId="77777777" w:rsidR="00667AE5" w:rsidRPr="005570EA" w:rsidRDefault="00667AE5" w:rsidP="009404D1">
      <w:pPr>
        <w:pStyle w:val="Title"/>
        <w:rPr>
          <w:rFonts w:asciiTheme="minorHAnsi" w:hAnsiTheme="minorHAnsi" w:cstheme="minorHAnsi"/>
        </w:rPr>
      </w:pPr>
      <w:r w:rsidRPr="005570EA">
        <w:rPr>
          <w:rFonts w:asciiTheme="minorHAnsi" w:hAnsiTheme="minorHAnsi" w:cstheme="minorHAnsi"/>
        </w:rPr>
        <w:t xml:space="preserve">Breakdown probabilities for thin heterostructure avalanche photodiodes </w:t>
      </w:r>
    </w:p>
    <w:p w14:paraId="3E30EA5F" w14:textId="5170E5B3" w:rsidR="0021746C" w:rsidRDefault="0021746C" w:rsidP="00D14423">
      <w:pPr>
        <w:rPr>
          <w:rFonts w:cstheme="minorHAnsi"/>
          <w:sz w:val="24"/>
          <w:szCs w:val="24"/>
        </w:rPr>
      </w:pPr>
    </w:p>
    <w:p w14:paraId="0FABECAE" w14:textId="2D176C0C" w:rsidR="00B37E36" w:rsidRPr="00C75550" w:rsidRDefault="00B37E36" w:rsidP="00C75550">
      <w:pPr>
        <w:pStyle w:val="NoSpacing"/>
        <w:rPr>
          <w:sz w:val="32"/>
          <w:szCs w:val="32"/>
        </w:rPr>
      </w:pPr>
      <w:r w:rsidRPr="00C75550">
        <w:rPr>
          <w:sz w:val="32"/>
          <w:szCs w:val="32"/>
        </w:rPr>
        <w:t>Majeed M. Hayat</w:t>
      </w:r>
    </w:p>
    <w:p w14:paraId="7698CCFE" w14:textId="152545C4" w:rsidR="00DE2D68" w:rsidRPr="00C75550" w:rsidRDefault="00DE2D68" w:rsidP="00C75550">
      <w:pPr>
        <w:pStyle w:val="NoSpacing"/>
        <w:rPr>
          <w:sz w:val="24"/>
          <w:szCs w:val="24"/>
        </w:rPr>
      </w:pPr>
      <w:r w:rsidRPr="00C75550">
        <w:rPr>
          <w:sz w:val="24"/>
          <w:szCs w:val="24"/>
        </w:rPr>
        <w:t xml:space="preserve">Department of Electrical and Computer Engineering, University of New Mexico, Albuquerque, NM </w:t>
      </w:r>
    </w:p>
    <w:p w14:paraId="5500FC14" w14:textId="1972A1EE" w:rsidR="00B37E36" w:rsidRPr="00C75550" w:rsidRDefault="00B37E36" w:rsidP="00C75550">
      <w:pPr>
        <w:pStyle w:val="NoSpacing"/>
        <w:rPr>
          <w:sz w:val="32"/>
          <w:szCs w:val="32"/>
        </w:rPr>
      </w:pPr>
      <w:r w:rsidRPr="00C75550">
        <w:rPr>
          <w:sz w:val="32"/>
          <w:szCs w:val="32"/>
        </w:rPr>
        <w:t>Ünal Sako ̆glu</w:t>
      </w:r>
    </w:p>
    <w:p w14:paraId="5DBAEEA4" w14:textId="51F2397B" w:rsidR="00DE2D68" w:rsidRPr="00C75550" w:rsidRDefault="00DE2D68" w:rsidP="00C75550">
      <w:pPr>
        <w:pStyle w:val="NoSpacing"/>
        <w:rPr>
          <w:sz w:val="24"/>
          <w:szCs w:val="24"/>
        </w:rPr>
      </w:pPr>
      <w:r w:rsidRPr="00C75550">
        <w:rPr>
          <w:sz w:val="24"/>
          <w:szCs w:val="24"/>
        </w:rPr>
        <w:t xml:space="preserve">Department of Electrical and Computer Engineering, University of New Mexico, Albuquerque, NM </w:t>
      </w:r>
    </w:p>
    <w:p w14:paraId="5AA10DC0" w14:textId="3D15679E" w:rsidR="00B37E36" w:rsidRPr="00C75550" w:rsidRDefault="00B37E36" w:rsidP="00C75550">
      <w:pPr>
        <w:pStyle w:val="NoSpacing"/>
        <w:rPr>
          <w:sz w:val="32"/>
          <w:szCs w:val="32"/>
        </w:rPr>
      </w:pPr>
      <w:r w:rsidRPr="00C75550">
        <w:rPr>
          <w:sz w:val="32"/>
          <w:szCs w:val="32"/>
        </w:rPr>
        <w:t>Oh-Hyun Kwon</w:t>
      </w:r>
    </w:p>
    <w:p w14:paraId="7934DEAE" w14:textId="5494163F" w:rsidR="00DE2D68" w:rsidRPr="00C75550" w:rsidRDefault="00DE2D68" w:rsidP="00C75550">
      <w:pPr>
        <w:pStyle w:val="NoSpacing"/>
        <w:rPr>
          <w:sz w:val="24"/>
          <w:szCs w:val="24"/>
        </w:rPr>
      </w:pPr>
      <w:r w:rsidRPr="00C75550">
        <w:rPr>
          <w:sz w:val="24"/>
          <w:szCs w:val="24"/>
        </w:rPr>
        <w:t xml:space="preserve">Department of Electrical and Computer Engineering, University of New Mexico, Albuquerque, NM </w:t>
      </w:r>
    </w:p>
    <w:p w14:paraId="4248EBDC" w14:textId="5BB44E9D" w:rsidR="00B37E36" w:rsidRPr="00C75550" w:rsidRDefault="00B37E36" w:rsidP="00C75550">
      <w:pPr>
        <w:pStyle w:val="NoSpacing"/>
        <w:rPr>
          <w:sz w:val="32"/>
          <w:szCs w:val="32"/>
        </w:rPr>
      </w:pPr>
      <w:r w:rsidRPr="00C75550">
        <w:rPr>
          <w:sz w:val="32"/>
          <w:szCs w:val="32"/>
        </w:rPr>
        <w:t>Shuling Wang</w:t>
      </w:r>
    </w:p>
    <w:p w14:paraId="2F38C975" w14:textId="502664AC" w:rsidR="00464D94" w:rsidRPr="00C75550" w:rsidRDefault="00464D94" w:rsidP="00C75550">
      <w:pPr>
        <w:pStyle w:val="NoSpacing"/>
        <w:rPr>
          <w:sz w:val="24"/>
          <w:szCs w:val="24"/>
        </w:rPr>
      </w:pPr>
      <w:r w:rsidRPr="00C75550">
        <w:rPr>
          <w:sz w:val="24"/>
          <w:szCs w:val="24"/>
        </w:rPr>
        <w:t xml:space="preserve">Microelectronics Research </w:t>
      </w:r>
      <w:proofErr w:type="gramStart"/>
      <w:r w:rsidRPr="00C75550">
        <w:rPr>
          <w:sz w:val="24"/>
          <w:szCs w:val="24"/>
        </w:rPr>
        <w:t>Center,University</w:t>
      </w:r>
      <w:proofErr w:type="gramEnd"/>
      <w:r w:rsidRPr="00C75550">
        <w:rPr>
          <w:sz w:val="24"/>
          <w:szCs w:val="24"/>
        </w:rPr>
        <w:t xml:space="preserve"> of Texas at Austin, Austin, TX </w:t>
      </w:r>
    </w:p>
    <w:p w14:paraId="4C830BE1" w14:textId="67F58AAE" w:rsidR="00B37E36" w:rsidRPr="00C75550" w:rsidRDefault="00B37E36" w:rsidP="00C75550">
      <w:pPr>
        <w:pStyle w:val="NoSpacing"/>
        <w:rPr>
          <w:sz w:val="32"/>
          <w:szCs w:val="32"/>
        </w:rPr>
      </w:pPr>
      <w:r w:rsidRPr="00C75550">
        <w:rPr>
          <w:sz w:val="32"/>
          <w:szCs w:val="32"/>
        </w:rPr>
        <w:t>Joe C. Campbell</w:t>
      </w:r>
    </w:p>
    <w:p w14:paraId="51D62BF9" w14:textId="6BF10900" w:rsidR="00464D94" w:rsidRPr="00C75550" w:rsidRDefault="00464D94" w:rsidP="00C75550">
      <w:pPr>
        <w:pStyle w:val="NoSpacing"/>
        <w:rPr>
          <w:sz w:val="24"/>
          <w:szCs w:val="24"/>
        </w:rPr>
      </w:pPr>
      <w:r w:rsidRPr="00C75550">
        <w:rPr>
          <w:sz w:val="24"/>
          <w:szCs w:val="24"/>
        </w:rPr>
        <w:t>Microelectronics Research Center,</w:t>
      </w:r>
      <w:r w:rsidR="006F133E" w:rsidRPr="00C75550">
        <w:rPr>
          <w:sz w:val="24"/>
          <w:szCs w:val="24"/>
        </w:rPr>
        <w:t xml:space="preserve"> </w:t>
      </w:r>
      <w:r w:rsidRPr="00C75550">
        <w:rPr>
          <w:sz w:val="24"/>
          <w:szCs w:val="24"/>
        </w:rPr>
        <w:t xml:space="preserve">University of Texas at Austin, Austin, TX </w:t>
      </w:r>
    </w:p>
    <w:p w14:paraId="3D97FEFB" w14:textId="64B905A5" w:rsidR="00B37E36" w:rsidRPr="00C75550" w:rsidRDefault="00B37E36" w:rsidP="00C75550">
      <w:pPr>
        <w:pStyle w:val="NoSpacing"/>
        <w:rPr>
          <w:sz w:val="32"/>
          <w:szCs w:val="32"/>
        </w:rPr>
      </w:pPr>
      <w:r w:rsidRPr="00C75550">
        <w:rPr>
          <w:sz w:val="32"/>
          <w:szCs w:val="32"/>
        </w:rPr>
        <w:t>Bahaa E. A. Saleh</w:t>
      </w:r>
    </w:p>
    <w:p w14:paraId="291A78CA" w14:textId="18F34222" w:rsidR="006F133E" w:rsidRPr="00C75550" w:rsidRDefault="006F133E" w:rsidP="00C75550">
      <w:pPr>
        <w:pStyle w:val="NoSpacing"/>
        <w:rPr>
          <w:sz w:val="24"/>
          <w:szCs w:val="24"/>
        </w:rPr>
      </w:pPr>
      <w:r w:rsidRPr="00C75550">
        <w:rPr>
          <w:sz w:val="24"/>
          <w:szCs w:val="24"/>
        </w:rPr>
        <w:t xml:space="preserve">Department of Electrical and Computer Engineering, Boston University, Boston, MA  </w:t>
      </w:r>
    </w:p>
    <w:p w14:paraId="7F9C2E8F" w14:textId="47FADD78" w:rsidR="00B37E36" w:rsidRPr="00C75550" w:rsidRDefault="00B37E36" w:rsidP="00C75550">
      <w:pPr>
        <w:pStyle w:val="NoSpacing"/>
        <w:rPr>
          <w:sz w:val="32"/>
          <w:szCs w:val="32"/>
        </w:rPr>
      </w:pPr>
      <w:r w:rsidRPr="00C75550">
        <w:rPr>
          <w:sz w:val="32"/>
          <w:szCs w:val="32"/>
        </w:rPr>
        <w:t>Malvin C. Teich</w:t>
      </w:r>
    </w:p>
    <w:p w14:paraId="7E0F24E0" w14:textId="037810EE" w:rsidR="006F133E" w:rsidRPr="00C75550" w:rsidRDefault="006F133E" w:rsidP="00C75550">
      <w:pPr>
        <w:pStyle w:val="NoSpacing"/>
        <w:rPr>
          <w:sz w:val="24"/>
          <w:szCs w:val="24"/>
        </w:rPr>
      </w:pPr>
      <w:r w:rsidRPr="00C75550">
        <w:rPr>
          <w:sz w:val="24"/>
          <w:szCs w:val="24"/>
        </w:rPr>
        <w:t xml:space="preserve">Department of Electrical and Computer Engineering, Boston University, Boston, MA  </w:t>
      </w:r>
    </w:p>
    <w:p w14:paraId="302E3116" w14:textId="77777777" w:rsidR="00C75550" w:rsidRPr="00B37E36" w:rsidRDefault="00C75550" w:rsidP="00D14423">
      <w:pPr>
        <w:rPr>
          <w:rFonts w:cstheme="minorHAnsi"/>
          <w:sz w:val="28"/>
          <w:szCs w:val="28"/>
        </w:rPr>
      </w:pPr>
    </w:p>
    <w:bookmarkEnd w:id="1"/>
    <w:p w14:paraId="3683D1B6" w14:textId="7FF06CDB" w:rsidR="00667AE5" w:rsidRPr="005570EA" w:rsidRDefault="00667AE5" w:rsidP="009404D1">
      <w:pPr>
        <w:pStyle w:val="Heading1"/>
        <w:rPr>
          <w:rFonts w:asciiTheme="minorHAnsi" w:hAnsiTheme="minorHAnsi" w:cstheme="minorHAnsi"/>
        </w:rPr>
      </w:pPr>
      <w:r w:rsidRPr="005570EA">
        <w:rPr>
          <w:rFonts w:asciiTheme="minorHAnsi" w:hAnsiTheme="minorHAnsi" w:cstheme="minorHAnsi"/>
        </w:rPr>
        <w:lastRenderedPageBreak/>
        <w:t>Abstract</w:t>
      </w:r>
    </w:p>
    <w:p w14:paraId="7A10F25A" w14:textId="77777777" w:rsidR="00667AE5" w:rsidRPr="00667AE5" w:rsidRDefault="00667AE5" w:rsidP="00667AE5">
      <w:pPr>
        <w:rPr>
          <w:rFonts w:cstheme="minorHAnsi"/>
        </w:rPr>
      </w:pPr>
      <w:r w:rsidRPr="00667AE5">
        <w:rPr>
          <w:rFonts w:cstheme="minorHAnsi"/>
        </w:rPr>
        <w:t xml:space="preserve">The recurrence theory for the breakdown probability in avalanche photodiodes (APDs) is generalized to heterostructure APDs that may have multiple multiplication layers. The generalization addresses layer-boundary effects such as the initial energy of injected carriers as well as the layer-dependent profile of the dead space in the multiplication region. Reducing the width of the multiplication layer serves to both downshift and sharpen the breakdown probability curve as a function of the applied reverse-bias voltage. In structures where the injected carriers have an initial energy that is comparable to the ionization threshold energy, the transition from linear mode to Geiger-mode is more abrupt than in structures in which such initial energy is negligible. The theory is applied to two recently fabricated Al </w:t>
      </w:r>
      <w:r w:rsidRPr="00667AE5">
        <w:rPr>
          <w:rFonts w:cstheme="minorHAnsi"/>
          <w:vertAlign w:val="subscript"/>
        </w:rPr>
        <w:t>0.6</w:t>
      </w:r>
      <w:r w:rsidRPr="00667AE5">
        <w:rPr>
          <w:rFonts w:cstheme="minorHAnsi"/>
        </w:rPr>
        <w:t xml:space="preserve"> Ga </w:t>
      </w:r>
      <w:r w:rsidRPr="00667AE5">
        <w:rPr>
          <w:rFonts w:cstheme="minorHAnsi"/>
          <w:vertAlign w:val="subscript"/>
        </w:rPr>
        <w:t>0.4</w:t>
      </w:r>
      <w:r w:rsidRPr="00667AE5">
        <w:rPr>
          <w:rFonts w:cstheme="minorHAnsi"/>
        </w:rPr>
        <w:t xml:space="preserve"> As-GaAs heterostructure APDs and to other homostructure thin GaAs APDs and the predictions of the breakdown-voltage thresholds are verified.</w:t>
      </w:r>
    </w:p>
    <w:p w14:paraId="3A32C665" w14:textId="5AC19F52" w:rsidR="00F14573" w:rsidRPr="00F14573" w:rsidRDefault="00F14573" w:rsidP="00F14573">
      <w:pPr>
        <w:rPr>
          <w:rFonts w:cstheme="minorHAnsi"/>
        </w:rPr>
      </w:pPr>
      <w:r w:rsidRPr="00F14573">
        <w:rPr>
          <w:rFonts w:cstheme="minorHAnsi"/>
        </w:rPr>
        <w:t xml:space="preserve"> </w:t>
      </w:r>
    </w:p>
    <w:p w14:paraId="00275E77" w14:textId="70CD5136" w:rsidR="00F14573" w:rsidRPr="00BA669E" w:rsidRDefault="00F14573" w:rsidP="00BA669E">
      <w:pPr>
        <w:pStyle w:val="Heading1"/>
      </w:pPr>
      <w:r w:rsidRPr="00BA669E">
        <w:t>SECTION I.</w:t>
      </w:r>
      <w:r w:rsidR="00BA669E" w:rsidRPr="00BA669E">
        <w:t xml:space="preserve"> </w:t>
      </w:r>
      <w:r w:rsidRPr="00BA669E">
        <w:t>Introduction</w:t>
      </w:r>
    </w:p>
    <w:p w14:paraId="015FBCA6" w14:textId="77777777" w:rsidR="00F14573" w:rsidRPr="00F14573" w:rsidRDefault="00F14573" w:rsidP="00F14573">
      <w:pPr>
        <w:rPr>
          <w:rFonts w:cstheme="minorHAnsi"/>
        </w:rPr>
      </w:pPr>
      <w:r w:rsidRPr="00F14573">
        <w:rPr>
          <w:rFonts w:cstheme="minorHAnsi"/>
        </w:rPr>
        <w:t>Avalanche photodiodes (APDs) are highly desirable in fiber-optic communication systems and in many applications that rely on precision radiometric measurements such as photon and photon-coincidence counting. Recently, APDs with thin multiplication layers have been shown to exhibit a significant reduction in the excess noise factor, a feature that is now well known to be attributable to the dead-space effect [1]–[2][3][4][5][6][7][8]. The dead space is the distance a carrier must travel within the APD's multiplication region before acquiring the energy threshold needed for effecting an impact ionization. In essence, dead space results in inhibition in the locations of ionization, which, in turn, brings about orderliness in the avalanche of carrier generation. In APDs with wide multiplication regions (</w:t>
      </w:r>
      <w:r w:rsidRPr="00F14573">
        <w:rPr>
          <w:rFonts w:cstheme="minorHAnsi"/>
          <w:i/>
          <w:iCs/>
        </w:rPr>
        <w:t>viz</w:t>
      </w:r>
      <w:r w:rsidRPr="00F14573">
        <w:rPr>
          <w:rFonts w:cstheme="minorHAnsi"/>
        </w:rPr>
        <w:t xml:space="preserve">., &gt; 0.4 </w:t>
      </w:r>
      <w:r w:rsidRPr="00F14573">
        <w:rPr>
          <w:rFonts w:cstheme="minorHAnsi"/>
          <w:i/>
          <w:iCs/>
        </w:rPr>
        <w:t>μ</w:t>
      </w:r>
      <w:r w:rsidRPr="00F14573">
        <w:rPr>
          <w:rFonts w:cstheme="minorHAnsi"/>
        </w:rPr>
        <w:t xml:space="preserve"> m), the dead-space distance is negligible relative to the width and its effect on the carrier multiplication is minimal. However, in thin APDs, the dead space can occupy a large fraction of the multiplication region, thereby significantly altering not only the multiplication noise but also the time response, power spectral density, and breakdown [4], [9], [10]. Heterostructure APDs with multiple thin multiplication layers have also been recently fabricated, exhibiting even lower excess noise factors. Such improved performance has been attributable to the combination of the dead-space effect and bandgap-boundary effects, which can serve to further regularize impact ionization through careful bandgap engineering [11]–[12][13].</w:t>
      </w:r>
    </w:p>
    <w:p w14:paraId="50D4CF5F" w14:textId="77777777" w:rsidR="00F14573" w:rsidRPr="00F14573" w:rsidRDefault="00F14573" w:rsidP="00F14573">
      <w:pPr>
        <w:rPr>
          <w:rFonts w:cstheme="minorHAnsi"/>
        </w:rPr>
      </w:pPr>
      <w:r w:rsidRPr="00F14573">
        <w:rPr>
          <w:rFonts w:cstheme="minorHAnsi"/>
        </w:rPr>
        <w:t xml:space="preserve">One aspect of the APD performance whose dependence on the dead space was not analytically investigated is the breakdown probability. Breakdown occurs when the APD's gain becomes infinite. In general, as the applied reverse-bias voltage is raised beyond a threshold, the probability that the gain becomes unstable diverges from zero, and gradually approaches unity as the voltage is further raised. In fact, this threshold voltage is nothing but the breakdown voltage, which is defined as the applied reverse-bias voltage at which the </w:t>
      </w:r>
      <w:r w:rsidRPr="00F14573">
        <w:rPr>
          <w:rFonts w:cstheme="minorHAnsi"/>
          <w:i/>
          <w:iCs/>
        </w:rPr>
        <w:t>mean</w:t>
      </w:r>
      <w:r w:rsidRPr="00F14573">
        <w:rPr>
          <w:rFonts w:cstheme="minorHAnsi"/>
        </w:rPr>
        <w:t xml:space="preserve"> gain becomes infinite. (Note that as the gain is integer-valued, its mean is finite if and only if the probability of having an infinite gain is zero.) The behavior of the breakdown probability, as a function of the applied revere-bias voltage, is the key indicator of how fast the transition from stable to saturated operation occurs. For example, when an APD is used in the Geiger mode, it is highly desirable that such a transition occur as rapidly as possible so that any incoming photon triggers a measurable response with near certainty. On the other hand, if the transition is not steep, then at any given applied reverse bias, a fraction of the absorbed photons (proportional to the complement of the breakdown probability) will fail to trigger breakdown, which reduces detection efficiency.</w:t>
      </w:r>
    </w:p>
    <w:p w14:paraId="0F245807" w14:textId="77777777" w:rsidR="00F14573" w:rsidRPr="00F14573" w:rsidRDefault="00F14573" w:rsidP="00F14573">
      <w:pPr>
        <w:rPr>
          <w:rFonts w:cstheme="minorHAnsi"/>
        </w:rPr>
      </w:pPr>
      <w:r w:rsidRPr="00F14573">
        <w:rPr>
          <w:rFonts w:cstheme="minorHAnsi"/>
        </w:rPr>
        <w:t xml:space="preserve">In light of the role played by the multiplication-region width in improving the noise and bandwidth characteristics in thin APDs, a natural question that comes to mind is whether thin APDs exhibit improved breakdown characteristics. We have partially answered this question affirmatively in the past by showing that the breakdown voltage decreases as the width decreases [9]. However, the breakdown probabilities for thin </w:t>
      </w:r>
      <w:r w:rsidRPr="00F14573">
        <w:rPr>
          <w:rFonts w:cstheme="minorHAnsi"/>
        </w:rPr>
        <w:lastRenderedPageBreak/>
        <w:t>APDs have not been investigated heretofore. In 1999, McIntyre [7] adopted the recurrence principles developed by Hayat et al. [1], [14] and formulated recurrence equations which characterized the breakdown probability for the case of nonuniform fields. Although McIntyre [7] attempted to predict the breakdown probability, he encountered difficulty in numerically solving the recurrence equations near breakdown and beyond. Moreover, no analytical model has yet been developed that can capture the bandgap-boundary effects encountered in heterostructure APDs. Such boundary effects include the initial energy of injected carriers and the layer-dependent profile of the dead space in the multiplication region.</w:t>
      </w:r>
    </w:p>
    <w:p w14:paraId="0051BB8B" w14:textId="77777777" w:rsidR="00F14573" w:rsidRPr="00F14573" w:rsidRDefault="00F14573" w:rsidP="00F14573">
      <w:pPr>
        <w:rPr>
          <w:rFonts w:cstheme="minorHAnsi"/>
        </w:rPr>
      </w:pPr>
      <w:r w:rsidRPr="00F14573">
        <w:rPr>
          <w:rFonts w:cstheme="minorHAnsi"/>
        </w:rPr>
        <w:t>In this paper, we generalize the recurrence equations reported by McIntyre [7] to include boundary effects associated with thin heterostructure APDs. This generalization draws from our recent work on the bandgap-boundary effects on avalanche multiplication noise [11]. The technique developed in this paper provides the means for predicting the probability of breakdown as a function of the applied reverse bias voltage for any heterostructure APD.</w:t>
      </w:r>
    </w:p>
    <w:p w14:paraId="0E822AAA" w14:textId="43889193" w:rsidR="00F14573" w:rsidRPr="005570EA" w:rsidRDefault="00F14573" w:rsidP="00BA669E">
      <w:pPr>
        <w:pStyle w:val="Heading1"/>
        <w:rPr>
          <w:rFonts w:asciiTheme="minorHAnsi" w:hAnsiTheme="minorHAnsi" w:cstheme="minorHAnsi"/>
        </w:rPr>
      </w:pPr>
      <w:r w:rsidRPr="005570EA">
        <w:rPr>
          <w:rFonts w:asciiTheme="minorHAnsi" w:hAnsiTheme="minorHAnsi" w:cstheme="minorHAnsi"/>
        </w:rPr>
        <w:t>SECTION II.</w:t>
      </w:r>
      <w:r w:rsidR="00BA669E">
        <w:rPr>
          <w:rFonts w:asciiTheme="minorHAnsi" w:hAnsiTheme="minorHAnsi" w:cstheme="minorHAnsi"/>
        </w:rPr>
        <w:t xml:space="preserve"> </w:t>
      </w:r>
      <w:r w:rsidRPr="005570EA">
        <w:rPr>
          <w:rFonts w:asciiTheme="minorHAnsi" w:hAnsiTheme="minorHAnsi" w:cstheme="minorHAnsi"/>
        </w:rPr>
        <w:t>Analytical Model</w:t>
      </w:r>
    </w:p>
    <w:p w14:paraId="32AB839D" w14:textId="77777777" w:rsidR="00F14573" w:rsidRPr="00F14573" w:rsidRDefault="00F14573" w:rsidP="00F14573">
      <w:pPr>
        <w:rPr>
          <w:rFonts w:cstheme="minorHAnsi"/>
        </w:rPr>
      </w:pPr>
      <w:r w:rsidRPr="00F14573">
        <w:rPr>
          <w:rFonts w:cstheme="minorHAnsi"/>
        </w:rPr>
        <w:t xml:space="preserve">Consider an APD with a multiplication region (possibly consisting of multiple layers) extending from </w:t>
      </w:r>
      <w:r w:rsidRPr="00F14573">
        <w:rPr>
          <w:rFonts w:cstheme="minorHAnsi"/>
          <w:i/>
          <w:iCs/>
        </w:rPr>
        <w:t>x</w:t>
      </w:r>
      <w:r w:rsidRPr="00F14573">
        <w:rPr>
          <w:rFonts w:cstheme="minorHAnsi"/>
        </w:rPr>
        <w:t xml:space="preserve">=0 to </w:t>
      </w:r>
      <w:r w:rsidRPr="00F14573">
        <w:rPr>
          <w:rFonts w:cstheme="minorHAnsi"/>
          <w:i/>
          <w:iCs/>
        </w:rPr>
        <w:t>x</w:t>
      </w:r>
      <w:r w:rsidRPr="00F14573">
        <w:rPr>
          <w:rFonts w:cstheme="minorHAnsi"/>
        </w:rPr>
        <w:t>=</w:t>
      </w:r>
      <w:r w:rsidRPr="00F14573">
        <w:rPr>
          <w:rFonts w:cstheme="minorHAnsi"/>
          <w:i/>
          <w:iCs/>
        </w:rPr>
        <w:t>w</w:t>
      </w:r>
      <w:r w:rsidRPr="00F14573">
        <w:rPr>
          <w:rFonts w:cstheme="minorHAnsi"/>
        </w:rPr>
        <w:t>, and exhibiting an electric-field profile E(</w:t>
      </w:r>
      <w:r w:rsidRPr="00F14573">
        <w:rPr>
          <w:rFonts w:cstheme="minorHAnsi"/>
          <w:i/>
          <w:iCs/>
        </w:rPr>
        <w:t>x</w:t>
      </w:r>
      <w:r w:rsidRPr="00F14573">
        <w:rPr>
          <w:rFonts w:cstheme="minorHAnsi"/>
        </w:rPr>
        <w:t xml:space="preserve">). Assume that a parent electron is injected at </w:t>
      </w:r>
      <w:r w:rsidRPr="00F14573">
        <w:rPr>
          <w:rFonts w:cstheme="minorHAnsi"/>
          <w:i/>
          <w:iCs/>
        </w:rPr>
        <w:t>x</w:t>
      </w:r>
      <w:r w:rsidRPr="00F14573">
        <w:rPr>
          <w:rFonts w:cstheme="minorHAnsi"/>
        </w:rPr>
        <w:t xml:space="preserve">=0, and that the electron has an initial energy </w:t>
      </w:r>
      <w:r w:rsidRPr="00F14573">
        <w:rPr>
          <w:rFonts w:cstheme="minorHAnsi"/>
          <w:i/>
          <w:iCs/>
        </w:rPr>
        <w:t>E</w:t>
      </w:r>
      <w:r w:rsidRPr="00F14573">
        <w:rPr>
          <w:rFonts w:cstheme="minorHAnsi"/>
        </w:rPr>
        <w:t xml:space="preserve">0 which it acquires, for example, as it travels through a field gradient just before entering the multiplication region. According to basic principles of impact ionization [15], if the electron ionization threshold energy of the material is </w:t>
      </w:r>
      <w:r w:rsidRPr="00F14573">
        <w:rPr>
          <w:rFonts w:cstheme="minorHAnsi"/>
          <w:i/>
          <w:iCs/>
        </w:rPr>
        <w:t>Eie</w:t>
      </w:r>
      <w:r w:rsidRPr="00F14573">
        <w:rPr>
          <w:rFonts w:cstheme="minorHAnsi"/>
        </w:rPr>
        <w:t xml:space="preserve">, then the injected electron must first travel an initial dead-space distance </w:t>
      </w:r>
      <w:r w:rsidRPr="00F14573">
        <w:rPr>
          <w:rFonts w:cstheme="minorHAnsi"/>
          <w:i/>
          <w:iCs/>
        </w:rPr>
        <w:t>de</w:t>
      </w:r>
      <w:r w:rsidRPr="00F14573">
        <w:rPr>
          <w:rFonts w:cstheme="minorHAnsi"/>
        </w:rPr>
        <w:t>0, which is the solution to the equation (</w:t>
      </w:r>
      <w:r w:rsidRPr="00F14573">
        <w:rPr>
          <w:rFonts w:cstheme="minorHAnsi"/>
          <w:i/>
          <w:iCs/>
        </w:rPr>
        <w:t>Eie</w:t>
      </w:r>
      <w:r w:rsidRPr="00F14573">
        <w:rPr>
          <w:rFonts w:cstheme="minorHAnsi"/>
        </w:rPr>
        <w:t>−</w:t>
      </w:r>
      <w:r w:rsidRPr="00F14573">
        <w:rPr>
          <w:rFonts w:cstheme="minorHAnsi"/>
          <w:i/>
          <w:iCs/>
        </w:rPr>
        <w:t>E</w:t>
      </w:r>
      <w:r w:rsidRPr="00F14573">
        <w:rPr>
          <w:rFonts w:cstheme="minorHAnsi"/>
        </w:rPr>
        <w:t>0)=∫</w:t>
      </w:r>
      <w:r w:rsidRPr="00F14573">
        <w:rPr>
          <w:rFonts w:cstheme="minorHAnsi"/>
          <w:i/>
          <w:iCs/>
        </w:rPr>
        <w:t>de</w:t>
      </w:r>
      <w:r w:rsidRPr="00F14573">
        <w:rPr>
          <w:rFonts w:cstheme="minorHAnsi"/>
        </w:rPr>
        <w:t>00</w:t>
      </w:r>
      <w:r w:rsidRPr="00F14573">
        <w:rPr>
          <w:rFonts w:cstheme="minorHAnsi"/>
          <w:i/>
          <w:iCs/>
        </w:rPr>
        <w:t>q</w:t>
      </w:r>
      <w:r w:rsidRPr="00F14573">
        <w:rPr>
          <w:rFonts w:cstheme="minorHAnsi"/>
        </w:rPr>
        <w:t>E(</w:t>
      </w:r>
      <w:r w:rsidRPr="00F14573">
        <w:rPr>
          <w:rFonts w:cstheme="minorHAnsi"/>
          <w:i/>
          <w:iCs/>
        </w:rPr>
        <w:t>y</w:t>
      </w:r>
      <w:r w:rsidRPr="00F14573">
        <w:rPr>
          <w:rFonts w:cstheme="minorHAnsi"/>
        </w:rPr>
        <w:t>)</w:t>
      </w:r>
      <w:r w:rsidRPr="00F14573">
        <w:rPr>
          <w:rFonts w:cstheme="minorHAnsi"/>
          <w:i/>
          <w:iCs/>
        </w:rPr>
        <w:t>dy</w:t>
      </w:r>
      <w:r w:rsidRPr="00F14573">
        <w:rPr>
          <w:rFonts w:cstheme="minorHAnsi"/>
        </w:rPr>
        <w:t>, before being able to impact ionize. (</w:t>
      </w:r>
      <w:r w:rsidRPr="00F14573">
        <w:rPr>
          <w:rFonts w:cstheme="minorHAnsi"/>
          <w:i/>
          <w:iCs/>
        </w:rPr>
        <w:t>de</w:t>
      </w:r>
      <w:r w:rsidRPr="00F14573">
        <w:rPr>
          <w:rFonts w:cstheme="minorHAnsi"/>
        </w:rPr>
        <w:t xml:space="preserve">0 is set to zero if </w:t>
      </w:r>
      <w:r w:rsidRPr="00F14573">
        <w:rPr>
          <w:rFonts w:cstheme="minorHAnsi"/>
          <w:i/>
          <w:iCs/>
        </w:rPr>
        <w:t>E</w:t>
      </w:r>
      <w:r w:rsidRPr="00F14573">
        <w:rPr>
          <w:rFonts w:cstheme="minorHAnsi"/>
        </w:rPr>
        <w:t>0≥</w:t>
      </w:r>
      <w:r w:rsidRPr="00F14573">
        <w:rPr>
          <w:rFonts w:cstheme="minorHAnsi"/>
          <w:i/>
          <w:iCs/>
        </w:rPr>
        <w:t>Eie</w:t>
      </w:r>
      <w:r w:rsidRPr="00F14573">
        <w:rPr>
          <w:rFonts w:cstheme="minorHAnsi"/>
        </w:rPr>
        <w:t xml:space="preserve">.) Furthermore, according to the hard-threshold dead-space multiplication model, the probability density function (pdf) of the distance </w:t>
      </w:r>
      <w:r w:rsidRPr="00F14573">
        <w:rPr>
          <w:rFonts w:cstheme="minorHAnsi"/>
          <w:i/>
          <w:iCs/>
        </w:rPr>
        <w:t>ξ</w:t>
      </w:r>
      <w:r w:rsidRPr="00F14573">
        <w:rPr>
          <w:rFonts w:cstheme="minorHAnsi"/>
        </w:rPr>
        <w:t xml:space="preserve"> to the first impact ionization for the initial carrier is given by [11]</w:t>
      </w:r>
    </w:p>
    <w:p w14:paraId="47123D84" w14:textId="11015EB2" w:rsidR="00BB08CB" w:rsidRPr="005570EA" w:rsidRDefault="00BA669E" w:rsidP="00F14573">
      <w:pPr>
        <w:rPr>
          <w:rFonts w:cstheme="minorHAnsi"/>
          <w:iCs/>
        </w:rPr>
      </w:pPr>
      <m:oMathPara>
        <m:oMath>
          <m:m>
            <m:mPr>
              <m:plcHide m:val="1"/>
              <m:mcs>
                <m:mc>
                  <m:mcPr>
                    <m:count m:val="1"/>
                    <m:mcJc m:val="center"/>
                  </m:mcPr>
                </m:mc>
              </m:mcs>
              <m:ctrlPr>
                <w:rPr>
                  <w:rFonts w:ascii="Cambria Math" w:hAnsi="Cambria Math" w:cstheme="minorHAnsi"/>
                  <w:iCs/>
                </w:rPr>
              </m:ctrlPr>
            </m:mPr>
            <m:mr>
              <m:e>
                <m:sSub>
                  <m:sSubPr>
                    <m:ctrlPr>
                      <w:rPr>
                        <w:rFonts w:ascii="Cambria Math" w:hAnsi="Cambria Math" w:cstheme="minorHAnsi"/>
                        <w:iCs/>
                      </w:rPr>
                    </m:ctrlPr>
                  </m:sSubPr>
                  <m:e>
                    <m:r>
                      <w:rPr>
                        <w:rFonts w:ascii="Cambria Math" w:hAnsi="Cambria Math" w:cstheme="minorHAnsi"/>
                      </w:rPr>
                      <m:t>h</m:t>
                    </m:r>
                  </m:e>
                  <m:sub>
                    <m:sSub>
                      <m:sSubPr>
                        <m:ctrlPr>
                          <w:rPr>
                            <w:rFonts w:ascii="Cambria Math" w:hAnsi="Cambria Math" w:cstheme="minorHAnsi"/>
                            <w:iCs/>
                          </w:rPr>
                        </m:ctrlPr>
                      </m:sSubPr>
                      <m:e>
                        <m:r>
                          <w:rPr>
                            <w:rFonts w:ascii="Cambria Math" w:hAnsi="Cambria Math" w:cstheme="minorHAnsi"/>
                          </w:rPr>
                          <m:t>e</m:t>
                        </m:r>
                      </m:e>
                      <m:sub>
                        <m:r>
                          <w:rPr>
                            <w:rFonts w:ascii="Cambria Math" w:hAnsi="Cambria Math" w:cstheme="minorHAnsi"/>
                          </w:rPr>
                          <m:t>0</m:t>
                        </m:r>
                      </m:sub>
                    </m:sSub>
                  </m:sub>
                </m:sSub>
                <m:r>
                  <w:rPr>
                    <w:rFonts w:ascii="Cambria Math" w:hAnsi="Cambria Math" w:cstheme="minorHAnsi"/>
                  </w:rPr>
                  <m:t>(ξ)={</m:t>
                </m:r>
                <m:m>
                  <m:mPr>
                    <m:plcHide m:val="1"/>
                    <m:mcs>
                      <m:mc>
                        <m:mcPr>
                          <m:count m:val="2"/>
                          <m:mcJc m:val="center"/>
                        </m:mcPr>
                      </m:mc>
                    </m:mcs>
                    <m:ctrlPr>
                      <w:rPr>
                        <w:rFonts w:ascii="Cambria Math" w:hAnsi="Cambria Math" w:cstheme="minorHAnsi"/>
                        <w:iCs/>
                      </w:rPr>
                    </m:ctrlPr>
                  </m:mPr>
                  <m:mr>
                    <m:e>
                      <m:r>
                        <w:rPr>
                          <w:rFonts w:ascii="Cambria Math" w:hAnsi="Cambria Math" w:cstheme="minorHAnsi"/>
                        </w:rPr>
                        <m:t>α(ξ)</m:t>
                      </m:r>
                      <m:r>
                        <m:rPr>
                          <m:sty m:val="p"/>
                        </m:rPr>
                        <w:rPr>
                          <w:rFonts w:ascii="Cambria Math" w:hAnsi="Cambria Math" w:cstheme="minorHAnsi"/>
                        </w:rPr>
                        <m:t>exp</m:t>
                      </m:r>
                      <m:r>
                        <w:rPr>
                          <w:rFonts w:ascii="Cambria Math" w:hAnsi="Cambria Math" w:cstheme="minorHAnsi"/>
                        </w:rPr>
                        <m:t>⁡(-</m:t>
                      </m:r>
                      <m:nary>
                        <m:naryPr>
                          <m:limLoc m:val="subSup"/>
                          <m:grow m:val="1"/>
                          <m:ctrlPr>
                            <w:rPr>
                              <w:rFonts w:ascii="Cambria Math" w:hAnsi="Cambria Math" w:cstheme="minorHAnsi"/>
                              <w:iCs/>
                            </w:rPr>
                          </m:ctrlPr>
                        </m:naryPr>
                        <m:sub>
                          <m:sSub>
                            <m:sSubPr>
                              <m:ctrlPr>
                                <w:rPr>
                                  <w:rFonts w:ascii="Cambria Math" w:hAnsi="Cambria Math" w:cstheme="minorHAnsi"/>
                                  <w:iCs/>
                                </w:rPr>
                              </m:ctrlPr>
                            </m:sSubPr>
                            <m:e>
                              <m:r>
                                <w:rPr>
                                  <w:rFonts w:ascii="Cambria Math" w:hAnsi="Cambria Math" w:cstheme="minorHAnsi"/>
                                </w:rPr>
                                <m:t>d</m:t>
                              </m:r>
                            </m:e>
                            <m:sub>
                              <m:sSub>
                                <m:sSubPr>
                                  <m:ctrlPr>
                                    <w:rPr>
                                      <w:rFonts w:ascii="Cambria Math" w:hAnsi="Cambria Math" w:cstheme="minorHAnsi"/>
                                      <w:iCs/>
                                    </w:rPr>
                                  </m:ctrlPr>
                                </m:sSubPr>
                                <m:e>
                                  <m:r>
                                    <w:rPr>
                                      <w:rFonts w:ascii="Cambria Math" w:hAnsi="Cambria Math" w:cstheme="minorHAnsi"/>
                                    </w:rPr>
                                    <m:t>e</m:t>
                                  </m:r>
                                </m:e>
                                <m:sub>
                                  <m:r>
                                    <w:rPr>
                                      <w:rFonts w:ascii="Cambria Math" w:hAnsi="Cambria Math" w:cstheme="minorHAnsi"/>
                                    </w:rPr>
                                    <m:t>0</m:t>
                                  </m:r>
                                </m:sub>
                              </m:sSub>
                            </m:sub>
                          </m:sSub>
                        </m:sub>
                        <m:sup>
                          <m:r>
                            <w:rPr>
                              <w:rFonts w:ascii="Cambria Math" w:hAnsi="Cambria Math" w:cstheme="minorHAnsi"/>
                            </w:rPr>
                            <m:t>ξ</m:t>
                          </m:r>
                        </m:sup>
                        <m:e>
                          <m:r>
                            <w:rPr>
                              <w:rFonts w:ascii="Cambria Math" w:hAnsi="Cambria Math" w:cstheme="minorHAnsi"/>
                            </w:rPr>
                            <m:t>(y)dy)</m:t>
                          </m:r>
                        </m:e>
                      </m:nary>
                      <m:r>
                        <w:rPr>
                          <w:rFonts w:ascii="Cambria Math" w:hAnsi="Cambria Math" w:cstheme="minorHAnsi"/>
                        </w:rPr>
                        <m:t>α,</m:t>
                      </m:r>
                    </m:e>
                    <m:e>
                      <m:r>
                        <w:rPr>
                          <w:rFonts w:ascii="Cambria Math" w:hAnsi="Cambria Math" w:cstheme="minorHAnsi"/>
                        </w:rPr>
                        <m:t>ξ≥</m:t>
                      </m:r>
                      <m:sSub>
                        <m:sSubPr>
                          <m:ctrlPr>
                            <w:rPr>
                              <w:rFonts w:ascii="Cambria Math" w:hAnsi="Cambria Math" w:cstheme="minorHAnsi"/>
                              <w:iCs/>
                            </w:rPr>
                          </m:ctrlPr>
                        </m:sSubPr>
                        <m:e>
                          <m:r>
                            <w:rPr>
                              <w:rFonts w:ascii="Cambria Math" w:hAnsi="Cambria Math" w:cstheme="minorHAnsi"/>
                            </w:rPr>
                            <m:t>d</m:t>
                          </m:r>
                        </m:e>
                        <m:sub>
                          <m:sSub>
                            <m:sSubPr>
                              <m:ctrlPr>
                                <w:rPr>
                                  <w:rFonts w:ascii="Cambria Math" w:hAnsi="Cambria Math" w:cstheme="minorHAnsi"/>
                                  <w:iCs/>
                                </w:rPr>
                              </m:ctrlPr>
                            </m:sSubPr>
                            <m:e>
                              <m:r>
                                <w:rPr>
                                  <w:rFonts w:ascii="Cambria Math" w:hAnsi="Cambria Math" w:cstheme="minorHAnsi"/>
                                </w:rPr>
                                <m:t>e</m:t>
                              </m:r>
                            </m:e>
                            <m:sub>
                              <m:r>
                                <w:rPr>
                                  <w:rFonts w:ascii="Cambria Math" w:hAnsi="Cambria Math" w:cstheme="minorHAnsi"/>
                                </w:rPr>
                                <m:t>0</m:t>
                              </m:r>
                            </m:sub>
                          </m:sSub>
                        </m:sub>
                      </m:sSub>
                    </m:e>
                  </m:mr>
                  <m:mr>
                    <m:e>
                      <m:r>
                        <w:rPr>
                          <w:rFonts w:ascii="Cambria Math" w:hAnsi="Cambria Math" w:cstheme="minorHAnsi"/>
                        </w:rPr>
                        <m:t>0,</m:t>
                      </m:r>
                    </m:e>
                    <m:e>
                      <m:r>
                        <w:rPr>
                          <w:rFonts w:ascii="Cambria Math" w:hAnsi="Cambria Math" w:cstheme="minorHAnsi"/>
                        </w:rPr>
                        <m:t>ξ&lt;</m:t>
                      </m:r>
                      <m:sSub>
                        <m:sSubPr>
                          <m:ctrlPr>
                            <w:rPr>
                              <w:rFonts w:ascii="Cambria Math" w:hAnsi="Cambria Math" w:cstheme="minorHAnsi"/>
                              <w:iCs/>
                            </w:rPr>
                          </m:ctrlPr>
                        </m:sSubPr>
                        <m:e>
                          <m:r>
                            <w:rPr>
                              <w:rFonts w:ascii="Cambria Math" w:hAnsi="Cambria Math" w:cstheme="minorHAnsi"/>
                            </w:rPr>
                            <m:t>d</m:t>
                          </m:r>
                        </m:e>
                        <m:sub>
                          <m:sSub>
                            <m:sSubPr>
                              <m:ctrlPr>
                                <w:rPr>
                                  <w:rFonts w:ascii="Cambria Math" w:hAnsi="Cambria Math" w:cstheme="minorHAnsi"/>
                                  <w:iCs/>
                                </w:rPr>
                              </m:ctrlPr>
                            </m:sSubPr>
                            <m:e>
                              <m:r>
                                <w:rPr>
                                  <w:rFonts w:ascii="Cambria Math" w:hAnsi="Cambria Math" w:cstheme="minorHAnsi"/>
                                </w:rPr>
                                <m:t>e</m:t>
                              </m:r>
                            </m:e>
                            <m:sub>
                              <m:r>
                                <w:rPr>
                                  <w:rFonts w:ascii="Cambria Math" w:hAnsi="Cambria Math" w:cstheme="minorHAnsi"/>
                                </w:rPr>
                                <m:t>0</m:t>
                              </m:r>
                            </m:sub>
                          </m:sSub>
                        </m:sub>
                      </m:sSub>
                    </m:e>
                  </m:mr>
                </m:m>
              </m:e>
            </m:mr>
          </m:m>
        </m:oMath>
      </m:oMathPara>
    </w:p>
    <w:p w14:paraId="7C9A90DA" w14:textId="68E0830D" w:rsidR="00CA31CE" w:rsidRPr="005570EA" w:rsidRDefault="00CA31CE" w:rsidP="00CA31CE">
      <w:pPr>
        <w:jc w:val="right"/>
        <w:rPr>
          <w:rFonts w:cstheme="minorHAnsi"/>
        </w:rPr>
      </w:pPr>
      <w:r w:rsidRPr="005570EA">
        <w:rPr>
          <w:rFonts w:cstheme="minorHAnsi"/>
          <w:iCs/>
        </w:rPr>
        <w:t>(1)</w:t>
      </w:r>
    </w:p>
    <w:p w14:paraId="0422B13F" w14:textId="3F0BE9B9" w:rsidR="00F14573" w:rsidRPr="00F14573" w:rsidRDefault="00F14573" w:rsidP="00F14573">
      <w:pPr>
        <w:rPr>
          <w:rFonts w:cstheme="minorHAnsi"/>
        </w:rPr>
      </w:pPr>
      <w:r w:rsidRPr="00F14573">
        <w:rPr>
          <w:rFonts w:cstheme="minorHAnsi"/>
        </w:rPr>
        <w:t xml:space="preserve">where </w:t>
      </w:r>
      <w:r w:rsidRPr="00F14573">
        <w:rPr>
          <w:rFonts w:cstheme="minorHAnsi"/>
          <w:i/>
          <w:iCs/>
        </w:rPr>
        <w:t>α</w:t>
      </w:r>
      <w:r w:rsidRPr="00F14573">
        <w:rPr>
          <w:rFonts w:cstheme="minorHAnsi"/>
        </w:rPr>
        <w:t>(</w:t>
      </w:r>
      <w:r w:rsidRPr="00F14573">
        <w:rPr>
          <w:rFonts w:ascii="Cambria Math" w:hAnsi="Cambria Math" w:cs="Cambria Math"/>
        </w:rPr>
        <w:t>⋅</w:t>
      </w:r>
      <w:r w:rsidRPr="00F14573">
        <w:rPr>
          <w:rFonts w:cstheme="minorHAnsi"/>
        </w:rPr>
        <w:t xml:space="preserve">) is the nonlocalized position-dependent ionization coefficient of electrons, which can be calculated from the electric field through a material-dependent parametric model. Upon ionization, two electrons and a hole with zero initial kinetic energy are generated. Moreover, for an offspring electron, born at </w:t>
      </w:r>
      <w:r w:rsidRPr="00F14573">
        <w:rPr>
          <w:rFonts w:cstheme="minorHAnsi"/>
          <w:i/>
          <w:iCs/>
        </w:rPr>
        <w:t>x</w:t>
      </w:r>
      <w:r w:rsidRPr="00F14573">
        <w:rPr>
          <w:rFonts w:cstheme="minorHAnsi"/>
        </w:rPr>
        <w:t xml:space="preserve"> with zero initial energy, the pdf of the distance </w:t>
      </w:r>
      <w:r w:rsidRPr="00F14573">
        <w:rPr>
          <w:rFonts w:cstheme="minorHAnsi"/>
          <w:i/>
          <w:iCs/>
        </w:rPr>
        <w:t>ξ</w:t>
      </w:r>
      <w:r w:rsidRPr="00F14573">
        <w:rPr>
          <w:rFonts w:cstheme="minorHAnsi"/>
        </w:rPr>
        <w:t xml:space="preserve"> to the first impact ionization is given by [14]</w:t>
      </w:r>
    </w:p>
    <w:p w14:paraId="0FAF53EC" w14:textId="1366FD6A" w:rsidR="00BB08CB" w:rsidRPr="005570EA" w:rsidRDefault="00BA669E" w:rsidP="00F14573">
      <w:pPr>
        <w:rPr>
          <w:rFonts w:cstheme="minorHAnsi"/>
          <w:iCs/>
        </w:rPr>
      </w:pPr>
      <m:oMathPara>
        <m:oMath>
          <m:m>
            <m:mPr>
              <m:plcHide m:val="1"/>
              <m:mcs>
                <m:mc>
                  <m:mcPr>
                    <m:count m:val="1"/>
                    <m:mcJc m:val="center"/>
                  </m:mcPr>
                </m:mc>
                <m:mc>
                  <m:mcPr>
                    <m:count m:val="1"/>
                    <m:mcJc m:val="left"/>
                  </m:mcPr>
                </m:mc>
              </m:mcs>
              <m:ctrlPr>
                <w:rPr>
                  <w:rFonts w:ascii="Cambria Math" w:hAnsi="Cambria Math" w:cstheme="minorHAnsi"/>
                  <w:iCs/>
                </w:rPr>
              </m:ctrlPr>
            </m:mPr>
            <m:mr>
              <m:e/>
              <m:e>
                <m:sSub>
                  <m:sSubPr>
                    <m:ctrlPr>
                      <w:rPr>
                        <w:rFonts w:ascii="Cambria Math" w:hAnsi="Cambria Math" w:cstheme="minorHAnsi"/>
                        <w:iCs/>
                      </w:rPr>
                    </m:ctrlPr>
                  </m:sSubPr>
                  <m:e>
                    <m:r>
                      <w:rPr>
                        <w:rFonts w:ascii="Cambria Math" w:hAnsi="Cambria Math" w:cstheme="minorHAnsi"/>
                      </w:rPr>
                      <m:t>h</m:t>
                    </m:r>
                  </m:e>
                  <m:sub>
                    <m:r>
                      <w:rPr>
                        <w:rFonts w:ascii="Cambria Math" w:hAnsi="Cambria Math" w:cstheme="minorHAnsi"/>
                      </w:rPr>
                      <m:t>e</m:t>
                    </m:r>
                  </m:sub>
                </m:sSub>
                <m:r>
                  <w:rPr>
                    <w:rFonts w:ascii="Cambria Math" w:hAnsi="Cambria Math" w:cstheme="minorHAnsi"/>
                  </w:rPr>
                  <m:t>(ξ|x)</m:t>
                </m:r>
              </m:e>
            </m:mr>
            <m:mr>
              <m:e/>
              <m:e>
                <m:r>
                  <w:rPr>
                    <w:rFonts w:ascii="Cambria Math" w:hAnsi="Cambria Math" w:cstheme="minorHAnsi"/>
                  </w:rPr>
                  <m:t>={</m:t>
                </m:r>
                <m:m>
                  <m:mPr>
                    <m:plcHide m:val="1"/>
                    <m:mcs>
                      <m:mc>
                        <m:mcPr>
                          <m:count m:val="2"/>
                          <m:mcJc m:val="center"/>
                        </m:mcPr>
                      </m:mc>
                    </m:mcs>
                    <m:ctrlPr>
                      <w:rPr>
                        <w:rFonts w:ascii="Cambria Math" w:hAnsi="Cambria Math" w:cstheme="minorHAnsi"/>
                        <w:iCs/>
                      </w:rPr>
                    </m:ctrlPr>
                  </m:mPr>
                  <m:mr>
                    <m:e>
                      <m:r>
                        <w:rPr>
                          <w:rFonts w:ascii="Cambria Math" w:hAnsi="Cambria Math" w:cstheme="minorHAnsi"/>
                        </w:rPr>
                        <m:t>α(x+ξ)</m:t>
                      </m:r>
                      <m:r>
                        <m:rPr>
                          <m:sty m:val="p"/>
                        </m:rPr>
                        <w:rPr>
                          <w:rFonts w:ascii="Cambria Math" w:hAnsi="Cambria Math" w:cstheme="minorHAnsi"/>
                        </w:rPr>
                        <m:t>exp</m:t>
                      </m:r>
                      <m:r>
                        <w:rPr>
                          <w:rFonts w:ascii="Cambria Math" w:hAnsi="Cambria Math" w:cstheme="minorHAnsi"/>
                        </w:rPr>
                        <m:t>⁡(-</m:t>
                      </m:r>
                      <m:nary>
                        <m:naryPr>
                          <m:limLoc m:val="subSup"/>
                          <m:grow m:val="1"/>
                          <m:ctrlPr>
                            <w:rPr>
                              <w:rFonts w:ascii="Cambria Math" w:hAnsi="Cambria Math" w:cstheme="minorHAnsi"/>
                              <w:iCs/>
                            </w:rPr>
                          </m:ctrlPr>
                        </m:naryPr>
                        <m:sub>
                          <m:sSub>
                            <m:sSubPr>
                              <m:ctrlPr>
                                <w:rPr>
                                  <w:rFonts w:ascii="Cambria Math" w:hAnsi="Cambria Math" w:cstheme="minorHAnsi"/>
                                  <w:iCs/>
                                </w:rPr>
                              </m:ctrlPr>
                            </m:sSubPr>
                            <m:e>
                              <m:r>
                                <w:rPr>
                                  <w:rFonts w:ascii="Cambria Math" w:hAnsi="Cambria Math" w:cstheme="minorHAnsi"/>
                                </w:rPr>
                                <m:t>d</m:t>
                              </m:r>
                            </m:e>
                            <m:sub>
                              <m:r>
                                <w:rPr>
                                  <w:rFonts w:ascii="Cambria Math" w:hAnsi="Cambria Math" w:cstheme="minorHAnsi"/>
                                </w:rPr>
                                <m:t>e</m:t>
                              </m:r>
                            </m:sub>
                          </m:sSub>
                          <m:r>
                            <w:rPr>
                              <w:rFonts w:ascii="Cambria Math" w:hAnsi="Cambria Math" w:cstheme="minorHAnsi"/>
                            </w:rPr>
                            <m:t>(x)</m:t>
                          </m:r>
                        </m:sub>
                        <m:sup>
                          <m:r>
                            <w:rPr>
                              <w:rFonts w:ascii="Cambria Math" w:hAnsi="Cambria Math" w:cstheme="minorHAnsi"/>
                            </w:rPr>
                            <m:t>ξ</m:t>
                          </m:r>
                        </m:sup>
                        <m:e>
                          <m:r>
                            <w:rPr>
                              <w:rFonts w:ascii="Cambria Math" w:hAnsi="Cambria Math" w:cstheme="minorHAnsi"/>
                            </w:rPr>
                            <m:t>α(x+y)dy)</m:t>
                          </m:r>
                        </m:e>
                      </m:nary>
                      <m:r>
                        <w:rPr>
                          <w:rFonts w:ascii="Cambria Math" w:hAnsi="Cambria Math" w:cstheme="minorHAnsi"/>
                        </w:rPr>
                        <m:t>,</m:t>
                      </m:r>
                    </m:e>
                    <m:e>
                      <m:r>
                        <w:rPr>
                          <w:rFonts w:ascii="Cambria Math" w:hAnsi="Cambria Math" w:cstheme="minorHAnsi"/>
                        </w:rPr>
                        <m:t>ξ≥</m:t>
                      </m:r>
                      <m:sSub>
                        <m:sSubPr>
                          <m:ctrlPr>
                            <w:rPr>
                              <w:rFonts w:ascii="Cambria Math" w:hAnsi="Cambria Math" w:cstheme="minorHAnsi"/>
                              <w:iCs/>
                            </w:rPr>
                          </m:ctrlPr>
                        </m:sSubPr>
                        <m:e>
                          <m:r>
                            <w:rPr>
                              <w:rFonts w:ascii="Cambria Math" w:hAnsi="Cambria Math" w:cstheme="minorHAnsi"/>
                            </w:rPr>
                            <m:t>d</m:t>
                          </m:r>
                        </m:e>
                        <m:sub>
                          <m:r>
                            <w:rPr>
                              <w:rFonts w:ascii="Cambria Math" w:hAnsi="Cambria Math" w:cstheme="minorHAnsi"/>
                            </w:rPr>
                            <m:t>e</m:t>
                          </m:r>
                        </m:sub>
                      </m:sSub>
                      <m:r>
                        <w:rPr>
                          <w:rFonts w:ascii="Cambria Math" w:hAnsi="Cambria Math" w:cstheme="minorHAnsi"/>
                        </w:rPr>
                        <m:t>(x)</m:t>
                      </m:r>
                    </m:e>
                  </m:mr>
                  <m:mr>
                    <m:e>
                      <m:r>
                        <w:rPr>
                          <w:rFonts w:ascii="Cambria Math" w:hAnsi="Cambria Math" w:cstheme="minorHAnsi"/>
                        </w:rPr>
                        <m:t>0,</m:t>
                      </m:r>
                    </m:e>
                    <m:e>
                      <m:r>
                        <w:rPr>
                          <w:rFonts w:ascii="Cambria Math" w:hAnsi="Cambria Math" w:cstheme="minorHAnsi"/>
                        </w:rPr>
                        <m:t>ξ&lt;</m:t>
                      </m:r>
                      <m:sSub>
                        <m:sSubPr>
                          <m:ctrlPr>
                            <w:rPr>
                              <w:rFonts w:ascii="Cambria Math" w:hAnsi="Cambria Math" w:cstheme="minorHAnsi"/>
                              <w:iCs/>
                            </w:rPr>
                          </m:ctrlPr>
                        </m:sSubPr>
                        <m:e>
                          <m:r>
                            <w:rPr>
                              <w:rFonts w:ascii="Cambria Math" w:hAnsi="Cambria Math" w:cstheme="minorHAnsi"/>
                            </w:rPr>
                            <m:t>d</m:t>
                          </m:r>
                        </m:e>
                        <m:sub>
                          <m:r>
                            <w:rPr>
                              <w:rFonts w:ascii="Cambria Math" w:hAnsi="Cambria Math" w:cstheme="minorHAnsi"/>
                            </w:rPr>
                            <m:t>e</m:t>
                          </m:r>
                        </m:sub>
                      </m:sSub>
                      <m:r>
                        <w:rPr>
                          <w:rFonts w:ascii="Cambria Math" w:hAnsi="Cambria Math" w:cstheme="minorHAnsi"/>
                        </w:rPr>
                        <m:t>(x)</m:t>
                      </m:r>
                    </m:e>
                  </m:mr>
                </m:m>
              </m:e>
            </m:mr>
            <m:mr>
              <m:e/>
              <m:e/>
            </m:mr>
          </m:m>
        </m:oMath>
      </m:oMathPara>
    </w:p>
    <w:p w14:paraId="711486EC" w14:textId="6615CC03" w:rsidR="005D2084" w:rsidRPr="005570EA" w:rsidRDefault="005D2084" w:rsidP="005D2084">
      <w:pPr>
        <w:jc w:val="right"/>
        <w:rPr>
          <w:rFonts w:cstheme="minorHAnsi"/>
        </w:rPr>
      </w:pPr>
      <w:r w:rsidRPr="005570EA">
        <w:rPr>
          <w:rFonts w:cstheme="minorHAnsi"/>
          <w:iCs/>
        </w:rPr>
        <w:t>(2)</w:t>
      </w:r>
    </w:p>
    <w:p w14:paraId="2872F6EC" w14:textId="78D49D9C" w:rsidR="00F14573" w:rsidRPr="00F14573" w:rsidRDefault="00F14573" w:rsidP="00F14573">
      <w:pPr>
        <w:rPr>
          <w:rFonts w:cstheme="minorHAnsi"/>
        </w:rPr>
      </w:pPr>
      <w:r w:rsidRPr="00F14573">
        <w:rPr>
          <w:rFonts w:cstheme="minorHAnsi"/>
        </w:rPr>
        <w:t xml:space="preserve">where </w:t>
      </w:r>
      <w:r w:rsidRPr="00F14573">
        <w:rPr>
          <w:rFonts w:cstheme="minorHAnsi"/>
          <w:i/>
          <w:iCs/>
        </w:rPr>
        <w:t>de</w:t>
      </w:r>
      <w:r w:rsidRPr="00F14573">
        <w:rPr>
          <w:rFonts w:cstheme="minorHAnsi"/>
        </w:rPr>
        <w:t>(</w:t>
      </w:r>
      <w:r w:rsidRPr="00F14573">
        <w:rPr>
          <w:rFonts w:cstheme="minorHAnsi"/>
          <w:i/>
          <w:iCs/>
        </w:rPr>
        <w:t>x</w:t>
      </w:r>
      <w:r w:rsidRPr="00F14573">
        <w:rPr>
          <w:rFonts w:cstheme="minorHAnsi"/>
        </w:rPr>
        <w:t>) is the dead space that it must first travel before being able to impact ionize. A similar argument applies to an offspring hole, in which case the pdf of the distance to the first impact ionization is</w:t>
      </w:r>
    </w:p>
    <w:p w14:paraId="0E501E8E" w14:textId="6D408B8B" w:rsidR="00261EA4" w:rsidRPr="005570EA" w:rsidRDefault="00BA669E" w:rsidP="00F14573">
      <w:pPr>
        <w:rPr>
          <w:rFonts w:cstheme="minorHAnsi"/>
          <w:iCs/>
        </w:rPr>
      </w:pPr>
      <m:oMathPara>
        <m:oMath>
          <m:m>
            <m:mPr>
              <m:plcHide m:val="1"/>
              <m:mcs>
                <m:mc>
                  <m:mcPr>
                    <m:count m:val="1"/>
                    <m:mcJc m:val="center"/>
                  </m:mcPr>
                </m:mc>
                <m:mc>
                  <m:mcPr>
                    <m:count m:val="1"/>
                    <m:mcJc m:val="left"/>
                  </m:mcPr>
                </m:mc>
              </m:mcs>
              <m:ctrlPr>
                <w:rPr>
                  <w:rFonts w:ascii="Cambria Math" w:hAnsi="Cambria Math" w:cstheme="minorHAnsi"/>
                  <w:iCs/>
                </w:rPr>
              </m:ctrlPr>
            </m:mPr>
            <m:mr>
              <m:e/>
              <m:e>
                <m:sSub>
                  <m:sSubPr>
                    <m:ctrlPr>
                      <w:rPr>
                        <w:rFonts w:ascii="Cambria Math" w:hAnsi="Cambria Math" w:cstheme="minorHAnsi"/>
                        <w:iCs/>
                      </w:rPr>
                    </m:ctrlPr>
                  </m:sSubPr>
                  <m:e>
                    <m:r>
                      <w:rPr>
                        <w:rFonts w:ascii="Cambria Math" w:hAnsi="Cambria Math" w:cstheme="minorHAnsi"/>
                      </w:rPr>
                      <m:t>h</m:t>
                    </m:r>
                  </m:e>
                  <m:sub>
                    <m:r>
                      <w:rPr>
                        <w:rFonts w:ascii="Cambria Math" w:hAnsi="Cambria Math" w:cstheme="minorHAnsi"/>
                      </w:rPr>
                      <m:t>h</m:t>
                    </m:r>
                  </m:sub>
                </m:sSub>
                <m:r>
                  <w:rPr>
                    <w:rFonts w:ascii="Cambria Math" w:hAnsi="Cambria Math" w:cstheme="minorHAnsi"/>
                  </w:rPr>
                  <m:t>(ξ|x)</m:t>
                </m:r>
              </m:e>
            </m:mr>
            <m:mr>
              <m:e/>
              <m:e>
                <m:r>
                  <w:rPr>
                    <w:rFonts w:ascii="Cambria Math" w:hAnsi="Cambria Math" w:cstheme="minorHAnsi"/>
                  </w:rPr>
                  <m:t>={</m:t>
                </m:r>
                <m:m>
                  <m:mPr>
                    <m:plcHide m:val="1"/>
                    <m:mcs>
                      <m:mc>
                        <m:mcPr>
                          <m:count m:val="2"/>
                          <m:mcJc m:val="center"/>
                        </m:mcPr>
                      </m:mc>
                    </m:mcs>
                    <m:ctrlPr>
                      <w:rPr>
                        <w:rFonts w:ascii="Cambria Math" w:hAnsi="Cambria Math" w:cstheme="minorHAnsi"/>
                        <w:iCs/>
                      </w:rPr>
                    </m:ctrlPr>
                  </m:mPr>
                  <m:mr>
                    <m:e>
                      <m:r>
                        <w:rPr>
                          <w:rFonts w:ascii="Cambria Math" w:hAnsi="Cambria Math" w:cstheme="minorHAnsi"/>
                        </w:rPr>
                        <m:t>β(x-ξ)</m:t>
                      </m:r>
                      <m:r>
                        <m:rPr>
                          <m:sty m:val="p"/>
                        </m:rPr>
                        <w:rPr>
                          <w:rFonts w:ascii="Cambria Math" w:hAnsi="Cambria Math" w:cstheme="minorHAnsi"/>
                        </w:rPr>
                        <m:t>exp</m:t>
                      </m:r>
                      <m:r>
                        <w:rPr>
                          <w:rFonts w:ascii="Cambria Math" w:hAnsi="Cambria Math" w:cstheme="minorHAnsi"/>
                        </w:rPr>
                        <m:t>⁡(-</m:t>
                      </m:r>
                      <m:nary>
                        <m:naryPr>
                          <m:limLoc m:val="subSup"/>
                          <m:grow m:val="1"/>
                          <m:ctrlPr>
                            <w:rPr>
                              <w:rFonts w:ascii="Cambria Math" w:hAnsi="Cambria Math" w:cstheme="minorHAnsi"/>
                              <w:iCs/>
                            </w:rPr>
                          </m:ctrlPr>
                        </m:naryPr>
                        <m:sub>
                          <m:sSub>
                            <m:sSubPr>
                              <m:ctrlPr>
                                <w:rPr>
                                  <w:rFonts w:ascii="Cambria Math" w:hAnsi="Cambria Math" w:cstheme="minorHAnsi"/>
                                  <w:iCs/>
                                </w:rPr>
                              </m:ctrlPr>
                            </m:sSubPr>
                            <m:e>
                              <m:r>
                                <w:rPr>
                                  <w:rFonts w:ascii="Cambria Math" w:hAnsi="Cambria Math" w:cstheme="minorHAnsi"/>
                                </w:rPr>
                                <m:t>d</m:t>
                              </m:r>
                            </m:e>
                            <m:sub>
                              <m:r>
                                <w:rPr>
                                  <w:rFonts w:ascii="Cambria Math" w:hAnsi="Cambria Math" w:cstheme="minorHAnsi"/>
                                </w:rPr>
                                <m:t>h</m:t>
                              </m:r>
                            </m:sub>
                          </m:sSub>
                          <m:r>
                            <w:rPr>
                              <w:rFonts w:ascii="Cambria Math" w:hAnsi="Cambria Math" w:cstheme="minorHAnsi"/>
                            </w:rPr>
                            <m:t>(x)</m:t>
                          </m:r>
                        </m:sub>
                        <m:sup>
                          <m:r>
                            <w:rPr>
                              <w:rFonts w:ascii="Cambria Math" w:hAnsi="Cambria Math" w:cstheme="minorHAnsi"/>
                            </w:rPr>
                            <m:t>ξ</m:t>
                          </m:r>
                        </m:sup>
                        <m:e>
                          <m:r>
                            <w:rPr>
                              <w:rFonts w:ascii="Cambria Math" w:hAnsi="Cambria Math" w:cstheme="minorHAnsi"/>
                            </w:rPr>
                            <m:t>β(x-y)dy)</m:t>
                          </m:r>
                        </m:e>
                      </m:nary>
                      <m:r>
                        <w:rPr>
                          <w:rFonts w:ascii="Cambria Math" w:hAnsi="Cambria Math" w:cstheme="minorHAnsi"/>
                        </w:rPr>
                        <m:t>,</m:t>
                      </m:r>
                    </m:e>
                    <m:e>
                      <m:r>
                        <w:rPr>
                          <w:rFonts w:ascii="Cambria Math" w:hAnsi="Cambria Math" w:cstheme="minorHAnsi"/>
                        </w:rPr>
                        <m:t>ξ≥</m:t>
                      </m:r>
                      <m:sSub>
                        <m:sSubPr>
                          <m:ctrlPr>
                            <w:rPr>
                              <w:rFonts w:ascii="Cambria Math" w:hAnsi="Cambria Math" w:cstheme="minorHAnsi"/>
                              <w:iCs/>
                            </w:rPr>
                          </m:ctrlPr>
                        </m:sSubPr>
                        <m:e>
                          <m:r>
                            <w:rPr>
                              <w:rFonts w:ascii="Cambria Math" w:hAnsi="Cambria Math" w:cstheme="minorHAnsi"/>
                            </w:rPr>
                            <m:t>d</m:t>
                          </m:r>
                        </m:e>
                        <m:sub>
                          <m:r>
                            <w:rPr>
                              <w:rFonts w:ascii="Cambria Math" w:hAnsi="Cambria Math" w:cstheme="minorHAnsi"/>
                            </w:rPr>
                            <m:t>h</m:t>
                          </m:r>
                        </m:sub>
                      </m:sSub>
                      <m:r>
                        <w:rPr>
                          <w:rFonts w:ascii="Cambria Math" w:hAnsi="Cambria Math" w:cstheme="minorHAnsi"/>
                        </w:rPr>
                        <m:t>(x)</m:t>
                      </m:r>
                    </m:e>
                  </m:mr>
                  <m:mr>
                    <m:e>
                      <m:r>
                        <w:rPr>
                          <w:rFonts w:ascii="Cambria Math" w:hAnsi="Cambria Math" w:cstheme="minorHAnsi"/>
                        </w:rPr>
                        <m:t>0,</m:t>
                      </m:r>
                    </m:e>
                    <m:e>
                      <m:r>
                        <w:rPr>
                          <w:rFonts w:ascii="Cambria Math" w:hAnsi="Cambria Math" w:cstheme="minorHAnsi"/>
                        </w:rPr>
                        <m:t>ξ&lt;</m:t>
                      </m:r>
                      <m:sSub>
                        <m:sSubPr>
                          <m:ctrlPr>
                            <w:rPr>
                              <w:rFonts w:ascii="Cambria Math" w:hAnsi="Cambria Math" w:cstheme="minorHAnsi"/>
                              <w:iCs/>
                            </w:rPr>
                          </m:ctrlPr>
                        </m:sSubPr>
                        <m:e>
                          <m:r>
                            <w:rPr>
                              <w:rFonts w:ascii="Cambria Math" w:hAnsi="Cambria Math" w:cstheme="minorHAnsi"/>
                            </w:rPr>
                            <m:t>d</m:t>
                          </m:r>
                        </m:e>
                        <m:sub>
                          <m:r>
                            <w:rPr>
                              <w:rFonts w:ascii="Cambria Math" w:hAnsi="Cambria Math" w:cstheme="minorHAnsi"/>
                            </w:rPr>
                            <m:t>h</m:t>
                          </m:r>
                        </m:sub>
                      </m:sSub>
                      <m:r>
                        <w:rPr>
                          <w:rFonts w:ascii="Cambria Math" w:hAnsi="Cambria Math" w:cstheme="minorHAnsi"/>
                        </w:rPr>
                        <m:t>(x)</m:t>
                      </m:r>
                    </m:e>
                  </m:mr>
                </m:m>
              </m:e>
            </m:mr>
            <m:mr>
              <m:e/>
              <m:e/>
            </m:mr>
          </m:m>
        </m:oMath>
      </m:oMathPara>
    </w:p>
    <w:p w14:paraId="60364862" w14:textId="1726677B" w:rsidR="005D2084" w:rsidRPr="005570EA" w:rsidRDefault="005D2084" w:rsidP="005D2084">
      <w:pPr>
        <w:jc w:val="right"/>
        <w:rPr>
          <w:rFonts w:cstheme="minorHAnsi"/>
        </w:rPr>
      </w:pPr>
      <w:r w:rsidRPr="005570EA">
        <w:rPr>
          <w:rFonts w:cstheme="minorHAnsi"/>
          <w:iCs/>
        </w:rPr>
        <w:t>(3)</w:t>
      </w:r>
    </w:p>
    <w:p w14:paraId="4C761F52" w14:textId="695F7674" w:rsidR="00F14573" w:rsidRPr="00F14573" w:rsidRDefault="00F14573" w:rsidP="00F14573">
      <w:pPr>
        <w:rPr>
          <w:rFonts w:cstheme="minorHAnsi"/>
        </w:rPr>
      </w:pPr>
      <w:r w:rsidRPr="00F14573">
        <w:rPr>
          <w:rFonts w:cstheme="minorHAnsi"/>
        </w:rPr>
        <w:t xml:space="preserve">where </w:t>
      </w:r>
      <w:r w:rsidRPr="00F14573">
        <w:rPr>
          <w:rFonts w:cstheme="minorHAnsi"/>
          <w:i/>
          <w:iCs/>
        </w:rPr>
        <w:t>dh</w:t>
      </w:r>
      <w:r w:rsidRPr="00F14573">
        <w:rPr>
          <w:rFonts w:cstheme="minorHAnsi"/>
        </w:rPr>
        <w:t>(</w:t>
      </w:r>
      <w:r w:rsidRPr="00F14573">
        <w:rPr>
          <w:rFonts w:cstheme="minorHAnsi"/>
          <w:i/>
          <w:iCs/>
        </w:rPr>
        <w:t>x</w:t>
      </w:r>
      <w:r w:rsidRPr="00F14573">
        <w:rPr>
          <w:rFonts w:cstheme="minorHAnsi"/>
        </w:rPr>
        <w:t xml:space="preserve">) is dead space associated with a hole born at </w:t>
      </w:r>
      <w:r w:rsidRPr="00F14573">
        <w:rPr>
          <w:rFonts w:cstheme="minorHAnsi"/>
          <w:i/>
          <w:iCs/>
        </w:rPr>
        <w:t>x</w:t>
      </w:r>
      <w:r w:rsidRPr="00F14573">
        <w:rPr>
          <w:rFonts w:cstheme="minorHAnsi"/>
        </w:rPr>
        <w:t>. In [11], we describe how the dead-space profiles can be computed for a heterostructure. In the above model for ionization, we assumed that the value of the ionization coefficient beyond the dead space is dependent only on the material and the local electric field. A more realistic (but much more complex) model would consider the value to be a function of the history of the carrier. Despite its simplicity, when the above model is used in conjunction with the recurrence technique [1], [14], it has proven to be effective in predicting the low-noise behavior of thin APDs independently of the thickness of the multiplication region.</w:t>
      </w:r>
    </w:p>
    <w:p w14:paraId="6A9C63C7" w14:textId="0536C3F4" w:rsidR="00F14573" w:rsidRPr="005570EA" w:rsidRDefault="00F14573" w:rsidP="00F14573">
      <w:pPr>
        <w:rPr>
          <w:rFonts w:cstheme="minorHAnsi"/>
        </w:rPr>
      </w:pPr>
      <w:r w:rsidRPr="00F14573">
        <w:rPr>
          <w:rFonts w:cstheme="minorHAnsi"/>
        </w:rPr>
        <w:t xml:space="preserve">We now characterize the breakdown probability. Following the notation introduced in [1], let </w:t>
      </w:r>
      <w:r w:rsidRPr="00F14573">
        <w:rPr>
          <w:rFonts w:cstheme="minorHAnsi"/>
          <w:i/>
          <w:iCs/>
        </w:rPr>
        <w:t>Z</w:t>
      </w:r>
      <w:r w:rsidRPr="00F14573">
        <w:rPr>
          <w:rFonts w:cstheme="minorHAnsi"/>
        </w:rPr>
        <w:t>(</w:t>
      </w:r>
      <w:r w:rsidRPr="00F14573">
        <w:rPr>
          <w:rFonts w:cstheme="minorHAnsi"/>
          <w:i/>
          <w:iCs/>
        </w:rPr>
        <w:t>x</w:t>
      </w:r>
      <w:r w:rsidRPr="00F14573">
        <w:rPr>
          <w:rFonts w:cstheme="minorHAnsi"/>
        </w:rPr>
        <w:t xml:space="preserve">) denote the total electron and hole population resulting from a parent electron born at </w:t>
      </w:r>
      <w:r w:rsidRPr="00F14573">
        <w:rPr>
          <w:rFonts w:cstheme="minorHAnsi"/>
          <w:i/>
          <w:iCs/>
        </w:rPr>
        <w:t>x</w:t>
      </w:r>
      <w:r w:rsidRPr="00F14573">
        <w:rPr>
          <w:rFonts w:cstheme="minorHAnsi"/>
        </w:rPr>
        <w:t xml:space="preserve"> with zero initial energy. Similarly, let </w:t>
      </w:r>
      <w:r w:rsidRPr="00F14573">
        <w:rPr>
          <w:rFonts w:cstheme="minorHAnsi"/>
          <w:i/>
          <w:iCs/>
        </w:rPr>
        <w:t>Y</w:t>
      </w:r>
      <w:r w:rsidRPr="00F14573">
        <w:rPr>
          <w:rFonts w:cstheme="minorHAnsi"/>
        </w:rPr>
        <w:t>(</w:t>
      </w:r>
      <w:r w:rsidRPr="00F14573">
        <w:rPr>
          <w:rFonts w:cstheme="minorHAnsi"/>
          <w:i/>
          <w:iCs/>
        </w:rPr>
        <w:t>x</w:t>
      </w:r>
      <w:r w:rsidRPr="00F14573">
        <w:rPr>
          <w:rFonts w:cstheme="minorHAnsi"/>
        </w:rPr>
        <w:t xml:space="preserve">) denote the total electron and hole population resulting from a parent hole born at </w:t>
      </w:r>
      <w:r w:rsidRPr="00F14573">
        <w:rPr>
          <w:rFonts w:cstheme="minorHAnsi"/>
          <w:i/>
          <w:iCs/>
        </w:rPr>
        <w:t>x</w:t>
      </w:r>
      <w:r w:rsidRPr="00F14573">
        <w:rPr>
          <w:rFonts w:cstheme="minorHAnsi"/>
        </w:rPr>
        <w:t xml:space="preserve">. Thus, for the case of electron injection (at </w:t>
      </w:r>
      <w:r w:rsidRPr="00F14573">
        <w:rPr>
          <w:rFonts w:cstheme="minorHAnsi"/>
          <w:i/>
          <w:iCs/>
        </w:rPr>
        <w:t>x</w:t>
      </w:r>
      <w:r w:rsidRPr="00F14573">
        <w:rPr>
          <w:rFonts w:cstheme="minorHAnsi"/>
        </w:rPr>
        <w:t xml:space="preserve">=0), the APD gain </w:t>
      </w:r>
      <w:r w:rsidRPr="00F14573">
        <w:rPr>
          <w:rFonts w:cstheme="minorHAnsi"/>
          <w:i/>
          <w:iCs/>
        </w:rPr>
        <w:t>G</w:t>
      </w:r>
      <w:r w:rsidRPr="00F14573">
        <w:rPr>
          <w:rFonts w:cstheme="minorHAnsi"/>
        </w:rPr>
        <w:t xml:space="preserve"> is given by 0.5(</w:t>
      </w:r>
      <w:r w:rsidRPr="00F14573">
        <w:rPr>
          <w:rFonts w:cstheme="minorHAnsi"/>
          <w:i/>
          <w:iCs/>
        </w:rPr>
        <w:t>Z</w:t>
      </w:r>
      <w:r w:rsidRPr="00F14573">
        <w:rPr>
          <w:rFonts w:cstheme="minorHAnsi"/>
        </w:rPr>
        <w:t xml:space="preserve">(0)+1). Let </w:t>
      </w:r>
      <w:r w:rsidRPr="00F14573">
        <w:rPr>
          <w:rFonts w:cstheme="minorHAnsi"/>
          <w:i/>
          <w:iCs/>
        </w:rPr>
        <w:t>PZ</w:t>
      </w:r>
      <w:r w:rsidRPr="00F14573">
        <w:rPr>
          <w:rFonts w:cstheme="minorHAnsi"/>
        </w:rPr>
        <w:t>(</w:t>
      </w:r>
      <w:r w:rsidRPr="00F14573">
        <w:rPr>
          <w:rFonts w:cstheme="minorHAnsi"/>
          <w:i/>
          <w:iCs/>
        </w:rPr>
        <w:t>x</w:t>
      </w:r>
      <w:r w:rsidRPr="00F14573">
        <w:rPr>
          <w:rFonts w:cstheme="minorHAnsi"/>
        </w:rPr>
        <w:t xml:space="preserve">) be defined as the probability that </w:t>
      </w:r>
      <w:r w:rsidRPr="00F14573">
        <w:rPr>
          <w:rFonts w:cstheme="minorHAnsi"/>
          <w:i/>
          <w:iCs/>
        </w:rPr>
        <w:t>Z</w:t>
      </w:r>
      <w:r w:rsidRPr="00F14573">
        <w:rPr>
          <w:rFonts w:cstheme="minorHAnsi"/>
        </w:rPr>
        <w:t>(</w:t>
      </w:r>
      <w:r w:rsidRPr="00F14573">
        <w:rPr>
          <w:rFonts w:cstheme="minorHAnsi"/>
          <w:i/>
          <w:iCs/>
        </w:rPr>
        <w:t>x</w:t>
      </w:r>
      <w:r w:rsidRPr="00F14573">
        <w:rPr>
          <w:rFonts w:cstheme="minorHAnsi"/>
        </w:rPr>
        <w:t xml:space="preserve">) is finite, and similarly, let </w:t>
      </w:r>
      <w:r w:rsidRPr="00F14573">
        <w:rPr>
          <w:rFonts w:cstheme="minorHAnsi"/>
          <w:i/>
          <w:iCs/>
        </w:rPr>
        <w:t>PY</w:t>
      </w:r>
      <w:r w:rsidRPr="00F14573">
        <w:rPr>
          <w:rFonts w:cstheme="minorHAnsi"/>
        </w:rPr>
        <w:t>(</w:t>
      </w:r>
      <w:r w:rsidRPr="00F14573">
        <w:rPr>
          <w:rFonts w:cstheme="minorHAnsi"/>
          <w:i/>
          <w:iCs/>
        </w:rPr>
        <w:t>x</w:t>
      </w:r>
      <w:r w:rsidRPr="00F14573">
        <w:rPr>
          <w:rFonts w:cstheme="minorHAnsi"/>
        </w:rPr>
        <w:t>)P{</w:t>
      </w:r>
      <w:r w:rsidRPr="00F14573">
        <w:rPr>
          <w:rFonts w:cstheme="minorHAnsi"/>
          <w:i/>
          <w:iCs/>
        </w:rPr>
        <w:t>Y</w:t>
      </w:r>
      <w:r w:rsidRPr="00F14573">
        <w:rPr>
          <w:rFonts w:cstheme="minorHAnsi"/>
        </w:rPr>
        <w:t>(</w:t>
      </w:r>
      <w:r w:rsidRPr="00F14573">
        <w:rPr>
          <w:rFonts w:cstheme="minorHAnsi"/>
          <w:i/>
          <w:iCs/>
        </w:rPr>
        <w:t>x</w:t>
      </w:r>
      <w:r w:rsidRPr="00F14573">
        <w:rPr>
          <w:rFonts w:cstheme="minorHAnsi"/>
        </w:rPr>
        <w:t xml:space="preserve">)&lt;∞}. McIntyre invoked a recurrence argument and characterized </w:t>
      </w:r>
      <w:r w:rsidRPr="00F14573">
        <w:rPr>
          <w:rFonts w:cstheme="minorHAnsi"/>
          <w:i/>
          <w:iCs/>
        </w:rPr>
        <w:t>PZ</w:t>
      </w:r>
      <w:r w:rsidRPr="00F14573">
        <w:rPr>
          <w:rFonts w:cstheme="minorHAnsi"/>
        </w:rPr>
        <w:t xml:space="preserve"> and </w:t>
      </w:r>
      <w:r w:rsidRPr="00F14573">
        <w:rPr>
          <w:rFonts w:cstheme="minorHAnsi"/>
          <w:i/>
          <w:iCs/>
        </w:rPr>
        <w:t>PY</w:t>
      </w:r>
      <w:r w:rsidRPr="00F14573">
        <w:rPr>
          <w:rFonts w:cstheme="minorHAnsi"/>
        </w:rPr>
        <w:t xml:space="preserve"> through the following two nonlinear integral equations [7]:</w:t>
      </w:r>
    </w:p>
    <w:p w14:paraId="21080E28" w14:textId="57AD001B" w:rsidR="005D2084" w:rsidRPr="00F14573" w:rsidRDefault="005D2084" w:rsidP="005D2084">
      <w:pPr>
        <w:jc w:val="right"/>
        <w:rPr>
          <w:rFonts w:cstheme="minorHAnsi"/>
        </w:rPr>
      </w:pPr>
      <w:r w:rsidRPr="005570EA">
        <w:rPr>
          <w:rFonts w:cstheme="minorHAnsi"/>
        </w:rPr>
        <w:t>(4)</w:t>
      </w:r>
    </w:p>
    <w:p w14:paraId="53EBA511" w14:textId="407A48DA" w:rsidR="00B76C7C" w:rsidRPr="005570EA" w:rsidRDefault="00BA669E" w:rsidP="00F14573">
      <w:pPr>
        <w:rPr>
          <w:rFonts w:cstheme="minorHAnsi"/>
          <w:iCs/>
        </w:rPr>
      </w:pPr>
      <m:oMathPara>
        <m:oMath>
          <m:m>
            <m:mPr>
              <m:plcHide m:val="1"/>
              <m:mcs>
                <m:mc>
                  <m:mcPr>
                    <m:count m:val="2"/>
                    <m:mcJc m:val="center"/>
                  </m:mcPr>
                </m:mc>
              </m:mcs>
              <m:ctrlPr>
                <w:rPr>
                  <w:rFonts w:ascii="Cambria Math" w:hAnsi="Cambria Math" w:cstheme="minorHAnsi"/>
                  <w:iCs/>
                </w:rPr>
              </m:ctrlPr>
            </m:mPr>
            <m:mr>
              <m:e>
                <m:sSub>
                  <m:sSubPr>
                    <m:ctrlPr>
                      <w:rPr>
                        <w:rFonts w:ascii="Cambria Math" w:hAnsi="Cambria Math" w:cstheme="minorHAnsi"/>
                        <w:iCs/>
                      </w:rPr>
                    </m:ctrlPr>
                  </m:sSubPr>
                  <m:e>
                    <m:r>
                      <w:rPr>
                        <w:rFonts w:ascii="Cambria Math" w:hAnsi="Cambria Math" w:cstheme="minorHAnsi"/>
                      </w:rPr>
                      <m:t>P</m:t>
                    </m:r>
                  </m:e>
                  <m:sub>
                    <m:r>
                      <w:rPr>
                        <w:rFonts w:ascii="Cambria Math" w:hAnsi="Cambria Math" w:cstheme="minorHAnsi"/>
                      </w:rPr>
                      <m:t>Z</m:t>
                    </m:r>
                  </m:sub>
                </m:sSub>
                <m:r>
                  <w:rPr>
                    <w:rFonts w:ascii="Cambria Math" w:hAnsi="Cambria Math" w:cstheme="minorHAnsi"/>
                  </w:rPr>
                  <m:t>(x)=</m:t>
                </m:r>
              </m:e>
              <m:e>
                <m:nary>
                  <m:naryPr>
                    <m:limLoc m:val="subSup"/>
                    <m:grow m:val="1"/>
                    <m:ctrlPr>
                      <w:rPr>
                        <w:rFonts w:ascii="Cambria Math" w:hAnsi="Cambria Math" w:cstheme="minorHAnsi"/>
                        <w:iCs/>
                      </w:rPr>
                    </m:ctrlPr>
                  </m:naryPr>
                  <m:sub>
                    <m:r>
                      <w:rPr>
                        <w:rFonts w:ascii="Cambria Math" w:hAnsi="Cambria Math" w:cstheme="minorHAnsi"/>
                      </w:rPr>
                      <m:t>w-x</m:t>
                    </m:r>
                  </m:sub>
                  <m:sup>
                    <m:r>
                      <m:rPr>
                        <m:sty m:val="p"/>
                      </m:rPr>
                      <w:rPr>
                        <w:rFonts w:ascii="Cambria Math" w:hAnsi="Cambria Math" w:cstheme="minorHAnsi"/>
                      </w:rPr>
                      <m:t>∞</m:t>
                    </m:r>
                  </m:sup>
                  <m:e>
                    <m:sSub>
                      <m:sSubPr>
                        <m:ctrlPr>
                          <w:rPr>
                            <w:rFonts w:ascii="Cambria Math" w:hAnsi="Cambria Math" w:cstheme="minorHAnsi"/>
                            <w:iCs/>
                          </w:rPr>
                        </m:ctrlPr>
                      </m:sSubPr>
                      <m:e>
                        <m:r>
                          <w:rPr>
                            <w:rFonts w:ascii="Cambria Math" w:hAnsi="Cambria Math" w:cstheme="minorHAnsi"/>
                          </w:rPr>
                          <m:t>h</m:t>
                        </m:r>
                      </m:e>
                      <m:sub>
                        <m:r>
                          <w:rPr>
                            <w:rFonts w:ascii="Cambria Math" w:hAnsi="Cambria Math" w:cstheme="minorHAnsi"/>
                          </w:rPr>
                          <m:t>e</m:t>
                        </m:r>
                      </m:sub>
                    </m:sSub>
                    <m:r>
                      <w:rPr>
                        <w:rFonts w:ascii="Cambria Math" w:hAnsi="Cambria Math" w:cstheme="minorHAnsi"/>
                      </w:rPr>
                      <m:t>(ξ|x)dξ+</m:t>
                    </m:r>
                    <m:nary>
                      <m:naryPr>
                        <m:limLoc m:val="subSup"/>
                        <m:grow m:val="1"/>
                        <m:ctrlPr>
                          <w:rPr>
                            <w:rFonts w:ascii="Cambria Math" w:hAnsi="Cambria Math" w:cstheme="minorHAnsi"/>
                            <w:iCs/>
                          </w:rPr>
                        </m:ctrlPr>
                      </m:naryPr>
                      <m:sub>
                        <m:r>
                          <w:rPr>
                            <w:rFonts w:ascii="Cambria Math" w:hAnsi="Cambria Math" w:cstheme="minorHAnsi"/>
                          </w:rPr>
                          <m:t>0</m:t>
                        </m:r>
                      </m:sub>
                      <m:sup>
                        <m:r>
                          <w:rPr>
                            <w:rFonts w:ascii="Cambria Math" w:hAnsi="Cambria Math" w:cstheme="minorHAnsi"/>
                          </w:rPr>
                          <m:t>w-x</m:t>
                        </m:r>
                      </m:sup>
                      <m:e>
                        <m:sSubSup>
                          <m:sSubSupPr>
                            <m:ctrlPr>
                              <w:rPr>
                                <w:rFonts w:ascii="Cambria Math" w:hAnsi="Cambria Math" w:cstheme="minorHAnsi"/>
                                <w:iCs/>
                              </w:rPr>
                            </m:ctrlPr>
                          </m:sSubSupPr>
                          <m:e>
                            <m:r>
                              <w:rPr>
                                <w:rFonts w:ascii="Cambria Math" w:hAnsi="Cambria Math" w:cstheme="minorHAnsi"/>
                              </w:rPr>
                              <m:t>P</m:t>
                            </m:r>
                          </m:e>
                          <m:sub>
                            <m:r>
                              <w:rPr>
                                <w:rFonts w:ascii="Cambria Math" w:hAnsi="Cambria Math" w:cstheme="minorHAnsi"/>
                              </w:rPr>
                              <m:t>Z</m:t>
                            </m:r>
                          </m:sub>
                          <m:sup>
                            <m:r>
                              <w:rPr>
                                <w:rFonts w:ascii="Cambria Math" w:hAnsi="Cambria Math" w:cstheme="minorHAnsi"/>
                              </w:rPr>
                              <m:t>2</m:t>
                            </m:r>
                          </m:sup>
                        </m:sSubSup>
                        <m:r>
                          <w:rPr>
                            <w:rFonts w:ascii="Cambria Math" w:hAnsi="Cambria Math" w:cstheme="minorHAnsi"/>
                          </w:rPr>
                          <m:t>(x+ξ)</m:t>
                        </m:r>
                        <m:sSub>
                          <m:sSubPr>
                            <m:ctrlPr>
                              <w:rPr>
                                <w:rFonts w:ascii="Cambria Math" w:hAnsi="Cambria Math" w:cstheme="minorHAnsi"/>
                                <w:iCs/>
                              </w:rPr>
                            </m:ctrlPr>
                          </m:sSubPr>
                          <m:e>
                            <m:r>
                              <w:rPr>
                                <w:rFonts w:ascii="Cambria Math" w:hAnsi="Cambria Math" w:cstheme="minorHAnsi"/>
                              </w:rPr>
                              <m:t>P</m:t>
                            </m:r>
                          </m:e>
                          <m:sub>
                            <m:r>
                              <w:rPr>
                                <w:rFonts w:ascii="Cambria Math" w:hAnsi="Cambria Math" w:cstheme="minorHAnsi"/>
                              </w:rPr>
                              <m:t>Y</m:t>
                            </m:r>
                          </m:sub>
                        </m:sSub>
                        <m:r>
                          <w:rPr>
                            <w:rFonts w:ascii="Cambria Math" w:hAnsi="Cambria Math" w:cstheme="minorHAnsi"/>
                          </w:rPr>
                          <m:t>(x+ξ)</m:t>
                        </m:r>
                      </m:e>
                    </m:nary>
                  </m:e>
                </m:nary>
              </m:e>
            </m:mr>
            <m:mr>
              <m:e/>
              <m:e>
                <m:r>
                  <w:rPr>
                    <w:rFonts w:ascii="Cambria Math" w:hAnsi="Cambria Math" w:cstheme="minorHAnsi"/>
                  </w:rPr>
                  <m:t>⋅</m:t>
                </m:r>
                <m:sSub>
                  <m:sSubPr>
                    <m:ctrlPr>
                      <w:rPr>
                        <w:rFonts w:ascii="Cambria Math" w:hAnsi="Cambria Math" w:cstheme="minorHAnsi"/>
                        <w:iCs/>
                      </w:rPr>
                    </m:ctrlPr>
                  </m:sSubPr>
                  <m:e>
                    <m:r>
                      <w:rPr>
                        <w:rFonts w:ascii="Cambria Math" w:hAnsi="Cambria Math" w:cstheme="minorHAnsi"/>
                      </w:rPr>
                      <m:t>h</m:t>
                    </m:r>
                  </m:e>
                  <m:sub>
                    <m:r>
                      <w:rPr>
                        <w:rFonts w:ascii="Cambria Math" w:hAnsi="Cambria Math" w:cstheme="minorHAnsi"/>
                      </w:rPr>
                      <m:t>e</m:t>
                    </m:r>
                  </m:sub>
                </m:sSub>
                <m:r>
                  <w:rPr>
                    <w:rFonts w:ascii="Cambria Math" w:hAnsi="Cambria Math" w:cstheme="minorHAnsi"/>
                  </w:rPr>
                  <m:t>(ξ|x)dξ</m:t>
                </m:r>
              </m:e>
            </m:mr>
            <m:mr>
              <m:e>
                <m:r>
                  <m:rPr>
                    <m:sty m:val="p"/>
                  </m:rPr>
                  <w:rPr>
                    <w:rFonts w:ascii="Cambria Math" w:hAnsi="Cambria Math" w:cstheme="minorHAnsi"/>
                  </w:rPr>
                  <m:t xml:space="preserve">and  </m:t>
                </m:r>
                <m:sSub>
                  <m:sSubPr>
                    <m:ctrlPr>
                      <w:rPr>
                        <w:rFonts w:ascii="Cambria Math" w:hAnsi="Cambria Math" w:cstheme="minorHAnsi"/>
                        <w:iCs/>
                      </w:rPr>
                    </m:ctrlPr>
                  </m:sSubPr>
                  <m:e>
                    <m:r>
                      <w:rPr>
                        <w:rFonts w:ascii="Cambria Math" w:hAnsi="Cambria Math" w:cstheme="minorHAnsi"/>
                      </w:rPr>
                      <m:t>P</m:t>
                    </m:r>
                  </m:e>
                  <m:sub>
                    <m:r>
                      <w:rPr>
                        <w:rFonts w:ascii="Cambria Math" w:hAnsi="Cambria Math" w:cstheme="minorHAnsi"/>
                      </w:rPr>
                      <m:t>Y</m:t>
                    </m:r>
                  </m:sub>
                </m:sSub>
                <m:r>
                  <w:rPr>
                    <w:rFonts w:ascii="Cambria Math" w:hAnsi="Cambria Math" w:cstheme="minorHAnsi"/>
                  </w:rPr>
                  <m:t>(x)=</m:t>
                </m:r>
              </m:e>
              <m:e>
                <m:nary>
                  <m:naryPr>
                    <m:limLoc m:val="subSup"/>
                    <m:grow m:val="1"/>
                    <m:ctrlPr>
                      <w:rPr>
                        <w:rFonts w:ascii="Cambria Math" w:hAnsi="Cambria Math" w:cstheme="minorHAnsi"/>
                        <w:iCs/>
                      </w:rPr>
                    </m:ctrlPr>
                  </m:naryPr>
                  <m:sub>
                    <m:r>
                      <w:rPr>
                        <w:rFonts w:ascii="Cambria Math" w:hAnsi="Cambria Math" w:cstheme="minorHAnsi"/>
                      </w:rPr>
                      <m:t>x</m:t>
                    </m:r>
                  </m:sub>
                  <m:sup>
                    <m:r>
                      <m:rPr>
                        <m:sty m:val="p"/>
                      </m:rPr>
                      <w:rPr>
                        <w:rFonts w:ascii="Cambria Math" w:hAnsi="Cambria Math" w:cstheme="minorHAnsi"/>
                      </w:rPr>
                      <m:t>∞</m:t>
                    </m:r>
                  </m:sup>
                  <m:e>
                    <m:sSub>
                      <m:sSubPr>
                        <m:ctrlPr>
                          <w:rPr>
                            <w:rFonts w:ascii="Cambria Math" w:hAnsi="Cambria Math" w:cstheme="minorHAnsi"/>
                            <w:iCs/>
                          </w:rPr>
                        </m:ctrlPr>
                      </m:sSubPr>
                      <m:e>
                        <m:r>
                          <w:rPr>
                            <w:rFonts w:ascii="Cambria Math" w:hAnsi="Cambria Math" w:cstheme="minorHAnsi"/>
                          </w:rPr>
                          <m:t>h</m:t>
                        </m:r>
                      </m:e>
                      <m:sub>
                        <m:r>
                          <w:rPr>
                            <w:rFonts w:ascii="Cambria Math" w:hAnsi="Cambria Math" w:cstheme="minorHAnsi"/>
                          </w:rPr>
                          <m:t>h</m:t>
                        </m:r>
                      </m:sub>
                    </m:sSub>
                    <m:r>
                      <w:rPr>
                        <w:rFonts w:ascii="Cambria Math" w:hAnsi="Cambria Math" w:cstheme="minorHAnsi"/>
                      </w:rPr>
                      <m:t>(ξ|x)dξ+</m:t>
                    </m:r>
                    <m:nary>
                      <m:naryPr>
                        <m:limLoc m:val="subSup"/>
                        <m:grow m:val="1"/>
                        <m:ctrlPr>
                          <w:rPr>
                            <w:rFonts w:ascii="Cambria Math" w:hAnsi="Cambria Math" w:cstheme="minorHAnsi"/>
                            <w:iCs/>
                          </w:rPr>
                        </m:ctrlPr>
                      </m:naryPr>
                      <m:sub>
                        <m:r>
                          <w:rPr>
                            <w:rFonts w:ascii="Cambria Math" w:hAnsi="Cambria Math" w:cstheme="minorHAnsi"/>
                          </w:rPr>
                          <m:t>0</m:t>
                        </m:r>
                      </m:sub>
                      <m:sup>
                        <m:r>
                          <w:rPr>
                            <w:rFonts w:ascii="Cambria Math" w:hAnsi="Cambria Math" w:cstheme="minorHAnsi"/>
                          </w:rPr>
                          <m:t>x</m:t>
                        </m:r>
                      </m:sup>
                      <m:e>
                        <m:sSubSup>
                          <m:sSubSupPr>
                            <m:ctrlPr>
                              <w:rPr>
                                <w:rFonts w:ascii="Cambria Math" w:hAnsi="Cambria Math" w:cstheme="minorHAnsi"/>
                                <w:iCs/>
                              </w:rPr>
                            </m:ctrlPr>
                          </m:sSubSupPr>
                          <m:e>
                            <m:r>
                              <w:rPr>
                                <w:rFonts w:ascii="Cambria Math" w:hAnsi="Cambria Math" w:cstheme="minorHAnsi"/>
                              </w:rPr>
                              <m:t>P</m:t>
                            </m:r>
                          </m:e>
                          <m:sub>
                            <m:r>
                              <w:rPr>
                                <w:rFonts w:ascii="Cambria Math" w:hAnsi="Cambria Math" w:cstheme="minorHAnsi"/>
                              </w:rPr>
                              <m:t>Y</m:t>
                            </m:r>
                          </m:sub>
                          <m:sup>
                            <m:r>
                              <w:rPr>
                                <w:rFonts w:ascii="Cambria Math" w:hAnsi="Cambria Math" w:cstheme="minorHAnsi"/>
                              </w:rPr>
                              <m:t>2</m:t>
                            </m:r>
                          </m:sup>
                        </m:sSubSup>
                        <m:r>
                          <w:rPr>
                            <w:rFonts w:ascii="Cambria Math" w:hAnsi="Cambria Math" w:cstheme="minorHAnsi"/>
                          </w:rPr>
                          <m:t>(x-ξ)</m:t>
                        </m:r>
                        <m:sSub>
                          <m:sSubPr>
                            <m:ctrlPr>
                              <w:rPr>
                                <w:rFonts w:ascii="Cambria Math" w:hAnsi="Cambria Math" w:cstheme="minorHAnsi"/>
                                <w:iCs/>
                              </w:rPr>
                            </m:ctrlPr>
                          </m:sSubPr>
                          <m:e>
                            <m:r>
                              <w:rPr>
                                <w:rFonts w:ascii="Cambria Math" w:hAnsi="Cambria Math" w:cstheme="minorHAnsi"/>
                              </w:rPr>
                              <m:t>P</m:t>
                            </m:r>
                          </m:e>
                          <m:sub>
                            <m:r>
                              <w:rPr>
                                <w:rFonts w:ascii="Cambria Math" w:hAnsi="Cambria Math" w:cstheme="minorHAnsi"/>
                              </w:rPr>
                              <m:t>Z</m:t>
                            </m:r>
                          </m:sub>
                        </m:sSub>
                        <m:r>
                          <w:rPr>
                            <w:rFonts w:ascii="Cambria Math" w:hAnsi="Cambria Math" w:cstheme="minorHAnsi"/>
                          </w:rPr>
                          <m:t>(x-ξ)</m:t>
                        </m:r>
                      </m:e>
                    </m:nary>
                  </m:e>
                </m:nary>
              </m:e>
            </m:mr>
            <m:mr>
              <m:e/>
              <m:e>
                <m:r>
                  <w:rPr>
                    <w:rFonts w:ascii="Cambria Math" w:hAnsi="Cambria Math" w:cstheme="minorHAnsi"/>
                  </w:rPr>
                  <m:t>⋅</m:t>
                </m:r>
                <m:sSub>
                  <m:sSubPr>
                    <m:ctrlPr>
                      <w:rPr>
                        <w:rFonts w:ascii="Cambria Math" w:hAnsi="Cambria Math" w:cstheme="minorHAnsi"/>
                        <w:iCs/>
                      </w:rPr>
                    </m:ctrlPr>
                  </m:sSubPr>
                  <m:e>
                    <m:r>
                      <w:rPr>
                        <w:rFonts w:ascii="Cambria Math" w:hAnsi="Cambria Math" w:cstheme="minorHAnsi"/>
                      </w:rPr>
                      <m:t>h</m:t>
                    </m:r>
                  </m:e>
                  <m:sub>
                    <m:r>
                      <w:rPr>
                        <w:rFonts w:ascii="Cambria Math" w:hAnsi="Cambria Math" w:cstheme="minorHAnsi"/>
                      </w:rPr>
                      <m:t>h</m:t>
                    </m:r>
                  </m:sub>
                </m:sSub>
                <m:r>
                  <w:rPr>
                    <w:rFonts w:ascii="Cambria Math" w:hAnsi="Cambria Math" w:cstheme="minorHAnsi"/>
                  </w:rPr>
                  <m:t>(ξ|x)dξ.</m:t>
                </m:r>
              </m:e>
            </m:mr>
          </m:m>
        </m:oMath>
      </m:oMathPara>
    </w:p>
    <w:p w14:paraId="2E49A445" w14:textId="5556FD0D" w:rsidR="005D2084" w:rsidRPr="005570EA" w:rsidRDefault="005D2084" w:rsidP="005D2084">
      <w:pPr>
        <w:jc w:val="right"/>
        <w:rPr>
          <w:rFonts w:cstheme="minorHAnsi"/>
        </w:rPr>
      </w:pPr>
      <w:r w:rsidRPr="005570EA">
        <w:rPr>
          <w:rFonts w:cstheme="minorHAnsi"/>
          <w:iCs/>
        </w:rPr>
        <w:t>(5)</w:t>
      </w:r>
    </w:p>
    <w:p w14:paraId="5B114670" w14:textId="4AC0723F" w:rsidR="00F14573" w:rsidRPr="00F14573" w:rsidRDefault="00F14573" w:rsidP="00F14573">
      <w:pPr>
        <w:rPr>
          <w:rFonts w:cstheme="minorHAnsi"/>
        </w:rPr>
      </w:pPr>
      <w:r w:rsidRPr="00F14573">
        <w:rPr>
          <w:rFonts w:cstheme="minorHAnsi"/>
        </w:rPr>
        <w:t xml:space="preserve"> </w:t>
      </w:r>
    </w:p>
    <w:p w14:paraId="40C81D0A" w14:textId="1E5ED2F1" w:rsidR="00F14573" w:rsidRPr="00F14573" w:rsidRDefault="00F14573" w:rsidP="00C75550">
      <w:pPr>
        <w:spacing w:after="0"/>
        <w:rPr>
          <w:rStyle w:val="Hyperlink"/>
          <w:rFonts w:cstheme="minorHAnsi"/>
        </w:rPr>
      </w:pPr>
      <w:r w:rsidRPr="00F14573">
        <w:rPr>
          <w:rFonts w:cstheme="minorHAnsi"/>
        </w:rPr>
        <w:fldChar w:fldCharType="begin"/>
      </w:r>
      <w:r w:rsidRPr="00F14573">
        <w:rPr>
          <w:rFonts w:cstheme="minorHAnsi"/>
        </w:rPr>
        <w:instrText xml:space="preserve"> HYPERLINK "https://ieeexplore.ieee.org/mediastore_new/IEEE/content/media/3/25962/1158822/1158822-fig-1-source-large.gif" </w:instrText>
      </w:r>
      <w:r w:rsidRPr="00F14573">
        <w:rPr>
          <w:rFonts w:cstheme="minorHAnsi"/>
        </w:rPr>
        <w:fldChar w:fldCharType="separate"/>
      </w:r>
      <w:r w:rsidRPr="005570EA">
        <w:rPr>
          <w:rStyle w:val="Hyperlink"/>
          <w:rFonts w:cstheme="minorHAnsi"/>
          <w:noProof/>
        </w:rPr>
        <w:drawing>
          <wp:inline distT="0" distB="0" distL="0" distR="0" wp14:anchorId="0DD57299" wp14:editId="4B775711">
            <wp:extent cx="2739082" cy="2300762"/>
            <wp:effectExtent l="0" t="0" r="4445" b="4445"/>
            <wp:docPr id="7" name="Picture 7" descr="Fig. 1. Breakdown probability for GaAs as a function of the applied reverse-bias voltage for various multiplication-region widths. Solid curves represent the DSMT predictions. Dashed curves represent the maximal-MDSMT predictions.">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 1">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89938" cy="2427477"/>
                    </a:xfrm>
                    <a:prstGeom prst="rect">
                      <a:avLst/>
                    </a:prstGeom>
                    <a:noFill/>
                    <a:ln>
                      <a:noFill/>
                    </a:ln>
                  </pic:spPr>
                </pic:pic>
              </a:graphicData>
            </a:graphic>
          </wp:inline>
        </w:drawing>
      </w:r>
    </w:p>
    <w:p w14:paraId="4EC5459C" w14:textId="3F793F22" w:rsidR="00F14573" w:rsidRPr="00F14573" w:rsidRDefault="00F14573" w:rsidP="00F14573">
      <w:pPr>
        <w:rPr>
          <w:rFonts w:cstheme="minorHAnsi"/>
        </w:rPr>
      </w:pPr>
      <w:r w:rsidRPr="00F14573">
        <w:rPr>
          <w:rFonts w:cstheme="minorHAnsi"/>
        </w:rPr>
        <w:lastRenderedPageBreak/>
        <w:fldChar w:fldCharType="end"/>
      </w:r>
      <w:r w:rsidRPr="00F14573">
        <w:rPr>
          <w:rFonts w:cstheme="minorHAnsi"/>
          <w:b/>
          <w:bCs/>
        </w:rPr>
        <w:t xml:space="preserve">Fig. 1. </w:t>
      </w:r>
      <w:r w:rsidRPr="00F14573">
        <w:rPr>
          <w:rFonts w:cstheme="minorHAnsi"/>
        </w:rPr>
        <w:t>Breakdown probability for GaAs as a function of the applied reverse-bias voltage for various multiplication-region widths. Solid curves represent the DSMT predictions. Dashed curves represent the maximal-MDSMT predictions.</w:t>
      </w:r>
    </w:p>
    <w:p w14:paraId="010C581A" w14:textId="23ABD745" w:rsidR="00F14573" w:rsidRPr="00F14573" w:rsidRDefault="00F14573" w:rsidP="00F14573">
      <w:pPr>
        <w:rPr>
          <w:rFonts w:cstheme="minorHAnsi"/>
        </w:rPr>
      </w:pPr>
    </w:p>
    <w:p w14:paraId="519C9C89" w14:textId="77777777" w:rsidR="00F14573" w:rsidRPr="00F14573" w:rsidRDefault="00F14573" w:rsidP="00F14573">
      <w:pPr>
        <w:rPr>
          <w:rFonts w:cstheme="minorHAnsi"/>
        </w:rPr>
      </w:pPr>
      <w:r w:rsidRPr="00F14573">
        <w:rPr>
          <w:rFonts w:cstheme="minorHAnsi"/>
        </w:rPr>
        <w:t>We now generalize these equations to the case when the parent carrier has nonzero initial energy.</w:t>
      </w:r>
    </w:p>
    <w:p w14:paraId="002E0B5E" w14:textId="4092C399" w:rsidR="00F14573" w:rsidRPr="005570EA" w:rsidRDefault="00F14573" w:rsidP="00F14573">
      <w:pPr>
        <w:rPr>
          <w:rFonts w:cstheme="minorHAnsi"/>
        </w:rPr>
      </w:pPr>
      <w:r w:rsidRPr="00F14573">
        <w:rPr>
          <w:rFonts w:cstheme="minorHAnsi"/>
        </w:rPr>
        <w:t xml:space="preserve">Let </w:t>
      </w:r>
      <w:r w:rsidRPr="00F14573">
        <w:rPr>
          <w:rFonts w:cstheme="minorHAnsi"/>
          <w:i/>
          <w:iCs/>
        </w:rPr>
        <w:t>Z</w:t>
      </w:r>
      <w:r w:rsidRPr="00F14573">
        <w:rPr>
          <w:rFonts w:cstheme="minorHAnsi"/>
        </w:rPr>
        <w:t>0(</w:t>
      </w:r>
      <w:r w:rsidRPr="00F14573">
        <w:rPr>
          <w:rFonts w:cstheme="minorHAnsi"/>
          <w:i/>
          <w:iCs/>
        </w:rPr>
        <w:t>x</w:t>
      </w:r>
      <w:r w:rsidRPr="00F14573">
        <w:rPr>
          <w:rFonts w:cstheme="minorHAnsi"/>
        </w:rPr>
        <w:t xml:space="preserve">) be defined as </w:t>
      </w:r>
      <w:r w:rsidRPr="00F14573">
        <w:rPr>
          <w:rFonts w:cstheme="minorHAnsi"/>
          <w:i/>
          <w:iCs/>
        </w:rPr>
        <w:t>Z</w:t>
      </w:r>
      <w:r w:rsidRPr="00F14573">
        <w:rPr>
          <w:rFonts w:cstheme="minorHAnsi"/>
        </w:rPr>
        <w:t>(</w:t>
      </w:r>
      <w:r w:rsidRPr="00F14573">
        <w:rPr>
          <w:rFonts w:cstheme="minorHAnsi"/>
          <w:i/>
          <w:iCs/>
        </w:rPr>
        <w:t>x</w:t>
      </w:r>
      <w:r w:rsidRPr="00F14573">
        <w:rPr>
          <w:rFonts w:cstheme="minorHAnsi"/>
        </w:rPr>
        <w:t xml:space="preserve">) with the exception that for the parent electron at </w:t>
      </w:r>
      <w:r w:rsidRPr="00F14573">
        <w:rPr>
          <w:rFonts w:cstheme="minorHAnsi"/>
          <w:i/>
          <w:iCs/>
        </w:rPr>
        <w:t>x</w:t>
      </w:r>
      <w:r w:rsidRPr="00F14573">
        <w:rPr>
          <w:rFonts w:cstheme="minorHAnsi"/>
        </w:rPr>
        <w:t xml:space="preserve">, the distance </w:t>
      </w:r>
      <w:r w:rsidRPr="00F14573">
        <w:rPr>
          <w:rFonts w:cstheme="minorHAnsi"/>
          <w:i/>
          <w:iCs/>
        </w:rPr>
        <w:t>ξ</w:t>
      </w:r>
      <w:r w:rsidRPr="00F14573">
        <w:rPr>
          <w:rFonts w:cstheme="minorHAnsi"/>
        </w:rPr>
        <w:t xml:space="preserve"> to the first impact ionization has a pdf </w:t>
      </w:r>
      <w:r w:rsidRPr="00F14573">
        <w:rPr>
          <w:rFonts w:cstheme="minorHAnsi"/>
          <w:i/>
          <w:iCs/>
        </w:rPr>
        <w:t>he</w:t>
      </w:r>
      <w:r w:rsidRPr="00F14573">
        <w:rPr>
          <w:rFonts w:cstheme="minorHAnsi"/>
        </w:rPr>
        <w:t>0(</w:t>
      </w:r>
      <w:r w:rsidRPr="00F14573">
        <w:rPr>
          <w:rFonts w:cstheme="minorHAnsi"/>
          <w:i/>
          <w:iCs/>
        </w:rPr>
        <w:t>ξ</w:t>
      </w:r>
      <w:r w:rsidRPr="00F14573">
        <w:rPr>
          <w:rFonts w:cstheme="minorHAnsi"/>
        </w:rPr>
        <w:t xml:space="preserve">) [as defined in </w:t>
      </w:r>
      <w:hyperlink r:id="rId12" w:anchor="deqn1" w:history="1">
        <w:r w:rsidRPr="00F14573">
          <w:rPr>
            <w:rStyle w:val="Hyperlink"/>
            <w:rFonts w:cstheme="minorHAnsi"/>
          </w:rPr>
          <w:t>(1)</w:t>
        </w:r>
      </w:hyperlink>
      <w:r w:rsidRPr="00F14573">
        <w:rPr>
          <w:rFonts w:cstheme="minorHAnsi"/>
        </w:rPr>
        <w:t xml:space="preserve">]. The key observation here is that upon the first ionization of the injected electron, the two newly-created electrons and hole will have zero initial energy, independently of the initial energy of their parent electron. Consequently, conditional on the initial ionization occurring at </w:t>
      </w:r>
      <w:r w:rsidRPr="00F14573">
        <w:rPr>
          <w:rFonts w:cstheme="minorHAnsi"/>
          <w:i/>
          <w:iCs/>
        </w:rPr>
        <w:t>ξ</w:t>
      </w:r>
      <w:r w:rsidRPr="00F14573">
        <w:rPr>
          <w:rFonts w:cstheme="minorHAnsi"/>
        </w:rPr>
        <w:t>, </w:t>
      </w:r>
      <w:r w:rsidRPr="00F14573">
        <w:rPr>
          <w:rFonts w:cstheme="minorHAnsi"/>
          <w:i/>
          <w:iCs/>
        </w:rPr>
        <w:t>Z</w:t>
      </w:r>
      <w:r w:rsidRPr="00F14573">
        <w:rPr>
          <w:rFonts w:cstheme="minorHAnsi"/>
        </w:rPr>
        <w:t>0(</w:t>
      </w:r>
      <w:r w:rsidRPr="00F14573">
        <w:rPr>
          <w:rFonts w:cstheme="minorHAnsi"/>
          <w:i/>
          <w:iCs/>
        </w:rPr>
        <w:t>x</w:t>
      </w:r>
      <w:r w:rsidRPr="00F14573">
        <w:rPr>
          <w:rFonts w:cstheme="minorHAnsi"/>
        </w:rPr>
        <w:t xml:space="preserve">) is finite if and only if each one the two offspring electrons and the offspring hole produces a finite number of offsprings. Thus after averaging over all possible </w:t>
      </w:r>
      <w:r w:rsidRPr="00F14573">
        <w:rPr>
          <w:rFonts w:cstheme="minorHAnsi"/>
          <w:i/>
          <w:iCs/>
        </w:rPr>
        <w:t>ξ</w:t>
      </w:r>
      <w:r w:rsidRPr="00F14573">
        <w:rPr>
          <w:rFonts w:cstheme="minorHAnsi"/>
        </w:rPr>
        <w:t xml:space="preserve">, we obtain the following modified recurrence equation for the probability that </w:t>
      </w:r>
      <w:r w:rsidRPr="00F14573">
        <w:rPr>
          <w:rFonts w:cstheme="minorHAnsi"/>
          <w:i/>
          <w:iCs/>
        </w:rPr>
        <w:t>Z</w:t>
      </w:r>
      <w:r w:rsidRPr="00F14573">
        <w:rPr>
          <w:rFonts w:cstheme="minorHAnsi"/>
        </w:rPr>
        <w:t>0(</w:t>
      </w:r>
      <w:r w:rsidRPr="00F14573">
        <w:rPr>
          <w:rFonts w:cstheme="minorHAnsi"/>
          <w:i/>
          <w:iCs/>
        </w:rPr>
        <w:t>x</w:t>
      </w:r>
      <w:r w:rsidRPr="00F14573">
        <w:rPr>
          <w:rFonts w:cstheme="minorHAnsi"/>
        </w:rPr>
        <w:t>) is finite:</w:t>
      </w:r>
    </w:p>
    <w:p w14:paraId="5966A11E" w14:textId="457D579F" w:rsidR="00E45E92" w:rsidRPr="00F14573" w:rsidRDefault="00E45E92" w:rsidP="00E45E92">
      <w:pPr>
        <w:jc w:val="right"/>
        <w:rPr>
          <w:rFonts w:cstheme="minorHAnsi"/>
        </w:rPr>
      </w:pPr>
      <w:r w:rsidRPr="005570EA">
        <w:rPr>
          <w:rFonts w:cstheme="minorHAnsi"/>
        </w:rPr>
        <w:t>(6)</w:t>
      </w:r>
    </w:p>
    <w:p w14:paraId="707A080A" w14:textId="4838A806" w:rsidR="00B76C7C" w:rsidRPr="00F14573" w:rsidRDefault="00BA669E" w:rsidP="00F14573">
      <w:pPr>
        <w:rPr>
          <w:rFonts w:cstheme="minorHAnsi"/>
        </w:rPr>
      </w:pPr>
      <m:oMathPara>
        <m:oMath>
          <m:eqArr>
            <m:eqArrPr>
              <m:ctrlPr>
                <w:rPr>
                  <w:rFonts w:ascii="Cambria Math" w:hAnsi="Cambria Math" w:cstheme="minorHAnsi"/>
                </w:rPr>
              </m:ctrlPr>
            </m:eqArrPr>
            <m:e>
              <m:r>
                <w:rPr>
                  <w:rFonts w:ascii="Cambria Math" w:hAnsi="Cambria Math" w:cstheme="minorHAnsi"/>
                </w:rPr>
                <m:t>P{</m:t>
              </m:r>
              <m:sSub>
                <m:sSubPr>
                  <m:ctrlPr>
                    <w:rPr>
                      <w:rFonts w:ascii="Cambria Math" w:hAnsi="Cambria Math" w:cstheme="minorHAnsi"/>
                    </w:rPr>
                  </m:ctrlPr>
                </m:sSubPr>
                <m:e>
                  <m:r>
                    <w:rPr>
                      <w:rFonts w:ascii="Cambria Math" w:hAnsi="Cambria Math" w:cstheme="minorHAnsi"/>
                    </w:rPr>
                    <m:t>Z</m:t>
                  </m:r>
                </m:e>
                <m:sub>
                  <m:r>
                    <w:rPr>
                      <w:rFonts w:ascii="Cambria Math" w:hAnsi="Cambria Math" w:cstheme="minorHAnsi"/>
                    </w:rPr>
                    <m:t>0</m:t>
                  </m:r>
                </m:sub>
              </m:sSub>
              <m:r>
                <w:rPr>
                  <w:rFonts w:ascii="Cambria Math" w:hAnsi="Cambria Math" w:cstheme="minorHAnsi"/>
                </w:rPr>
                <m:t>(x)&lt;</m:t>
              </m:r>
              <m:r>
                <m:rPr>
                  <m:sty m:val="p"/>
                </m:rPr>
                <w:rPr>
                  <w:rFonts w:ascii="Cambria Math" w:hAnsi="Cambria Math" w:cstheme="minorHAnsi"/>
                </w:rPr>
                <m:t>∞</m:t>
              </m:r>
              <m:r>
                <w:rPr>
                  <w:rFonts w:ascii="Cambria Math" w:hAnsi="Cambria Math" w:cstheme="minorHAnsi"/>
                </w:rPr>
                <m:t>}=</m:t>
              </m:r>
              <m:nary>
                <m:naryPr>
                  <m:limLoc m:val="subSup"/>
                  <m:grow m:val="1"/>
                  <m:ctrlPr>
                    <w:rPr>
                      <w:rFonts w:ascii="Cambria Math" w:hAnsi="Cambria Math" w:cstheme="minorHAnsi"/>
                    </w:rPr>
                  </m:ctrlPr>
                </m:naryPr>
                <m:sub>
                  <m:r>
                    <w:rPr>
                      <w:rFonts w:ascii="Cambria Math" w:hAnsi="Cambria Math" w:cstheme="minorHAnsi"/>
                    </w:rPr>
                    <m:t>w-x</m:t>
                  </m:r>
                </m:sub>
                <m:sup>
                  <m:r>
                    <m:rPr>
                      <m:sty m:val="p"/>
                    </m:rPr>
                    <w:rPr>
                      <w:rFonts w:ascii="Cambria Math" w:hAnsi="Cambria Math" w:cstheme="minorHAnsi"/>
                    </w:rPr>
                    <m:t>∞</m:t>
                  </m:r>
                </m:sup>
                <m:e>
                  <m:sSub>
                    <m:sSubPr>
                      <m:ctrlPr>
                        <w:rPr>
                          <w:rFonts w:ascii="Cambria Math" w:hAnsi="Cambria Math" w:cstheme="minorHAnsi"/>
                        </w:rPr>
                      </m:ctrlPr>
                    </m:sSubPr>
                    <m:e>
                      <m:r>
                        <w:rPr>
                          <w:rFonts w:ascii="Cambria Math" w:hAnsi="Cambria Math" w:cstheme="minorHAnsi"/>
                        </w:rPr>
                        <m:t>h</m:t>
                      </m:r>
                    </m:e>
                    <m:sub>
                      <m:sSub>
                        <m:sSubPr>
                          <m:ctrlPr>
                            <w:rPr>
                              <w:rFonts w:ascii="Cambria Math" w:hAnsi="Cambria Math" w:cstheme="minorHAnsi"/>
                            </w:rPr>
                          </m:ctrlPr>
                        </m:sSubPr>
                        <m:e>
                          <m:r>
                            <w:rPr>
                              <w:rFonts w:ascii="Cambria Math" w:hAnsi="Cambria Math" w:cstheme="minorHAnsi"/>
                            </w:rPr>
                            <m:t>e</m:t>
                          </m:r>
                        </m:e>
                        <m:sub>
                          <m:r>
                            <w:rPr>
                              <w:rFonts w:ascii="Cambria Math" w:hAnsi="Cambria Math" w:cstheme="minorHAnsi"/>
                            </w:rPr>
                            <m:t>0</m:t>
                          </m:r>
                        </m:sub>
                      </m:sSub>
                    </m:sub>
                  </m:sSub>
                  <m:r>
                    <w:rPr>
                      <w:rFonts w:ascii="Cambria Math" w:hAnsi="Cambria Math" w:cstheme="minorHAnsi"/>
                    </w:rPr>
                    <m:t>(ξ)dξ+</m:t>
                  </m:r>
                  <m:nary>
                    <m:naryPr>
                      <m:limLoc m:val="subSup"/>
                      <m:grow m:val="1"/>
                      <m:ctrlPr>
                        <w:rPr>
                          <w:rFonts w:ascii="Cambria Math" w:hAnsi="Cambria Math" w:cstheme="minorHAnsi"/>
                        </w:rPr>
                      </m:ctrlPr>
                    </m:naryPr>
                    <m:sub>
                      <m:r>
                        <w:rPr>
                          <w:rFonts w:ascii="Cambria Math" w:hAnsi="Cambria Math" w:cstheme="minorHAnsi"/>
                        </w:rPr>
                        <m:t>0</m:t>
                      </m:r>
                    </m:sub>
                    <m:sup>
                      <m:r>
                        <w:rPr>
                          <w:rFonts w:ascii="Cambria Math" w:hAnsi="Cambria Math" w:cstheme="minorHAnsi"/>
                        </w:rPr>
                        <m:t>w-x</m:t>
                      </m:r>
                    </m:sup>
                    <m:e>
                      <m:sSubSup>
                        <m:sSubSupPr>
                          <m:ctrlPr>
                            <w:rPr>
                              <w:rFonts w:ascii="Cambria Math" w:hAnsi="Cambria Math" w:cstheme="minorHAnsi"/>
                            </w:rPr>
                          </m:ctrlPr>
                        </m:sSubSupPr>
                        <m:e>
                          <m:r>
                            <w:rPr>
                              <w:rFonts w:ascii="Cambria Math" w:hAnsi="Cambria Math" w:cstheme="minorHAnsi"/>
                            </w:rPr>
                            <m:t>P</m:t>
                          </m:r>
                        </m:e>
                        <m:sub>
                          <m:r>
                            <w:rPr>
                              <w:rFonts w:ascii="Cambria Math" w:hAnsi="Cambria Math" w:cstheme="minorHAnsi"/>
                            </w:rPr>
                            <m:t>Z</m:t>
                          </m:r>
                        </m:sub>
                        <m:sup>
                          <m:r>
                            <w:rPr>
                              <w:rFonts w:ascii="Cambria Math" w:hAnsi="Cambria Math" w:cstheme="minorHAnsi"/>
                            </w:rPr>
                            <m:t>2</m:t>
                          </m:r>
                        </m:sup>
                      </m:sSubSup>
                      <m:r>
                        <w:rPr>
                          <w:rFonts w:ascii="Cambria Math" w:hAnsi="Cambria Math" w:cstheme="minorHAnsi"/>
                        </w:rPr>
                        <m:t>(x+ξ)</m:t>
                      </m:r>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Y</m:t>
                          </m:r>
                        </m:sub>
                      </m:sSub>
                      <m:r>
                        <w:rPr>
                          <w:rFonts w:ascii="Cambria Math" w:hAnsi="Cambria Math" w:cstheme="minorHAnsi"/>
                        </w:rPr>
                        <m:t>(x+ξ)</m:t>
                      </m:r>
                    </m:e>
                  </m:nary>
                </m:e>
              </m:nary>
            </m:e>
            <m:e>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h</m:t>
                  </m:r>
                </m:e>
                <m:sub>
                  <m:sSub>
                    <m:sSubPr>
                      <m:ctrlPr>
                        <w:rPr>
                          <w:rFonts w:ascii="Cambria Math" w:hAnsi="Cambria Math" w:cstheme="minorHAnsi"/>
                        </w:rPr>
                      </m:ctrlPr>
                    </m:sSubPr>
                    <m:e>
                      <m:r>
                        <w:rPr>
                          <w:rFonts w:ascii="Cambria Math" w:hAnsi="Cambria Math" w:cstheme="minorHAnsi"/>
                        </w:rPr>
                        <m:t>e</m:t>
                      </m:r>
                    </m:e>
                    <m:sub>
                      <m:r>
                        <w:rPr>
                          <w:rFonts w:ascii="Cambria Math" w:hAnsi="Cambria Math" w:cstheme="minorHAnsi"/>
                        </w:rPr>
                        <m:t>0</m:t>
                      </m:r>
                    </m:sub>
                  </m:sSub>
                </m:sub>
              </m:sSub>
              <m:r>
                <w:rPr>
                  <w:rFonts w:ascii="Cambria Math" w:hAnsi="Cambria Math" w:cstheme="minorHAnsi"/>
                </w:rPr>
                <m:t>(ξ)dξ.</m:t>
              </m:r>
            </m:e>
          </m:eqArr>
        </m:oMath>
      </m:oMathPara>
    </w:p>
    <w:p w14:paraId="5E6D5135" w14:textId="77777777" w:rsidR="00F14573" w:rsidRPr="00F14573" w:rsidRDefault="00F14573" w:rsidP="00F14573">
      <w:pPr>
        <w:rPr>
          <w:rFonts w:cstheme="minorHAnsi"/>
        </w:rPr>
      </w:pPr>
      <w:r w:rsidRPr="00F14573">
        <w:rPr>
          <w:rFonts w:cstheme="minorHAnsi"/>
        </w:rPr>
        <w:t>Hence, to calculate P{</w:t>
      </w:r>
      <w:r w:rsidRPr="00F14573">
        <w:rPr>
          <w:rFonts w:cstheme="minorHAnsi"/>
          <w:i/>
          <w:iCs/>
        </w:rPr>
        <w:t>Z</w:t>
      </w:r>
      <w:r w:rsidRPr="00F14573">
        <w:rPr>
          <w:rFonts w:cstheme="minorHAnsi"/>
        </w:rPr>
        <w:t>0(</w:t>
      </w:r>
      <w:r w:rsidRPr="00F14573">
        <w:rPr>
          <w:rFonts w:cstheme="minorHAnsi"/>
          <w:i/>
          <w:iCs/>
        </w:rPr>
        <w:t>x</w:t>
      </w:r>
      <w:r w:rsidRPr="00F14573">
        <w:rPr>
          <w:rFonts w:cstheme="minorHAnsi"/>
        </w:rPr>
        <w:t xml:space="preserve">)&lt;∞}, we must first solve for </w:t>
      </w:r>
      <w:r w:rsidRPr="00F14573">
        <w:rPr>
          <w:rFonts w:cstheme="minorHAnsi"/>
          <w:i/>
          <w:iCs/>
        </w:rPr>
        <w:t>PZ</w:t>
      </w:r>
      <w:r w:rsidRPr="00F14573">
        <w:rPr>
          <w:rFonts w:cstheme="minorHAnsi"/>
        </w:rPr>
        <w:t>(</w:t>
      </w:r>
      <w:r w:rsidRPr="00F14573">
        <w:rPr>
          <w:rFonts w:ascii="Cambria Math" w:hAnsi="Cambria Math" w:cs="Cambria Math"/>
        </w:rPr>
        <w:t>⋅</w:t>
      </w:r>
      <w:r w:rsidRPr="00F14573">
        <w:rPr>
          <w:rFonts w:cstheme="minorHAnsi"/>
        </w:rPr>
        <w:t xml:space="preserve">) and </w:t>
      </w:r>
      <w:r w:rsidRPr="00F14573">
        <w:rPr>
          <w:rFonts w:cstheme="minorHAnsi"/>
          <w:i/>
          <w:iCs/>
        </w:rPr>
        <w:t>PY</w:t>
      </w:r>
      <w:r w:rsidRPr="00F14573">
        <w:rPr>
          <w:rFonts w:cstheme="minorHAnsi"/>
        </w:rPr>
        <w:t>(</w:t>
      </w:r>
      <w:r w:rsidRPr="00F14573">
        <w:rPr>
          <w:rFonts w:ascii="Cambria Math" w:hAnsi="Cambria Math" w:cs="Cambria Math"/>
        </w:rPr>
        <w:t>⋅</w:t>
      </w:r>
      <w:r w:rsidRPr="00F14573">
        <w:rPr>
          <w:rFonts w:cstheme="minorHAnsi"/>
        </w:rPr>
        <w:t xml:space="preserve">) according to </w:t>
      </w:r>
      <w:hyperlink r:id="rId13" w:anchor="deqn4-5" w:history="1">
        <w:r w:rsidRPr="00F14573">
          <w:rPr>
            <w:rStyle w:val="Hyperlink"/>
            <w:rFonts w:cstheme="minorHAnsi"/>
          </w:rPr>
          <w:t>(4) and (5)</w:t>
        </w:r>
      </w:hyperlink>
      <w:r w:rsidRPr="00F14573">
        <w:rPr>
          <w:rFonts w:cstheme="minorHAnsi"/>
        </w:rPr>
        <w:t xml:space="preserve">, and subsequently use them in calculating the integral given by </w:t>
      </w:r>
      <w:hyperlink r:id="rId14" w:anchor="deqn6" w:history="1">
        <w:r w:rsidRPr="00F14573">
          <w:rPr>
            <w:rStyle w:val="Hyperlink"/>
            <w:rFonts w:cstheme="minorHAnsi"/>
          </w:rPr>
          <w:t>(6)</w:t>
        </w:r>
      </w:hyperlink>
      <w:r w:rsidRPr="00F14573">
        <w:rPr>
          <w:rFonts w:cstheme="minorHAnsi"/>
        </w:rPr>
        <w:t>. This is the modified dead-space multiplication theory (MDSMT) for breakdown.</w:t>
      </w:r>
    </w:p>
    <w:p w14:paraId="52054400" w14:textId="6FFFBC46" w:rsidR="00F14573" w:rsidRPr="005570EA" w:rsidRDefault="00F14573" w:rsidP="00BA669E">
      <w:pPr>
        <w:pStyle w:val="Heading1"/>
        <w:rPr>
          <w:rFonts w:asciiTheme="minorHAnsi" w:hAnsiTheme="minorHAnsi" w:cstheme="minorHAnsi"/>
        </w:rPr>
      </w:pPr>
      <w:r w:rsidRPr="005570EA">
        <w:rPr>
          <w:rFonts w:asciiTheme="minorHAnsi" w:hAnsiTheme="minorHAnsi" w:cstheme="minorHAnsi"/>
        </w:rPr>
        <w:t>SECTION III.</w:t>
      </w:r>
      <w:r w:rsidR="00BA669E">
        <w:rPr>
          <w:rFonts w:asciiTheme="minorHAnsi" w:hAnsiTheme="minorHAnsi" w:cstheme="minorHAnsi"/>
        </w:rPr>
        <w:t xml:space="preserve"> </w:t>
      </w:r>
      <w:r w:rsidRPr="005570EA">
        <w:rPr>
          <w:rFonts w:asciiTheme="minorHAnsi" w:hAnsiTheme="minorHAnsi" w:cstheme="minorHAnsi"/>
        </w:rPr>
        <w:t>Results</w:t>
      </w:r>
    </w:p>
    <w:p w14:paraId="2F0E8406" w14:textId="77777777" w:rsidR="00F14573" w:rsidRPr="00F14573" w:rsidRDefault="00F14573" w:rsidP="00F14573">
      <w:pPr>
        <w:rPr>
          <w:rFonts w:cstheme="minorHAnsi"/>
        </w:rPr>
      </w:pPr>
      <w:r w:rsidRPr="00F14573">
        <w:rPr>
          <w:rFonts w:cstheme="minorHAnsi"/>
        </w:rPr>
        <w:t xml:space="preserve">To see the roles of the multiplication-region width and the initial energy of injected carriers on the breakdown characteristics, we numerically solved </w:t>
      </w:r>
      <w:hyperlink r:id="rId15" w:anchor="deqn4-5" w:history="1">
        <w:r w:rsidRPr="00F14573">
          <w:rPr>
            <w:rStyle w:val="Hyperlink"/>
            <w:rFonts w:cstheme="minorHAnsi"/>
          </w:rPr>
          <w:t>(4)</w:t>
        </w:r>
      </w:hyperlink>
      <w:r w:rsidRPr="00F14573">
        <w:rPr>
          <w:rFonts w:cstheme="minorHAnsi"/>
        </w:rPr>
        <w:t>–</w:t>
      </w:r>
      <w:hyperlink r:id="rId16" w:anchor="deqn6" w:history="1">
        <w:r w:rsidRPr="00F14573">
          <w:rPr>
            <w:rStyle w:val="Hyperlink"/>
            <w:rFonts w:cstheme="minorHAnsi"/>
          </w:rPr>
          <w:t>(6)</w:t>
        </w:r>
      </w:hyperlink>
      <w:r w:rsidRPr="00F14573">
        <w:rPr>
          <w:rFonts w:cstheme="minorHAnsi"/>
        </w:rPr>
        <w:t xml:space="preserve"> and computed the breakdown probability as a function of the applied reverse-bias voltage for GaAs. In these calculations, we assumed a constant electric-field profile within the multiplication region and used the simple approximation </w:t>
      </w:r>
      <w:r w:rsidRPr="00F14573">
        <w:rPr>
          <w:rFonts w:cstheme="minorHAnsi"/>
          <w:i/>
          <w:iCs/>
        </w:rPr>
        <w:t>V</w:t>
      </w:r>
      <w:r w:rsidRPr="00F14573">
        <w:rPr>
          <w:rFonts w:cstheme="minorHAnsi"/>
        </w:rPr>
        <w:t>=E</w:t>
      </w:r>
      <w:r w:rsidRPr="00F14573">
        <w:rPr>
          <w:rFonts w:cstheme="minorHAnsi"/>
          <w:i/>
          <w:iCs/>
        </w:rPr>
        <w:t>w</w:t>
      </w:r>
      <w:r w:rsidRPr="00F14573">
        <w:rPr>
          <w:rFonts w:cstheme="minorHAnsi"/>
        </w:rPr>
        <w:t xml:space="preserve"> for the reverse-bias voltage. The parameters for the nonlocalized electron and hole ionization coefficients for GaAs were taken from Saleh et al. [4]. </w:t>
      </w:r>
    </w:p>
    <w:p w14:paraId="5AEBB3B8" w14:textId="6F57EF82" w:rsidR="00F14573" w:rsidRPr="00F14573" w:rsidRDefault="00F14573" w:rsidP="00BA669E">
      <w:pPr>
        <w:spacing w:after="0"/>
        <w:rPr>
          <w:rStyle w:val="Hyperlink"/>
          <w:rFonts w:cstheme="minorHAnsi"/>
        </w:rPr>
      </w:pPr>
      <w:r w:rsidRPr="00F14573">
        <w:rPr>
          <w:rFonts w:cstheme="minorHAnsi"/>
        </w:rPr>
        <w:fldChar w:fldCharType="begin"/>
      </w:r>
      <w:r w:rsidRPr="00F14573">
        <w:rPr>
          <w:rFonts w:cstheme="minorHAnsi"/>
        </w:rPr>
        <w:instrText xml:space="preserve"> HYPERLINK "https://ieeexplore.ieee.org/mediastore_new/IEEE/content/media/3/25962/1158822/1158822-fig-2-source-large.gif" </w:instrText>
      </w:r>
      <w:r w:rsidRPr="00F14573">
        <w:rPr>
          <w:rFonts w:cstheme="minorHAnsi"/>
        </w:rPr>
        <w:fldChar w:fldCharType="separate"/>
      </w:r>
      <w:r w:rsidRPr="005570EA">
        <w:rPr>
          <w:rStyle w:val="Hyperlink"/>
          <w:rFonts w:cstheme="minorHAnsi"/>
          <w:noProof/>
        </w:rPr>
        <w:drawing>
          <wp:inline distT="0" distB="0" distL="0" distR="0" wp14:anchorId="405693BE" wp14:editId="441C12FA">
            <wp:extent cx="2651288" cy="2277763"/>
            <wp:effectExtent l="0" t="0" r="0" b="8255"/>
            <wp:docPr id="5" name="Picture 5" descr="Fig. 2. Magnification of Fig. 1 for w=50 nm and w=100 nm.">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gure 2">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08242" cy="2326693"/>
                    </a:xfrm>
                    <a:prstGeom prst="rect">
                      <a:avLst/>
                    </a:prstGeom>
                    <a:noFill/>
                    <a:ln>
                      <a:noFill/>
                    </a:ln>
                  </pic:spPr>
                </pic:pic>
              </a:graphicData>
            </a:graphic>
          </wp:inline>
        </w:drawing>
      </w:r>
    </w:p>
    <w:p w14:paraId="6C6DEE3C" w14:textId="37A08B57" w:rsidR="00F14573" w:rsidRPr="00F14573" w:rsidRDefault="00F14573" w:rsidP="00F14573">
      <w:pPr>
        <w:rPr>
          <w:rFonts w:cstheme="minorHAnsi"/>
        </w:rPr>
      </w:pPr>
      <w:r w:rsidRPr="00F14573">
        <w:rPr>
          <w:rFonts w:cstheme="minorHAnsi"/>
        </w:rPr>
        <w:fldChar w:fldCharType="end"/>
      </w:r>
      <w:r w:rsidRPr="00F14573">
        <w:rPr>
          <w:rFonts w:cstheme="minorHAnsi"/>
          <w:b/>
          <w:bCs/>
        </w:rPr>
        <w:t xml:space="preserve">Fig. 2. </w:t>
      </w:r>
      <w:r w:rsidRPr="00F14573">
        <w:rPr>
          <w:rFonts w:cstheme="minorHAnsi"/>
        </w:rPr>
        <w:t xml:space="preserve">Magnification of Fig. 1 for </w:t>
      </w:r>
      <w:r w:rsidRPr="00F14573">
        <w:rPr>
          <w:rFonts w:cstheme="minorHAnsi"/>
          <w:i/>
          <w:iCs/>
        </w:rPr>
        <w:t>w</w:t>
      </w:r>
      <w:r w:rsidRPr="00F14573">
        <w:rPr>
          <w:rFonts w:cstheme="minorHAnsi"/>
        </w:rPr>
        <w:t xml:space="preserve">=50 nm and </w:t>
      </w:r>
      <w:r w:rsidRPr="00F14573">
        <w:rPr>
          <w:rFonts w:cstheme="minorHAnsi"/>
          <w:i/>
          <w:iCs/>
        </w:rPr>
        <w:t>w</w:t>
      </w:r>
      <w:r w:rsidRPr="00F14573">
        <w:rPr>
          <w:rFonts w:cstheme="minorHAnsi"/>
        </w:rPr>
        <w:t>=100 nm.</w:t>
      </w:r>
    </w:p>
    <w:p w14:paraId="10CCEC4F" w14:textId="77777777" w:rsidR="00F14573" w:rsidRPr="00F14573" w:rsidRDefault="00F14573" w:rsidP="00F14573">
      <w:pPr>
        <w:rPr>
          <w:rFonts w:cstheme="minorHAnsi"/>
        </w:rPr>
      </w:pPr>
      <w:r w:rsidRPr="00F14573">
        <w:rPr>
          <w:rFonts w:cstheme="minorHAnsi"/>
        </w:rPr>
        <w:lastRenderedPageBreak/>
        <w:t xml:space="preserve">Two sets of results were generated for each width. In the first set, we assumed that the injected carrier possessed no initial energy (i.e., </w:t>
      </w:r>
      <w:r w:rsidRPr="00F14573">
        <w:rPr>
          <w:rFonts w:cstheme="minorHAnsi"/>
          <w:i/>
          <w:iCs/>
        </w:rPr>
        <w:t>E</w:t>
      </w:r>
      <w:r w:rsidRPr="00F14573">
        <w:rPr>
          <w:rFonts w:cstheme="minorHAnsi"/>
        </w:rPr>
        <w:t xml:space="preserve">0=0), in which case the results were obtained by solving </w:t>
      </w:r>
      <w:hyperlink r:id="rId19" w:anchor="deqn4-5" w:history="1">
        <w:r w:rsidRPr="00F14573">
          <w:rPr>
            <w:rStyle w:val="Hyperlink"/>
            <w:rFonts w:cstheme="minorHAnsi"/>
          </w:rPr>
          <w:t>(4) and (5)</w:t>
        </w:r>
      </w:hyperlink>
      <w:r w:rsidRPr="00F14573">
        <w:rPr>
          <w:rFonts w:cstheme="minorHAnsi"/>
        </w:rPr>
        <w:t xml:space="preserve"> and the breakdown probability was calculated using 1−</w:t>
      </w:r>
      <w:r w:rsidRPr="00F14573">
        <w:rPr>
          <w:rFonts w:cstheme="minorHAnsi"/>
          <w:i/>
          <w:iCs/>
        </w:rPr>
        <w:t>PZ</w:t>
      </w:r>
      <w:r w:rsidRPr="00F14573">
        <w:rPr>
          <w:rFonts w:cstheme="minorHAnsi"/>
        </w:rPr>
        <w:t xml:space="preserve">(0). We refer to this set of results as the DSMT predictions. In the second set of results, we assumed that the initial energy was in excess of the electron ionization energy </w:t>
      </w:r>
      <w:r w:rsidRPr="00F14573">
        <w:rPr>
          <w:rFonts w:cstheme="minorHAnsi"/>
          <w:i/>
          <w:iCs/>
        </w:rPr>
        <w:t>Eie</w:t>
      </w:r>
      <w:r w:rsidRPr="00F14573">
        <w:rPr>
          <w:rFonts w:cstheme="minorHAnsi"/>
        </w:rPr>
        <w:t xml:space="preserve">, in which case the initial dead space </w:t>
      </w:r>
      <w:r w:rsidRPr="00F14573">
        <w:rPr>
          <w:rFonts w:cstheme="minorHAnsi"/>
          <w:i/>
          <w:iCs/>
        </w:rPr>
        <w:t>de</w:t>
      </w:r>
      <w:r w:rsidRPr="00F14573">
        <w:rPr>
          <w:rFonts w:cstheme="minorHAnsi"/>
        </w:rPr>
        <w:t xml:space="preserve">0 was set to zero. These results were obtained by inserting </w:t>
      </w:r>
      <w:r w:rsidRPr="00F14573">
        <w:rPr>
          <w:rFonts w:cstheme="minorHAnsi"/>
          <w:i/>
          <w:iCs/>
        </w:rPr>
        <w:t>PZ</w:t>
      </w:r>
      <w:r w:rsidRPr="00F14573">
        <w:rPr>
          <w:rFonts w:cstheme="minorHAnsi"/>
        </w:rPr>
        <w:t>(</w:t>
      </w:r>
      <w:r w:rsidRPr="00F14573">
        <w:rPr>
          <w:rFonts w:cstheme="minorHAnsi"/>
          <w:i/>
          <w:iCs/>
        </w:rPr>
        <w:t>x</w:t>
      </w:r>
      <w:r w:rsidRPr="00F14573">
        <w:rPr>
          <w:rFonts w:cstheme="minorHAnsi"/>
        </w:rPr>
        <w:t xml:space="preserve">) and </w:t>
      </w:r>
      <w:r w:rsidRPr="00F14573">
        <w:rPr>
          <w:rFonts w:cstheme="minorHAnsi"/>
          <w:i/>
          <w:iCs/>
        </w:rPr>
        <w:t>PY</w:t>
      </w:r>
      <w:r w:rsidRPr="00F14573">
        <w:rPr>
          <w:rFonts w:cstheme="minorHAnsi"/>
        </w:rPr>
        <w:t>(</w:t>
      </w:r>
      <w:r w:rsidRPr="00F14573">
        <w:rPr>
          <w:rFonts w:cstheme="minorHAnsi"/>
          <w:i/>
          <w:iCs/>
        </w:rPr>
        <w:t>x</w:t>
      </w:r>
      <w:r w:rsidRPr="00F14573">
        <w:rPr>
          <w:rFonts w:cstheme="minorHAnsi"/>
        </w:rPr>
        <w:t>), which were found for the first set, into (6), and the breakdown probability was calculated using 1−P{</w:t>
      </w:r>
      <w:r w:rsidRPr="00F14573">
        <w:rPr>
          <w:rFonts w:cstheme="minorHAnsi"/>
          <w:i/>
          <w:iCs/>
        </w:rPr>
        <w:t>Z</w:t>
      </w:r>
      <w:r w:rsidRPr="00F14573">
        <w:rPr>
          <w:rFonts w:cstheme="minorHAnsi"/>
        </w:rPr>
        <w:t xml:space="preserve">0(0)&lt;∞}. We refer to this second set of calculations as the maximal-MDSMT predictions, as they reflect the maximum initial-energy effect. The predicted breakdown probabilities are shown in Fig. 1 for </w:t>
      </w:r>
      <w:r w:rsidRPr="00F14573">
        <w:rPr>
          <w:rFonts w:cstheme="minorHAnsi"/>
          <w:i/>
          <w:iCs/>
        </w:rPr>
        <w:t>w</w:t>
      </w:r>
      <w:r w:rsidRPr="00F14573">
        <w:rPr>
          <w:rFonts w:cstheme="minorHAnsi"/>
        </w:rPr>
        <w:t xml:space="preserve">=50, 100, 200, 400, 800, and 1600 nm. As expected, reducing </w:t>
      </w:r>
      <w:r w:rsidRPr="00F14573">
        <w:rPr>
          <w:rFonts w:cstheme="minorHAnsi"/>
          <w:i/>
          <w:iCs/>
        </w:rPr>
        <w:t>w</w:t>
      </w:r>
      <w:r w:rsidRPr="00F14573">
        <w:rPr>
          <w:rFonts w:cstheme="minorHAnsi"/>
        </w:rPr>
        <w:t xml:space="preserve"> serves to cause breakdown to occur at a lower reverse bias. Moreover, for a fixed </w:t>
      </w:r>
      <w:r w:rsidRPr="00F14573">
        <w:rPr>
          <w:rFonts w:cstheme="minorHAnsi"/>
          <w:i/>
          <w:iCs/>
        </w:rPr>
        <w:t>w</w:t>
      </w:r>
      <w:r w:rsidRPr="00F14573">
        <w:rPr>
          <w:rFonts w:cstheme="minorHAnsi"/>
        </w:rPr>
        <w:t xml:space="preserve">, the initial energy of injected carriers causes the breakdown to occur more abruptly, as can be seen from the magnified plots in Fig. 2. This new result can be explained as follows. The initial energy of an injected carrier enhances the probability of the initial impact ionization occurring in the onset of the multiplication process (i.e., near the edge of the multiplication region). This, in turn, will enhance the breakdown probability as each of the offspring electrons will have a higher chance of breakdown as they have a longer distance to travel. Note that the breakdown voltage </w:t>
      </w:r>
      <w:r w:rsidRPr="00F14573">
        <w:rPr>
          <w:rFonts w:cstheme="minorHAnsi"/>
          <w:i/>
          <w:iCs/>
        </w:rPr>
        <w:t>VB</w:t>
      </w:r>
      <w:r w:rsidRPr="00F14573">
        <w:rPr>
          <w:rFonts w:cstheme="minorHAnsi"/>
        </w:rPr>
        <w:t xml:space="preserve"> is the voltage corresponding to the point when the breakdown probability begins to exceed zero. We also note that the calculated values of the breakdown probability near breakdown are sensitive to precision error (resulting from discretizing the recurrence equations); however, the calculated values rapidly stabilize beyond the breakdown voltage. We emphasize that in our calculation we used nonlocalized ionization coefficients [4], [5]. The use of the bulk, or so-called localized, ionization coefficients [16] cannot be justified for our technique, as they are not consistent with the dead space theory. It was observed that attempting to use such localized coefficients in the current recurrence technique can lead to unstable solutions.</w:t>
      </w:r>
    </w:p>
    <w:p w14:paraId="20923E03" w14:textId="77777777" w:rsidR="00F14573" w:rsidRPr="00F14573" w:rsidRDefault="00F14573" w:rsidP="00F14573">
      <w:pPr>
        <w:rPr>
          <w:rFonts w:cstheme="minorHAnsi"/>
        </w:rPr>
      </w:pPr>
      <w:r w:rsidRPr="00F14573">
        <w:rPr>
          <w:rFonts w:cstheme="minorHAnsi"/>
        </w:rPr>
        <w:t>We also observe from Fig. 2 that both the DSMT and the maximal-MDSMT models predict a more abrupt transition for a thin device than a thick one. However, in order to see the magnitude of this increase in transition abruptness relative to the breakdown voltage, we normalized the transition abruptness by the breakdown voltage. To do so, we calculated the breakdown steepness factor Δ</w:t>
      </w:r>
      <w:r w:rsidRPr="00F14573">
        <w:rPr>
          <w:rFonts w:cstheme="minorHAnsi"/>
          <w:i/>
          <w:iCs/>
        </w:rPr>
        <w:t>V</w:t>
      </w:r>
      <w:r w:rsidRPr="00F14573">
        <w:rPr>
          <w:rFonts w:cstheme="minorHAnsi"/>
        </w:rPr>
        <w:t>/</w:t>
      </w:r>
      <w:r w:rsidRPr="00F14573">
        <w:rPr>
          <w:rFonts w:cstheme="minorHAnsi"/>
          <w:i/>
          <w:iCs/>
        </w:rPr>
        <w:t>VB</w:t>
      </w:r>
      <w:r w:rsidRPr="00F14573">
        <w:rPr>
          <w:rFonts w:cstheme="minorHAnsi"/>
        </w:rPr>
        <w:t>, where Δ</w:t>
      </w:r>
      <w:r w:rsidRPr="00F14573">
        <w:rPr>
          <w:rFonts w:cstheme="minorHAnsi"/>
          <w:i/>
          <w:iCs/>
        </w:rPr>
        <w:t>V</w:t>
      </w:r>
      <w:r w:rsidRPr="00F14573">
        <w:rPr>
          <w:rFonts w:cstheme="minorHAnsi"/>
        </w:rPr>
        <w:t xml:space="preserve"> is the voltage difference corresponding to the transition in breakdown probability from 0.05 to 0.95. (The smaller the steepness factor, the more abrupt the transition is.) Fig. 3 shows the behavior the steepness factor as a function of </w:t>
      </w:r>
      <w:r w:rsidRPr="00F14573">
        <w:rPr>
          <w:rFonts w:cstheme="minorHAnsi"/>
          <w:i/>
          <w:iCs/>
        </w:rPr>
        <w:t>w</w:t>
      </w:r>
      <w:r w:rsidRPr="00F14573">
        <w:rPr>
          <w:rFonts w:cstheme="minorHAnsi"/>
        </w:rPr>
        <w:t xml:space="preserve">. According to DSMT model, as </w:t>
      </w:r>
      <w:r w:rsidRPr="00F14573">
        <w:rPr>
          <w:rFonts w:cstheme="minorHAnsi"/>
          <w:i/>
          <w:iCs/>
        </w:rPr>
        <w:t>w</w:t>
      </w:r>
      <w:r w:rsidRPr="00F14573">
        <w:rPr>
          <w:rFonts w:cstheme="minorHAnsi"/>
        </w:rPr>
        <w:t xml:space="preserve"> decreases, the steepness factor increases, and hence the transition from stable to unstable becomes </w:t>
      </w:r>
      <w:r w:rsidRPr="00F14573">
        <w:rPr>
          <w:rFonts w:cstheme="minorHAnsi"/>
          <w:i/>
          <w:iCs/>
        </w:rPr>
        <w:t>relatively</w:t>
      </w:r>
      <w:r w:rsidRPr="00F14573">
        <w:rPr>
          <w:rFonts w:cstheme="minorHAnsi"/>
        </w:rPr>
        <w:t xml:space="preserve"> less abrupt. However, according to maximal-MDSMT calculations, the steepness factor is almost invariant as </w:t>
      </w:r>
      <w:r w:rsidRPr="00F14573">
        <w:rPr>
          <w:rFonts w:cstheme="minorHAnsi"/>
          <w:i/>
          <w:iCs/>
        </w:rPr>
        <w:t>w</w:t>
      </w:r>
      <w:r w:rsidRPr="00F14573">
        <w:rPr>
          <w:rFonts w:cstheme="minorHAnsi"/>
        </w:rPr>
        <w:t xml:space="preserve"> decreases. Hence, the initial energy of injected carriers serves to preserve the stable-to-unstable transition characteristics, especially for low values of </w:t>
      </w:r>
      <w:r w:rsidRPr="00F14573">
        <w:rPr>
          <w:rFonts w:cstheme="minorHAnsi"/>
          <w:i/>
          <w:iCs/>
        </w:rPr>
        <w:t>w</w:t>
      </w:r>
      <w:r w:rsidRPr="00F14573">
        <w:rPr>
          <w:rFonts w:cstheme="minorHAnsi"/>
        </w:rPr>
        <w:t>. This is a very desirable feature: it indicates that the reduction in the breakdown voltage with decreasing device thickness can be made available without compromising the relative abruptness of the breakdown transition.</w:t>
      </w:r>
    </w:p>
    <w:p w14:paraId="2F14C920" w14:textId="30C9072A" w:rsidR="00F14573" w:rsidRPr="00F14573" w:rsidRDefault="00F14573" w:rsidP="00BA669E">
      <w:pPr>
        <w:pStyle w:val="Heading1"/>
        <w:rPr>
          <w:b/>
          <w:bCs/>
        </w:rPr>
      </w:pPr>
      <w:r w:rsidRPr="00F14573">
        <w:t>SECTION IV.</w:t>
      </w:r>
      <w:r w:rsidR="00BA669E">
        <w:t xml:space="preserve"> </w:t>
      </w:r>
      <w:r w:rsidRPr="00F14573">
        <w:rPr>
          <w:b/>
          <w:bCs/>
        </w:rPr>
        <w:t xml:space="preserve">Comparison </w:t>
      </w:r>
      <w:proofErr w:type="gramStart"/>
      <w:r w:rsidRPr="00F14573">
        <w:rPr>
          <w:b/>
          <w:bCs/>
        </w:rPr>
        <w:t>With</w:t>
      </w:r>
      <w:proofErr w:type="gramEnd"/>
      <w:r w:rsidRPr="00F14573">
        <w:rPr>
          <w:b/>
          <w:bCs/>
        </w:rPr>
        <w:t xml:space="preserve"> Experiments</w:t>
      </w:r>
    </w:p>
    <w:p w14:paraId="4B749C61" w14:textId="77777777" w:rsidR="00F14573" w:rsidRPr="00F14573" w:rsidRDefault="00F14573" w:rsidP="00F14573">
      <w:pPr>
        <w:rPr>
          <w:rFonts w:cstheme="minorHAnsi"/>
        </w:rPr>
      </w:pPr>
      <w:r w:rsidRPr="00F14573">
        <w:rPr>
          <w:rFonts w:cstheme="minorHAnsi"/>
        </w:rPr>
        <w:t>The purpose of this section is to validate our predictions of the breakdown voltage for thin APDs. Moreover, since in this paper, the breakdown voltage is extracted directly from the predicted behavior of the breakdown probability as a function of the applied bias, agreement of the breakdown-voltage predictions with experiment will also serve to partially validate the correctness of our model for the breakdown probability. According to our</w:t>
      </w:r>
    </w:p>
    <w:p w14:paraId="53A00137" w14:textId="01A4A06C" w:rsidR="00F14573" w:rsidRPr="00F14573" w:rsidRDefault="00F14573" w:rsidP="00BA669E">
      <w:pPr>
        <w:spacing w:after="0"/>
        <w:rPr>
          <w:rStyle w:val="Hyperlink"/>
          <w:rFonts w:cstheme="minorHAnsi"/>
        </w:rPr>
      </w:pPr>
      <w:r w:rsidRPr="00F14573">
        <w:rPr>
          <w:rFonts w:cstheme="minorHAnsi"/>
        </w:rPr>
        <w:lastRenderedPageBreak/>
        <w:fldChar w:fldCharType="begin"/>
      </w:r>
      <w:r w:rsidRPr="00F14573">
        <w:rPr>
          <w:rFonts w:cstheme="minorHAnsi"/>
        </w:rPr>
        <w:instrText xml:space="preserve"> HYPERLINK "https://ieeexplore.ieee.org/mediastore_new/IEEE/content/media/3/25962/1158822/1158822-fig-3-source-large.gif" </w:instrText>
      </w:r>
      <w:r w:rsidRPr="00F14573">
        <w:rPr>
          <w:rFonts w:cstheme="minorHAnsi"/>
        </w:rPr>
        <w:fldChar w:fldCharType="separate"/>
      </w:r>
      <w:r w:rsidRPr="005570EA">
        <w:rPr>
          <w:rStyle w:val="Hyperlink"/>
          <w:rFonts w:cstheme="minorHAnsi"/>
          <w:noProof/>
        </w:rPr>
        <w:drawing>
          <wp:inline distT="0" distB="0" distL="0" distR="0" wp14:anchorId="546EB9B6" wp14:editId="50E602F4">
            <wp:extent cx="2724823" cy="2298357"/>
            <wp:effectExtent l="0" t="0" r="0" b="6985"/>
            <wp:docPr id="4" name="Picture 4" descr="Fig. 3. Characteristics of the transition steepness factor ΔV/V for GaAs. This factor is zero when the transition is abrupt.">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igure 3">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72207" cy="2338325"/>
                    </a:xfrm>
                    <a:prstGeom prst="rect">
                      <a:avLst/>
                    </a:prstGeom>
                    <a:noFill/>
                    <a:ln>
                      <a:noFill/>
                    </a:ln>
                  </pic:spPr>
                </pic:pic>
              </a:graphicData>
            </a:graphic>
          </wp:inline>
        </w:drawing>
      </w:r>
    </w:p>
    <w:p w14:paraId="1CABA1CF" w14:textId="6A432BEA" w:rsidR="00F14573" w:rsidRPr="00F14573" w:rsidRDefault="00F14573" w:rsidP="00F14573">
      <w:pPr>
        <w:rPr>
          <w:rFonts w:cstheme="minorHAnsi"/>
        </w:rPr>
      </w:pPr>
      <w:r w:rsidRPr="00F14573">
        <w:rPr>
          <w:rFonts w:cstheme="minorHAnsi"/>
        </w:rPr>
        <w:fldChar w:fldCharType="end"/>
      </w:r>
      <w:r w:rsidRPr="00F14573">
        <w:rPr>
          <w:rFonts w:cstheme="minorHAnsi"/>
          <w:b/>
          <w:bCs/>
        </w:rPr>
        <w:t xml:space="preserve">Fig. 3. </w:t>
      </w:r>
      <w:r w:rsidRPr="00F14573">
        <w:rPr>
          <w:rFonts w:cstheme="minorHAnsi"/>
        </w:rPr>
        <w:t>Characteristics of the transition steepness factor Δ</w:t>
      </w:r>
      <w:r w:rsidRPr="00F14573">
        <w:rPr>
          <w:rFonts w:cstheme="minorHAnsi"/>
          <w:i/>
          <w:iCs/>
        </w:rPr>
        <w:t>V</w:t>
      </w:r>
      <w:r w:rsidRPr="00F14573">
        <w:rPr>
          <w:rFonts w:cstheme="minorHAnsi"/>
        </w:rPr>
        <w:t>/</w:t>
      </w:r>
      <w:r w:rsidRPr="00F14573">
        <w:rPr>
          <w:rFonts w:cstheme="minorHAnsi"/>
          <w:i/>
          <w:iCs/>
        </w:rPr>
        <w:t>V</w:t>
      </w:r>
      <w:r w:rsidRPr="00F14573">
        <w:rPr>
          <w:rFonts w:cstheme="minorHAnsi"/>
        </w:rPr>
        <w:t xml:space="preserve"> for GaAs. This factor is zero when the transition is abrupt.</w:t>
      </w:r>
    </w:p>
    <w:p w14:paraId="4E5606C3" w14:textId="77777777" w:rsidR="00F14573" w:rsidRPr="00F14573" w:rsidRDefault="00F14573" w:rsidP="00F14573">
      <w:pPr>
        <w:rPr>
          <w:rFonts w:cstheme="minorHAnsi"/>
        </w:rPr>
      </w:pPr>
      <w:r w:rsidRPr="00F14573">
        <w:rPr>
          <w:rFonts w:cstheme="minorHAnsi"/>
        </w:rPr>
        <w:t>knowledge, there is no relevant experimental data available on the probability of breakdown; thus, our predictions regarding the steepness of the breakdown probability cannot be experimentally verified at this time.</w:t>
      </w:r>
    </w:p>
    <w:p w14:paraId="554E40FA" w14:textId="19D7A561" w:rsidR="00F14573" w:rsidRPr="00F14573" w:rsidRDefault="00F14573" w:rsidP="00BA669E">
      <w:pPr>
        <w:spacing w:after="0"/>
        <w:rPr>
          <w:rStyle w:val="Hyperlink"/>
          <w:rFonts w:cstheme="minorHAnsi"/>
        </w:rPr>
      </w:pPr>
      <w:r w:rsidRPr="00F14573">
        <w:rPr>
          <w:rFonts w:cstheme="minorHAnsi"/>
        </w:rPr>
        <w:fldChar w:fldCharType="begin"/>
      </w:r>
      <w:r w:rsidRPr="00F14573">
        <w:rPr>
          <w:rFonts w:cstheme="minorHAnsi"/>
        </w:rPr>
        <w:instrText xml:space="preserve"> HYPERLINK "https://ieeexplore.ieee.org/mediastore_new/IEEE/content/media/3/25962/1158822/1158822-fig-4-source-large.gif" </w:instrText>
      </w:r>
      <w:r w:rsidRPr="00F14573">
        <w:rPr>
          <w:rFonts w:cstheme="minorHAnsi"/>
        </w:rPr>
        <w:fldChar w:fldCharType="separate"/>
      </w:r>
      <w:r w:rsidRPr="005570EA">
        <w:rPr>
          <w:rStyle w:val="Hyperlink"/>
          <w:rFonts w:cstheme="minorHAnsi"/>
          <w:noProof/>
        </w:rPr>
        <w:drawing>
          <wp:inline distT="0" distB="0" distL="0" distR="0" wp14:anchorId="36D76537" wp14:editId="0CB586D1">
            <wp:extent cx="2740665" cy="2331308"/>
            <wp:effectExtent l="0" t="0" r="2540" b="0"/>
            <wp:docPr id="3" name="Picture 3" descr="Fig. 4. DSMT predictions and experimental values of the breakdown voltage for various GaAs APDs.">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igure 4">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785069" cy="2369080"/>
                    </a:xfrm>
                    <a:prstGeom prst="rect">
                      <a:avLst/>
                    </a:prstGeom>
                    <a:noFill/>
                    <a:ln>
                      <a:noFill/>
                    </a:ln>
                  </pic:spPr>
                </pic:pic>
              </a:graphicData>
            </a:graphic>
          </wp:inline>
        </w:drawing>
      </w:r>
    </w:p>
    <w:p w14:paraId="76F1730D" w14:textId="7FBF21DF" w:rsidR="00F14573" w:rsidRPr="00F14573" w:rsidRDefault="00F14573" w:rsidP="00F14573">
      <w:pPr>
        <w:rPr>
          <w:rFonts w:cstheme="minorHAnsi"/>
        </w:rPr>
      </w:pPr>
      <w:r w:rsidRPr="00F14573">
        <w:rPr>
          <w:rFonts w:cstheme="minorHAnsi"/>
        </w:rPr>
        <w:fldChar w:fldCharType="end"/>
      </w:r>
      <w:r w:rsidRPr="00F14573">
        <w:rPr>
          <w:rFonts w:cstheme="minorHAnsi"/>
          <w:b/>
          <w:bCs/>
        </w:rPr>
        <w:t xml:space="preserve">Fig. 4. </w:t>
      </w:r>
      <w:r w:rsidRPr="00F14573">
        <w:rPr>
          <w:rFonts w:cstheme="minorHAnsi"/>
        </w:rPr>
        <w:t>DSMT predictions and experimental values of the breakdown voltage for various GaAs APDs.</w:t>
      </w:r>
    </w:p>
    <w:p w14:paraId="18807C3B" w14:textId="77777777" w:rsidR="00F14573" w:rsidRPr="00F14573" w:rsidRDefault="00F14573" w:rsidP="00F14573">
      <w:pPr>
        <w:rPr>
          <w:rFonts w:cstheme="minorHAnsi"/>
        </w:rPr>
      </w:pPr>
      <w:r w:rsidRPr="00F14573">
        <w:rPr>
          <w:rFonts w:cstheme="minorHAnsi"/>
        </w:rPr>
        <w:t xml:space="preserve">The predicted breakdown voltage </w:t>
      </w:r>
      <w:r w:rsidRPr="00F14573">
        <w:rPr>
          <w:rFonts w:cstheme="minorHAnsi"/>
          <w:i/>
          <w:iCs/>
        </w:rPr>
        <w:t>VB</w:t>
      </w:r>
      <w:r w:rsidRPr="00F14573">
        <w:rPr>
          <w:rFonts w:cstheme="minorHAnsi"/>
        </w:rPr>
        <w:t xml:space="preserve"> was compared with the measured values obtained for homojunction GaAs APDs. These homojunctions, which were described in detail in [2], have been shown to exhibit negligible initial-energy effect [11]. We, therefore, only considered the DSMT predictions and not the MDSMT in this case. For various multiplication-region widths, the predicted and experimental values for the breakdown voltage were, respectively, 7.03 and 6.86 V (at </w:t>
      </w:r>
      <w:r w:rsidRPr="00F14573">
        <w:rPr>
          <w:rFonts w:cstheme="minorHAnsi"/>
          <w:i/>
          <w:iCs/>
        </w:rPr>
        <w:t>w</w:t>
      </w:r>
      <w:r w:rsidRPr="00F14573">
        <w:rPr>
          <w:rFonts w:cstheme="minorHAnsi"/>
        </w:rPr>
        <w:t xml:space="preserve">=100 nm), 10.06 and 9.92 V (at </w:t>
      </w:r>
      <w:r w:rsidRPr="00F14573">
        <w:rPr>
          <w:rFonts w:cstheme="minorHAnsi"/>
          <w:i/>
          <w:iCs/>
        </w:rPr>
        <w:t>w</w:t>
      </w:r>
      <w:r w:rsidRPr="00F14573">
        <w:rPr>
          <w:rFonts w:cstheme="minorHAnsi"/>
        </w:rPr>
        <w:t xml:space="preserve">=200 nm), 18.75 and 19.05 V (at </w:t>
      </w:r>
      <w:r w:rsidRPr="00F14573">
        <w:rPr>
          <w:rFonts w:cstheme="minorHAnsi"/>
          <w:i/>
          <w:iCs/>
        </w:rPr>
        <w:t>w</w:t>
      </w:r>
      <w:r w:rsidRPr="00F14573">
        <w:rPr>
          <w:rFonts w:cstheme="minorHAnsi"/>
        </w:rPr>
        <w:t xml:space="preserve">=500 nm), and 26.72 and 27.60 V (at </w:t>
      </w:r>
      <w:r w:rsidRPr="00F14573">
        <w:rPr>
          <w:rFonts w:cstheme="minorHAnsi"/>
          <w:i/>
          <w:iCs/>
        </w:rPr>
        <w:t>w</w:t>
      </w:r>
      <w:r w:rsidRPr="00F14573">
        <w:rPr>
          <w:rFonts w:cstheme="minorHAnsi"/>
        </w:rPr>
        <w:t>=800 nm). The corresponding breakdown electric-field values are shown in Fig. 4, demonstrating the very good agreement between the DSMT predictions and experiment. Such good prediction of the breakdown voltage was also demonstrated earlier using a different technique (which does not yield the breakdown probability) based on impulse-response considerations [9]. We emphasize that the excellent agreement with experiment was obtained as a direct result of using the independently-calculated ionization coefficients and threshold energies [4] in the breakdown recurrence theory without introducing any model adjustments or auxiliary parameters to fit the data.</w:t>
      </w:r>
    </w:p>
    <w:p w14:paraId="142AA9B8" w14:textId="77777777" w:rsidR="00F14573" w:rsidRPr="00F14573" w:rsidRDefault="00F14573" w:rsidP="00F14573">
      <w:pPr>
        <w:rPr>
          <w:rFonts w:cstheme="minorHAnsi"/>
        </w:rPr>
      </w:pPr>
      <w:r w:rsidRPr="00F14573">
        <w:rPr>
          <w:rFonts w:cstheme="minorHAnsi"/>
        </w:rPr>
        <w:t>We also applied the theory to two heterostructure APDs. The first device was a GaAs–Al</w:t>
      </w:r>
      <w:r w:rsidRPr="00F14573">
        <w:rPr>
          <w:rFonts w:cstheme="minorHAnsi"/>
          <w:vertAlign w:val="subscript"/>
        </w:rPr>
        <w:t>0.6</w:t>
      </w:r>
      <w:r w:rsidRPr="00F14573">
        <w:rPr>
          <w:rFonts w:cstheme="minorHAnsi"/>
        </w:rPr>
        <w:t>Ga</w:t>
      </w:r>
      <w:r w:rsidRPr="00F14573">
        <w:rPr>
          <w:rFonts w:cstheme="minorHAnsi"/>
          <w:vertAlign w:val="subscript"/>
        </w:rPr>
        <w:t>0.4</w:t>
      </w:r>
      <w:r w:rsidRPr="00F14573">
        <w:rPr>
          <w:rFonts w:cstheme="minorHAnsi"/>
        </w:rPr>
        <w:t xml:space="preserve">As heterostructure, where the multiplication is confined to the GaAs layer and </w:t>
      </w:r>
      <w:r w:rsidRPr="00F14573">
        <w:rPr>
          <w:rFonts w:cstheme="minorHAnsi"/>
          <w:i/>
          <w:iCs/>
        </w:rPr>
        <w:t>w</w:t>
      </w:r>
      <w:r w:rsidRPr="00F14573">
        <w:rPr>
          <w:rFonts w:cstheme="minorHAnsi"/>
        </w:rPr>
        <w:t xml:space="preserve">=130 nm. (Electrons are injected </w:t>
      </w:r>
      <w:r w:rsidRPr="00F14573">
        <w:rPr>
          <w:rFonts w:cstheme="minorHAnsi"/>
        </w:rPr>
        <w:lastRenderedPageBreak/>
        <w:t>from the Al</w:t>
      </w:r>
      <w:r w:rsidRPr="00F14573">
        <w:rPr>
          <w:rFonts w:cstheme="minorHAnsi"/>
          <w:vertAlign w:val="subscript"/>
        </w:rPr>
        <w:t>0.6</w:t>
      </w:r>
      <w:r w:rsidRPr="00F14573">
        <w:rPr>
          <w:rFonts w:cstheme="minorHAnsi"/>
        </w:rPr>
        <w:t>Ga</w:t>
      </w:r>
      <w:r w:rsidRPr="00F14573">
        <w:rPr>
          <w:rFonts w:cstheme="minorHAnsi"/>
          <w:vertAlign w:val="subscript"/>
        </w:rPr>
        <w:t>0.4</w:t>
      </w:r>
      <w:r w:rsidRPr="00F14573">
        <w:rPr>
          <w:rFonts w:cstheme="minorHAnsi"/>
        </w:rPr>
        <w:t xml:space="preserve">As </w:t>
      </w:r>
      <w:r w:rsidRPr="00F14573">
        <w:rPr>
          <w:rFonts w:cstheme="minorHAnsi"/>
          <w:i/>
          <w:iCs/>
        </w:rPr>
        <w:t>p</w:t>
      </w:r>
      <w:r w:rsidRPr="00F14573">
        <w:rPr>
          <w:rFonts w:cstheme="minorHAnsi"/>
        </w:rPr>
        <w:t xml:space="preserve">-layer into the GaAs </w:t>
      </w:r>
      <w:r w:rsidRPr="00F14573">
        <w:rPr>
          <w:rFonts w:cstheme="minorHAnsi"/>
          <w:i/>
          <w:iCs/>
        </w:rPr>
        <w:t>i</w:t>
      </w:r>
      <w:r w:rsidRPr="00F14573">
        <w:rPr>
          <w:rFonts w:cstheme="minorHAnsi"/>
        </w:rPr>
        <w:t xml:space="preserve"> layer.) It was previously shown that at high electric fields (&gt; 670 kV/cm), the initial-energy effect for this device reached its maximal limit, in which case the initial dead space vanished for the injected electron [11]. The second device was also a GaAs–Al</w:t>
      </w:r>
      <w:r w:rsidRPr="00F14573">
        <w:rPr>
          <w:rFonts w:cstheme="minorHAnsi"/>
          <w:vertAlign w:val="subscript"/>
        </w:rPr>
        <w:t>0.6</w:t>
      </w:r>
      <w:r w:rsidRPr="00F14573">
        <w:rPr>
          <w:rFonts w:cstheme="minorHAnsi"/>
        </w:rPr>
        <w:t>Ga</w:t>
      </w:r>
      <w:r w:rsidRPr="00F14573">
        <w:rPr>
          <w:rFonts w:cstheme="minorHAnsi"/>
          <w:vertAlign w:val="subscript"/>
        </w:rPr>
        <w:t>0.4</w:t>
      </w:r>
      <w:r w:rsidRPr="00F14573">
        <w:rPr>
          <w:rFonts w:cstheme="minorHAnsi"/>
        </w:rPr>
        <w:t>As heterostructure APD, but for which the multiplication takes place in two adjacent Al</w:t>
      </w:r>
      <w:r w:rsidRPr="00F14573">
        <w:rPr>
          <w:rFonts w:cstheme="minorHAnsi"/>
          <w:vertAlign w:val="subscript"/>
        </w:rPr>
        <w:t>0.6</w:t>
      </w:r>
      <w:r w:rsidRPr="00F14573">
        <w:rPr>
          <w:rFonts w:cstheme="minorHAnsi"/>
        </w:rPr>
        <w:t>Ga</w:t>
      </w:r>
      <w:r w:rsidRPr="00F14573">
        <w:rPr>
          <w:rFonts w:cstheme="minorHAnsi"/>
          <w:vertAlign w:val="subscript"/>
        </w:rPr>
        <w:t>0.4</w:t>
      </w:r>
      <w:r w:rsidRPr="00F14573">
        <w:rPr>
          <w:rFonts w:cstheme="minorHAnsi"/>
        </w:rPr>
        <w:t xml:space="preserve">As (100 nm) and GaAs (30 nm) </w:t>
      </w:r>
      <w:r w:rsidRPr="00F14573">
        <w:rPr>
          <w:rFonts w:cstheme="minorHAnsi"/>
          <w:i/>
          <w:iCs/>
        </w:rPr>
        <w:t>i</w:t>
      </w:r>
      <w:r w:rsidRPr="00F14573">
        <w:rPr>
          <w:rFonts w:cstheme="minorHAnsi"/>
        </w:rPr>
        <w:t xml:space="preserve"> layers. (Electrons are injected from an Al</w:t>
      </w:r>
      <w:r w:rsidRPr="00F14573">
        <w:rPr>
          <w:rFonts w:cstheme="minorHAnsi"/>
          <w:vertAlign w:val="subscript"/>
        </w:rPr>
        <w:t>0.6</w:t>
      </w:r>
      <w:r w:rsidRPr="00F14573">
        <w:rPr>
          <w:rFonts w:cstheme="minorHAnsi"/>
        </w:rPr>
        <w:t>Ga</w:t>
      </w:r>
      <w:r w:rsidRPr="00F14573">
        <w:rPr>
          <w:rFonts w:cstheme="minorHAnsi"/>
          <w:vertAlign w:val="subscript"/>
        </w:rPr>
        <w:t>0.4</w:t>
      </w:r>
      <w:r w:rsidRPr="00F14573">
        <w:rPr>
          <w:rFonts w:cstheme="minorHAnsi"/>
        </w:rPr>
        <w:t xml:space="preserve">As </w:t>
      </w:r>
      <w:r w:rsidRPr="00F14573">
        <w:rPr>
          <w:rFonts w:cstheme="minorHAnsi"/>
          <w:i/>
          <w:iCs/>
        </w:rPr>
        <w:t>p</w:t>
      </w:r>
      <w:r w:rsidRPr="00F14573">
        <w:rPr>
          <w:rFonts w:cstheme="minorHAnsi"/>
        </w:rPr>
        <w:t>-layer into the Al</w:t>
      </w:r>
      <w:r w:rsidRPr="00F14573">
        <w:rPr>
          <w:rFonts w:cstheme="minorHAnsi"/>
          <w:vertAlign w:val="subscript"/>
        </w:rPr>
        <w:t>0.6</w:t>
      </w:r>
      <w:r w:rsidRPr="00F14573">
        <w:rPr>
          <w:rFonts w:cstheme="minorHAnsi"/>
        </w:rPr>
        <w:t>Ga</w:t>
      </w:r>
      <w:r w:rsidRPr="00F14573">
        <w:rPr>
          <w:rFonts w:cstheme="minorHAnsi"/>
          <w:vertAlign w:val="subscript"/>
        </w:rPr>
        <w:t>0.4</w:t>
      </w:r>
      <w:r w:rsidRPr="00F14573">
        <w:rPr>
          <w:rFonts w:cstheme="minorHAnsi"/>
        </w:rPr>
        <w:t xml:space="preserve">As </w:t>
      </w:r>
      <w:r w:rsidRPr="00F14573">
        <w:rPr>
          <w:rFonts w:cstheme="minorHAnsi"/>
          <w:i/>
          <w:iCs/>
        </w:rPr>
        <w:t>i</w:t>
      </w:r>
      <w:r w:rsidRPr="00F14573">
        <w:rPr>
          <w:rFonts w:cstheme="minorHAnsi"/>
        </w:rPr>
        <w:t xml:space="preserve"> layer.) The width of the overall multiplication region for the second device was thus 130 nm. (For Al</w:t>
      </w:r>
      <w:r w:rsidRPr="00F14573">
        <w:rPr>
          <w:rFonts w:cstheme="minorHAnsi"/>
          <w:vertAlign w:val="subscript"/>
        </w:rPr>
        <w:t>0.6</w:t>
      </w:r>
      <w:r w:rsidRPr="00F14573">
        <w:rPr>
          <w:rFonts w:cstheme="minorHAnsi"/>
        </w:rPr>
        <w:t>Ga</w:t>
      </w:r>
      <w:r w:rsidRPr="00F14573">
        <w:rPr>
          <w:rFonts w:cstheme="minorHAnsi"/>
          <w:vertAlign w:val="subscript"/>
        </w:rPr>
        <w:t>0.4</w:t>
      </w:r>
      <w:r w:rsidRPr="00F14573">
        <w:rPr>
          <w:rFonts w:cstheme="minorHAnsi"/>
        </w:rPr>
        <w:t>As, the parameters for the ionization coefficients were taken from Tan et al. [5].) The effect of initial energy in this device was shown to be very modest, resulting in a dead-space reduction of no more than 10% at E=800 kV/cm [11].</w:t>
      </w:r>
      <w:r w:rsidRPr="00F14573">
        <w:rPr>
          <w:rFonts w:cstheme="minorHAnsi"/>
          <w:vertAlign w:val="superscript"/>
        </w:rPr>
        <w:t>1</w:t>
      </w:r>
      <w:r w:rsidRPr="00F14573">
        <w:rPr>
          <w:rFonts w:cstheme="minorHAnsi"/>
        </w:rPr>
        <w:t xml:space="preserve"> We performed three sets of calculations for each device: These included the DSMT and the maximal-MDSMT predictions, as well as the MDSMT predictions, in which case the actual initial energy of injected carriers was used. </w:t>
      </w:r>
    </w:p>
    <w:p w14:paraId="43BDB9DB" w14:textId="5B6F100A" w:rsidR="00F14573" w:rsidRPr="00F14573" w:rsidRDefault="00F14573" w:rsidP="00BA669E">
      <w:pPr>
        <w:spacing w:after="0"/>
        <w:rPr>
          <w:rStyle w:val="Hyperlink"/>
          <w:rFonts w:cstheme="minorHAnsi"/>
        </w:rPr>
      </w:pPr>
      <w:r w:rsidRPr="00F14573">
        <w:rPr>
          <w:rFonts w:cstheme="minorHAnsi"/>
        </w:rPr>
        <w:fldChar w:fldCharType="begin"/>
      </w:r>
      <w:r w:rsidRPr="00F14573">
        <w:rPr>
          <w:rFonts w:cstheme="minorHAnsi"/>
        </w:rPr>
        <w:instrText xml:space="preserve"> HYPERLINK "https://ieeexplore.ieee.org/mediastore_new/IEEE/content/media/3/25962/1158822/1158822-fig-5-source-large.gif" </w:instrText>
      </w:r>
      <w:r w:rsidRPr="00F14573">
        <w:rPr>
          <w:rFonts w:cstheme="minorHAnsi"/>
        </w:rPr>
        <w:fldChar w:fldCharType="separate"/>
      </w:r>
      <w:r w:rsidRPr="005570EA">
        <w:rPr>
          <w:rStyle w:val="Hyperlink"/>
          <w:rFonts w:cstheme="minorHAnsi"/>
          <w:noProof/>
        </w:rPr>
        <w:drawing>
          <wp:inline distT="0" distB="0" distL="0" distR="0" wp14:anchorId="0052D09E" wp14:editId="67574414">
            <wp:extent cx="2760737" cy="2318952"/>
            <wp:effectExtent l="0" t="0" r="1905" b="5715"/>
            <wp:docPr id="2" name="Picture 2" descr="Fig. 5. Breakdown probability versus applied reverse-bias voltage for the first heterostructure GaAs–Al0.6Ga0.4As APD, which has a GaAs multiplication-region width of 130 nm. Three separate curves are shown representing the DSMT-predictions (solid), the MDSMT predictions (dotted-dashed), and the maximal-MDSMT predictions (dash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igure 5">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822638" cy="2370948"/>
                    </a:xfrm>
                    <a:prstGeom prst="rect">
                      <a:avLst/>
                    </a:prstGeom>
                    <a:noFill/>
                    <a:ln>
                      <a:noFill/>
                    </a:ln>
                  </pic:spPr>
                </pic:pic>
              </a:graphicData>
            </a:graphic>
          </wp:inline>
        </w:drawing>
      </w:r>
    </w:p>
    <w:p w14:paraId="0AC5D90D" w14:textId="22A970FB" w:rsidR="00F14573" w:rsidRPr="00F14573" w:rsidRDefault="00F14573" w:rsidP="00F14573">
      <w:pPr>
        <w:rPr>
          <w:rFonts w:cstheme="minorHAnsi"/>
        </w:rPr>
      </w:pPr>
      <w:r w:rsidRPr="00F14573">
        <w:rPr>
          <w:rFonts w:cstheme="minorHAnsi"/>
        </w:rPr>
        <w:fldChar w:fldCharType="end"/>
      </w:r>
      <w:r w:rsidRPr="00F14573">
        <w:rPr>
          <w:rFonts w:cstheme="minorHAnsi"/>
          <w:b/>
          <w:bCs/>
        </w:rPr>
        <w:t xml:space="preserve">Fig. 5. </w:t>
      </w:r>
      <w:r w:rsidRPr="00F14573">
        <w:rPr>
          <w:rFonts w:cstheme="minorHAnsi"/>
        </w:rPr>
        <w:t>Breakdown probability versus applied reverse-bias voltage for the first heterostructure GaAs–Al</w:t>
      </w:r>
      <w:r w:rsidRPr="00F14573">
        <w:rPr>
          <w:rFonts w:cstheme="minorHAnsi"/>
          <w:vertAlign w:val="subscript"/>
        </w:rPr>
        <w:t>0.6</w:t>
      </w:r>
      <w:r w:rsidRPr="00F14573">
        <w:rPr>
          <w:rFonts w:cstheme="minorHAnsi"/>
        </w:rPr>
        <w:t>Ga</w:t>
      </w:r>
      <w:r w:rsidRPr="00F14573">
        <w:rPr>
          <w:rFonts w:cstheme="minorHAnsi"/>
          <w:vertAlign w:val="subscript"/>
        </w:rPr>
        <w:t>0.4</w:t>
      </w:r>
      <w:r w:rsidRPr="00F14573">
        <w:rPr>
          <w:rFonts w:cstheme="minorHAnsi"/>
        </w:rPr>
        <w:t>As APD, which has a GaAs multiplication-region width of 130 nm. Three separate curves are shown representing the DSMT-predictions (solid), the MDSMT predictions (dotted-dashed), and the maximal-MDSMT predictions (dashed).</w:t>
      </w:r>
    </w:p>
    <w:p w14:paraId="073E603B" w14:textId="6F12918C" w:rsidR="00F14573" w:rsidRPr="00F14573" w:rsidRDefault="00F14573" w:rsidP="00BA669E">
      <w:pPr>
        <w:spacing w:after="0"/>
        <w:rPr>
          <w:rStyle w:val="Hyperlink"/>
          <w:rFonts w:cstheme="minorHAnsi"/>
        </w:rPr>
      </w:pPr>
      <w:r w:rsidRPr="00F14573">
        <w:rPr>
          <w:rFonts w:cstheme="minorHAnsi"/>
        </w:rPr>
        <w:fldChar w:fldCharType="begin"/>
      </w:r>
      <w:r w:rsidRPr="00F14573">
        <w:rPr>
          <w:rFonts w:cstheme="minorHAnsi"/>
        </w:rPr>
        <w:instrText xml:space="preserve"> HYPERLINK "https://ieeexplore.ieee.org/mediastore_new/IEEE/content/media/3/25962/1158822/1158822-fig-6-source-large.gif" </w:instrText>
      </w:r>
      <w:r w:rsidRPr="00F14573">
        <w:rPr>
          <w:rFonts w:cstheme="minorHAnsi"/>
        </w:rPr>
        <w:fldChar w:fldCharType="separate"/>
      </w:r>
      <w:r w:rsidRPr="005570EA">
        <w:rPr>
          <w:rStyle w:val="Hyperlink"/>
          <w:rFonts w:cstheme="minorHAnsi"/>
          <w:noProof/>
        </w:rPr>
        <w:drawing>
          <wp:inline distT="0" distB="0" distL="0" distR="0" wp14:anchorId="0419E484" wp14:editId="68926703">
            <wp:extent cx="2741274" cy="2286000"/>
            <wp:effectExtent l="0" t="0" r="2540" b="0"/>
            <wp:docPr id="1" name="Picture 1" descr="Fig. 6. Same as Fig. 5 but for the second GaAs–Al0.6Ga0.4As heterostructure, which has a two-layer Al0.6Ga0.4As–GaAs multiplication region width total width of 130 nm.">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igure 6">
                      <a:hlinkClick r:id="rId26"/>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flipH="1">
                      <a:off x="0" y="0"/>
                      <a:ext cx="2803683" cy="2338044"/>
                    </a:xfrm>
                    <a:prstGeom prst="rect">
                      <a:avLst/>
                    </a:prstGeom>
                    <a:noFill/>
                    <a:ln>
                      <a:noFill/>
                    </a:ln>
                  </pic:spPr>
                </pic:pic>
              </a:graphicData>
            </a:graphic>
          </wp:inline>
        </w:drawing>
      </w:r>
    </w:p>
    <w:p w14:paraId="03DF0139" w14:textId="0141702F" w:rsidR="00F14573" w:rsidRPr="00F14573" w:rsidRDefault="00F14573" w:rsidP="00F14573">
      <w:pPr>
        <w:rPr>
          <w:rFonts w:cstheme="minorHAnsi"/>
        </w:rPr>
      </w:pPr>
      <w:r w:rsidRPr="00F14573">
        <w:rPr>
          <w:rFonts w:cstheme="minorHAnsi"/>
        </w:rPr>
        <w:fldChar w:fldCharType="end"/>
      </w:r>
      <w:r w:rsidRPr="00F14573">
        <w:rPr>
          <w:rFonts w:cstheme="minorHAnsi"/>
          <w:b/>
          <w:bCs/>
        </w:rPr>
        <w:t xml:space="preserve">Fig. 6. </w:t>
      </w:r>
      <w:r w:rsidRPr="00F14573">
        <w:rPr>
          <w:rFonts w:cstheme="minorHAnsi"/>
        </w:rPr>
        <w:t>Same as Fig. 5 but for the second GaAs–Al</w:t>
      </w:r>
      <w:r w:rsidRPr="00F14573">
        <w:rPr>
          <w:rFonts w:cstheme="minorHAnsi"/>
          <w:vertAlign w:val="subscript"/>
        </w:rPr>
        <w:t>0.6</w:t>
      </w:r>
      <w:r w:rsidRPr="00F14573">
        <w:rPr>
          <w:rFonts w:cstheme="minorHAnsi"/>
        </w:rPr>
        <w:t>Ga</w:t>
      </w:r>
      <w:r w:rsidRPr="00F14573">
        <w:rPr>
          <w:rFonts w:cstheme="minorHAnsi"/>
          <w:vertAlign w:val="subscript"/>
        </w:rPr>
        <w:t>0.4</w:t>
      </w:r>
      <w:r w:rsidRPr="00F14573">
        <w:rPr>
          <w:rFonts w:cstheme="minorHAnsi"/>
        </w:rPr>
        <w:t>As heterostructure, which has a two-layer Al</w:t>
      </w:r>
      <w:r w:rsidRPr="00F14573">
        <w:rPr>
          <w:rFonts w:cstheme="minorHAnsi"/>
          <w:vertAlign w:val="subscript"/>
        </w:rPr>
        <w:t>0.6</w:t>
      </w:r>
      <w:r w:rsidRPr="00F14573">
        <w:rPr>
          <w:rFonts w:cstheme="minorHAnsi"/>
        </w:rPr>
        <w:t>Ga</w:t>
      </w:r>
      <w:r w:rsidRPr="00F14573">
        <w:rPr>
          <w:rFonts w:cstheme="minorHAnsi"/>
          <w:vertAlign w:val="subscript"/>
        </w:rPr>
        <w:t>0.4</w:t>
      </w:r>
      <w:r w:rsidRPr="00F14573">
        <w:rPr>
          <w:rFonts w:cstheme="minorHAnsi"/>
        </w:rPr>
        <w:t>As–GaAs multiplication region width total width of 130 nm.</w:t>
      </w:r>
    </w:p>
    <w:p w14:paraId="04CBB7A6" w14:textId="77777777" w:rsidR="00F14573" w:rsidRPr="00F14573" w:rsidRDefault="00F14573" w:rsidP="00F14573">
      <w:pPr>
        <w:rPr>
          <w:rFonts w:cstheme="minorHAnsi"/>
        </w:rPr>
      </w:pPr>
      <w:r w:rsidRPr="00F14573">
        <w:rPr>
          <w:rFonts w:cstheme="minorHAnsi"/>
        </w:rPr>
        <w:t xml:space="preserve">These initial energies were previously calculated from the electric-field profile for each device, which were calculated using Medici software according to the doping profiles obtained from secondary ion mass spectroscopy (SIMS) [11]. (A lookup table was generated relating the applied bias voltages to the electric-field profiles.) The predictions for the first heterostructure are shown in Fig. 5. Consistent with the homojunction </w:t>
      </w:r>
      <w:r w:rsidRPr="00F14573">
        <w:rPr>
          <w:rFonts w:cstheme="minorHAnsi"/>
        </w:rPr>
        <w:lastRenderedPageBreak/>
        <w:t>GaAs results, the maximal-MDSMT model predicts a more abrupt transition from sub-breakdown to breakdown than the DSMT. Moreover, the maximal-MDSMT and MDSMT curves are almost overlapping, since the initial dead space is almost nonexistent. In contrast, the behavior is different for the second heterostructure, as shown in Fig. 6, where the MDSMT and DSMT predictions are almost indistinguishable. This is because the initial energy in the second device is negligible in comparison to the ionization threshold for Al</w:t>
      </w:r>
      <w:r w:rsidRPr="00F14573">
        <w:rPr>
          <w:rFonts w:cstheme="minorHAnsi"/>
          <w:vertAlign w:val="subscript"/>
        </w:rPr>
        <w:t>0.6</w:t>
      </w:r>
      <w:r w:rsidRPr="00F14573">
        <w:rPr>
          <w:rFonts w:cstheme="minorHAnsi"/>
        </w:rPr>
        <w:t>Ga</w:t>
      </w:r>
      <w:r w:rsidRPr="00F14573">
        <w:rPr>
          <w:rFonts w:cstheme="minorHAnsi"/>
          <w:vertAlign w:val="subscript"/>
        </w:rPr>
        <w:t>0.4</w:t>
      </w:r>
      <w:r w:rsidRPr="00F14573">
        <w:rPr>
          <w:rFonts w:cstheme="minorHAnsi"/>
        </w:rPr>
        <w:t xml:space="preserve">As. As for the breakdown voltage </w:t>
      </w:r>
      <w:r w:rsidRPr="00F14573">
        <w:rPr>
          <w:rFonts w:cstheme="minorHAnsi"/>
          <w:i/>
          <w:iCs/>
        </w:rPr>
        <w:t>VB</w:t>
      </w:r>
      <w:r w:rsidRPr="00F14573">
        <w:rPr>
          <w:rFonts w:cstheme="minorHAnsi"/>
        </w:rPr>
        <w:t xml:space="preserve"> for these two heterostructures, the MDSMT predictions for the first and second heterostructure APDs were 8.37 and 11.00 V, respectively, whereas the corresponding experimental values were 8.35 and 12.43 V.</w:t>
      </w:r>
    </w:p>
    <w:p w14:paraId="165109D7" w14:textId="77777777" w:rsidR="00F14573" w:rsidRPr="00F14573" w:rsidRDefault="00F14573" w:rsidP="00F14573">
      <w:pPr>
        <w:rPr>
          <w:rFonts w:cstheme="minorHAnsi"/>
        </w:rPr>
      </w:pPr>
      <w:r w:rsidRPr="00F14573">
        <w:rPr>
          <w:rFonts w:cstheme="minorHAnsi"/>
        </w:rPr>
        <w:t xml:space="preserve">We finally make the comment that the initial-energy effect considered in this paper does not affect the breakdown voltage, as can be seen from Figs. 1, 2, 5, and 6. This behavior can be explained from the formulas given in </w:t>
      </w:r>
      <w:hyperlink r:id="rId28" w:anchor="deqn4-5" w:history="1">
        <w:r w:rsidRPr="00F14573">
          <w:rPr>
            <w:rStyle w:val="Hyperlink"/>
            <w:rFonts w:cstheme="minorHAnsi"/>
          </w:rPr>
          <w:t>(4)</w:t>
        </w:r>
      </w:hyperlink>
      <w:r w:rsidRPr="00F14573">
        <w:rPr>
          <w:rFonts w:cstheme="minorHAnsi"/>
        </w:rPr>
        <w:t xml:space="preserve"> and </w:t>
      </w:r>
      <w:hyperlink r:id="rId29" w:anchor="deqn6" w:history="1">
        <w:r w:rsidRPr="00F14573">
          <w:rPr>
            <w:rStyle w:val="Hyperlink"/>
            <w:rFonts w:cstheme="minorHAnsi"/>
          </w:rPr>
          <w:t>(6)</w:t>
        </w:r>
      </w:hyperlink>
      <w:r w:rsidRPr="00F14573">
        <w:rPr>
          <w:rFonts w:cstheme="minorHAnsi"/>
        </w:rPr>
        <w:t>. First, note that P{</w:t>
      </w:r>
      <w:r w:rsidRPr="00F14573">
        <w:rPr>
          <w:rFonts w:cstheme="minorHAnsi"/>
          <w:i/>
          <w:iCs/>
        </w:rPr>
        <w:t>Z</w:t>
      </w:r>
      <w:r w:rsidRPr="00F14573">
        <w:rPr>
          <w:rFonts w:cstheme="minorHAnsi"/>
        </w:rPr>
        <w:t>0(</w:t>
      </w:r>
      <w:r w:rsidRPr="00F14573">
        <w:rPr>
          <w:rFonts w:cstheme="minorHAnsi"/>
          <w:i/>
          <w:iCs/>
        </w:rPr>
        <w:t>x</w:t>
      </w:r>
      <w:r w:rsidRPr="00F14573">
        <w:rPr>
          <w:rFonts w:cstheme="minorHAnsi"/>
        </w:rPr>
        <w:t xml:space="preserve">)&lt;∞}=1 precisely when the integrands </w:t>
      </w:r>
      <w:r w:rsidRPr="00F14573">
        <w:rPr>
          <w:rFonts w:cstheme="minorHAnsi"/>
          <w:i/>
          <w:iCs/>
        </w:rPr>
        <w:t>PZ</w:t>
      </w:r>
      <w:r w:rsidRPr="00F14573">
        <w:rPr>
          <w:rFonts w:cstheme="minorHAnsi"/>
        </w:rPr>
        <w:t>(</w:t>
      </w:r>
      <w:r w:rsidRPr="00F14573">
        <w:rPr>
          <w:rFonts w:cstheme="minorHAnsi"/>
          <w:i/>
          <w:iCs/>
        </w:rPr>
        <w:t>x</w:t>
      </w:r>
      <w:r w:rsidRPr="00F14573">
        <w:rPr>
          <w:rFonts w:cstheme="minorHAnsi"/>
        </w:rPr>
        <w:t xml:space="preserve">) and </w:t>
      </w:r>
      <w:r w:rsidRPr="00F14573">
        <w:rPr>
          <w:rFonts w:cstheme="minorHAnsi"/>
          <w:i/>
          <w:iCs/>
        </w:rPr>
        <w:t>PY</w:t>
      </w:r>
      <w:r w:rsidRPr="00F14573">
        <w:rPr>
          <w:rFonts w:cstheme="minorHAnsi"/>
        </w:rPr>
        <w:t>(</w:t>
      </w:r>
      <w:r w:rsidRPr="00F14573">
        <w:rPr>
          <w:rFonts w:cstheme="minorHAnsi"/>
          <w:i/>
          <w:iCs/>
        </w:rPr>
        <w:t>x</w:t>
      </w:r>
      <w:r w:rsidRPr="00F14573">
        <w:rPr>
          <w:rFonts w:cstheme="minorHAnsi"/>
        </w:rPr>
        <w:t xml:space="preserve">) (in the second integral) are unity over the support of </w:t>
      </w:r>
      <w:r w:rsidRPr="00F14573">
        <w:rPr>
          <w:rFonts w:cstheme="minorHAnsi"/>
          <w:i/>
          <w:iCs/>
        </w:rPr>
        <w:t>he</w:t>
      </w:r>
      <w:r w:rsidRPr="00F14573">
        <w:rPr>
          <w:rFonts w:cstheme="minorHAnsi"/>
        </w:rPr>
        <w:t>0(</w:t>
      </w:r>
      <w:r w:rsidRPr="00F14573">
        <w:rPr>
          <w:rFonts w:cstheme="minorHAnsi"/>
          <w:i/>
          <w:iCs/>
        </w:rPr>
        <w:t>x</w:t>
      </w:r>
      <w:r w:rsidRPr="00F14573">
        <w:rPr>
          <w:rFonts w:cstheme="minorHAnsi"/>
        </w:rPr>
        <w:t xml:space="preserve">) (i.e., the range over which </w:t>
      </w:r>
      <w:r w:rsidRPr="00F14573">
        <w:rPr>
          <w:rFonts w:cstheme="minorHAnsi"/>
          <w:i/>
          <w:iCs/>
        </w:rPr>
        <w:t>he</w:t>
      </w:r>
      <w:r w:rsidRPr="00F14573">
        <w:rPr>
          <w:rFonts w:cstheme="minorHAnsi"/>
        </w:rPr>
        <w:t>0(</w:t>
      </w:r>
      <w:r w:rsidRPr="00F14573">
        <w:rPr>
          <w:rFonts w:cstheme="minorHAnsi"/>
          <w:i/>
          <w:iCs/>
        </w:rPr>
        <w:t>x</w:t>
      </w:r>
      <w:r w:rsidRPr="00F14573">
        <w:rPr>
          <w:rFonts w:cstheme="minorHAnsi"/>
        </w:rPr>
        <w:t xml:space="preserve">) is nonzero). In such a case, the relationship </w:t>
      </w:r>
      <w:hyperlink r:id="rId30" w:anchor="deqn4-5" w:history="1">
        <w:r w:rsidRPr="00F14573">
          <w:rPr>
            <w:rStyle w:val="Hyperlink"/>
            <w:rFonts w:cstheme="minorHAnsi"/>
          </w:rPr>
          <w:t>(4)</w:t>
        </w:r>
      </w:hyperlink>
      <w:r w:rsidRPr="00F14573">
        <w:rPr>
          <w:rFonts w:cstheme="minorHAnsi"/>
        </w:rPr>
        <w:t xml:space="preserve"> necessarily implies that </w:t>
      </w:r>
      <w:r w:rsidRPr="00F14573">
        <w:rPr>
          <w:rFonts w:cstheme="minorHAnsi"/>
          <w:i/>
          <w:iCs/>
        </w:rPr>
        <w:t>PZ</w:t>
      </w:r>
      <w:r w:rsidRPr="00F14573">
        <w:rPr>
          <w:rFonts w:cstheme="minorHAnsi"/>
        </w:rPr>
        <w:t xml:space="preserve">(0)=1 as long as the support of </w:t>
      </w:r>
      <w:r w:rsidRPr="00F14573">
        <w:rPr>
          <w:rFonts w:cstheme="minorHAnsi"/>
          <w:i/>
          <w:iCs/>
        </w:rPr>
        <w:t>he</w:t>
      </w:r>
      <w:r w:rsidRPr="00F14573">
        <w:rPr>
          <w:rFonts w:cstheme="minorHAnsi"/>
        </w:rPr>
        <w:t>0(</w:t>
      </w:r>
      <w:r w:rsidRPr="00F14573">
        <w:rPr>
          <w:rFonts w:cstheme="minorHAnsi"/>
          <w:i/>
          <w:iCs/>
        </w:rPr>
        <w:t>x</w:t>
      </w:r>
      <w:r w:rsidRPr="00F14573">
        <w:rPr>
          <w:rFonts w:cstheme="minorHAnsi"/>
        </w:rPr>
        <w:t xml:space="preserve">) includes the support of </w:t>
      </w:r>
      <w:r w:rsidRPr="00F14573">
        <w:rPr>
          <w:rFonts w:cstheme="minorHAnsi"/>
          <w:i/>
          <w:iCs/>
        </w:rPr>
        <w:t>he</w:t>
      </w:r>
      <w:r w:rsidRPr="00F14573">
        <w:rPr>
          <w:rFonts w:cstheme="minorHAnsi"/>
        </w:rPr>
        <w:t>(</w:t>
      </w:r>
      <w:r w:rsidRPr="00F14573">
        <w:rPr>
          <w:rFonts w:cstheme="minorHAnsi"/>
          <w:i/>
          <w:iCs/>
        </w:rPr>
        <w:t>x</w:t>
      </w:r>
      <w:r w:rsidRPr="00F14573">
        <w:rPr>
          <w:rFonts w:cstheme="minorHAnsi"/>
        </w:rPr>
        <w:t xml:space="preserve">), which is the case here since </w:t>
      </w:r>
      <w:r w:rsidRPr="00F14573">
        <w:rPr>
          <w:rFonts w:cstheme="minorHAnsi"/>
          <w:i/>
          <w:iCs/>
        </w:rPr>
        <w:t>he</w:t>
      </w:r>
      <w:r w:rsidRPr="00F14573">
        <w:rPr>
          <w:rFonts w:cstheme="minorHAnsi"/>
        </w:rPr>
        <w:t>0(</w:t>
      </w:r>
      <w:r w:rsidRPr="00F14573">
        <w:rPr>
          <w:rFonts w:cstheme="minorHAnsi"/>
          <w:i/>
          <w:iCs/>
        </w:rPr>
        <w:t>x</w:t>
      </w:r>
      <w:r w:rsidRPr="00F14573">
        <w:rPr>
          <w:rFonts w:cstheme="minorHAnsi"/>
        </w:rPr>
        <w:t>) involves a reduced dead space. Thus, P{</w:t>
      </w:r>
      <w:r w:rsidRPr="00F14573">
        <w:rPr>
          <w:rFonts w:cstheme="minorHAnsi"/>
          <w:i/>
          <w:iCs/>
        </w:rPr>
        <w:t>Z</w:t>
      </w:r>
      <w:r w:rsidRPr="00F14573">
        <w:rPr>
          <w:rFonts w:cstheme="minorHAnsi"/>
        </w:rPr>
        <w:t>0(</w:t>
      </w:r>
      <w:r w:rsidRPr="00F14573">
        <w:rPr>
          <w:rFonts w:cstheme="minorHAnsi"/>
          <w:i/>
          <w:iCs/>
        </w:rPr>
        <w:t>x</w:t>
      </w:r>
      <w:r w:rsidRPr="00F14573">
        <w:rPr>
          <w:rFonts w:cstheme="minorHAnsi"/>
        </w:rPr>
        <w:t xml:space="preserve">)&lt;∞}=1 implies </w:t>
      </w:r>
      <w:r w:rsidRPr="00F14573">
        <w:rPr>
          <w:rFonts w:cstheme="minorHAnsi"/>
          <w:i/>
          <w:iCs/>
        </w:rPr>
        <w:t>PZ</w:t>
      </w:r>
      <w:r w:rsidRPr="00F14573">
        <w:rPr>
          <w:rFonts w:cstheme="minorHAnsi"/>
        </w:rPr>
        <w:t>(0)=1, which means that stability in the presence of the injected-carrier's initial energy implies stability in the absence of the initial energy. Conversely, suppose that P{</w:t>
      </w:r>
      <w:r w:rsidRPr="00F14573">
        <w:rPr>
          <w:rFonts w:cstheme="minorHAnsi"/>
          <w:i/>
          <w:iCs/>
        </w:rPr>
        <w:t>Z</w:t>
      </w:r>
      <w:r w:rsidRPr="00F14573">
        <w:rPr>
          <w:rFonts w:cstheme="minorHAnsi"/>
        </w:rPr>
        <w:t>0(</w:t>
      </w:r>
      <w:r w:rsidRPr="00F14573">
        <w:rPr>
          <w:rFonts w:cstheme="minorHAnsi"/>
          <w:i/>
          <w:iCs/>
        </w:rPr>
        <w:t>x</w:t>
      </w:r>
      <w:r w:rsidRPr="00F14573">
        <w:rPr>
          <w:rFonts w:cstheme="minorHAnsi"/>
        </w:rPr>
        <w:t xml:space="preserve">)&lt;∞}&lt;1, which corresponds to instability in the presence of the initial energy. Then, it follows from </w:t>
      </w:r>
      <w:hyperlink r:id="rId31" w:anchor="deqn6" w:history="1">
        <w:r w:rsidRPr="00F14573">
          <w:rPr>
            <w:rStyle w:val="Hyperlink"/>
            <w:rFonts w:cstheme="minorHAnsi"/>
          </w:rPr>
          <w:t>(6)</w:t>
        </w:r>
      </w:hyperlink>
      <w:r w:rsidRPr="00F14573">
        <w:rPr>
          <w:rFonts w:cstheme="minorHAnsi"/>
        </w:rPr>
        <w:t xml:space="preserve"> that </w:t>
      </w:r>
      <w:r w:rsidRPr="00F14573">
        <w:rPr>
          <w:rFonts w:cstheme="minorHAnsi"/>
          <w:i/>
          <w:iCs/>
        </w:rPr>
        <w:t>PZ</w:t>
      </w:r>
      <w:r w:rsidRPr="00F14573">
        <w:rPr>
          <w:rFonts w:cstheme="minorHAnsi"/>
        </w:rPr>
        <w:t>(</w:t>
      </w:r>
      <w:r w:rsidRPr="00F14573">
        <w:rPr>
          <w:rFonts w:cstheme="minorHAnsi"/>
          <w:i/>
          <w:iCs/>
        </w:rPr>
        <w:t>x</w:t>
      </w:r>
      <w:r w:rsidRPr="00F14573">
        <w:rPr>
          <w:rFonts w:cstheme="minorHAnsi"/>
        </w:rPr>
        <w:t xml:space="preserve">)&lt;1 or </w:t>
      </w:r>
      <w:r w:rsidRPr="00F14573">
        <w:rPr>
          <w:rFonts w:cstheme="minorHAnsi"/>
          <w:i/>
          <w:iCs/>
        </w:rPr>
        <w:t>PY</w:t>
      </w:r>
      <w:r w:rsidRPr="00F14573">
        <w:rPr>
          <w:rFonts w:cstheme="minorHAnsi"/>
        </w:rPr>
        <w:t>(</w:t>
      </w:r>
      <w:r w:rsidRPr="00F14573">
        <w:rPr>
          <w:rFonts w:cstheme="minorHAnsi"/>
          <w:i/>
          <w:iCs/>
        </w:rPr>
        <w:t>x</w:t>
      </w:r>
      <w:r w:rsidRPr="00F14573">
        <w:rPr>
          <w:rFonts w:cstheme="minorHAnsi"/>
        </w:rPr>
        <w:t xml:space="preserve">)&lt;1 within the support of </w:t>
      </w:r>
      <w:r w:rsidRPr="00F14573">
        <w:rPr>
          <w:rFonts w:cstheme="minorHAnsi"/>
          <w:i/>
          <w:iCs/>
        </w:rPr>
        <w:t>he</w:t>
      </w:r>
      <w:r w:rsidRPr="00F14573">
        <w:rPr>
          <w:rFonts w:cstheme="minorHAnsi"/>
        </w:rPr>
        <w:t>0(</w:t>
      </w:r>
      <w:r w:rsidRPr="00F14573">
        <w:rPr>
          <w:rFonts w:cstheme="minorHAnsi"/>
          <w:i/>
          <w:iCs/>
        </w:rPr>
        <w:t>x</w:t>
      </w:r>
      <w:r w:rsidRPr="00F14573">
        <w:rPr>
          <w:rFonts w:cstheme="minorHAnsi"/>
        </w:rPr>
        <w:t xml:space="preserve">). In such a case, we deduce from the relationship given in </w:t>
      </w:r>
      <w:hyperlink r:id="rId32" w:anchor="deqn4-5" w:history="1">
        <w:r w:rsidRPr="00F14573">
          <w:rPr>
            <w:rStyle w:val="Hyperlink"/>
            <w:rFonts w:cstheme="minorHAnsi"/>
          </w:rPr>
          <w:t>(4)</w:t>
        </w:r>
      </w:hyperlink>
      <w:r w:rsidRPr="00F14573">
        <w:rPr>
          <w:rFonts w:cstheme="minorHAnsi"/>
        </w:rPr>
        <w:t xml:space="preserve"> that </w:t>
      </w:r>
      <w:r w:rsidRPr="00F14573">
        <w:rPr>
          <w:rFonts w:cstheme="minorHAnsi"/>
          <w:i/>
          <w:iCs/>
        </w:rPr>
        <w:t>PZ</w:t>
      </w:r>
      <w:r w:rsidRPr="00F14573">
        <w:rPr>
          <w:rFonts w:cstheme="minorHAnsi"/>
        </w:rPr>
        <w:t xml:space="preserve">(0)&lt;1, since the support of </w:t>
      </w:r>
      <w:r w:rsidRPr="00F14573">
        <w:rPr>
          <w:rFonts w:cstheme="minorHAnsi"/>
          <w:i/>
          <w:iCs/>
        </w:rPr>
        <w:t>he</w:t>
      </w:r>
      <w:r w:rsidRPr="00F14573">
        <w:rPr>
          <w:rFonts w:cstheme="minorHAnsi"/>
        </w:rPr>
        <w:t>0(</w:t>
      </w:r>
      <w:r w:rsidRPr="00F14573">
        <w:rPr>
          <w:rFonts w:cstheme="minorHAnsi"/>
          <w:i/>
          <w:iCs/>
        </w:rPr>
        <w:t>x</w:t>
      </w:r>
      <w:r w:rsidRPr="00F14573">
        <w:rPr>
          <w:rFonts w:cstheme="minorHAnsi"/>
        </w:rPr>
        <w:t xml:space="preserve">) includes the support of </w:t>
      </w:r>
      <w:r w:rsidRPr="00F14573">
        <w:rPr>
          <w:rFonts w:cstheme="minorHAnsi"/>
          <w:i/>
          <w:iCs/>
        </w:rPr>
        <w:t>he</w:t>
      </w:r>
      <w:r w:rsidRPr="00F14573">
        <w:rPr>
          <w:rFonts w:cstheme="minorHAnsi"/>
        </w:rPr>
        <w:t>(</w:t>
      </w:r>
      <w:r w:rsidRPr="00F14573">
        <w:rPr>
          <w:rFonts w:cstheme="minorHAnsi"/>
          <w:i/>
          <w:iCs/>
        </w:rPr>
        <w:t>x</w:t>
      </w:r>
      <w:r w:rsidRPr="00F14573">
        <w:rPr>
          <w:rFonts w:cstheme="minorHAnsi"/>
        </w:rPr>
        <w:t>). This shows that P{</w:t>
      </w:r>
      <w:r w:rsidRPr="00F14573">
        <w:rPr>
          <w:rFonts w:cstheme="minorHAnsi"/>
          <w:i/>
          <w:iCs/>
        </w:rPr>
        <w:t>Z</w:t>
      </w:r>
      <w:r w:rsidRPr="00F14573">
        <w:rPr>
          <w:rFonts w:cstheme="minorHAnsi"/>
        </w:rPr>
        <w:t>0(</w:t>
      </w:r>
      <w:r w:rsidRPr="00F14573">
        <w:rPr>
          <w:rFonts w:cstheme="minorHAnsi"/>
          <w:i/>
          <w:iCs/>
        </w:rPr>
        <w:t>x</w:t>
      </w:r>
      <w:r w:rsidRPr="00F14573">
        <w:rPr>
          <w:rFonts w:cstheme="minorHAnsi"/>
        </w:rPr>
        <w:t xml:space="preserve">)&lt;∞}&lt;1 implies </w:t>
      </w:r>
      <w:r w:rsidRPr="00F14573">
        <w:rPr>
          <w:rFonts w:cstheme="minorHAnsi"/>
          <w:i/>
          <w:iCs/>
        </w:rPr>
        <w:t>PZ</w:t>
      </w:r>
      <w:r w:rsidRPr="00F14573">
        <w:rPr>
          <w:rFonts w:cstheme="minorHAnsi"/>
        </w:rPr>
        <w:t>(</w:t>
      </w:r>
      <w:r w:rsidRPr="00F14573">
        <w:rPr>
          <w:rFonts w:cstheme="minorHAnsi"/>
          <w:i/>
          <w:iCs/>
        </w:rPr>
        <w:t>x</w:t>
      </w:r>
      <w:r w:rsidRPr="00F14573">
        <w:rPr>
          <w:rFonts w:cstheme="minorHAnsi"/>
        </w:rPr>
        <w:t xml:space="preserve">)&lt;1, or equivalently, </w:t>
      </w:r>
      <w:r w:rsidRPr="00F14573">
        <w:rPr>
          <w:rFonts w:cstheme="minorHAnsi"/>
          <w:i/>
          <w:iCs/>
        </w:rPr>
        <w:t>PZ</w:t>
      </w:r>
      <w:r w:rsidRPr="00F14573">
        <w:rPr>
          <w:rFonts w:cstheme="minorHAnsi"/>
        </w:rPr>
        <w:t>(</w:t>
      </w:r>
      <w:r w:rsidRPr="00F14573">
        <w:rPr>
          <w:rFonts w:cstheme="minorHAnsi"/>
          <w:i/>
          <w:iCs/>
        </w:rPr>
        <w:t>x</w:t>
      </w:r>
      <w:r w:rsidRPr="00F14573">
        <w:rPr>
          <w:rFonts w:cstheme="minorHAnsi"/>
        </w:rPr>
        <w:t>)=1 implies P{</w:t>
      </w:r>
      <w:r w:rsidRPr="00F14573">
        <w:rPr>
          <w:rFonts w:cstheme="minorHAnsi"/>
          <w:i/>
          <w:iCs/>
        </w:rPr>
        <w:t>Z</w:t>
      </w:r>
      <w:r w:rsidRPr="00F14573">
        <w:rPr>
          <w:rFonts w:cstheme="minorHAnsi"/>
        </w:rPr>
        <w:t>0(</w:t>
      </w:r>
      <w:r w:rsidRPr="00F14573">
        <w:rPr>
          <w:rFonts w:cstheme="minorHAnsi"/>
          <w:i/>
          <w:iCs/>
        </w:rPr>
        <w:t>x</w:t>
      </w:r>
      <w:r w:rsidRPr="00F14573">
        <w:rPr>
          <w:rFonts w:cstheme="minorHAnsi"/>
        </w:rPr>
        <w:t>)&lt;∞}=1, which means that stability in the absence of the injected-carrier's initial energy implies stability in the presence of the initial energy. Thus, we have proved that stability, and thus the breakdown voltage, is independent of the initial energy of injected carriers.</w:t>
      </w:r>
    </w:p>
    <w:p w14:paraId="3473831F" w14:textId="0E6E1545" w:rsidR="00F14573" w:rsidRPr="005570EA" w:rsidRDefault="00F14573" w:rsidP="00BA669E">
      <w:pPr>
        <w:pStyle w:val="Heading1"/>
        <w:rPr>
          <w:rFonts w:asciiTheme="minorHAnsi" w:hAnsiTheme="minorHAnsi" w:cstheme="minorHAnsi"/>
        </w:rPr>
      </w:pPr>
      <w:r w:rsidRPr="005570EA">
        <w:rPr>
          <w:rFonts w:asciiTheme="minorHAnsi" w:hAnsiTheme="minorHAnsi" w:cstheme="minorHAnsi"/>
        </w:rPr>
        <w:t>SECTION V.</w:t>
      </w:r>
      <w:r w:rsidR="00BA669E">
        <w:rPr>
          <w:rFonts w:asciiTheme="minorHAnsi" w:hAnsiTheme="minorHAnsi" w:cstheme="minorHAnsi"/>
        </w:rPr>
        <w:t xml:space="preserve"> </w:t>
      </w:r>
      <w:r w:rsidRPr="005570EA">
        <w:rPr>
          <w:rFonts w:asciiTheme="minorHAnsi" w:hAnsiTheme="minorHAnsi" w:cstheme="minorHAnsi"/>
        </w:rPr>
        <w:t>Conclusions</w:t>
      </w:r>
    </w:p>
    <w:p w14:paraId="4E7A1820" w14:textId="77777777" w:rsidR="00F14573" w:rsidRPr="00F14573" w:rsidRDefault="00F14573" w:rsidP="00F14573">
      <w:pPr>
        <w:rPr>
          <w:rFonts w:cstheme="minorHAnsi"/>
        </w:rPr>
      </w:pPr>
      <w:r w:rsidRPr="00F14573">
        <w:rPr>
          <w:rFonts w:cstheme="minorHAnsi"/>
        </w:rPr>
        <w:t>In this paper, we showed that the breakdown characteristics are enhanced in thin APDs. In particular, reducing the thickness of the multiplication region not only serves to reduce the breakdown voltage, as has been observed previously, but it also makes the transition from sub-breakdown to breakdown more abrupt on an absolute scale (the transmission abruptness relative to the breakdown voltage is reduced, however). This feature is particularly desirable for Geiger-mode operation of the APD, as the likelihood of breakdown is enhanced, which leads to enhanced detection and less sensitivity to bias fluctuations. Moreover, the absolute and relative abruptness of the transition can be further enhanced if injected photogenerated carriers have an initial energy comparable to the ionization threshold. Such a phenomenon can occur in heterostructure APDs, and can be manipulated through careful bandgap engineering and doping. APD designs that have the potential for accentuating the initial-energy effect (e.g., certain separate-absorption-charge-multiplication structures) are thus expected to exhibit improved breakdown characteristics.</w:t>
      </w:r>
    </w:p>
    <w:p w14:paraId="6B4D7466" w14:textId="7C37A459" w:rsidR="005570EA" w:rsidRPr="005570EA" w:rsidRDefault="005570EA" w:rsidP="005570EA">
      <w:pPr>
        <w:pStyle w:val="Heading1"/>
        <w:rPr>
          <w:rFonts w:asciiTheme="minorHAnsi" w:hAnsiTheme="minorHAnsi"/>
        </w:rPr>
      </w:pPr>
      <w:r>
        <w:t xml:space="preserve">References </w:t>
      </w:r>
    </w:p>
    <w:p w14:paraId="179406D1" w14:textId="77777777" w:rsidR="005570EA" w:rsidRPr="005570EA" w:rsidRDefault="005570EA" w:rsidP="00BA669E">
      <w:pPr>
        <w:spacing w:after="0"/>
        <w:rPr>
          <w:rFonts w:cstheme="minorHAnsi"/>
        </w:rPr>
      </w:pPr>
      <w:bookmarkStart w:id="3" w:name="_GoBack"/>
      <w:r w:rsidRPr="005570EA">
        <w:rPr>
          <w:rFonts w:cstheme="minorHAnsi"/>
          <w:b/>
          <w:bCs/>
        </w:rPr>
        <w:t>1.</w:t>
      </w:r>
      <w:r w:rsidRPr="005570EA">
        <w:rPr>
          <w:rFonts w:cstheme="minorHAnsi"/>
        </w:rPr>
        <w:t xml:space="preserve"> M. M. Hayat, B. E. A. Saleh, M. C. Teich, "Effect of dead space on gain and noise of double-carrier-multiplication avalanche photodiodes", </w:t>
      </w:r>
      <w:r w:rsidRPr="005570EA">
        <w:rPr>
          <w:rFonts w:cstheme="minorHAnsi"/>
          <w:i/>
          <w:iCs/>
        </w:rPr>
        <w:t>IEEE Trans. Electron Devices</w:t>
      </w:r>
      <w:r w:rsidRPr="005570EA">
        <w:rPr>
          <w:rFonts w:cstheme="minorHAnsi"/>
        </w:rPr>
        <w:t xml:space="preserve">, vol. 39, pp. 546-552, 1992. </w:t>
      </w:r>
    </w:p>
    <w:p w14:paraId="4BE5C0E7" w14:textId="77777777" w:rsidR="005570EA" w:rsidRPr="005570EA" w:rsidRDefault="005570EA" w:rsidP="00BA669E">
      <w:pPr>
        <w:spacing w:after="0"/>
        <w:rPr>
          <w:rFonts w:cstheme="minorHAnsi"/>
        </w:rPr>
      </w:pPr>
      <w:r w:rsidRPr="005570EA">
        <w:rPr>
          <w:rFonts w:cstheme="minorHAnsi"/>
          <w:b/>
          <w:bCs/>
        </w:rPr>
        <w:t>2.</w:t>
      </w:r>
      <w:r w:rsidRPr="005570EA">
        <w:rPr>
          <w:rFonts w:cstheme="minorHAnsi"/>
        </w:rPr>
        <w:t xml:space="preserve"> P. Yuan, C. C. Hansing, K. A. Anselm, C. V. Lenox, H. Nie, A. L. Holmes, Jr., B. G. Streetman, J. C. Campbell, "Impact ionization characteristics of III̵V semiconductors for a wide range of multiplication region thicknesses", </w:t>
      </w:r>
      <w:r w:rsidRPr="005570EA">
        <w:rPr>
          <w:rFonts w:cstheme="minorHAnsi"/>
          <w:i/>
          <w:iCs/>
        </w:rPr>
        <w:t>IEEE J. Quantum Electron.</w:t>
      </w:r>
      <w:r w:rsidRPr="005570EA">
        <w:rPr>
          <w:rFonts w:cstheme="minorHAnsi"/>
        </w:rPr>
        <w:t xml:space="preserve">, vol. 36, pp. 198-204, 2000. </w:t>
      </w:r>
    </w:p>
    <w:p w14:paraId="7FBCA20C" w14:textId="77777777" w:rsidR="005570EA" w:rsidRPr="005570EA" w:rsidRDefault="005570EA" w:rsidP="00BA669E">
      <w:pPr>
        <w:spacing w:after="0"/>
        <w:rPr>
          <w:rFonts w:cstheme="minorHAnsi"/>
        </w:rPr>
      </w:pPr>
      <w:r w:rsidRPr="005570EA">
        <w:rPr>
          <w:rFonts w:cstheme="minorHAnsi"/>
          <w:b/>
          <w:bCs/>
        </w:rPr>
        <w:t>3.</w:t>
      </w:r>
      <w:r w:rsidRPr="005570EA">
        <w:rPr>
          <w:rFonts w:cstheme="minorHAnsi"/>
        </w:rPr>
        <w:t xml:space="preserve"> M. A. Saleh, M. M. Hayat, B. E. A. Saleh, M. C. Teich, "Dead-space-based theory correctly predicts excess noise factor for thin GaAs and AlGaAs avalanche photodiodes", </w:t>
      </w:r>
      <w:r w:rsidRPr="005570EA">
        <w:rPr>
          <w:rFonts w:cstheme="minorHAnsi"/>
          <w:i/>
          <w:iCs/>
        </w:rPr>
        <w:t>IEEE Trans. Electron Devices</w:t>
      </w:r>
      <w:r w:rsidRPr="005570EA">
        <w:rPr>
          <w:rFonts w:cstheme="minorHAnsi"/>
        </w:rPr>
        <w:t xml:space="preserve">, vol. 47, pp. 625-633, 2000. </w:t>
      </w:r>
    </w:p>
    <w:p w14:paraId="0D74602A" w14:textId="77777777" w:rsidR="005570EA" w:rsidRPr="005570EA" w:rsidRDefault="005570EA" w:rsidP="00BA669E">
      <w:pPr>
        <w:spacing w:after="0"/>
        <w:rPr>
          <w:rFonts w:cstheme="minorHAnsi"/>
        </w:rPr>
      </w:pPr>
      <w:r w:rsidRPr="005570EA">
        <w:rPr>
          <w:rFonts w:cstheme="minorHAnsi"/>
          <w:b/>
          <w:bCs/>
        </w:rPr>
        <w:lastRenderedPageBreak/>
        <w:t>4.</w:t>
      </w:r>
      <w:r w:rsidRPr="005570EA">
        <w:rPr>
          <w:rFonts w:cstheme="minorHAnsi"/>
        </w:rPr>
        <w:t xml:space="preserve"> M. A. Saleh, M. M. Hayat, P. Sotirelis, A. L. Holmes, Jr., J. C. Campbell, B. E. A. Saleh, M. C. Teich, "Impact-ionization and noise characteristics of thin III̵V avalanche photodiodes", </w:t>
      </w:r>
      <w:r w:rsidRPr="005570EA">
        <w:rPr>
          <w:rFonts w:cstheme="minorHAnsi"/>
          <w:i/>
          <w:iCs/>
        </w:rPr>
        <w:t>IEEE Trans. Electron Devices</w:t>
      </w:r>
      <w:r w:rsidRPr="005570EA">
        <w:rPr>
          <w:rFonts w:cstheme="minorHAnsi"/>
        </w:rPr>
        <w:t xml:space="preserve">, vol. 48, pp. 2722-2731, 2001. </w:t>
      </w:r>
    </w:p>
    <w:p w14:paraId="5FF9C457" w14:textId="77777777" w:rsidR="005570EA" w:rsidRPr="005570EA" w:rsidRDefault="005570EA" w:rsidP="00BA669E">
      <w:pPr>
        <w:spacing w:after="0"/>
        <w:rPr>
          <w:rFonts w:cstheme="minorHAnsi"/>
        </w:rPr>
      </w:pPr>
      <w:r w:rsidRPr="005570EA">
        <w:rPr>
          <w:rFonts w:cstheme="minorHAnsi"/>
          <w:b/>
          <w:bCs/>
        </w:rPr>
        <w:t>5.</w:t>
      </w:r>
      <w:r w:rsidRPr="005570EA">
        <w:rPr>
          <w:rFonts w:cstheme="minorHAnsi"/>
        </w:rPr>
        <w:t xml:space="preserve"> C. H. Tan, J. P. R. David, S. A. Plimmer, G. J. Rees, R. C. Tozer, R. Grey, " Low multiplication noise thin Al \$_{0.6}\$ Ga \$_{0.4}\$ As avalanche photodiodes ", </w:t>
      </w:r>
      <w:r w:rsidRPr="005570EA">
        <w:rPr>
          <w:rFonts w:cstheme="minorHAnsi"/>
          <w:i/>
          <w:iCs/>
        </w:rPr>
        <w:t>IEEE Trans. Electron Devices</w:t>
      </w:r>
      <w:r w:rsidRPr="005570EA">
        <w:rPr>
          <w:rFonts w:cstheme="minorHAnsi"/>
        </w:rPr>
        <w:t xml:space="preserve">, vol. 48, pp. 1310-1317, 2001. </w:t>
      </w:r>
    </w:p>
    <w:p w14:paraId="47C14531" w14:textId="77777777" w:rsidR="005570EA" w:rsidRPr="005570EA" w:rsidRDefault="005570EA" w:rsidP="00BA669E">
      <w:pPr>
        <w:spacing w:after="0"/>
        <w:rPr>
          <w:rFonts w:cstheme="minorHAnsi"/>
        </w:rPr>
      </w:pPr>
      <w:r w:rsidRPr="005570EA">
        <w:rPr>
          <w:rFonts w:cstheme="minorHAnsi"/>
          <w:b/>
          <w:bCs/>
        </w:rPr>
        <w:t>6.</w:t>
      </w:r>
      <w:r w:rsidRPr="005570EA">
        <w:rPr>
          <w:rFonts w:cstheme="minorHAnsi"/>
        </w:rPr>
        <w:t xml:space="preserve"> K. F. Li, D. S. Ong, J. P. R. David, G. J. Rees, R. C. Tozer, P. N. Robson, R. Grey, " Avalanche multiplication noise characteristics in thin GaAs p \$^+\$ -i-n \$^+\$ diodes ", </w:t>
      </w:r>
      <w:r w:rsidRPr="005570EA">
        <w:rPr>
          <w:rFonts w:cstheme="minorHAnsi"/>
          <w:i/>
          <w:iCs/>
        </w:rPr>
        <w:t>IEEE Trans. Electron Devices</w:t>
      </w:r>
      <w:r w:rsidRPr="005570EA">
        <w:rPr>
          <w:rFonts w:cstheme="minorHAnsi"/>
        </w:rPr>
        <w:t xml:space="preserve">, vol. 45, pp. 2102-2107, 1998. </w:t>
      </w:r>
    </w:p>
    <w:p w14:paraId="6FF33BF5" w14:textId="77777777" w:rsidR="005570EA" w:rsidRPr="005570EA" w:rsidRDefault="005570EA" w:rsidP="00BA669E">
      <w:pPr>
        <w:spacing w:after="0"/>
        <w:rPr>
          <w:rFonts w:cstheme="minorHAnsi"/>
        </w:rPr>
      </w:pPr>
      <w:r w:rsidRPr="005570EA">
        <w:rPr>
          <w:rFonts w:cstheme="minorHAnsi"/>
          <w:b/>
          <w:bCs/>
        </w:rPr>
        <w:t>7.</w:t>
      </w:r>
      <w:r w:rsidRPr="005570EA">
        <w:rPr>
          <w:rFonts w:cstheme="minorHAnsi"/>
        </w:rPr>
        <w:t xml:space="preserve"> R. J. McIntyre, "A new look at impact ionization̵Part I: A theory of gain noise breakdown probability and frequency response", </w:t>
      </w:r>
      <w:r w:rsidRPr="005570EA">
        <w:rPr>
          <w:rFonts w:cstheme="minorHAnsi"/>
          <w:i/>
          <w:iCs/>
        </w:rPr>
        <w:t>IEEE Trans. Electron Devices</w:t>
      </w:r>
      <w:r w:rsidRPr="005570EA">
        <w:rPr>
          <w:rFonts w:cstheme="minorHAnsi"/>
        </w:rPr>
        <w:t xml:space="preserve">, vol. 46, pp. 1623-1631, 1999. </w:t>
      </w:r>
    </w:p>
    <w:p w14:paraId="59E51BDD" w14:textId="77777777" w:rsidR="005570EA" w:rsidRPr="005570EA" w:rsidRDefault="005570EA" w:rsidP="00BA669E">
      <w:pPr>
        <w:spacing w:after="0"/>
        <w:rPr>
          <w:rFonts w:cstheme="minorHAnsi"/>
        </w:rPr>
      </w:pPr>
      <w:r w:rsidRPr="005570EA">
        <w:rPr>
          <w:rFonts w:cstheme="minorHAnsi"/>
          <w:b/>
          <w:bCs/>
        </w:rPr>
        <w:t>8.</w:t>
      </w:r>
      <w:r w:rsidRPr="005570EA">
        <w:rPr>
          <w:rFonts w:cstheme="minorHAnsi"/>
        </w:rPr>
        <w:t xml:space="preserve"> P. Yuan, K. A. Anselm, C. Hu, H. Nie, C. Lenox, A. L. Holmes, Jr., B. G. Streetman, J. C. Campbell, R. J. McIntyre, "A new look at impact ionization̵Part II: Gain and noise in short avalanche photodiodes", </w:t>
      </w:r>
      <w:r w:rsidRPr="005570EA">
        <w:rPr>
          <w:rFonts w:cstheme="minorHAnsi"/>
          <w:i/>
          <w:iCs/>
        </w:rPr>
        <w:t>IEEE Trans. Electron Devices</w:t>
      </w:r>
      <w:r w:rsidRPr="005570EA">
        <w:rPr>
          <w:rFonts w:cstheme="minorHAnsi"/>
        </w:rPr>
        <w:t xml:space="preserve">, vol. 46, pp. 1632-1639, 1999. </w:t>
      </w:r>
    </w:p>
    <w:p w14:paraId="2D827B7F" w14:textId="77777777" w:rsidR="005570EA" w:rsidRPr="005570EA" w:rsidRDefault="005570EA" w:rsidP="00BA669E">
      <w:pPr>
        <w:spacing w:after="0"/>
        <w:rPr>
          <w:rFonts w:cstheme="minorHAnsi"/>
        </w:rPr>
      </w:pPr>
      <w:r w:rsidRPr="005570EA">
        <w:rPr>
          <w:rFonts w:cstheme="minorHAnsi"/>
          <w:b/>
          <w:bCs/>
        </w:rPr>
        <w:t>9.</w:t>
      </w:r>
      <w:r w:rsidRPr="005570EA">
        <w:rPr>
          <w:rFonts w:cstheme="minorHAnsi"/>
        </w:rPr>
        <w:t xml:space="preserve"> M. A. Saleh, M. M. Hayat, O-H. Kwon, A. L. Holmes, Jr., J. C. Campbell, B. E. A. Saleh, M. C. Teich, "Breakdown voltage in thin III̵V avalanche photodiodes", </w:t>
      </w:r>
      <w:r w:rsidRPr="005570EA">
        <w:rPr>
          <w:rFonts w:cstheme="minorHAnsi"/>
          <w:i/>
          <w:iCs/>
        </w:rPr>
        <w:t>Appl. Phys. Lett.</w:t>
      </w:r>
      <w:r w:rsidRPr="005570EA">
        <w:rPr>
          <w:rFonts w:cstheme="minorHAnsi"/>
        </w:rPr>
        <w:t xml:space="preserve">, vol. 79, pp. 4037-4039, 2001. </w:t>
      </w:r>
    </w:p>
    <w:p w14:paraId="02B7234E" w14:textId="77777777" w:rsidR="005570EA" w:rsidRPr="005570EA" w:rsidRDefault="005570EA" w:rsidP="00BA669E">
      <w:pPr>
        <w:spacing w:after="0"/>
        <w:rPr>
          <w:rFonts w:cstheme="minorHAnsi"/>
        </w:rPr>
      </w:pPr>
      <w:r w:rsidRPr="005570EA">
        <w:rPr>
          <w:rFonts w:cstheme="minorHAnsi"/>
          <w:b/>
          <w:bCs/>
        </w:rPr>
        <w:t>10.</w:t>
      </w:r>
      <w:r w:rsidRPr="005570EA">
        <w:rPr>
          <w:rFonts w:cstheme="minorHAnsi"/>
        </w:rPr>
        <w:t xml:space="preserve"> M. M. Hayat, O-H. Kwon, Y. Pan, P. Sotirelis, J. C. Campbell, B. E. A. Saleh, M. C. Teich, "Gain-bandwidth characteristics of thin avalanche photodiodes", </w:t>
      </w:r>
      <w:r w:rsidRPr="005570EA">
        <w:rPr>
          <w:rFonts w:cstheme="minorHAnsi"/>
          <w:i/>
          <w:iCs/>
        </w:rPr>
        <w:t>IEEE Trans. Electron Devices</w:t>
      </w:r>
      <w:r w:rsidRPr="005570EA">
        <w:rPr>
          <w:rFonts w:cstheme="minorHAnsi"/>
        </w:rPr>
        <w:t xml:space="preserve">, vol. 49, pp. 770-781, May 2002. </w:t>
      </w:r>
    </w:p>
    <w:p w14:paraId="02BDC45F" w14:textId="77777777" w:rsidR="005570EA" w:rsidRPr="005570EA" w:rsidRDefault="005570EA" w:rsidP="00BA669E">
      <w:pPr>
        <w:spacing w:after="0"/>
        <w:rPr>
          <w:rFonts w:cstheme="minorHAnsi"/>
        </w:rPr>
      </w:pPr>
      <w:r w:rsidRPr="005570EA">
        <w:rPr>
          <w:rFonts w:cstheme="minorHAnsi"/>
          <w:b/>
          <w:bCs/>
        </w:rPr>
        <w:t>11.</w:t>
      </w:r>
      <w:r w:rsidRPr="005570EA">
        <w:rPr>
          <w:rFonts w:cstheme="minorHAnsi"/>
        </w:rPr>
        <w:t xml:space="preserve"> M. M. Hayat, O-H. Kwon, S. Wang, B. E. A. Saleh, M. C. Teich, J. C. Campbell, "Boundary effects on multiplication noise in thin heterostructure avalanche photodiodes: Theory and experiment", </w:t>
      </w:r>
      <w:r w:rsidRPr="005570EA">
        <w:rPr>
          <w:rFonts w:cstheme="minorHAnsi"/>
          <w:i/>
          <w:iCs/>
        </w:rPr>
        <w:t>IEEE Trans. Electron Devices</w:t>
      </w:r>
      <w:r w:rsidRPr="005570EA">
        <w:rPr>
          <w:rFonts w:cstheme="minorHAnsi"/>
        </w:rPr>
        <w:t xml:space="preserve">, vol. 49, Dec. 2002. </w:t>
      </w:r>
    </w:p>
    <w:p w14:paraId="6DC14E42" w14:textId="77777777" w:rsidR="005570EA" w:rsidRPr="005570EA" w:rsidRDefault="005570EA" w:rsidP="00BA669E">
      <w:pPr>
        <w:spacing w:after="0"/>
        <w:rPr>
          <w:rFonts w:cstheme="minorHAnsi"/>
        </w:rPr>
      </w:pPr>
      <w:r w:rsidRPr="005570EA">
        <w:rPr>
          <w:rFonts w:cstheme="minorHAnsi"/>
          <w:b/>
          <w:bCs/>
        </w:rPr>
        <w:t>12.</w:t>
      </w:r>
      <w:r w:rsidRPr="005570EA">
        <w:rPr>
          <w:rFonts w:cstheme="minorHAnsi"/>
        </w:rPr>
        <w:t xml:space="preserve"> S. Wang, R. Sidhu, X. G. Zheng, X. Li, X. Sun, A. L. Holmes, Jr., J. C. Campbell, "Low-noise avalanche photodiodes with graded impact-ionization-engineered multiplication region", </w:t>
      </w:r>
      <w:r w:rsidRPr="005570EA">
        <w:rPr>
          <w:rFonts w:cstheme="minorHAnsi"/>
          <w:i/>
          <w:iCs/>
        </w:rPr>
        <w:t>IEEE Photon. Technol. Lett.</w:t>
      </w:r>
      <w:r w:rsidRPr="005570EA">
        <w:rPr>
          <w:rFonts w:cstheme="minorHAnsi"/>
        </w:rPr>
        <w:t xml:space="preserve">, vol. 13, pp. 1346-1348, 2001. </w:t>
      </w:r>
    </w:p>
    <w:p w14:paraId="6B290498" w14:textId="77777777" w:rsidR="005570EA" w:rsidRPr="005570EA" w:rsidRDefault="005570EA" w:rsidP="00BA669E">
      <w:pPr>
        <w:spacing w:after="0"/>
        <w:rPr>
          <w:rFonts w:cstheme="minorHAnsi"/>
        </w:rPr>
      </w:pPr>
      <w:r w:rsidRPr="005570EA">
        <w:rPr>
          <w:rFonts w:cstheme="minorHAnsi"/>
          <w:b/>
          <w:bCs/>
        </w:rPr>
        <w:t>13.</w:t>
      </w:r>
      <w:r w:rsidRPr="005570EA">
        <w:rPr>
          <w:rFonts w:cstheme="minorHAnsi"/>
        </w:rPr>
        <w:t xml:space="preserve"> P. Yuan, S. Wang, X. Sun, X. G. Zheng, A. L. Holmes, Jr., J. C. Campbell, "Avalanche photodiodes with an impact-ionization-engineered multiplication region", </w:t>
      </w:r>
      <w:r w:rsidRPr="005570EA">
        <w:rPr>
          <w:rFonts w:cstheme="minorHAnsi"/>
          <w:i/>
          <w:iCs/>
        </w:rPr>
        <w:t>IEEE Photon. Technol. Lett.</w:t>
      </w:r>
      <w:r w:rsidRPr="005570EA">
        <w:rPr>
          <w:rFonts w:cstheme="minorHAnsi"/>
        </w:rPr>
        <w:t xml:space="preserve">, vol. 12, pp. 1370-1372, 2000. </w:t>
      </w:r>
    </w:p>
    <w:p w14:paraId="2BDD266E" w14:textId="77777777" w:rsidR="005570EA" w:rsidRPr="005570EA" w:rsidRDefault="005570EA" w:rsidP="00BA669E">
      <w:pPr>
        <w:spacing w:after="0"/>
        <w:rPr>
          <w:rFonts w:cstheme="minorHAnsi"/>
        </w:rPr>
      </w:pPr>
      <w:r w:rsidRPr="005570EA">
        <w:rPr>
          <w:rFonts w:cstheme="minorHAnsi"/>
          <w:b/>
          <w:bCs/>
        </w:rPr>
        <w:t>14.</w:t>
      </w:r>
      <w:r w:rsidRPr="005570EA">
        <w:rPr>
          <w:rFonts w:cstheme="minorHAnsi"/>
        </w:rPr>
        <w:t xml:space="preserve"> M. M. Hayat, W. L. Sargeant, B. E. A. Saleh, "Effect of dead space on gain and noise in Si and GaAs avalanche photodiodes", </w:t>
      </w:r>
      <w:r w:rsidRPr="005570EA">
        <w:rPr>
          <w:rFonts w:cstheme="minorHAnsi"/>
          <w:i/>
          <w:iCs/>
        </w:rPr>
        <w:t>IEEE J. Quantum Electron.</w:t>
      </w:r>
      <w:r w:rsidRPr="005570EA">
        <w:rPr>
          <w:rFonts w:cstheme="minorHAnsi"/>
        </w:rPr>
        <w:t xml:space="preserve">, vol. 28, pp. 1360-1365, 1992. </w:t>
      </w:r>
    </w:p>
    <w:p w14:paraId="5EC36569" w14:textId="77777777" w:rsidR="005570EA" w:rsidRPr="005570EA" w:rsidRDefault="005570EA" w:rsidP="00BA669E">
      <w:pPr>
        <w:spacing w:after="0"/>
        <w:rPr>
          <w:rFonts w:cstheme="minorHAnsi"/>
        </w:rPr>
      </w:pPr>
      <w:r w:rsidRPr="005570EA">
        <w:rPr>
          <w:rFonts w:cstheme="minorHAnsi"/>
          <w:b/>
          <w:bCs/>
        </w:rPr>
        <w:t>15.</w:t>
      </w:r>
      <w:r w:rsidRPr="005570EA">
        <w:rPr>
          <w:rFonts w:cstheme="minorHAnsi"/>
        </w:rPr>
        <w:t xml:space="preserve"> Y. Okuto, C. R. Crowell, "Ionization coefficients in semiconductors: A nonlocalized property", </w:t>
      </w:r>
      <w:r w:rsidRPr="005570EA">
        <w:rPr>
          <w:rFonts w:cstheme="minorHAnsi"/>
          <w:i/>
          <w:iCs/>
        </w:rPr>
        <w:t>Phys. Rev. B</w:t>
      </w:r>
      <w:r w:rsidRPr="005570EA">
        <w:rPr>
          <w:rFonts w:cstheme="minorHAnsi"/>
        </w:rPr>
        <w:t xml:space="preserve">, vol. 10, pp. 4284-2623, 1974. </w:t>
      </w:r>
    </w:p>
    <w:p w14:paraId="39BEBFEA" w14:textId="77777777" w:rsidR="005570EA" w:rsidRPr="005570EA" w:rsidRDefault="005570EA" w:rsidP="00BA669E">
      <w:pPr>
        <w:spacing w:after="0"/>
        <w:rPr>
          <w:rFonts w:cstheme="minorHAnsi"/>
        </w:rPr>
      </w:pPr>
      <w:r w:rsidRPr="005570EA">
        <w:rPr>
          <w:rFonts w:cstheme="minorHAnsi"/>
          <w:b/>
          <w:bCs/>
        </w:rPr>
        <w:t>16.</w:t>
      </w:r>
      <w:r w:rsidRPr="005570EA">
        <w:rPr>
          <w:rFonts w:cstheme="minorHAnsi"/>
        </w:rPr>
        <w:t xml:space="preserve"> G. E. Bulman, V. M. Robbins, K. F. Brennan, K. Hess, G. E. Stillman, "Experimental determination of impact ionization coefficients in (100) GaAs", </w:t>
      </w:r>
      <w:r w:rsidRPr="005570EA">
        <w:rPr>
          <w:rFonts w:cstheme="minorHAnsi"/>
          <w:i/>
          <w:iCs/>
        </w:rPr>
        <w:t>IEEE Electron Device Lett.</w:t>
      </w:r>
      <w:r w:rsidRPr="005570EA">
        <w:rPr>
          <w:rFonts w:cstheme="minorHAnsi"/>
        </w:rPr>
        <w:t xml:space="preserve">, vol. EDL-4, pp. 181-185, 1983. </w:t>
      </w:r>
    </w:p>
    <w:bookmarkEnd w:id="3"/>
    <w:p w14:paraId="7BC98928" w14:textId="77777777" w:rsidR="003B4E7C" w:rsidRPr="005570EA" w:rsidRDefault="003B4E7C" w:rsidP="00BA669E">
      <w:pPr>
        <w:spacing w:after="0"/>
        <w:rPr>
          <w:rFonts w:cstheme="minorHAnsi"/>
        </w:rPr>
      </w:pPr>
    </w:p>
    <w:sectPr w:rsidR="003B4E7C" w:rsidRPr="005570EA" w:rsidSect="005570EA">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5957BB"/>
    <w:multiLevelType w:val="multilevel"/>
    <w:tmpl w:val="D7DED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ocumentProtection w:edit="readOnly" w:formatting="1"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1746C"/>
    <w:rsid w:val="00224240"/>
    <w:rsid w:val="00226FA2"/>
    <w:rsid w:val="0024134B"/>
    <w:rsid w:val="00251132"/>
    <w:rsid w:val="002535DF"/>
    <w:rsid w:val="002558EB"/>
    <w:rsid w:val="00255B43"/>
    <w:rsid w:val="00255BDC"/>
    <w:rsid w:val="00255BEA"/>
    <w:rsid w:val="00261403"/>
    <w:rsid w:val="00261EA4"/>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15E1"/>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4E7C"/>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4D94"/>
    <w:rsid w:val="004660BE"/>
    <w:rsid w:val="0046696C"/>
    <w:rsid w:val="00466DD7"/>
    <w:rsid w:val="00471F7D"/>
    <w:rsid w:val="00473B19"/>
    <w:rsid w:val="00474CB3"/>
    <w:rsid w:val="00474ECD"/>
    <w:rsid w:val="004757B5"/>
    <w:rsid w:val="004816ED"/>
    <w:rsid w:val="00481EF1"/>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C7A68"/>
    <w:rsid w:val="004D118A"/>
    <w:rsid w:val="004D1CB9"/>
    <w:rsid w:val="004D21C9"/>
    <w:rsid w:val="004E34F8"/>
    <w:rsid w:val="004E3C84"/>
    <w:rsid w:val="004E528B"/>
    <w:rsid w:val="004F146C"/>
    <w:rsid w:val="004F1F3C"/>
    <w:rsid w:val="0050408D"/>
    <w:rsid w:val="00504C6A"/>
    <w:rsid w:val="00510364"/>
    <w:rsid w:val="00511167"/>
    <w:rsid w:val="005116C9"/>
    <w:rsid w:val="00511BEE"/>
    <w:rsid w:val="005175E9"/>
    <w:rsid w:val="00520368"/>
    <w:rsid w:val="0052658A"/>
    <w:rsid w:val="005301A7"/>
    <w:rsid w:val="00533270"/>
    <w:rsid w:val="00540146"/>
    <w:rsid w:val="00543C22"/>
    <w:rsid w:val="0054405B"/>
    <w:rsid w:val="0054567F"/>
    <w:rsid w:val="00546B44"/>
    <w:rsid w:val="00553291"/>
    <w:rsid w:val="005546FF"/>
    <w:rsid w:val="00556B72"/>
    <w:rsid w:val="005570EA"/>
    <w:rsid w:val="005605E4"/>
    <w:rsid w:val="0056253D"/>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2084"/>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67AE5"/>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133E"/>
    <w:rsid w:val="006F24E3"/>
    <w:rsid w:val="007065D3"/>
    <w:rsid w:val="007071B1"/>
    <w:rsid w:val="00707EC1"/>
    <w:rsid w:val="00710582"/>
    <w:rsid w:val="00714EE9"/>
    <w:rsid w:val="007246B0"/>
    <w:rsid w:val="007258CB"/>
    <w:rsid w:val="00730E29"/>
    <w:rsid w:val="00732FF6"/>
    <w:rsid w:val="00735393"/>
    <w:rsid w:val="00737B20"/>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A7886"/>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4504"/>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4D1"/>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E3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6C7C"/>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669E"/>
    <w:rsid w:val="00BA7628"/>
    <w:rsid w:val="00BB08CB"/>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0"/>
    <w:rsid w:val="00C75559"/>
    <w:rsid w:val="00C76D88"/>
    <w:rsid w:val="00C7785D"/>
    <w:rsid w:val="00C77A26"/>
    <w:rsid w:val="00C85BDD"/>
    <w:rsid w:val="00C86B81"/>
    <w:rsid w:val="00C91557"/>
    <w:rsid w:val="00C92F74"/>
    <w:rsid w:val="00CA1C19"/>
    <w:rsid w:val="00CA204D"/>
    <w:rsid w:val="00CA2E14"/>
    <w:rsid w:val="00CA31CE"/>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0094"/>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D68"/>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5E92"/>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573"/>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3B4E7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B4E7C"/>
    <w:rPr>
      <w:color w:val="0000FF"/>
      <w:u w:val="single"/>
    </w:rPr>
  </w:style>
  <w:style w:type="character" w:styleId="FollowedHyperlink">
    <w:name w:val="FollowedHyperlink"/>
    <w:basedOn w:val="DefaultParagraphFont"/>
    <w:uiPriority w:val="99"/>
    <w:semiHidden/>
    <w:unhideWhenUsed/>
    <w:rsid w:val="003B4E7C"/>
    <w:rPr>
      <w:color w:val="800080"/>
      <w:u w:val="single"/>
    </w:rPr>
  </w:style>
  <w:style w:type="character" w:customStyle="1" w:styleId="publisher-info-label">
    <w:name w:val="publisher-info-label"/>
    <w:basedOn w:val="DefaultParagraphFont"/>
    <w:rsid w:val="003B4E7C"/>
  </w:style>
  <w:style w:type="paragraph" w:styleId="NormalWeb">
    <w:name w:val="Normal (Web)"/>
    <w:basedOn w:val="Normal"/>
    <w:uiPriority w:val="99"/>
    <w:semiHidden/>
    <w:unhideWhenUsed/>
    <w:rsid w:val="003B4E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3B4E7C"/>
  </w:style>
  <w:style w:type="character" w:customStyle="1" w:styleId="math">
    <w:name w:val="math"/>
    <w:basedOn w:val="DefaultParagraphFont"/>
    <w:rsid w:val="003B4E7C"/>
  </w:style>
  <w:style w:type="character" w:customStyle="1" w:styleId="mrow">
    <w:name w:val="mrow"/>
    <w:basedOn w:val="DefaultParagraphFont"/>
    <w:rsid w:val="003B4E7C"/>
  </w:style>
  <w:style w:type="character" w:customStyle="1" w:styleId="mi">
    <w:name w:val="mi"/>
    <w:basedOn w:val="DefaultParagraphFont"/>
    <w:rsid w:val="003B4E7C"/>
  </w:style>
  <w:style w:type="character" w:customStyle="1" w:styleId="msubsup">
    <w:name w:val="msubsup"/>
    <w:basedOn w:val="DefaultParagraphFont"/>
    <w:rsid w:val="003B4E7C"/>
  </w:style>
  <w:style w:type="character" w:customStyle="1" w:styleId="texatom">
    <w:name w:val="texatom"/>
    <w:basedOn w:val="DefaultParagraphFont"/>
    <w:rsid w:val="003B4E7C"/>
  </w:style>
  <w:style w:type="character" w:customStyle="1" w:styleId="mn">
    <w:name w:val="mn"/>
    <w:basedOn w:val="DefaultParagraphFont"/>
    <w:rsid w:val="003B4E7C"/>
  </w:style>
  <w:style w:type="character" w:customStyle="1" w:styleId="mo">
    <w:name w:val="mo"/>
    <w:basedOn w:val="DefaultParagraphFont"/>
    <w:rsid w:val="003B4E7C"/>
  </w:style>
  <w:style w:type="character" w:customStyle="1" w:styleId="mtable">
    <w:name w:val="mtable"/>
    <w:basedOn w:val="DefaultParagraphFont"/>
    <w:rsid w:val="003B4E7C"/>
  </w:style>
  <w:style w:type="character" w:customStyle="1" w:styleId="mtd">
    <w:name w:val="mtd"/>
    <w:basedOn w:val="DefaultParagraphFont"/>
    <w:rsid w:val="003B4E7C"/>
  </w:style>
  <w:style w:type="character" w:customStyle="1" w:styleId="mstyle">
    <w:name w:val="mstyle"/>
    <w:basedOn w:val="DefaultParagraphFont"/>
    <w:rsid w:val="003B4E7C"/>
  </w:style>
  <w:style w:type="character" w:customStyle="1" w:styleId="mtext">
    <w:name w:val="mtext"/>
    <w:basedOn w:val="DefaultParagraphFont"/>
    <w:rsid w:val="003B4E7C"/>
  </w:style>
  <w:style w:type="character" w:customStyle="1" w:styleId="formula">
    <w:name w:val="formula"/>
    <w:basedOn w:val="DefaultParagraphFont"/>
    <w:rsid w:val="003B4E7C"/>
  </w:style>
  <w:style w:type="character" w:customStyle="1" w:styleId="link">
    <w:name w:val="link"/>
    <w:basedOn w:val="DefaultParagraphFont"/>
    <w:rsid w:val="003B4E7C"/>
  </w:style>
  <w:style w:type="character" w:customStyle="1" w:styleId="munderover">
    <w:name w:val="munderover"/>
    <w:basedOn w:val="DefaultParagraphFont"/>
    <w:rsid w:val="003B4E7C"/>
  </w:style>
  <w:style w:type="character" w:customStyle="1" w:styleId="mspace">
    <w:name w:val="mspace"/>
    <w:basedOn w:val="DefaultParagraphFont"/>
    <w:rsid w:val="003B4E7C"/>
  </w:style>
  <w:style w:type="character" w:customStyle="1" w:styleId="mfrac">
    <w:name w:val="mfrac"/>
    <w:basedOn w:val="DefaultParagraphFont"/>
    <w:rsid w:val="003B4E7C"/>
  </w:style>
  <w:style w:type="paragraph" w:customStyle="1" w:styleId="links">
    <w:name w:val="links"/>
    <w:basedOn w:val="Normal"/>
    <w:rsid w:val="003B4E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padded">
    <w:name w:val="mpadded"/>
    <w:basedOn w:val="DefaultParagraphFont"/>
    <w:rsid w:val="003B4E7C"/>
  </w:style>
  <w:style w:type="character" w:customStyle="1" w:styleId="mphantom">
    <w:name w:val="mphantom"/>
    <w:basedOn w:val="DefaultParagraphFont"/>
    <w:rsid w:val="003B4E7C"/>
  </w:style>
  <w:style w:type="character" w:styleId="UnresolvedMention">
    <w:name w:val="Unresolved Mention"/>
    <w:basedOn w:val="DefaultParagraphFont"/>
    <w:uiPriority w:val="99"/>
    <w:semiHidden/>
    <w:unhideWhenUsed/>
    <w:rsid w:val="00F145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436829">
      <w:bodyDiv w:val="1"/>
      <w:marLeft w:val="0"/>
      <w:marRight w:val="0"/>
      <w:marTop w:val="0"/>
      <w:marBottom w:val="0"/>
      <w:divBdr>
        <w:top w:val="none" w:sz="0" w:space="0" w:color="auto"/>
        <w:left w:val="none" w:sz="0" w:space="0" w:color="auto"/>
        <w:bottom w:val="none" w:sz="0" w:space="0" w:color="auto"/>
        <w:right w:val="none" w:sz="0" w:space="0" w:color="auto"/>
      </w:divBdr>
      <w:divsChild>
        <w:div w:id="1259172025">
          <w:marLeft w:val="0"/>
          <w:marRight w:val="0"/>
          <w:marTop w:val="0"/>
          <w:marBottom w:val="0"/>
          <w:divBdr>
            <w:top w:val="none" w:sz="0" w:space="0" w:color="auto"/>
            <w:left w:val="none" w:sz="0" w:space="0" w:color="auto"/>
            <w:bottom w:val="none" w:sz="0" w:space="0" w:color="auto"/>
            <w:right w:val="none" w:sz="0" w:space="0" w:color="auto"/>
          </w:divBdr>
          <w:divsChild>
            <w:div w:id="1918585840">
              <w:marLeft w:val="0"/>
              <w:marRight w:val="0"/>
              <w:marTop w:val="0"/>
              <w:marBottom w:val="0"/>
              <w:divBdr>
                <w:top w:val="none" w:sz="0" w:space="0" w:color="auto"/>
                <w:left w:val="none" w:sz="0" w:space="0" w:color="auto"/>
                <w:bottom w:val="none" w:sz="0" w:space="0" w:color="auto"/>
                <w:right w:val="none" w:sz="0" w:space="0" w:color="auto"/>
              </w:divBdr>
              <w:divsChild>
                <w:div w:id="1371539984">
                  <w:marLeft w:val="0"/>
                  <w:marRight w:val="0"/>
                  <w:marTop w:val="0"/>
                  <w:marBottom w:val="0"/>
                  <w:divBdr>
                    <w:top w:val="none" w:sz="0" w:space="0" w:color="auto"/>
                    <w:left w:val="none" w:sz="0" w:space="0" w:color="auto"/>
                    <w:bottom w:val="none" w:sz="0" w:space="0" w:color="auto"/>
                    <w:right w:val="none" w:sz="0" w:space="0" w:color="auto"/>
                  </w:divBdr>
                  <w:divsChild>
                    <w:div w:id="247815323">
                      <w:marLeft w:val="0"/>
                      <w:marRight w:val="0"/>
                      <w:marTop w:val="0"/>
                      <w:marBottom w:val="0"/>
                      <w:divBdr>
                        <w:top w:val="none" w:sz="0" w:space="0" w:color="auto"/>
                        <w:left w:val="none" w:sz="0" w:space="0" w:color="auto"/>
                        <w:bottom w:val="none" w:sz="0" w:space="0" w:color="auto"/>
                        <w:right w:val="none" w:sz="0" w:space="0" w:color="auto"/>
                      </w:divBdr>
                      <w:divsChild>
                        <w:div w:id="1450321579">
                          <w:marLeft w:val="0"/>
                          <w:marRight w:val="0"/>
                          <w:marTop w:val="0"/>
                          <w:marBottom w:val="0"/>
                          <w:divBdr>
                            <w:top w:val="none" w:sz="0" w:space="0" w:color="auto"/>
                            <w:left w:val="none" w:sz="0" w:space="0" w:color="auto"/>
                            <w:bottom w:val="none" w:sz="0" w:space="0" w:color="auto"/>
                            <w:right w:val="none" w:sz="0" w:space="0" w:color="auto"/>
                          </w:divBdr>
                          <w:divsChild>
                            <w:div w:id="103365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220071">
                  <w:marLeft w:val="0"/>
                  <w:marRight w:val="0"/>
                  <w:marTop w:val="0"/>
                  <w:marBottom w:val="0"/>
                  <w:divBdr>
                    <w:top w:val="none" w:sz="0" w:space="0" w:color="auto"/>
                    <w:left w:val="none" w:sz="0" w:space="0" w:color="auto"/>
                    <w:bottom w:val="none" w:sz="0" w:space="0" w:color="auto"/>
                    <w:right w:val="none" w:sz="0" w:space="0" w:color="auto"/>
                  </w:divBdr>
                  <w:divsChild>
                    <w:div w:id="1795902680">
                      <w:marLeft w:val="0"/>
                      <w:marRight w:val="0"/>
                      <w:marTop w:val="0"/>
                      <w:marBottom w:val="0"/>
                      <w:divBdr>
                        <w:top w:val="none" w:sz="0" w:space="0" w:color="auto"/>
                        <w:left w:val="none" w:sz="0" w:space="0" w:color="auto"/>
                        <w:bottom w:val="none" w:sz="0" w:space="0" w:color="auto"/>
                        <w:right w:val="none" w:sz="0" w:space="0" w:color="auto"/>
                      </w:divBdr>
                      <w:divsChild>
                        <w:div w:id="1470857081">
                          <w:marLeft w:val="0"/>
                          <w:marRight w:val="0"/>
                          <w:marTop w:val="0"/>
                          <w:marBottom w:val="0"/>
                          <w:divBdr>
                            <w:top w:val="none" w:sz="0" w:space="0" w:color="auto"/>
                            <w:left w:val="none" w:sz="0" w:space="0" w:color="auto"/>
                            <w:bottom w:val="none" w:sz="0" w:space="0" w:color="auto"/>
                            <w:right w:val="none" w:sz="0" w:space="0" w:color="auto"/>
                          </w:divBdr>
                          <w:divsChild>
                            <w:div w:id="10246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089678">
                  <w:marLeft w:val="0"/>
                  <w:marRight w:val="0"/>
                  <w:marTop w:val="0"/>
                  <w:marBottom w:val="0"/>
                  <w:divBdr>
                    <w:top w:val="none" w:sz="0" w:space="0" w:color="auto"/>
                    <w:left w:val="none" w:sz="0" w:space="0" w:color="auto"/>
                    <w:bottom w:val="none" w:sz="0" w:space="0" w:color="auto"/>
                    <w:right w:val="none" w:sz="0" w:space="0" w:color="auto"/>
                  </w:divBdr>
                  <w:divsChild>
                    <w:div w:id="997341749">
                      <w:marLeft w:val="0"/>
                      <w:marRight w:val="0"/>
                      <w:marTop w:val="0"/>
                      <w:marBottom w:val="0"/>
                      <w:divBdr>
                        <w:top w:val="none" w:sz="0" w:space="0" w:color="auto"/>
                        <w:left w:val="none" w:sz="0" w:space="0" w:color="auto"/>
                        <w:bottom w:val="none" w:sz="0" w:space="0" w:color="auto"/>
                        <w:right w:val="none" w:sz="0" w:space="0" w:color="auto"/>
                      </w:divBdr>
                      <w:divsChild>
                        <w:div w:id="754323996">
                          <w:marLeft w:val="0"/>
                          <w:marRight w:val="0"/>
                          <w:marTop w:val="0"/>
                          <w:marBottom w:val="0"/>
                          <w:divBdr>
                            <w:top w:val="none" w:sz="0" w:space="0" w:color="auto"/>
                            <w:left w:val="none" w:sz="0" w:space="0" w:color="auto"/>
                            <w:bottom w:val="none" w:sz="0" w:space="0" w:color="auto"/>
                            <w:right w:val="none" w:sz="0" w:space="0" w:color="auto"/>
                          </w:divBdr>
                          <w:divsChild>
                            <w:div w:id="1780488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0356740">
                  <w:marLeft w:val="0"/>
                  <w:marRight w:val="0"/>
                  <w:marTop w:val="0"/>
                  <w:marBottom w:val="0"/>
                  <w:divBdr>
                    <w:top w:val="none" w:sz="0" w:space="0" w:color="auto"/>
                    <w:left w:val="none" w:sz="0" w:space="0" w:color="auto"/>
                    <w:bottom w:val="none" w:sz="0" w:space="0" w:color="auto"/>
                    <w:right w:val="none" w:sz="0" w:space="0" w:color="auto"/>
                  </w:divBdr>
                  <w:divsChild>
                    <w:div w:id="1081413700">
                      <w:marLeft w:val="0"/>
                      <w:marRight w:val="0"/>
                      <w:marTop w:val="0"/>
                      <w:marBottom w:val="0"/>
                      <w:divBdr>
                        <w:top w:val="none" w:sz="0" w:space="0" w:color="auto"/>
                        <w:left w:val="none" w:sz="0" w:space="0" w:color="auto"/>
                        <w:bottom w:val="none" w:sz="0" w:space="0" w:color="auto"/>
                        <w:right w:val="none" w:sz="0" w:space="0" w:color="auto"/>
                      </w:divBdr>
                      <w:divsChild>
                        <w:div w:id="426850106">
                          <w:marLeft w:val="0"/>
                          <w:marRight w:val="0"/>
                          <w:marTop w:val="0"/>
                          <w:marBottom w:val="0"/>
                          <w:divBdr>
                            <w:top w:val="none" w:sz="0" w:space="0" w:color="auto"/>
                            <w:left w:val="none" w:sz="0" w:space="0" w:color="auto"/>
                            <w:bottom w:val="none" w:sz="0" w:space="0" w:color="auto"/>
                            <w:right w:val="none" w:sz="0" w:space="0" w:color="auto"/>
                          </w:divBdr>
                          <w:divsChild>
                            <w:div w:id="190621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154431">
                  <w:marLeft w:val="0"/>
                  <w:marRight w:val="0"/>
                  <w:marTop w:val="0"/>
                  <w:marBottom w:val="0"/>
                  <w:divBdr>
                    <w:top w:val="none" w:sz="0" w:space="0" w:color="auto"/>
                    <w:left w:val="none" w:sz="0" w:space="0" w:color="auto"/>
                    <w:bottom w:val="none" w:sz="0" w:space="0" w:color="auto"/>
                    <w:right w:val="none" w:sz="0" w:space="0" w:color="auto"/>
                  </w:divBdr>
                  <w:divsChild>
                    <w:div w:id="179200138">
                      <w:marLeft w:val="0"/>
                      <w:marRight w:val="0"/>
                      <w:marTop w:val="0"/>
                      <w:marBottom w:val="0"/>
                      <w:divBdr>
                        <w:top w:val="none" w:sz="0" w:space="0" w:color="auto"/>
                        <w:left w:val="none" w:sz="0" w:space="0" w:color="auto"/>
                        <w:bottom w:val="none" w:sz="0" w:space="0" w:color="auto"/>
                        <w:right w:val="none" w:sz="0" w:space="0" w:color="auto"/>
                      </w:divBdr>
                      <w:divsChild>
                        <w:div w:id="163471614">
                          <w:marLeft w:val="0"/>
                          <w:marRight w:val="0"/>
                          <w:marTop w:val="0"/>
                          <w:marBottom w:val="0"/>
                          <w:divBdr>
                            <w:top w:val="none" w:sz="0" w:space="0" w:color="auto"/>
                            <w:left w:val="none" w:sz="0" w:space="0" w:color="auto"/>
                            <w:bottom w:val="none" w:sz="0" w:space="0" w:color="auto"/>
                            <w:right w:val="none" w:sz="0" w:space="0" w:color="auto"/>
                          </w:divBdr>
                          <w:divsChild>
                            <w:div w:id="200350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6284464">
                  <w:marLeft w:val="0"/>
                  <w:marRight w:val="0"/>
                  <w:marTop w:val="0"/>
                  <w:marBottom w:val="0"/>
                  <w:divBdr>
                    <w:top w:val="none" w:sz="0" w:space="0" w:color="auto"/>
                    <w:left w:val="none" w:sz="0" w:space="0" w:color="auto"/>
                    <w:bottom w:val="none" w:sz="0" w:space="0" w:color="auto"/>
                    <w:right w:val="none" w:sz="0" w:space="0" w:color="auto"/>
                  </w:divBdr>
                  <w:divsChild>
                    <w:div w:id="103351652">
                      <w:marLeft w:val="0"/>
                      <w:marRight w:val="0"/>
                      <w:marTop w:val="0"/>
                      <w:marBottom w:val="0"/>
                      <w:divBdr>
                        <w:top w:val="none" w:sz="0" w:space="0" w:color="auto"/>
                        <w:left w:val="none" w:sz="0" w:space="0" w:color="auto"/>
                        <w:bottom w:val="none" w:sz="0" w:space="0" w:color="auto"/>
                        <w:right w:val="none" w:sz="0" w:space="0" w:color="auto"/>
                      </w:divBdr>
                      <w:divsChild>
                        <w:div w:id="2086754394">
                          <w:marLeft w:val="0"/>
                          <w:marRight w:val="0"/>
                          <w:marTop w:val="0"/>
                          <w:marBottom w:val="0"/>
                          <w:divBdr>
                            <w:top w:val="none" w:sz="0" w:space="0" w:color="auto"/>
                            <w:left w:val="none" w:sz="0" w:space="0" w:color="auto"/>
                            <w:bottom w:val="none" w:sz="0" w:space="0" w:color="auto"/>
                            <w:right w:val="none" w:sz="0" w:space="0" w:color="auto"/>
                          </w:divBdr>
                          <w:divsChild>
                            <w:div w:id="20683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7363518">
                  <w:marLeft w:val="0"/>
                  <w:marRight w:val="0"/>
                  <w:marTop w:val="0"/>
                  <w:marBottom w:val="0"/>
                  <w:divBdr>
                    <w:top w:val="none" w:sz="0" w:space="0" w:color="auto"/>
                    <w:left w:val="none" w:sz="0" w:space="0" w:color="auto"/>
                    <w:bottom w:val="none" w:sz="0" w:space="0" w:color="auto"/>
                    <w:right w:val="none" w:sz="0" w:space="0" w:color="auto"/>
                  </w:divBdr>
                  <w:divsChild>
                    <w:div w:id="1472402451">
                      <w:marLeft w:val="0"/>
                      <w:marRight w:val="0"/>
                      <w:marTop w:val="0"/>
                      <w:marBottom w:val="0"/>
                      <w:divBdr>
                        <w:top w:val="none" w:sz="0" w:space="0" w:color="auto"/>
                        <w:left w:val="none" w:sz="0" w:space="0" w:color="auto"/>
                        <w:bottom w:val="none" w:sz="0" w:space="0" w:color="auto"/>
                        <w:right w:val="none" w:sz="0" w:space="0" w:color="auto"/>
                      </w:divBdr>
                      <w:divsChild>
                        <w:div w:id="1008021172">
                          <w:marLeft w:val="0"/>
                          <w:marRight w:val="0"/>
                          <w:marTop w:val="0"/>
                          <w:marBottom w:val="0"/>
                          <w:divBdr>
                            <w:top w:val="none" w:sz="0" w:space="0" w:color="auto"/>
                            <w:left w:val="none" w:sz="0" w:space="0" w:color="auto"/>
                            <w:bottom w:val="none" w:sz="0" w:space="0" w:color="auto"/>
                            <w:right w:val="none" w:sz="0" w:space="0" w:color="auto"/>
                          </w:divBdr>
                          <w:divsChild>
                            <w:div w:id="922690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535593">
                  <w:marLeft w:val="0"/>
                  <w:marRight w:val="0"/>
                  <w:marTop w:val="0"/>
                  <w:marBottom w:val="0"/>
                  <w:divBdr>
                    <w:top w:val="none" w:sz="0" w:space="0" w:color="auto"/>
                    <w:left w:val="none" w:sz="0" w:space="0" w:color="auto"/>
                    <w:bottom w:val="none" w:sz="0" w:space="0" w:color="auto"/>
                    <w:right w:val="none" w:sz="0" w:space="0" w:color="auto"/>
                  </w:divBdr>
                  <w:divsChild>
                    <w:div w:id="321081951">
                      <w:marLeft w:val="0"/>
                      <w:marRight w:val="0"/>
                      <w:marTop w:val="0"/>
                      <w:marBottom w:val="0"/>
                      <w:divBdr>
                        <w:top w:val="none" w:sz="0" w:space="0" w:color="auto"/>
                        <w:left w:val="none" w:sz="0" w:space="0" w:color="auto"/>
                        <w:bottom w:val="none" w:sz="0" w:space="0" w:color="auto"/>
                        <w:right w:val="none" w:sz="0" w:space="0" w:color="auto"/>
                      </w:divBdr>
                      <w:divsChild>
                        <w:div w:id="939946726">
                          <w:marLeft w:val="0"/>
                          <w:marRight w:val="0"/>
                          <w:marTop w:val="0"/>
                          <w:marBottom w:val="0"/>
                          <w:divBdr>
                            <w:top w:val="none" w:sz="0" w:space="0" w:color="auto"/>
                            <w:left w:val="none" w:sz="0" w:space="0" w:color="auto"/>
                            <w:bottom w:val="none" w:sz="0" w:space="0" w:color="auto"/>
                            <w:right w:val="none" w:sz="0" w:space="0" w:color="auto"/>
                          </w:divBdr>
                          <w:divsChild>
                            <w:div w:id="29491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577498">
                  <w:marLeft w:val="0"/>
                  <w:marRight w:val="0"/>
                  <w:marTop w:val="0"/>
                  <w:marBottom w:val="0"/>
                  <w:divBdr>
                    <w:top w:val="none" w:sz="0" w:space="0" w:color="auto"/>
                    <w:left w:val="none" w:sz="0" w:space="0" w:color="auto"/>
                    <w:bottom w:val="none" w:sz="0" w:space="0" w:color="auto"/>
                    <w:right w:val="none" w:sz="0" w:space="0" w:color="auto"/>
                  </w:divBdr>
                  <w:divsChild>
                    <w:div w:id="191772308">
                      <w:marLeft w:val="0"/>
                      <w:marRight w:val="0"/>
                      <w:marTop w:val="0"/>
                      <w:marBottom w:val="0"/>
                      <w:divBdr>
                        <w:top w:val="none" w:sz="0" w:space="0" w:color="auto"/>
                        <w:left w:val="none" w:sz="0" w:space="0" w:color="auto"/>
                        <w:bottom w:val="none" w:sz="0" w:space="0" w:color="auto"/>
                        <w:right w:val="none" w:sz="0" w:space="0" w:color="auto"/>
                      </w:divBdr>
                      <w:divsChild>
                        <w:div w:id="1888955262">
                          <w:marLeft w:val="0"/>
                          <w:marRight w:val="0"/>
                          <w:marTop w:val="0"/>
                          <w:marBottom w:val="0"/>
                          <w:divBdr>
                            <w:top w:val="none" w:sz="0" w:space="0" w:color="auto"/>
                            <w:left w:val="none" w:sz="0" w:space="0" w:color="auto"/>
                            <w:bottom w:val="none" w:sz="0" w:space="0" w:color="auto"/>
                            <w:right w:val="none" w:sz="0" w:space="0" w:color="auto"/>
                          </w:divBdr>
                          <w:divsChild>
                            <w:div w:id="29795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52720">
                  <w:marLeft w:val="0"/>
                  <w:marRight w:val="0"/>
                  <w:marTop w:val="0"/>
                  <w:marBottom w:val="0"/>
                  <w:divBdr>
                    <w:top w:val="none" w:sz="0" w:space="0" w:color="auto"/>
                    <w:left w:val="none" w:sz="0" w:space="0" w:color="auto"/>
                    <w:bottom w:val="none" w:sz="0" w:space="0" w:color="auto"/>
                    <w:right w:val="none" w:sz="0" w:space="0" w:color="auto"/>
                  </w:divBdr>
                  <w:divsChild>
                    <w:div w:id="1466657197">
                      <w:marLeft w:val="0"/>
                      <w:marRight w:val="0"/>
                      <w:marTop w:val="0"/>
                      <w:marBottom w:val="0"/>
                      <w:divBdr>
                        <w:top w:val="none" w:sz="0" w:space="0" w:color="auto"/>
                        <w:left w:val="none" w:sz="0" w:space="0" w:color="auto"/>
                        <w:bottom w:val="none" w:sz="0" w:space="0" w:color="auto"/>
                        <w:right w:val="none" w:sz="0" w:space="0" w:color="auto"/>
                      </w:divBdr>
                      <w:divsChild>
                        <w:div w:id="877354299">
                          <w:marLeft w:val="0"/>
                          <w:marRight w:val="0"/>
                          <w:marTop w:val="0"/>
                          <w:marBottom w:val="0"/>
                          <w:divBdr>
                            <w:top w:val="none" w:sz="0" w:space="0" w:color="auto"/>
                            <w:left w:val="none" w:sz="0" w:space="0" w:color="auto"/>
                            <w:bottom w:val="none" w:sz="0" w:space="0" w:color="auto"/>
                            <w:right w:val="none" w:sz="0" w:space="0" w:color="auto"/>
                          </w:divBdr>
                          <w:divsChild>
                            <w:div w:id="148592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66053">
                  <w:marLeft w:val="0"/>
                  <w:marRight w:val="0"/>
                  <w:marTop w:val="0"/>
                  <w:marBottom w:val="0"/>
                  <w:divBdr>
                    <w:top w:val="none" w:sz="0" w:space="0" w:color="auto"/>
                    <w:left w:val="none" w:sz="0" w:space="0" w:color="auto"/>
                    <w:bottom w:val="none" w:sz="0" w:space="0" w:color="auto"/>
                    <w:right w:val="none" w:sz="0" w:space="0" w:color="auto"/>
                  </w:divBdr>
                  <w:divsChild>
                    <w:div w:id="1356424973">
                      <w:marLeft w:val="0"/>
                      <w:marRight w:val="0"/>
                      <w:marTop w:val="0"/>
                      <w:marBottom w:val="0"/>
                      <w:divBdr>
                        <w:top w:val="none" w:sz="0" w:space="0" w:color="auto"/>
                        <w:left w:val="none" w:sz="0" w:space="0" w:color="auto"/>
                        <w:bottom w:val="none" w:sz="0" w:space="0" w:color="auto"/>
                        <w:right w:val="none" w:sz="0" w:space="0" w:color="auto"/>
                      </w:divBdr>
                      <w:divsChild>
                        <w:div w:id="1930651530">
                          <w:marLeft w:val="0"/>
                          <w:marRight w:val="0"/>
                          <w:marTop w:val="0"/>
                          <w:marBottom w:val="0"/>
                          <w:divBdr>
                            <w:top w:val="none" w:sz="0" w:space="0" w:color="auto"/>
                            <w:left w:val="none" w:sz="0" w:space="0" w:color="auto"/>
                            <w:bottom w:val="none" w:sz="0" w:space="0" w:color="auto"/>
                            <w:right w:val="none" w:sz="0" w:space="0" w:color="auto"/>
                          </w:divBdr>
                          <w:divsChild>
                            <w:div w:id="2120684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779056">
                  <w:marLeft w:val="0"/>
                  <w:marRight w:val="0"/>
                  <w:marTop w:val="0"/>
                  <w:marBottom w:val="0"/>
                  <w:divBdr>
                    <w:top w:val="none" w:sz="0" w:space="0" w:color="auto"/>
                    <w:left w:val="none" w:sz="0" w:space="0" w:color="auto"/>
                    <w:bottom w:val="none" w:sz="0" w:space="0" w:color="auto"/>
                    <w:right w:val="none" w:sz="0" w:space="0" w:color="auto"/>
                  </w:divBdr>
                  <w:divsChild>
                    <w:div w:id="1764523481">
                      <w:marLeft w:val="0"/>
                      <w:marRight w:val="0"/>
                      <w:marTop w:val="0"/>
                      <w:marBottom w:val="0"/>
                      <w:divBdr>
                        <w:top w:val="none" w:sz="0" w:space="0" w:color="auto"/>
                        <w:left w:val="none" w:sz="0" w:space="0" w:color="auto"/>
                        <w:bottom w:val="none" w:sz="0" w:space="0" w:color="auto"/>
                        <w:right w:val="none" w:sz="0" w:space="0" w:color="auto"/>
                      </w:divBdr>
                      <w:divsChild>
                        <w:div w:id="534777483">
                          <w:marLeft w:val="0"/>
                          <w:marRight w:val="0"/>
                          <w:marTop w:val="0"/>
                          <w:marBottom w:val="0"/>
                          <w:divBdr>
                            <w:top w:val="none" w:sz="0" w:space="0" w:color="auto"/>
                            <w:left w:val="none" w:sz="0" w:space="0" w:color="auto"/>
                            <w:bottom w:val="none" w:sz="0" w:space="0" w:color="auto"/>
                            <w:right w:val="none" w:sz="0" w:space="0" w:color="auto"/>
                          </w:divBdr>
                          <w:divsChild>
                            <w:div w:id="118111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6079202">
                  <w:marLeft w:val="0"/>
                  <w:marRight w:val="0"/>
                  <w:marTop w:val="0"/>
                  <w:marBottom w:val="0"/>
                  <w:divBdr>
                    <w:top w:val="none" w:sz="0" w:space="0" w:color="auto"/>
                    <w:left w:val="none" w:sz="0" w:space="0" w:color="auto"/>
                    <w:bottom w:val="none" w:sz="0" w:space="0" w:color="auto"/>
                    <w:right w:val="none" w:sz="0" w:space="0" w:color="auto"/>
                  </w:divBdr>
                  <w:divsChild>
                    <w:div w:id="741609846">
                      <w:marLeft w:val="0"/>
                      <w:marRight w:val="0"/>
                      <w:marTop w:val="0"/>
                      <w:marBottom w:val="0"/>
                      <w:divBdr>
                        <w:top w:val="none" w:sz="0" w:space="0" w:color="auto"/>
                        <w:left w:val="none" w:sz="0" w:space="0" w:color="auto"/>
                        <w:bottom w:val="none" w:sz="0" w:space="0" w:color="auto"/>
                        <w:right w:val="none" w:sz="0" w:space="0" w:color="auto"/>
                      </w:divBdr>
                      <w:divsChild>
                        <w:div w:id="1627471217">
                          <w:marLeft w:val="0"/>
                          <w:marRight w:val="0"/>
                          <w:marTop w:val="0"/>
                          <w:marBottom w:val="0"/>
                          <w:divBdr>
                            <w:top w:val="none" w:sz="0" w:space="0" w:color="auto"/>
                            <w:left w:val="none" w:sz="0" w:space="0" w:color="auto"/>
                            <w:bottom w:val="none" w:sz="0" w:space="0" w:color="auto"/>
                            <w:right w:val="none" w:sz="0" w:space="0" w:color="auto"/>
                          </w:divBdr>
                          <w:divsChild>
                            <w:div w:id="15966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73375">
                  <w:marLeft w:val="0"/>
                  <w:marRight w:val="0"/>
                  <w:marTop w:val="0"/>
                  <w:marBottom w:val="0"/>
                  <w:divBdr>
                    <w:top w:val="none" w:sz="0" w:space="0" w:color="auto"/>
                    <w:left w:val="none" w:sz="0" w:space="0" w:color="auto"/>
                    <w:bottom w:val="none" w:sz="0" w:space="0" w:color="auto"/>
                    <w:right w:val="none" w:sz="0" w:space="0" w:color="auto"/>
                  </w:divBdr>
                  <w:divsChild>
                    <w:div w:id="582766638">
                      <w:marLeft w:val="0"/>
                      <w:marRight w:val="0"/>
                      <w:marTop w:val="0"/>
                      <w:marBottom w:val="0"/>
                      <w:divBdr>
                        <w:top w:val="none" w:sz="0" w:space="0" w:color="auto"/>
                        <w:left w:val="none" w:sz="0" w:space="0" w:color="auto"/>
                        <w:bottom w:val="none" w:sz="0" w:space="0" w:color="auto"/>
                        <w:right w:val="none" w:sz="0" w:space="0" w:color="auto"/>
                      </w:divBdr>
                      <w:divsChild>
                        <w:div w:id="589630079">
                          <w:marLeft w:val="0"/>
                          <w:marRight w:val="0"/>
                          <w:marTop w:val="0"/>
                          <w:marBottom w:val="0"/>
                          <w:divBdr>
                            <w:top w:val="none" w:sz="0" w:space="0" w:color="auto"/>
                            <w:left w:val="none" w:sz="0" w:space="0" w:color="auto"/>
                            <w:bottom w:val="none" w:sz="0" w:space="0" w:color="auto"/>
                            <w:right w:val="none" w:sz="0" w:space="0" w:color="auto"/>
                          </w:divBdr>
                          <w:divsChild>
                            <w:div w:id="1631326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855910">
                  <w:marLeft w:val="0"/>
                  <w:marRight w:val="0"/>
                  <w:marTop w:val="0"/>
                  <w:marBottom w:val="0"/>
                  <w:divBdr>
                    <w:top w:val="none" w:sz="0" w:space="0" w:color="auto"/>
                    <w:left w:val="none" w:sz="0" w:space="0" w:color="auto"/>
                    <w:bottom w:val="none" w:sz="0" w:space="0" w:color="auto"/>
                    <w:right w:val="none" w:sz="0" w:space="0" w:color="auto"/>
                  </w:divBdr>
                  <w:divsChild>
                    <w:div w:id="1353530692">
                      <w:marLeft w:val="0"/>
                      <w:marRight w:val="0"/>
                      <w:marTop w:val="0"/>
                      <w:marBottom w:val="0"/>
                      <w:divBdr>
                        <w:top w:val="none" w:sz="0" w:space="0" w:color="auto"/>
                        <w:left w:val="none" w:sz="0" w:space="0" w:color="auto"/>
                        <w:bottom w:val="none" w:sz="0" w:space="0" w:color="auto"/>
                        <w:right w:val="none" w:sz="0" w:space="0" w:color="auto"/>
                      </w:divBdr>
                      <w:divsChild>
                        <w:div w:id="1113482402">
                          <w:marLeft w:val="0"/>
                          <w:marRight w:val="0"/>
                          <w:marTop w:val="0"/>
                          <w:marBottom w:val="0"/>
                          <w:divBdr>
                            <w:top w:val="none" w:sz="0" w:space="0" w:color="auto"/>
                            <w:left w:val="none" w:sz="0" w:space="0" w:color="auto"/>
                            <w:bottom w:val="none" w:sz="0" w:space="0" w:color="auto"/>
                            <w:right w:val="none" w:sz="0" w:space="0" w:color="auto"/>
                          </w:divBdr>
                          <w:divsChild>
                            <w:div w:id="131853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724854">
                  <w:marLeft w:val="0"/>
                  <w:marRight w:val="0"/>
                  <w:marTop w:val="0"/>
                  <w:marBottom w:val="0"/>
                  <w:divBdr>
                    <w:top w:val="none" w:sz="0" w:space="0" w:color="auto"/>
                    <w:left w:val="none" w:sz="0" w:space="0" w:color="auto"/>
                    <w:bottom w:val="none" w:sz="0" w:space="0" w:color="auto"/>
                    <w:right w:val="none" w:sz="0" w:space="0" w:color="auto"/>
                  </w:divBdr>
                  <w:divsChild>
                    <w:div w:id="1909726705">
                      <w:marLeft w:val="0"/>
                      <w:marRight w:val="0"/>
                      <w:marTop w:val="0"/>
                      <w:marBottom w:val="0"/>
                      <w:divBdr>
                        <w:top w:val="none" w:sz="0" w:space="0" w:color="auto"/>
                        <w:left w:val="none" w:sz="0" w:space="0" w:color="auto"/>
                        <w:bottom w:val="none" w:sz="0" w:space="0" w:color="auto"/>
                        <w:right w:val="none" w:sz="0" w:space="0" w:color="auto"/>
                      </w:divBdr>
                      <w:divsChild>
                        <w:div w:id="932861350">
                          <w:marLeft w:val="0"/>
                          <w:marRight w:val="0"/>
                          <w:marTop w:val="0"/>
                          <w:marBottom w:val="0"/>
                          <w:divBdr>
                            <w:top w:val="none" w:sz="0" w:space="0" w:color="auto"/>
                            <w:left w:val="none" w:sz="0" w:space="0" w:color="auto"/>
                            <w:bottom w:val="none" w:sz="0" w:space="0" w:color="auto"/>
                            <w:right w:val="none" w:sz="0" w:space="0" w:color="auto"/>
                          </w:divBdr>
                          <w:divsChild>
                            <w:div w:id="18497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0195082">
      <w:bodyDiv w:val="1"/>
      <w:marLeft w:val="0"/>
      <w:marRight w:val="0"/>
      <w:marTop w:val="0"/>
      <w:marBottom w:val="0"/>
      <w:divBdr>
        <w:top w:val="none" w:sz="0" w:space="0" w:color="auto"/>
        <w:left w:val="none" w:sz="0" w:space="0" w:color="auto"/>
        <w:bottom w:val="none" w:sz="0" w:space="0" w:color="auto"/>
        <w:right w:val="none" w:sz="0" w:space="0" w:color="auto"/>
      </w:divBdr>
    </w:div>
    <w:div w:id="1036589018">
      <w:bodyDiv w:val="1"/>
      <w:marLeft w:val="0"/>
      <w:marRight w:val="0"/>
      <w:marTop w:val="0"/>
      <w:marBottom w:val="0"/>
      <w:divBdr>
        <w:top w:val="none" w:sz="0" w:space="0" w:color="auto"/>
        <w:left w:val="none" w:sz="0" w:space="0" w:color="auto"/>
        <w:bottom w:val="none" w:sz="0" w:space="0" w:color="auto"/>
        <w:right w:val="none" w:sz="0" w:space="0" w:color="auto"/>
      </w:divBdr>
      <w:divsChild>
        <w:div w:id="669602878">
          <w:marLeft w:val="0"/>
          <w:marRight w:val="0"/>
          <w:marTop w:val="0"/>
          <w:marBottom w:val="0"/>
          <w:divBdr>
            <w:top w:val="none" w:sz="0" w:space="0" w:color="auto"/>
            <w:left w:val="none" w:sz="0" w:space="0" w:color="auto"/>
            <w:bottom w:val="none" w:sz="0" w:space="0" w:color="auto"/>
            <w:right w:val="none" w:sz="0" w:space="0" w:color="auto"/>
          </w:divBdr>
          <w:divsChild>
            <w:div w:id="163253146">
              <w:marLeft w:val="0"/>
              <w:marRight w:val="0"/>
              <w:marTop w:val="0"/>
              <w:marBottom w:val="0"/>
              <w:divBdr>
                <w:top w:val="none" w:sz="0" w:space="0" w:color="auto"/>
                <w:left w:val="none" w:sz="0" w:space="0" w:color="auto"/>
                <w:bottom w:val="none" w:sz="0" w:space="0" w:color="auto"/>
                <w:right w:val="none" w:sz="0" w:space="0" w:color="auto"/>
              </w:divBdr>
              <w:divsChild>
                <w:div w:id="1569732816">
                  <w:marLeft w:val="0"/>
                  <w:marRight w:val="0"/>
                  <w:marTop w:val="0"/>
                  <w:marBottom w:val="0"/>
                  <w:divBdr>
                    <w:top w:val="none" w:sz="0" w:space="0" w:color="auto"/>
                    <w:left w:val="none" w:sz="0" w:space="0" w:color="auto"/>
                    <w:bottom w:val="none" w:sz="0" w:space="0" w:color="auto"/>
                    <w:right w:val="none" w:sz="0" w:space="0" w:color="auto"/>
                  </w:divBdr>
                  <w:divsChild>
                    <w:div w:id="1101221310">
                      <w:marLeft w:val="0"/>
                      <w:marRight w:val="0"/>
                      <w:marTop w:val="0"/>
                      <w:marBottom w:val="0"/>
                      <w:divBdr>
                        <w:top w:val="none" w:sz="0" w:space="0" w:color="auto"/>
                        <w:left w:val="none" w:sz="0" w:space="0" w:color="auto"/>
                        <w:bottom w:val="none" w:sz="0" w:space="0" w:color="auto"/>
                        <w:right w:val="none" w:sz="0" w:space="0" w:color="auto"/>
                      </w:divBdr>
                      <w:divsChild>
                        <w:div w:id="1772626858">
                          <w:marLeft w:val="0"/>
                          <w:marRight w:val="0"/>
                          <w:marTop w:val="0"/>
                          <w:marBottom w:val="0"/>
                          <w:divBdr>
                            <w:top w:val="none" w:sz="0" w:space="0" w:color="auto"/>
                            <w:left w:val="none" w:sz="0" w:space="0" w:color="auto"/>
                            <w:bottom w:val="none" w:sz="0" w:space="0" w:color="auto"/>
                            <w:right w:val="none" w:sz="0" w:space="0" w:color="auto"/>
                          </w:divBdr>
                        </w:div>
                        <w:div w:id="1014110244">
                          <w:marLeft w:val="0"/>
                          <w:marRight w:val="0"/>
                          <w:marTop w:val="0"/>
                          <w:marBottom w:val="0"/>
                          <w:divBdr>
                            <w:top w:val="none" w:sz="0" w:space="0" w:color="auto"/>
                            <w:left w:val="none" w:sz="0" w:space="0" w:color="auto"/>
                            <w:bottom w:val="none" w:sz="0" w:space="0" w:color="auto"/>
                            <w:right w:val="none" w:sz="0" w:space="0" w:color="auto"/>
                          </w:divBdr>
                        </w:div>
                        <w:div w:id="149373171">
                          <w:marLeft w:val="0"/>
                          <w:marRight w:val="0"/>
                          <w:marTop w:val="0"/>
                          <w:marBottom w:val="0"/>
                          <w:divBdr>
                            <w:top w:val="none" w:sz="0" w:space="0" w:color="auto"/>
                            <w:left w:val="none" w:sz="0" w:space="0" w:color="auto"/>
                            <w:bottom w:val="none" w:sz="0" w:space="0" w:color="auto"/>
                            <w:right w:val="none" w:sz="0" w:space="0" w:color="auto"/>
                          </w:divBdr>
                          <w:divsChild>
                            <w:div w:id="994575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613352">
                      <w:marLeft w:val="0"/>
                      <w:marRight w:val="0"/>
                      <w:marTop w:val="0"/>
                      <w:marBottom w:val="0"/>
                      <w:divBdr>
                        <w:top w:val="none" w:sz="0" w:space="0" w:color="auto"/>
                        <w:left w:val="none" w:sz="0" w:space="0" w:color="auto"/>
                        <w:bottom w:val="none" w:sz="0" w:space="0" w:color="auto"/>
                        <w:right w:val="none" w:sz="0" w:space="0" w:color="auto"/>
                      </w:divBdr>
                      <w:divsChild>
                        <w:div w:id="529728225">
                          <w:marLeft w:val="0"/>
                          <w:marRight w:val="0"/>
                          <w:marTop w:val="0"/>
                          <w:marBottom w:val="0"/>
                          <w:divBdr>
                            <w:top w:val="none" w:sz="0" w:space="0" w:color="auto"/>
                            <w:left w:val="none" w:sz="0" w:space="0" w:color="auto"/>
                            <w:bottom w:val="none" w:sz="0" w:space="0" w:color="auto"/>
                            <w:right w:val="none" w:sz="0" w:space="0" w:color="auto"/>
                          </w:divBdr>
                        </w:div>
                        <w:div w:id="1943800906">
                          <w:marLeft w:val="0"/>
                          <w:marRight w:val="0"/>
                          <w:marTop w:val="0"/>
                          <w:marBottom w:val="0"/>
                          <w:divBdr>
                            <w:top w:val="none" w:sz="0" w:space="0" w:color="auto"/>
                            <w:left w:val="none" w:sz="0" w:space="0" w:color="auto"/>
                            <w:bottom w:val="none" w:sz="0" w:space="0" w:color="auto"/>
                            <w:right w:val="none" w:sz="0" w:space="0" w:color="auto"/>
                          </w:divBdr>
                        </w:div>
                        <w:div w:id="89743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08688">
          <w:marLeft w:val="0"/>
          <w:marRight w:val="0"/>
          <w:marTop w:val="0"/>
          <w:marBottom w:val="0"/>
          <w:divBdr>
            <w:top w:val="none" w:sz="0" w:space="0" w:color="auto"/>
            <w:left w:val="none" w:sz="0" w:space="0" w:color="auto"/>
            <w:bottom w:val="none" w:sz="0" w:space="0" w:color="auto"/>
            <w:right w:val="none" w:sz="0" w:space="0" w:color="auto"/>
          </w:divBdr>
          <w:divsChild>
            <w:div w:id="1668092739">
              <w:marLeft w:val="0"/>
              <w:marRight w:val="0"/>
              <w:marTop w:val="0"/>
              <w:marBottom w:val="0"/>
              <w:divBdr>
                <w:top w:val="none" w:sz="0" w:space="0" w:color="auto"/>
                <w:left w:val="none" w:sz="0" w:space="0" w:color="auto"/>
                <w:bottom w:val="none" w:sz="0" w:space="0" w:color="auto"/>
                <w:right w:val="none" w:sz="0" w:space="0" w:color="auto"/>
              </w:divBdr>
              <w:divsChild>
                <w:div w:id="517700416">
                  <w:marLeft w:val="0"/>
                  <w:marRight w:val="0"/>
                  <w:marTop w:val="0"/>
                  <w:marBottom w:val="0"/>
                  <w:divBdr>
                    <w:top w:val="none" w:sz="0" w:space="0" w:color="auto"/>
                    <w:left w:val="none" w:sz="0" w:space="0" w:color="auto"/>
                    <w:bottom w:val="none" w:sz="0" w:space="0" w:color="auto"/>
                    <w:right w:val="none" w:sz="0" w:space="0" w:color="auto"/>
                  </w:divBdr>
                  <w:divsChild>
                    <w:div w:id="605887274">
                      <w:marLeft w:val="0"/>
                      <w:marRight w:val="0"/>
                      <w:marTop w:val="0"/>
                      <w:marBottom w:val="0"/>
                      <w:divBdr>
                        <w:top w:val="none" w:sz="0" w:space="0" w:color="auto"/>
                        <w:left w:val="none" w:sz="0" w:space="0" w:color="auto"/>
                        <w:bottom w:val="none" w:sz="0" w:space="0" w:color="auto"/>
                        <w:right w:val="none" w:sz="0" w:space="0" w:color="auto"/>
                      </w:divBdr>
                      <w:divsChild>
                        <w:div w:id="59056601">
                          <w:marLeft w:val="0"/>
                          <w:marRight w:val="0"/>
                          <w:marTop w:val="0"/>
                          <w:marBottom w:val="0"/>
                          <w:divBdr>
                            <w:top w:val="none" w:sz="0" w:space="0" w:color="auto"/>
                            <w:left w:val="none" w:sz="0" w:space="0" w:color="auto"/>
                            <w:bottom w:val="none" w:sz="0" w:space="0" w:color="auto"/>
                            <w:right w:val="none" w:sz="0" w:space="0" w:color="auto"/>
                          </w:divBdr>
                          <w:divsChild>
                            <w:div w:id="1868175168">
                              <w:marLeft w:val="0"/>
                              <w:marRight w:val="0"/>
                              <w:marTop w:val="0"/>
                              <w:marBottom w:val="0"/>
                              <w:divBdr>
                                <w:top w:val="none" w:sz="0" w:space="0" w:color="auto"/>
                                <w:left w:val="none" w:sz="0" w:space="0" w:color="auto"/>
                                <w:bottom w:val="none" w:sz="0" w:space="0" w:color="auto"/>
                                <w:right w:val="none" w:sz="0" w:space="0" w:color="auto"/>
                              </w:divBdr>
                              <w:divsChild>
                                <w:div w:id="1128283402">
                                  <w:marLeft w:val="0"/>
                                  <w:marRight w:val="0"/>
                                  <w:marTop w:val="0"/>
                                  <w:marBottom w:val="0"/>
                                  <w:divBdr>
                                    <w:top w:val="none" w:sz="0" w:space="0" w:color="auto"/>
                                    <w:left w:val="none" w:sz="0" w:space="0" w:color="auto"/>
                                    <w:bottom w:val="none" w:sz="0" w:space="0" w:color="auto"/>
                                    <w:right w:val="none" w:sz="0" w:space="0" w:color="auto"/>
                                  </w:divBdr>
                                  <w:divsChild>
                                    <w:div w:id="1257641760">
                                      <w:marLeft w:val="0"/>
                                      <w:marRight w:val="0"/>
                                      <w:marTop w:val="0"/>
                                      <w:marBottom w:val="0"/>
                                      <w:divBdr>
                                        <w:top w:val="none" w:sz="0" w:space="0" w:color="auto"/>
                                        <w:left w:val="none" w:sz="0" w:space="0" w:color="auto"/>
                                        <w:bottom w:val="none" w:sz="0" w:space="0" w:color="auto"/>
                                        <w:right w:val="none" w:sz="0" w:space="0" w:color="auto"/>
                                      </w:divBdr>
                                      <w:divsChild>
                                        <w:div w:id="1908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193129">
                                  <w:marLeft w:val="0"/>
                                  <w:marRight w:val="0"/>
                                  <w:marTop w:val="0"/>
                                  <w:marBottom w:val="0"/>
                                  <w:divBdr>
                                    <w:top w:val="none" w:sz="0" w:space="0" w:color="auto"/>
                                    <w:left w:val="none" w:sz="0" w:space="0" w:color="auto"/>
                                    <w:bottom w:val="none" w:sz="0" w:space="0" w:color="auto"/>
                                    <w:right w:val="none" w:sz="0" w:space="0" w:color="auto"/>
                                  </w:divBdr>
                                  <w:divsChild>
                                    <w:div w:id="712847312">
                                      <w:marLeft w:val="0"/>
                                      <w:marRight w:val="0"/>
                                      <w:marTop w:val="0"/>
                                      <w:marBottom w:val="0"/>
                                      <w:divBdr>
                                        <w:top w:val="none" w:sz="0" w:space="0" w:color="auto"/>
                                        <w:left w:val="none" w:sz="0" w:space="0" w:color="auto"/>
                                        <w:bottom w:val="none" w:sz="0" w:space="0" w:color="auto"/>
                                        <w:right w:val="none" w:sz="0" w:space="0" w:color="auto"/>
                                      </w:divBdr>
                                      <w:divsChild>
                                        <w:div w:id="1028682898">
                                          <w:marLeft w:val="0"/>
                                          <w:marRight w:val="0"/>
                                          <w:marTop w:val="0"/>
                                          <w:marBottom w:val="0"/>
                                          <w:divBdr>
                                            <w:top w:val="none" w:sz="0" w:space="0" w:color="auto"/>
                                            <w:left w:val="none" w:sz="0" w:space="0" w:color="auto"/>
                                            <w:bottom w:val="none" w:sz="0" w:space="0" w:color="auto"/>
                                            <w:right w:val="none" w:sz="0" w:space="0" w:color="auto"/>
                                          </w:divBdr>
                                        </w:div>
                                      </w:divsChild>
                                    </w:div>
                                    <w:div w:id="1238513645">
                                      <w:marLeft w:val="0"/>
                                      <w:marRight w:val="0"/>
                                      <w:marTop w:val="0"/>
                                      <w:marBottom w:val="0"/>
                                      <w:divBdr>
                                        <w:top w:val="none" w:sz="0" w:space="0" w:color="auto"/>
                                        <w:left w:val="none" w:sz="0" w:space="0" w:color="auto"/>
                                        <w:bottom w:val="none" w:sz="0" w:space="0" w:color="auto"/>
                                        <w:right w:val="none" w:sz="0" w:space="0" w:color="auto"/>
                                      </w:divBdr>
                                    </w:div>
                                    <w:div w:id="127164245">
                                      <w:marLeft w:val="0"/>
                                      <w:marRight w:val="0"/>
                                      <w:marTop w:val="0"/>
                                      <w:marBottom w:val="0"/>
                                      <w:divBdr>
                                        <w:top w:val="none" w:sz="0" w:space="0" w:color="auto"/>
                                        <w:left w:val="none" w:sz="0" w:space="0" w:color="auto"/>
                                        <w:bottom w:val="none" w:sz="0" w:space="0" w:color="auto"/>
                                        <w:right w:val="none" w:sz="0" w:space="0" w:color="auto"/>
                                      </w:divBdr>
                                    </w:div>
                                    <w:div w:id="1751661777">
                                      <w:marLeft w:val="0"/>
                                      <w:marRight w:val="0"/>
                                      <w:marTop w:val="0"/>
                                      <w:marBottom w:val="0"/>
                                      <w:divBdr>
                                        <w:top w:val="none" w:sz="0" w:space="0" w:color="auto"/>
                                        <w:left w:val="none" w:sz="0" w:space="0" w:color="auto"/>
                                        <w:bottom w:val="none" w:sz="0" w:space="0" w:color="auto"/>
                                        <w:right w:val="none" w:sz="0" w:space="0" w:color="auto"/>
                                      </w:divBdr>
                                    </w:div>
                                    <w:div w:id="631136318">
                                      <w:marLeft w:val="0"/>
                                      <w:marRight w:val="0"/>
                                      <w:marTop w:val="0"/>
                                      <w:marBottom w:val="0"/>
                                      <w:divBdr>
                                        <w:top w:val="none" w:sz="0" w:space="0" w:color="auto"/>
                                        <w:left w:val="none" w:sz="0" w:space="0" w:color="auto"/>
                                        <w:bottom w:val="none" w:sz="0" w:space="0" w:color="auto"/>
                                        <w:right w:val="none" w:sz="0" w:space="0" w:color="auto"/>
                                      </w:divBdr>
                                    </w:div>
                                    <w:div w:id="833685046">
                                      <w:marLeft w:val="0"/>
                                      <w:marRight w:val="0"/>
                                      <w:marTop w:val="0"/>
                                      <w:marBottom w:val="0"/>
                                      <w:divBdr>
                                        <w:top w:val="none" w:sz="0" w:space="0" w:color="auto"/>
                                        <w:left w:val="none" w:sz="0" w:space="0" w:color="auto"/>
                                        <w:bottom w:val="none" w:sz="0" w:space="0" w:color="auto"/>
                                        <w:right w:val="none" w:sz="0" w:space="0" w:color="auto"/>
                                      </w:divBdr>
                                      <w:divsChild>
                                        <w:div w:id="1631665447">
                                          <w:marLeft w:val="0"/>
                                          <w:marRight w:val="0"/>
                                          <w:marTop w:val="0"/>
                                          <w:marBottom w:val="0"/>
                                          <w:divBdr>
                                            <w:top w:val="none" w:sz="0" w:space="0" w:color="auto"/>
                                            <w:left w:val="none" w:sz="0" w:space="0" w:color="auto"/>
                                            <w:bottom w:val="none" w:sz="0" w:space="0" w:color="auto"/>
                                            <w:right w:val="none" w:sz="0" w:space="0" w:color="auto"/>
                                          </w:divBdr>
                                        </w:div>
                                        <w:div w:id="492793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027757">
                                  <w:marLeft w:val="0"/>
                                  <w:marRight w:val="0"/>
                                  <w:marTop w:val="0"/>
                                  <w:marBottom w:val="0"/>
                                  <w:divBdr>
                                    <w:top w:val="none" w:sz="0" w:space="0" w:color="auto"/>
                                    <w:left w:val="none" w:sz="0" w:space="0" w:color="auto"/>
                                    <w:bottom w:val="none" w:sz="0" w:space="0" w:color="auto"/>
                                    <w:right w:val="none" w:sz="0" w:space="0" w:color="auto"/>
                                  </w:divBdr>
                                  <w:divsChild>
                                    <w:div w:id="2000380442">
                                      <w:marLeft w:val="0"/>
                                      <w:marRight w:val="0"/>
                                      <w:marTop w:val="0"/>
                                      <w:marBottom w:val="0"/>
                                      <w:divBdr>
                                        <w:top w:val="none" w:sz="0" w:space="0" w:color="auto"/>
                                        <w:left w:val="none" w:sz="0" w:space="0" w:color="auto"/>
                                        <w:bottom w:val="none" w:sz="0" w:space="0" w:color="auto"/>
                                        <w:right w:val="none" w:sz="0" w:space="0" w:color="auto"/>
                                      </w:divBdr>
                                      <w:divsChild>
                                        <w:div w:id="1031078925">
                                          <w:marLeft w:val="0"/>
                                          <w:marRight w:val="0"/>
                                          <w:marTop w:val="0"/>
                                          <w:marBottom w:val="0"/>
                                          <w:divBdr>
                                            <w:top w:val="none" w:sz="0" w:space="0" w:color="auto"/>
                                            <w:left w:val="none" w:sz="0" w:space="0" w:color="auto"/>
                                            <w:bottom w:val="none" w:sz="0" w:space="0" w:color="auto"/>
                                            <w:right w:val="none" w:sz="0" w:space="0" w:color="auto"/>
                                          </w:divBdr>
                                        </w:div>
                                      </w:divsChild>
                                    </w:div>
                                    <w:div w:id="187571185">
                                      <w:marLeft w:val="0"/>
                                      <w:marRight w:val="0"/>
                                      <w:marTop w:val="0"/>
                                      <w:marBottom w:val="0"/>
                                      <w:divBdr>
                                        <w:top w:val="none" w:sz="0" w:space="0" w:color="auto"/>
                                        <w:left w:val="none" w:sz="0" w:space="0" w:color="auto"/>
                                        <w:bottom w:val="none" w:sz="0" w:space="0" w:color="auto"/>
                                        <w:right w:val="none" w:sz="0" w:space="0" w:color="auto"/>
                                      </w:divBdr>
                                      <w:divsChild>
                                        <w:div w:id="1369453204">
                                          <w:marLeft w:val="0"/>
                                          <w:marRight w:val="0"/>
                                          <w:marTop w:val="0"/>
                                          <w:marBottom w:val="0"/>
                                          <w:divBdr>
                                            <w:top w:val="none" w:sz="0" w:space="0" w:color="auto"/>
                                            <w:left w:val="none" w:sz="0" w:space="0" w:color="auto"/>
                                            <w:bottom w:val="none" w:sz="0" w:space="0" w:color="auto"/>
                                            <w:right w:val="none" w:sz="0" w:space="0" w:color="auto"/>
                                          </w:divBdr>
                                        </w:div>
                                        <w:div w:id="153885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009119">
                                  <w:marLeft w:val="0"/>
                                  <w:marRight w:val="0"/>
                                  <w:marTop w:val="0"/>
                                  <w:marBottom w:val="0"/>
                                  <w:divBdr>
                                    <w:top w:val="none" w:sz="0" w:space="0" w:color="auto"/>
                                    <w:left w:val="none" w:sz="0" w:space="0" w:color="auto"/>
                                    <w:bottom w:val="none" w:sz="0" w:space="0" w:color="auto"/>
                                    <w:right w:val="none" w:sz="0" w:space="0" w:color="auto"/>
                                  </w:divBdr>
                                  <w:divsChild>
                                    <w:div w:id="338579090">
                                      <w:marLeft w:val="0"/>
                                      <w:marRight w:val="0"/>
                                      <w:marTop w:val="0"/>
                                      <w:marBottom w:val="0"/>
                                      <w:divBdr>
                                        <w:top w:val="none" w:sz="0" w:space="0" w:color="auto"/>
                                        <w:left w:val="none" w:sz="0" w:space="0" w:color="auto"/>
                                        <w:bottom w:val="none" w:sz="0" w:space="0" w:color="auto"/>
                                        <w:right w:val="none" w:sz="0" w:space="0" w:color="auto"/>
                                      </w:divBdr>
                                      <w:divsChild>
                                        <w:div w:id="332993414">
                                          <w:marLeft w:val="0"/>
                                          <w:marRight w:val="0"/>
                                          <w:marTop w:val="0"/>
                                          <w:marBottom w:val="0"/>
                                          <w:divBdr>
                                            <w:top w:val="none" w:sz="0" w:space="0" w:color="auto"/>
                                            <w:left w:val="none" w:sz="0" w:space="0" w:color="auto"/>
                                            <w:bottom w:val="none" w:sz="0" w:space="0" w:color="auto"/>
                                            <w:right w:val="none" w:sz="0" w:space="0" w:color="auto"/>
                                          </w:divBdr>
                                        </w:div>
                                      </w:divsChild>
                                    </w:div>
                                    <w:div w:id="827210051">
                                      <w:marLeft w:val="0"/>
                                      <w:marRight w:val="0"/>
                                      <w:marTop w:val="0"/>
                                      <w:marBottom w:val="0"/>
                                      <w:divBdr>
                                        <w:top w:val="none" w:sz="0" w:space="0" w:color="auto"/>
                                        <w:left w:val="none" w:sz="0" w:space="0" w:color="auto"/>
                                        <w:bottom w:val="none" w:sz="0" w:space="0" w:color="auto"/>
                                        <w:right w:val="none" w:sz="0" w:space="0" w:color="auto"/>
                                      </w:divBdr>
                                      <w:divsChild>
                                        <w:div w:id="1789740015">
                                          <w:marLeft w:val="0"/>
                                          <w:marRight w:val="0"/>
                                          <w:marTop w:val="0"/>
                                          <w:marBottom w:val="0"/>
                                          <w:divBdr>
                                            <w:top w:val="none" w:sz="0" w:space="0" w:color="auto"/>
                                            <w:left w:val="none" w:sz="0" w:space="0" w:color="auto"/>
                                            <w:bottom w:val="none" w:sz="0" w:space="0" w:color="auto"/>
                                            <w:right w:val="none" w:sz="0" w:space="0" w:color="auto"/>
                                          </w:divBdr>
                                        </w:div>
                                        <w:div w:id="1271006099">
                                          <w:marLeft w:val="0"/>
                                          <w:marRight w:val="0"/>
                                          <w:marTop w:val="0"/>
                                          <w:marBottom w:val="0"/>
                                          <w:divBdr>
                                            <w:top w:val="none" w:sz="0" w:space="0" w:color="auto"/>
                                            <w:left w:val="none" w:sz="0" w:space="0" w:color="auto"/>
                                            <w:bottom w:val="none" w:sz="0" w:space="0" w:color="auto"/>
                                            <w:right w:val="none" w:sz="0" w:space="0" w:color="auto"/>
                                          </w:divBdr>
                                        </w:div>
                                      </w:divsChild>
                                    </w:div>
                                    <w:div w:id="764033905">
                                      <w:marLeft w:val="0"/>
                                      <w:marRight w:val="0"/>
                                      <w:marTop w:val="0"/>
                                      <w:marBottom w:val="0"/>
                                      <w:divBdr>
                                        <w:top w:val="none" w:sz="0" w:space="0" w:color="auto"/>
                                        <w:left w:val="none" w:sz="0" w:space="0" w:color="auto"/>
                                        <w:bottom w:val="none" w:sz="0" w:space="0" w:color="auto"/>
                                        <w:right w:val="none" w:sz="0" w:space="0" w:color="auto"/>
                                      </w:divBdr>
                                      <w:divsChild>
                                        <w:div w:id="1961640579">
                                          <w:marLeft w:val="0"/>
                                          <w:marRight w:val="0"/>
                                          <w:marTop w:val="0"/>
                                          <w:marBottom w:val="0"/>
                                          <w:divBdr>
                                            <w:top w:val="none" w:sz="0" w:space="0" w:color="auto"/>
                                            <w:left w:val="none" w:sz="0" w:space="0" w:color="auto"/>
                                            <w:bottom w:val="none" w:sz="0" w:space="0" w:color="auto"/>
                                            <w:right w:val="none" w:sz="0" w:space="0" w:color="auto"/>
                                          </w:divBdr>
                                        </w:div>
                                        <w:div w:id="1180856803">
                                          <w:marLeft w:val="0"/>
                                          <w:marRight w:val="0"/>
                                          <w:marTop w:val="0"/>
                                          <w:marBottom w:val="0"/>
                                          <w:divBdr>
                                            <w:top w:val="none" w:sz="0" w:space="0" w:color="auto"/>
                                            <w:left w:val="none" w:sz="0" w:space="0" w:color="auto"/>
                                            <w:bottom w:val="none" w:sz="0" w:space="0" w:color="auto"/>
                                            <w:right w:val="none" w:sz="0" w:space="0" w:color="auto"/>
                                          </w:divBdr>
                                        </w:div>
                                      </w:divsChild>
                                    </w:div>
                                    <w:div w:id="1256090968">
                                      <w:marLeft w:val="0"/>
                                      <w:marRight w:val="0"/>
                                      <w:marTop w:val="0"/>
                                      <w:marBottom w:val="0"/>
                                      <w:divBdr>
                                        <w:top w:val="none" w:sz="0" w:space="0" w:color="auto"/>
                                        <w:left w:val="none" w:sz="0" w:space="0" w:color="auto"/>
                                        <w:bottom w:val="none" w:sz="0" w:space="0" w:color="auto"/>
                                        <w:right w:val="none" w:sz="0" w:space="0" w:color="auto"/>
                                      </w:divBdr>
                                      <w:divsChild>
                                        <w:div w:id="850804112">
                                          <w:marLeft w:val="0"/>
                                          <w:marRight w:val="0"/>
                                          <w:marTop w:val="0"/>
                                          <w:marBottom w:val="0"/>
                                          <w:divBdr>
                                            <w:top w:val="none" w:sz="0" w:space="0" w:color="auto"/>
                                            <w:left w:val="none" w:sz="0" w:space="0" w:color="auto"/>
                                            <w:bottom w:val="none" w:sz="0" w:space="0" w:color="auto"/>
                                            <w:right w:val="none" w:sz="0" w:space="0" w:color="auto"/>
                                          </w:divBdr>
                                        </w:div>
                                        <w:div w:id="1242719958">
                                          <w:marLeft w:val="0"/>
                                          <w:marRight w:val="0"/>
                                          <w:marTop w:val="0"/>
                                          <w:marBottom w:val="0"/>
                                          <w:divBdr>
                                            <w:top w:val="none" w:sz="0" w:space="0" w:color="auto"/>
                                            <w:left w:val="none" w:sz="0" w:space="0" w:color="auto"/>
                                            <w:bottom w:val="none" w:sz="0" w:space="0" w:color="auto"/>
                                            <w:right w:val="none" w:sz="0" w:space="0" w:color="auto"/>
                                          </w:divBdr>
                                        </w:div>
                                      </w:divsChild>
                                    </w:div>
                                    <w:div w:id="1770468066">
                                      <w:marLeft w:val="0"/>
                                      <w:marRight w:val="0"/>
                                      <w:marTop w:val="0"/>
                                      <w:marBottom w:val="0"/>
                                      <w:divBdr>
                                        <w:top w:val="none" w:sz="0" w:space="0" w:color="auto"/>
                                        <w:left w:val="none" w:sz="0" w:space="0" w:color="auto"/>
                                        <w:bottom w:val="none" w:sz="0" w:space="0" w:color="auto"/>
                                        <w:right w:val="none" w:sz="0" w:space="0" w:color="auto"/>
                                      </w:divBdr>
                                      <w:divsChild>
                                        <w:div w:id="497774585">
                                          <w:marLeft w:val="0"/>
                                          <w:marRight w:val="0"/>
                                          <w:marTop w:val="0"/>
                                          <w:marBottom w:val="0"/>
                                          <w:divBdr>
                                            <w:top w:val="none" w:sz="0" w:space="0" w:color="auto"/>
                                            <w:left w:val="none" w:sz="0" w:space="0" w:color="auto"/>
                                            <w:bottom w:val="none" w:sz="0" w:space="0" w:color="auto"/>
                                            <w:right w:val="none" w:sz="0" w:space="0" w:color="auto"/>
                                          </w:divBdr>
                                        </w:div>
                                        <w:div w:id="128040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79794">
                                  <w:marLeft w:val="0"/>
                                  <w:marRight w:val="0"/>
                                  <w:marTop w:val="0"/>
                                  <w:marBottom w:val="0"/>
                                  <w:divBdr>
                                    <w:top w:val="none" w:sz="0" w:space="0" w:color="auto"/>
                                    <w:left w:val="none" w:sz="0" w:space="0" w:color="auto"/>
                                    <w:bottom w:val="none" w:sz="0" w:space="0" w:color="auto"/>
                                    <w:right w:val="none" w:sz="0" w:space="0" w:color="auto"/>
                                  </w:divBdr>
                                  <w:divsChild>
                                    <w:div w:id="1684168684">
                                      <w:marLeft w:val="0"/>
                                      <w:marRight w:val="0"/>
                                      <w:marTop w:val="0"/>
                                      <w:marBottom w:val="0"/>
                                      <w:divBdr>
                                        <w:top w:val="none" w:sz="0" w:space="0" w:color="auto"/>
                                        <w:left w:val="none" w:sz="0" w:space="0" w:color="auto"/>
                                        <w:bottom w:val="none" w:sz="0" w:space="0" w:color="auto"/>
                                        <w:right w:val="none" w:sz="0" w:space="0" w:color="auto"/>
                                      </w:divBdr>
                                      <w:divsChild>
                                        <w:div w:id="74253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13226660">
      <w:bodyDiv w:val="1"/>
      <w:marLeft w:val="0"/>
      <w:marRight w:val="0"/>
      <w:marTop w:val="0"/>
      <w:marBottom w:val="0"/>
      <w:divBdr>
        <w:top w:val="none" w:sz="0" w:space="0" w:color="auto"/>
        <w:left w:val="none" w:sz="0" w:space="0" w:color="auto"/>
        <w:bottom w:val="none" w:sz="0" w:space="0" w:color="auto"/>
        <w:right w:val="none" w:sz="0" w:space="0" w:color="auto"/>
      </w:divBdr>
      <w:divsChild>
        <w:div w:id="1099183596">
          <w:marLeft w:val="0"/>
          <w:marRight w:val="0"/>
          <w:marTop w:val="0"/>
          <w:marBottom w:val="0"/>
          <w:divBdr>
            <w:top w:val="none" w:sz="0" w:space="0" w:color="auto"/>
            <w:left w:val="none" w:sz="0" w:space="0" w:color="auto"/>
            <w:bottom w:val="none" w:sz="0" w:space="0" w:color="auto"/>
            <w:right w:val="none" w:sz="0" w:space="0" w:color="auto"/>
          </w:divBdr>
        </w:div>
      </w:divsChild>
    </w:div>
    <w:div w:id="2103211576">
      <w:bodyDiv w:val="1"/>
      <w:marLeft w:val="0"/>
      <w:marRight w:val="0"/>
      <w:marTop w:val="0"/>
      <w:marBottom w:val="0"/>
      <w:divBdr>
        <w:top w:val="none" w:sz="0" w:space="0" w:color="auto"/>
        <w:left w:val="none" w:sz="0" w:space="0" w:color="auto"/>
        <w:bottom w:val="none" w:sz="0" w:space="0" w:color="auto"/>
        <w:right w:val="none" w:sz="0" w:space="0" w:color="auto"/>
      </w:divBdr>
      <w:divsChild>
        <w:div w:id="1861819838">
          <w:marLeft w:val="0"/>
          <w:marRight w:val="0"/>
          <w:marTop w:val="0"/>
          <w:marBottom w:val="0"/>
          <w:divBdr>
            <w:top w:val="none" w:sz="0" w:space="0" w:color="auto"/>
            <w:left w:val="none" w:sz="0" w:space="0" w:color="auto"/>
            <w:bottom w:val="none" w:sz="0" w:space="0" w:color="auto"/>
            <w:right w:val="none" w:sz="0" w:space="0" w:color="auto"/>
          </w:divBdr>
          <w:divsChild>
            <w:div w:id="173154899">
              <w:marLeft w:val="0"/>
              <w:marRight w:val="0"/>
              <w:marTop w:val="0"/>
              <w:marBottom w:val="0"/>
              <w:divBdr>
                <w:top w:val="none" w:sz="0" w:space="0" w:color="auto"/>
                <w:left w:val="none" w:sz="0" w:space="0" w:color="auto"/>
                <w:bottom w:val="single" w:sz="12" w:space="0" w:color="006699"/>
                <w:right w:val="none" w:sz="0" w:space="0" w:color="auto"/>
              </w:divBdr>
              <w:divsChild>
                <w:div w:id="1619335660">
                  <w:marLeft w:val="0"/>
                  <w:marRight w:val="0"/>
                  <w:marTop w:val="0"/>
                  <w:marBottom w:val="0"/>
                  <w:divBdr>
                    <w:top w:val="none" w:sz="0" w:space="0" w:color="auto"/>
                    <w:left w:val="none" w:sz="0" w:space="0" w:color="auto"/>
                    <w:bottom w:val="none" w:sz="0" w:space="0" w:color="auto"/>
                    <w:right w:val="none" w:sz="0" w:space="0" w:color="auto"/>
                  </w:divBdr>
                  <w:divsChild>
                    <w:div w:id="1382170948">
                      <w:marLeft w:val="0"/>
                      <w:marRight w:val="0"/>
                      <w:marTop w:val="0"/>
                      <w:marBottom w:val="0"/>
                      <w:divBdr>
                        <w:top w:val="none" w:sz="0" w:space="0" w:color="auto"/>
                        <w:left w:val="none" w:sz="0" w:space="0" w:color="auto"/>
                        <w:bottom w:val="none" w:sz="0" w:space="0" w:color="auto"/>
                        <w:right w:val="none" w:sz="0" w:space="0" w:color="auto"/>
                      </w:divBdr>
                      <w:divsChild>
                        <w:div w:id="1162424706">
                          <w:marLeft w:val="0"/>
                          <w:marRight w:val="0"/>
                          <w:marTop w:val="0"/>
                          <w:marBottom w:val="0"/>
                          <w:divBdr>
                            <w:top w:val="none" w:sz="0" w:space="0" w:color="auto"/>
                            <w:left w:val="none" w:sz="0" w:space="0" w:color="auto"/>
                            <w:bottom w:val="none" w:sz="0" w:space="0" w:color="auto"/>
                            <w:right w:val="none" w:sz="0" w:space="0" w:color="auto"/>
                          </w:divBdr>
                          <w:divsChild>
                            <w:div w:id="209362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13435">
                  <w:marLeft w:val="0"/>
                  <w:marRight w:val="0"/>
                  <w:marTop w:val="0"/>
                  <w:marBottom w:val="0"/>
                  <w:divBdr>
                    <w:top w:val="none" w:sz="0" w:space="0" w:color="auto"/>
                    <w:left w:val="none" w:sz="0" w:space="0" w:color="auto"/>
                    <w:bottom w:val="none" w:sz="0" w:space="0" w:color="auto"/>
                    <w:right w:val="none" w:sz="0" w:space="0" w:color="auto"/>
                  </w:divBdr>
                </w:div>
                <w:div w:id="242765780">
                  <w:marLeft w:val="0"/>
                  <w:marRight w:val="0"/>
                  <w:marTop w:val="0"/>
                  <w:marBottom w:val="0"/>
                  <w:divBdr>
                    <w:top w:val="none" w:sz="0" w:space="0" w:color="auto"/>
                    <w:left w:val="none" w:sz="0" w:space="0" w:color="auto"/>
                    <w:bottom w:val="none" w:sz="0" w:space="0" w:color="auto"/>
                    <w:right w:val="none" w:sz="0" w:space="0" w:color="auto"/>
                  </w:divBdr>
                  <w:divsChild>
                    <w:div w:id="992027229">
                      <w:marLeft w:val="0"/>
                      <w:marRight w:val="0"/>
                      <w:marTop w:val="0"/>
                      <w:marBottom w:val="0"/>
                      <w:divBdr>
                        <w:top w:val="none" w:sz="0" w:space="0" w:color="auto"/>
                        <w:left w:val="none" w:sz="0" w:space="0" w:color="auto"/>
                        <w:bottom w:val="none" w:sz="0" w:space="0" w:color="auto"/>
                        <w:right w:val="none" w:sz="0" w:space="0" w:color="auto"/>
                      </w:divBdr>
                      <w:divsChild>
                        <w:div w:id="1498577155">
                          <w:marLeft w:val="0"/>
                          <w:marRight w:val="0"/>
                          <w:marTop w:val="0"/>
                          <w:marBottom w:val="0"/>
                          <w:divBdr>
                            <w:top w:val="none" w:sz="0" w:space="0" w:color="auto"/>
                            <w:left w:val="none" w:sz="0" w:space="0" w:color="auto"/>
                            <w:bottom w:val="none" w:sz="0" w:space="0" w:color="auto"/>
                            <w:right w:val="none" w:sz="0" w:space="0" w:color="auto"/>
                          </w:divBdr>
                        </w:div>
                        <w:div w:id="597637180">
                          <w:marLeft w:val="0"/>
                          <w:marRight w:val="0"/>
                          <w:marTop w:val="0"/>
                          <w:marBottom w:val="0"/>
                          <w:divBdr>
                            <w:top w:val="none" w:sz="0" w:space="0" w:color="auto"/>
                            <w:left w:val="none" w:sz="0" w:space="0" w:color="auto"/>
                            <w:bottom w:val="none" w:sz="0" w:space="0" w:color="auto"/>
                            <w:right w:val="none" w:sz="0" w:space="0" w:color="auto"/>
                          </w:divBdr>
                        </w:div>
                        <w:div w:id="1987777772">
                          <w:marLeft w:val="0"/>
                          <w:marRight w:val="0"/>
                          <w:marTop w:val="0"/>
                          <w:marBottom w:val="0"/>
                          <w:divBdr>
                            <w:top w:val="none" w:sz="0" w:space="0" w:color="auto"/>
                            <w:left w:val="none" w:sz="0" w:space="0" w:color="auto"/>
                            <w:bottom w:val="none" w:sz="0" w:space="0" w:color="auto"/>
                            <w:right w:val="none" w:sz="0" w:space="0" w:color="auto"/>
                          </w:divBdr>
                          <w:divsChild>
                            <w:div w:id="213983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963593">
                      <w:marLeft w:val="0"/>
                      <w:marRight w:val="0"/>
                      <w:marTop w:val="0"/>
                      <w:marBottom w:val="0"/>
                      <w:divBdr>
                        <w:top w:val="none" w:sz="0" w:space="0" w:color="auto"/>
                        <w:left w:val="none" w:sz="0" w:space="0" w:color="auto"/>
                        <w:bottom w:val="none" w:sz="0" w:space="0" w:color="auto"/>
                        <w:right w:val="none" w:sz="0" w:space="0" w:color="auto"/>
                      </w:divBdr>
                      <w:divsChild>
                        <w:div w:id="1827209317">
                          <w:marLeft w:val="0"/>
                          <w:marRight w:val="0"/>
                          <w:marTop w:val="0"/>
                          <w:marBottom w:val="0"/>
                          <w:divBdr>
                            <w:top w:val="none" w:sz="0" w:space="0" w:color="auto"/>
                            <w:left w:val="none" w:sz="0" w:space="0" w:color="auto"/>
                            <w:bottom w:val="none" w:sz="0" w:space="0" w:color="auto"/>
                            <w:right w:val="none" w:sz="0" w:space="0" w:color="auto"/>
                          </w:divBdr>
                        </w:div>
                        <w:div w:id="655956597">
                          <w:marLeft w:val="0"/>
                          <w:marRight w:val="0"/>
                          <w:marTop w:val="0"/>
                          <w:marBottom w:val="0"/>
                          <w:divBdr>
                            <w:top w:val="none" w:sz="0" w:space="0" w:color="auto"/>
                            <w:left w:val="none" w:sz="0" w:space="0" w:color="auto"/>
                            <w:bottom w:val="none" w:sz="0" w:space="0" w:color="auto"/>
                            <w:right w:val="none" w:sz="0" w:space="0" w:color="auto"/>
                          </w:divBdr>
                        </w:div>
                        <w:div w:id="202535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1732418">
          <w:marLeft w:val="0"/>
          <w:marRight w:val="0"/>
          <w:marTop w:val="0"/>
          <w:marBottom w:val="0"/>
          <w:divBdr>
            <w:top w:val="none" w:sz="0" w:space="0" w:color="auto"/>
            <w:left w:val="none" w:sz="0" w:space="0" w:color="auto"/>
            <w:bottom w:val="none" w:sz="0" w:space="0" w:color="auto"/>
            <w:right w:val="none" w:sz="0" w:space="0" w:color="auto"/>
          </w:divBdr>
          <w:divsChild>
            <w:div w:id="1701668173">
              <w:marLeft w:val="0"/>
              <w:marRight w:val="0"/>
              <w:marTop w:val="0"/>
              <w:marBottom w:val="0"/>
              <w:divBdr>
                <w:top w:val="none" w:sz="0" w:space="0" w:color="auto"/>
                <w:left w:val="none" w:sz="0" w:space="0" w:color="auto"/>
                <w:bottom w:val="single" w:sz="6" w:space="12" w:color="333333"/>
                <w:right w:val="none" w:sz="0" w:space="0" w:color="auto"/>
              </w:divBdr>
              <w:divsChild>
                <w:div w:id="1735396912">
                  <w:marLeft w:val="0"/>
                  <w:marRight w:val="0"/>
                  <w:marTop w:val="0"/>
                  <w:marBottom w:val="0"/>
                  <w:divBdr>
                    <w:top w:val="none" w:sz="0" w:space="0" w:color="auto"/>
                    <w:left w:val="none" w:sz="0" w:space="0" w:color="auto"/>
                    <w:bottom w:val="none" w:sz="0" w:space="0" w:color="auto"/>
                    <w:right w:val="none" w:sz="0" w:space="0" w:color="auto"/>
                  </w:divBdr>
                  <w:divsChild>
                    <w:div w:id="2040660991">
                      <w:marLeft w:val="0"/>
                      <w:marRight w:val="0"/>
                      <w:marTop w:val="0"/>
                      <w:marBottom w:val="0"/>
                      <w:divBdr>
                        <w:top w:val="none" w:sz="0" w:space="0" w:color="auto"/>
                        <w:left w:val="none" w:sz="0" w:space="0" w:color="auto"/>
                        <w:bottom w:val="none" w:sz="0" w:space="0" w:color="auto"/>
                        <w:right w:val="none" w:sz="0" w:space="0" w:color="auto"/>
                      </w:divBdr>
                      <w:divsChild>
                        <w:div w:id="586963200">
                          <w:marLeft w:val="0"/>
                          <w:marRight w:val="0"/>
                          <w:marTop w:val="0"/>
                          <w:marBottom w:val="0"/>
                          <w:divBdr>
                            <w:top w:val="none" w:sz="0" w:space="0" w:color="auto"/>
                            <w:left w:val="none" w:sz="0" w:space="0" w:color="auto"/>
                            <w:bottom w:val="dotted" w:sz="6" w:space="0" w:color="FEA957"/>
                            <w:right w:val="none" w:sz="0" w:space="0" w:color="auto"/>
                          </w:divBdr>
                          <w:divsChild>
                            <w:div w:id="601645230">
                              <w:marLeft w:val="0"/>
                              <w:marRight w:val="0"/>
                              <w:marTop w:val="0"/>
                              <w:marBottom w:val="0"/>
                              <w:divBdr>
                                <w:top w:val="none" w:sz="0" w:space="0" w:color="auto"/>
                                <w:left w:val="none" w:sz="0" w:space="0" w:color="auto"/>
                                <w:bottom w:val="none" w:sz="0" w:space="0" w:color="auto"/>
                                <w:right w:val="none" w:sz="0" w:space="0" w:color="auto"/>
                              </w:divBdr>
                              <w:divsChild>
                                <w:div w:id="75519682">
                                  <w:marLeft w:val="0"/>
                                  <w:marRight w:val="0"/>
                                  <w:marTop w:val="0"/>
                                  <w:marBottom w:val="450"/>
                                  <w:divBdr>
                                    <w:top w:val="none" w:sz="0" w:space="0" w:color="auto"/>
                                    <w:left w:val="none" w:sz="0" w:space="0" w:color="auto"/>
                                    <w:bottom w:val="none" w:sz="0" w:space="0" w:color="auto"/>
                                    <w:right w:val="none" w:sz="0" w:space="0" w:color="auto"/>
                                  </w:divBdr>
                                  <w:divsChild>
                                    <w:div w:id="998918696">
                                      <w:marLeft w:val="0"/>
                                      <w:marRight w:val="0"/>
                                      <w:marTop w:val="0"/>
                                      <w:marBottom w:val="375"/>
                                      <w:divBdr>
                                        <w:top w:val="none" w:sz="0" w:space="0" w:color="auto"/>
                                        <w:left w:val="none" w:sz="0" w:space="0" w:color="auto"/>
                                        <w:bottom w:val="none" w:sz="0" w:space="0" w:color="auto"/>
                                        <w:right w:val="none" w:sz="0" w:space="0" w:color="auto"/>
                                      </w:divBdr>
                                      <w:divsChild>
                                        <w:div w:id="4610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190225">
                                  <w:marLeft w:val="0"/>
                                  <w:marRight w:val="0"/>
                                  <w:marTop w:val="0"/>
                                  <w:marBottom w:val="450"/>
                                  <w:divBdr>
                                    <w:top w:val="none" w:sz="0" w:space="0" w:color="auto"/>
                                    <w:left w:val="none" w:sz="0" w:space="0" w:color="auto"/>
                                    <w:bottom w:val="none" w:sz="0" w:space="0" w:color="auto"/>
                                    <w:right w:val="none" w:sz="0" w:space="0" w:color="auto"/>
                                  </w:divBdr>
                                  <w:divsChild>
                                    <w:div w:id="776411276">
                                      <w:marLeft w:val="0"/>
                                      <w:marRight w:val="0"/>
                                      <w:marTop w:val="0"/>
                                      <w:marBottom w:val="375"/>
                                      <w:divBdr>
                                        <w:top w:val="none" w:sz="0" w:space="0" w:color="auto"/>
                                        <w:left w:val="none" w:sz="0" w:space="0" w:color="auto"/>
                                        <w:bottom w:val="none" w:sz="0" w:space="0" w:color="auto"/>
                                        <w:right w:val="none" w:sz="0" w:space="0" w:color="auto"/>
                                      </w:divBdr>
                                      <w:divsChild>
                                        <w:div w:id="2065522322">
                                          <w:marLeft w:val="0"/>
                                          <w:marRight w:val="0"/>
                                          <w:marTop w:val="0"/>
                                          <w:marBottom w:val="0"/>
                                          <w:divBdr>
                                            <w:top w:val="none" w:sz="0" w:space="0" w:color="auto"/>
                                            <w:left w:val="none" w:sz="0" w:space="0" w:color="auto"/>
                                            <w:bottom w:val="none" w:sz="0" w:space="0" w:color="auto"/>
                                            <w:right w:val="none" w:sz="0" w:space="0" w:color="auto"/>
                                          </w:divBdr>
                                        </w:div>
                                      </w:divsChild>
                                    </w:div>
                                    <w:div w:id="1082604589">
                                      <w:marLeft w:val="0"/>
                                      <w:marRight w:val="0"/>
                                      <w:marTop w:val="240"/>
                                      <w:marBottom w:val="240"/>
                                      <w:divBdr>
                                        <w:top w:val="none" w:sz="0" w:space="0" w:color="auto"/>
                                        <w:left w:val="none" w:sz="0" w:space="0" w:color="auto"/>
                                        <w:bottom w:val="none" w:sz="0" w:space="0" w:color="auto"/>
                                        <w:right w:val="none" w:sz="0" w:space="0" w:color="auto"/>
                                      </w:divBdr>
                                    </w:div>
                                    <w:div w:id="408309043">
                                      <w:marLeft w:val="0"/>
                                      <w:marRight w:val="0"/>
                                      <w:marTop w:val="240"/>
                                      <w:marBottom w:val="240"/>
                                      <w:divBdr>
                                        <w:top w:val="none" w:sz="0" w:space="0" w:color="auto"/>
                                        <w:left w:val="none" w:sz="0" w:space="0" w:color="auto"/>
                                        <w:bottom w:val="none" w:sz="0" w:space="0" w:color="auto"/>
                                        <w:right w:val="none" w:sz="0" w:space="0" w:color="auto"/>
                                      </w:divBdr>
                                    </w:div>
                                    <w:div w:id="1309942162">
                                      <w:marLeft w:val="0"/>
                                      <w:marRight w:val="0"/>
                                      <w:marTop w:val="240"/>
                                      <w:marBottom w:val="240"/>
                                      <w:divBdr>
                                        <w:top w:val="none" w:sz="0" w:space="0" w:color="auto"/>
                                        <w:left w:val="none" w:sz="0" w:space="0" w:color="auto"/>
                                        <w:bottom w:val="none" w:sz="0" w:space="0" w:color="auto"/>
                                        <w:right w:val="none" w:sz="0" w:space="0" w:color="auto"/>
                                      </w:divBdr>
                                    </w:div>
                                    <w:div w:id="1721780554">
                                      <w:marLeft w:val="0"/>
                                      <w:marRight w:val="0"/>
                                      <w:marTop w:val="240"/>
                                      <w:marBottom w:val="240"/>
                                      <w:divBdr>
                                        <w:top w:val="none" w:sz="0" w:space="0" w:color="auto"/>
                                        <w:left w:val="none" w:sz="0" w:space="0" w:color="auto"/>
                                        <w:bottom w:val="none" w:sz="0" w:space="0" w:color="auto"/>
                                        <w:right w:val="none" w:sz="0" w:space="0" w:color="auto"/>
                                      </w:divBdr>
                                    </w:div>
                                    <w:div w:id="1577746086">
                                      <w:marLeft w:val="0"/>
                                      <w:marRight w:val="0"/>
                                      <w:marTop w:val="240"/>
                                      <w:marBottom w:val="240"/>
                                      <w:divBdr>
                                        <w:top w:val="none" w:sz="0" w:space="0" w:color="auto"/>
                                        <w:left w:val="none" w:sz="0" w:space="0" w:color="auto"/>
                                        <w:bottom w:val="none" w:sz="0" w:space="0" w:color="auto"/>
                                        <w:right w:val="none" w:sz="0" w:space="0" w:color="auto"/>
                                      </w:divBdr>
                                    </w:div>
                                    <w:div w:id="1098596203">
                                      <w:marLeft w:val="0"/>
                                      <w:marRight w:val="0"/>
                                      <w:marTop w:val="240"/>
                                      <w:marBottom w:val="240"/>
                                      <w:divBdr>
                                        <w:top w:val="none" w:sz="0" w:space="0" w:color="auto"/>
                                        <w:left w:val="none" w:sz="0" w:space="0" w:color="auto"/>
                                        <w:bottom w:val="none" w:sz="0" w:space="0" w:color="auto"/>
                                        <w:right w:val="none" w:sz="0" w:space="0" w:color="auto"/>
                                      </w:divBdr>
                                    </w:div>
                                    <w:div w:id="371031958">
                                      <w:marLeft w:val="0"/>
                                      <w:marRight w:val="0"/>
                                      <w:marTop w:val="240"/>
                                      <w:marBottom w:val="240"/>
                                      <w:divBdr>
                                        <w:top w:val="none" w:sz="0" w:space="0" w:color="auto"/>
                                        <w:left w:val="none" w:sz="0" w:space="0" w:color="auto"/>
                                        <w:bottom w:val="none" w:sz="0" w:space="0" w:color="auto"/>
                                        <w:right w:val="none" w:sz="0" w:space="0" w:color="auto"/>
                                      </w:divBdr>
                                    </w:div>
                                    <w:div w:id="1085150657">
                                      <w:marLeft w:val="0"/>
                                      <w:marRight w:val="0"/>
                                      <w:marTop w:val="240"/>
                                      <w:marBottom w:val="240"/>
                                      <w:divBdr>
                                        <w:top w:val="none" w:sz="0" w:space="0" w:color="auto"/>
                                        <w:left w:val="none" w:sz="0" w:space="0" w:color="auto"/>
                                        <w:bottom w:val="none" w:sz="0" w:space="0" w:color="auto"/>
                                        <w:right w:val="none" w:sz="0" w:space="0" w:color="auto"/>
                                      </w:divBdr>
                                    </w:div>
                                    <w:div w:id="649939376">
                                      <w:marLeft w:val="0"/>
                                      <w:marRight w:val="0"/>
                                      <w:marTop w:val="240"/>
                                      <w:marBottom w:val="240"/>
                                      <w:divBdr>
                                        <w:top w:val="none" w:sz="0" w:space="0" w:color="auto"/>
                                        <w:left w:val="none" w:sz="0" w:space="0" w:color="auto"/>
                                        <w:bottom w:val="none" w:sz="0" w:space="0" w:color="auto"/>
                                        <w:right w:val="none" w:sz="0" w:space="0" w:color="auto"/>
                                      </w:divBdr>
                                    </w:div>
                                    <w:div w:id="62484087">
                                      <w:marLeft w:val="0"/>
                                      <w:marRight w:val="0"/>
                                      <w:marTop w:val="240"/>
                                      <w:marBottom w:val="240"/>
                                      <w:divBdr>
                                        <w:top w:val="none" w:sz="0" w:space="0" w:color="auto"/>
                                        <w:left w:val="none" w:sz="0" w:space="0" w:color="auto"/>
                                        <w:bottom w:val="none" w:sz="0" w:space="0" w:color="auto"/>
                                        <w:right w:val="none" w:sz="0" w:space="0" w:color="auto"/>
                                      </w:divBdr>
                                    </w:div>
                                    <w:div w:id="822283594">
                                      <w:marLeft w:val="0"/>
                                      <w:marRight w:val="0"/>
                                      <w:marTop w:val="240"/>
                                      <w:marBottom w:val="480"/>
                                      <w:divBdr>
                                        <w:top w:val="none" w:sz="0" w:space="0" w:color="auto"/>
                                        <w:left w:val="none" w:sz="0" w:space="0" w:color="auto"/>
                                        <w:bottom w:val="none" w:sz="0" w:space="0" w:color="auto"/>
                                        <w:right w:val="none" w:sz="0" w:space="0" w:color="auto"/>
                                      </w:divBdr>
                                      <w:divsChild>
                                        <w:div w:id="1067919843">
                                          <w:marLeft w:val="0"/>
                                          <w:marRight w:val="0"/>
                                          <w:marTop w:val="0"/>
                                          <w:marBottom w:val="0"/>
                                          <w:divBdr>
                                            <w:top w:val="single" w:sz="6" w:space="0" w:color="C6C6C6"/>
                                            <w:left w:val="single" w:sz="6" w:space="0" w:color="C6C6C6"/>
                                            <w:bottom w:val="single" w:sz="6" w:space="0" w:color="C6C6C6"/>
                                            <w:right w:val="single" w:sz="6" w:space="0" w:color="C6C6C6"/>
                                          </w:divBdr>
                                        </w:div>
                                        <w:div w:id="1991518135">
                                          <w:marLeft w:val="0"/>
                                          <w:marRight w:val="0"/>
                                          <w:marTop w:val="0"/>
                                          <w:marBottom w:val="0"/>
                                          <w:divBdr>
                                            <w:top w:val="none" w:sz="0" w:space="0" w:color="auto"/>
                                            <w:left w:val="none" w:sz="0" w:space="0" w:color="auto"/>
                                            <w:bottom w:val="dotted" w:sz="6" w:space="6" w:color="999999"/>
                                            <w:right w:val="none" w:sz="0" w:space="0" w:color="auto"/>
                                          </w:divBdr>
                                        </w:div>
                                      </w:divsChild>
                                    </w:div>
                                    <w:div w:id="1806117881">
                                      <w:marLeft w:val="0"/>
                                      <w:marRight w:val="0"/>
                                      <w:marTop w:val="240"/>
                                      <w:marBottom w:val="240"/>
                                      <w:divBdr>
                                        <w:top w:val="none" w:sz="0" w:space="0" w:color="auto"/>
                                        <w:left w:val="none" w:sz="0" w:space="0" w:color="auto"/>
                                        <w:bottom w:val="none" w:sz="0" w:space="0" w:color="auto"/>
                                        <w:right w:val="none" w:sz="0" w:space="0" w:color="auto"/>
                                      </w:divBdr>
                                    </w:div>
                                  </w:divsChild>
                                </w:div>
                                <w:div w:id="983243909">
                                  <w:marLeft w:val="0"/>
                                  <w:marRight w:val="0"/>
                                  <w:marTop w:val="0"/>
                                  <w:marBottom w:val="450"/>
                                  <w:divBdr>
                                    <w:top w:val="none" w:sz="0" w:space="0" w:color="auto"/>
                                    <w:left w:val="none" w:sz="0" w:space="0" w:color="auto"/>
                                    <w:bottom w:val="none" w:sz="0" w:space="0" w:color="auto"/>
                                    <w:right w:val="none" w:sz="0" w:space="0" w:color="auto"/>
                                  </w:divBdr>
                                  <w:divsChild>
                                    <w:div w:id="310673250">
                                      <w:marLeft w:val="0"/>
                                      <w:marRight w:val="0"/>
                                      <w:marTop w:val="0"/>
                                      <w:marBottom w:val="375"/>
                                      <w:divBdr>
                                        <w:top w:val="none" w:sz="0" w:space="0" w:color="auto"/>
                                        <w:left w:val="none" w:sz="0" w:space="0" w:color="auto"/>
                                        <w:bottom w:val="none" w:sz="0" w:space="0" w:color="auto"/>
                                        <w:right w:val="none" w:sz="0" w:space="0" w:color="auto"/>
                                      </w:divBdr>
                                      <w:divsChild>
                                        <w:div w:id="355037633">
                                          <w:marLeft w:val="0"/>
                                          <w:marRight w:val="0"/>
                                          <w:marTop w:val="0"/>
                                          <w:marBottom w:val="0"/>
                                          <w:divBdr>
                                            <w:top w:val="none" w:sz="0" w:space="0" w:color="auto"/>
                                            <w:left w:val="none" w:sz="0" w:space="0" w:color="auto"/>
                                            <w:bottom w:val="none" w:sz="0" w:space="0" w:color="auto"/>
                                            <w:right w:val="none" w:sz="0" w:space="0" w:color="auto"/>
                                          </w:divBdr>
                                        </w:div>
                                      </w:divsChild>
                                    </w:div>
                                    <w:div w:id="33891270">
                                      <w:marLeft w:val="0"/>
                                      <w:marRight w:val="0"/>
                                      <w:marTop w:val="240"/>
                                      <w:marBottom w:val="240"/>
                                      <w:divBdr>
                                        <w:top w:val="none" w:sz="0" w:space="0" w:color="auto"/>
                                        <w:left w:val="none" w:sz="0" w:space="0" w:color="auto"/>
                                        <w:bottom w:val="none" w:sz="0" w:space="0" w:color="auto"/>
                                        <w:right w:val="none" w:sz="0" w:space="0" w:color="auto"/>
                                      </w:divBdr>
                                    </w:div>
                                    <w:div w:id="1938637790">
                                      <w:marLeft w:val="0"/>
                                      <w:marRight w:val="0"/>
                                      <w:marTop w:val="240"/>
                                      <w:marBottom w:val="240"/>
                                      <w:divBdr>
                                        <w:top w:val="none" w:sz="0" w:space="0" w:color="auto"/>
                                        <w:left w:val="none" w:sz="0" w:space="0" w:color="auto"/>
                                        <w:bottom w:val="none" w:sz="0" w:space="0" w:color="auto"/>
                                        <w:right w:val="none" w:sz="0" w:space="0" w:color="auto"/>
                                      </w:divBdr>
                                    </w:div>
                                    <w:div w:id="24254013">
                                      <w:marLeft w:val="0"/>
                                      <w:marRight w:val="0"/>
                                      <w:marTop w:val="0"/>
                                      <w:marBottom w:val="0"/>
                                      <w:divBdr>
                                        <w:top w:val="none" w:sz="0" w:space="0" w:color="auto"/>
                                        <w:left w:val="none" w:sz="0" w:space="0" w:color="auto"/>
                                        <w:bottom w:val="none" w:sz="0" w:space="0" w:color="auto"/>
                                        <w:right w:val="none" w:sz="0" w:space="0" w:color="auto"/>
                                      </w:divBdr>
                                      <w:divsChild>
                                        <w:div w:id="807673624">
                                          <w:marLeft w:val="0"/>
                                          <w:marRight w:val="0"/>
                                          <w:marTop w:val="240"/>
                                          <w:marBottom w:val="240"/>
                                          <w:divBdr>
                                            <w:top w:val="none" w:sz="0" w:space="0" w:color="auto"/>
                                            <w:left w:val="none" w:sz="0" w:space="0" w:color="auto"/>
                                            <w:bottom w:val="none" w:sz="0" w:space="0" w:color="auto"/>
                                            <w:right w:val="none" w:sz="0" w:space="0" w:color="auto"/>
                                          </w:divBdr>
                                        </w:div>
                                        <w:div w:id="1957828952">
                                          <w:marLeft w:val="0"/>
                                          <w:marRight w:val="0"/>
                                          <w:marTop w:val="240"/>
                                          <w:marBottom w:val="240"/>
                                          <w:divBdr>
                                            <w:top w:val="none" w:sz="0" w:space="0" w:color="auto"/>
                                            <w:left w:val="none" w:sz="0" w:space="0" w:color="auto"/>
                                            <w:bottom w:val="none" w:sz="0" w:space="0" w:color="auto"/>
                                            <w:right w:val="none" w:sz="0" w:space="0" w:color="auto"/>
                                          </w:divBdr>
                                        </w:div>
                                        <w:div w:id="301662545">
                                          <w:marLeft w:val="0"/>
                                          <w:marRight w:val="0"/>
                                          <w:marTop w:val="0"/>
                                          <w:marBottom w:val="0"/>
                                          <w:divBdr>
                                            <w:top w:val="none" w:sz="0" w:space="0" w:color="auto"/>
                                            <w:left w:val="none" w:sz="0" w:space="0" w:color="auto"/>
                                            <w:bottom w:val="none" w:sz="0" w:space="0" w:color="auto"/>
                                            <w:right w:val="none" w:sz="0" w:space="0" w:color="auto"/>
                                          </w:divBdr>
                                          <w:divsChild>
                                            <w:div w:id="1169102928">
                                              <w:marLeft w:val="0"/>
                                              <w:marRight w:val="0"/>
                                              <w:marTop w:val="240"/>
                                              <w:marBottom w:val="240"/>
                                              <w:divBdr>
                                                <w:top w:val="none" w:sz="0" w:space="0" w:color="auto"/>
                                                <w:left w:val="none" w:sz="0" w:space="0" w:color="auto"/>
                                                <w:bottom w:val="none" w:sz="0" w:space="0" w:color="auto"/>
                                                <w:right w:val="none" w:sz="0" w:space="0" w:color="auto"/>
                                              </w:divBdr>
                                            </w:div>
                                            <w:div w:id="1339456509">
                                              <w:marLeft w:val="0"/>
                                              <w:marRight w:val="0"/>
                                              <w:marTop w:val="240"/>
                                              <w:marBottom w:val="240"/>
                                              <w:divBdr>
                                                <w:top w:val="none" w:sz="0" w:space="0" w:color="auto"/>
                                                <w:left w:val="none" w:sz="0" w:space="0" w:color="auto"/>
                                                <w:bottom w:val="none" w:sz="0" w:space="0" w:color="auto"/>
                                                <w:right w:val="none" w:sz="0" w:space="0" w:color="auto"/>
                                              </w:divBdr>
                                            </w:div>
                                            <w:div w:id="1283607343">
                                              <w:marLeft w:val="0"/>
                                              <w:marRight w:val="0"/>
                                              <w:marTop w:val="240"/>
                                              <w:marBottom w:val="240"/>
                                              <w:divBdr>
                                                <w:top w:val="none" w:sz="0" w:space="0" w:color="auto"/>
                                                <w:left w:val="none" w:sz="0" w:space="0" w:color="auto"/>
                                                <w:bottom w:val="none" w:sz="0" w:space="0" w:color="auto"/>
                                                <w:right w:val="none" w:sz="0" w:space="0" w:color="auto"/>
                                              </w:divBdr>
                                            </w:div>
                                            <w:div w:id="1592348671">
                                              <w:marLeft w:val="0"/>
                                              <w:marRight w:val="0"/>
                                              <w:marTop w:val="240"/>
                                              <w:marBottom w:val="240"/>
                                              <w:divBdr>
                                                <w:top w:val="none" w:sz="0" w:space="0" w:color="auto"/>
                                                <w:left w:val="none" w:sz="0" w:space="0" w:color="auto"/>
                                                <w:bottom w:val="none" w:sz="0" w:space="0" w:color="auto"/>
                                                <w:right w:val="none" w:sz="0" w:space="0" w:color="auto"/>
                                              </w:divBdr>
                                            </w:div>
                                            <w:div w:id="20093598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56888624">
                                      <w:marLeft w:val="0"/>
                                      <w:marRight w:val="0"/>
                                      <w:marTop w:val="0"/>
                                      <w:marBottom w:val="0"/>
                                      <w:divBdr>
                                        <w:top w:val="none" w:sz="0" w:space="0" w:color="auto"/>
                                        <w:left w:val="none" w:sz="0" w:space="0" w:color="auto"/>
                                        <w:bottom w:val="none" w:sz="0" w:space="0" w:color="auto"/>
                                        <w:right w:val="none" w:sz="0" w:space="0" w:color="auto"/>
                                      </w:divBdr>
                                      <w:divsChild>
                                        <w:div w:id="1027491337">
                                          <w:marLeft w:val="0"/>
                                          <w:marRight w:val="0"/>
                                          <w:marTop w:val="240"/>
                                          <w:marBottom w:val="240"/>
                                          <w:divBdr>
                                            <w:top w:val="none" w:sz="0" w:space="0" w:color="auto"/>
                                            <w:left w:val="none" w:sz="0" w:space="0" w:color="auto"/>
                                            <w:bottom w:val="none" w:sz="0" w:space="0" w:color="auto"/>
                                            <w:right w:val="none" w:sz="0" w:space="0" w:color="auto"/>
                                          </w:divBdr>
                                        </w:div>
                                        <w:div w:id="1848514304">
                                          <w:marLeft w:val="0"/>
                                          <w:marRight w:val="0"/>
                                          <w:marTop w:val="240"/>
                                          <w:marBottom w:val="480"/>
                                          <w:divBdr>
                                            <w:top w:val="none" w:sz="0" w:space="0" w:color="auto"/>
                                            <w:left w:val="none" w:sz="0" w:space="0" w:color="auto"/>
                                            <w:bottom w:val="none" w:sz="0" w:space="0" w:color="auto"/>
                                            <w:right w:val="none" w:sz="0" w:space="0" w:color="auto"/>
                                          </w:divBdr>
                                          <w:divsChild>
                                            <w:div w:id="1670254800">
                                              <w:marLeft w:val="0"/>
                                              <w:marRight w:val="0"/>
                                              <w:marTop w:val="0"/>
                                              <w:marBottom w:val="0"/>
                                              <w:divBdr>
                                                <w:top w:val="none" w:sz="0" w:space="0" w:color="auto"/>
                                                <w:left w:val="none" w:sz="0" w:space="0" w:color="auto"/>
                                                <w:bottom w:val="dotted" w:sz="6" w:space="6" w:color="999999"/>
                                                <w:right w:val="none" w:sz="0" w:space="0" w:color="auto"/>
                                              </w:divBdr>
                                            </w:div>
                                            <w:div w:id="20959370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408966358">
                                          <w:marLeft w:val="0"/>
                                          <w:marRight w:val="0"/>
                                          <w:marTop w:val="240"/>
                                          <w:marBottom w:val="480"/>
                                          <w:divBdr>
                                            <w:top w:val="none" w:sz="0" w:space="0" w:color="auto"/>
                                            <w:left w:val="none" w:sz="0" w:space="0" w:color="auto"/>
                                            <w:bottom w:val="none" w:sz="0" w:space="0" w:color="auto"/>
                                            <w:right w:val="none" w:sz="0" w:space="0" w:color="auto"/>
                                          </w:divBdr>
                                          <w:divsChild>
                                            <w:div w:id="1438599827">
                                              <w:marLeft w:val="0"/>
                                              <w:marRight w:val="0"/>
                                              <w:marTop w:val="0"/>
                                              <w:marBottom w:val="0"/>
                                              <w:divBdr>
                                                <w:top w:val="single" w:sz="6" w:space="0" w:color="C6C6C6"/>
                                                <w:left w:val="single" w:sz="6" w:space="0" w:color="C6C6C6"/>
                                                <w:bottom w:val="single" w:sz="6" w:space="0" w:color="C6C6C6"/>
                                                <w:right w:val="single" w:sz="6" w:space="0" w:color="C6C6C6"/>
                                              </w:divBdr>
                                            </w:div>
                                            <w:div w:id="391200026">
                                              <w:marLeft w:val="0"/>
                                              <w:marRight w:val="0"/>
                                              <w:marTop w:val="0"/>
                                              <w:marBottom w:val="0"/>
                                              <w:divBdr>
                                                <w:top w:val="none" w:sz="0" w:space="0" w:color="auto"/>
                                                <w:left w:val="none" w:sz="0" w:space="0" w:color="auto"/>
                                                <w:bottom w:val="dotted" w:sz="6" w:space="6" w:color="999999"/>
                                                <w:right w:val="none" w:sz="0" w:space="0" w:color="auto"/>
                                              </w:divBdr>
                                            </w:div>
                                          </w:divsChild>
                                        </w:div>
                                        <w:div w:id="1441417190">
                                          <w:marLeft w:val="0"/>
                                          <w:marRight w:val="0"/>
                                          <w:marTop w:val="240"/>
                                          <w:marBottom w:val="480"/>
                                          <w:divBdr>
                                            <w:top w:val="none" w:sz="0" w:space="0" w:color="auto"/>
                                            <w:left w:val="none" w:sz="0" w:space="0" w:color="auto"/>
                                            <w:bottom w:val="none" w:sz="0" w:space="0" w:color="auto"/>
                                            <w:right w:val="none" w:sz="0" w:space="0" w:color="auto"/>
                                          </w:divBdr>
                                          <w:divsChild>
                                            <w:div w:id="137233216">
                                              <w:marLeft w:val="0"/>
                                              <w:marRight w:val="0"/>
                                              <w:marTop w:val="0"/>
                                              <w:marBottom w:val="0"/>
                                              <w:divBdr>
                                                <w:top w:val="single" w:sz="6" w:space="0" w:color="C6C6C6"/>
                                                <w:left w:val="single" w:sz="6" w:space="0" w:color="C6C6C6"/>
                                                <w:bottom w:val="single" w:sz="6" w:space="0" w:color="C6C6C6"/>
                                                <w:right w:val="single" w:sz="6" w:space="0" w:color="C6C6C6"/>
                                              </w:divBdr>
                                            </w:div>
                                            <w:div w:id="882525798">
                                              <w:marLeft w:val="0"/>
                                              <w:marRight w:val="0"/>
                                              <w:marTop w:val="0"/>
                                              <w:marBottom w:val="0"/>
                                              <w:divBdr>
                                                <w:top w:val="none" w:sz="0" w:space="0" w:color="auto"/>
                                                <w:left w:val="none" w:sz="0" w:space="0" w:color="auto"/>
                                                <w:bottom w:val="dotted" w:sz="6" w:space="6" w:color="999999"/>
                                                <w:right w:val="none" w:sz="0" w:space="0" w:color="auto"/>
                                              </w:divBdr>
                                            </w:div>
                                          </w:divsChild>
                                        </w:div>
                                        <w:div w:id="1728147559">
                                          <w:marLeft w:val="0"/>
                                          <w:marRight w:val="0"/>
                                          <w:marTop w:val="240"/>
                                          <w:marBottom w:val="240"/>
                                          <w:divBdr>
                                            <w:top w:val="none" w:sz="0" w:space="0" w:color="auto"/>
                                            <w:left w:val="none" w:sz="0" w:space="0" w:color="auto"/>
                                            <w:bottom w:val="none" w:sz="0" w:space="0" w:color="auto"/>
                                            <w:right w:val="none" w:sz="0" w:space="0" w:color="auto"/>
                                          </w:divBdr>
                                        </w:div>
                                        <w:div w:id="1421221397">
                                          <w:marLeft w:val="0"/>
                                          <w:marRight w:val="0"/>
                                          <w:marTop w:val="240"/>
                                          <w:marBottom w:val="240"/>
                                          <w:divBdr>
                                            <w:top w:val="none" w:sz="0" w:space="0" w:color="auto"/>
                                            <w:left w:val="none" w:sz="0" w:space="0" w:color="auto"/>
                                            <w:bottom w:val="none" w:sz="0" w:space="0" w:color="auto"/>
                                            <w:right w:val="none" w:sz="0" w:space="0" w:color="auto"/>
                                          </w:divBdr>
                                        </w:div>
                                        <w:div w:id="289434567">
                                          <w:marLeft w:val="0"/>
                                          <w:marRight w:val="0"/>
                                          <w:marTop w:val="240"/>
                                          <w:marBottom w:val="240"/>
                                          <w:divBdr>
                                            <w:top w:val="none" w:sz="0" w:space="0" w:color="auto"/>
                                            <w:left w:val="none" w:sz="0" w:space="0" w:color="auto"/>
                                            <w:bottom w:val="none" w:sz="0" w:space="0" w:color="auto"/>
                                            <w:right w:val="none" w:sz="0" w:space="0" w:color="auto"/>
                                          </w:divBdr>
                                        </w:div>
                                        <w:div w:id="1272321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22450380">
                                  <w:marLeft w:val="0"/>
                                  <w:marRight w:val="0"/>
                                  <w:marTop w:val="0"/>
                                  <w:marBottom w:val="450"/>
                                  <w:divBdr>
                                    <w:top w:val="none" w:sz="0" w:space="0" w:color="auto"/>
                                    <w:left w:val="none" w:sz="0" w:space="0" w:color="auto"/>
                                    <w:bottom w:val="none" w:sz="0" w:space="0" w:color="auto"/>
                                    <w:right w:val="none" w:sz="0" w:space="0" w:color="auto"/>
                                  </w:divBdr>
                                  <w:divsChild>
                                    <w:div w:id="1809469770">
                                      <w:marLeft w:val="0"/>
                                      <w:marRight w:val="0"/>
                                      <w:marTop w:val="0"/>
                                      <w:marBottom w:val="375"/>
                                      <w:divBdr>
                                        <w:top w:val="none" w:sz="0" w:space="0" w:color="auto"/>
                                        <w:left w:val="none" w:sz="0" w:space="0" w:color="auto"/>
                                        <w:bottom w:val="none" w:sz="0" w:space="0" w:color="auto"/>
                                        <w:right w:val="none" w:sz="0" w:space="0" w:color="auto"/>
                                      </w:divBdr>
                                      <w:divsChild>
                                        <w:div w:id="819275328">
                                          <w:marLeft w:val="0"/>
                                          <w:marRight w:val="0"/>
                                          <w:marTop w:val="0"/>
                                          <w:marBottom w:val="0"/>
                                          <w:divBdr>
                                            <w:top w:val="none" w:sz="0" w:space="0" w:color="auto"/>
                                            <w:left w:val="none" w:sz="0" w:space="0" w:color="auto"/>
                                            <w:bottom w:val="none" w:sz="0" w:space="0" w:color="auto"/>
                                            <w:right w:val="none" w:sz="0" w:space="0" w:color="auto"/>
                                          </w:divBdr>
                                        </w:div>
                                      </w:divsChild>
                                    </w:div>
                                    <w:div w:id="1731345259">
                                      <w:marLeft w:val="0"/>
                                      <w:marRight w:val="0"/>
                                      <w:marTop w:val="240"/>
                                      <w:marBottom w:val="480"/>
                                      <w:divBdr>
                                        <w:top w:val="none" w:sz="0" w:space="0" w:color="auto"/>
                                        <w:left w:val="none" w:sz="0" w:space="0" w:color="auto"/>
                                        <w:bottom w:val="none" w:sz="0" w:space="0" w:color="auto"/>
                                        <w:right w:val="none" w:sz="0" w:space="0" w:color="auto"/>
                                      </w:divBdr>
                                      <w:divsChild>
                                        <w:div w:id="2014646951">
                                          <w:marLeft w:val="0"/>
                                          <w:marRight w:val="0"/>
                                          <w:marTop w:val="0"/>
                                          <w:marBottom w:val="0"/>
                                          <w:divBdr>
                                            <w:top w:val="single" w:sz="6" w:space="0" w:color="C6C6C6"/>
                                            <w:left w:val="single" w:sz="6" w:space="0" w:color="C6C6C6"/>
                                            <w:bottom w:val="single" w:sz="6" w:space="0" w:color="C6C6C6"/>
                                            <w:right w:val="single" w:sz="6" w:space="0" w:color="C6C6C6"/>
                                          </w:divBdr>
                                        </w:div>
                                        <w:div w:id="250239865">
                                          <w:marLeft w:val="0"/>
                                          <w:marRight w:val="0"/>
                                          <w:marTop w:val="0"/>
                                          <w:marBottom w:val="0"/>
                                          <w:divBdr>
                                            <w:top w:val="none" w:sz="0" w:space="0" w:color="auto"/>
                                            <w:left w:val="none" w:sz="0" w:space="0" w:color="auto"/>
                                            <w:bottom w:val="dotted" w:sz="6" w:space="6" w:color="999999"/>
                                            <w:right w:val="none" w:sz="0" w:space="0" w:color="auto"/>
                                          </w:divBdr>
                                        </w:div>
                                      </w:divsChild>
                                    </w:div>
                                    <w:div w:id="1207714217">
                                      <w:marLeft w:val="0"/>
                                      <w:marRight w:val="0"/>
                                      <w:marTop w:val="240"/>
                                      <w:marBottom w:val="480"/>
                                      <w:divBdr>
                                        <w:top w:val="none" w:sz="0" w:space="0" w:color="auto"/>
                                        <w:left w:val="none" w:sz="0" w:space="0" w:color="auto"/>
                                        <w:bottom w:val="none" w:sz="0" w:space="0" w:color="auto"/>
                                        <w:right w:val="none" w:sz="0" w:space="0" w:color="auto"/>
                                      </w:divBdr>
                                      <w:divsChild>
                                        <w:div w:id="1304652077">
                                          <w:marLeft w:val="0"/>
                                          <w:marRight w:val="0"/>
                                          <w:marTop w:val="0"/>
                                          <w:marBottom w:val="0"/>
                                          <w:divBdr>
                                            <w:top w:val="single" w:sz="6" w:space="0" w:color="C6C6C6"/>
                                            <w:left w:val="single" w:sz="6" w:space="0" w:color="C6C6C6"/>
                                            <w:bottom w:val="single" w:sz="6" w:space="0" w:color="C6C6C6"/>
                                            <w:right w:val="single" w:sz="6" w:space="0" w:color="C6C6C6"/>
                                          </w:divBdr>
                                        </w:div>
                                        <w:div w:id="236718229">
                                          <w:marLeft w:val="0"/>
                                          <w:marRight w:val="0"/>
                                          <w:marTop w:val="0"/>
                                          <w:marBottom w:val="0"/>
                                          <w:divBdr>
                                            <w:top w:val="none" w:sz="0" w:space="0" w:color="auto"/>
                                            <w:left w:val="none" w:sz="0" w:space="0" w:color="auto"/>
                                            <w:bottom w:val="dotted" w:sz="6" w:space="6" w:color="999999"/>
                                            <w:right w:val="none" w:sz="0" w:space="0" w:color="auto"/>
                                          </w:divBdr>
                                        </w:div>
                                      </w:divsChild>
                                    </w:div>
                                    <w:div w:id="2108963287">
                                      <w:marLeft w:val="0"/>
                                      <w:marRight w:val="0"/>
                                      <w:marTop w:val="240"/>
                                      <w:marBottom w:val="480"/>
                                      <w:divBdr>
                                        <w:top w:val="none" w:sz="0" w:space="0" w:color="auto"/>
                                        <w:left w:val="none" w:sz="0" w:space="0" w:color="auto"/>
                                        <w:bottom w:val="none" w:sz="0" w:space="0" w:color="auto"/>
                                        <w:right w:val="none" w:sz="0" w:space="0" w:color="auto"/>
                                      </w:divBdr>
                                      <w:divsChild>
                                        <w:div w:id="209389979">
                                          <w:marLeft w:val="0"/>
                                          <w:marRight w:val="0"/>
                                          <w:marTop w:val="0"/>
                                          <w:marBottom w:val="0"/>
                                          <w:divBdr>
                                            <w:top w:val="none" w:sz="0" w:space="0" w:color="auto"/>
                                            <w:left w:val="none" w:sz="0" w:space="0" w:color="auto"/>
                                            <w:bottom w:val="dotted" w:sz="6" w:space="6" w:color="999999"/>
                                            <w:right w:val="none" w:sz="0" w:space="0" w:color="auto"/>
                                          </w:divBdr>
                                        </w:div>
                                        <w:div w:id="1229805627">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225140459">
                                  <w:marLeft w:val="0"/>
                                  <w:marRight w:val="0"/>
                                  <w:marTop w:val="0"/>
                                  <w:marBottom w:val="450"/>
                                  <w:divBdr>
                                    <w:top w:val="none" w:sz="0" w:space="0" w:color="auto"/>
                                    <w:left w:val="none" w:sz="0" w:space="0" w:color="auto"/>
                                    <w:bottom w:val="none" w:sz="0" w:space="0" w:color="auto"/>
                                    <w:right w:val="none" w:sz="0" w:space="0" w:color="auto"/>
                                  </w:divBdr>
                                  <w:divsChild>
                                    <w:div w:id="1776973247">
                                      <w:marLeft w:val="0"/>
                                      <w:marRight w:val="0"/>
                                      <w:marTop w:val="0"/>
                                      <w:marBottom w:val="375"/>
                                      <w:divBdr>
                                        <w:top w:val="none" w:sz="0" w:space="0" w:color="auto"/>
                                        <w:left w:val="none" w:sz="0" w:space="0" w:color="auto"/>
                                        <w:bottom w:val="none" w:sz="0" w:space="0" w:color="auto"/>
                                        <w:right w:val="none" w:sz="0" w:space="0" w:color="auto"/>
                                      </w:divBdr>
                                      <w:divsChild>
                                        <w:div w:id="1764760277">
                                          <w:marLeft w:val="0"/>
                                          <w:marRight w:val="0"/>
                                          <w:marTop w:val="0"/>
                                          <w:marBottom w:val="0"/>
                                          <w:divBdr>
                                            <w:top w:val="none" w:sz="0" w:space="0" w:color="auto"/>
                                            <w:left w:val="none" w:sz="0" w:space="0" w:color="auto"/>
                                            <w:bottom w:val="none" w:sz="0" w:space="0" w:color="auto"/>
                                            <w:right w:val="none" w:sz="0" w:space="0" w:color="auto"/>
                                          </w:divBdr>
                                        </w:div>
                                      </w:divsChild>
                                    </w:div>
                                    <w:div w:id="1952471722">
                                      <w:marLeft w:val="0"/>
                                      <w:marRight w:val="0"/>
                                      <w:marTop w:val="240"/>
                                      <w:marBottom w:val="480"/>
                                      <w:divBdr>
                                        <w:top w:val="none" w:sz="0" w:space="0" w:color="auto"/>
                                        <w:left w:val="none" w:sz="0" w:space="0" w:color="auto"/>
                                        <w:bottom w:val="none" w:sz="0" w:space="0" w:color="auto"/>
                                        <w:right w:val="none" w:sz="0" w:space="0" w:color="auto"/>
                                      </w:divBdr>
                                      <w:divsChild>
                                        <w:div w:id="1325864544">
                                          <w:marLeft w:val="0"/>
                                          <w:marRight w:val="0"/>
                                          <w:marTop w:val="0"/>
                                          <w:marBottom w:val="0"/>
                                          <w:divBdr>
                                            <w:top w:val="none" w:sz="0" w:space="0" w:color="auto"/>
                                            <w:left w:val="none" w:sz="0" w:space="0" w:color="auto"/>
                                            <w:bottom w:val="dotted" w:sz="6" w:space="6" w:color="999999"/>
                                            <w:right w:val="none" w:sz="0" w:space="0" w:color="auto"/>
                                          </w:divBdr>
                                        </w:div>
                                        <w:div w:id="17531709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12213987">
                                      <w:marLeft w:val="0"/>
                                      <w:marRight w:val="0"/>
                                      <w:marTop w:val="240"/>
                                      <w:marBottom w:val="480"/>
                                      <w:divBdr>
                                        <w:top w:val="none" w:sz="0" w:space="0" w:color="auto"/>
                                        <w:left w:val="none" w:sz="0" w:space="0" w:color="auto"/>
                                        <w:bottom w:val="none" w:sz="0" w:space="0" w:color="auto"/>
                                        <w:right w:val="none" w:sz="0" w:space="0" w:color="auto"/>
                                      </w:divBdr>
                                      <w:divsChild>
                                        <w:div w:id="1254707185">
                                          <w:marLeft w:val="0"/>
                                          <w:marRight w:val="0"/>
                                          <w:marTop w:val="0"/>
                                          <w:marBottom w:val="0"/>
                                          <w:divBdr>
                                            <w:top w:val="none" w:sz="0" w:space="0" w:color="auto"/>
                                            <w:left w:val="none" w:sz="0" w:space="0" w:color="auto"/>
                                            <w:bottom w:val="dotted" w:sz="6" w:space="6" w:color="999999"/>
                                            <w:right w:val="none" w:sz="0" w:space="0" w:color="auto"/>
                                          </w:divBdr>
                                        </w:div>
                                        <w:div w:id="279924621">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323045145">
                                      <w:marLeft w:val="0"/>
                                      <w:marRight w:val="0"/>
                                      <w:marTop w:val="240"/>
                                      <w:marBottom w:val="480"/>
                                      <w:divBdr>
                                        <w:top w:val="none" w:sz="0" w:space="0" w:color="auto"/>
                                        <w:left w:val="none" w:sz="0" w:space="0" w:color="auto"/>
                                        <w:bottom w:val="none" w:sz="0" w:space="0" w:color="auto"/>
                                        <w:right w:val="none" w:sz="0" w:space="0" w:color="auto"/>
                                      </w:divBdr>
                                      <w:divsChild>
                                        <w:div w:id="1635059582">
                                          <w:marLeft w:val="0"/>
                                          <w:marRight w:val="0"/>
                                          <w:marTop w:val="0"/>
                                          <w:marBottom w:val="0"/>
                                          <w:divBdr>
                                            <w:top w:val="single" w:sz="6" w:space="0" w:color="C6C6C6"/>
                                            <w:left w:val="single" w:sz="6" w:space="0" w:color="C6C6C6"/>
                                            <w:bottom w:val="single" w:sz="6" w:space="0" w:color="C6C6C6"/>
                                            <w:right w:val="single" w:sz="6" w:space="0" w:color="C6C6C6"/>
                                          </w:divBdr>
                                        </w:div>
                                        <w:div w:id="1810436278">
                                          <w:marLeft w:val="0"/>
                                          <w:marRight w:val="0"/>
                                          <w:marTop w:val="0"/>
                                          <w:marBottom w:val="0"/>
                                          <w:divBdr>
                                            <w:top w:val="none" w:sz="0" w:space="0" w:color="auto"/>
                                            <w:left w:val="none" w:sz="0" w:space="0" w:color="auto"/>
                                            <w:bottom w:val="dotted" w:sz="6" w:space="6" w:color="999999"/>
                                            <w:right w:val="none" w:sz="0" w:space="0" w:color="auto"/>
                                          </w:divBdr>
                                        </w:div>
                                      </w:divsChild>
                                    </w:div>
                                    <w:div w:id="14232482">
                                      <w:marLeft w:val="0"/>
                                      <w:marRight w:val="0"/>
                                      <w:marTop w:val="240"/>
                                      <w:marBottom w:val="480"/>
                                      <w:divBdr>
                                        <w:top w:val="none" w:sz="0" w:space="0" w:color="auto"/>
                                        <w:left w:val="none" w:sz="0" w:space="0" w:color="auto"/>
                                        <w:bottom w:val="none" w:sz="0" w:space="0" w:color="auto"/>
                                        <w:right w:val="none" w:sz="0" w:space="0" w:color="auto"/>
                                      </w:divBdr>
                                      <w:divsChild>
                                        <w:div w:id="1269507557">
                                          <w:marLeft w:val="0"/>
                                          <w:marRight w:val="0"/>
                                          <w:marTop w:val="0"/>
                                          <w:marBottom w:val="0"/>
                                          <w:divBdr>
                                            <w:top w:val="single" w:sz="6" w:space="0" w:color="C6C6C6"/>
                                            <w:left w:val="single" w:sz="6" w:space="0" w:color="C6C6C6"/>
                                            <w:bottom w:val="single" w:sz="6" w:space="0" w:color="C6C6C6"/>
                                            <w:right w:val="single" w:sz="6" w:space="0" w:color="C6C6C6"/>
                                          </w:divBdr>
                                        </w:div>
                                        <w:div w:id="1563713733">
                                          <w:marLeft w:val="0"/>
                                          <w:marRight w:val="0"/>
                                          <w:marTop w:val="0"/>
                                          <w:marBottom w:val="0"/>
                                          <w:divBdr>
                                            <w:top w:val="none" w:sz="0" w:space="0" w:color="auto"/>
                                            <w:left w:val="none" w:sz="0" w:space="0" w:color="auto"/>
                                            <w:bottom w:val="dotted" w:sz="6" w:space="6" w:color="999999"/>
                                            <w:right w:val="none" w:sz="0" w:space="0" w:color="auto"/>
                                          </w:divBdr>
                                        </w:div>
                                      </w:divsChild>
                                    </w:div>
                                    <w:div w:id="2116319920">
                                      <w:marLeft w:val="0"/>
                                      <w:marRight w:val="0"/>
                                      <w:marTop w:val="240"/>
                                      <w:marBottom w:val="480"/>
                                      <w:divBdr>
                                        <w:top w:val="none" w:sz="0" w:space="0" w:color="auto"/>
                                        <w:left w:val="none" w:sz="0" w:space="0" w:color="auto"/>
                                        <w:bottom w:val="none" w:sz="0" w:space="0" w:color="auto"/>
                                        <w:right w:val="none" w:sz="0" w:space="0" w:color="auto"/>
                                      </w:divBdr>
                                      <w:divsChild>
                                        <w:div w:id="1391687904">
                                          <w:marLeft w:val="0"/>
                                          <w:marRight w:val="0"/>
                                          <w:marTop w:val="0"/>
                                          <w:marBottom w:val="0"/>
                                          <w:divBdr>
                                            <w:top w:val="single" w:sz="6" w:space="0" w:color="C6C6C6"/>
                                            <w:left w:val="single" w:sz="6" w:space="0" w:color="C6C6C6"/>
                                            <w:bottom w:val="single" w:sz="6" w:space="0" w:color="C6C6C6"/>
                                            <w:right w:val="single" w:sz="6" w:space="0" w:color="C6C6C6"/>
                                          </w:divBdr>
                                        </w:div>
                                        <w:div w:id="1372538074">
                                          <w:marLeft w:val="0"/>
                                          <w:marRight w:val="0"/>
                                          <w:marTop w:val="0"/>
                                          <w:marBottom w:val="0"/>
                                          <w:divBdr>
                                            <w:top w:val="none" w:sz="0" w:space="0" w:color="auto"/>
                                            <w:left w:val="none" w:sz="0" w:space="0" w:color="auto"/>
                                            <w:bottom w:val="dotted" w:sz="6" w:space="6" w:color="999999"/>
                                            <w:right w:val="none" w:sz="0" w:space="0" w:color="auto"/>
                                          </w:divBdr>
                                        </w:div>
                                      </w:divsChild>
                                    </w:div>
                                    <w:div w:id="1581284753">
                                      <w:marLeft w:val="0"/>
                                      <w:marRight w:val="0"/>
                                      <w:marTop w:val="240"/>
                                      <w:marBottom w:val="480"/>
                                      <w:divBdr>
                                        <w:top w:val="none" w:sz="0" w:space="0" w:color="auto"/>
                                        <w:left w:val="none" w:sz="0" w:space="0" w:color="auto"/>
                                        <w:bottom w:val="none" w:sz="0" w:space="0" w:color="auto"/>
                                        <w:right w:val="none" w:sz="0" w:space="0" w:color="auto"/>
                                      </w:divBdr>
                                      <w:divsChild>
                                        <w:div w:id="51655250">
                                          <w:marLeft w:val="0"/>
                                          <w:marRight w:val="0"/>
                                          <w:marTop w:val="0"/>
                                          <w:marBottom w:val="0"/>
                                          <w:divBdr>
                                            <w:top w:val="single" w:sz="6" w:space="0" w:color="C6C6C6"/>
                                            <w:left w:val="single" w:sz="6" w:space="0" w:color="C6C6C6"/>
                                            <w:bottom w:val="single" w:sz="6" w:space="0" w:color="C6C6C6"/>
                                            <w:right w:val="single" w:sz="6" w:space="0" w:color="C6C6C6"/>
                                          </w:divBdr>
                                        </w:div>
                                        <w:div w:id="5008135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22393209">
                                  <w:marLeft w:val="0"/>
                                  <w:marRight w:val="0"/>
                                  <w:marTop w:val="0"/>
                                  <w:marBottom w:val="450"/>
                                  <w:divBdr>
                                    <w:top w:val="none" w:sz="0" w:space="0" w:color="auto"/>
                                    <w:left w:val="none" w:sz="0" w:space="0" w:color="auto"/>
                                    <w:bottom w:val="none" w:sz="0" w:space="0" w:color="auto"/>
                                    <w:right w:val="none" w:sz="0" w:space="0" w:color="auto"/>
                                  </w:divBdr>
                                  <w:divsChild>
                                    <w:div w:id="1001548222">
                                      <w:marLeft w:val="0"/>
                                      <w:marRight w:val="0"/>
                                      <w:marTop w:val="0"/>
                                      <w:marBottom w:val="375"/>
                                      <w:divBdr>
                                        <w:top w:val="none" w:sz="0" w:space="0" w:color="auto"/>
                                        <w:left w:val="none" w:sz="0" w:space="0" w:color="auto"/>
                                        <w:bottom w:val="none" w:sz="0" w:space="0" w:color="auto"/>
                                        <w:right w:val="none" w:sz="0" w:space="0" w:color="auto"/>
                                      </w:divBdr>
                                      <w:divsChild>
                                        <w:div w:id="132627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912966">
                                  <w:marLeft w:val="0"/>
                                  <w:marRight w:val="0"/>
                                  <w:marTop w:val="0"/>
                                  <w:marBottom w:val="450"/>
                                  <w:divBdr>
                                    <w:top w:val="none" w:sz="0" w:space="0" w:color="auto"/>
                                    <w:left w:val="none" w:sz="0" w:space="0" w:color="auto"/>
                                    <w:bottom w:val="none" w:sz="0" w:space="0" w:color="auto"/>
                                    <w:right w:val="none" w:sz="0" w:space="0" w:color="auto"/>
                                  </w:divBdr>
                                  <w:divsChild>
                                    <w:div w:id="965967518">
                                      <w:marLeft w:val="0"/>
                                      <w:marRight w:val="0"/>
                                      <w:marTop w:val="240"/>
                                      <w:marBottom w:val="480"/>
                                      <w:divBdr>
                                        <w:top w:val="none" w:sz="0" w:space="0" w:color="auto"/>
                                        <w:left w:val="none" w:sz="0" w:space="0" w:color="auto"/>
                                        <w:bottom w:val="none" w:sz="0" w:space="0" w:color="auto"/>
                                        <w:right w:val="none" w:sz="0" w:space="0" w:color="auto"/>
                                      </w:divBdr>
                                      <w:divsChild>
                                        <w:div w:id="2015256886">
                                          <w:marLeft w:val="0"/>
                                          <w:marRight w:val="0"/>
                                          <w:marTop w:val="0"/>
                                          <w:marBottom w:val="0"/>
                                          <w:divBdr>
                                            <w:top w:val="single" w:sz="6" w:space="0" w:color="C6C6C6"/>
                                            <w:left w:val="single" w:sz="6" w:space="0" w:color="C6C6C6"/>
                                            <w:bottom w:val="single" w:sz="6" w:space="0" w:color="C6C6C6"/>
                                            <w:right w:val="single" w:sz="6" w:space="0" w:color="C6C6C6"/>
                                          </w:divBdr>
                                        </w:div>
                                        <w:div w:id="2006397677">
                                          <w:marLeft w:val="0"/>
                                          <w:marRight w:val="0"/>
                                          <w:marTop w:val="0"/>
                                          <w:marBottom w:val="0"/>
                                          <w:divBdr>
                                            <w:top w:val="none" w:sz="0" w:space="0" w:color="auto"/>
                                            <w:left w:val="none" w:sz="0" w:space="0" w:color="auto"/>
                                            <w:bottom w:val="dotted" w:sz="6" w:space="6" w:color="999999"/>
                                            <w:right w:val="none" w:sz="0" w:space="0" w:color="auto"/>
                                          </w:divBdr>
                                        </w:div>
                                      </w:divsChild>
                                    </w:div>
                                    <w:div w:id="940140293">
                                      <w:marLeft w:val="0"/>
                                      <w:marRight w:val="0"/>
                                      <w:marTop w:val="240"/>
                                      <w:marBottom w:val="480"/>
                                      <w:divBdr>
                                        <w:top w:val="none" w:sz="0" w:space="0" w:color="auto"/>
                                        <w:left w:val="none" w:sz="0" w:space="0" w:color="auto"/>
                                        <w:bottom w:val="none" w:sz="0" w:space="0" w:color="auto"/>
                                        <w:right w:val="none" w:sz="0" w:space="0" w:color="auto"/>
                                      </w:divBdr>
                                      <w:divsChild>
                                        <w:div w:id="947351136">
                                          <w:marLeft w:val="0"/>
                                          <w:marRight w:val="0"/>
                                          <w:marTop w:val="0"/>
                                          <w:marBottom w:val="0"/>
                                          <w:divBdr>
                                            <w:top w:val="single" w:sz="6" w:space="0" w:color="C6C6C6"/>
                                            <w:left w:val="single" w:sz="6" w:space="0" w:color="C6C6C6"/>
                                            <w:bottom w:val="single" w:sz="6" w:space="0" w:color="C6C6C6"/>
                                            <w:right w:val="single" w:sz="6" w:space="0" w:color="C6C6C6"/>
                                          </w:divBdr>
                                        </w:div>
                                        <w:div w:id="183373736">
                                          <w:marLeft w:val="0"/>
                                          <w:marRight w:val="0"/>
                                          <w:marTop w:val="0"/>
                                          <w:marBottom w:val="0"/>
                                          <w:divBdr>
                                            <w:top w:val="none" w:sz="0" w:space="0" w:color="auto"/>
                                            <w:left w:val="none" w:sz="0" w:space="0" w:color="auto"/>
                                            <w:bottom w:val="dotted" w:sz="6" w:space="6" w:color="999999"/>
                                            <w:right w:val="none" w:sz="0" w:space="0" w:color="auto"/>
                                          </w:divBdr>
                                        </w:div>
                                      </w:divsChild>
                                    </w:div>
                                    <w:div w:id="287325743">
                                      <w:marLeft w:val="0"/>
                                      <w:marRight w:val="0"/>
                                      <w:marTop w:val="240"/>
                                      <w:marBottom w:val="480"/>
                                      <w:divBdr>
                                        <w:top w:val="none" w:sz="0" w:space="0" w:color="auto"/>
                                        <w:left w:val="none" w:sz="0" w:space="0" w:color="auto"/>
                                        <w:bottom w:val="none" w:sz="0" w:space="0" w:color="auto"/>
                                        <w:right w:val="none" w:sz="0" w:space="0" w:color="auto"/>
                                      </w:divBdr>
                                      <w:divsChild>
                                        <w:div w:id="197863423">
                                          <w:marLeft w:val="0"/>
                                          <w:marRight w:val="0"/>
                                          <w:marTop w:val="0"/>
                                          <w:marBottom w:val="0"/>
                                          <w:divBdr>
                                            <w:top w:val="single" w:sz="6" w:space="0" w:color="C6C6C6"/>
                                            <w:left w:val="single" w:sz="6" w:space="0" w:color="C6C6C6"/>
                                            <w:bottom w:val="single" w:sz="6" w:space="0" w:color="C6C6C6"/>
                                            <w:right w:val="single" w:sz="6" w:space="0" w:color="C6C6C6"/>
                                          </w:divBdr>
                                        </w:div>
                                        <w:div w:id="136143042">
                                          <w:marLeft w:val="0"/>
                                          <w:marRight w:val="0"/>
                                          <w:marTop w:val="0"/>
                                          <w:marBottom w:val="0"/>
                                          <w:divBdr>
                                            <w:top w:val="none" w:sz="0" w:space="0" w:color="auto"/>
                                            <w:left w:val="none" w:sz="0" w:space="0" w:color="auto"/>
                                            <w:bottom w:val="dotted" w:sz="6" w:space="6" w:color="999999"/>
                                            <w:right w:val="none" w:sz="0" w:space="0" w:color="auto"/>
                                          </w:divBdr>
                                        </w:div>
                                      </w:divsChild>
                                    </w:div>
                                    <w:div w:id="778065087">
                                      <w:marLeft w:val="0"/>
                                      <w:marRight w:val="0"/>
                                      <w:marTop w:val="240"/>
                                      <w:marBottom w:val="240"/>
                                      <w:divBdr>
                                        <w:top w:val="none" w:sz="0" w:space="0" w:color="auto"/>
                                        <w:left w:val="none" w:sz="0" w:space="0" w:color="auto"/>
                                        <w:bottom w:val="none" w:sz="0" w:space="0" w:color="auto"/>
                                        <w:right w:val="none" w:sz="0" w:space="0" w:color="auto"/>
                                      </w:divBdr>
                                    </w:div>
                                    <w:div w:id="862785888">
                                      <w:marLeft w:val="0"/>
                                      <w:marRight w:val="0"/>
                                      <w:marTop w:val="240"/>
                                      <w:marBottom w:val="240"/>
                                      <w:divBdr>
                                        <w:top w:val="none" w:sz="0" w:space="0" w:color="auto"/>
                                        <w:left w:val="none" w:sz="0" w:space="0" w:color="auto"/>
                                        <w:bottom w:val="none" w:sz="0" w:space="0" w:color="auto"/>
                                        <w:right w:val="none" w:sz="0" w:space="0" w:color="auto"/>
                                      </w:divBdr>
                                    </w:div>
                                    <w:div w:id="421688286">
                                      <w:marLeft w:val="0"/>
                                      <w:marRight w:val="0"/>
                                      <w:marTop w:val="240"/>
                                      <w:marBottom w:val="240"/>
                                      <w:divBdr>
                                        <w:top w:val="none" w:sz="0" w:space="0" w:color="auto"/>
                                        <w:left w:val="none" w:sz="0" w:space="0" w:color="auto"/>
                                        <w:bottom w:val="none" w:sz="0" w:space="0" w:color="auto"/>
                                        <w:right w:val="none" w:sz="0" w:space="0" w:color="auto"/>
                                      </w:divBdr>
                                    </w:div>
                                    <w:div w:id="1174341212">
                                      <w:marLeft w:val="0"/>
                                      <w:marRight w:val="0"/>
                                      <w:marTop w:val="240"/>
                                      <w:marBottom w:val="240"/>
                                      <w:divBdr>
                                        <w:top w:val="none" w:sz="0" w:space="0" w:color="auto"/>
                                        <w:left w:val="none" w:sz="0" w:space="0" w:color="auto"/>
                                        <w:bottom w:val="none" w:sz="0" w:space="0" w:color="auto"/>
                                        <w:right w:val="none" w:sz="0" w:space="0" w:color="auto"/>
                                      </w:divBdr>
                                    </w:div>
                                    <w:div w:id="2028633236">
                                      <w:marLeft w:val="0"/>
                                      <w:marRight w:val="0"/>
                                      <w:marTop w:val="240"/>
                                      <w:marBottom w:val="240"/>
                                      <w:divBdr>
                                        <w:top w:val="none" w:sz="0" w:space="0" w:color="auto"/>
                                        <w:left w:val="none" w:sz="0" w:space="0" w:color="auto"/>
                                        <w:bottom w:val="none" w:sz="0" w:space="0" w:color="auto"/>
                                        <w:right w:val="none" w:sz="0" w:space="0" w:color="auto"/>
                                      </w:divBdr>
                                    </w:div>
                                    <w:div w:id="1668947596">
                                      <w:marLeft w:val="0"/>
                                      <w:marRight w:val="0"/>
                                      <w:marTop w:val="240"/>
                                      <w:marBottom w:val="240"/>
                                      <w:divBdr>
                                        <w:top w:val="none" w:sz="0" w:space="0" w:color="auto"/>
                                        <w:left w:val="none" w:sz="0" w:space="0" w:color="auto"/>
                                        <w:bottom w:val="none" w:sz="0" w:space="0" w:color="auto"/>
                                        <w:right w:val="none" w:sz="0" w:space="0" w:color="auto"/>
                                      </w:divBdr>
                                    </w:div>
                                    <w:div w:id="1844204246">
                                      <w:marLeft w:val="0"/>
                                      <w:marRight w:val="0"/>
                                      <w:marTop w:val="240"/>
                                      <w:marBottom w:val="240"/>
                                      <w:divBdr>
                                        <w:top w:val="none" w:sz="0" w:space="0" w:color="auto"/>
                                        <w:left w:val="none" w:sz="0" w:space="0" w:color="auto"/>
                                        <w:bottom w:val="none" w:sz="0" w:space="0" w:color="auto"/>
                                        <w:right w:val="none" w:sz="0" w:space="0" w:color="auto"/>
                                      </w:divBdr>
                                    </w:div>
                                    <w:div w:id="70978860">
                                      <w:marLeft w:val="0"/>
                                      <w:marRight w:val="0"/>
                                      <w:marTop w:val="240"/>
                                      <w:marBottom w:val="240"/>
                                      <w:divBdr>
                                        <w:top w:val="none" w:sz="0" w:space="0" w:color="auto"/>
                                        <w:left w:val="none" w:sz="0" w:space="0" w:color="auto"/>
                                        <w:bottom w:val="none" w:sz="0" w:space="0" w:color="auto"/>
                                        <w:right w:val="none" w:sz="0" w:space="0" w:color="auto"/>
                                      </w:divBdr>
                                    </w:div>
                                    <w:div w:id="17792563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eeexplore.ieee.org/document/" TargetMode="External"/><Relationship Id="rId18" Type="http://schemas.openxmlformats.org/officeDocument/2006/relationships/image" Target="media/image2.gif"/><Relationship Id="rId26" Type="http://schemas.openxmlformats.org/officeDocument/2006/relationships/hyperlink" Target="https://ieeexplore.ieee.org/mediastore_new/IEEE/content/media/3/25962/1158822/1158822-fig-6-source-large.gif" TargetMode="External"/><Relationship Id="rId3" Type="http://schemas.openxmlformats.org/officeDocument/2006/relationships/customXml" Target="../customXml/item3.xml"/><Relationship Id="rId21" Type="http://schemas.openxmlformats.org/officeDocument/2006/relationships/image" Target="media/image3.gif"/><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ieeexplore.ieee.org/document/" TargetMode="External"/><Relationship Id="rId17" Type="http://schemas.openxmlformats.org/officeDocument/2006/relationships/hyperlink" Target="https://ieeexplore.ieee.org/mediastore_new/IEEE/content/media/3/25962/1158822/1158822-fig-2-source-large.gif" TargetMode="External"/><Relationship Id="rId25" Type="http://schemas.openxmlformats.org/officeDocument/2006/relationships/image" Target="media/image5.gi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ieeexplore.ieee.org/document/" TargetMode="External"/><Relationship Id="rId20" Type="http://schemas.openxmlformats.org/officeDocument/2006/relationships/hyperlink" Target="https://ieeexplore.ieee.org/mediastore_new/IEEE/content/media/3/25962/1158822/1158822-fig-3-source-large.gif" TargetMode="External"/><Relationship Id="rId29" Type="http://schemas.openxmlformats.org/officeDocument/2006/relationships/hyperlink" Target="https://ieeexplore.ieee.org/document/"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gif"/><Relationship Id="rId24" Type="http://schemas.openxmlformats.org/officeDocument/2006/relationships/hyperlink" Target="https://ieeexplore.ieee.org/mediastore_new/IEEE/content/media/3/25962/1158822/1158822-fig-5-source-large.gif" TargetMode="External"/><Relationship Id="rId32" Type="http://schemas.openxmlformats.org/officeDocument/2006/relationships/hyperlink" Target="https://ieeexplore.ieee.org/document/" TargetMode="External"/><Relationship Id="rId5" Type="http://schemas.openxmlformats.org/officeDocument/2006/relationships/styles" Target="styles.xml"/><Relationship Id="rId15" Type="http://schemas.openxmlformats.org/officeDocument/2006/relationships/hyperlink" Target="https://ieeexplore.ieee.org/document/" TargetMode="External"/><Relationship Id="rId23" Type="http://schemas.openxmlformats.org/officeDocument/2006/relationships/image" Target="media/image4.gif"/><Relationship Id="rId28" Type="http://schemas.openxmlformats.org/officeDocument/2006/relationships/hyperlink" Target="https://ieeexplore.ieee.org/document/" TargetMode="External"/><Relationship Id="rId10" Type="http://schemas.openxmlformats.org/officeDocument/2006/relationships/hyperlink" Target="https://ieeexplore.ieee.org/mediastore_new/IEEE/content/media/3/25962/1158822/1158822-fig-1-source-large.gif" TargetMode="External"/><Relationship Id="rId19" Type="http://schemas.openxmlformats.org/officeDocument/2006/relationships/hyperlink" Target="https://ieeexplore.ieee.org/document/" TargetMode="External"/><Relationship Id="rId31" Type="http://schemas.openxmlformats.org/officeDocument/2006/relationships/hyperlink" Target="https://ieeexplore.ieee.org/document/"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ieeexplore.ieee.org/document/" TargetMode="External"/><Relationship Id="rId22" Type="http://schemas.openxmlformats.org/officeDocument/2006/relationships/hyperlink" Target="https://ieeexplore.ieee.org/mediastore_new/IEEE/content/media/3/25962/1158822/1158822-fig-4-source-large.gif" TargetMode="External"/><Relationship Id="rId27" Type="http://schemas.openxmlformats.org/officeDocument/2006/relationships/image" Target="media/image6.gif"/><Relationship Id="rId30" Type="http://schemas.openxmlformats.org/officeDocument/2006/relationships/hyperlink" Target="https://ieeexplore.ieee.org/document/" TargetMode="External"/><Relationship Id="rId8" Type="http://schemas.openxmlformats.org/officeDocument/2006/relationships/hyperlink" Target="https://dx.doi.org/10.1109/JQE.2002.8062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DF347D-B002-482E-8D6A-A079B94619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EB78EF-6821-4DCF-92B3-D540B6E1A1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383815-50F4-4AAD-BA5A-322684A7DD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10</Pages>
  <Words>4350</Words>
  <Characters>24800</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10</cp:revision>
  <dcterms:created xsi:type="dcterms:W3CDTF">2019-06-25T17:14:00Z</dcterms:created>
  <dcterms:modified xsi:type="dcterms:W3CDTF">2019-10-28T18:53:00Z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