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BB95AE5" w:rsidR="000A7622" w:rsidRPr="00C04F25" w:rsidRDefault="008F2737"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sidR="002025F4">
        <w:rPr>
          <w:rFonts w:cstheme="minorHAnsi"/>
          <w:b/>
          <w:bCs/>
          <w:i/>
          <w:iCs/>
          <w:sz w:val="32"/>
          <w:szCs w:val="32"/>
        </w:rPr>
        <w:t>School</w:t>
      </w:r>
      <w:r w:rsidR="009732A9">
        <w:rPr>
          <w:rFonts w:cstheme="minorHAnsi"/>
          <w:b/>
          <w:bCs/>
          <w:i/>
          <w:iCs/>
          <w:sz w:val="32"/>
          <w:szCs w:val="32"/>
        </w:rPr>
        <w:t xml:space="preserve"> of </w:t>
      </w:r>
      <w:r w:rsidR="002025F4">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2FCA3D8" w:rsidR="00440BC4" w:rsidRDefault="00EB3F18" w:rsidP="00D14423">
      <w:pPr>
        <w:rPr>
          <w:rFonts w:cstheme="minorHAnsi"/>
          <w:b/>
          <w:bCs/>
          <w:sz w:val="24"/>
          <w:szCs w:val="24"/>
        </w:rPr>
      </w:pPr>
      <w:r>
        <w:rPr>
          <w:rFonts w:cstheme="minorHAnsi"/>
          <w:i/>
          <w:sz w:val="24"/>
          <w:szCs w:val="24"/>
          <w:lang w:val="fr-FR"/>
        </w:rPr>
        <w:t xml:space="preserve">Modern </w:t>
      </w:r>
      <w:proofErr w:type="spellStart"/>
      <w:r>
        <w:rPr>
          <w:rFonts w:cstheme="minorHAnsi"/>
          <w:i/>
          <w:sz w:val="24"/>
          <w:szCs w:val="24"/>
          <w:lang w:val="fr-FR"/>
        </w:rPr>
        <w:t>Pathology</w:t>
      </w:r>
      <w:proofErr w:type="spellEnd"/>
      <w:r w:rsidR="000A7622" w:rsidRPr="00C04F25">
        <w:rPr>
          <w:rFonts w:cstheme="minorHAnsi"/>
          <w:sz w:val="24"/>
          <w:szCs w:val="24"/>
          <w:lang w:val="fr-FR"/>
        </w:rPr>
        <w:t xml:space="preserve">, Vol. </w:t>
      </w:r>
      <w:r w:rsidR="006C1B8D">
        <w:rPr>
          <w:rFonts w:cstheme="minorHAnsi"/>
          <w:sz w:val="24"/>
          <w:szCs w:val="24"/>
          <w:lang w:val="fr-FR"/>
        </w:rPr>
        <w:t>21</w:t>
      </w:r>
      <w:r w:rsidR="000A7622" w:rsidRPr="00C04F25">
        <w:rPr>
          <w:rFonts w:cstheme="minorHAnsi"/>
          <w:sz w:val="24"/>
          <w:szCs w:val="24"/>
          <w:lang w:val="fr-FR"/>
        </w:rPr>
        <w:t xml:space="preserve">, No. </w:t>
      </w:r>
      <w:r w:rsidR="006C1B8D">
        <w:rPr>
          <w:rFonts w:cstheme="minorHAnsi"/>
          <w:sz w:val="24"/>
          <w:szCs w:val="24"/>
          <w:lang w:val="fr-FR"/>
        </w:rPr>
        <w:t>2</w:t>
      </w:r>
      <w:r w:rsidR="000A7622" w:rsidRPr="00C04F25">
        <w:rPr>
          <w:rFonts w:cstheme="minorHAnsi"/>
          <w:sz w:val="24"/>
          <w:szCs w:val="24"/>
          <w:lang w:val="fr-FR"/>
        </w:rPr>
        <w:t xml:space="preserve"> (</w:t>
      </w:r>
      <w:proofErr w:type="spellStart"/>
      <w:r w:rsidR="006C1B8D">
        <w:rPr>
          <w:rFonts w:cstheme="minorHAnsi"/>
          <w:sz w:val="24"/>
          <w:szCs w:val="24"/>
          <w:lang w:val="fr-FR"/>
        </w:rPr>
        <w:t>February</w:t>
      </w:r>
      <w:proofErr w:type="spellEnd"/>
      <w:r w:rsidR="006C1B8D">
        <w:rPr>
          <w:rFonts w:cstheme="minorHAnsi"/>
          <w:sz w:val="24"/>
          <w:szCs w:val="24"/>
          <w:lang w:val="fr-FR"/>
        </w:rPr>
        <w:t xml:space="preserve"> 2008</w:t>
      </w:r>
      <w:r w:rsidR="000A7622" w:rsidRPr="00C04F25">
        <w:rPr>
          <w:rFonts w:cstheme="minorHAnsi"/>
          <w:sz w:val="24"/>
          <w:szCs w:val="24"/>
          <w:lang w:val="fr-FR"/>
        </w:rPr>
        <w:t xml:space="preserve">): </w:t>
      </w:r>
      <w:r w:rsidR="003D6145">
        <w:rPr>
          <w:rFonts w:cstheme="minorHAnsi"/>
          <w:sz w:val="24"/>
          <w:szCs w:val="24"/>
          <w:lang w:val="fr-FR"/>
        </w:rPr>
        <w:t>105-114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bookmarkStart w:id="2" w:name="_Hlk109283443"/>
      <w:r w:rsidR="001F2EB9">
        <w:rPr>
          <w:rFonts w:cstheme="minorHAnsi"/>
          <w:sz w:val="24"/>
          <w:szCs w:val="24"/>
        </w:rPr>
        <w:t>Springer</w:t>
      </w:r>
      <w:r w:rsidR="000A7622" w:rsidRPr="00C04F25">
        <w:rPr>
          <w:rFonts w:cstheme="minorHAnsi"/>
          <w:sz w:val="24"/>
          <w:szCs w:val="24"/>
        </w:rPr>
        <w:t xml:space="preserve"> </w:t>
      </w:r>
      <w:bookmarkEnd w:id="2"/>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F2EB9" w:rsidRPr="001F2EB9">
        <w:rPr>
          <w:rFonts w:cstheme="minorHAnsi"/>
          <w:sz w:val="24"/>
          <w:szCs w:val="24"/>
        </w:rPr>
        <w:t>Springer</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1F2EB9" w:rsidRPr="001F2EB9">
        <w:rPr>
          <w:rFonts w:cstheme="minorHAnsi"/>
          <w:sz w:val="24"/>
          <w:szCs w:val="24"/>
        </w:rPr>
        <w:t>Springer</w:t>
      </w:r>
      <w:r w:rsidR="000A7622" w:rsidRPr="00E77278">
        <w:rPr>
          <w:rFonts w:cstheme="minorHAnsi"/>
          <w:sz w:val="24"/>
          <w:szCs w:val="24"/>
        </w:rPr>
        <w:t>.</w:t>
      </w:r>
      <w:r w:rsidR="000A7622" w:rsidRPr="00FB28B7">
        <w:rPr>
          <w:rFonts w:cstheme="minorHAnsi"/>
          <w:b/>
          <w:bCs/>
          <w:sz w:val="24"/>
          <w:szCs w:val="24"/>
        </w:rPr>
        <w:t xml:space="preserve"> </w:t>
      </w:r>
      <w:bookmarkEnd w:id="1"/>
    </w:p>
    <w:p w14:paraId="1DAC317A" w14:textId="29B79CDD" w:rsidR="00D46746" w:rsidRPr="00D46746" w:rsidRDefault="00D46746" w:rsidP="0010186E">
      <w:pPr>
        <w:pStyle w:val="Title"/>
      </w:pPr>
      <w:r w:rsidRPr="00D46746">
        <w:t xml:space="preserve">Hierarchical </w:t>
      </w:r>
      <w:r w:rsidR="0010186E" w:rsidRPr="00D46746">
        <w:t>Cluster Analysis of Myoepithelial/Basal Cell Markers in Adenoid Cystic Carcinoma and Polymorphous Low-Grade Adenocarcinoma</w:t>
      </w:r>
    </w:p>
    <w:p w14:paraId="478748FE" w14:textId="77777777" w:rsidR="00CB057E" w:rsidRDefault="00CB057E" w:rsidP="00CB057E"/>
    <w:p w14:paraId="71F2E69D" w14:textId="2C081F9A" w:rsidR="00D46746" w:rsidRPr="0010186E" w:rsidRDefault="00D46746" w:rsidP="0010186E">
      <w:pPr>
        <w:pStyle w:val="NoSpacing"/>
        <w:rPr>
          <w:sz w:val="32"/>
          <w:szCs w:val="32"/>
        </w:rPr>
      </w:pPr>
      <w:r w:rsidRPr="0010186E">
        <w:rPr>
          <w:sz w:val="32"/>
          <w:szCs w:val="32"/>
        </w:rPr>
        <w:t>Manju L</w:t>
      </w:r>
      <w:r w:rsidR="00CB057E" w:rsidRPr="0010186E">
        <w:rPr>
          <w:sz w:val="32"/>
          <w:szCs w:val="32"/>
        </w:rPr>
        <w:t>.</w:t>
      </w:r>
      <w:r w:rsidRPr="0010186E">
        <w:rPr>
          <w:sz w:val="32"/>
          <w:szCs w:val="32"/>
        </w:rPr>
        <w:t xml:space="preserve"> Prasad</w:t>
      </w:r>
    </w:p>
    <w:p w14:paraId="3D3CE01C" w14:textId="77777777" w:rsidR="00A371F0" w:rsidRPr="0010186E" w:rsidRDefault="00A371F0" w:rsidP="0010186E">
      <w:pPr>
        <w:pStyle w:val="NoSpacing"/>
        <w:rPr>
          <w:sz w:val="24"/>
          <w:szCs w:val="24"/>
        </w:rPr>
      </w:pPr>
      <w:r w:rsidRPr="0010186E">
        <w:rPr>
          <w:sz w:val="24"/>
          <w:szCs w:val="24"/>
        </w:rPr>
        <w:t>Department of Pathology, Ohio State University, Columbus, OH, USA</w:t>
      </w:r>
    </w:p>
    <w:p w14:paraId="636E5F32" w14:textId="77777777" w:rsidR="00A371F0" w:rsidRPr="0010186E" w:rsidRDefault="00A371F0" w:rsidP="0010186E">
      <w:pPr>
        <w:pStyle w:val="NoSpacing"/>
        <w:rPr>
          <w:sz w:val="24"/>
          <w:szCs w:val="24"/>
        </w:rPr>
      </w:pPr>
      <w:r w:rsidRPr="0010186E">
        <w:rPr>
          <w:sz w:val="24"/>
          <w:szCs w:val="24"/>
        </w:rPr>
        <w:t>UMass Memorial Medical Center, Worcester, MA, USA</w:t>
      </w:r>
    </w:p>
    <w:p w14:paraId="0E861850" w14:textId="34331D12" w:rsidR="00D46746" w:rsidRPr="0010186E" w:rsidRDefault="00D46746" w:rsidP="0010186E">
      <w:pPr>
        <w:pStyle w:val="NoSpacing"/>
        <w:rPr>
          <w:sz w:val="32"/>
          <w:szCs w:val="32"/>
        </w:rPr>
      </w:pPr>
      <w:proofErr w:type="spellStart"/>
      <w:r w:rsidRPr="0010186E">
        <w:rPr>
          <w:sz w:val="32"/>
          <w:szCs w:val="32"/>
        </w:rPr>
        <w:t>Catalin</w:t>
      </w:r>
      <w:proofErr w:type="spellEnd"/>
      <w:r w:rsidRPr="0010186E">
        <w:rPr>
          <w:sz w:val="32"/>
          <w:szCs w:val="32"/>
        </w:rPr>
        <w:t xml:space="preserve"> C</w:t>
      </w:r>
      <w:r w:rsidR="00CB057E" w:rsidRPr="0010186E">
        <w:rPr>
          <w:sz w:val="32"/>
          <w:szCs w:val="32"/>
        </w:rPr>
        <w:t>.</w:t>
      </w:r>
      <w:r w:rsidRPr="0010186E">
        <w:rPr>
          <w:sz w:val="32"/>
          <w:szCs w:val="32"/>
        </w:rPr>
        <w:t xml:space="preserve"> </w:t>
      </w:r>
      <w:proofErr w:type="spellStart"/>
      <w:r w:rsidRPr="0010186E">
        <w:rPr>
          <w:sz w:val="32"/>
          <w:szCs w:val="32"/>
        </w:rPr>
        <w:t>Barbacioru</w:t>
      </w:r>
      <w:proofErr w:type="spellEnd"/>
    </w:p>
    <w:p w14:paraId="175F3B15" w14:textId="236330C3" w:rsidR="00CB057E" w:rsidRPr="0010186E" w:rsidRDefault="00334E2D" w:rsidP="0010186E">
      <w:pPr>
        <w:pStyle w:val="NoSpacing"/>
        <w:rPr>
          <w:sz w:val="24"/>
          <w:szCs w:val="24"/>
        </w:rPr>
      </w:pPr>
      <w:r w:rsidRPr="0010186E">
        <w:rPr>
          <w:sz w:val="24"/>
          <w:szCs w:val="24"/>
        </w:rPr>
        <w:t>Applied Biosystems, Foster City, CA, USA</w:t>
      </w:r>
    </w:p>
    <w:p w14:paraId="495F7188" w14:textId="235409F7" w:rsidR="00D46746" w:rsidRPr="0010186E" w:rsidRDefault="00D46746" w:rsidP="0010186E">
      <w:pPr>
        <w:pStyle w:val="NoSpacing"/>
        <w:rPr>
          <w:sz w:val="32"/>
          <w:szCs w:val="32"/>
        </w:rPr>
      </w:pPr>
      <w:proofErr w:type="spellStart"/>
      <w:r w:rsidRPr="0010186E">
        <w:rPr>
          <w:sz w:val="32"/>
          <w:szCs w:val="32"/>
        </w:rPr>
        <w:t>Yeshwant</w:t>
      </w:r>
      <w:proofErr w:type="spellEnd"/>
      <w:r w:rsidRPr="0010186E">
        <w:rPr>
          <w:sz w:val="32"/>
          <w:szCs w:val="32"/>
        </w:rPr>
        <w:t xml:space="preserve"> B</w:t>
      </w:r>
      <w:r w:rsidR="00CB057E" w:rsidRPr="0010186E">
        <w:rPr>
          <w:sz w:val="32"/>
          <w:szCs w:val="32"/>
        </w:rPr>
        <w:t>.</w:t>
      </w:r>
      <w:r w:rsidRPr="0010186E">
        <w:rPr>
          <w:sz w:val="32"/>
          <w:szCs w:val="32"/>
        </w:rPr>
        <w:t xml:space="preserve"> Rawal</w:t>
      </w:r>
    </w:p>
    <w:p w14:paraId="5C6CC93C" w14:textId="7B6D84D7" w:rsidR="00CB057E" w:rsidRPr="0010186E" w:rsidRDefault="00334E2D" w:rsidP="0010186E">
      <w:pPr>
        <w:pStyle w:val="NoSpacing"/>
        <w:rPr>
          <w:sz w:val="24"/>
          <w:szCs w:val="24"/>
        </w:rPr>
      </w:pPr>
      <w:r w:rsidRPr="0010186E">
        <w:rPr>
          <w:sz w:val="24"/>
          <w:szCs w:val="24"/>
        </w:rPr>
        <w:t>College of Dentistry, Ohio State University, Columbus, OH, USA</w:t>
      </w:r>
    </w:p>
    <w:p w14:paraId="6D933848" w14:textId="7ACE8D33" w:rsidR="00D46746" w:rsidRPr="0010186E" w:rsidRDefault="00D46746" w:rsidP="0010186E">
      <w:pPr>
        <w:pStyle w:val="NoSpacing"/>
        <w:rPr>
          <w:sz w:val="32"/>
          <w:szCs w:val="32"/>
        </w:rPr>
      </w:pPr>
      <w:r w:rsidRPr="0010186E">
        <w:rPr>
          <w:sz w:val="32"/>
          <w:szCs w:val="32"/>
        </w:rPr>
        <w:t xml:space="preserve">Omar </w:t>
      </w:r>
      <w:proofErr w:type="spellStart"/>
      <w:r w:rsidRPr="0010186E">
        <w:rPr>
          <w:sz w:val="32"/>
          <w:szCs w:val="32"/>
        </w:rPr>
        <w:t>Husein</w:t>
      </w:r>
      <w:proofErr w:type="spellEnd"/>
    </w:p>
    <w:p w14:paraId="1F4EC05F" w14:textId="16C14CB7" w:rsidR="00CB057E" w:rsidRPr="0010186E" w:rsidRDefault="00334E2D" w:rsidP="0010186E">
      <w:pPr>
        <w:pStyle w:val="NoSpacing"/>
        <w:rPr>
          <w:sz w:val="24"/>
          <w:szCs w:val="24"/>
        </w:rPr>
      </w:pPr>
      <w:r w:rsidRPr="0010186E">
        <w:rPr>
          <w:sz w:val="24"/>
          <w:szCs w:val="24"/>
        </w:rPr>
        <w:t>Head &amp; Neck Surgery, Ohio State University, Columbus, OH, USA</w:t>
      </w:r>
    </w:p>
    <w:p w14:paraId="43E3261B" w14:textId="14F2F577" w:rsidR="00D46746" w:rsidRPr="0010186E" w:rsidRDefault="00D46746" w:rsidP="0010186E">
      <w:pPr>
        <w:pStyle w:val="NoSpacing"/>
        <w:rPr>
          <w:sz w:val="32"/>
          <w:szCs w:val="32"/>
        </w:rPr>
      </w:pPr>
      <w:r w:rsidRPr="0010186E">
        <w:rPr>
          <w:sz w:val="32"/>
          <w:szCs w:val="32"/>
        </w:rPr>
        <w:t>Ping Wen </w:t>
      </w:r>
    </w:p>
    <w:p w14:paraId="31241B3B" w14:textId="77777777" w:rsidR="0010186E" w:rsidRPr="0010186E" w:rsidRDefault="0010186E" w:rsidP="0010186E">
      <w:pPr>
        <w:pStyle w:val="NoSpacing"/>
        <w:rPr>
          <w:sz w:val="24"/>
          <w:szCs w:val="24"/>
        </w:rPr>
      </w:pPr>
      <w:r w:rsidRPr="0010186E">
        <w:rPr>
          <w:sz w:val="24"/>
          <w:szCs w:val="24"/>
        </w:rPr>
        <w:t>Department of Pathology, Ohio State University, Columbus, OH, USA</w:t>
      </w:r>
    </w:p>
    <w:p w14:paraId="6C356CA4" w14:textId="77777777" w:rsidR="00CB057E" w:rsidRPr="00D46746" w:rsidRDefault="00CB057E" w:rsidP="00CB057E"/>
    <w:p w14:paraId="66E86949" w14:textId="77777777" w:rsidR="002025F4" w:rsidRDefault="002025F4" w:rsidP="006435DB">
      <w:pPr>
        <w:rPr>
          <w:rFonts w:cstheme="minorHAnsi"/>
          <w:b/>
          <w:bCs/>
          <w:i/>
          <w:iCs/>
          <w:sz w:val="24"/>
          <w:szCs w:val="24"/>
        </w:rPr>
      </w:pPr>
    </w:p>
    <w:p w14:paraId="7993E190" w14:textId="744A7145" w:rsidR="006435DB" w:rsidRPr="006435DB" w:rsidRDefault="006435DB" w:rsidP="00CB057E">
      <w:pPr>
        <w:pStyle w:val="Heading1"/>
      </w:pPr>
      <w:r w:rsidRPr="006435DB">
        <w:t>Abstract</w:t>
      </w:r>
    </w:p>
    <w:p w14:paraId="39413797" w14:textId="77777777" w:rsidR="006435DB" w:rsidRPr="006435DB" w:rsidRDefault="006435DB" w:rsidP="006435DB">
      <w:pPr>
        <w:rPr>
          <w:rFonts w:cstheme="minorHAnsi"/>
          <w:sz w:val="24"/>
          <w:szCs w:val="24"/>
        </w:rPr>
      </w:pPr>
      <w:r w:rsidRPr="006435DB">
        <w:rPr>
          <w:rFonts w:cstheme="minorHAnsi"/>
          <w:sz w:val="24"/>
          <w:szCs w:val="24"/>
        </w:rPr>
        <w:t xml:space="preserve">Distinguishing adenoid cystic carcinoma from polymorphous low-grade adenocarcinoma of the salivary glands is important for their management. We studied the expression of several myoepithelial and basal/stem cell markers (smooth muscle actin, calponin, smooth muscle myosin heavy chain, metallothionein, </w:t>
      </w:r>
      <w:proofErr w:type="spellStart"/>
      <w:r w:rsidRPr="006435DB">
        <w:rPr>
          <w:rFonts w:cstheme="minorHAnsi"/>
          <w:sz w:val="24"/>
          <w:szCs w:val="24"/>
        </w:rPr>
        <w:t>maspin</w:t>
      </w:r>
      <w:proofErr w:type="spellEnd"/>
      <w:r w:rsidRPr="006435DB">
        <w:rPr>
          <w:rFonts w:cstheme="minorHAnsi"/>
          <w:sz w:val="24"/>
          <w:szCs w:val="24"/>
        </w:rPr>
        <w:t xml:space="preserve">, and p63) by immunohistochemistry in 23 adenoid cystic carcinoma and 24 polymorphous low-grade adenocarcinoma, to identify the most useful marker or combination of markers that may help their diagnoses. The results were analyzed using hierarchical cluster analysis and </w:t>
      </w:r>
      <w:r w:rsidRPr="006435DB">
        <w:rPr>
          <w:rFonts w:cstheme="minorHAnsi"/>
          <w:i/>
          <w:iCs/>
          <w:sz w:val="24"/>
          <w:szCs w:val="24"/>
        </w:rPr>
        <w:t>χ</w:t>
      </w:r>
      <w:r w:rsidRPr="006435DB">
        <w:rPr>
          <w:rFonts w:cstheme="minorHAnsi"/>
          <w:sz w:val="24"/>
          <w:szCs w:val="24"/>
          <w:vertAlign w:val="superscript"/>
        </w:rPr>
        <w:t>2</w:t>
      </w:r>
      <w:r w:rsidRPr="006435DB">
        <w:rPr>
          <w:rFonts w:cstheme="minorHAnsi"/>
          <w:sz w:val="24"/>
          <w:szCs w:val="24"/>
        </w:rPr>
        <w:t xml:space="preserve"> test for trend. We noted diffuse expression of smooth muscle actin in 20 adenoid cystic carcinoma </w:t>
      </w:r>
      <w:r w:rsidRPr="006435DB">
        <w:rPr>
          <w:rFonts w:cstheme="minorHAnsi"/>
          <w:i/>
          <w:iCs/>
          <w:sz w:val="24"/>
          <w:szCs w:val="24"/>
        </w:rPr>
        <w:t>vs</w:t>
      </w:r>
      <w:r w:rsidRPr="006435DB">
        <w:rPr>
          <w:rFonts w:cstheme="minorHAnsi"/>
          <w:sz w:val="24"/>
          <w:szCs w:val="24"/>
        </w:rPr>
        <w:t xml:space="preserve"> one polymorphous low-grade adenocarcinoma (</w:t>
      </w:r>
      <w:r w:rsidRPr="006435DB">
        <w:rPr>
          <w:rFonts w:cstheme="minorHAnsi"/>
          <w:i/>
          <w:iCs/>
          <w:sz w:val="24"/>
          <w:szCs w:val="24"/>
        </w:rPr>
        <w:t>P</w:t>
      </w:r>
      <w:r w:rsidRPr="006435DB">
        <w:rPr>
          <w:rFonts w:cstheme="minorHAnsi"/>
          <w:sz w:val="24"/>
          <w:szCs w:val="24"/>
        </w:rPr>
        <w:t xml:space="preserve">&lt;0.0001), calponin in 15 adenoid cystic carcinoma </w:t>
      </w:r>
      <w:r w:rsidRPr="006435DB">
        <w:rPr>
          <w:rFonts w:cstheme="minorHAnsi"/>
          <w:i/>
          <w:iCs/>
          <w:sz w:val="24"/>
          <w:szCs w:val="24"/>
        </w:rPr>
        <w:t>vs</w:t>
      </w:r>
      <w:r w:rsidRPr="006435DB">
        <w:rPr>
          <w:rFonts w:cstheme="minorHAnsi"/>
          <w:sz w:val="24"/>
          <w:szCs w:val="24"/>
        </w:rPr>
        <w:t xml:space="preserve"> one polymorphous low-grade adenocarcinoma (</w:t>
      </w:r>
      <w:r w:rsidRPr="006435DB">
        <w:rPr>
          <w:rFonts w:cstheme="minorHAnsi"/>
          <w:i/>
          <w:iCs/>
          <w:sz w:val="24"/>
          <w:szCs w:val="24"/>
        </w:rPr>
        <w:t>P</w:t>
      </w:r>
      <w:r w:rsidRPr="006435DB">
        <w:rPr>
          <w:rFonts w:cstheme="minorHAnsi"/>
          <w:sz w:val="24"/>
          <w:szCs w:val="24"/>
        </w:rPr>
        <w:t xml:space="preserve">&lt;0.0001), smooth muscle myosin heavy chain in 15 adenoid cystic carcinoma </w:t>
      </w:r>
      <w:r w:rsidRPr="006435DB">
        <w:rPr>
          <w:rFonts w:cstheme="minorHAnsi"/>
          <w:i/>
          <w:iCs/>
          <w:sz w:val="24"/>
          <w:szCs w:val="24"/>
        </w:rPr>
        <w:t>vs</w:t>
      </w:r>
      <w:r w:rsidRPr="006435DB">
        <w:rPr>
          <w:rFonts w:cstheme="minorHAnsi"/>
          <w:sz w:val="24"/>
          <w:szCs w:val="24"/>
        </w:rPr>
        <w:t xml:space="preserve"> one polymorphous low-grade adenocarcinoma (</w:t>
      </w:r>
      <w:r w:rsidRPr="006435DB">
        <w:rPr>
          <w:rFonts w:cstheme="minorHAnsi"/>
          <w:i/>
          <w:iCs/>
          <w:sz w:val="24"/>
          <w:szCs w:val="24"/>
        </w:rPr>
        <w:t>P</w:t>
      </w:r>
      <w:r w:rsidRPr="006435DB">
        <w:rPr>
          <w:rFonts w:cstheme="minorHAnsi"/>
          <w:sz w:val="24"/>
          <w:szCs w:val="24"/>
        </w:rPr>
        <w:t xml:space="preserve">=0.001), metallothionein in 22 adenoid cystic carcinoma </w:t>
      </w:r>
      <w:r w:rsidRPr="006435DB">
        <w:rPr>
          <w:rFonts w:cstheme="minorHAnsi"/>
          <w:i/>
          <w:iCs/>
          <w:sz w:val="24"/>
          <w:szCs w:val="24"/>
        </w:rPr>
        <w:t>vs</w:t>
      </w:r>
      <w:r w:rsidRPr="006435DB">
        <w:rPr>
          <w:rFonts w:cstheme="minorHAnsi"/>
          <w:sz w:val="24"/>
          <w:szCs w:val="24"/>
        </w:rPr>
        <w:t xml:space="preserve"> eight polymorphous low-grade adenocarcinoma (</w:t>
      </w:r>
      <w:r w:rsidRPr="006435DB">
        <w:rPr>
          <w:rFonts w:cstheme="minorHAnsi"/>
          <w:i/>
          <w:iCs/>
          <w:sz w:val="24"/>
          <w:szCs w:val="24"/>
        </w:rPr>
        <w:t>P</w:t>
      </w:r>
      <w:r w:rsidRPr="006435DB">
        <w:rPr>
          <w:rFonts w:cstheme="minorHAnsi"/>
          <w:sz w:val="24"/>
          <w:szCs w:val="24"/>
        </w:rPr>
        <w:t xml:space="preserve">&lt;0.001), </w:t>
      </w:r>
      <w:proofErr w:type="spellStart"/>
      <w:r w:rsidRPr="006435DB">
        <w:rPr>
          <w:rFonts w:cstheme="minorHAnsi"/>
          <w:sz w:val="24"/>
          <w:szCs w:val="24"/>
        </w:rPr>
        <w:t>maspin</w:t>
      </w:r>
      <w:proofErr w:type="spellEnd"/>
      <w:r w:rsidRPr="006435DB">
        <w:rPr>
          <w:rFonts w:cstheme="minorHAnsi"/>
          <w:sz w:val="24"/>
          <w:szCs w:val="24"/>
        </w:rPr>
        <w:t xml:space="preserve"> in 22 adenoid cystic carcinoma </w:t>
      </w:r>
      <w:r w:rsidRPr="006435DB">
        <w:rPr>
          <w:rFonts w:cstheme="minorHAnsi"/>
          <w:i/>
          <w:iCs/>
          <w:sz w:val="24"/>
          <w:szCs w:val="24"/>
        </w:rPr>
        <w:t>vs</w:t>
      </w:r>
      <w:r w:rsidRPr="006435DB">
        <w:rPr>
          <w:rFonts w:cstheme="minorHAnsi"/>
          <w:sz w:val="24"/>
          <w:szCs w:val="24"/>
        </w:rPr>
        <w:t xml:space="preserve"> 14 polymorphous low-grade adenocarcinoma, and </w:t>
      </w:r>
      <w:r w:rsidRPr="006435DB">
        <w:rPr>
          <w:rFonts w:cstheme="minorHAnsi"/>
          <w:sz w:val="24"/>
          <w:szCs w:val="24"/>
        </w:rPr>
        <w:lastRenderedPageBreak/>
        <w:t xml:space="preserve">p63 in 21 adenoid cystic carcinoma </w:t>
      </w:r>
      <w:r w:rsidRPr="006435DB">
        <w:rPr>
          <w:rFonts w:cstheme="minorHAnsi"/>
          <w:i/>
          <w:iCs/>
          <w:sz w:val="24"/>
          <w:szCs w:val="24"/>
        </w:rPr>
        <w:t>vs</w:t>
      </w:r>
      <w:r w:rsidRPr="006435DB">
        <w:rPr>
          <w:rFonts w:cstheme="minorHAnsi"/>
          <w:sz w:val="24"/>
          <w:szCs w:val="24"/>
        </w:rPr>
        <w:t xml:space="preserve"> 14 polymorphous low-grade adenocarcinoma. Hierarchical clustering of smooth muscle actin, calponin, smooth muscle myosin heavy chain, and metallothionein was virtually identical (</w:t>
      </w:r>
      <w:r w:rsidRPr="006435DB">
        <w:rPr>
          <w:rFonts w:cstheme="minorHAnsi"/>
          <w:i/>
          <w:iCs/>
          <w:sz w:val="24"/>
          <w:szCs w:val="24"/>
        </w:rPr>
        <w:t>κ</w:t>
      </w:r>
      <w:r w:rsidRPr="006435DB">
        <w:rPr>
          <w:rFonts w:cstheme="minorHAnsi"/>
          <w:sz w:val="24"/>
          <w:szCs w:val="24"/>
        </w:rPr>
        <w:t xml:space="preserve">≤0.0035), suggesting no significant advantage to their use in combination than individually. Diffuse smooth muscle actin expression showed the highest accuracy (91.5%) and positive predictive value (95.2%) for adenoid cystic carcinoma. Thus, diffuse expression of smooth muscle actin, calponin, smooth muscle myosin heavy chain, and metallothionein was highly predictive of adenoid cystic carcinoma, whereas </w:t>
      </w:r>
      <w:proofErr w:type="spellStart"/>
      <w:r w:rsidRPr="006435DB">
        <w:rPr>
          <w:rFonts w:cstheme="minorHAnsi"/>
          <w:sz w:val="24"/>
          <w:szCs w:val="24"/>
        </w:rPr>
        <w:t>maspin</w:t>
      </w:r>
      <w:proofErr w:type="spellEnd"/>
      <w:r w:rsidRPr="006435DB">
        <w:rPr>
          <w:rFonts w:cstheme="minorHAnsi"/>
          <w:sz w:val="24"/>
          <w:szCs w:val="24"/>
        </w:rPr>
        <w:t xml:space="preserve"> and p63 were frequently expressed in both tumors. In differentiating adenoid cystic carcinoma from polymorphous low-grade adenocarcinoma, smooth muscle actin as a single ancillary test in support of the histological findings, appears to be as efficient as multiple immunohistochemical tests.</w:t>
      </w:r>
    </w:p>
    <w:p w14:paraId="15FE7373" w14:textId="77777777" w:rsidR="006435DB" w:rsidRPr="006435DB" w:rsidRDefault="006435DB" w:rsidP="0010186E">
      <w:pPr>
        <w:pStyle w:val="Heading1"/>
      </w:pPr>
      <w:r w:rsidRPr="006435DB">
        <w:t>Main</w:t>
      </w:r>
    </w:p>
    <w:p w14:paraId="5D9FC337" w14:textId="7BDE3AAB" w:rsidR="006435DB" w:rsidRPr="006435DB" w:rsidRDefault="006435DB" w:rsidP="006435DB">
      <w:pPr>
        <w:rPr>
          <w:rFonts w:cstheme="minorHAnsi"/>
          <w:sz w:val="24"/>
          <w:szCs w:val="24"/>
        </w:rPr>
      </w:pPr>
      <w:r w:rsidRPr="006435DB">
        <w:rPr>
          <w:rFonts w:cstheme="minorHAnsi"/>
          <w:sz w:val="24"/>
          <w:szCs w:val="24"/>
        </w:rPr>
        <w:t>Adenoid cystic carcinoma accounts for 25% of all malignant salivary gland tumors. It is a relentlessly growing malignancy that frequently recurs and metastasizes. Surgical removal is challenging and positive margins are frequent, requiring adjuvant radiotherapy. Adenoid cystic carcinoma has significant histologic similarities with polymorphous low-grade adenocarcinoma that includes tubular and cribriform growth patterns, infiltrating borders, and perineural invasion. However, in contrast to adenoid cystic carcinoma, polymorphous low-grade adenocarcinoma has an excellent cure rate after complete excision, infrequent recurrences, and rare metastasis. In a series of 164 polymorphous low-grade adenocarcinoma, 97.6% of patients were either alive or dead without evidence of recurrent disease after treatment with surgical excision only at 115 months after presentation.</w:t>
      </w:r>
      <w:r w:rsidRPr="00ED2AAE">
        <w:rPr>
          <w:rFonts w:cstheme="minorHAnsi"/>
          <w:sz w:val="24"/>
          <w:szCs w:val="24"/>
          <w:vertAlign w:val="superscript"/>
        </w:rPr>
        <w:t>1</w:t>
      </w:r>
      <w:r w:rsidRPr="006435DB">
        <w:rPr>
          <w:rFonts w:cstheme="minorHAnsi"/>
          <w:sz w:val="24"/>
          <w:szCs w:val="24"/>
        </w:rPr>
        <w:t xml:space="preserve"> Therefore, the precise diagnosis of adenoid cystic carcinoma and polymorphous low-grade adenocarcinoma is essential for their appropriate management. Ancillary methods, for example, immunohistochemistry with smooth muscle/myoepithelial markers, basal/stem cell markers, proliferation markers, and c-kit have been employed to help distinguish them with variable results.</w:t>
      </w:r>
      <w:r w:rsidRPr="00ED2AAE">
        <w:rPr>
          <w:rFonts w:cstheme="minorHAnsi"/>
          <w:sz w:val="24"/>
          <w:szCs w:val="24"/>
          <w:vertAlign w:val="superscript"/>
        </w:rPr>
        <w:t>2</w:t>
      </w:r>
      <w:r w:rsidRPr="006435DB">
        <w:rPr>
          <w:rFonts w:cstheme="minorHAnsi"/>
          <w:sz w:val="24"/>
          <w:szCs w:val="24"/>
          <w:vertAlign w:val="superscript"/>
        </w:rPr>
        <w:t xml:space="preserve">, </w:t>
      </w:r>
      <w:r w:rsidRPr="00ED2AAE">
        <w:rPr>
          <w:rFonts w:cstheme="minorHAnsi"/>
          <w:sz w:val="24"/>
          <w:szCs w:val="24"/>
          <w:vertAlign w:val="superscript"/>
        </w:rPr>
        <w:t>3</w:t>
      </w:r>
      <w:r w:rsidRPr="006435DB">
        <w:rPr>
          <w:rFonts w:cstheme="minorHAnsi"/>
          <w:sz w:val="24"/>
          <w:szCs w:val="24"/>
          <w:vertAlign w:val="superscript"/>
        </w:rPr>
        <w:t xml:space="preserve">, </w:t>
      </w:r>
      <w:r w:rsidRPr="00ED2AAE">
        <w:rPr>
          <w:rFonts w:cstheme="minorHAnsi"/>
          <w:sz w:val="24"/>
          <w:szCs w:val="24"/>
          <w:vertAlign w:val="superscript"/>
        </w:rPr>
        <w:t>4</w:t>
      </w:r>
      <w:r w:rsidRPr="006435DB">
        <w:rPr>
          <w:rFonts w:cstheme="minorHAnsi"/>
          <w:sz w:val="24"/>
          <w:szCs w:val="24"/>
        </w:rPr>
        <w:t xml:space="preserve"> Recently, several new myoepithelial and basal cell markers have become available, but their utility in distinguishing adenoid cystic carcinoma from polymorphous low-grade adenocarcinoma is unknown. We studied the immunohistochemical-staining pattern of two relatively new markers, metallothionein and </w:t>
      </w:r>
      <w:proofErr w:type="spellStart"/>
      <w:r w:rsidRPr="006435DB">
        <w:rPr>
          <w:rFonts w:cstheme="minorHAnsi"/>
          <w:sz w:val="24"/>
          <w:szCs w:val="24"/>
        </w:rPr>
        <w:t>maspin</w:t>
      </w:r>
      <w:proofErr w:type="spellEnd"/>
      <w:r w:rsidRPr="006435DB">
        <w:rPr>
          <w:rFonts w:cstheme="minorHAnsi"/>
          <w:sz w:val="24"/>
          <w:szCs w:val="24"/>
        </w:rPr>
        <w:t xml:space="preserve"> in adenoid cystic carcinoma and polymorphous low-grade adenocarcinoma, and compared the results with some well-known myoepithelial cell markers.</w:t>
      </w:r>
    </w:p>
    <w:p w14:paraId="5510F6E9" w14:textId="1C954E13" w:rsidR="006435DB" w:rsidRPr="006435DB" w:rsidRDefault="006435DB" w:rsidP="006435DB">
      <w:pPr>
        <w:rPr>
          <w:rFonts w:cstheme="minorHAnsi"/>
          <w:sz w:val="24"/>
          <w:szCs w:val="24"/>
        </w:rPr>
      </w:pPr>
      <w:proofErr w:type="spellStart"/>
      <w:r w:rsidRPr="006435DB">
        <w:rPr>
          <w:rFonts w:cstheme="minorHAnsi"/>
          <w:sz w:val="24"/>
          <w:szCs w:val="24"/>
        </w:rPr>
        <w:t>Metallothioneins</w:t>
      </w:r>
      <w:proofErr w:type="spellEnd"/>
      <w:r w:rsidRPr="006435DB">
        <w:rPr>
          <w:rFonts w:cstheme="minorHAnsi"/>
          <w:sz w:val="24"/>
          <w:szCs w:val="24"/>
        </w:rPr>
        <w:t xml:space="preserve"> are a family of low-molecular weight, metal-binding, cysteine-rich intracellular proteins coded by the MT genes. The induction and expression of these proteins have been associated with oxidative stress and apoptosis, and appear to be cell-type specific. Metallothionein is a cytosolic protein in resting cells, but it can be translocated transiently to the nucleus during cell proliferation and differentiation.</w:t>
      </w:r>
      <w:r w:rsidRPr="00ED2AAE">
        <w:rPr>
          <w:rFonts w:cstheme="minorHAnsi"/>
          <w:sz w:val="24"/>
          <w:szCs w:val="24"/>
          <w:vertAlign w:val="superscript"/>
        </w:rPr>
        <w:t>5</w:t>
      </w:r>
      <w:r w:rsidRPr="006435DB">
        <w:rPr>
          <w:rFonts w:cstheme="minorHAnsi"/>
          <w:sz w:val="24"/>
          <w:szCs w:val="24"/>
        </w:rPr>
        <w:t xml:space="preserve"> Strong expression of metallothionein is seen in simple epithelia, basal, and myoepithelial cells, </w:t>
      </w:r>
      <w:proofErr w:type="spellStart"/>
      <w:r w:rsidRPr="006435DB">
        <w:rPr>
          <w:rFonts w:cstheme="minorHAnsi"/>
          <w:sz w:val="24"/>
          <w:szCs w:val="24"/>
        </w:rPr>
        <w:t>specially</w:t>
      </w:r>
      <w:proofErr w:type="spellEnd"/>
      <w:r w:rsidRPr="006435DB">
        <w:rPr>
          <w:rFonts w:cstheme="minorHAnsi"/>
          <w:sz w:val="24"/>
          <w:szCs w:val="24"/>
        </w:rPr>
        <w:t xml:space="preserve"> in normal and neoplastic breast tissue.</w:t>
      </w:r>
      <w:r w:rsidRPr="00ED2AAE">
        <w:rPr>
          <w:rFonts w:cstheme="minorHAnsi"/>
          <w:sz w:val="24"/>
          <w:szCs w:val="24"/>
          <w:vertAlign w:val="superscript"/>
        </w:rPr>
        <w:t>6</w:t>
      </w:r>
      <w:r w:rsidRPr="006435DB">
        <w:rPr>
          <w:rFonts w:cstheme="minorHAnsi"/>
          <w:sz w:val="24"/>
          <w:szCs w:val="24"/>
        </w:rPr>
        <w:t xml:space="preserve"> Increased expression of the MT genes is also noted in tumors of the colon, kidney, liver, lung, nasopharynx, ovary, prostate, salivary gland, testis, thyroid, and urinary bladder.</w:t>
      </w:r>
      <w:r w:rsidRPr="00ED2AAE">
        <w:rPr>
          <w:rFonts w:cstheme="minorHAnsi"/>
          <w:sz w:val="24"/>
          <w:szCs w:val="24"/>
          <w:vertAlign w:val="superscript"/>
        </w:rPr>
        <w:t>7</w:t>
      </w:r>
      <w:r w:rsidRPr="006435DB">
        <w:rPr>
          <w:rFonts w:cstheme="minorHAnsi"/>
          <w:sz w:val="24"/>
          <w:szCs w:val="24"/>
          <w:vertAlign w:val="superscript"/>
        </w:rPr>
        <w:t xml:space="preserve">, </w:t>
      </w:r>
      <w:r w:rsidRPr="00ED2AAE">
        <w:rPr>
          <w:rFonts w:cstheme="minorHAnsi"/>
          <w:sz w:val="24"/>
          <w:szCs w:val="24"/>
          <w:vertAlign w:val="superscript"/>
        </w:rPr>
        <w:t>8</w:t>
      </w:r>
    </w:p>
    <w:p w14:paraId="06DD31FF" w14:textId="00C3D0DC" w:rsidR="006435DB" w:rsidRPr="006435DB" w:rsidRDefault="006435DB" w:rsidP="006435DB">
      <w:pPr>
        <w:rPr>
          <w:rFonts w:cstheme="minorHAnsi"/>
          <w:sz w:val="24"/>
          <w:szCs w:val="24"/>
        </w:rPr>
      </w:pPr>
      <w:proofErr w:type="spellStart"/>
      <w:r w:rsidRPr="006435DB">
        <w:rPr>
          <w:rFonts w:cstheme="minorHAnsi"/>
          <w:sz w:val="24"/>
          <w:szCs w:val="24"/>
        </w:rPr>
        <w:t>Maspin</w:t>
      </w:r>
      <w:proofErr w:type="spellEnd"/>
      <w:r w:rsidRPr="006435DB">
        <w:rPr>
          <w:rFonts w:cstheme="minorHAnsi"/>
          <w:sz w:val="24"/>
          <w:szCs w:val="24"/>
        </w:rPr>
        <w:t xml:space="preserve"> is a </w:t>
      </w:r>
      <w:r w:rsidRPr="006435DB">
        <w:rPr>
          <w:rFonts w:cstheme="minorHAnsi"/>
          <w:sz w:val="24"/>
          <w:szCs w:val="24"/>
          <w:u w:val="single"/>
        </w:rPr>
        <w:t>ma</w:t>
      </w:r>
      <w:r w:rsidRPr="006435DB">
        <w:rPr>
          <w:rFonts w:cstheme="minorHAnsi"/>
          <w:sz w:val="24"/>
          <w:szCs w:val="24"/>
        </w:rPr>
        <w:t xml:space="preserve">mmary </w:t>
      </w:r>
      <w:r w:rsidRPr="006435DB">
        <w:rPr>
          <w:rFonts w:cstheme="minorHAnsi"/>
          <w:sz w:val="24"/>
          <w:szCs w:val="24"/>
          <w:u w:val="single"/>
        </w:rPr>
        <w:t>s</w:t>
      </w:r>
      <w:r w:rsidRPr="006435DB">
        <w:rPr>
          <w:rFonts w:cstheme="minorHAnsi"/>
          <w:sz w:val="24"/>
          <w:szCs w:val="24"/>
        </w:rPr>
        <w:t xml:space="preserve">erine </w:t>
      </w:r>
      <w:r w:rsidRPr="006435DB">
        <w:rPr>
          <w:rFonts w:cstheme="minorHAnsi"/>
          <w:sz w:val="24"/>
          <w:szCs w:val="24"/>
          <w:u w:val="single"/>
        </w:rPr>
        <w:t>p</w:t>
      </w:r>
      <w:r w:rsidRPr="006435DB">
        <w:rPr>
          <w:rFonts w:cstheme="minorHAnsi"/>
          <w:sz w:val="24"/>
          <w:szCs w:val="24"/>
        </w:rPr>
        <w:t xml:space="preserve">rotease </w:t>
      </w:r>
      <w:r w:rsidRPr="006435DB">
        <w:rPr>
          <w:rFonts w:cstheme="minorHAnsi"/>
          <w:sz w:val="24"/>
          <w:szCs w:val="24"/>
          <w:u w:val="single"/>
        </w:rPr>
        <w:t>i</w:t>
      </w:r>
      <w:r w:rsidRPr="006435DB">
        <w:rPr>
          <w:rFonts w:cstheme="minorHAnsi"/>
          <w:sz w:val="24"/>
          <w:szCs w:val="24"/>
        </w:rPr>
        <w:t>nhibitor with homology to members of the serpin family of protease inhibitors. It is a tumor suppressor gene protein that inhibits tumor cell invasion, motility, proliferation, and angiogenesis.</w:t>
      </w:r>
      <w:r w:rsidRPr="00ED2AAE">
        <w:rPr>
          <w:rFonts w:cstheme="minorHAnsi"/>
          <w:sz w:val="24"/>
          <w:szCs w:val="24"/>
          <w:vertAlign w:val="superscript"/>
        </w:rPr>
        <w:t>9</w:t>
      </w:r>
      <w:r w:rsidRPr="006435DB">
        <w:rPr>
          <w:rFonts w:cstheme="minorHAnsi"/>
          <w:sz w:val="24"/>
          <w:szCs w:val="24"/>
        </w:rPr>
        <w:t xml:space="preserve"> It is expressed in normal human mammary epithelial and myoepithelial cells. The mammary myoepithelial cells and prostatic basal cells stain intensely for </w:t>
      </w:r>
      <w:proofErr w:type="spellStart"/>
      <w:r w:rsidRPr="006435DB">
        <w:rPr>
          <w:rFonts w:cstheme="minorHAnsi"/>
          <w:sz w:val="24"/>
          <w:szCs w:val="24"/>
        </w:rPr>
        <w:t>maspin</w:t>
      </w:r>
      <w:proofErr w:type="spellEnd"/>
      <w:r w:rsidRPr="006435DB">
        <w:rPr>
          <w:rFonts w:cstheme="minorHAnsi"/>
          <w:sz w:val="24"/>
          <w:szCs w:val="24"/>
        </w:rPr>
        <w:t xml:space="preserve"> by immunohistochemistry. </w:t>
      </w:r>
      <w:proofErr w:type="spellStart"/>
      <w:r w:rsidRPr="006435DB">
        <w:rPr>
          <w:rFonts w:cstheme="minorHAnsi"/>
          <w:sz w:val="24"/>
          <w:szCs w:val="24"/>
        </w:rPr>
        <w:t>Maspin</w:t>
      </w:r>
      <w:proofErr w:type="spellEnd"/>
      <w:r w:rsidRPr="006435DB">
        <w:rPr>
          <w:rFonts w:cstheme="minorHAnsi"/>
          <w:sz w:val="24"/>
          <w:szCs w:val="24"/>
        </w:rPr>
        <w:t xml:space="preserve"> expression is also noted in squamous and glandular epithelia, endometrium, and testicular germ cells. p63, a homolog of p53, is expressed in embryonic ectoderm, basal/stem cells of stratified epithelium, and myoepithelial cells. p63 expression is consistently lost in invasive adenocarcinoma of prostate and breast but preserved in squamous, transitional, and basal cell carcinoma.</w:t>
      </w:r>
    </w:p>
    <w:p w14:paraId="6ED3C5F2" w14:textId="32F8DB01" w:rsidR="006435DB" w:rsidRPr="006435DB" w:rsidRDefault="006435DB" w:rsidP="006435DB">
      <w:pPr>
        <w:rPr>
          <w:rFonts w:cstheme="minorHAnsi"/>
          <w:sz w:val="24"/>
          <w:szCs w:val="24"/>
        </w:rPr>
      </w:pPr>
      <w:r w:rsidRPr="006435DB">
        <w:rPr>
          <w:rFonts w:cstheme="minorHAnsi"/>
          <w:sz w:val="24"/>
          <w:szCs w:val="24"/>
        </w:rPr>
        <w:t xml:space="preserve">In addition, we studied the traditional markers of myoepithelial cells, for example, </w:t>
      </w:r>
      <w:r w:rsidRPr="006435DB">
        <w:rPr>
          <w:rFonts w:cstheme="minorHAnsi"/>
          <w:i/>
          <w:iCs/>
          <w:sz w:val="24"/>
          <w:szCs w:val="24"/>
        </w:rPr>
        <w:t>α</w:t>
      </w:r>
      <w:r w:rsidRPr="006435DB">
        <w:rPr>
          <w:rFonts w:cstheme="minorHAnsi"/>
          <w:sz w:val="24"/>
          <w:szCs w:val="24"/>
        </w:rPr>
        <w:t>-smooth muscle actin, calponin, and smooth muscle myosin heavy chain, that react with contractile cytoskeletal proteins associated with myoid differentiation.</w:t>
      </w:r>
      <w:r w:rsidRPr="00ED2AAE">
        <w:rPr>
          <w:rFonts w:cstheme="minorHAnsi"/>
          <w:sz w:val="24"/>
          <w:szCs w:val="24"/>
          <w:vertAlign w:val="superscript"/>
        </w:rPr>
        <w:t>10</w:t>
      </w:r>
      <w:r w:rsidRPr="006435DB">
        <w:rPr>
          <w:rFonts w:cstheme="minorHAnsi"/>
          <w:sz w:val="24"/>
          <w:szCs w:val="24"/>
        </w:rPr>
        <w:t xml:space="preserve"> The expression of these proteins in salivary gland tumors of myoepithelial differentiation and their absence in non-myoepithelial tumors, for example, mucoepidermoid carcinoma, acinic cell carcinoma, Warthin's tumor, squamous cell carcinoma, polymorphous low-grade adenocarcinoma is well documented.</w:t>
      </w:r>
      <w:r w:rsidRPr="00ED2AAE">
        <w:rPr>
          <w:rFonts w:cstheme="minorHAnsi"/>
          <w:sz w:val="24"/>
          <w:szCs w:val="24"/>
          <w:vertAlign w:val="superscript"/>
        </w:rPr>
        <w:t>11</w:t>
      </w:r>
      <w:r w:rsidRPr="006435DB">
        <w:rPr>
          <w:rFonts w:cstheme="minorHAnsi"/>
          <w:sz w:val="24"/>
          <w:szCs w:val="24"/>
        </w:rPr>
        <w:t xml:space="preserve"> Here, we evaluate some traditional cytoplasmic (smooth muscle actin, calponin, smooth muscle myosin heavy chain) and some relatively less known, nuclear or predominantly nuclear basal cell markers (metallothionein, </w:t>
      </w:r>
      <w:proofErr w:type="spellStart"/>
      <w:r w:rsidRPr="006435DB">
        <w:rPr>
          <w:rFonts w:cstheme="minorHAnsi"/>
          <w:sz w:val="24"/>
          <w:szCs w:val="24"/>
        </w:rPr>
        <w:t>maspin</w:t>
      </w:r>
      <w:proofErr w:type="spellEnd"/>
      <w:r w:rsidRPr="006435DB">
        <w:rPr>
          <w:rFonts w:cstheme="minorHAnsi"/>
          <w:sz w:val="24"/>
          <w:szCs w:val="24"/>
        </w:rPr>
        <w:t>, p63) to determine the most efficient marker or combination of markers in discriminating adenoid cystic carcinoma from polymorphous low-grade adenocarcinoma.</w:t>
      </w:r>
    </w:p>
    <w:p w14:paraId="4D5DCB9A" w14:textId="77777777" w:rsidR="006435DB" w:rsidRPr="006435DB" w:rsidRDefault="006435DB" w:rsidP="00640565">
      <w:pPr>
        <w:pStyle w:val="Heading1"/>
      </w:pPr>
      <w:r w:rsidRPr="006435DB">
        <w:t>Materials and methods</w:t>
      </w:r>
    </w:p>
    <w:p w14:paraId="2258A1FF" w14:textId="77777777" w:rsidR="006435DB" w:rsidRPr="006435DB" w:rsidRDefault="006435DB" w:rsidP="00640565">
      <w:pPr>
        <w:pStyle w:val="Heading2"/>
      </w:pPr>
      <w:r w:rsidRPr="006435DB">
        <w:t>Tumor Samples</w:t>
      </w:r>
    </w:p>
    <w:p w14:paraId="3D4B7F51" w14:textId="77777777" w:rsidR="006435DB" w:rsidRPr="006435DB" w:rsidRDefault="006435DB" w:rsidP="006435DB">
      <w:pPr>
        <w:rPr>
          <w:rFonts w:cstheme="minorHAnsi"/>
          <w:sz w:val="24"/>
          <w:szCs w:val="24"/>
        </w:rPr>
      </w:pPr>
      <w:r w:rsidRPr="006435DB">
        <w:rPr>
          <w:rFonts w:cstheme="minorHAnsi"/>
          <w:sz w:val="24"/>
          <w:szCs w:val="24"/>
        </w:rPr>
        <w:t>Tumors with a diagnosis of adenoid cystic carcinoma and polymorphous low-grade adenocarcinoma were identified from the archives of the Departments of Pathology, and Oral and Maxillofacial Pathology, College of Dentistry, the Ohio State University Medical Center. Cases were reviewed by at least two pathologists trained in head and neck (MLP) and oral and maxillofacial pathology (YBR). Clinical and follow-up information was reviewed when available.</w:t>
      </w:r>
    </w:p>
    <w:p w14:paraId="14600B70" w14:textId="77777777" w:rsidR="006435DB" w:rsidRPr="006435DB" w:rsidRDefault="006435DB" w:rsidP="00640565">
      <w:pPr>
        <w:pStyle w:val="Heading2"/>
      </w:pPr>
      <w:r w:rsidRPr="006435DB">
        <w:t>Immunohistochemistry</w:t>
      </w:r>
    </w:p>
    <w:p w14:paraId="43A38654" w14:textId="3C14BBAD" w:rsidR="006435DB" w:rsidRPr="006435DB" w:rsidRDefault="006435DB" w:rsidP="006435DB">
      <w:pPr>
        <w:rPr>
          <w:rFonts w:cstheme="minorHAnsi"/>
          <w:sz w:val="24"/>
          <w:szCs w:val="24"/>
        </w:rPr>
      </w:pPr>
      <w:r w:rsidRPr="006435DB">
        <w:rPr>
          <w:rFonts w:cstheme="minorHAnsi"/>
          <w:sz w:val="24"/>
          <w:szCs w:val="24"/>
        </w:rPr>
        <w:t>Immunohistochemistry was performed on 4 </w:t>
      </w:r>
      <w:r w:rsidRPr="006435DB">
        <w:rPr>
          <w:rFonts w:cstheme="minorHAnsi"/>
          <w:i/>
          <w:iCs/>
          <w:sz w:val="24"/>
          <w:szCs w:val="24"/>
        </w:rPr>
        <w:t>μ</w:t>
      </w:r>
      <w:r w:rsidRPr="006435DB">
        <w:rPr>
          <w:rFonts w:cstheme="minorHAnsi"/>
          <w:sz w:val="24"/>
          <w:szCs w:val="24"/>
        </w:rPr>
        <w:t xml:space="preserve"> thick sections of formalin-fixed, paraffin-embedded tissues using the labeled streptavidin-biotin complex system (LSAB2, </w:t>
      </w:r>
      <w:proofErr w:type="spellStart"/>
      <w:r w:rsidRPr="006435DB">
        <w:rPr>
          <w:rFonts w:cstheme="minorHAnsi"/>
          <w:sz w:val="24"/>
          <w:szCs w:val="24"/>
        </w:rPr>
        <w:t>Dako</w:t>
      </w:r>
      <w:proofErr w:type="spellEnd"/>
      <w:r w:rsidRPr="006435DB">
        <w:rPr>
          <w:rFonts w:cstheme="minorHAnsi"/>
          <w:sz w:val="24"/>
          <w:szCs w:val="24"/>
        </w:rPr>
        <w:t xml:space="preserve">) in a </w:t>
      </w:r>
      <w:proofErr w:type="spellStart"/>
      <w:r w:rsidRPr="006435DB">
        <w:rPr>
          <w:rFonts w:cstheme="minorHAnsi"/>
          <w:sz w:val="24"/>
          <w:szCs w:val="24"/>
        </w:rPr>
        <w:t>Dako</w:t>
      </w:r>
      <w:proofErr w:type="spellEnd"/>
      <w:r w:rsidRPr="006435DB">
        <w:rPr>
          <w:rFonts w:cstheme="minorHAnsi"/>
          <w:sz w:val="24"/>
          <w:szCs w:val="24"/>
        </w:rPr>
        <w:t xml:space="preserve"> </w:t>
      </w:r>
      <w:proofErr w:type="spellStart"/>
      <w:r w:rsidRPr="006435DB">
        <w:rPr>
          <w:rFonts w:cstheme="minorHAnsi"/>
          <w:sz w:val="24"/>
          <w:szCs w:val="24"/>
        </w:rPr>
        <w:t>Autostainer</w:t>
      </w:r>
      <w:proofErr w:type="spellEnd"/>
      <w:r w:rsidRPr="006435DB">
        <w:rPr>
          <w:rFonts w:cstheme="minorHAnsi"/>
          <w:sz w:val="24"/>
          <w:szCs w:val="24"/>
        </w:rPr>
        <w:t xml:space="preserve"> (</w:t>
      </w:r>
      <w:proofErr w:type="spellStart"/>
      <w:r w:rsidRPr="006435DB">
        <w:rPr>
          <w:rFonts w:cstheme="minorHAnsi"/>
          <w:sz w:val="24"/>
          <w:szCs w:val="24"/>
        </w:rPr>
        <w:t>DakoCytomation</w:t>
      </w:r>
      <w:proofErr w:type="spellEnd"/>
      <w:r w:rsidRPr="006435DB">
        <w:rPr>
          <w:rFonts w:cstheme="minorHAnsi"/>
          <w:sz w:val="24"/>
          <w:szCs w:val="24"/>
        </w:rPr>
        <w:t>, Carpinteria, CA, USA). Heat-induced antigen retrieval was carried out by steaming unstained sections in Target Retrieval Solution (</w:t>
      </w:r>
      <w:proofErr w:type="spellStart"/>
      <w:r w:rsidRPr="006435DB">
        <w:rPr>
          <w:rFonts w:cstheme="minorHAnsi"/>
          <w:sz w:val="24"/>
          <w:szCs w:val="24"/>
        </w:rPr>
        <w:t>Dako</w:t>
      </w:r>
      <w:proofErr w:type="spellEnd"/>
      <w:r w:rsidRPr="006435DB">
        <w:rPr>
          <w:rFonts w:cstheme="minorHAnsi"/>
          <w:sz w:val="24"/>
          <w:szCs w:val="24"/>
        </w:rPr>
        <w:t xml:space="preserve"> TRS pH 6.1) for 30 min. The incubation with monoclonal primary antibodies varied from 30 to 60 min at room temperature (</w:t>
      </w:r>
      <w:r w:rsidRPr="00ED2AAE">
        <w:rPr>
          <w:rFonts w:cstheme="minorHAnsi"/>
          <w:sz w:val="24"/>
          <w:szCs w:val="24"/>
        </w:rPr>
        <w:t>Table 1</w:t>
      </w:r>
      <w:r w:rsidRPr="006435DB">
        <w:rPr>
          <w:rFonts w:cstheme="minorHAnsi"/>
          <w:sz w:val="24"/>
          <w:szCs w:val="24"/>
        </w:rPr>
        <w:t xml:space="preserve">). Appropriate positive (normal breast) and negative controls were used. In most tumor samples, non-neoplastic salivary glands adjacent to the tumor provided a built-in positive control with decoration of myoepithelial cells by all markers. The immunostaining was cytoplasmic for smooth muscle actin, calponin, and smooth muscle myosin heavy chain, nuclear for p63, and predominantly nuclear with some cytoplasmic staining for metallothionein and </w:t>
      </w:r>
      <w:proofErr w:type="spellStart"/>
      <w:r w:rsidRPr="006435DB">
        <w:rPr>
          <w:rFonts w:cstheme="minorHAnsi"/>
          <w:sz w:val="24"/>
          <w:szCs w:val="24"/>
        </w:rPr>
        <w:t>maspin</w:t>
      </w:r>
      <w:proofErr w:type="spellEnd"/>
      <w:r w:rsidRPr="006435DB">
        <w:rPr>
          <w:rFonts w:cstheme="minorHAnsi"/>
          <w:sz w:val="24"/>
          <w:szCs w:val="24"/>
        </w:rPr>
        <w:t>.</w:t>
      </w:r>
    </w:p>
    <w:p w14:paraId="736518A8" w14:textId="77777777" w:rsidR="006435DB" w:rsidRPr="006435DB" w:rsidRDefault="006435DB" w:rsidP="00624A64">
      <w:pPr>
        <w:spacing w:after="0"/>
        <w:rPr>
          <w:rFonts w:cstheme="minorHAnsi"/>
          <w:sz w:val="24"/>
          <w:szCs w:val="24"/>
        </w:rPr>
      </w:pPr>
      <w:r w:rsidRPr="006435DB">
        <w:rPr>
          <w:rFonts w:cstheme="minorHAnsi"/>
          <w:b/>
          <w:bCs/>
          <w:sz w:val="24"/>
          <w:szCs w:val="24"/>
        </w:rPr>
        <w:t>Table 1 Primary antibodies</w:t>
      </w:r>
    </w:p>
    <w:tbl>
      <w:tblPr>
        <w:tblStyle w:val="TableGrid"/>
        <w:tblW w:w="0" w:type="auto"/>
        <w:tblLook w:val="04A0" w:firstRow="1" w:lastRow="0" w:firstColumn="1" w:lastColumn="0" w:noHBand="0" w:noVBand="1"/>
      </w:tblPr>
      <w:tblGrid>
        <w:gridCol w:w="2657"/>
        <w:gridCol w:w="1815"/>
        <w:gridCol w:w="2321"/>
        <w:gridCol w:w="1927"/>
      </w:tblGrid>
      <w:tr w:rsidR="00304C44" w:rsidRPr="00624A64" w14:paraId="7E4545E5" w14:textId="77777777" w:rsidTr="00304C44">
        <w:tc>
          <w:tcPr>
            <w:tcW w:w="0" w:type="auto"/>
            <w:hideMark/>
          </w:tcPr>
          <w:p w14:paraId="5D74264E" w14:textId="77777777" w:rsidR="00304C44" w:rsidRPr="00624A64" w:rsidRDefault="00304C44" w:rsidP="00304C44">
            <w:pPr>
              <w:pStyle w:val="NoSpacing"/>
              <w:rPr>
                <w:b/>
                <w:bCs/>
              </w:rPr>
            </w:pPr>
            <w:r w:rsidRPr="00624A64">
              <w:rPr>
                <w:b/>
                <w:bCs/>
              </w:rPr>
              <w:t>Primary antibodies against</w:t>
            </w:r>
          </w:p>
        </w:tc>
        <w:tc>
          <w:tcPr>
            <w:tcW w:w="0" w:type="auto"/>
            <w:hideMark/>
          </w:tcPr>
          <w:p w14:paraId="4BEE7938" w14:textId="77777777" w:rsidR="00304C44" w:rsidRPr="00624A64" w:rsidRDefault="00304C44" w:rsidP="00304C44">
            <w:pPr>
              <w:pStyle w:val="NoSpacing"/>
              <w:rPr>
                <w:b/>
                <w:bCs/>
              </w:rPr>
            </w:pPr>
            <w:r w:rsidRPr="00624A64">
              <w:rPr>
                <w:b/>
                <w:bCs/>
              </w:rPr>
              <w:t>Ag retrieval</w:t>
            </w:r>
          </w:p>
        </w:tc>
        <w:tc>
          <w:tcPr>
            <w:tcW w:w="0" w:type="auto"/>
            <w:hideMark/>
          </w:tcPr>
          <w:p w14:paraId="16AD2EFD" w14:textId="77777777" w:rsidR="00304C44" w:rsidRPr="00624A64" w:rsidRDefault="00304C44" w:rsidP="00304C44">
            <w:pPr>
              <w:pStyle w:val="NoSpacing"/>
              <w:rPr>
                <w:b/>
                <w:bCs/>
              </w:rPr>
            </w:pPr>
            <w:r w:rsidRPr="00624A64">
              <w:rPr>
                <w:b/>
                <w:bCs/>
              </w:rPr>
              <w:t>Dilution/concentration</w:t>
            </w:r>
          </w:p>
        </w:tc>
        <w:tc>
          <w:tcPr>
            <w:tcW w:w="0" w:type="auto"/>
            <w:hideMark/>
          </w:tcPr>
          <w:p w14:paraId="0CF06AFE" w14:textId="77777777" w:rsidR="00304C44" w:rsidRPr="00624A64" w:rsidRDefault="00304C44" w:rsidP="00304C44">
            <w:pPr>
              <w:pStyle w:val="NoSpacing"/>
              <w:rPr>
                <w:b/>
                <w:bCs/>
              </w:rPr>
            </w:pPr>
            <w:r w:rsidRPr="00624A64">
              <w:rPr>
                <w:b/>
                <w:bCs/>
              </w:rPr>
              <w:t>Source, clone</w:t>
            </w:r>
          </w:p>
        </w:tc>
      </w:tr>
      <w:tr w:rsidR="00304C44" w:rsidRPr="00304C44" w14:paraId="5C030DA4" w14:textId="77777777" w:rsidTr="00304C44">
        <w:tc>
          <w:tcPr>
            <w:tcW w:w="0" w:type="auto"/>
            <w:hideMark/>
          </w:tcPr>
          <w:p w14:paraId="4297682A" w14:textId="77777777" w:rsidR="00304C44" w:rsidRPr="00304C44" w:rsidRDefault="00304C44" w:rsidP="00304C44">
            <w:pPr>
              <w:pStyle w:val="NoSpacing"/>
            </w:pPr>
            <w:r w:rsidRPr="00304C44">
              <w:t>SMA</w:t>
            </w:r>
          </w:p>
        </w:tc>
        <w:tc>
          <w:tcPr>
            <w:tcW w:w="0" w:type="auto"/>
            <w:hideMark/>
          </w:tcPr>
          <w:p w14:paraId="4583E468" w14:textId="77777777" w:rsidR="00304C44" w:rsidRPr="00304C44" w:rsidRDefault="00304C44" w:rsidP="00304C44">
            <w:pPr>
              <w:pStyle w:val="NoSpacing"/>
            </w:pPr>
            <w:proofErr w:type="spellStart"/>
            <w:r w:rsidRPr="00304C44">
              <w:t>Dako</w:t>
            </w:r>
            <w:proofErr w:type="spellEnd"/>
            <w:r w:rsidRPr="00304C44">
              <w:t xml:space="preserve"> TRS (pH 6.1)</w:t>
            </w:r>
          </w:p>
        </w:tc>
        <w:tc>
          <w:tcPr>
            <w:tcW w:w="0" w:type="auto"/>
            <w:hideMark/>
          </w:tcPr>
          <w:p w14:paraId="6FDE38C1" w14:textId="77777777" w:rsidR="00304C44" w:rsidRPr="00304C44" w:rsidRDefault="00304C44" w:rsidP="00304C44">
            <w:pPr>
              <w:pStyle w:val="NoSpacing"/>
            </w:pPr>
            <w:r w:rsidRPr="00304C44">
              <w:t>1:75</w:t>
            </w:r>
          </w:p>
        </w:tc>
        <w:tc>
          <w:tcPr>
            <w:tcW w:w="0" w:type="auto"/>
            <w:hideMark/>
          </w:tcPr>
          <w:p w14:paraId="3B342F30" w14:textId="77777777" w:rsidR="00304C44" w:rsidRPr="00304C44" w:rsidRDefault="00304C44" w:rsidP="00304C44">
            <w:pPr>
              <w:pStyle w:val="NoSpacing"/>
            </w:pPr>
            <w:proofErr w:type="spellStart"/>
            <w:r w:rsidRPr="00304C44">
              <w:t>Dako</w:t>
            </w:r>
            <w:proofErr w:type="spellEnd"/>
            <w:r w:rsidRPr="00304C44">
              <w:t>, 1A4</w:t>
            </w:r>
          </w:p>
        </w:tc>
      </w:tr>
      <w:tr w:rsidR="00304C44" w:rsidRPr="00304C44" w14:paraId="1755858C" w14:textId="77777777" w:rsidTr="00304C44">
        <w:tc>
          <w:tcPr>
            <w:tcW w:w="0" w:type="auto"/>
            <w:hideMark/>
          </w:tcPr>
          <w:p w14:paraId="7C2F382C" w14:textId="77777777" w:rsidR="00304C44" w:rsidRPr="00304C44" w:rsidRDefault="00304C44" w:rsidP="00304C44">
            <w:pPr>
              <w:pStyle w:val="NoSpacing"/>
            </w:pPr>
            <w:r w:rsidRPr="00304C44">
              <w:t>Calponin</w:t>
            </w:r>
          </w:p>
        </w:tc>
        <w:tc>
          <w:tcPr>
            <w:tcW w:w="0" w:type="auto"/>
            <w:hideMark/>
          </w:tcPr>
          <w:p w14:paraId="3A8AE9E5" w14:textId="77777777" w:rsidR="00304C44" w:rsidRPr="00304C44" w:rsidRDefault="00304C44" w:rsidP="00304C44">
            <w:pPr>
              <w:pStyle w:val="NoSpacing"/>
            </w:pPr>
            <w:proofErr w:type="spellStart"/>
            <w:r w:rsidRPr="00304C44">
              <w:t>Dako</w:t>
            </w:r>
            <w:proofErr w:type="spellEnd"/>
            <w:r w:rsidRPr="00304C44">
              <w:t xml:space="preserve"> TRS (pH 6.1)</w:t>
            </w:r>
          </w:p>
        </w:tc>
        <w:tc>
          <w:tcPr>
            <w:tcW w:w="0" w:type="auto"/>
            <w:hideMark/>
          </w:tcPr>
          <w:p w14:paraId="7E3BBE0B" w14:textId="77777777" w:rsidR="00304C44" w:rsidRPr="00304C44" w:rsidRDefault="00304C44" w:rsidP="00304C44">
            <w:pPr>
              <w:pStyle w:val="NoSpacing"/>
            </w:pPr>
            <w:r w:rsidRPr="00304C44">
              <w:t>1:100</w:t>
            </w:r>
          </w:p>
        </w:tc>
        <w:tc>
          <w:tcPr>
            <w:tcW w:w="0" w:type="auto"/>
            <w:hideMark/>
          </w:tcPr>
          <w:p w14:paraId="54F6B39E" w14:textId="77777777" w:rsidR="00304C44" w:rsidRPr="00304C44" w:rsidRDefault="00304C44" w:rsidP="00304C44">
            <w:pPr>
              <w:pStyle w:val="NoSpacing"/>
            </w:pPr>
            <w:proofErr w:type="spellStart"/>
            <w:r w:rsidRPr="00304C44">
              <w:t>Dako</w:t>
            </w:r>
            <w:proofErr w:type="spellEnd"/>
            <w:r w:rsidRPr="00304C44">
              <w:t>, CALP</w:t>
            </w:r>
          </w:p>
        </w:tc>
      </w:tr>
      <w:tr w:rsidR="00304C44" w:rsidRPr="00304C44" w14:paraId="28251E55" w14:textId="77777777" w:rsidTr="00304C44">
        <w:tc>
          <w:tcPr>
            <w:tcW w:w="0" w:type="auto"/>
            <w:hideMark/>
          </w:tcPr>
          <w:p w14:paraId="46F11AD5" w14:textId="77777777" w:rsidR="00304C44" w:rsidRPr="00304C44" w:rsidRDefault="00304C44" w:rsidP="00304C44">
            <w:pPr>
              <w:pStyle w:val="NoSpacing"/>
            </w:pPr>
            <w:r w:rsidRPr="00304C44">
              <w:t>SMMS</w:t>
            </w:r>
          </w:p>
        </w:tc>
        <w:tc>
          <w:tcPr>
            <w:tcW w:w="0" w:type="auto"/>
            <w:hideMark/>
          </w:tcPr>
          <w:p w14:paraId="2A9F4874" w14:textId="77777777" w:rsidR="00304C44" w:rsidRPr="00304C44" w:rsidRDefault="00304C44" w:rsidP="00304C44">
            <w:pPr>
              <w:pStyle w:val="NoSpacing"/>
            </w:pPr>
            <w:proofErr w:type="spellStart"/>
            <w:r w:rsidRPr="00304C44">
              <w:t>Dako</w:t>
            </w:r>
            <w:proofErr w:type="spellEnd"/>
            <w:r w:rsidRPr="00304C44">
              <w:t xml:space="preserve"> TRS (pH 6.1)</w:t>
            </w:r>
          </w:p>
        </w:tc>
        <w:tc>
          <w:tcPr>
            <w:tcW w:w="0" w:type="auto"/>
            <w:hideMark/>
          </w:tcPr>
          <w:p w14:paraId="3BAB5345" w14:textId="77777777" w:rsidR="00304C44" w:rsidRPr="00304C44" w:rsidRDefault="00304C44" w:rsidP="00304C44">
            <w:pPr>
              <w:pStyle w:val="NoSpacing"/>
            </w:pPr>
            <w:r w:rsidRPr="00304C44">
              <w:t>1:75</w:t>
            </w:r>
          </w:p>
        </w:tc>
        <w:tc>
          <w:tcPr>
            <w:tcW w:w="0" w:type="auto"/>
            <w:hideMark/>
          </w:tcPr>
          <w:p w14:paraId="36A662B2" w14:textId="77777777" w:rsidR="00304C44" w:rsidRPr="00304C44" w:rsidRDefault="00304C44" w:rsidP="00304C44">
            <w:pPr>
              <w:pStyle w:val="NoSpacing"/>
            </w:pPr>
            <w:proofErr w:type="spellStart"/>
            <w:r w:rsidRPr="00304C44">
              <w:t>Dako</w:t>
            </w:r>
            <w:proofErr w:type="spellEnd"/>
            <w:r w:rsidRPr="00304C44">
              <w:t>, SMMS-1</w:t>
            </w:r>
          </w:p>
        </w:tc>
      </w:tr>
      <w:tr w:rsidR="00304C44" w:rsidRPr="00304C44" w14:paraId="70B23424" w14:textId="77777777" w:rsidTr="00304C44">
        <w:tc>
          <w:tcPr>
            <w:tcW w:w="0" w:type="auto"/>
            <w:hideMark/>
          </w:tcPr>
          <w:p w14:paraId="33096A49" w14:textId="77777777" w:rsidR="00304C44" w:rsidRPr="00304C44" w:rsidRDefault="00304C44" w:rsidP="00304C44">
            <w:pPr>
              <w:pStyle w:val="NoSpacing"/>
            </w:pPr>
            <w:r w:rsidRPr="00304C44">
              <w:t>Metallothionein (MT)</w:t>
            </w:r>
          </w:p>
        </w:tc>
        <w:tc>
          <w:tcPr>
            <w:tcW w:w="0" w:type="auto"/>
            <w:hideMark/>
          </w:tcPr>
          <w:p w14:paraId="0B3F5055" w14:textId="77777777" w:rsidR="00304C44" w:rsidRPr="00304C44" w:rsidRDefault="00304C44" w:rsidP="00304C44">
            <w:pPr>
              <w:pStyle w:val="NoSpacing"/>
            </w:pPr>
            <w:proofErr w:type="spellStart"/>
            <w:r w:rsidRPr="00304C44">
              <w:t>Dako</w:t>
            </w:r>
            <w:proofErr w:type="spellEnd"/>
            <w:r w:rsidRPr="00304C44">
              <w:t xml:space="preserve"> TRS (pH 6.1)</w:t>
            </w:r>
          </w:p>
        </w:tc>
        <w:tc>
          <w:tcPr>
            <w:tcW w:w="0" w:type="auto"/>
            <w:hideMark/>
          </w:tcPr>
          <w:p w14:paraId="16F9903E" w14:textId="77777777" w:rsidR="00304C44" w:rsidRPr="00304C44" w:rsidRDefault="00304C44" w:rsidP="00304C44">
            <w:pPr>
              <w:pStyle w:val="NoSpacing"/>
            </w:pPr>
            <w:r w:rsidRPr="00304C44">
              <w:t>1:800</w:t>
            </w:r>
          </w:p>
        </w:tc>
        <w:tc>
          <w:tcPr>
            <w:tcW w:w="0" w:type="auto"/>
            <w:hideMark/>
          </w:tcPr>
          <w:p w14:paraId="7F1F594F" w14:textId="77777777" w:rsidR="00304C44" w:rsidRPr="00304C44" w:rsidRDefault="00304C44" w:rsidP="00304C44">
            <w:pPr>
              <w:pStyle w:val="NoSpacing"/>
            </w:pPr>
            <w:proofErr w:type="spellStart"/>
            <w:r w:rsidRPr="00304C44">
              <w:t>Dako</w:t>
            </w:r>
            <w:proofErr w:type="spellEnd"/>
            <w:r w:rsidRPr="00304C44">
              <w:t>, E9</w:t>
            </w:r>
          </w:p>
        </w:tc>
      </w:tr>
      <w:tr w:rsidR="00304C44" w:rsidRPr="00304C44" w14:paraId="1CB2A609" w14:textId="77777777" w:rsidTr="00304C44">
        <w:tc>
          <w:tcPr>
            <w:tcW w:w="0" w:type="auto"/>
            <w:hideMark/>
          </w:tcPr>
          <w:p w14:paraId="7F87406F" w14:textId="77777777" w:rsidR="00304C44" w:rsidRPr="00304C44" w:rsidRDefault="00304C44" w:rsidP="00304C44">
            <w:pPr>
              <w:pStyle w:val="NoSpacing"/>
            </w:pPr>
            <w:proofErr w:type="spellStart"/>
            <w:r w:rsidRPr="00304C44">
              <w:t>Maspin</w:t>
            </w:r>
            <w:proofErr w:type="spellEnd"/>
          </w:p>
        </w:tc>
        <w:tc>
          <w:tcPr>
            <w:tcW w:w="0" w:type="auto"/>
            <w:hideMark/>
          </w:tcPr>
          <w:p w14:paraId="02BFF02B" w14:textId="77777777" w:rsidR="00304C44" w:rsidRPr="00304C44" w:rsidRDefault="00304C44" w:rsidP="00304C44">
            <w:pPr>
              <w:pStyle w:val="NoSpacing"/>
            </w:pPr>
            <w:proofErr w:type="spellStart"/>
            <w:r w:rsidRPr="00304C44">
              <w:t>Dako</w:t>
            </w:r>
            <w:proofErr w:type="spellEnd"/>
            <w:r w:rsidRPr="00304C44">
              <w:t xml:space="preserve"> TRS (pH 6.1)</w:t>
            </w:r>
          </w:p>
        </w:tc>
        <w:tc>
          <w:tcPr>
            <w:tcW w:w="0" w:type="auto"/>
            <w:hideMark/>
          </w:tcPr>
          <w:p w14:paraId="186D4F41" w14:textId="77777777" w:rsidR="00304C44" w:rsidRPr="00304C44" w:rsidRDefault="00304C44" w:rsidP="00304C44">
            <w:pPr>
              <w:pStyle w:val="NoSpacing"/>
            </w:pPr>
            <w:r w:rsidRPr="00304C44">
              <w:t>1:800</w:t>
            </w:r>
          </w:p>
        </w:tc>
        <w:tc>
          <w:tcPr>
            <w:tcW w:w="0" w:type="auto"/>
            <w:hideMark/>
          </w:tcPr>
          <w:p w14:paraId="34863BD8" w14:textId="77777777" w:rsidR="00304C44" w:rsidRPr="00304C44" w:rsidRDefault="00304C44" w:rsidP="00304C44">
            <w:pPr>
              <w:pStyle w:val="NoSpacing"/>
            </w:pPr>
            <w:proofErr w:type="spellStart"/>
            <w:r w:rsidRPr="00304C44">
              <w:t>BDPharm</w:t>
            </w:r>
            <w:proofErr w:type="spellEnd"/>
            <w:r w:rsidRPr="00304C44">
              <w:t>, G167-70</w:t>
            </w:r>
          </w:p>
        </w:tc>
      </w:tr>
      <w:tr w:rsidR="00304C44" w:rsidRPr="00304C44" w14:paraId="19866BBC" w14:textId="77777777" w:rsidTr="00304C44">
        <w:tc>
          <w:tcPr>
            <w:tcW w:w="0" w:type="auto"/>
            <w:hideMark/>
          </w:tcPr>
          <w:p w14:paraId="0C987593" w14:textId="77777777" w:rsidR="00304C44" w:rsidRPr="00304C44" w:rsidRDefault="00304C44" w:rsidP="00304C44">
            <w:pPr>
              <w:pStyle w:val="NoSpacing"/>
            </w:pPr>
            <w:r w:rsidRPr="00304C44">
              <w:t>p63</w:t>
            </w:r>
          </w:p>
        </w:tc>
        <w:tc>
          <w:tcPr>
            <w:tcW w:w="0" w:type="auto"/>
            <w:hideMark/>
          </w:tcPr>
          <w:p w14:paraId="4FE334C2" w14:textId="77777777" w:rsidR="00304C44" w:rsidRPr="00304C44" w:rsidRDefault="00304C44" w:rsidP="00304C44">
            <w:pPr>
              <w:pStyle w:val="NoSpacing"/>
            </w:pPr>
            <w:proofErr w:type="spellStart"/>
            <w:r w:rsidRPr="00304C44">
              <w:t>Dako</w:t>
            </w:r>
            <w:proofErr w:type="spellEnd"/>
            <w:r w:rsidRPr="00304C44">
              <w:t xml:space="preserve"> TRS (pH 6.1)</w:t>
            </w:r>
          </w:p>
        </w:tc>
        <w:tc>
          <w:tcPr>
            <w:tcW w:w="0" w:type="auto"/>
            <w:hideMark/>
          </w:tcPr>
          <w:p w14:paraId="5A6BE4B2" w14:textId="77777777" w:rsidR="00304C44" w:rsidRPr="00304C44" w:rsidRDefault="00304C44" w:rsidP="00304C44">
            <w:pPr>
              <w:pStyle w:val="NoSpacing"/>
            </w:pPr>
            <w:r w:rsidRPr="00304C44">
              <w:t>1:800</w:t>
            </w:r>
          </w:p>
        </w:tc>
        <w:tc>
          <w:tcPr>
            <w:tcW w:w="0" w:type="auto"/>
            <w:hideMark/>
          </w:tcPr>
          <w:p w14:paraId="783161EB" w14:textId="77777777" w:rsidR="00304C44" w:rsidRPr="00304C44" w:rsidRDefault="00304C44" w:rsidP="00304C44">
            <w:pPr>
              <w:pStyle w:val="NoSpacing"/>
            </w:pPr>
            <w:proofErr w:type="spellStart"/>
            <w:r w:rsidRPr="00304C44">
              <w:t>NeoMarker</w:t>
            </w:r>
            <w:proofErr w:type="spellEnd"/>
            <w:r w:rsidRPr="00304C44">
              <w:t>, 4A4</w:t>
            </w:r>
          </w:p>
        </w:tc>
      </w:tr>
    </w:tbl>
    <w:p w14:paraId="54DFCC69" w14:textId="77777777" w:rsidR="00304C44" w:rsidRPr="00304C44" w:rsidRDefault="00304C44" w:rsidP="00304C44">
      <w:r w:rsidRPr="00304C44">
        <w:t xml:space="preserve">Incubation time: 60 min for </w:t>
      </w:r>
      <w:proofErr w:type="spellStart"/>
      <w:r w:rsidRPr="00304C44">
        <w:t>maspin</w:t>
      </w:r>
      <w:proofErr w:type="spellEnd"/>
      <w:r w:rsidRPr="00304C44">
        <w:t xml:space="preserve"> and 30 min for all others, at room temperature.</w:t>
      </w:r>
    </w:p>
    <w:p w14:paraId="47A021C8" w14:textId="208A9F1F" w:rsidR="006435DB" w:rsidRPr="006435DB" w:rsidRDefault="006435DB" w:rsidP="006435DB">
      <w:pPr>
        <w:rPr>
          <w:rFonts w:cstheme="minorHAnsi"/>
          <w:sz w:val="24"/>
          <w:szCs w:val="24"/>
        </w:rPr>
      </w:pPr>
      <w:r w:rsidRPr="006435DB">
        <w:rPr>
          <w:rFonts w:cstheme="minorHAnsi"/>
          <w:sz w:val="24"/>
          <w:szCs w:val="24"/>
        </w:rPr>
        <w:t xml:space="preserve">The </w:t>
      </w:r>
      <w:proofErr w:type="spellStart"/>
      <w:r w:rsidRPr="006435DB">
        <w:rPr>
          <w:rFonts w:cstheme="minorHAnsi"/>
          <w:sz w:val="24"/>
          <w:szCs w:val="24"/>
        </w:rPr>
        <w:t>immunostains</w:t>
      </w:r>
      <w:proofErr w:type="spellEnd"/>
      <w:r w:rsidRPr="006435DB">
        <w:rPr>
          <w:rFonts w:cstheme="minorHAnsi"/>
          <w:sz w:val="24"/>
          <w:szCs w:val="24"/>
        </w:rPr>
        <w:t xml:space="preserve"> were interpreted as positive when at least 10% of cells expressed the antigen. The positive expression was further categorized into focal (10–&lt;33%) and diffuse (≥33%). No expression or expression in less than 10% of tumor cells was considered negative.</w:t>
      </w:r>
    </w:p>
    <w:p w14:paraId="653CDBB5" w14:textId="77777777" w:rsidR="006435DB" w:rsidRPr="006435DB" w:rsidRDefault="006435DB" w:rsidP="00E157FF">
      <w:pPr>
        <w:pStyle w:val="Heading2"/>
      </w:pPr>
      <w:r w:rsidRPr="006435DB">
        <w:t>Statistical Analysis</w:t>
      </w:r>
    </w:p>
    <w:p w14:paraId="6AC597BA" w14:textId="77777777" w:rsidR="006435DB" w:rsidRPr="006435DB" w:rsidRDefault="006435DB" w:rsidP="006435DB">
      <w:pPr>
        <w:rPr>
          <w:rFonts w:cstheme="minorHAnsi"/>
          <w:sz w:val="24"/>
          <w:szCs w:val="24"/>
        </w:rPr>
      </w:pPr>
      <w:r w:rsidRPr="006435DB">
        <w:rPr>
          <w:rFonts w:cstheme="minorHAnsi"/>
          <w:sz w:val="24"/>
          <w:szCs w:val="24"/>
        </w:rPr>
        <w:t xml:space="preserve">The statistical analysis focused on two aspects: (i) the association of the protein expression with adenoid cystic carcinoma and polymorphous low-grade adenocarcinoma, and (ii) the concordance between the six protein markers. We used </w:t>
      </w:r>
      <w:r w:rsidRPr="006435DB">
        <w:rPr>
          <w:rFonts w:cstheme="minorHAnsi"/>
          <w:i/>
          <w:iCs/>
          <w:sz w:val="24"/>
          <w:szCs w:val="24"/>
        </w:rPr>
        <w:t>χ</w:t>
      </w:r>
      <w:r w:rsidRPr="006435DB">
        <w:rPr>
          <w:rFonts w:cstheme="minorHAnsi"/>
          <w:sz w:val="24"/>
          <w:szCs w:val="24"/>
          <w:vertAlign w:val="superscript"/>
        </w:rPr>
        <w:t>2</w:t>
      </w:r>
      <w:r w:rsidRPr="006435DB">
        <w:rPr>
          <w:rFonts w:cstheme="minorHAnsi"/>
          <w:sz w:val="24"/>
          <w:szCs w:val="24"/>
        </w:rPr>
        <w:t xml:space="preserve"> test for trend to see if there is an increasing (or decreasing) trend in the proportion of adenoid cystic carcinoma samples within the diffuse, focal, and no expression categories for each protein (significant if </w:t>
      </w:r>
      <w:r w:rsidRPr="006435DB">
        <w:rPr>
          <w:rFonts w:cstheme="minorHAnsi"/>
          <w:i/>
          <w:iCs/>
          <w:sz w:val="24"/>
          <w:szCs w:val="24"/>
        </w:rPr>
        <w:t>P</w:t>
      </w:r>
      <w:r w:rsidRPr="006435DB">
        <w:rPr>
          <w:rFonts w:cstheme="minorHAnsi"/>
          <w:sz w:val="24"/>
          <w:szCs w:val="24"/>
        </w:rPr>
        <w:t xml:space="preserve">&lt;0.01). The sensitivity (true positive/(true </w:t>
      </w:r>
      <w:proofErr w:type="spellStart"/>
      <w:r w:rsidRPr="006435DB">
        <w:rPr>
          <w:rFonts w:cstheme="minorHAnsi"/>
          <w:sz w:val="24"/>
          <w:szCs w:val="24"/>
        </w:rPr>
        <w:t>positive+false</w:t>
      </w:r>
      <w:proofErr w:type="spellEnd"/>
      <w:r w:rsidRPr="006435DB">
        <w:rPr>
          <w:rFonts w:cstheme="minorHAnsi"/>
          <w:sz w:val="24"/>
          <w:szCs w:val="24"/>
        </w:rPr>
        <w:t xml:space="preserve"> negative)), specificity (true negative/(true </w:t>
      </w:r>
      <w:proofErr w:type="spellStart"/>
      <w:r w:rsidRPr="006435DB">
        <w:rPr>
          <w:rFonts w:cstheme="minorHAnsi"/>
          <w:sz w:val="24"/>
          <w:szCs w:val="24"/>
        </w:rPr>
        <w:t>negative+false</w:t>
      </w:r>
      <w:proofErr w:type="spellEnd"/>
      <w:r w:rsidRPr="006435DB">
        <w:rPr>
          <w:rFonts w:cstheme="minorHAnsi"/>
          <w:sz w:val="24"/>
          <w:szCs w:val="24"/>
        </w:rPr>
        <w:t xml:space="preserve"> positive)), positive predictive value (true positive/(</w:t>
      </w:r>
      <w:proofErr w:type="spellStart"/>
      <w:r w:rsidRPr="006435DB">
        <w:rPr>
          <w:rFonts w:cstheme="minorHAnsi"/>
          <w:sz w:val="24"/>
          <w:szCs w:val="24"/>
        </w:rPr>
        <w:t>true+false</w:t>
      </w:r>
      <w:proofErr w:type="spellEnd"/>
      <w:r w:rsidRPr="006435DB">
        <w:rPr>
          <w:rFonts w:cstheme="minorHAnsi"/>
          <w:sz w:val="24"/>
          <w:szCs w:val="24"/>
        </w:rPr>
        <w:t xml:space="preserve"> positive)), and accuracy ((true </w:t>
      </w:r>
      <w:proofErr w:type="spellStart"/>
      <w:r w:rsidRPr="006435DB">
        <w:rPr>
          <w:rFonts w:cstheme="minorHAnsi"/>
          <w:sz w:val="24"/>
          <w:szCs w:val="24"/>
        </w:rPr>
        <w:t>positive+true</w:t>
      </w:r>
      <w:proofErr w:type="spellEnd"/>
      <w:r w:rsidRPr="006435DB">
        <w:rPr>
          <w:rFonts w:cstheme="minorHAnsi"/>
          <w:sz w:val="24"/>
          <w:szCs w:val="24"/>
        </w:rPr>
        <w:t xml:space="preserve"> negative)/All cases (true </w:t>
      </w:r>
      <w:proofErr w:type="spellStart"/>
      <w:r w:rsidRPr="006435DB">
        <w:rPr>
          <w:rFonts w:cstheme="minorHAnsi"/>
          <w:sz w:val="24"/>
          <w:szCs w:val="24"/>
        </w:rPr>
        <w:t>positive+false</w:t>
      </w:r>
      <w:proofErr w:type="spellEnd"/>
      <w:r w:rsidRPr="006435DB">
        <w:rPr>
          <w:rFonts w:cstheme="minorHAnsi"/>
          <w:sz w:val="24"/>
          <w:szCs w:val="24"/>
        </w:rPr>
        <w:t xml:space="preserve"> </w:t>
      </w:r>
      <w:proofErr w:type="spellStart"/>
      <w:r w:rsidRPr="006435DB">
        <w:rPr>
          <w:rFonts w:cstheme="minorHAnsi"/>
          <w:sz w:val="24"/>
          <w:szCs w:val="24"/>
        </w:rPr>
        <w:t>positive+true</w:t>
      </w:r>
      <w:proofErr w:type="spellEnd"/>
      <w:r w:rsidRPr="006435DB">
        <w:rPr>
          <w:rFonts w:cstheme="minorHAnsi"/>
          <w:sz w:val="24"/>
          <w:szCs w:val="24"/>
        </w:rPr>
        <w:t xml:space="preserve"> </w:t>
      </w:r>
      <w:proofErr w:type="spellStart"/>
      <w:r w:rsidRPr="006435DB">
        <w:rPr>
          <w:rFonts w:cstheme="minorHAnsi"/>
          <w:sz w:val="24"/>
          <w:szCs w:val="24"/>
        </w:rPr>
        <w:t>negative+false</w:t>
      </w:r>
      <w:proofErr w:type="spellEnd"/>
      <w:r w:rsidRPr="006435DB">
        <w:rPr>
          <w:rFonts w:cstheme="minorHAnsi"/>
          <w:sz w:val="24"/>
          <w:szCs w:val="24"/>
        </w:rPr>
        <w:t xml:space="preserve"> negative)) were calculated for each protein for the diagnosis of adenoid cystic carcinoma.</w:t>
      </w:r>
    </w:p>
    <w:p w14:paraId="395AA6C4" w14:textId="7E855BBA" w:rsidR="006435DB" w:rsidRPr="006435DB" w:rsidRDefault="006435DB" w:rsidP="006435DB">
      <w:pPr>
        <w:rPr>
          <w:rFonts w:cstheme="minorHAnsi"/>
          <w:sz w:val="24"/>
          <w:szCs w:val="24"/>
        </w:rPr>
      </w:pPr>
      <w:r w:rsidRPr="006435DB">
        <w:rPr>
          <w:rFonts w:cstheme="minorHAnsi"/>
          <w:sz w:val="24"/>
          <w:szCs w:val="24"/>
        </w:rPr>
        <w:t xml:space="preserve">In the second part of analysis, the concordance between proteins was analyzed using </w:t>
      </w:r>
      <w:r w:rsidRPr="006435DB">
        <w:rPr>
          <w:rFonts w:cstheme="minorHAnsi"/>
          <w:i/>
          <w:iCs/>
          <w:sz w:val="24"/>
          <w:szCs w:val="24"/>
        </w:rPr>
        <w:t>κ</w:t>
      </w:r>
      <w:r w:rsidRPr="006435DB">
        <w:rPr>
          <w:rFonts w:cstheme="minorHAnsi"/>
          <w:sz w:val="24"/>
          <w:szCs w:val="24"/>
        </w:rPr>
        <w:t xml:space="preserve"> statistics, which represents the proportion of agreements after excluding chance agreement. Pairwise </w:t>
      </w:r>
      <w:r w:rsidRPr="006435DB">
        <w:rPr>
          <w:rFonts w:cstheme="minorHAnsi"/>
          <w:i/>
          <w:iCs/>
          <w:sz w:val="24"/>
          <w:szCs w:val="24"/>
        </w:rPr>
        <w:t>κ</w:t>
      </w:r>
      <w:r w:rsidRPr="006435DB">
        <w:rPr>
          <w:rFonts w:cstheme="minorHAnsi"/>
          <w:sz w:val="24"/>
          <w:szCs w:val="24"/>
        </w:rPr>
        <w:t xml:space="preserve"> values were calculated using Bonferroni correction for multiple testing. Using 1-</w:t>
      </w:r>
      <w:r w:rsidRPr="006435DB">
        <w:rPr>
          <w:rFonts w:cstheme="minorHAnsi"/>
          <w:i/>
          <w:iCs/>
          <w:sz w:val="24"/>
          <w:szCs w:val="24"/>
        </w:rPr>
        <w:t>κ</w:t>
      </w:r>
      <w:r w:rsidRPr="006435DB">
        <w:rPr>
          <w:rFonts w:cstheme="minorHAnsi"/>
          <w:sz w:val="24"/>
          <w:szCs w:val="24"/>
        </w:rPr>
        <w:t xml:space="preserve"> statistics as a measure of dissimilarity, </w:t>
      </w:r>
      <w:r w:rsidRPr="006435DB">
        <w:rPr>
          <w:rFonts w:cstheme="minorHAnsi"/>
          <w:i/>
          <w:iCs/>
          <w:sz w:val="24"/>
          <w:szCs w:val="24"/>
        </w:rPr>
        <w:t>κ</w:t>
      </w:r>
      <w:r w:rsidRPr="006435DB">
        <w:rPr>
          <w:rFonts w:cstheme="minorHAnsi"/>
          <w:sz w:val="24"/>
          <w:szCs w:val="24"/>
        </w:rPr>
        <w:t xml:space="preserve"> values equal to or below 0.0035 suggested a significant association between pairs of proteins. Hierarchical clustering of proteins was based on Ward's minimum variance method, which aims in finding compact, spherical clusters using </w:t>
      </w:r>
      <w:r w:rsidRPr="006435DB">
        <w:rPr>
          <w:rFonts w:cstheme="minorHAnsi"/>
          <w:i/>
          <w:iCs/>
          <w:sz w:val="24"/>
          <w:szCs w:val="24"/>
        </w:rPr>
        <w:t>κ</w:t>
      </w:r>
      <w:r w:rsidRPr="006435DB">
        <w:rPr>
          <w:rFonts w:cstheme="minorHAnsi"/>
          <w:sz w:val="24"/>
          <w:szCs w:val="24"/>
        </w:rPr>
        <w:t xml:space="preserve"> statistics distance metric. All analysis was carried out using the statistical software package R (</w:t>
      </w:r>
      <w:r w:rsidRPr="00ED2AAE">
        <w:rPr>
          <w:rFonts w:cstheme="minorHAnsi"/>
          <w:sz w:val="24"/>
          <w:szCs w:val="24"/>
        </w:rPr>
        <w:t>http://www.r-project.org</w:t>
      </w:r>
      <w:r w:rsidRPr="006435DB">
        <w:rPr>
          <w:rFonts w:cstheme="minorHAnsi"/>
          <w:sz w:val="24"/>
          <w:szCs w:val="24"/>
        </w:rPr>
        <w:t>).</w:t>
      </w:r>
      <w:r w:rsidRPr="00ED2AAE">
        <w:rPr>
          <w:rFonts w:cstheme="minorHAnsi"/>
          <w:sz w:val="24"/>
          <w:szCs w:val="24"/>
          <w:vertAlign w:val="superscript"/>
        </w:rPr>
        <w:t>12</w:t>
      </w:r>
    </w:p>
    <w:p w14:paraId="65BC9221" w14:textId="77777777" w:rsidR="006435DB" w:rsidRPr="006435DB" w:rsidRDefault="006435DB" w:rsidP="00E157FF">
      <w:pPr>
        <w:pStyle w:val="Heading1"/>
      </w:pPr>
      <w:r w:rsidRPr="006435DB">
        <w:t>Results</w:t>
      </w:r>
    </w:p>
    <w:p w14:paraId="0E3EEF88" w14:textId="0D566C35" w:rsidR="006435DB" w:rsidRPr="006435DB" w:rsidRDefault="006435DB" w:rsidP="006435DB">
      <w:pPr>
        <w:rPr>
          <w:rFonts w:cstheme="minorHAnsi"/>
          <w:sz w:val="24"/>
          <w:szCs w:val="24"/>
        </w:rPr>
      </w:pPr>
      <w:r w:rsidRPr="00ED2AAE">
        <w:rPr>
          <w:rFonts w:cstheme="minorHAnsi"/>
          <w:sz w:val="24"/>
          <w:szCs w:val="24"/>
        </w:rPr>
        <w:t>Table 2</w:t>
      </w:r>
      <w:r w:rsidRPr="006435DB">
        <w:rPr>
          <w:rFonts w:cstheme="minorHAnsi"/>
          <w:sz w:val="24"/>
          <w:szCs w:val="24"/>
        </w:rPr>
        <w:t xml:space="preserve"> shows the age and sex distribution, and site of 23 adenoid cystic carcinoma and 24 polymorphous low-grade adenocarcinoma included in the study. Nine adenoid cystic carcinomas involved the major salivary glands, 13 involved minor salivary or seromucous glands, and one involved the Bartholin's gland. Clinical and follow-up information was available in 21 adenoid cystic carcinomas. Using the staging criteria recommended by the American Joint Committee on Cancer, 10 adenoid cystic carcinomas were T</w:t>
      </w:r>
      <w:r w:rsidRPr="006435DB">
        <w:rPr>
          <w:rFonts w:cstheme="minorHAnsi"/>
          <w:sz w:val="24"/>
          <w:szCs w:val="24"/>
          <w:vertAlign w:val="subscript"/>
        </w:rPr>
        <w:t>2</w:t>
      </w:r>
      <w:r w:rsidRPr="006435DB">
        <w:rPr>
          <w:rFonts w:cstheme="minorHAnsi"/>
          <w:sz w:val="24"/>
          <w:szCs w:val="24"/>
        </w:rPr>
        <w:t>, two were T</w:t>
      </w:r>
      <w:r w:rsidRPr="006435DB">
        <w:rPr>
          <w:rFonts w:cstheme="minorHAnsi"/>
          <w:sz w:val="24"/>
          <w:szCs w:val="24"/>
          <w:vertAlign w:val="subscript"/>
        </w:rPr>
        <w:t>3</w:t>
      </w:r>
      <w:r w:rsidRPr="006435DB">
        <w:rPr>
          <w:rFonts w:cstheme="minorHAnsi"/>
          <w:sz w:val="24"/>
          <w:szCs w:val="24"/>
        </w:rPr>
        <w:t>, and nine were T</w:t>
      </w:r>
      <w:r w:rsidRPr="006435DB">
        <w:rPr>
          <w:rFonts w:cstheme="minorHAnsi"/>
          <w:sz w:val="24"/>
          <w:szCs w:val="24"/>
          <w:vertAlign w:val="subscript"/>
        </w:rPr>
        <w:t>4</w:t>
      </w:r>
      <w:r w:rsidRPr="006435DB">
        <w:rPr>
          <w:rFonts w:cstheme="minorHAnsi"/>
          <w:sz w:val="24"/>
          <w:szCs w:val="24"/>
        </w:rPr>
        <w:t>. Five adenoid cystic carcinoma patients had nodal metastases (</w:t>
      </w:r>
      <w:r w:rsidRPr="006435DB">
        <w:rPr>
          <w:rFonts w:cstheme="minorHAnsi"/>
          <w:i/>
          <w:iCs/>
          <w:sz w:val="24"/>
          <w:szCs w:val="24"/>
        </w:rPr>
        <w:t>N</w:t>
      </w:r>
      <w:r w:rsidRPr="006435DB">
        <w:rPr>
          <w:rFonts w:cstheme="minorHAnsi"/>
          <w:sz w:val="24"/>
          <w:szCs w:val="24"/>
          <w:vertAlign w:val="subscript"/>
        </w:rPr>
        <w:t>1</w:t>
      </w:r>
      <w:r w:rsidRPr="006435DB">
        <w:rPr>
          <w:rFonts w:cstheme="minorHAnsi"/>
          <w:sz w:val="24"/>
          <w:szCs w:val="24"/>
        </w:rPr>
        <w:t xml:space="preserve">=3, </w:t>
      </w:r>
      <w:r w:rsidRPr="006435DB">
        <w:rPr>
          <w:rFonts w:cstheme="minorHAnsi"/>
          <w:i/>
          <w:iCs/>
          <w:sz w:val="24"/>
          <w:szCs w:val="24"/>
        </w:rPr>
        <w:t>N</w:t>
      </w:r>
      <w:r w:rsidRPr="006435DB">
        <w:rPr>
          <w:rFonts w:cstheme="minorHAnsi"/>
          <w:sz w:val="24"/>
          <w:szCs w:val="24"/>
          <w:vertAlign w:val="subscript"/>
        </w:rPr>
        <w:t>2</w:t>
      </w:r>
      <w:r w:rsidRPr="006435DB">
        <w:rPr>
          <w:rFonts w:cstheme="minorHAnsi"/>
          <w:sz w:val="24"/>
          <w:szCs w:val="24"/>
        </w:rPr>
        <w:t>=2) and two patients had lung metastases at presentation. Twenty adenoid cystic carcinoma patients were treated with definitive surgery, and 14 received adjuvant radiotherapy. One patient was treated with palliative surgery and radiotherapy. Follow-up varied from less than 1 year to 25 years (median 3.5). Locoregional recurrence developed in 11 adenoid cystic carcinoma patients. Nine adenoid cystic carcinoma patients had distant metastasis (M</w:t>
      </w:r>
      <w:r w:rsidRPr="006435DB">
        <w:rPr>
          <w:rFonts w:cstheme="minorHAnsi"/>
          <w:sz w:val="24"/>
          <w:szCs w:val="24"/>
          <w:vertAlign w:val="subscript"/>
        </w:rPr>
        <w:t>1</w:t>
      </w:r>
      <w:r w:rsidRPr="006435DB">
        <w:rPr>
          <w:rFonts w:cstheme="minorHAnsi"/>
          <w:sz w:val="24"/>
          <w:szCs w:val="24"/>
        </w:rPr>
        <w:t>), two at presentation and seven on follow-up, most frequently to the lungs. Ten adenoid cystic carcinoma patients were alive and free of disease, six were alive with disease and five died of disease. All polymorphous low-grade adenocarcinomas arose in the minor salivary glands of oral cavity. Clinical details and follow-up data were not available in polymorphous low-grade adenocarcinoma cases.</w:t>
      </w:r>
    </w:p>
    <w:p w14:paraId="1F77EB55" w14:textId="77777777" w:rsidR="006435DB" w:rsidRPr="006435DB" w:rsidRDefault="006435DB" w:rsidP="006435DB">
      <w:pPr>
        <w:rPr>
          <w:rFonts w:cstheme="minorHAnsi"/>
          <w:sz w:val="24"/>
          <w:szCs w:val="24"/>
        </w:rPr>
      </w:pPr>
      <w:r w:rsidRPr="006435DB">
        <w:rPr>
          <w:rFonts w:cstheme="minorHAnsi"/>
          <w:b/>
          <w:bCs/>
          <w:sz w:val="24"/>
          <w:szCs w:val="24"/>
        </w:rPr>
        <w:t>Table 2 Clinical features</w:t>
      </w:r>
    </w:p>
    <w:tbl>
      <w:tblPr>
        <w:tblStyle w:val="TableGrid"/>
        <w:tblW w:w="0" w:type="auto"/>
        <w:tblLook w:val="04A0" w:firstRow="1" w:lastRow="0" w:firstColumn="1" w:lastColumn="0" w:noHBand="0" w:noVBand="1"/>
      </w:tblPr>
      <w:tblGrid>
        <w:gridCol w:w="6824"/>
        <w:gridCol w:w="1643"/>
        <w:gridCol w:w="1603"/>
      </w:tblGrid>
      <w:tr w:rsidR="00756C59" w:rsidRPr="001136C3" w14:paraId="04659C6C" w14:textId="77777777" w:rsidTr="00756C59">
        <w:tc>
          <w:tcPr>
            <w:tcW w:w="0" w:type="auto"/>
            <w:hideMark/>
          </w:tcPr>
          <w:p w14:paraId="2A97C179" w14:textId="77777777" w:rsidR="00756C59" w:rsidRPr="001136C3" w:rsidRDefault="00756C59" w:rsidP="00756C59">
            <w:pPr>
              <w:pStyle w:val="NoSpacing"/>
              <w:rPr>
                <w:b/>
                <w:bCs/>
              </w:rPr>
            </w:pPr>
            <w:r w:rsidRPr="001136C3">
              <w:rPr>
                <w:b/>
                <w:bCs/>
              </w:rPr>
              <w:t>Tumor type</w:t>
            </w:r>
          </w:p>
        </w:tc>
        <w:tc>
          <w:tcPr>
            <w:tcW w:w="0" w:type="auto"/>
            <w:hideMark/>
          </w:tcPr>
          <w:p w14:paraId="1AE61102" w14:textId="77777777" w:rsidR="00756C59" w:rsidRPr="001136C3" w:rsidRDefault="00756C59" w:rsidP="00756C59">
            <w:pPr>
              <w:pStyle w:val="NoSpacing"/>
              <w:rPr>
                <w:b/>
                <w:bCs/>
              </w:rPr>
            </w:pPr>
            <w:r w:rsidRPr="001136C3">
              <w:rPr>
                <w:b/>
                <w:bCs/>
              </w:rPr>
              <w:t>Median age (range)</w:t>
            </w:r>
          </w:p>
        </w:tc>
        <w:tc>
          <w:tcPr>
            <w:tcW w:w="0" w:type="auto"/>
            <w:hideMark/>
          </w:tcPr>
          <w:p w14:paraId="0727293C" w14:textId="77777777" w:rsidR="00756C59" w:rsidRPr="001136C3" w:rsidRDefault="00756C59" w:rsidP="00756C59">
            <w:pPr>
              <w:pStyle w:val="NoSpacing"/>
              <w:rPr>
                <w:b/>
                <w:bCs/>
              </w:rPr>
            </w:pPr>
            <w:r w:rsidRPr="001136C3">
              <w:rPr>
                <w:b/>
                <w:bCs/>
              </w:rPr>
              <w:t>Sex</w:t>
            </w:r>
          </w:p>
        </w:tc>
      </w:tr>
      <w:tr w:rsidR="00756C59" w:rsidRPr="001136C3" w14:paraId="31FF241B" w14:textId="77777777" w:rsidTr="00756C59">
        <w:tc>
          <w:tcPr>
            <w:tcW w:w="0" w:type="auto"/>
            <w:hideMark/>
          </w:tcPr>
          <w:p w14:paraId="492E827F" w14:textId="77777777" w:rsidR="00756C59" w:rsidRPr="001136C3" w:rsidRDefault="00756C59" w:rsidP="00756C59">
            <w:pPr>
              <w:pStyle w:val="NoSpacing"/>
              <w:rPr>
                <w:b/>
                <w:bCs/>
              </w:rPr>
            </w:pPr>
            <w:r w:rsidRPr="001136C3">
              <w:rPr>
                <w:b/>
                <w:bCs/>
              </w:rPr>
              <w:t> </w:t>
            </w:r>
          </w:p>
        </w:tc>
        <w:tc>
          <w:tcPr>
            <w:tcW w:w="0" w:type="auto"/>
            <w:hideMark/>
          </w:tcPr>
          <w:p w14:paraId="185122DF" w14:textId="77777777" w:rsidR="00756C59" w:rsidRPr="001136C3" w:rsidRDefault="00756C59" w:rsidP="00756C59">
            <w:pPr>
              <w:pStyle w:val="NoSpacing"/>
              <w:rPr>
                <w:b/>
                <w:bCs/>
              </w:rPr>
            </w:pPr>
            <w:r w:rsidRPr="001136C3">
              <w:rPr>
                <w:b/>
                <w:bCs/>
              </w:rPr>
              <w:t>(in years)</w:t>
            </w:r>
          </w:p>
        </w:tc>
        <w:tc>
          <w:tcPr>
            <w:tcW w:w="0" w:type="auto"/>
            <w:hideMark/>
          </w:tcPr>
          <w:p w14:paraId="7BB38B97" w14:textId="77777777" w:rsidR="00756C59" w:rsidRPr="001136C3" w:rsidRDefault="00756C59" w:rsidP="00756C59">
            <w:pPr>
              <w:pStyle w:val="NoSpacing"/>
              <w:rPr>
                <w:b/>
                <w:bCs/>
              </w:rPr>
            </w:pPr>
            <w:r w:rsidRPr="001136C3">
              <w:rPr>
                <w:b/>
                <w:bCs/>
              </w:rPr>
              <w:t>Females/males</w:t>
            </w:r>
          </w:p>
        </w:tc>
      </w:tr>
      <w:tr w:rsidR="00756C59" w:rsidRPr="00756C59" w14:paraId="721D4225" w14:textId="77777777" w:rsidTr="00756C59">
        <w:tc>
          <w:tcPr>
            <w:tcW w:w="0" w:type="auto"/>
            <w:hideMark/>
          </w:tcPr>
          <w:p w14:paraId="2418EA37" w14:textId="77777777" w:rsidR="00756C59" w:rsidRPr="00756C59" w:rsidRDefault="00756C59" w:rsidP="00756C59">
            <w:pPr>
              <w:pStyle w:val="NoSpacing"/>
            </w:pPr>
            <w:r w:rsidRPr="00756C59">
              <w:t>ACC (N=23)</w:t>
            </w:r>
          </w:p>
        </w:tc>
        <w:tc>
          <w:tcPr>
            <w:tcW w:w="0" w:type="auto"/>
            <w:hideMark/>
          </w:tcPr>
          <w:p w14:paraId="6ADE019E" w14:textId="77777777" w:rsidR="00756C59" w:rsidRPr="00756C59" w:rsidRDefault="00756C59" w:rsidP="00756C59">
            <w:pPr>
              <w:pStyle w:val="NoSpacing"/>
            </w:pPr>
            <w:r w:rsidRPr="00756C59">
              <w:t> </w:t>
            </w:r>
          </w:p>
        </w:tc>
        <w:tc>
          <w:tcPr>
            <w:tcW w:w="0" w:type="auto"/>
            <w:hideMark/>
          </w:tcPr>
          <w:p w14:paraId="61F0E8BB" w14:textId="77777777" w:rsidR="00756C59" w:rsidRPr="00756C59" w:rsidRDefault="00756C59" w:rsidP="00756C59">
            <w:pPr>
              <w:pStyle w:val="NoSpacing"/>
            </w:pPr>
            <w:r w:rsidRPr="00756C59">
              <w:t> </w:t>
            </w:r>
          </w:p>
        </w:tc>
      </w:tr>
      <w:tr w:rsidR="00756C59" w:rsidRPr="00756C59" w14:paraId="6A976703" w14:textId="77777777" w:rsidTr="00756C59">
        <w:tc>
          <w:tcPr>
            <w:tcW w:w="0" w:type="auto"/>
            <w:hideMark/>
          </w:tcPr>
          <w:p w14:paraId="677F7B14" w14:textId="77777777" w:rsidR="00756C59" w:rsidRPr="00756C59" w:rsidRDefault="00756C59" w:rsidP="00756C59">
            <w:pPr>
              <w:pStyle w:val="NoSpacing"/>
            </w:pPr>
            <w:r w:rsidRPr="00756C59">
              <w:t>(Parotid gland 6, submandibular gland 3, oral cavity 2, nasal/paranasal sinuses 6, ear 2, trachea 2, larynx 1, Bartholin's gland 1)</w:t>
            </w:r>
          </w:p>
        </w:tc>
        <w:tc>
          <w:tcPr>
            <w:tcW w:w="0" w:type="auto"/>
            <w:hideMark/>
          </w:tcPr>
          <w:p w14:paraId="20A18F00" w14:textId="77777777" w:rsidR="00756C59" w:rsidRPr="00756C59" w:rsidRDefault="00756C59" w:rsidP="00756C59">
            <w:pPr>
              <w:pStyle w:val="NoSpacing"/>
            </w:pPr>
            <w:r w:rsidRPr="00756C59">
              <w:t>52 (23–82)</w:t>
            </w:r>
          </w:p>
        </w:tc>
        <w:tc>
          <w:tcPr>
            <w:tcW w:w="0" w:type="auto"/>
            <w:hideMark/>
          </w:tcPr>
          <w:p w14:paraId="70F7B994" w14:textId="77777777" w:rsidR="00756C59" w:rsidRPr="00756C59" w:rsidRDefault="00756C59" w:rsidP="00756C59">
            <w:pPr>
              <w:pStyle w:val="NoSpacing"/>
            </w:pPr>
            <w:r w:rsidRPr="00756C59">
              <w:t>13 F:10 M</w:t>
            </w:r>
          </w:p>
        </w:tc>
      </w:tr>
      <w:tr w:rsidR="00756C59" w:rsidRPr="00756C59" w14:paraId="12F7A14C" w14:textId="77777777" w:rsidTr="00756C59">
        <w:tc>
          <w:tcPr>
            <w:tcW w:w="0" w:type="auto"/>
            <w:hideMark/>
          </w:tcPr>
          <w:p w14:paraId="4D57CEDB" w14:textId="77777777" w:rsidR="00756C59" w:rsidRPr="00756C59" w:rsidRDefault="00756C59" w:rsidP="00756C59">
            <w:pPr>
              <w:pStyle w:val="NoSpacing"/>
            </w:pPr>
            <w:r w:rsidRPr="00756C59">
              <w:t>PLGA (N=24)</w:t>
            </w:r>
          </w:p>
        </w:tc>
        <w:tc>
          <w:tcPr>
            <w:tcW w:w="0" w:type="auto"/>
            <w:hideMark/>
          </w:tcPr>
          <w:p w14:paraId="3CA78F8F" w14:textId="77777777" w:rsidR="00756C59" w:rsidRPr="00756C59" w:rsidRDefault="00756C59" w:rsidP="00756C59">
            <w:pPr>
              <w:pStyle w:val="NoSpacing"/>
            </w:pPr>
            <w:r w:rsidRPr="00756C59">
              <w:t> </w:t>
            </w:r>
          </w:p>
        </w:tc>
        <w:tc>
          <w:tcPr>
            <w:tcW w:w="0" w:type="auto"/>
            <w:hideMark/>
          </w:tcPr>
          <w:p w14:paraId="033B3F4A" w14:textId="77777777" w:rsidR="00756C59" w:rsidRPr="00756C59" w:rsidRDefault="00756C59" w:rsidP="00756C59">
            <w:pPr>
              <w:pStyle w:val="NoSpacing"/>
            </w:pPr>
            <w:r w:rsidRPr="00756C59">
              <w:t> </w:t>
            </w:r>
          </w:p>
        </w:tc>
      </w:tr>
      <w:tr w:rsidR="00756C59" w:rsidRPr="00756C59" w14:paraId="501264D5" w14:textId="77777777" w:rsidTr="00756C59">
        <w:tc>
          <w:tcPr>
            <w:tcW w:w="0" w:type="auto"/>
            <w:hideMark/>
          </w:tcPr>
          <w:p w14:paraId="40F3A8EB" w14:textId="77777777" w:rsidR="00756C59" w:rsidRPr="00756C59" w:rsidRDefault="00756C59" w:rsidP="00756C59">
            <w:pPr>
              <w:pStyle w:val="NoSpacing"/>
            </w:pPr>
            <w:r w:rsidRPr="00756C59">
              <w:t>(Palate 19, lip 5, buccal mucosa 2)</w:t>
            </w:r>
          </w:p>
        </w:tc>
        <w:tc>
          <w:tcPr>
            <w:tcW w:w="0" w:type="auto"/>
            <w:hideMark/>
          </w:tcPr>
          <w:p w14:paraId="5EA414B6" w14:textId="77777777" w:rsidR="00756C59" w:rsidRPr="00756C59" w:rsidRDefault="00756C59" w:rsidP="00756C59">
            <w:pPr>
              <w:pStyle w:val="NoSpacing"/>
            </w:pPr>
            <w:r w:rsidRPr="00756C59">
              <w:t>57 (32–94)</w:t>
            </w:r>
          </w:p>
        </w:tc>
        <w:tc>
          <w:tcPr>
            <w:tcW w:w="0" w:type="auto"/>
            <w:hideMark/>
          </w:tcPr>
          <w:p w14:paraId="57BB860C" w14:textId="77777777" w:rsidR="00756C59" w:rsidRPr="00756C59" w:rsidRDefault="00756C59" w:rsidP="00756C59">
            <w:pPr>
              <w:pStyle w:val="NoSpacing"/>
            </w:pPr>
            <w:r w:rsidRPr="00756C59">
              <w:t>18 F:6 M</w:t>
            </w:r>
          </w:p>
        </w:tc>
      </w:tr>
    </w:tbl>
    <w:p w14:paraId="6CB31D7D" w14:textId="77777777" w:rsidR="00756C59" w:rsidRPr="00756C59" w:rsidRDefault="00756C59" w:rsidP="001136C3">
      <w:r w:rsidRPr="00756C59">
        <w:t>ACC, adenoid cystic carcinoma; PLGA, polymorphous low grade adenocarcinoma.</w:t>
      </w:r>
    </w:p>
    <w:p w14:paraId="09BF415E" w14:textId="77777777" w:rsidR="00E157FF" w:rsidRDefault="00E157FF" w:rsidP="006435DB"/>
    <w:p w14:paraId="4D707E4A" w14:textId="24AFDD08" w:rsidR="006435DB" w:rsidRPr="006435DB" w:rsidRDefault="006435DB" w:rsidP="001136C3">
      <w:pPr>
        <w:pStyle w:val="Heading2"/>
      </w:pPr>
      <w:r w:rsidRPr="006435DB">
        <w:t>Microscopy</w:t>
      </w:r>
    </w:p>
    <w:p w14:paraId="6FA9BC57" w14:textId="545974F0" w:rsidR="006435DB" w:rsidRPr="006435DB" w:rsidRDefault="006435DB" w:rsidP="006435DB">
      <w:pPr>
        <w:rPr>
          <w:rFonts w:cstheme="minorHAnsi"/>
          <w:sz w:val="24"/>
          <w:szCs w:val="24"/>
        </w:rPr>
      </w:pPr>
      <w:r w:rsidRPr="006435DB">
        <w:rPr>
          <w:rFonts w:cstheme="minorHAnsi"/>
          <w:sz w:val="24"/>
          <w:szCs w:val="24"/>
        </w:rPr>
        <w:t>The adenoid cystic carcinoma showed a predominantly tubulo-cribriform pattern in 20 tumors (</w:t>
      </w:r>
      <w:r w:rsidRPr="00ED2AAE">
        <w:rPr>
          <w:rFonts w:cstheme="minorHAnsi"/>
          <w:sz w:val="24"/>
          <w:szCs w:val="24"/>
        </w:rPr>
        <w:t>Figure 1a and b</w:t>
      </w:r>
      <w:r w:rsidRPr="006435DB">
        <w:rPr>
          <w:rFonts w:cstheme="minorHAnsi"/>
          <w:sz w:val="24"/>
          <w:szCs w:val="24"/>
        </w:rPr>
        <w:t xml:space="preserve">). The dimorphic tumor cell population was well appreciated in the majority of adenoid cystic carcinoma. In tumor nests and tubules, tumor cells with angulated dark nuclei (myoepithelial type) were disposed adjacent to the basement membrane in peripheral, abluminal distribution, and a second, epithelial type of tumor cells with vesicular nuclei and small distinct or indistinct nucleoli were seen adjacent to lumen. Three adenoid cystic carcinoma showed solid areas comprising 30–80% of the tumor, admixed with the usual tubulo-cribriform pattern. All three adenoid cystic carcinoma with solid areas and one adenoid cystic carcinoma with predominantly cribriform pattern showed necrosis, that resembled </w:t>
      </w:r>
      <w:proofErr w:type="spellStart"/>
      <w:r w:rsidRPr="006435DB">
        <w:rPr>
          <w:rFonts w:cstheme="minorHAnsi"/>
          <w:sz w:val="24"/>
          <w:szCs w:val="24"/>
        </w:rPr>
        <w:t>comedo</w:t>
      </w:r>
      <w:proofErr w:type="spellEnd"/>
      <w:r w:rsidRPr="006435DB">
        <w:rPr>
          <w:rFonts w:cstheme="minorHAnsi"/>
          <w:sz w:val="24"/>
          <w:szCs w:val="24"/>
        </w:rPr>
        <w:t>-type necrosis in two of them (</w:t>
      </w:r>
      <w:r w:rsidRPr="00ED2AAE">
        <w:rPr>
          <w:rFonts w:cstheme="minorHAnsi"/>
          <w:sz w:val="24"/>
          <w:szCs w:val="24"/>
        </w:rPr>
        <w:t>Figure 1e</w:t>
      </w:r>
      <w:r w:rsidRPr="006435DB">
        <w:rPr>
          <w:rFonts w:cstheme="minorHAnsi"/>
          <w:sz w:val="24"/>
          <w:szCs w:val="24"/>
        </w:rPr>
        <w:t>).</w:t>
      </w:r>
    </w:p>
    <w:p w14:paraId="0DA39F01" w14:textId="285D2267" w:rsidR="006435DB" w:rsidRPr="006435DB" w:rsidRDefault="006435DB" w:rsidP="001136C3">
      <w:pPr>
        <w:pStyle w:val="NoSpacing"/>
      </w:pPr>
      <w:r w:rsidRPr="006435DB">
        <w:rPr>
          <w:noProof/>
        </w:rPr>
        <w:drawing>
          <wp:inline distT="0" distB="0" distL="0" distR="0" wp14:anchorId="686951B1" wp14:editId="6D1A7EEE">
            <wp:extent cx="2743200" cy="1380744"/>
            <wp:effectExtent l="0" t="0" r="0" b="0"/>
            <wp:docPr id="6" name="Picture 6" descr="fig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380744"/>
                    </a:xfrm>
                    <a:prstGeom prst="rect">
                      <a:avLst/>
                    </a:prstGeom>
                    <a:noFill/>
                    <a:ln>
                      <a:noFill/>
                    </a:ln>
                  </pic:spPr>
                </pic:pic>
              </a:graphicData>
            </a:graphic>
          </wp:inline>
        </w:drawing>
      </w:r>
    </w:p>
    <w:p w14:paraId="5917B44A" w14:textId="116596B9" w:rsidR="006435DB" w:rsidRPr="006435DB" w:rsidRDefault="001136C3" w:rsidP="001136C3">
      <w:pPr>
        <w:pStyle w:val="NoSpacing"/>
      </w:pPr>
      <w:r w:rsidRPr="001136C3">
        <w:rPr>
          <w:b/>
          <w:bCs/>
        </w:rPr>
        <w:t>Figure 1</w:t>
      </w:r>
      <w:r>
        <w:t xml:space="preserve">. </w:t>
      </w:r>
      <w:r w:rsidR="006435DB" w:rsidRPr="006435DB">
        <w:t>(</w:t>
      </w:r>
      <w:r w:rsidR="006435DB" w:rsidRPr="006435DB">
        <w:rPr>
          <w:b/>
          <w:bCs/>
        </w:rPr>
        <w:t>a</w:t>
      </w:r>
      <w:r w:rsidR="006435DB" w:rsidRPr="006435DB">
        <w:t xml:space="preserve"> and </w:t>
      </w:r>
      <w:r w:rsidR="006435DB" w:rsidRPr="006435DB">
        <w:rPr>
          <w:b/>
          <w:bCs/>
        </w:rPr>
        <w:t>b</w:t>
      </w:r>
      <w:r w:rsidR="006435DB" w:rsidRPr="006435DB">
        <w:t>) Adenoid cystic carcinoma showing cribriform growth pattern and tumor cell nests. (</w:t>
      </w:r>
      <w:r w:rsidR="006435DB" w:rsidRPr="006435DB">
        <w:rPr>
          <w:b/>
          <w:bCs/>
        </w:rPr>
        <w:t>c</w:t>
      </w:r>
      <w:r w:rsidR="006435DB" w:rsidRPr="006435DB">
        <w:t xml:space="preserve"> and </w:t>
      </w:r>
      <w:r w:rsidR="006435DB" w:rsidRPr="006435DB">
        <w:rPr>
          <w:b/>
          <w:bCs/>
        </w:rPr>
        <w:t>d</w:t>
      </w:r>
      <w:r w:rsidR="006435DB" w:rsidRPr="006435DB">
        <w:t>) Polymorphous low-grade adenocarcinoma showing tumor infiltration into fat and perineural space, (</w:t>
      </w:r>
      <w:r w:rsidR="006435DB" w:rsidRPr="006435DB">
        <w:rPr>
          <w:b/>
          <w:bCs/>
        </w:rPr>
        <w:t>c</w:t>
      </w:r>
      <w:r w:rsidR="006435DB" w:rsidRPr="006435DB">
        <w:t>) and cribriform architecture (</w:t>
      </w:r>
      <w:r w:rsidR="006435DB" w:rsidRPr="006435DB">
        <w:rPr>
          <w:b/>
          <w:bCs/>
        </w:rPr>
        <w:t>d</w:t>
      </w:r>
      <w:r w:rsidR="006435DB" w:rsidRPr="006435DB">
        <w:t>). (</w:t>
      </w:r>
      <w:r w:rsidR="006435DB" w:rsidRPr="006435DB">
        <w:rPr>
          <w:b/>
          <w:bCs/>
        </w:rPr>
        <w:t>e</w:t>
      </w:r>
      <w:r w:rsidR="006435DB" w:rsidRPr="006435DB">
        <w:t>) Solid-type adenoid cystic carcinoma with mitoses and central necrosis. (</w:t>
      </w:r>
      <w:r w:rsidR="006435DB" w:rsidRPr="006435DB">
        <w:rPr>
          <w:b/>
          <w:bCs/>
        </w:rPr>
        <w:t>f</w:t>
      </w:r>
      <w:r w:rsidR="006435DB" w:rsidRPr="006435DB">
        <w:t xml:space="preserve">) Polymorphous low grade adenocarcinoma showing a tubule lined by a single layer of cuboid, monomorphic tumor cells with round, vesicular nuclei containing indistinct nucleoli (same case as in </w:t>
      </w:r>
      <w:r w:rsidR="006435DB" w:rsidRPr="006435DB">
        <w:rPr>
          <w:b/>
          <w:bCs/>
        </w:rPr>
        <w:t>d</w:t>
      </w:r>
      <w:r w:rsidR="006435DB" w:rsidRPr="006435DB">
        <w:t>).</w:t>
      </w:r>
    </w:p>
    <w:p w14:paraId="2DAF103C" w14:textId="77777777" w:rsidR="001136C3" w:rsidRDefault="001136C3" w:rsidP="006435DB"/>
    <w:p w14:paraId="43A9E476" w14:textId="662316F9" w:rsidR="006435DB" w:rsidRPr="006435DB" w:rsidRDefault="006435DB" w:rsidP="006435DB">
      <w:pPr>
        <w:rPr>
          <w:rFonts w:cstheme="minorHAnsi"/>
          <w:sz w:val="24"/>
          <w:szCs w:val="24"/>
        </w:rPr>
      </w:pPr>
      <w:r w:rsidRPr="006435DB">
        <w:rPr>
          <w:rFonts w:cstheme="minorHAnsi"/>
          <w:sz w:val="24"/>
          <w:szCs w:val="24"/>
        </w:rPr>
        <w:t>The polymorphous low-grade adenocarcinoma showed a mixed tubulo-cribriform architecture with the exception of one tumor that showed a predominantly fascicular pattern with spindling of tumor cells. In contrast to adenoid cystic carcinoma, tubules, and glands were lined by a single layer of monomorphic, small to medium tumor cells with bland, low grade, vesicular nuclei, and occasional indistinct nucleoli (</w:t>
      </w:r>
      <w:r w:rsidRPr="00ED2AAE">
        <w:rPr>
          <w:rFonts w:cstheme="minorHAnsi"/>
          <w:sz w:val="24"/>
          <w:szCs w:val="24"/>
        </w:rPr>
        <w:t>Figure 1f</w:t>
      </w:r>
      <w:r w:rsidRPr="006435DB">
        <w:rPr>
          <w:rFonts w:cstheme="minorHAnsi"/>
          <w:sz w:val="24"/>
          <w:szCs w:val="24"/>
        </w:rPr>
        <w:t>). Tumors were well defined, but had microscopically infiltrative borders, and showed neural invasion (</w:t>
      </w:r>
      <w:r w:rsidRPr="00ED2AAE">
        <w:rPr>
          <w:rFonts w:cstheme="minorHAnsi"/>
          <w:sz w:val="24"/>
          <w:szCs w:val="24"/>
        </w:rPr>
        <w:t>Figure 1c and d</w:t>
      </w:r>
      <w:r w:rsidRPr="006435DB">
        <w:rPr>
          <w:rFonts w:cstheme="minorHAnsi"/>
          <w:sz w:val="24"/>
          <w:szCs w:val="24"/>
        </w:rPr>
        <w:t xml:space="preserve">). Single filing of tumor cells, trabecular, and targetoid patterns were frequently seen, especially at the periphery of the tumors. Solid, cystic and papillary features, mucin production, and </w:t>
      </w:r>
      <w:proofErr w:type="spellStart"/>
      <w:r w:rsidRPr="006435DB">
        <w:rPr>
          <w:rFonts w:cstheme="minorHAnsi"/>
          <w:sz w:val="24"/>
          <w:szCs w:val="24"/>
        </w:rPr>
        <w:t>oncocytic</w:t>
      </w:r>
      <w:proofErr w:type="spellEnd"/>
      <w:r w:rsidRPr="006435DB">
        <w:rPr>
          <w:rFonts w:cstheme="minorHAnsi"/>
          <w:sz w:val="24"/>
          <w:szCs w:val="24"/>
        </w:rPr>
        <w:t xml:space="preserve"> change were focally noted. Dystrophic calcification and occasionally, tyrosine crystals were also noted. No necrosis was seen in the polymorphous low-grade adenocarcinoma.</w:t>
      </w:r>
    </w:p>
    <w:p w14:paraId="67AE536A" w14:textId="77777777" w:rsidR="006435DB" w:rsidRPr="006435DB" w:rsidRDefault="006435DB" w:rsidP="00EB2D92">
      <w:pPr>
        <w:pStyle w:val="Heading2"/>
      </w:pPr>
      <w:r w:rsidRPr="006435DB">
        <w:t>Immunohistochemistry</w:t>
      </w:r>
    </w:p>
    <w:p w14:paraId="25C2ED77" w14:textId="0067A611" w:rsidR="006435DB" w:rsidRPr="006435DB" w:rsidRDefault="006435DB" w:rsidP="006435DB">
      <w:pPr>
        <w:rPr>
          <w:rFonts w:cstheme="minorHAnsi"/>
          <w:sz w:val="24"/>
          <w:szCs w:val="24"/>
        </w:rPr>
      </w:pPr>
      <w:r w:rsidRPr="006435DB">
        <w:rPr>
          <w:rFonts w:cstheme="minorHAnsi"/>
          <w:sz w:val="24"/>
          <w:szCs w:val="24"/>
        </w:rPr>
        <w:t xml:space="preserve">The results of immunohistochemistry are summarized in </w:t>
      </w:r>
      <w:r w:rsidRPr="00ED2AAE">
        <w:rPr>
          <w:rFonts w:cstheme="minorHAnsi"/>
          <w:sz w:val="24"/>
          <w:szCs w:val="24"/>
        </w:rPr>
        <w:t>Table 3</w:t>
      </w:r>
      <w:r w:rsidRPr="006435DB">
        <w:rPr>
          <w:rFonts w:cstheme="minorHAnsi"/>
          <w:sz w:val="24"/>
          <w:szCs w:val="24"/>
        </w:rPr>
        <w:t>.</w:t>
      </w:r>
    </w:p>
    <w:p w14:paraId="421CAD8C" w14:textId="77777777" w:rsidR="006435DB" w:rsidRPr="006435DB" w:rsidRDefault="006435DB" w:rsidP="00504BD9">
      <w:pPr>
        <w:spacing w:after="0"/>
        <w:rPr>
          <w:rFonts w:cstheme="minorHAnsi"/>
          <w:sz w:val="24"/>
          <w:szCs w:val="24"/>
        </w:rPr>
      </w:pPr>
      <w:r w:rsidRPr="006435DB">
        <w:rPr>
          <w:rFonts w:cstheme="minorHAnsi"/>
          <w:b/>
          <w:bCs/>
          <w:sz w:val="24"/>
          <w:szCs w:val="24"/>
        </w:rPr>
        <w:t>Table 3 Expression of proteins</w:t>
      </w:r>
    </w:p>
    <w:tbl>
      <w:tblPr>
        <w:tblStyle w:val="TableGrid"/>
        <w:tblW w:w="0" w:type="auto"/>
        <w:tblLook w:val="04A0" w:firstRow="1" w:lastRow="0" w:firstColumn="1" w:lastColumn="0" w:noHBand="0" w:noVBand="1"/>
      </w:tblPr>
      <w:tblGrid>
        <w:gridCol w:w="1948"/>
        <w:gridCol w:w="1180"/>
        <w:gridCol w:w="1180"/>
        <w:gridCol w:w="966"/>
        <w:gridCol w:w="1160"/>
        <w:gridCol w:w="764"/>
        <w:gridCol w:w="1285"/>
        <w:gridCol w:w="1270"/>
      </w:tblGrid>
      <w:tr w:rsidR="00504BD9" w:rsidRPr="00240F70" w14:paraId="74803D1E" w14:textId="77777777" w:rsidTr="00504BD9">
        <w:tc>
          <w:tcPr>
            <w:tcW w:w="0" w:type="auto"/>
            <w:hideMark/>
          </w:tcPr>
          <w:p w14:paraId="52668EC7" w14:textId="77777777" w:rsidR="00EB2D92" w:rsidRPr="00240F70" w:rsidRDefault="00EB2D92" w:rsidP="00504BD9">
            <w:pPr>
              <w:pStyle w:val="NoSpacing"/>
              <w:rPr>
                <w:b/>
                <w:bCs/>
              </w:rPr>
            </w:pPr>
            <w:r w:rsidRPr="00240F70">
              <w:rPr>
                <w:b/>
                <w:bCs/>
              </w:rPr>
              <w:t>Markers</w:t>
            </w:r>
          </w:p>
        </w:tc>
        <w:tc>
          <w:tcPr>
            <w:tcW w:w="0" w:type="auto"/>
            <w:hideMark/>
          </w:tcPr>
          <w:p w14:paraId="43804907" w14:textId="77777777" w:rsidR="00EB2D92" w:rsidRPr="00240F70" w:rsidRDefault="00EB2D92" w:rsidP="00504BD9">
            <w:pPr>
              <w:pStyle w:val="NoSpacing"/>
              <w:rPr>
                <w:b/>
                <w:bCs/>
              </w:rPr>
            </w:pPr>
            <w:r w:rsidRPr="00240F70">
              <w:rPr>
                <w:b/>
                <w:bCs/>
              </w:rPr>
              <w:t>ACC n 23</w:t>
            </w:r>
          </w:p>
        </w:tc>
        <w:tc>
          <w:tcPr>
            <w:tcW w:w="0" w:type="auto"/>
            <w:hideMark/>
          </w:tcPr>
          <w:p w14:paraId="2B7E5821" w14:textId="77777777" w:rsidR="00EB2D92" w:rsidRPr="00240F70" w:rsidRDefault="00EB2D92" w:rsidP="00504BD9">
            <w:pPr>
              <w:pStyle w:val="NoSpacing"/>
              <w:rPr>
                <w:b/>
                <w:bCs/>
              </w:rPr>
            </w:pPr>
            <w:r w:rsidRPr="00240F70">
              <w:rPr>
                <w:b/>
                <w:bCs/>
              </w:rPr>
              <w:t>PLGA n 24</w:t>
            </w:r>
          </w:p>
        </w:tc>
        <w:tc>
          <w:tcPr>
            <w:tcW w:w="0" w:type="auto"/>
            <w:hideMark/>
          </w:tcPr>
          <w:p w14:paraId="2907A183" w14:textId="77777777" w:rsidR="00EB2D92" w:rsidRPr="00240F70" w:rsidRDefault="00EB2D92" w:rsidP="00504BD9">
            <w:pPr>
              <w:pStyle w:val="NoSpacing"/>
              <w:rPr>
                <w:b/>
                <w:bCs/>
              </w:rPr>
            </w:pPr>
            <w:r w:rsidRPr="00240F70">
              <w:rPr>
                <w:b/>
                <w:bCs/>
              </w:rPr>
              <w:t>P-</w:t>
            </w:r>
            <w:proofErr w:type="spellStart"/>
            <w:r w:rsidRPr="00240F70">
              <w:rPr>
                <w:b/>
                <w:bCs/>
              </w:rPr>
              <w:t>value</w:t>
            </w:r>
            <w:r w:rsidRPr="00240F70">
              <w:rPr>
                <w:b/>
                <w:bCs/>
                <w:vertAlign w:val="superscript"/>
              </w:rPr>
              <w:t>a</w:t>
            </w:r>
            <w:proofErr w:type="spellEnd"/>
          </w:p>
        </w:tc>
        <w:tc>
          <w:tcPr>
            <w:tcW w:w="0" w:type="auto"/>
            <w:hideMark/>
          </w:tcPr>
          <w:p w14:paraId="24CBE8EC" w14:textId="77777777" w:rsidR="00EB2D92" w:rsidRPr="00240F70" w:rsidRDefault="00EB2D92" w:rsidP="00504BD9">
            <w:pPr>
              <w:pStyle w:val="NoSpacing"/>
              <w:rPr>
                <w:b/>
                <w:bCs/>
              </w:rPr>
            </w:pPr>
            <w:r w:rsidRPr="00240F70">
              <w:rPr>
                <w:b/>
                <w:bCs/>
              </w:rPr>
              <w:t>Accuracy </w:t>
            </w:r>
            <w:r w:rsidRPr="00240F70">
              <w:rPr>
                <w:b/>
                <w:bCs/>
                <w:vertAlign w:val="superscript"/>
              </w:rPr>
              <w:t>b</w:t>
            </w:r>
          </w:p>
        </w:tc>
        <w:tc>
          <w:tcPr>
            <w:tcW w:w="0" w:type="auto"/>
            <w:hideMark/>
          </w:tcPr>
          <w:p w14:paraId="3DB36067" w14:textId="77777777" w:rsidR="00EB2D92" w:rsidRPr="00240F70" w:rsidRDefault="00EB2D92" w:rsidP="00504BD9">
            <w:pPr>
              <w:pStyle w:val="NoSpacing"/>
              <w:rPr>
                <w:b/>
                <w:bCs/>
              </w:rPr>
            </w:pPr>
            <w:r w:rsidRPr="00240F70">
              <w:rPr>
                <w:b/>
                <w:bCs/>
              </w:rPr>
              <w:t>PPV </w:t>
            </w:r>
            <w:r w:rsidRPr="00240F70">
              <w:rPr>
                <w:b/>
                <w:bCs/>
                <w:vertAlign w:val="superscript"/>
              </w:rPr>
              <w:t>b</w:t>
            </w:r>
          </w:p>
        </w:tc>
        <w:tc>
          <w:tcPr>
            <w:tcW w:w="0" w:type="auto"/>
            <w:hideMark/>
          </w:tcPr>
          <w:p w14:paraId="258631E0" w14:textId="77777777" w:rsidR="00EB2D92" w:rsidRPr="00240F70" w:rsidRDefault="00EB2D92" w:rsidP="00504BD9">
            <w:pPr>
              <w:pStyle w:val="NoSpacing"/>
              <w:rPr>
                <w:b/>
                <w:bCs/>
              </w:rPr>
            </w:pPr>
            <w:r w:rsidRPr="00240F70">
              <w:rPr>
                <w:b/>
                <w:bCs/>
              </w:rPr>
              <w:t>Sensitivity </w:t>
            </w:r>
            <w:r w:rsidRPr="00240F70">
              <w:rPr>
                <w:b/>
                <w:bCs/>
                <w:vertAlign w:val="superscript"/>
              </w:rPr>
              <w:t>b</w:t>
            </w:r>
          </w:p>
        </w:tc>
        <w:tc>
          <w:tcPr>
            <w:tcW w:w="0" w:type="auto"/>
            <w:hideMark/>
          </w:tcPr>
          <w:p w14:paraId="28342BC7" w14:textId="77777777" w:rsidR="00EB2D92" w:rsidRPr="00240F70" w:rsidRDefault="00EB2D92" w:rsidP="00504BD9">
            <w:pPr>
              <w:pStyle w:val="NoSpacing"/>
              <w:rPr>
                <w:b/>
                <w:bCs/>
              </w:rPr>
            </w:pPr>
            <w:r w:rsidRPr="00240F70">
              <w:rPr>
                <w:b/>
                <w:bCs/>
              </w:rPr>
              <w:t>Specificity </w:t>
            </w:r>
            <w:r w:rsidRPr="00240F70">
              <w:rPr>
                <w:b/>
                <w:bCs/>
                <w:vertAlign w:val="superscript"/>
              </w:rPr>
              <w:t>b</w:t>
            </w:r>
          </w:p>
        </w:tc>
      </w:tr>
      <w:tr w:rsidR="00504BD9" w:rsidRPr="00EB2D92" w14:paraId="609C433F" w14:textId="77777777" w:rsidTr="00504BD9">
        <w:tc>
          <w:tcPr>
            <w:tcW w:w="0" w:type="auto"/>
          </w:tcPr>
          <w:p w14:paraId="4A43E9F8" w14:textId="35EBF834" w:rsidR="00504BD9" w:rsidRPr="00EB2D92" w:rsidRDefault="00504BD9" w:rsidP="00504BD9">
            <w:pPr>
              <w:pStyle w:val="NoSpacing"/>
            </w:pPr>
            <w:r w:rsidRPr="00504BD9">
              <w:t>SMA</w:t>
            </w:r>
          </w:p>
        </w:tc>
        <w:tc>
          <w:tcPr>
            <w:tcW w:w="0" w:type="auto"/>
          </w:tcPr>
          <w:p w14:paraId="2A73B84B" w14:textId="77777777" w:rsidR="00504BD9" w:rsidRPr="00EB2D92" w:rsidRDefault="00504BD9" w:rsidP="00504BD9">
            <w:pPr>
              <w:pStyle w:val="NoSpacing"/>
            </w:pPr>
          </w:p>
        </w:tc>
        <w:tc>
          <w:tcPr>
            <w:tcW w:w="0" w:type="auto"/>
          </w:tcPr>
          <w:p w14:paraId="3471EFFC" w14:textId="77777777" w:rsidR="00504BD9" w:rsidRPr="00EB2D92" w:rsidRDefault="00504BD9" w:rsidP="00504BD9">
            <w:pPr>
              <w:pStyle w:val="NoSpacing"/>
            </w:pPr>
          </w:p>
        </w:tc>
        <w:tc>
          <w:tcPr>
            <w:tcW w:w="0" w:type="auto"/>
          </w:tcPr>
          <w:p w14:paraId="12106F1E" w14:textId="77777777" w:rsidR="00504BD9" w:rsidRPr="00EB2D92" w:rsidRDefault="00504BD9" w:rsidP="00504BD9">
            <w:pPr>
              <w:pStyle w:val="NoSpacing"/>
            </w:pPr>
          </w:p>
        </w:tc>
        <w:tc>
          <w:tcPr>
            <w:tcW w:w="0" w:type="auto"/>
          </w:tcPr>
          <w:p w14:paraId="1B8379D6" w14:textId="77777777" w:rsidR="00504BD9" w:rsidRPr="00EB2D92" w:rsidRDefault="00504BD9" w:rsidP="00504BD9">
            <w:pPr>
              <w:pStyle w:val="NoSpacing"/>
            </w:pPr>
          </w:p>
        </w:tc>
        <w:tc>
          <w:tcPr>
            <w:tcW w:w="0" w:type="auto"/>
          </w:tcPr>
          <w:p w14:paraId="1DE5D977" w14:textId="77777777" w:rsidR="00504BD9" w:rsidRPr="00EB2D92" w:rsidRDefault="00504BD9" w:rsidP="00504BD9">
            <w:pPr>
              <w:pStyle w:val="NoSpacing"/>
            </w:pPr>
          </w:p>
        </w:tc>
        <w:tc>
          <w:tcPr>
            <w:tcW w:w="0" w:type="auto"/>
          </w:tcPr>
          <w:p w14:paraId="15D47217" w14:textId="77777777" w:rsidR="00504BD9" w:rsidRPr="00EB2D92" w:rsidRDefault="00504BD9" w:rsidP="00504BD9">
            <w:pPr>
              <w:pStyle w:val="NoSpacing"/>
            </w:pPr>
          </w:p>
        </w:tc>
        <w:tc>
          <w:tcPr>
            <w:tcW w:w="0" w:type="auto"/>
          </w:tcPr>
          <w:p w14:paraId="12299741" w14:textId="77777777" w:rsidR="00504BD9" w:rsidRPr="00EB2D92" w:rsidRDefault="00504BD9" w:rsidP="00504BD9">
            <w:pPr>
              <w:pStyle w:val="NoSpacing"/>
            </w:pPr>
          </w:p>
        </w:tc>
      </w:tr>
      <w:tr w:rsidR="00EB2D92" w:rsidRPr="00EB2D92" w14:paraId="7D142184" w14:textId="77777777" w:rsidTr="00504BD9">
        <w:tc>
          <w:tcPr>
            <w:tcW w:w="0" w:type="auto"/>
            <w:hideMark/>
          </w:tcPr>
          <w:p w14:paraId="73AB8D4A" w14:textId="77777777" w:rsidR="00EB2D92" w:rsidRPr="00EB2D92" w:rsidRDefault="00EB2D92" w:rsidP="00504BD9">
            <w:pPr>
              <w:pStyle w:val="NoSpacing"/>
            </w:pPr>
            <w:r w:rsidRPr="00EB2D92">
              <w:t> </w:t>
            </w:r>
            <w:r w:rsidRPr="00EB2D92">
              <w:t>Total positive</w:t>
            </w:r>
          </w:p>
        </w:tc>
        <w:tc>
          <w:tcPr>
            <w:tcW w:w="0" w:type="auto"/>
            <w:hideMark/>
          </w:tcPr>
          <w:p w14:paraId="17584B38" w14:textId="77777777" w:rsidR="00EB2D92" w:rsidRPr="00EB2D92" w:rsidRDefault="00EB2D92" w:rsidP="00504BD9">
            <w:pPr>
              <w:pStyle w:val="NoSpacing"/>
            </w:pPr>
            <w:r w:rsidRPr="00EB2D92">
              <w:t>21 (91.3%)</w:t>
            </w:r>
          </w:p>
        </w:tc>
        <w:tc>
          <w:tcPr>
            <w:tcW w:w="0" w:type="auto"/>
            <w:hideMark/>
          </w:tcPr>
          <w:p w14:paraId="314A5639" w14:textId="77777777" w:rsidR="00EB2D92" w:rsidRPr="00EB2D92" w:rsidRDefault="00EB2D92" w:rsidP="00504BD9">
            <w:pPr>
              <w:pStyle w:val="NoSpacing"/>
            </w:pPr>
            <w:r w:rsidRPr="00EB2D92">
              <w:t>4 (16.6%)</w:t>
            </w:r>
          </w:p>
        </w:tc>
        <w:tc>
          <w:tcPr>
            <w:tcW w:w="0" w:type="auto"/>
            <w:hideMark/>
          </w:tcPr>
          <w:p w14:paraId="0BDA8900" w14:textId="77777777" w:rsidR="00EB2D92" w:rsidRPr="00EB2D92" w:rsidRDefault="00EB2D92" w:rsidP="00504BD9">
            <w:pPr>
              <w:pStyle w:val="NoSpacing"/>
            </w:pPr>
            <w:r w:rsidRPr="00EB2D92">
              <w:t> </w:t>
            </w:r>
          </w:p>
        </w:tc>
        <w:tc>
          <w:tcPr>
            <w:tcW w:w="0" w:type="auto"/>
            <w:hideMark/>
          </w:tcPr>
          <w:p w14:paraId="59C672A1" w14:textId="77777777" w:rsidR="00EB2D92" w:rsidRPr="00EB2D92" w:rsidRDefault="00EB2D92" w:rsidP="00504BD9">
            <w:pPr>
              <w:pStyle w:val="NoSpacing"/>
            </w:pPr>
            <w:r w:rsidRPr="00EB2D92">
              <w:t> </w:t>
            </w:r>
          </w:p>
        </w:tc>
        <w:tc>
          <w:tcPr>
            <w:tcW w:w="0" w:type="auto"/>
            <w:hideMark/>
          </w:tcPr>
          <w:p w14:paraId="2D287C15" w14:textId="77777777" w:rsidR="00EB2D92" w:rsidRPr="00EB2D92" w:rsidRDefault="00EB2D92" w:rsidP="00504BD9">
            <w:pPr>
              <w:pStyle w:val="NoSpacing"/>
            </w:pPr>
            <w:r w:rsidRPr="00EB2D92">
              <w:t> </w:t>
            </w:r>
          </w:p>
        </w:tc>
        <w:tc>
          <w:tcPr>
            <w:tcW w:w="0" w:type="auto"/>
            <w:hideMark/>
          </w:tcPr>
          <w:p w14:paraId="052CF332" w14:textId="77777777" w:rsidR="00EB2D92" w:rsidRPr="00EB2D92" w:rsidRDefault="00EB2D92" w:rsidP="00504BD9">
            <w:pPr>
              <w:pStyle w:val="NoSpacing"/>
            </w:pPr>
            <w:r w:rsidRPr="00EB2D92">
              <w:t> </w:t>
            </w:r>
          </w:p>
        </w:tc>
        <w:tc>
          <w:tcPr>
            <w:tcW w:w="0" w:type="auto"/>
            <w:hideMark/>
          </w:tcPr>
          <w:p w14:paraId="287A762B" w14:textId="77777777" w:rsidR="00EB2D92" w:rsidRPr="00EB2D92" w:rsidRDefault="00EB2D92" w:rsidP="00504BD9">
            <w:pPr>
              <w:pStyle w:val="NoSpacing"/>
            </w:pPr>
            <w:r w:rsidRPr="00EB2D92">
              <w:t> </w:t>
            </w:r>
          </w:p>
        </w:tc>
      </w:tr>
      <w:tr w:rsidR="00EB2D92" w:rsidRPr="00EB2D92" w14:paraId="7D44B05A" w14:textId="77777777" w:rsidTr="00504BD9">
        <w:tc>
          <w:tcPr>
            <w:tcW w:w="0" w:type="auto"/>
            <w:hideMark/>
          </w:tcPr>
          <w:p w14:paraId="0856B340" w14:textId="77777777" w:rsidR="00EB2D92" w:rsidRPr="00EB2D92" w:rsidRDefault="00EB2D92" w:rsidP="00504BD9">
            <w:pPr>
              <w:pStyle w:val="NoSpacing"/>
            </w:pPr>
            <w:r w:rsidRPr="00EB2D92">
              <w:t> </w:t>
            </w:r>
            <w:r w:rsidRPr="00EB2D92">
              <w:t>Diffusely positive</w:t>
            </w:r>
          </w:p>
        </w:tc>
        <w:tc>
          <w:tcPr>
            <w:tcW w:w="0" w:type="auto"/>
            <w:hideMark/>
          </w:tcPr>
          <w:p w14:paraId="0127601E" w14:textId="77777777" w:rsidR="00EB2D92" w:rsidRPr="00240F70" w:rsidRDefault="00EB2D92" w:rsidP="00504BD9">
            <w:pPr>
              <w:pStyle w:val="NoSpacing"/>
              <w:rPr>
                <w:b/>
                <w:bCs/>
              </w:rPr>
            </w:pPr>
            <w:r w:rsidRPr="00240F70">
              <w:rPr>
                <w:b/>
                <w:bCs/>
              </w:rPr>
              <w:t>20 (87%)</w:t>
            </w:r>
          </w:p>
        </w:tc>
        <w:tc>
          <w:tcPr>
            <w:tcW w:w="0" w:type="auto"/>
            <w:hideMark/>
          </w:tcPr>
          <w:p w14:paraId="5E9F0569" w14:textId="77777777" w:rsidR="00EB2D92" w:rsidRPr="00240F70" w:rsidRDefault="00EB2D92" w:rsidP="00504BD9">
            <w:pPr>
              <w:pStyle w:val="NoSpacing"/>
              <w:rPr>
                <w:b/>
                <w:bCs/>
              </w:rPr>
            </w:pPr>
            <w:r w:rsidRPr="00240F70">
              <w:rPr>
                <w:b/>
                <w:bCs/>
              </w:rPr>
              <w:t>1 (4.1%)</w:t>
            </w:r>
          </w:p>
        </w:tc>
        <w:tc>
          <w:tcPr>
            <w:tcW w:w="0" w:type="auto"/>
            <w:hideMark/>
          </w:tcPr>
          <w:p w14:paraId="159F74ED" w14:textId="77777777" w:rsidR="00EB2D92" w:rsidRPr="00EB2D92" w:rsidRDefault="00EB2D92" w:rsidP="00504BD9">
            <w:pPr>
              <w:pStyle w:val="NoSpacing"/>
            </w:pPr>
            <w:r w:rsidRPr="00EB2D92">
              <w:t>&lt;0.0001</w:t>
            </w:r>
          </w:p>
        </w:tc>
        <w:tc>
          <w:tcPr>
            <w:tcW w:w="0" w:type="auto"/>
            <w:hideMark/>
          </w:tcPr>
          <w:p w14:paraId="215556A1" w14:textId="77777777" w:rsidR="00EB2D92" w:rsidRPr="00EB2D92" w:rsidRDefault="00EB2D92" w:rsidP="00504BD9">
            <w:pPr>
              <w:pStyle w:val="NoSpacing"/>
            </w:pPr>
            <w:r w:rsidRPr="00EB2D92">
              <w:t>91.5%</w:t>
            </w:r>
          </w:p>
        </w:tc>
        <w:tc>
          <w:tcPr>
            <w:tcW w:w="0" w:type="auto"/>
            <w:hideMark/>
          </w:tcPr>
          <w:p w14:paraId="61E9309C" w14:textId="77777777" w:rsidR="00EB2D92" w:rsidRPr="00EB2D92" w:rsidRDefault="00EB2D92" w:rsidP="00504BD9">
            <w:pPr>
              <w:pStyle w:val="NoSpacing"/>
            </w:pPr>
            <w:r w:rsidRPr="00EB2D92">
              <w:t>95.2%</w:t>
            </w:r>
          </w:p>
        </w:tc>
        <w:tc>
          <w:tcPr>
            <w:tcW w:w="0" w:type="auto"/>
            <w:hideMark/>
          </w:tcPr>
          <w:p w14:paraId="49FAAD82" w14:textId="77777777" w:rsidR="00EB2D92" w:rsidRPr="00EB2D92" w:rsidRDefault="00EB2D92" w:rsidP="00504BD9">
            <w:pPr>
              <w:pStyle w:val="NoSpacing"/>
            </w:pPr>
            <w:r w:rsidRPr="00EB2D92">
              <w:t>87%</w:t>
            </w:r>
          </w:p>
        </w:tc>
        <w:tc>
          <w:tcPr>
            <w:tcW w:w="0" w:type="auto"/>
            <w:hideMark/>
          </w:tcPr>
          <w:p w14:paraId="30DF3017" w14:textId="77777777" w:rsidR="00EB2D92" w:rsidRPr="00EB2D92" w:rsidRDefault="00EB2D92" w:rsidP="00504BD9">
            <w:pPr>
              <w:pStyle w:val="NoSpacing"/>
            </w:pPr>
            <w:r w:rsidRPr="00EB2D92">
              <w:t>95.8%</w:t>
            </w:r>
          </w:p>
        </w:tc>
      </w:tr>
      <w:tr w:rsidR="00EB2D92" w:rsidRPr="00EB2D92" w14:paraId="6469B5F9" w14:textId="77777777" w:rsidTr="00504BD9">
        <w:tc>
          <w:tcPr>
            <w:tcW w:w="0" w:type="auto"/>
            <w:hideMark/>
          </w:tcPr>
          <w:p w14:paraId="4F2E7045" w14:textId="77777777" w:rsidR="00EB2D92" w:rsidRPr="00EB2D92" w:rsidRDefault="00EB2D92" w:rsidP="00504BD9">
            <w:pPr>
              <w:pStyle w:val="NoSpacing"/>
            </w:pPr>
            <w:r w:rsidRPr="00EB2D92">
              <w:t> </w:t>
            </w:r>
            <w:r w:rsidRPr="00EB2D92">
              <w:t>Negative</w:t>
            </w:r>
          </w:p>
        </w:tc>
        <w:tc>
          <w:tcPr>
            <w:tcW w:w="0" w:type="auto"/>
            <w:hideMark/>
          </w:tcPr>
          <w:p w14:paraId="4395DF68" w14:textId="77777777" w:rsidR="00EB2D92" w:rsidRPr="00EB2D92" w:rsidRDefault="00EB2D92" w:rsidP="00504BD9">
            <w:pPr>
              <w:pStyle w:val="NoSpacing"/>
            </w:pPr>
            <w:r w:rsidRPr="00EB2D92">
              <w:t>2</w:t>
            </w:r>
          </w:p>
        </w:tc>
        <w:tc>
          <w:tcPr>
            <w:tcW w:w="0" w:type="auto"/>
            <w:hideMark/>
          </w:tcPr>
          <w:p w14:paraId="67A8788A" w14:textId="77777777" w:rsidR="00EB2D92" w:rsidRPr="00EB2D92" w:rsidRDefault="00EB2D92" w:rsidP="00504BD9">
            <w:pPr>
              <w:pStyle w:val="NoSpacing"/>
            </w:pPr>
            <w:r w:rsidRPr="00EB2D92">
              <w:t>20</w:t>
            </w:r>
          </w:p>
        </w:tc>
        <w:tc>
          <w:tcPr>
            <w:tcW w:w="0" w:type="auto"/>
            <w:hideMark/>
          </w:tcPr>
          <w:p w14:paraId="45252538" w14:textId="77777777" w:rsidR="00EB2D92" w:rsidRPr="00EB2D92" w:rsidRDefault="00EB2D92" w:rsidP="00504BD9">
            <w:pPr>
              <w:pStyle w:val="NoSpacing"/>
            </w:pPr>
            <w:r w:rsidRPr="00EB2D92">
              <w:t> </w:t>
            </w:r>
          </w:p>
        </w:tc>
        <w:tc>
          <w:tcPr>
            <w:tcW w:w="0" w:type="auto"/>
            <w:hideMark/>
          </w:tcPr>
          <w:p w14:paraId="3D119C14" w14:textId="77777777" w:rsidR="00EB2D92" w:rsidRPr="00EB2D92" w:rsidRDefault="00EB2D92" w:rsidP="00504BD9">
            <w:pPr>
              <w:pStyle w:val="NoSpacing"/>
            </w:pPr>
            <w:r w:rsidRPr="00EB2D92">
              <w:t> </w:t>
            </w:r>
          </w:p>
        </w:tc>
        <w:tc>
          <w:tcPr>
            <w:tcW w:w="0" w:type="auto"/>
            <w:hideMark/>
          </w:tcPr>
          <w:p w14:paraId="679D70B9" w14:textId="77777777" w:rsidR="00EB2D92" w:rsidRPr="00EB2D92" w:rsidRDefault="00EB2D92" w:rsidP="00504BD9">
            <w:pPr>
              <w:pStyle w:val="NoSpacing"/>
            </w:pPr>
            <w:r w:rsidRPr="00EB2D92">
              <w:t> </w:t>
            </w:r>
          </w:p>
        </w:tc>
        <w:tc>
          <w:tcPr>
            <w:tcW w:w="0" w:type="auto"/>
            <w:hideMark/>
          </w:tcPr>
          <w:p w14:paraId="1DFA51A9" w14:textId="77777777" w:rsidR="00EB2D92" w:rsidRPr="00EB2D92" w:rsidRDefault="00EB2D92" w:rsidP="00504BD9">
            <w:pPr>
              <w:pStyle w:val="NoSpacing"/>
            </w:pPr>
            <w:r w:rsidRPr="00EB2D92">
              <w:t> </w:t>
            </w:r>
          </w:p>
        </w:tc>
        <w:tc>
          <w:tcPr>
            <w:tcW w:w="0" w:type="auto"/>
            <w:hideMark/>
          </w:tcPr>
          <w:p w14:paraId="271B7BD1" w14:textId="77777777" w:rsidR="00EB2D92" w:rsidRPr="00EB2D92" w:rsidRDefault="00EB2D92" w:rsidP="00504BD9">
            <w:pPr>
              <w:pStyle w:val="NoSpacing"/>
            </w:pPr>
            <w:r w:rsidRPr="00EB2D92">
              <w:t> </w:t>
            </w:r>
          </w:p>
        </w:tc>
      </w:tr>
      <w:tr w:rsidR="00504BD9" w:rsidRPr="00EB2D92" w14:paraId="244FB63F" w14:textId="77777777" w:rsidTr="00504BD9">
        <w:tc>
          <w:tcPr>
            <w:tcW w:w="0" w:type="auto"/>
          </w:tcPr>
          <w:p w14:paraId="62978CEA" w14:textId="1F5E11F2" w:rsidR="00504BD9" w:rsidRPr="00EB2D92" w:rsidRDefault="00504BD9" w:rsidP="00504BD9">
            <w:pPr>
              <w:pStyle w:val="NoSpacing"/>
            </w:pPr>
            <w:r w:rsidRPr="00504BD9">
              <w:t>Calponin</w:t>
            </w:r>
          </w:p>
        </w:tc>
        <w:tc>
          <w:tcPr>
            <w:tcW w:w="0" w:type="auto"/>
          </w:tcPr>
          <w:p w14:paraId="6B05D9F4" w14:textId="77777777" w:rsidR="00504BD9" w:rsidRPr="00EB2D92" w:rsidRDefault="00504BD9" w:rsidP="00504BD9">
            <w:pPr>
              <w:pStyle w:val="NoSpacing"/>
            </w:pPr>
          </w:p>
        </w:tc>
        <w:tc>
          <w:tcPr>
            <w:tcW w:w="0" w:type="auto"/>
          </w:tcPr>
          <w:p w14:paraId="5A874386" w14:textId="77777777" w:rsidR="00504BD9" w:rsidRPr="00EB2D92" w:rsidRDefault="00504BD9" w:rsidP="00504BD9">
            <w:pPr>
              <w:pStyle w:val="NoSpacing"/>
            </w:pPr>
          </w:p>
        </w:tc>
        <w:tc>
          <w:tcPr>
            <w:tcW w:w="0" w:type="auto"/>
          </w:tcPr>
          <w:p w14:paraId="12365C73" w14:textId="77777777" w:rsidR="00504BD9" w:rsidRPr="00EB2D92" w:rsidRDefault="00504BD9" w:rsidP="00504BD9">
            <w:pPr>
              <w:pStyle w:val="NoSpacing"/>
            </w:pPr>
          </w:p>
        </w:tc>
        <w:tc>
          <w:tcPr>
            <w:tcW w:w="0" w:type="auto"/>
          </w:tcPr>
          <w:p w14:paraId="4A85696A" w14:textId="77777777" w:rsidR="00504BD9" w:rsidRPr="00EB2D92" w:rsidRDefault="00504BD9" w:rsidP="00504BD9">
            <w:pPr>
              <w:pStyle w:val="NoSpacing"/>
            </w:pPr>
          </w:p>
        </w:tc>
        <w:tc>
          <w:tcPr>
            <w:tcW w:w="0" w:type="auto"/>
          </w:tcPr>
          <w:p w14:paraId="7B29E5D7" w14:textId="77777777" w:rsidR="00504BD9" w:rsidRPr="00EB2D92" w:rsidRDefault="00504BD9" w:rsidP="00504BD9">
            <w:pPr>
              <w:pStyle w:val="NoSpacing"/>
            </w:pPr>
          </w:p>
        </w:tc>
        <w:tc>
          <w:tcPr>
            <w:tcW w:w="0" w:type="auto"/>
          </w:tcPr>
          <w:p w14:paraId="11635D3F" w14:textId="77777777" w:rsidR="00504BD9" w:rsidRPr="00EB2D92" w:rsidRDefault="00504BD9" w:rsidP="00504BD9">
            <w:pPr>
              <w:pStyle w:val="NoSpacing"/>
            </w:pPr>
          </w:p>
        </w:tc>
        <w:tc>
          <w:tcPr>
            <w:tcW w:w="0" w:type="auto"/>
          </w:tcPr>
          <w:p w14:paraId="2BFD0258" w14:textId="77777777" w:rsidR="00504BD9" w:rsidRPr="00EB2D92" w:rsidRDefault="00504BD9" w:rsidP="00504BD9">
            <w:pPr>
              <w:pStyle w:val="NoSpacing"/>
            </w:pPr>
          </w:p>
        </w:tc>
      </w:tr>
      <w:tr w:rsidR="00EB2D92" w:rsidRPr="00EB2D92" w14:paraId="57ACE6C5" w14:textId="77777777" w:rsidTr="00504BD9">
        <w:tc>
          <w:tcPr>
            <w:tcW w:w="0" w:type="auto"/>
            <w:hideMark/>
          </w:tcPr>
          <w:p w14:paraId="2B55CDDF" w14:textId="77777777" w:rsidR="00EB2D92" w:rsidRPr="00EB2D92" w:rsidRDefault="00EB2D92" w:rsidP="00504BD9">
            <w:pPr>
              <w:pStyle w:val="NoSpacing"/>
            </w:pPr>
            <w:r w:rsidRPr="00EB2D92">
              <w:t> </w:t>
            </w:r>
            <w:r w:rsidRPr="00EB2D92">
              <w:t>Total positive</w:t>
            </w:r>
          </w:p>
        </w:tc>
        <w:tc>
          <w:tcPr>
            <w:tcW w:w="0" w:type="auto"/>
            <w:hideMark/>
          </w:tcPr>
          <w:p w14:paraId="15C7B28A" w14:textId="77777777" w:rsidR="00EB2D92" w:rsidRPr="00EB2D92" w:rsidRDefault="00EB2D92" w:rsidP="00504BD9">
            <w:pPr>
              <w:pStyle w:val="NoSpacing"/>
            </w:pPr>
            <w:r w:rsidRPr="00EB2D92">
              <w:t>21 (91.3%)</w:t>
            </w:r>
          </w:p>
        </w:tc>
        <w:tc>
          <w:tcPr>
            <w:tcW w:w="0" w:type="auto"/>
            <w:hideMark/>
          </w:tcPr>
          <w:p w14:paraId="29191966" w14:textId="77777777" w:rsidR="00EB2D92" w:rsidRPr="00EB2D92" w:rsidRDefault="00EB2D92" w:rsidP="00504BD9">
            <w:pPr>
              <w:pStyle w:val="NoSpacing"/>
            </w:pPr>
            <w:r w:rsidRPr="00EB2D92">
              <w:t>5 (20.8%)</w:t>
            </w:r>
          </w:p>
        </w:tc>
        <w:tc>
          <w:tcPr>
            <w:tcW w:w="0" w:type="auto"/>
            <w:hideMark/>
          </w:tcPr>
          <w:p w14:paraId="42F0198C" w14:textId="77777777" w:rsidR="00EB2D92" w:rsidRPr="00EB2D92" w:rsidRDefault="00EB2D92" w:rsidP="00504BD9">
            <w:pPr>
              <w:pStyle w:val="NoSpacing"/>
            </w:pPr>
            <w:r w:rsidRPr="00EB2D92">
              <w:t> </w:t>
            </w:r>
          </w:p>
        </w:tc>
        <w:tc>
          <w:tcPr>
            <w:tcW w:w="0" w:type="auto"/>
            <w:hideMark/>
          </w:tcPr>
          <w:p w14:paraId="1010F23E" w14:textId="77777777" w:rsidR="00EB2D92" w:rsidRPr="00EB2D92" w:rsidRDefault="00EB2D92" w:rsidP="00504BD9">
            <w:pPr>
              <w:pStyle w:val="NoSpacing"/>
            </w:pPr>
            <w:r w:rsidRPr="00EB2D92">
              <w:t> </w:t>
            </w:r>
          </w:p>
        </w:tc>
        <w:tc>
          <w:tcPr>
            <w:tcW w:w="0" w:type="auto"/>
            <w:hideMark/>
          </w:tcPr>
          <w:p w14:paraId="7529FAF4" w14:textId="77777777" w:rsidR="00EB2D92" w:rsidRPr="00EB2D92" w:rsidRDefault="00EB2D92" w:rsidP="00504BD9">
            <w:pPr>
              <w:pStyle w:val="NoSpacing"/>
            </w:pPr>
            <w:r w:rsidRPr="00EB2D92">
              <w:t> </w:t>
            </w:r>
          </w:p>
        </w:tc>
        <w:tc>
          <w:tcPr>
            <w:tcW w:w="0" w:type="auto"/>
            <w:hideMark/>
          </w:tcPr>
          <w:p w14:paraId="668D58F3" w14:textId="77777777" w:rsidR="00EB2D92" w:rsidRPr="00EB2D92" w:rsidRDefault="00EB2D92" w:rsidP="00504BD9">
            <w:pPr>
              <w:pStyle w:val="NoSpacing"/>
            </w:pPr>
            <w:r w:rsidRPr="00EB2D92">
              <w:t> </w:t>
            </w:r>
          </w:p>
        </w:tc>
        <w:tc>
          <w:tcPr>
            <w:tcW w:w="0" w:type="auto"/>
            <w:hideMark/>
          </w:tcPr>
          <w:p w14:paraId="579A5B49" w14:textId="77777777" w:rsidR="00EB2D92" w:rsidRPr="00EB2D92" w:rsidRDefault="00EB2D92" w:rsidP="00504BD9">
            <w:pPr>
              <w:pStyle w:val="NoSpacing"/>
            </w:pPr>
            <w:r w:rsidRPr="00EB2D92">
              <w:t> </w:t>
            </w:r>
          </w:p>
        </w:tc>
      </w:tr>
      <w:tr w:rsidR="00EB2D92" w:rsidRPr="00EB2D92" w14:paraId="0939EF92" w14:textId="77777777" w:rsidTr="00504BD9">
        <w:tc>
          <w:tcPr>
            <w:tcW w:w="0" w:type="auto"/>
            <w:hideMark/>
          </w:tcPr>
          <w:p w14:paraId="1F1DF8F2" w14:textId="77777777" w:rsidR="00EB2D92" w:rsidRPr="00EB2D92" w:rsidRDefault="00EB2D92" w:rsidP="00504BD9">
            <w:pPr>
              <w:pStyle w:val="NoSpacing"/>
            </w:pPr>
            <w:r w:rsidRPr="00EB2D92">
              <w:t> </w:t>
            </w:r>
            <w:r w:rsidRPr="00EB2D92">
              <w:t>Diffusely positive</w:t>
            </w:r>
          </w:p>
        </w:tc>
        <w:tc>
          <w:tcPr>
            <w:tcW w:w="0" w:type="auto"/>
            <w:hideMark/>
          </w:tcPr>
          <w:p w14:paraId="5BE42C89" w14:textId="77777777" w:rsidR="00EB2D92" w:rsidRPr="00240F70" w:rsidRDefault="00EB2D92" w:rsidP="00504BD9">
            <w:pPr>
              <w:pStyle w:val="NoSpacing"/>
              <w:rPr>
                <w:b/>
                <w:bCs/>
              </w:rPr>
            </w:pPr>
            <w:r w:rsidRPr="00240F70">
              <w:rPr>
                <w:b/>
                <w:bCs/>
              </w:rPr>
              <w:t>15 (65.2%)</w:t>
            </w:r>
          </w:p>
        </w:tc>
        <w:tc>
          <w:tcPr>
            <w:tcW w:w="0" w:type="auto"/>
            <w:hideMark/>
          </w:tcPr>
          <w:p w14:paraId="5B8D6EB1" w14:textId="77777777" w:rsidR="00EB2D92" w:rsidRPr="00240F70" w:rsidRDefault="00EB2D92" w:rsidP="00504BD9">
            <w:pPr>
              <w:pStyle w:val="NoSpacing"/>
              <w:rPr>
                <w:b/>
                <w:bCs/>
              </w:rPr>
            </w:pPr>
            <w:r w:rsidRPr="00240F70">
              <w:rPr>
                <w:b/>
                <w:bCs/>
              </w:rPr>
              <w:t>1 (4.1%)</w:t>
            </w:r>
          </w:p>
        </w:tc>
        <w:tc>
          <w:tcPr>
            <w:tcW w:w="0" w:type="auto"/>
            <w:hideMark/>
          </w:tcPr>
          <w:p w14:paraId="5BDC5DDB" w14:textId="77777777" w:rsidR="00EB2D92" w:rsidRPr="00EB2D92" w:rsidRDefault="00EB2D92" w:rsidP="00504BD9">
            <w:pPr>
              <w:pStyle w:val="NoSpacing"/>
            </w:pPr>
            <w:r w:rsidRPr="00EB2D92">
              <w:t>&lt;0.0001</w:t>
            </w:r>
          </w:p>
        </w:tc>
        <w:tc>
          <w:tcPr>
            <w:tcW w:w="0" w:type="auto"/>
            <w:hideMark/>
          </w:tcPr>
          <w:p w14:paraId="3009876E" w14:textId="77777777" w:rsidR="00EB2D92" w:rsidRPr="00EB2D92" w:rsidRDefault="00EB2D92" w:rsidP="00504BD9">
            <w:pPr>
              <w:pStyle w:val="NoSpacing"/>
            </w:pPr>
            <w:r w:rsidRPr="00EB2D92">
              <w:t>80.9%</w:t>
            </w:r>
          </w:p>
        </w:tc>
        <w:tc>
          <w:tcPr>
            <w:tcW w:w="0" w:type="auto"/>
            <w:hideMark/>
          </w:tcPr>
          <w:p w14:paraId="789D5DE0" w14:textId="77777777" w:rsidR="00EB2D92" w:rsidRPr="00EB2D92" w:rsidRDefault="00EB2D92" w:rsidP="00504BD9">
            <w:pPr>
              <w:pStyle w:val="NoSpacing"/>
            </w:pPr>
            <w:r w:rsidRPr="00EB2D92">
              <w:t>93.8%</w:t>
            </w:r>
          </w:p>
        </w:tc>
        <w:tc>
          <w:tcPr>
            <w:tcW w:w="0" w:type="auto"/>
            <w:hideMark/>
          </w:tcPr>
          <w:p w14:paraId="48274F30" w14:textId="77777777" w:rsidR="00EB2D92" w:rsidRPr="00EB2D92" w:rsidRDefault="00EB2D92" w:rsidP="00504BD9">
            <w:pPr>
              <w:pStyle w:val="NoSpacing"/>
            </w:pPr>
            <w:r w:rsidRPr="00EB2D92">
              <w:t>65.2%</w:t>
            </w:r>
          </w:p>
        </w:tc>
        <w:tc>
          <w:tcPr>
            <w:tcW w:w="0" w:type="auto"/>
            <w:hideMark/>
          </w:tcPr>
          <w:p w14:paraId="2715C52C" w14:textId="77777777" w:rsidR="00EB2D92" w:rsidRPr="00EB2D92" w:rsidRDefault="00EB2D92" w:rsidP="00504BD9">
            <w:pPr>
              <w:pStyle w:val="NoSpacing"/>
            </w:pPr>
            <w:r w:rsidRPr="00EB2D92">
              <w:t>95.8%</w:t>
            </w:r>
          </w:p>
        </w:tc>
      </w:tr>
      <w:tr w:rsidR="00EB2D92" w:rsidRPr="00EB2D92" w14:paraId="222DFA6E" w14:textId="77777777" w:rsidTr="00504BD9">
        <w:tc>
          <w:tcPr>
            <w:tcW w:w="0" w:type="auto"/>
            <w:hideMark/>
          </w:tcPr>
          <w:p w14:paraId="0EA86B90" w14:textId="77777777" w:rsidR="00EB2D92" w:rsidRPr="00EB2D92" w:rsidRDefault="00EB2D92" w:rsidP="00504BD9">
            <w:pPr>
              <w:pStyle w:val="NoSpacing"/>
            </w:pPr>
            <w:r w:rsidRPr="00EB2D92">
              <w:t> </w:t>
            </w:r>
            <w:r w:rsidRPr="00EB2D92">
              <w:t>Negative</w:t>
            </w:r>
          </w:p>
        </w:tc>
        <w:tc>
          <w:tcPr>
            <w:tcW w:w="0" w:type="auto"/>
            <w:hideMark/>
          </w:tcPr>
          <w:p w14:paraId="6E333DA4" w14:textId="77777777" w:rsidR="00EB2D92" w:rsidRPr="00EB2D92" w:rsidRDefault="00EB2D92" w:rsidP="00504BD9">
            <w:pPr>
              <w:pStyle w:val="NoSpacing"/>
            </w:pPr>
            <w:r w:rsidRPr="00EB2D92">
              <w:t>2</w:t>
            </w:r>
          </w:p>
        </w:tc>
        <w:tc>
          <w:tcPr>
            <w:tcW w:w="0" w:type="auto"/>
            <w:hideMark/>
          </w:tcPr>
          <w:p w14:paraId="3ED09D9C" w14:textId="77777777" w:rsidR="00EB2D92" w:rsidRPr="00EB2D92" w:rsidRDefault="00EB2D92" w:rsidP="00504BD9">
            <w:pPr>
              <w:pStyle w:val="NoSpacing"/>
            </w:pPr>
            <w:r w:rsidRPr="00EB2D92">
              <w:t>19</w:t>
            </w:r>
          </w:p>
        </w:tc>
        <w:tc>
          <w:tcPr>
            <w:tcW w:w="0" w:type="auto"/>
            <w:hideMark/>
          </w:tcPr>
          <w:p w14:paraId="643B4C33" w14:textId="77777777" w:rsidR="00EB2D92" w:rsidRPr="00EB2D92" w:rsidRDefault="00EB2D92" w:rsidP="00504BD9">
            <w:pPr>
              <w:pStyle w:val="NoSpacing"/>
            </w:pPr>
            <w:r w:rsidRPr="00EB2D92">
              <w:t> </w:t>
            </w:r>
          </w:p>
        </w:tc>
        <w:tc>
          <w:tcPr>
            <w:tcW w:w="0" w:type="auto"/>
            <w:hideMark/>
          </w:tcPr>
          <w:p w14:paraId="51E73B42" w14:textId="77777777" w:rsidR="00EB2D92" w:rsidRPr="00EB2D92" w:rsidRDefault="00EB2D92" w:rsidP="00504BD9">
            <w:pPr>
              <w:pStyle w:val="NoSpacing"/>
            </w:pPr>
            <w:r w:rsidRPr="00EB2D92">
              <w:t> </w:t>
            </w:r>
          </w:p>
        </w:tc>
        <w:tc>
          <w:tcPr>
            <w:tcW w:w="0" w:type="auto"/>
            <w:hideMark/>
          </w:tcPr>
          <w:p w14:paraId="2ED9410C" w14:textId="77777777" w:rsidR="00EB2D92" w:rsidRPr="00EB2D92" w:rsidRDefault="00EB2D92" w:rsidP="00504BD9">
            <w:pPr>
              <w:pStyle w:val="NoSpacing"/>
            </w:pPr>
            <w:r w:rsidRPr="00EB2D92">
              <w:t> </w:t>
            </w:r>
          </w:p>
        </w:tc>
        <w:tc>
          <w:tcPr>
            <w:tcW w:w="0" w:type="auto"/>
            <w:hideMark/>
          </w:tcPr>
          <w:p w14:paraId="5FA13CAE" w14:textId="77777777" w:rsidR="00EB2D92" w:rsidRPr="00EB2D92" w:rsidRDefault="00EB2D92" w:rsidP="00504BD9">
            <w:pPr>
              <w:pStyle w:val="NoSpacing"/>
            </w:pPr>
            <w:r w:rsidRPr="00EB2D92">
              <w:t> </w:t>
            </w:r>
          </w:p>
        </w:tc>
        <w:tc>
          <w:tcPr>
            <w:tcW w:w="0" w:type="auto"/>
            <w:hideMark/>
          </w:tcPr>
          <w:p w14:paraId="47A1B873" w14:textId="77777777" w:rsidR="00EB2D92" w:rsidRPr="00EB2D92" w:rsidRDefault="00EB2D92" w:rsidP="00504BD9">
            <w:pPr>
              <w:pStyle w:val="NoSpacing"/>
            </w:pPr>
            <w:r w:rsidRPr="00EB2D92">
              <w:t> </w:t>
            </w:r>
          </w:p>
        </w:tc>
      </w:tr>
      <w:tr w:rsidR="00504BD9" w:rsidRPr="00EB2D92" w14:paraId="78B11C7A" w14:textId="77777777" w:rsidTr="00504BD9">
        <w:tc>
          <w:tcPr>
            <w:tcW w:w="0" w:type="auto"/>
          </w:tcPr>
          <w:p w14:paraId="22C16C96" w14:textId="167155B3" w:rsidR="00504BD9" w:rsidRPr="00EB2D92" w:rsidRDefault="00504BD9" w:rsidP="00504BD9">
            <w:pPr>
              <w:pStyle w:val="NoSpacing"/>
            </w:pPr>
            <w:r w:rsidRPr="00504BD9">
              <w:t>SMMS</w:t>
            </w:r>
          </w:p>
        </w:tc>
        <w:tc>
          <w:tcPr>
            <w:tcW w:w="0" w:type="auto"/>
          </w:tcPr>
          <w:p w14:paraId="716F7594" w14:textId="77777777" w:rsidR="00504BD9" w:rsidRPr="00EB2D92" w:rsidRDefault="00504BD9" w:rsidP="00504BD9">
            <w:pPr>
              <w:pStyle w:val="NoSpacing"/>
            </w:pPr>
          </w:p>
        </w:tc>
        <w:tc>
          <w:tcPr>
            <w:tcW w:w="0" w:type="auto"/>
          </w:tcPr>
          <w:p w14:paraId="5BFEACB8" w14:textId="77777777" w:rsidR="00504BD9" w:rsidRPr="00EB2D92" w:rsidRDefault="00504BD9" w:rsidP="00504BD9">
            <w:pPr>
              <w:pStyle w:val="NoSpacing"/>
            </w:pPr>
          </w:p>
        </w:tc>
        <w:tc>
          <w:tcPr>
            <w:tcW w:w="0" w:type="auto"/>
          </w:tcPr>
          <w:p w14:paraId="5434F5B8" w14:textId="77777777" w:rsidR="00504BD9" w:rsidRPr="00EB2D92" w:rsidRDefault="00504BD9" w:rsidP="00504BD9">
            <w:pPr>
              <w:pStyle w:val="NoSpacing"/>
            </w:pPr>
          </w:p>
        </w:tc>
        <w:tc>
          <w:tcPr>
            <w:tcW w:w="0" w:type="auto"/>
          </w:tcPr>
          <w:p w14:paraId="0EC37CBF" w14:textId="77777777" w:rsidR="00504BD9" w:rsidRPr="00EB2D92" w:rsidRDefault="00504BD9" w:rsidP="00504BD9">
            <w:pPr>
              <w:pStyle w:val="NoSpacing"/>
            </w:pPr>
          </w:p>
        </w:tc>
        <w:tc>
          <w:tcPr>
            <w:tcW w:w="0" w:type="auto"/>
          </w:tcPr>
          <w:p w14:paraId="7C956A40" w14:textId="77777777" w:rsidR="00504BD9" w:rsidRPr="00EB2D92" w:rsidRDefault="00504BD9" w:rsidP="00504BD9">
            <w:pPr>
              <w:pStyle w:val="NoSpacing"/>
            </w:pPr>
          </w:p>
        </w:tc>
        <w:tc>
          <w:tcPr>
            <w:tcW w:w="0" w:type="auto"/>
          </w:tcPr>
          <w:p w14:paraId="0B1A024E" w14:textId="77777777" w:rsidR="00504BD9" w:rsidRPr="00EB2D92" w:rsidRDefault="00504BD9" w:rsidP="00504BD9">
            <w:pPr>
              <w:pStyle w:val="NoSpacing"/>
            </w:pPr>
          </w:p>
        </w:tc>
        <w:tc>
          <w:tcPr>
            <w:tcW w:w="0" w:type="auto"/>
          </w:tcPr>
          <w:p w14:paraId="7FD710EC" w14:textId="77777777" w:rsidR="00504BD9" w:rsidRPr="00EB2D92" w:rsidRDefault="00504BD9" w:rsidP="00504BD9">
            <w:pPr>
              <w:pStyle w:val="NoSpacing"/>
            </w:pPr>
          </w:p>
        </w:tc>
      </w:tr>
      <w:tr w:rsidR="00EB2D92" w:rsidRPr="00EB2D92" w14:paraId="2DC31671" w14:textId="77777777" w:rsidTr="00504BD9">
        <w:tc>
          <w:tcPr>
            <w:tcW w:w="0" w:type="auto"/>
            <w:hideMark/>
          </w:tcPr>
          <w:p w14:paraId="57E9E25C" w14:textId="77777777" w:rsidR="00EB2D92" w:rsidRPr="00EB2D92" w:rsidRDefault="00EB2D92" w:rsidP="00504BD9">
            <w:pPr>
              <w:pStyle w:val="NoSpacing"/>
            </w:pPr>
            <w:r w:rsidRPr="00EB2D92">
              <w:t> </w:t>
            </w:r>
            <w:r w:rsidRPr="00EB2D92">
              <w:t>Total positive</w:t>
            </w:r>
          </w:p>
        </w:tc>
        <w:tc>
          <w:tcPr>
            <w:tcW w:w="0" w:type="auto"/>
            <w:hideMark/>
          </w:tcPr>
          <w:p w14:paraId="429DBACA" w14:textId="77777777" w:rsidR="00EB2D92" w:rsidRPr="00EB2D92" w:rsidRDefault="00EB2D92" w:rsidP="00504BD9">
            <w:pPr>
              <w:pStyle w:val="NoSpacing"/>
            </w:pPr>
            <w:r w:rsidRPr="00EB2D92">
              <w:t>18 (78%)</w:t>
            </w:r>
          </w:p>
        </w:tc>
        <w:tc>
          <w:tcPr>
            <w:tcW w:w="0" w:type="auto"/>
            <w:hideMark/>
          </w:tcPr>
          <w:p w14:paraId="3813A948" w14:textId="77777777" w:rsidR="00EB2D92" w:rsidRPr="00EB2D92" w:rsidRDefault="00EB2D92" w:rsidP="00504BD9">
            <w:pPr>
              <w:pStyle w:val="NoSpacing"/>
            </w:pPr>
            <w:r w:rsidRPr="00EB2D92">
              <w:t>11 (45.8%)</w:t>
            </w:r>
          </w:p>
        </w:tc>
        <w:tc>
          <w:tcPr>
            <w:tcW w:w="0" w:type="auto"/>
            <w:hideMark/>
          </w:tcPr>
          <w:p w14:paraId="6551F716" w14:textId="77777777" w:rsidR="00EB2D92" w:rsidRPr="00EB2D92" w:rsidRDefault="00EB2D92" w:rsidP="00504BD9">
            <w:pPr>
              <w:pStyle w:val="NoSpacing"/>
            </w:pPr>
            <w:r w:rsidRPr="00EB2D92">
              <w:t> </w:t>
            </w:r>
          </w:p>
        </w:tc>
        <w:tc>
          <w:tcPr>
            <w:tcW w:w="0" w:type="auto"/>
            <w:hideMark/>
          </w:tcPr>
          <w:p w14:paraId="1480EF38" w14:textId="77777777" w:rsidR="00EB2D92" w:rsidRPr="00EB2D92" w:rsidRDefault="00EB2D92" w:rsidP="00504BD9">
            <w:pPr>
              <w:pStyle w:val="NoSpacing"/>
            </w:pPr>
            <w:r w:rsidRPr="00EB2D92">
              <w:t> </w:t>
            </w:r>
          </w:p>
        </w:tc>
        <w:tc>
          <w:tcPr>
            <w:tcW w:w="0" w:type="auto"/>
            <w:hideMark/>
          </w:tcPr>
          <w:p w14:paraId="31660439" w14:textId="77777777" w:rsidR="00EB2D92" w:rsidRPr="00EB2D92" w:rsidRDefault="00EB2D92" w:rsidP="00504BD9">
            <w:pPr>
              <w:pStyle w:val="NoSpacing"/>
            </w:pPr>
            <w:r w:rsidRPr="00EB2D92">
              <w:t> </w:t>
            </w:r>
          </w:p>
        </w:tc>
        <w:tc>
          <w:tcPr>
            <w:tcW w:w="0" w:type="auto"/>
            <w:hideMark/>
          </w:tcPr>
          <w:p w14:paraId="31BCC01F" w14:textId="77777777" w:rsidR="00EB2D92" w:rsidRPr="00EB2D92" w:rsidRDefault="00EB2D92" w:rsidP="00504BD9">
            <w:pPr>
              <w:pStyle w:val="NoSpacing"/>
            </w:pPr>
            <w:r w:rsidRPr="00EB2D92">
              <w:t> </w:t>
            </w:r>
          </w:p>
        </w:tc>
        <w:tc>
          <w:tcPr>
            <w:tcW w:w="0" w:type="auto"/>
            <w:hideMark/>
          </w:tcPr>
          <w:p w14:paraId="31232EB1" w14:textId="77777777" w:rsidR="00EB2D92" w:rsidRPr="00EB2D92" w:rsidRDefault="00EB2D92" w:rsidP="00504BD9">
            <w:pPr>
              <w:pStyle w:val="NoSpacing"/>
            </w:pPr>
            <w:r w:rsidRPr="00EB2D92">
              <w:t> </w:t>
            </w:r>
          </w:p>
        </w:tc>
      </w:tr>
      <w:tr w:rsidR="00EB2D92" w:rsidRPr="00EB2D92" w14:paraId="7D80B627" w14:textId="77777777" w:rsidTr="00504BD9">
        <w:tc>
          <w:tcPr>
            <w:tcW w:w="0" w:type="auto"/>
            <w:hideMark/>
          </w:tcPr>
          <w:p w14:paraId="3040B43C" w14:textId="77777777" w:rsidR="00EB2D92" w:rsidRPr="00EB2D92" w:rsidRDefault="00EB2D92" w:rsidP="00504BD9">
            <w:pPr>
              <w:pStyle w:val="NoSpacing"/>
            </w:pPr>
            <w:r w:rsidRPr="00EB2D92">
              <w:t> </w:t>
            </w:r>
            <w:r w:rsidRPr="00EB2D92">
              <w:t>Diffusely positive</w:t>
            </w:r>
          </w:p>
        </w:tc>
        <w:tc>
          <w:tcPr>
            <w:tcW w:w="0" w:type="auto"/>
            <w:hideMark/>
          </w:tcPr>
          <w:p w14:paraId="3D4F2AB4" w14:textId="77777777" w:rsidR="00EB2D92" w:rsidRPr="00240F70" w:rsidRDefault="00EB2D92" w:rsidP="00504BD9">
            <w:pPr>
              <w:pStyle w:val="NoSpacing"/>
              <w:rPr>
                <w:b/>
                <w:bCs/>
              </w:rPr>
            </w:pPr>
            <w:r w:rsidRPr="00240F70">
              <w:rPr>
                <w:b/>
                <w:bCs/>
              </w:rPr>
              <w:t>15 (65.2%)</w:t>
            </w:r>
          </w:p>
        </w:tc>
        <w:tc>
          <w:tcPr>
            <w:tcW w:w="0" w:type="auto"/>
            <w:hideMark/>
          </w:tcPr>
          <w:p w14:paraId="21260B1E" w14:textId="77777777" w:rsidR="00EB2D92" w:rsidRPr="00240F70" w:rsidRDefault="00EB2D92" w:rsidP="00504BD9">
            <w:pPr>
              <w:pStyle w:val="NoSpacing"/>
              <w:rPr>
                <w:b/>
                <w:bCs/>
              </w:rPr>
            </w:pPr>
            <w:r w:rsidRPr="00240F70">
              <w:rPr>
                <w:b/>
                <w:bCs/>
              </w:rPr>
              <w:t>1 (4.1%)</w:t>
            </w:r>
          </w:p>
        </w:tc>
        <w:tc>
          <w:tcPr>
            <w:tcW w:w="0" w:type="auto"/>
            <w:hideMark/>
          </w:tcPr>
          <w:p w14:paraId="4B853B90" w14:textId="77777777" w:rsidR="00EB2D92" w:rsidRPr="00EB2D92" w:rsidRDefault="00EB2D92" w:rsidP="00504BD9">
            <w:pPr>
              <w:pStyle w:val="NoSpacing"/>
            </w:pPr>
            <w:r w:rsidRPr="00EB2D92">
              <w:t>=0.001</w:t>
            </w:r>
          </w:p>
        </w:tc>
        <w:tc>
          <w:tcPr>
            <w:tcW w:w="0" w:type="auto"/>
            <w:hideMark/>
          </w:tcPr>
          <w:p w14:paraId="514AEFF5" w14:textId="77777777" w:rsidR="00EB2D92" w:rsidRPr="00EB2D92" w:rsidRDefault="00EB2D92" w:rsidP="00504BD9">
            <w:pPr>
              <w:pStyle w:val="NoSpacing"/>
            </w:pPr>
            <w:r w:rsidRPr="00EB2D92">
              <w:t>80.9%</w:t>
            </w:r>
          </w:p>
        </w:tc>
        <w:tc>
          <w:tcPr>
            <w:tcW w:w="0" w:type="auto"/>
            <w:hideMark/>
          </w:tcPr>
          <w:p w14:paraId="42E47261" w14:textId="77777777" w:rsidR="00EB2D92" w:rsidRPr="00EB2D92" w:rsidRDefault="00EB2D92" w:rsidP="00504BD9">
            <w:pPr>
              <w:pStyle w:val="NoSpacing"/>
            </w:pPr>
            <w:r w:rsidRPr="00EB2D92">
              <w:t>93.8%</w:t>
            </w:r>
          </w:p>
        </w:tc>
        <w:tc>
          <w:tcPr>
            <w:tcW w:w="0" w:type="auto"/>
            <w:hideMark/>
          </w:tcPr>
          <w:p w14:paraId="5104CE0D" w14:textId="77777777" w:rsidR="00EB2D92" w:rsidRPr="00EB2D92" w:rsidRDefault="00EB2D92" w:rsidP="00504BD9">
            <w:pPr>
              <w:pStyle w:val="NoSpacing"/>
            </w:pPr>
            <w:r w:rsidRPr="00EB2D92">
              <w:t>65.2%</w:t>
            </w:r>
          </w:p>
        </w:tc>
        <w:tc>
          <w:tcPr>
            <w:tcW w:w="0" w:type="auto"/>
            <w:hideMark/>
          </w:tcPr>
          <w:p w14:paraId="4061A842" w14:textId="77777777" w:rsidR="00EB2D92" w:rsidRPr="00EB2D92" w:rsidRDefault="00EB2D92" w:rsidP="00504BD9">
            <w:pPr>
              <w:pStyle w:val="NoSpacing"/>
            </w:pPr>
            <w:r w:rsidRPr="00EB2D92">
              <w:t>95.8%</w:t>
            </w:r>
          </w:p>
        </w:tc>
      </w:tr>
      <w:tr w:rsidR="00EB2D92" w:rsidRPr="00EB2D92" w14:paraId="55CBC14A" w14:textId="77777777" w:rsidTr="00504BD9">
        <w:tc>
          <w:tcPr>
            <w:tcW w:w="0" w:type="auto"/>
            <w:hideMark/>
          </w:tcPr>
          <w:p w14:paraId="4DD8EFA0" w14:textId="77777777" w:rsidR="00EB2D92" w:rsidRPr="00EB2D92" w:rsidRDefault="00EB2D92" w:rsidP="00504BD9">
            <w:pPr>
              <w:pStyle w:val="NoSpacing"/>
            </w:pPr>
            <w:r w:rsidRPr="00EB2D92">
              <w:t> </w:t>
            </w:r>
            <w:r w:rsidRPr="00EB2D92">
              <w:t>Negative</w:t>
            </w:r>
          </w:p>
        </w:tc>
        <w:tc>
          <w:tcPr>
            <w:tcW w:w="0" w:type="auto"/>
            <w:hideMark/>
          </w:tcPr>
          <w:p w14:paraId="166DB7E7" w14:textId="77777777" w:rsidR="00EB2D92" w:rsidRPr="00EB2D92" w:rsidRDefault="00EB2D92" w:rsidP="00504BD9">
            <w:pPr>
              <w:pStyle w:val="NoSpacing"/>
            </w:pPr>
            <w:r w:rsidRPr="00EB2D92">
              <w:t>5</w:t>
            </w:r>
          </w:p>
        </w:tc>
        <w:tc>
          <w:tcPr>
            <w:tcW w:w="0" w:type="auto"/>
            <w:hideMark/>
          </w:tcPr>
          <w:p w14:paraId="0A34C62E" w14:textId="77777777" w:rsidR="00EB2D92" w:rsidRPr="00EB2D92" w:rsidRDefault="00EB2D92" w:rsidP="00504BD9">
            <w:pPr>
              <w:pStyle w:val="NoSpacing"/>
            </w:pPr>
            <w:r w:rsidRPr="00EB2D92">
              <w:t>13</w:t>
            </w:r>
          </w:p>
        </w:tc>
        <w:tc>
          <w:tcPr>
            <w:tcW w:w="0" w:type="auto"/>
            <w:hideMark/>
          </w:tcPr>
          <w:p w14:paraId="25A37B19" w14:textId="77777777" w:rsidR="00EB2D92" w:rsidRPr="00EB2D92" w:rsidRDefault="00EB2D92" w:rsidP="00504BD9">
            <w:pPr>
              <w:pStyle w:val="NoSpacing"/>
            </w:pPr>
            <w:r w:rsidRPr="00EB2D92">
              <w:t> </w:t>
            </w:r>
          </w:p>
        </w:tc>
        <w:tc>
          <w:tcPr>
            <w:tcW w:w="0" w:type="auto"/>
            <w:hideMark/>
          </w:tcPr>
          <w:p w14:paraId="0BB64441" w14:textId="77777777" w:rsidR="00EB2D92" w:rsidRPr="00EB2D92" w:rsidRDefault="00EB2D92" w:rsidP="00504BD9">
            <w:pPr>
              <w:pStyle w:val="NoSpacing"/>
            </w:pPr>
            <w:r w:rsidRPr="00EB2D92">
              <w:t> </w:t>
            </w:r>
          </w:p>
        </w:tc>
        <w:tc>
          <w:tcPr>
            <w:tcW w:w="0" w:type="auto"/>
            <w:hideMark/>
          </w:tcPr>
          <w:p w14:paraId="6A6520BE" w14:textId="77777777" w:rsidR="00EB2D92" w:rsidRPr="00EB2D92" w:rsidRDefault="00EB2D92" w:rsidP="00504BD9">
            <w:pPr>
              <w:pStyle w:val="NoSpacing"/>
            </w:pPr>
            <w:r w:rsidRPr="00EB2D92">
              <w:t> </w:t>
            </w:r>
          </w:p>
        </w:tc>
        <w:tc>
          <w:tcPr>
            <w:tcW w:w="0" w:type="auto"/>
            <w:hideMark/>
          </w:tcPr>
          <w:p w14:paraId="44A5FC87" w14:textId="77777777" w:rsidR="00EB2D92" w:rsidRPr="00EB2D92" w:rsidRDefault="00EB2D92" w:rsidP="00504BD9">
            <w:pPr>
              <w:pStyle w:val="NoSpacing"/>
            </w:pPr>
            <w:r w:rsidRPr="00EB2D92">
              <w:t> </w:t>
            </w:r>
          </w:p>
        </w:tc>
        <w:tc>
          <w:tcPr>
            <w:tcW w:w="0" w:type="auto"/>
            <w:hideMark/>
          </w:tcPr>
          <w:p w14:paraId="2ED5A946" w14:textId="77777777" w:rsidR="00EB2D92" w:rsidRPr="00EB2D92" w:rsidRDefault="00EB2D92" w:rsidP="00504BD9">
            <w:pPr>
              <w:pStyle w:val="NoSpacing"/>
            </w:pPr>
            <w:r w:rsidRPr="00EB2D92">
              <w:t> </w:t>
            </w:r>
          </w:p>
        </w:tc>
      </w:tr>
      <w:tr w:rsidR="00504BD9" w:rsidRPr="00EB2D92" w14:paraId="7FCBB054" w14:textId="77777777" w:rsidTr="00504BD9">
        <w:tc>
          <w:tcPr>
            <w:tcW w:w="0" w:type="auto"/>
          </w:tcPr>
          <w:p w14:paraId="1FD58316" w14:textId="0E36C3DA" w:rsidR="00504BD9" w:rsidRPr="00EB2D92" w:rsidRDefault="00504BD9" w:rsidP="00504BD9">
            <w:pPr>
              <w:pStyle w:val="NoSpacing"/>
            </w:pPr>
            <w:r w:rsidRPr="00504BD9">
              <w:t>Metallothionein</w:t>
            </w:r>
          </w:p>
        </w:tc>
        <w:tc>
          <w:tcPr>
            <w:tcW w:w="0" w:type="auto"/>
          </w:tcPr>
          <w:p w14:paraId="5D12A022" w14:textId="77777777" w:rsidR="00504BD9" w:rsidRPr="00EB2D92" w:rsidRDefault="00504BD9" w:rsidP="00504BD9">
            <w:pPr>
              <w:pStyle w:val="NoSpacing"/>
            </w:pPr>
          </w:p>
        </w:tc>
        <w:tc>
          <w:tcPr>
            <w:tcW w:w="0" w:type="auto"/>
          </w:tcPr>
          <w:p w14:paraId="2E961A95" w14:textId="77777777" w:rsidR="00504BD9" w:rsidRPr="00EB2D92" w:rsidRDefault="00504BD9" w:rsidP="00504BD9">
            <w:pPr>
              <w:pStyle w:val="NoSpacing"/>
            </w:pPr>
          </w:p>
        </w:tc>
        <w:tc>
          <w:tcPr>
            <w:tcW w:w="0" w:type="auto"/>
          </w:tcPr>
          <w:p w14:paraId="4F86A4FD" w14:textId="77777777" w:rsidR="00504BD9" w:rsidRPr="00EB2D92" w:rsidRDefault="00504BD9" w:rsidP="00504BD9">
            <w:pPr>
              <w:pStyle w:val="NoSpacing"/>
            </w:pPr>
          </w:p>
        </w:tc>
        <w:tc>
          <w:tcPr>
            <w:tcW w:w="0" w:type="auto"/>
          </w:tcPr>
          <w:p w14:paraId="7B745619" w14:textId="77777777" w:rsidR="00504BD9" w:rsidRPr="00EB2D92" w:rsidRDefault="00504BD9" w:rsidP="00504BD9">
            <w:pPr>
              <w:pStyle w:val="NoSpacing"/>
            </w:pPr>
          </w:p>
        </w:tc>
        <w:tc>
          <w:tcPr>
            <w:tcW w:w="0" w:type="auto"/>
          </w:tcPr>
          <w:p w14:paraId="3917F545" w14:textId="77777777" w:rsidR="00504BD9" w:rsidRPr="00EB2D92" w:rsidRDefault="00504BD9" w:rsidP="00504BD9">
            <w:pPr>
              <w:pStyle w:val="NoSpacing"/>
            </w:pPr>
          </w:p>
        </w:tc>
        <w:tc>
          <w:tcPr>
            <w:tcW w:w="0" w:type="auto"/>
          </w:tcPr>
          <w:p w14:paraId="67291907" w14:textId="77777777" w:rsidR="00504BD9" w:rsidRPr="00EB2D92" w:rsidRDefault="00504BD9" w:rsidP="00504BD9">
            <w:pPr>
              <w:pStyle w:val="NoSpacing"/>
            </w:pPr>
          </w:p>
        </w:tc>
        <w:tc>
          <w:tcPr>
            <w:tcW w:w="0" w:type="auto"/>
          </w:tcPr>
          <w:p w14:paraId="2EB20DE4" w14:textId="77777777" w:rsidR="00504BD9" w:rsidRPr="00EB2D92" w:rsidRDefault="00504BD9" w:rsidP="00504BD9">
            <w:pPr>
              <w:pStyle w:val="NoSpacing"/>
            </w:pPr>
          </w:p>
        </w:tc>
      </w:tr>
      <w:tr w:rsidR="00EB2D92" w:rsidRPr="00EB2D92" w14:paraId="734540C2" w14:textId="77777777" w:rsidTr="00504BD9">
        <w:tc>
          <w:tcPr>
            <w:tcW w:w="0" w:type="auto"/>
            <w:hideMark/>
          </w:tcPr>
          <w:p w14:paraId="7415CE88" w14:textId="77777777" w:rsidR="00EB2D92" w:rsidRPr="00EB2D92" w:rsidRDefault="00EB2D92" w:rsidP="00504BD9">
            <w:pPr>
              <w:pStyle w:val="NoSpacing"/>
            </w:pPr>
            <w:r w:rsidRPr="00EB2D92">
              <w:t> </w:t>
            </w:r>
            <w:r w:rsidRPr="00EB2D92">
              <w:t>Total positive</w:t>
            </w:r>
          </w:p>
        </w:tc>
        <w:tc>
          <w:tcPr>
            <w:tcW w:w="0" w:type="auto"/>
            <w:hideMark/>
          </w:tcPr>
          <w:p w14:paraId="03A123C2" w14:textId="77777777" w:rsidR="00EB2D92" w:rsidRPr="00EB2D92" w:rsidRDefault="00EB2D92" w:rsidP="00504BD9">
            <w:pPr>
              <w:pStyle w:val="NoSpacing"/>
            </w:pPr>
            <w:r w:rsidRPr="00EB2D92">
              <w:t>23 (100%)</w:t>
            </w:r>
          </w:p>
        </w:tc>
        <w:tc>
          <w:tcPr>
            <w:tcW w:w="0" w:type="auto"/>
            <w:hideMark/>
          </w:tcPr>
          <w:p w14:paraId="57E56FC4" w14:textId="77777777" w:rsidR="00EB2D92" w:rsidRPr="00EB2D92" w:rsidRDefault="00EB2D92" w:rsidP="00504BD9">
            <w:pPr>
              <w:pStyle w:val="NoSpacing"/>
            </w:pPr>
            <w:r w:rsidRPr="00EB2D92">
              <w:t>20 (83%)</w:t>
            </w:r>
          </w:p>
        </w:tc>
        <w:tc>
          <w:tcPr>
            <w:tcW w:w="0" w:type="auto"/>
            <w:hideMark/>
          </w:tcPr>
          <w:p w14:paraId="17FD8514" w14:textId="77777777" w:rsidR="00EB2D92" w:rsidRPr="00EB2D92" w:rsidRDefault="00EB2D92" w:rsidP="00504BD9">
            <w:pPr>
              <w:pStyle w:val="NoSpacing"/>
            </w:pPr>
            <w:r w:rsidRPr="00EB2D92">
              <w:t> </w:t>
            </w:r>
          </w:p>
        </w:tc>
        <w:tc>
          <w:tcPr>
            <w:tcW w:w="0" w:type="auto"/>
            <w:hideMark/>
          </w:tcPr>
          <w:p w14:paraId="73E6FFB1" w14:textId="77777777" w:rsidR="00EB2D92" w:rsidRPr="00EB2D92" w:rsidRDefault="00EB2D92" w:rsidP="00504BD9">
            <w:pPr>
              <w:pStyle w:val="NoSpacing"/>
            </w:pPr>
            <w:r w:rsidRPr="00EB2D92">
              <w:t> </w:t>
            </w:r>
          </w:p>
        </w:tc>
        <w:tc>
          <w:tcPr>
            <w:tcW w:w="0" w:type="auto"/>
            <w:hideMark/>
          </w:tcPr>
          <w:p w14:paraId="7FEC28AD" w14:textId="77777777" w:rsidR="00EB2D92" w:rsidRPr="00EB2D92" w:rsidRDefault="00EB2D92" w:rsidP="00504BD9">
            <w:pPr>
              <w:pStyle w:val="NoSpacing"/>
            </w:pPr>
            <w:r w:rsidRPr="00EB2D92">
              <w:t> </w:t>
            </w:r>
          </w:p>
        </w:tc>
        <w:tc>
          <w:tcPr>
            <w:tcW w:w="0" w:type="auto"/>
            <w:hideMark/>
          </w:tcPr>
          <w:p w14:paraId="21E16CF6" w14:textId="77777777" w:rsidR="00EB2D92" w:rsidRPr="00EB2D92" w:rsidRDefault="00EB2D92" w:rsidP="00504BD9">
            <w:pPr>
              <w:pStyle w:val="NoSpacing"/>
            </w:pPr>
            <w:r w:rsidRPr="00EB2D92">
              <w:t> </w:t>
            </w:r>
          </w:p>
        </w:tc>
        <w:tc>
          <w:tcPr>
            <w:tcW w:w="0" w:type="auto"/>
            <w:hideMark/>
          </w:tcPr>
          <w:p w14:paraId="601DD36F" w14:textId="77777777" w:rsidR="00EB2D92" w:rsidRPr="00EB2D92" w:rsidRDefault="00EB2D92" w:rsidP="00504BD9">
            <w:pPr>
              <w:pStyle w:val="NoSpacing"/>
            </w:pPr>
            <w:r w:rsidRPr="00EB2D92">
              <w:t> </w:t>
            </w:r>
          </w:p>
        </w:tc>
      </w:tr>
      <w:tr w:rsidR="00EB2D92" w:rsidRPr="00EB2D92" w14:paraId="5F439CE4" w14:textId="77777777" w:rsidTr="00504BD9">
        <w:tc>
          <w:tcPr>
            <w:tcW w:w="0" w:type="auto"/>
            <w:hideMark/>
          </w:tcPr>
          <w:p w14:paraId="42D240D9" w14:textId="77777777" w:rsidR="00EB2D92" w:rsidRPr="00EB2D92" w:rsidRDefault="00EB2D92" w:rsidP="00504BD9">
            <w:pPr>
              <w:pStyle w:val="NoSpacing"/>
            </w:pPr>
            <w:r w:rsidRPr="00EB2D92">
              <w:t> </w:t>
            </w:r>
            <w:r w:rsidRPr="00EB2D92">
              <w:t>Diffusely positive</w:t>
            </w:r>
          </w:p>
        </w:tc>
        <w:tc>
          <w:tcPr>
            <w:tcW w:w="0" w:type="auto"/>
            <w:hideMark/>
          </w:tcPr>
          <w:p w14:paraId="170E8DBD" w14:textId="77777777" w:rsidR="00EB2D92" w:rsidRPr="00840D31" w:rsidRDefault="00EB2D92" w:rsidP="00504BD9">
            <w:pPr>
              <w:pStyle w:val="NoSpacing"/>
              <w:rPr>
                <w:b/>
                <w:bCs/>
              </w:rPr>
            </w:pPr>
            <w:r w:rsidRPr="00840D31">
              <w:rPr>
                <w:b/>
                <w:bCs/>
              </w:rPr>
              <w:t>22 (95.7%)</w:t>
            </w:r>
          </w:p>
        </w:tc>
        <w:tc>
          <w:tcPr>
            <w:tcW w:w="0" w:type="auto"/>
            <w:hideMark/>
          </w:tcPr>
          <w:p w14:paraId="24605B63" w14:textId="77777777" w:rsidR="00EB2D92" w:rsidRPr="00840D31" w:rsidRDefault="00EB2D92" w:rsidP="00504BD9">
            <w:pPr>
              <w:pStyle w:val="NoSpacing"/>
              <w:rPr>
                <w:b/>
                <w:bCs/>
              </w:rPr>
            </w:pPr>
            <w:r w:rsidRPr="00840D31">
              <w:rPr>
                <w:b/>
                <w:bCs/>
              </w:rPr>
              <w:t>8 (33.3%)</w:t>
            </w:r>
          </w:p>
        </w:tc>
        <w:tc>
          <w:tcPr>
            <w:tcW w:w="0" w:type="auto"/>
            <w:hideMark/>
          </w:tcPr>
          <w:p w14:paraId="1F9EA2A2" w14:textId="77777777" w:rsidR="00EB2D92" w:rsidRPr="00EB2D92" w:rsidRDefault="00EB2D92" w:rsidP="00504BD9">
            <w:pPr>
              <w:pStyle w:val="NoSpacing"/>
            </w:pPr>
            <w:r w:rsidRPr="00EB2D92">
              <w:t>&lt;0.001</w:t>
            </w:r>
          </w:p>
        </w:tc>
        <w:tc>
          <w:tcPr>
            <w:tcW w:w="0" w:type="auto"/>
            <w:hideMark/>
          </w:tcPr>
          <w:p w14:paraId="23D1E723" w14:textId="77777777" w:rsidR="00EB2D92" w:rsidRPr="00EB2D92" w:rsidRDefault="00EB2D92" w:rsidP="00504BD9">
            <w:pPr>
              <w:pStyle w:val="NoSpacing"/>
            </w:pPr>
            <w:r w:rsidRPr="00EB2D92">
              <w:t>80.9%</w:t>
            </w:r>
          </w:p>
        </w:tc>
        <w:tc>
          <w:tcPr>
            <w:tcW w:w="0" w:type="auto"/>
            <w:hideMark/>
          </w:tcPr>
          <w:p w14:paraId="469CEBBA" w14:textId="77777777" w:rsidR="00EB2D92" w:rsidRPr="00EB2D92" w:rsidRDefault="00EB2D92" w:rsidP="00504BD9">
            <w:pPr>
              <w:pStyle w:val="NoSpacing"/>
            </w:pPr>
            <w:r w:rsidRPr="00EB2D92">
              <w:t>73.3%</w:t>
            </w:r>
          </w:p>
        </w:tc>
        <w:tc>
          <w:tcPr>
            <w:tcW w:w="0" w:type="auto"/>
            <w:hideMark/>
          </w:tcPr>
          <w:p w14:paraId="0D0C1963" w14:textId="77777777" w:rsidR="00EB2D92" w:rsidRPr="00EB2D92" w:rsidRDefault="00EB2D92" w:rsidP="00504BD9">
            <w:pPr>
              <w:pStyle w:val="NoSpacing"/>
            </w:pPr>
            <w:r w:rsidRPr="00EB2D92">
              <w:t>95.7%</w:t>
            </w:r>
          </w:p>
        </w:tc>
        <w:tc>
          <w:tcPr>
            <w:tcW w:w="0" w:type="auto"/>
            <w:hideMark/>
          </w:tcPr>
          <w:p w14:paraId="2436A423" w14:textId="77777777" w:rsidR="00EB2D92" w:rsidRPr="00EB2D92" w:rsidRDefault="00EB2D92" w:rsidP="00504BD9">
            <w:pPr>
              <w:pStyle w:val="NoSpacing"/>
            </w:pPr>
            <w:r w:rsidRPr="00EB2D92">
              <w:t>66.7%</w:t>
            </w:r>
          </w:p>
        </w:tc>
      </w:tr>
      <w:tr w:rsidR="00EB2D92" w:rsidRPr="00EB2D92" w14:paraId="0CC5F6A8" w14:textId="77777777" w:rsidTr="00504BD9">
        <w:tc>
          <w:tcPr>
            <w:tcW w:w="0" w:type="auto"/>
            <w:hideMark/>
          </w:tcPr>
          <w:p w14:paraId="3FE6D04A" w14:textId="77777777" w:rsidR="00EB2D92" w:rsidRPr="00EB2D92" w:rsidRDefault="00EB2D92" w:rsidP="00504BD9">
            <w:pPr>
              <w:pStyle w:val="NoSpacing"/>
            </w:pPr>
            <w:r w:rsidRPr="00EB2D92">
              <w:t> </w:t>
            </w:r>
            <w:r w:rsidRPr="00EB2D92">
              <w:t>Negative</w:t>
            </w:r>
          </w:p>
        </w:tc>
        <w:tc>
          <w:tcPr>
            <w:tcW w:w="0" w:type="auto"/>
            <w:hideMark/>
          </w:tcPr>
          <w:p w14:paraId="14D16B38" w14:textId="77777777" w:rsidR="00EB2D92" w:rsidRPr="00EB2D92" w:rsidRDefault="00EB2D92" w:rsidP="00504BD9">
            <w:pPr>
              <w:pStyle w:val="NoSpacing"/>
            </w:pPr>
            <w:r w:rsidRPr="00EB2D92">
              <w:t>0</w:t>
            </w:r>
          </w:p>
        </w:tc>
        <w:tc>
          <w:tcPr>
            <w:tcW w:w="0" w:type="auto"/>
            <w:hideMark/>
          </w:tcPr>
          <w:p w14:paraId="410B0FFF" w14:textId="77777777" w:rsidR="00EB2D92" w:rsidRPr="00EB2D92" w:rsidRDefault="00EB2D92" w:rsidP="00504BD9">
            <w:pPr>
              <w:pStyle w:val="NoSpacing"/>
            </w:pPr>
            <w:r w:rsidRPr="00EB2D92">
              <w:t>4</w:t>
            </w:r>
          </w:p>
        </w:tc>
        <w:tc>
          <w:tcPr>
            <w:tcW w:w="0" w:type="auto"/>
            <w:hideMark/>
          </w:tcPr>
          <w:p w14:paraId="60717C81" w14:textId="77777777" w:rsidR="00EB2D92" w:rsidRPr="00EB2D92" w:rsidRDefault="00EB2D92" w:rsidP="00504BD9">
            <w:pPr>
              <w:pStyle w:val="NoSpacing"/>
            </w:pPr>
            <w:r w:rsidRPr="00EB2D92">
              <w:t> </w:t>
            </w:r>
          </w:p>
        </w:tc>
        <w:tc>
          <w:tcPr>
            <w:tcW w:w="0" w:type="auto"/>
            <w:hideMark/>
          </w:tcPr>
          <w:p w14:paraId="7CC25D04" w14:textId="77777777" w:rsidR="00EB2D92" w:rsidRPr="00EB2D92" w:rsidRDefault="00EB2D92" w:rsidP="00504BD9">
            <w:pPr>
              <w:pStyle w:val="NoSpacing"/>
            </w:pPr>
            <w:r w:rsidRPr="00EB2D92">
              <w:t> </w:t>
            </w:r>
          </w:p>
        </w:tc>
        <w:tc>
          <w:tcPr>
            <w:tcW w:w="0" w:type="auto"/>
            <w:hideMark/>
          </w:tcPr>
          <w:p w14:paraId="477761D5" w14:textId="77777777" w:rsidR="00EB2D92" w:rsidRPr="00EB2D92" w:rsidRDefault="00EB2D92" w:rsidP="00504BD9">
            <w:pPr>
              <w:pStyle w:val="NoSpacing"/>
            </w:pPr>
            <w:r w:rsidRPr="00EB2D92">
              <w:t> </w:t>
            </w:r>
          </w:p>
        </w:tc>
        <w:tc>
          <w:tcPr>
            <w:tcW w:w="0" w:type="auto"/>
            <w:hideMark/>
          </w:tcPr>
          <w:p w14:paraId="49F0FA20" w14:textId="77777777" w:rsidR="00EB2D92" w:rsidRPr="00EB2D92" w:rsidRDefault="00EB2D92" w:rsidP="00504BD9">
            <w:pPr>
              <w:pStyle w:val="NoSpacing"/>
            </w:pPr>
            <w:r w:rsidRPr="00EB2D92">
              <w:t> </w:t>
            </w:r>
          </w:p>
        </w:tc>
        <w:tc>
          <w:tcPr>
            <w:tcW w:w="0" w:type="auto"/>
            <w:hideMark/>
          </w:tcPr>
          <w:p w14:paraId="3CB87DFC" w14:textId="77777777" w:rsidR="00EB2D92" w:rsidRPr="00EB2D92" w:rsidRDefault="00EB2D92" w:rsidP="00504BD9">
            <w:pPr>
              <w:pStyle w:val="NoSpacing"/>
            </w:pPr>
            <w:r w:rsidRPr="00EB2D92">
              <w:t> </w:t>
            </w:r>
          </w:p>
        </w:tc>
      </w:tr>
      <w:tr w:rsidR="00504BD9" w:rsidRPr="00EB2D92" w14:paraId="7A4AE64F" w14:textId="77777777" w:rsidTr="00504BD9">
        <w:tc>
          <w:tcPr>
            <w:tcW w:w="0" w:type="auto"/>
          </w:tcPr>
          <w:p w14:paraId="4D3A793E" w14:textId="02C21843" w:rsidR="00504BD9" w:rsidRPr="00EB2D92" w:rsidRDefault="00504BD9" w:rsidP="00504BD9">
            <w:pPr>
              <w:pStyle w:val="NoSpacing"/>
            </w:pPr>
            <w:proofErr w:type="spellStart"/>
            <w:r w:rsidRPr="00504BD9">
              <w:t>Maspin</w:t>
            </w:r>
            <w:proofErr w:type="spellEnd"/>
          </w:p>
        </w:tc>
        <w:tc>
          <w:tcPr>
            <w:tcW w:w="0" w:type="auto"/>
          </w:tcPr>
          <w:p w14:paraId="574A1DDB" w14:textId="77777777" w:rsidR="00504BD9" w:rsidRPr="00EB2D92" w:rsidRDefault="00504BD9" w:rsidP="00504BD9">
            <w:pPr>
              <w:pStyle w:val="NoSpacing"/>
            </w:pPr>
          </w:p>
        </w:tc>
        <w:tc>
          <w:tcPr>
            <w:tcW w:w="0" w:type="auto"/>
          </w:tcPr>
          <w:p w14:paraId="51684EB2" w14:textId="77777777" w:rsidR="00504BD9" w:rsidRPr="00EB2D92" w:rsidRDefault="00504BD9" w:rsidP="00504BD9">
            <w:pPr>
              <w:pStyle w:val="NoSpacing"/>
            </w:pPr>
          </w:p>
        </w:tc>
        <w:tc>
          <w:tcPr>
            <w:tcW w:w="0" w:type="auto"/>
          </w:tcPr>
          <w:p w14:paraId="299FF156" w14:textId="77777777" w:rsidR="00504BD9" w:rsidRPr="00EB2D92" w:rsidRDefault="00504BD9" w:rsidP="00504BD9">
            <w:pPr>
              <w:pStyle w:val="NoSpacing"/>
            </w:pPr>
          </w:p>
        </w:tc>
        <w:tc>
          <w:tcPr>
            <w:tcW w:w="0" w:type="auto"/>
          </w:tcPr>
          <w:p w14:paraId="77FA2E94" w14:textId="77777777" w:rsidR="00504BD9" w:rsidRPr="00EB2D92" w:rsidRDefault="00504BD9" w:rsidP="00504BD9">
            <w:pPr>
              <w:pStyle w:val="NoSpacing"/>
            </w:pPr>
          </w:p>
        </w:tc>
        <w:tc>
          <w:tcPr>
            <w:tcW w:w="0" w:type="auto"/>
          </w:tcPr>
          <w:p w14:paraId="53D9E8C3" w14:textId="77777777" w:rsidR="00504BD9" w:rsidRPr="00EB2D92" w:rsidRDefault="00504BD9" w:rsidP="00504BD9">
            <w:pPr>
              <w:pStyle w:val="NoSpacing"/>
            </w:pPr>
          </w:p>
        </w:tc>
        <w:tc>
          <w:tcPr>
            <w:tcW w:w="0" w:type="auto"/>
          </w:tcPr>
          <w:p w14:paraId="69C36A90" w14:textId="77777777" w:rsidR="00504BD9" w:rsidRPr="00EB2D92" w:rsidRDefault="00504BD9" w:rsidP="00504BD9">
            <w:pPr>
              <w:pStyle w:val="NoSpacing"/>
            </w:pPr>
          </w:p>
        </w:tc>
        <w:tc>
          <w:tcPr>
            <w:tcW w:w="0" w:type="auto"/>
          </w:tcPr>
          <w:p w14:paraId="08DBFB78" w14:textId="77777777" w:rsidR="00504BD9" w:rsidRPr="00EB2D92" w:rsidRDefault="00504BD9" w:rsidP="00504BD9">
            <w:pPr>
              <w:pStyle w:val="NoSpacing"/>
            </w:pPr>
          </w:p>
        </w:tc>
      </w:tr>
      <w:tr w:rsidR="00EB2D92" w:rsidRPr="00EB2D92" w14:paraId="5A567430" w14:textId="77777777" w:rsidTr="00504BD9">
        <w:tc>
          <w:tcPr>
            <w:tcW w:w="0" w:type="auto"/>
            <w:hideMark/>
          </w:tcPr>
          <w:p w14:paraId="7E07E8F3" w14:textId="77777777" w:rsidR="00EB2D92" w:rsidRPr="00EB2D92" w:rsidRDefault="00EB2D92" w:rsidP="00504BD9">
            <w:pPr>
              <w:pStyle w:val="NoSpacing"/>
            </w:pPr>
            <w:r w:rsidRPr="00EB2D92">
              <w:t> </w:t>
            </w:r>
            <w:r w:rsidRPr="00EB2D92">
              <w:t>Total positive</w:t>
            </w:r>
          </w:p>
        </w:tc>
        <w:tc>
          <w:tcPr>
            <w:tcW w:w="0" w:type="auto"/>
            <w:hideMark/>
          </w:tcPr>
          <w:p w14:paraId="1080AF09" w14:textId="77777777" w:rsidR="00EB2D92" w:rsidRPr="00EB2D92" w:rsidRDefault="00EB2D92" w:rsidP="00504BD9">
            <w:pPr>
              <w:pStyle w:val="NoSpacing"/>
            </w:pPr>
            <w:r w:rsidRPr="00EB2D92">
              <w:t>23 (100%)</w:t>
            </w:r>
          </w:p>
        </w:tc>
        <w:tc>
          <w:tcPr>
            <w:tcW w:w="0" w:type="auto"/>
            <w:hideMark/>
          </w:tcPr>
          <w:p w14:paraId="33C7B061" w14:textId="77777777" w:rsidR="00EB2D92" w:rsidRPr="00EB2D92" w:rsidRDefault="00EB2D92" w:rsidP="00504BD9">
            <w:pPr>
              <w:pStyle w:val="NoSpacing"/>
            </w:pPr>
            <w:r w:rsidRPr="00EB2D92">
              <w:t>22 (91.6%)</w:t>
            </w:r>
          </w:p>
        </w:tc>
        <w:tc>
          <w:tcPr>
            <w:tcW w:w="0" w:type="auto"/>
            <w:hideMark/>
          </w:tcPr>
          <w:p w14:paraId="0EC6575A" w14:textId="77777777" w:rsidR="00EB2D92" w:rsidRPr="00EB2D92" w:rsidRDefault="00EB2D92" w:rsidP="00504BD9">
            <w:pPr>
              <w:pStyle w:val="NoSpacing"/>
            </w:pPr>
            <w:r w:rsidRPr="00EB2D92">
              <w:t> </w:t>
            </w:r>
          </w:p>
        </w:tc>
        <w:tc>
          <w:tcPr>
            <w:tcW w:w="0" w:type="auto"/>
            <w:hideMark/>
          </w:tcPr>
          <w:p w14:paraId="6A11D090" w14:textId="77777777" w:rsidR="00EB2D92" w:rsidRPr="00EB2D92" w:rsidRDefault="00EB2D92" w:rsidP="00504BD9">
            <w:pPr>
              <w:pStyle w:val="NoSpacing"/>
            </w:pPr>
            <w:r w:rsidRPr="00EB2D92">
              <w:t> </w:t>
            </w:r>
          </w:p>
        </w:tc>
        <w:tc>
          <w:tcPr>
            <w:tcW w:w="0" w:type="auto"/>
            <w:hideMark/>
          </w:tcPr>
          <w:p w14:paraId="487B1F58" w14:textId="77777777" w:rsidR="00EB2D92" w:rsidRPr="00EB2D92" w:rsidRDefault="00EB2D92" w:rsidP="00504BD9">
            <w:pPr>
              <w:pStyle w:val="NoSpacing"/>
            </w:pPr>
            <w:r w:rsidRPr="00EB2D92">
              <w:t> </w:t>
            </w:r>
          </w:p>
        </w:tc>
        <w:tc>
          <w:tcPr>
            <w:tcW w:w="0" w:type="auto"/>
            <w:hideMark/>
          </w:tcPr>
          <w:p w14:paraId="366E568D" w14:textId="77777777" w:rsidR="00EB2D92" w:rsidRPr="00EB2D92" w:rsidRDefault="00EB2D92" w:rsidP="00504BD9">
            <w:pPr>
              <w:pStyle w:val="NoSpacing"/>
            </w:pPr>
            <w:r w:rsidRPr="00EB2D92">
              <w:t> </w:t>
            </w:r>
          </w:p>
        </w:tc>
        <w:tc>
          <w:tcPr>
            <w:tcW w:w="0" w:type="auto"/>
            <w:hideMark/>
          </w:tcPr>
          <w:p w14:paraId="41FB220F" w14:textId="77777777" w:rsidR="00EB2D92" w:rsidRPr="00EB2D92" w:rsidRDefault="00EB2D92" w:rsidP="00504BD9">
            <w:pPr>
              <w:pStyle w:val="NoSpacing"/>
            </w:pPr>
            <w:r w:rsidRPr="00EB2D92">
              <w:t> </w:t>
            </w:r>
          </w:p>
        </w:tc>
      </w:tr>
      <w:tr w:rsidR="00EB2D92" w:rsidRPr="00EB2D92" w14:paraId="395CC5FF" w14:textId="77777777" w:rsidTr="00504BD9">
        <w:tc>
          <w:tcPr>
            <w:tcW w:w="0" w:type="auto"/>
            <w:hideMark/>
          </w:tcPr>
          <w:p w14:paraId="41B42E01" w14:textId="77777777" w:rsidR="00EB2D92" w:rsidRPr="00EB2D92" w:rsidRDefault="00EB2D92" w:rsidP="00504BD9">
            <w:pPr>
              <w:pStyle w:val="NoSpacing"/>
            </w:pPr>
            <w:r w:rsidRPr="00EB2D92">
              <w:t> </w:t>
            </w:r>
            <w:r w:rsidRPr="00EB2D92">
              <w:t>Diffusely positive</w:t>
            </w:r>
          </w:p>
        </w:tc>
        <w:tc>
          <w:tcPr>
            <w:tcW w:w="0" w:type="auto"/>
            <w:hideMark/>
          </w:tcPr>
          <w:p w14:paraId="3855AAAA" w14:textId="77777777" w:rsidR="00EB2D92" w:rsidRPr="00840D31" w:rsidRDefault="00EB2D92" w:rsidP="00504BD9">
            <w:pPr>
              <w:pStyle w:val="NoSpacing"/>
              <w:rPr>
                <w:b/>
                <w:bCs/>
              </w:rPr>
            </w:pPr>
            <w:r w:rsidRPr="00840D31">
              <w:rPr>
                <w:b/>
                <w:bCs/>
              </w:rPr>
              <w:t>22 (95.7%)</w:t>
            </w:r>
          </w:p>
        </w:tc>
        <w:tc>
          <w:tcPr>
            <w:tcW w:w="0" w:type="auto"/>
            <w:hideMark/>
          </w:tcPr>
          <w:p w14:paraId="49810E7A" w14:textId="77777777" w:rsidR="00EB2D92" w:rsidRPr="00840D31" w:rsidRDefault="00EB2D92" w:rsidP="00504BD9">
            <w:pPr>
              <w:pStyle w:val="NoSpacing"/>
              <w:rPr>
                <w:b/>
                <w:bCs/>
              </w:rPr>
            </w:pPr>
            <w:r w:rsidRPr="00840D31">
              <w:rPr>
                <w:b/>
                <w:bCs/>
              </w:rPr>
              <w:t>14 (58.3%)</w:t>
            </w:r>
          </w:p>
        </w:tc>
        <w:tc>
          <w:tcPr>
            <w:tcW w:w="0" w:type="auto"/>
            <w:hideMark/>
          </w:tcPr>
          <w:p w14:paraId="77154C89" w14:textId="77777777" w:rsidR="00EB2D92" w:rsidRPr="00EB2D92" w:rsidRDefault="00EB2D92" w:rsidP="00504BD9">
            <w:pPr>
              <w:pStyle w:val="NoSpacing"/>
            </w:pPr>
            <w:r w:rsidRPr="00EB2D92">
              <w:t>0.014</w:t>
            </w:r>
          </w:p>
        </w:tc>
        <w:tc>
          <w:tcPr>
            <w:tcW w:w="0" w:type="auto"/>
            <w:hideMark/>
          </w:tcPr>
          <w:p w14:paraId="07262B65" w14:textId="77777777" w:rsidR="00EB2D92" w:rsidRPr="00EB2D92" w:rsidRDefault="00EB2D92" w:rsidP="00504BD9">
            <w:pPr>
              <w:pStyle w:val="NoSpacing"/>
            </w:pPr>
            <w:r w:rsidRPr="00EB2D92">
              <w:t>68.1%</w:t>
            </w:r>
          </w:p>
        </w:tc>
        <w:tc>
          <w:tcPr>
            <w:tcW w:w="0" w:type="auto"/>
            <w:hideMark/>
          </w:tcPr>
          <w:p w14:paraId="5E5B6C79" w14:textId="77777777" w:rsidR="00EB2D92" w:rsidRPr="00EB2D92" w:rsidRDefault="00EB2D92" w:rsidP="00504BD9">
            <w:pPr>
              <w:pStyle w:val="NoSpacing"/>
            </w:pPr>
            <w:r w:rsidRPr="00EB2D92">
              <w:t>61%</w:t>
            </w:r>
          </w:p>
        </w:tc>
        <w:tc>
          <w:tcPr>
            <w:tcW w:w="0" w:type="auto"/>
            <w:hideMark/>
          </w:tcPr>
          <w:p w14:paraId="745D534B" w14:textId="77777777" w:rsidR="00EB2D92" w:rsidRPr="00EB2D92" w:rsidRDefault="00EB2D92" w:rsidP="00504BD9">
            <w:pPr>
              <w:pStyle w:val="NoSpacing"/>
            </w:pPr>
            <w:r w:rsidRPr="00EB2D92">
              <w:t>95.7%</w:t>
            </w:r>
          </w:p>
        </w:tc>
        <w:tc>
          <w:tcPr>
            <w:tcW w:w="0" w:type="auto"/>
            <w:hideMark/>
          </w:tcPr>
          <w:p w14:paraId="3B514F52" w14:textId="77777777" w:rsidR="00EB2D92" w:rsidRPr="00EB2D92" w:rsidRDefault="00EB2D92" w:rsidP="00504BD9">
            <w:pPr>
              <w:pStyle w:val="NoSpacing"/>
            </w:pPr>
            <w:r w:rsidRPr="00EB2D92">
              <w:t>41.7%</w:t>
            </w:r>
          </w:p>
        </w:tc>
      </w:tr>
      <w:tr w:rsidR="00EB2D92" w:rsidRPr="00EB2D92" w14:paraId="41F267C0" w14:textId="77777777" w:rsidTr="00504BD9">
        <w:tc>
          <w:tcPr>
            <w:tcW w:w="0" w:type="auto"/>
            <w:hideMark/>
          </w:tcPr>
          <w:p w14:paraId="37248CDF" w14:textId="77777777" w:rsidR="00EB2D92" w:rsidRPr="00EB2D92" w:rsidRDefault="00EB2D92" w:rsidP="00504BD9">
            <w:pPr>
              <w:pStyle w:val="NoSpacing"/>
            </w:pPr>
            <w:r w:rsidRPr="00EB2D92">
              <w:t> </w:t>
            </w:r>
            <w:r w:rsidRPr="00EB2D92">
              <w:t>Negative</w:t>
            </w:r>
          </w:p>
        </w:tc>
        <w:tc>
          <w:tcPr>
            <w:tcW w:w="0" w:type="auto"/>
            <w:hideMark/>
          </w:tcPr>
          <w:p w14:paraId="103D1A8F" w14:textId="77777777" w:rsidR="00EB2D92" w:rsidRPr="00EB2D92" w:rsidRDefault="00EB2D92" w:rsidP="00504BD9">
            <w:pPr>
              <w:pStyle w:val="NoSpacing"/>
            </w:pPr>
            <w:r w:rsidRPr="00EB2D92">
              <w:t>0</w:t>
            </w:r>
          </w:p>
        </w:tc>
        <w:tc>
          <w:tcPr>
            <w:tcW w:w="0" w:type="auto"/>
            <w:hideMark/>
          </w:tcPr>
          <w:p w14:paraId="1330A7BC" w14:textId="77777777" w:rsidR="00EB2D92" w:rsidRPr="00EB2D92" w:rsidRDefault="00EB2D92" w:rsidP="00504BD9">
            <w:pPr>
              <w:pStyle w:val="NoSpacing"/>
            </w:pPr>
            <w:r w:rsidRPr="00EB2D92">
              <w:t>2</w:t>
            </w:r>
          </w:p>
        </w:tc>
        <w:tc>
          <w:tcPr>
            <w:tcW w:w="0" w:type="auto"/>
            <w:hideMark/>
          </w:tcPr>
          <w:p w14:paraId="4C9F8B39" w14:textId="77777777" w:rsidR="00EB2D92" w:rsidRPr="00EB2D92" w:rsidRDefault="00EB2D92" w:rsidP="00504BD9">
            <w:pPr>
              <w:pStyle w:val="NoSpacing"/>
            </w:pPr>
            <w:r w:rsidRPr="00EB2D92">
              <w:t> </w:t>
            </w:r>
          </w:p>
        </w:tc>
        <w:tc>
          <w:tcPr>
            <w:tcW w:w="0" w:type="auto"/>
            <w:hideMark/>
          </w:tcPr>
          <w:p w14:paraId="1FACDED4" w14:textId="77777777" w:rsidR="00EB2D92" w:rsidRPr="00EB2D92" w:rsidRDefault="00EB2D92" w:rsidP="00504BD9">
            <w:pPr>
              <w:pStyle w:val="NoSpacing"/>
            </w:pPr>
            <w:r w:rsidRPr="00EB2D92">
              <w:t> </w:t>
            </w:r>
          </w:p>
        </w:tc>
        <w:tc>
          <w:tcPr>
            <w:tcW w:w="0" w:type="auto"/>
            <w:hideMark/>
          </w:tcPr>
          <w:p w14:paraId="45ED2BAE" w14:textId="77777777" w:rsidR="00EB2D92" w:rsidRPr="00EB2D92" w:rsidRDefault="00EB2D92" w:rsidP="00504BD9">
            <w:pPr>
              <w:pStyle w:val="NoSpacing"/>
            </w:pPr>
            <w:r w:rsidRPr="00EB2D92">
              <w:t> </w:t>
            </w:r>
          </w:p>
        </w:tc>
        <w:tc>
          <w:tcPr>
            <w:tcW w:w="0" w:type="auto"/>
            <w:hideMark/>
          </w:tcPr>
          <w:p w14:paraId="36B182AF" w14:textId="77777777" w:rsidR="00EB2D92" w:rsidRPr="00EB2D92" w:rsidRDefault="00EB2D92" w:rsidP="00504BD9">
            <w:pPr>
              <w:pStyle w:val="NoSpacing"/>
            </w:pPr>
            <w:r w:rsidRPr="00EB2D92">
              <w:t> </w:t>
            </w:r>
          </w:p>
        </w:tc>
        <w:tc>
          <w:tcPr>
            <w:tcW w:w="0" w:type="auto"/>
            <w:hideMark/>
          </w:tcPr>
          <w:p w14:paraId="52EF508F" w14:textId="77777777" w:rsidR="00EB2D92" w:rsidRPr="00EB2D92" w:rsidRDefault="00EB2D92" w:rsidP="00504BD9">
            <w:pPr>
              <w:pStyle w:val="NoSpacing"/>
            </w:pPr>
            <w:r w:rsidRPr="00EB2D92">
              <w:t> </w:t>
            </w:r>
          </w:p>
        </w:tc>
      </w:tr>
      <w:tr w:rsidR="00504BD9" w:rsidRPr="00EB2D92" w14:paraId="141D5580" w14:textId="77777777" w:rsidTr="00504BD9">
        <w:tc>
          <w:tcPr>
            <w:tcW w:w="0" w:type="auto"/>
          </w:tcPr>
          <w:p w14:paraId="13DEF556" w14:textId="4645C44D" w:rsidR="00504BD9" w:rsidRPr="00EB2D92" w:rsidRDefault="00504BD9" w:rsidP="00504BD9">
            <w:pPr>
              <w:pStyle w:val="NoSpacing"/>
            </w:pPr>
            <w:r w:rsidRPr="00504BD9">
              <w:t>p63</w:t>
            </w:r>
          </w:p>
        </w:tc>
        <w:tc>
          <w:tcPr>
            <w:tcW w:w="0" w:type="auto"/>
          </w:tcPr>
          <w:p w14:paraId="6B76AD72" w14:textId="77777777" w:rsidR="00504BD9" w:rsidRPr="00EB2D92" w:rsidRDefault="00504BD9" w:rsidP="00504BD9">
            <w:pPr>
              <w:pStyle w:val="NoSpacing"/>
            </w:pPr>
          </w:p>
        </w:tc>
        <w:tc>
          <w:tcPr>
            <w:tcW w:w="0" w:type="auto"/>
          </w:tcPr>
          <w:p w14:paraId="42E8DA03" w14:textId="77777777" w:rsidR="00504BD9" w:rsidRPr="00EB2D92" w:rsidRDefault="00504BD9" w:rsidP="00504BD9">
            <w:pPr>
              <w:pStyle w:val="NoSpacing"/>
            </w:pPr>
          </w:p>
        </w:tc>
        <w:tc>
          <w:tcPr>
            <w:tcW w:w="0" w:type="auto"/>
          </w:tcPr>
          <w:p w14:paraId="7A0078A2" w14:textId="77777777" w:rsidR="00504BD9" w:rsidRPr="00EB2D92" w:rsidRDefault="00504BD9" w:rsidP="00504BD9">
            <w:pPr>
              <w:pStyle w:val="NoSpacing"/>
            </w:pPr>
          </w:p>
        </w:tc>
        <w:tc>
          <w:tcPr>
            <w:tcW w:w="0" w:type="auto"/>
          </w:tcPr>
          <w:p w14:paraId="7F20CCFE" w14:textId="77777777" w:rsidR="00504BD9" w:rsidRPr="00EB2D92" w:rsidRDefault="00504BD9" w:rsidP="00504BD9">
            <w:pPr>
              <w:pStyle w:val="NoSpacing"/>
            </w:pPr>
          </w:p>
        </w:tc>
        <w:tc>
          <w:tcPr>
            <w:tcW w:w="0" w:type="auto"/>
          </w:tcPr>
          <w:p w14:paraId="28652D14" w14:textId="77777777" w:rsidR="00504BD9" w:rsidRPr="00EB2D92" w:rsidRDefault="00504BD9" w:rsidP="00504BD9">
            <w:pPr>
              <w:pStyle w:val="NoSpacing"/>
            </w:pPr>
          </w:p>
        </w:tc>
        <w:tc>
          <w:tcPr>
            <w:tcW w:w="0" w:type="auto"/>
          </w:tcPr>
          <w:p w14:paraId="4C7F1508" w14:textId="77777777" w:rsidR="00504BD9" w:rsidRPr="00EB2D92" w:rsidRDefault="00504BD9" w:rsidP="00504BD9">
            <w:pPr>
              <w:pStyle w:val="NoSpacing"/>
            </w:pPr>
          </w:p>
        </w:tc>
        <w:tc>
          <w:tcPr>
            <w:tcW w:w="0" w:type="auto"/>
          </w:tcPr>
          <w:p w14:paraId="4256B9A9" w14:textId="77777777" w:rsidR="00504BD9" w:rsidRPr="00EB2D92" w:rsidRDefault="00504BD9" w:rsidP="00504BD9">
            <w:pPr>
              <w:pStyle w:val="NoSpacing"/>
            </w:pPr>
          </w:p>
        </w:tc>
      </w:tr>
      <w:tr w:rsidR="00EB2D92" w:rsidRPr="00EB2D92" w14:paraId="0F66123A" w14:textId="77777777" w:rsidTr="00504BD9">
        <w:tc>
          <w:tcPr>
            <w:tcW w:w="0" w:type="auto"/>
            <w:hideMark/>
          </w:tcPr>
          <w:p w14:paraId="067B7DBD" w14:textId="77777777" w:rsidR="00EB2D92" w:rsidRPr="00EB2D92" w:rsidRDefault="00EB2D92" w:rsidP="00504BD9">
            <w:pPr>
              <w:pStyle w:val="NoSpacing"/>
            </w:pPr>
            <w:r w:rsidRPr="00EB2D92">
              <w:t> </w:t>
            </w:r>
            <w:r w:rsidRPr="00EB2D92">
              <w:t>Total positive</w:t>
            </w:r>
          </w:p>
        </w:tc>
        <w:tc>
          <w:tcPr>
            <w:tcW w:w="0" w:type="auto"/>
            <w:hideMark/>
          </w:tcPr>
          <w:p w14:paraId="4A937235" w14:textId="77777777" w:rsidR="00EB2D92" w:rsidRPr="00EB2D92" w:rsidRDefault="00EB2D92" w:rsidP="00504BD9">
            <w:pPr>
              <w:pStyle w:val="NoSpacing"/>
            </w:pPr>
            <w:r w:rsidRPr="00EB2D92">
              <w:t>22 (95.6%)</w:t>
            </w:r>
          </w:p>
        </w:tc>
        <w:tc>
          <w:tcPr>
            <w:tcW w:w="0" w:type="auto"/>
            <w:hideMark/>
          </w:tcPr>
          <w:p w14:paraId="15913E16" w14:textId="77777777" w:rsidR="00EB2D92" w:rsidRPr="00EB2D92" w:rsidRDefault="00EB2D92" w:rsidP="00504BD9">
            <w:pPr>
              <w:pStyle w:val="NoSpacing"/>
            </w:pPr>
            <w:r w:rsidRPr="00EB2D92">
              <w:t>20 (83%)</w:t>
            </w:r>
          </w:p>
        </w:tc>
        <w:tc>
          <w:tcPr>
            <w:tcW w:w="0" w:type="auto"/>
            <w:hideMark/>
          </w:tcPr>
          <w:p w14:paraId="00079BE0" w14:textId="77777777" w:rsidR="00EB2D92" w:rsidRPr="00EB2D92" w:rsidRDefault="00EB2D92" w:rsidP="00504BD9">
            <w:pPr>
              <w:pStyle w:val="NoSpacing"/>
            </w:pPr>
            <w:r w:rsidRPr="00EB2D92">
              <w:t> </w:t>
            </w:r>
          </w:p>
        </w:tc>
        <w:tc>
          <w:tcPr>
            <w:tcW w:w="0" w:type="auto"/>
            <w:hideMark/>
          </w:tcPr>
          <w:p w14:paraId="3EF39799" w14:textId="77777777" w:rsidR="00EB2D92" w:rsidRPr="00EB2D92" w:rsidRDefault="00EB2D92" w:rsidP="00504BD9">
            <w:pPr>
              <w:pStyle w:val="NoSpacing"/>
            </w:pPr>
            <w:r w:rsidRPr="00EB2D92">
              <w:t> </w:t>
            </w:r>
          </w:p>
        </w:tc>
        <w:tc>
          <w:tcPr>
            <w:tcW w:w="0" w:type="auto"/>
            <w:hideMark/>
          </w:tcPr>
          <w:p w14:paraId="220B9D68" w14:textId="77777777" w:rsidR="00EB2D92" w:rsidRPr="00EB2D92" w:rsidRDefault="00EB2D92" w:rsidP="00504BD9">
            <w:pPr>
              <w:pStyle w:val="NoSpacing"/>
            </w:pPr>
            <w:r w:rsidRPr="00EB2D92">
              <w:t> </w:t>
            </w:r>
          </w:p>
        </w:tc>
        <w:tc>
          <w:tcPr>
            <w:tcW w:w="0" w:type="auto"/>
            <w:hideMark/>
          </w:tcPr>
          <w:p w14:paraId="32A25136" w14:textId="77777777" w:rsidR="00EB2D92" w:rsidRPr="00EB2D92" w:rsidRDefault="00EB2D92" w:rsidP="00504BD9">
            <w:pPr>
              <w:pStyle w:val="NoSpacing"/>
            </w:pPr>
            <w:r w:rsidRPr="00EB2D92">
              <w:t> </w:t>
            </w:r>
          </w:p>
        </w:tc>
        <w:tc>
          <w:tcPr>
            <w:tcW w:w="0" w:type="auto"/>
            <w:hideMark/>
          </w:tcPr>
          <w:p w14:paraId="18124176" w14:textId="77777777" w:rsidR="00EB2D92" w:rsidRPr="00EB2D92" w:rsidRDefault="00EB2D92" w:rsidP="00504BD9">
            <w:pPr>
              <w:pStyle w:val="NoSpacing"/>
            </w:pPr>
            <w:r w:rsidRPr="00EB2D92">
              <w:t> </w:t>
            </w:r>
          </w:p>
        </w:tc>
      </w:tr>
      <w:tr w:rsidR="00EB2D92" w:rsidRPr="00EB2D92" w14:paraId="148FDC46" w14:textId="77777777" w:rsidTr="00504BD9">
        <w:tc>
          <w:tcPr>
            <w:tcW w:w="0" w:type="auto"/>
            <w:hideMark/>
          </w:tcPr>
          <w:p w14:paraId="59D6040D" w14:textId="77777777" w:rsidR="00EB2D92" w:rsidRPr="00EB2D92" w:rsidRDefault="00EB2D92" w:rsidP="00504BD9">
            <w:pPr>
              <w:pStyle w:val="NoSpacing"/>
            </w:pPr>
            <w:r w:rsidRPr="00EB2D92">
              <w:t> </w:t>
            </w:r>
            <w:r w:rsidRPr="00EB2D92">
              <w:t>Diffusely positive</w:t>
            </w:r>
          </w:p>
        </w:tc>
        <w:tc>
          <w:tcPr>
            <w:tcW w:w="0" w:type="auto"/>
            <w:hideMark/>
          </w:tcPr>
          <w:p w14:paraId="02663D6B" w14:textId="77777777" w:rsidR="00EB2D92" w:rsidRPr="00840D31" w:rsidRDefault="00EB2D92" w:rsidP="00504BD9">
            <w:pPr>
              <w:pStyle w:val="NoSpacing"/>
              <w:rPr>
                <w:b/>
                <w:bCs/>
              </w:rPr>
            </w:pPr>
            <w:r w:rsidRPr="00840D31">
              <w:rPr>
                <w:b/>
                <w:bCs/>
              </w:rPr>
              <w:t>21 (91.3%)</w:t>
            </w:r>
          </w:p>
        </w:tc>
        <w:tc>
          <w:tcPr>
            <w:tcW w:w="0" w:type="auto"/>
            <w:hideMark/>
          </w:tcPr>
          <w:p w14:paraId="274EEB6B" w14:textId="77777777" w:rsidR="00EB2D92" w:rsidRPr="00840D31" w:rsidRDefault="00EB2D92" w:rsidP="00504BD9">
            <w:pPr>
              <w:pStyle w:val="NoSpacing"/>
              <w:rPr>
                <w:b/>
                <w:bCs/>
              </w:rPr>
            </w:pPr>
            <w:r w:rsidRPr="00840D31">
              <w:rPr>
                <w:b/>
                <w:bCs/>
              </w:rPr>
              <w:t>14 (58.3%)</w:t>
            </w:r>
          </w:p>
        </w:tc>
        <w:tc>
          <w:tcPr>
            <w:tcW w:w="0" w:type="auto"/>
            <w:hideMark/>
          </w:tcPr>
          <w:p w14:paraId="19AA2E89" w14:textId="77777777" w:rsidR="00EB2D92" w:rsidRPr="00EB2D92" w:rsidRDefault="00EB2D92" w:rsidP="00504BD9">
            <w:pPr>
              <w:pStyle w:val="NoSpacing"/>
            </w:pPr>
            <w:r w:rsidRPr="00EB2D92">
              <w:t>0.054</w:t>
            </w:r>
          </w:p>
        </w:tc>
        <w:tc>
          <w:tcPr>
            <w:tcW w:w="0" w:type="auto"/>
            <w:hideMark/>
          </w:tcPr>
          <w:p w14:paraId="30C7ECE7" w14:textId="77777777" w:rsidR="00EB2D92" w:rsidRPr="00EB2D92" w:rsidRDefault="00EB2D92" w:rsidP="00504BD9">
            <w:pPr>
              <w:pStyle w:val="NoSpacing"/>
            </w:pPr>
            <w:r w:rsidRPr="00EB2D92">
              <w:t>66%</w:t>
            </w:r>
          </w:p>
        </w:tc>
        <w:tc>
          <w:tcPr>
            <w:tcW w:w="0" w:type="auto"/>
            <w:hideMark/>
          </w:tcPr>
          <w:p w14:paraId="00D81710" w14:textId="77777777" w:rsidR="00EB2D92" w:rsidRPr="00EB2D92" w:rsidRDefault="00EB2D92" w:rsidP="00504BD9">
            <w:pPr>
              <w:pStyle w:val="NoSpacing"/>
            </w:pPr>
            <w:r w:rsidRPr="00EB2D92">
              <w:t>60%</w:t>
            </w:r>
          </w:p>
        </w:tc>
        <w:tc>
          <w:tcPr>
            <w:tcW w:w="0" w:type="auto"/>
            <w:hideMark/>
          </w:tcPr>
          <w:p w14:paraId="7CF97CAD" w14:textId="77777777" w:rsidR="00EB2D92" w:rsidRPr="00EB2D92" w:rsidRDefault="00EB2D92" w:rsidP="00504BD9">
            <w:pPr>
              <w:pStyle w:val="NoSpacing"/>
            </w:pPr>
            <w:r w:rsidRPr="00EB2D92">
              <w:t>91.3%</w:t>
            </w:r>
          </w:p>
        </w:tc>
        <w:tc>
          <w:tcPr>
            <w:tcW w:w="0" w:type="auto"/>
            <w:hideMark/>
          </w:tcPr>
          <w:p w14:paraId="0A30FE13" w14:textId="77777777" w:rsidR="00EB2D92" w:rsidRPr="00EB2D92" w:rsidRDefault="00EB2D92" w:rsidP="00504BD9">
            <w:pPr>
              <w:pStyle w:val="NoSpacing"/>
            </w:pPr>
            <w:r w:rsidRPr="00EB2D92">
              <w:t>41.7%</w:t>
            </w:r>
          </w:p>
        </w:tc>
      </w:tr>
      <w:tr w:rsidR="00EB2D92" w:rsidRPr="00EB2D92" w14:paraId="0196D4F4" w14:textId="77777777" w:rsidTr="00504BD9">
        <w:tc>
          <w:tcPr>
            <w:tcW w:w="0" w:type="auto"/>
            <w:hideMark/>
          </w:tcPr>
          <w:p w14:paraId="6E0213D6" w14:textId="77777777" w:rsidR="00EB2D92" w:rsidRPr="00EB2D92" w:rsidRDefault="00EB2D92" w:rsidP="00504BD9">
            <w:pPr>
              <w:pStyle w:val="NoSpacing"/>
            </w:pPr>
            <w:r w:rsidRPr="00EB2D92">
              <w:t> </w:t>
            </w:r>
            <w:r w:rsidRPr="00EB2D92">
              <w:t>Negative</w:t>
            </w:r>
          </w:p>
        </w:tc>
        <w:tc>
          <w:tcPr>
            <w:tcW w:w="0" w:type="auto"/>
            <w:hideMark/>
          </w:tcPr>
          <w:p w14:paraId="60BFF19A" w14:textId="77777777" w:rsidR="00EB2D92" w:rsidRPr="00EB2D92" w:rsidRDefault="00EB2D92" w:rsidP="00504BD9">
            <w:pPr>
              <w:pStyle w:val="NoSpacing"/>
            </w:pPr>
            <w:r w:rsidRPr="00EB2D92">
              <w:t>1</w:t>
            </w:r>
          </w:p>
        </w:tc>
        <w:tc>
          <w:tcPr>
            <w:tcW w:w="0" w:type="auto"/>
            <w:hideMark/>
          </w:tcPr>
          <w:p w14:paraId="3EA47A56" w14:textId="77777777" w:rsidR="00EB2D92" w:rsidRPr="00EB2D92" w:rsidRDefault="00EB2D92" w:rsidP="00504BD9">
            <w:pPr>
              <w:pStyle w:val="NoSpacing"/>
            </w:pPr>
            <w:r w:rsidRPr="00EB2D92">
              <w:t>4</w:t>
            </w:r>
          </w:p>
        </w:tc>
        <w:tc>
          <w:tcPr>
            <w:tcW w:w="0" w:type="auto"/>
            <w:hideMark/>
          </w:tcPr>
          <w:p w14:paraId="46F60378" w14:textId="77777777" w:rsidR="00EB2D92" w:rsidRPr="00EB2D92" w:rsidRDefault="00EB2D92" w:rsidP="00504BD9">
            <w:pPr>
              <w:pStyle w:val="NoSpacing"/>
            </w:pPr>
            <w:r w:rsidRPr="00EB2D92">
              <w:t> </w:t>
            </w:r>
          </w:p>
        </w:tc>
        <w:tc>
          <w:tcPr>
            <w:tcW w:w="0" w:type="auto"/>
            <w:hideMark/>
          </w:tcPr>
          <w:p w14:paraId="66EFDE58" w14:textId="77777777" w:rsidR="00EB2D92" w:rsidRPr="00EB2D92" w:rsidRDefault="00EB2D92" w:rsidP="00504BD9">
            <w:pPr>
              <w:pStyle w:val="NoSpacing"/>
            </w:pPr>
            <w:r w:rsidRPr="00EB2D92">
              <w:t> </w:t>
            </w:r>
          </w:p>
        </w:tc>
        <w:tc>
          <w:tcPr>
            <w:tcW w:w="0" w:type="auto"/>
            <w:hideMark/>
          </w:tcPr>
          <w:p w14:paraId="1B31C850" w14:textId="77777777" w:rsidR="00EB2D92" w:rsidRPr="00EB2D92" w:rsidRDefault="00EB2D92" w:rsidP="00504BD9">
            <w:pPr>
              <w:pStyle w:val="NoSpacing"/>
            </w:pPr>
            <w:r w:rsidRPr="00EB2D92">
              <w:t> </w:t>
            </w:r>
          </w:p>
        </w:tc>
        <w:tc>
          <w:tcPr>
            <w:tcW w:w="0" w:type="auto"/>
            <w:hideMark/>
          </w:tcPr>
          <w:p w14:paraId="5FDE5F94" w14:textId="77777777" w:rsidR="00EB2D92" w:rsidRPr="00EB2D92" w:rsidRDefault="00EB2D92" w:rsidP="00504BD9">
            <w:pPr>
              <w:pStyle w:val="NoSpacing"/>
            </w:pPr>
            <w:r w:rsidRPr="00EB2D92">
              <w:t> </w:t>
            </w:r>
          </w:p>
        </w:tc>
        <w:tc>
          <w:tcPr>
            <w:tcW w:w="0" w:type="auto"/>
            <w:hideMark/>
          </w:tcPr>
          <w:p w14:paraId="7105ABA5" w14:textId="77777777" w:rsidR="00EB2D92" w:rsidRPr="00EB2D92" w:rsidRDefault="00EB2D92" w:rsidP="00504BD9">
            <w:pPr>
              <w:pStyle w:val="NoSpacing"/>
            </w:pPr>
            <w:r w:rsidRPr="00EB2D92">
              <w:t> </w:t>
            </w:r>
          </w:p>
        </w:tc>
      </w:tr>
    </w:tbl>
    <w:p w14:paraId="1274396F" w14:textId="77777777" w:rsidR="00EB2D92" w:rsidRPr="00EB2D92" w:rsidRDefault="00EB2D92" w:rsidP="00504BD9">
      <w:pPr>
        <w:spacing w:after="0"/>
      </w:pPr>
      <w:r w:rsidRPr="00EB2D92">
        <w:t>ACC, adenoid cystic carcinoma; PLGA, polymorphous low-grade adenocarcinoma; PPV, positive predictive value.</w:t>
      </w:r>
    </w:p>
    <w:p w14:paraId="0FCC11EC" w14:textId="77777777" w:rsidR="00EB2D92" w:rsidRPr="00EB2D92" w:rsidRDefault="00EB2D92" w:rsidP="00504BD9">
      <w:pPr>
        <w:spacing w:after="0"/>
      </w:pPr>
      <w:r w:rsidRPr="00EB2D92">
        <w:rPr>
          <w:vertAlign w:val="superscript"/>
        </w:rPr>
        <w:t>a</w:t>
      </w:r>
      <w:r w:rsidRPr="00EB2D92">
        <w:rPr>
          <w:i/>
          <w:iCs/>
        </w:rPr>
        <w:t>χ</w:t>
      </w:r>
      <w:r w:rsidRPr="00EB2D92">
        <w:rPr>
          <w:vertAlign w:val="superscript"/>
        </w:rPr>
        <w:t>2</w:t>
      </w:r>
      <w:r w:rsidRPr="00EB2D92">
        <w:t> for trend (significant if </w:t>
      </w:r>
      <w:r w:rsidRPr="00EB2D92">
        <w:rPr>
          <w:i/>
          <w:iCs/>
        </w:rPr>
        <w:t>P</w:t>
      </w:r>
      <w:r w:rsidRPr="00EB2D92">
        <w:t>&lt;0.01) calculated for diffuse expression (in bold).</w:t>
      </w:r>
    </w:p>
    <w:p w14:paraId="22D84B5D" w14:textId="77777777" w:rsidR="00EB2D92" w:rsidRPr="00EB2D92" w:rsidRDefault="00EB2D92" w:rsidP="00504BD9">
      <w:pPr>
        <w:spacing w:after="0"/>
      </w:pPr>
      <w:proofErr w:type="spellStart"/>
      <w:r w:rsidRPr="00EB2D92">
        <w:rPr>
          <w:vertAlign w:val="superscript"/>
        </w:rPr>
        <w:t>b</w:t>
      </w:r>
      <w:r w:rsidRPr="00EB2D92">
        <w:t>Using</w:t>
      </w:r>
      <w:proofErr w:type="spellEnd"/>
      <w:r w:rsidRPr="00EB2D92">
        <w:t xml:space="preserve"> only diffuse expression as positive for the diagnosis of ACC.</w:t>
      </w:r>
    </w:p>
    <w:p w14:paraId="5962AF3E" w14:textId="77777777" w:rsidR="00EB2D92" w:rsidRDefault="00EB2D92" w:rsidP="006435DB"/>
    <w:p w14:paraId="20327FB7" w14:textId="7F57B953" w:rsidR="006435DB" w:rsidRPr="006435DB" w:rsidRDefault="006435DB" w:rsidP="006435DB">
      <w:pPr>
        <w:rPr>
          <w:rFonts w:cstheme="minorHAnsi"/>
          <w:sz w:val="24"/>
          <w:szCs w:val="24"/>
        </w:rPr>
      </w:pPr>
      <w:r w:rsidRPr="006435DB">
        <w:rPr>
          <w:rFonts w:cstheme="minorHAnsi"/>
          <w:sz w:val="24"/>
          <w:szCs w:val="24"/>
        </w:rPr>
        <w:t>Adenoid cystic carcinoma showed strong and diffuse cytoplasmic expression of smooth muscle actin, calponin, and smooth muscle myosin heavy chain in the peripheral, abluminal tumor cells (</w:t>
      </w:r>
      <w:r w:rsidRPr="00ED2AAE">
        <w:rPr>
          <w:rFonts w:cstheme="minorHAnsi"/>
          <w:sz w:val="24"/>
          <w:szCs w:val="24"/>
        </w:rPr>
        <w:t>Figure 2</w:t>
      </w:r>
      <w:r w:rsidRPr="006435DB">
        <w:rPr>
          <w:rFonts w:cstheme="minorHAnsi"/>
          <w:sz w:val="24"/>
          <w:szCs w:val="24"/>
        </w:rPr>
        <w:t xml:space="preserve">). The luminal cells showed variable staining from being completely negative to positive. Luminal cells that lined spaces containing basement membrane type or mucinous material were usually positive while those lining true lumina and displaying epithelial features were negative. Variable expression was also seen in cells that were in between the peripheral and the luminal cells (intermediate cells). Similarly, nuclear and cytoplasmic expression of metallothionein and </w:t>
      </w:r>
      <w:proofErr w:type="spellStart"/>
      <w:r w:rsidRPr="006435DB">
        <w:rPr>
          <w:rFonts w:cstheme="minorHAnsi"/>
          <w:sz w:val="24"/>
          <w:szCs w:val="24"/>
        </w:rPr>
        <w:t>maspin</w:t>
      </w:r>
      <w:proofErr w:type="spellEnd"/>
      <w:r w:rsidRPr="006435DB">
        <w:rPr>
          <w:rFonts w:cstheme="minorHAnsi"/>
          <w:sz w:val="24"/>
          <w:szCs w:val="24"/>
        </w:rPr>
        <w:t>, and nuclear expression of p63 was seen in the peripheral abluminal cells, intermediate cells, and in some luminal cells (</w:t>
      </w:r>
      <w:r w:rsidRPr="00ED2AAE">
        <w:rPr>
          <w:rFonts w:cstheme="minorHAnsi"/>
          <w:sz w:val="24"/>
          <w:szCs w:val="24"/>
        </w:rPr>
        <w:t>Figure 2</w:t>
      </w:r>
      <w:r w:rsidRPr="006435DB">
        <w:rPr>
          <w:rFonts w:cstheme="minorHAnsi"/>
          <w:sz w:val="24"/>
          <w:szCs w:val="24"/>
        </w:rPr>
        <w:t>). The expression of all markers was markedly diminished in adenoid cystic carcinoma with solid areas. Two predominantly solid adenoid cystic carcinoma with necrosis and brisk mitoses showed a single layer of positive cells at the periphery of solid tumor cell nests (</w:t>
      </w:r>
      <w:r w:rsidRPr="00ED2AAE">
        <w:rPr>
          <w:rFonts w:cstheme="minorHAnsi"/>
          <w:sz w:val="24"/>
          <w:szCs w:val="24"/>
        </w:rPr>
        <w:t>Figure 3</w:t>
      </w:r>
      <w:r w:rsidRPr="006435DB">
        <w:rPr>
          <w:rFonts w:cstheme="minorHAnsi"/>
          <w:sz w:val="24"/>
          <w:szCs w:val="24"/>
        </w:rPr>
        <w:t>), with absent or occasional expression in the remaining tumor cells.</w:t>
      </w:r>
    </w:p>
    <w:p w14:paraId="3F2912C5" w14:textId="70B46674" w:rsidR="006435DB" w:rsidRPr="006435DB" w:rsidRDefault="006435DB" w:rsidP="0003728E">
      <w:pPr>
        <w:pStyle w:val="NoSpacing"/>
      </w:pPr>
      <w:r w:rsidRPr="006435DB">
        <w:rPr>
          <w:noProof/>
        </w:rPr>
        <w:drawing>
          <wp:inline distT="0" distB="0" distL="0" distR="0" wp14:anchorId="2B6FD815" wp14:editId="7B42065B">
            <wp:extent cx="2743200" cy="2752344"/>
            <wp:effectExtent l="0" t="0" r="0" b="0"/>
            <wp:docPr id="5" name="Picture 5" descr="fig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2752344"/>
                    </a:xfrm>
                    <a:prstGeom prst="rect">
                      <a:avLst/>
                    </a:prstGeom>
                    <a:noFill/>
                    <a:ln>
                      <a:noFill/>
                    </a:ln>
                  </pic:spPr>
                </pic:pic>
              </a:graphicData>
            </a:graphic>
          </wp:inline>
        </w:drawing>
      </w:r>
    </w:p>
    <w:p w14:paraId="25C1E0CA" w14:textId="4DBD891D" w:rsidR="006435DB" w:rsidRPr="006435DB" w:rsidRDefault="0003728E" w:rsidP="0003728E">
      <w:pPr>
        <w:pStyle w:val="NoSpacing"/>
      </w:pPr>
      <w:r w:rsidRPr="0003728E">
        <w:rPr>
          <w:b/>
          <w:bCs/>
        </w:rPr>
        <w:t>Figure 2</w:t>
      </w:r>
      <w:r>
        <w:t xml:space="preserve">. </w:t>
      </w:r>
      <w:r w:rsidR="006435DB" w:rsidRPr="006435DB">
        <w:t>Immunohistochemistry showing expression of smooth muscle actin (</w:t>
      </w:r>
      <w:r w:rsidR="006435DB" w:rsidRPr="006435DB">
        <w:rPr>
          <w:b/>
          <w:bCs/>
        </w:rPr>
        <w:t>a</w:t>
      </w:r>
      <w:r w:rsidR="006435DB" w:rsidRPr="006435DB">
        <w:t xml:space="preserve"> adenoid cystic carcinoma (ACC)-diffusely positive, </w:t>
      </w:r>
      <w:r w:rsidR="006435DB" w:rsidRPr="006435DB">
        <w:rPr>
          <w:b/>
          <w:bCs/>
        </w:rPr>
        <w:t>d</w:t>
      </w:r>
      <w:r w:rsidR="006435DB" w:rsidRPr="006435DB">
        <w:t xml:space="preserve"> polymorphous low-grade adenocarcinoma (PLGA)-negative) calponin (</w:t>
      </w:r>
      <w:r w:rsidR="006435DB" w:rsidRPr="006435DB">
        <w:rPr>
          <w:b/>
          <w:bCs/>
        </w:rPr>
        <w:t>b</w:t>
      </w:r>
      <w:r w:rsidR="006435DB" w:rsidRPr="006435DB">
        <w:t xml:space="preserve"> ACC-diffusely positive, </w:t>
      </w:r>
      <w:r w:rsidR="006435DB" w:rsidRPr="006435DB">
        <w:rPr>
          <w:b/>
          <w:bCs/>
        </w:rPr>
        <w:t>e</w:t>
      </w:r>
      <w:r w:rsidR="006435DB" w:rsidRPr="006435DB">
        <w:t xml:space="preserve"> PLGA-negative), smooth muscle myosin heavy chain (</w:t>
      </w:r>
      <w:r w:rsidR="006435DB" w:rsidRPr="006435DB">
        <w:rPr>
          <w:b/>
          <w:bCs/>
        </w:rPr>
        <w:t>c</w:t>
      </w:r>
      <w:r w:rsidR="006435DB" w:rsidRPr="006435DB">
        <w:t xml:space="preserve"> ACC-positive, </w:t>
      </w:r>
      <w:r w:rsidR="006435DB" w:rsidRPr="006435DB">
        <w:rPr>
          <w:b/>
          <w:bCs/>
        </w:rPr>
        <w:t>f</w:t>
      </w:r>
      <w:r w:rsidR="006435DB" w:rsidRPr="006435DB">
        <w:t xml:space="preserve"> PLGA-negative), metallothionein (</w:t>
      </w:r>
      <w:r w:rsidR="006435DB" w:rsidRPr="006435DB">
        <w:rPr>
          <w:b/>
          <w:bCs/>
        </w:rPr>
        <w:t>g</w:t>
      </w:r>
      <w:r w:rsidR="006435DB" w:rsidRPr="006435DB">
        <w:t xml:space="preserve"> ACC-diffusely positive, </w:t>
      </w:r>
      <w:r w:rsidR="006435DB" w:rsidRPr="006435DB">
        <w:rPr>
          <w:b/>
          <w:bCs/>
        </w:rPr>
        <w:t>j</w:t>
      </w:r>
      <w:r w:rsidR="006435DB" w:rsidRPr="006435DB">
        <w:t xml:space="preserve"> PLGA-negative), </w:t>
      </w:r>
      <w:proofErr w:type="spellStart"/>
      <w:r w:rsidR="006435DB" w:rsidRPr="006435DB">
        <w:t>maspin</w:t>
      </w:r>
      <w:proofErr w:type="spellEnd"/>
      <w:r w:rsidR="006435DB" w:rsidRPr="006435DB">
        <w:t xml:space="preserve"> (</w:t>
      </w:r>
      <w:r w:rsidR="006435DB" w:rsidRPr="006435DB">
        <w:rPr>
          <w:b/>
          <w:bCs/>
        </w:rPr>
        <w:t>h</w:t>
      </w:r>
      <w:r w:rsidR="006435DB" w:rsidRPr="006435DB">
        <w:t xml:space="preserve"> ACC-positive, </w:t>
      </w:r>
      <w:r w:rsidR="006435DB" w:rsidRPr="006435DB">
        <w:rPr>
          <w:b/>
          <w:bCs/>
        </w:rPr>
        <w:t>k</w:t>
      </w:r>
      <w:r w:rsidR="006435DB" w:rsidRPr="006435DB">
        <w:t xml:space="preserve"> PLGA-positive), and p63 (</w:t>
      </w:r>
      <w:r w:rsidR="006435DB" w:rsidRPr="006435DB">
        <w:rPr>
          <w:b/>
          <w:bCs/>
        </w:rPr>
        <w:t>i</w:t>
      </w:r>
      <w:r w:rsidR="006435DB" w:rsidRPr="006435DB">
        <w:t xml:space="preserve"> ACC-positive, </w:t>
      </w:r>
      <w:r w:rsidR="006435DB" w:rsidRPr="006435DB">
        <w:rPr>
          <w:b/>
          <w:bCs/>
        </w:rPr>
        <w:t>l</w:t>
      </w:r>
      <w:r w:rsidR="006435DB" w:rsidRPr="006435DB">
        <w:t xml:space="preserve"> PLGA-positive). Smooth muscle actin, calponin, and smooth muscle myosin heavy chain show cytoplasmic staining, metallothionein and </w:t>
      </w:r>
      <w:proofErr w:type="spellStart"/>
      <w:r w:rsidR="006435DB" w:rsidRPr="006435DB">
        <w:t>maspin</w:t>
      </w:r>
      <w:proofErr w:type="spellEnd"/>
      <w:r w:rsidR="006435DB" w:rsidRPr="006435DB">
        <w:t xml:space="preserve"> show nuclear and cytoplasmic staining, and p63 shows nuclear staining reaction only.</w:t>
      </w:r>
    </w:p>
    <w:p w14:paraId="56C00350" w14:textId="579F30B7" w:rsidR="006435DB" w:rsidRPr="006435DB" w:rsidRDefault="006435DB" w:rsidP="0003728E">
      <w:pPr>
        <w:pStyle w:val="NoSpacing"/>
      </w:pPr>
      <w:r w:rsidRPr="006435DB">
        <w:rPr>
          <w:noProof/>
        </w:rPr>
        <w:drawing>
          <wp:inline distT="0" distB="0" distL="0" distR="0" wp14:anchorId="7CC15CDD" wp14:editId="6807EAAD">
            <wp:extent cx="2743200" cy="1362456"/>
            <wp:effectExtent l="0" t="0" r="0" b="9525"/>
            <wp:docPr id="4" name="Picture 4" descr="fig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3">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1362456"/>
                    </a:xfrm>
                    <a:prstGeom prst="rect">
                      <a:avLst/>
                    </a:prstGeom>
                    <a:noFill/>
                    <a:ln>
                      <a:noFill/>
                    </a:ln>
                  </pic:spPr>
                </pic:pic>
              </a:graphicData>
            </a:graphic>
          </wp:inline>
        </w:drawing>
      </w:r>
    </w:p>
    <w:p w14:paraId="1F4BF52C" w14:textId="3DE6E540" w:rsidR="006435DB" w:rsidRPr="006435DB" w:rsidRDefault="0003728E" w:rsidP="0003728E">
      <w:pPr>
        <w:pStyle w:val="NoSpacing"/>
      </w:pPr>
      <w:r w:rsidRPr="0003728E">
        <w:rPr>
          <w:b/>
          <w:bCs/>
        </w:rPr>
        <w:t>Figure 3</w:t>
      </w:r>
      <w:r>
        <w:t xml:space="preserve">. </w:t>
      </w:r>
      <w:r w:rsidR="006435DB" w:rsidRPr="006435DB">
        <w:t xml:space="preserve">Immunohistochemistry in a solid adenoid cystic carcinoma with necrosis and high mitotic rate (same as </w:t>
      </w:r>
      <w:r w:rsidR="006435DB" w:rsidRPr="00ED2AAE">
        <w:rPr>
          <w:rFonts w:cstheme="minorHAnsi"/>
          <w:sz w:val="24"/>
          <w:szCs w:val="24"/>
        </w:rPr>
        <w:t>Figure 1e</w:t>
      </w:r>
      <w:r w:rsidR="006435DB" w:rsidRPr="006435DB">
        <w:t>). (</w:t>
      </w:r>
      <w:r w:rsidR="006435DB" w:rsidRPr="006435DB">
        <w:rPr>
          <w:b/>
          <w:bCs/>
        </w:rPr>
        <w:t>a</w:t>
      </w:r>
      <w:r w:rsidR="006435DB" w:rsidRPr="006435DB">
        <w:t>) Smooth muscle actin, (</w:t>
      </w:r>
      <w:r w:rsidR="006435DB" w:rsidRPr="006435DB">
        <w:rPr>
          <w:b/>
          <w:bCs/>
        </w:rPr>
        <w:t>b</w:t>
      </w:r>
      <w:r w:rsidR="006435DB" w:rsidRPr="006435DB">
        <w:t>) Calponin, (</w:t>
      </w:r>
      <w:r w:rsidR="006435DB" w:rsidRPr="006435DB">
        <w:rPr>
          <w:b/>
          <w:bCs/>
        </w:rPr>
        <w:t>c</w:t>
      </w:r>
      <w:r w:rsidR="006435DB" w:rsidRPr="006435DB">
        <w:t>) Smooth muscle myosin heavy chain, (</w:t>
      </w:r>
      <w:r w:rsidR="006435DB" w:rsidRPr="006435DB">
        <w:rPr>
          <w:b/>
          <w:bCs/>
        </w:rPr>
        <w:t>d</w:t>
      </w:r>
      <w:r w:rsidR="006435DB" w:rsidRPr="006435DB">
        <w:t>) metallothionein, (</w:t>
      </w:r>
      <w:r w:rsidR="006435DB" w:rsidRPr="006435DB">
        <w:rPr>
          <w:b/>
          <w:bCs/>
        </w:rPr>
        <w:t>e</w:t>
      </w:r>
      <w:r w:rsidR="006435DB" w:rsidRPr="006435DB">
        <w:t xml:space="preserve">) </w:t>
      </w:r>
      <w:proofErr w:type="spellStart"/>
      <w:r w:rsidR="006435DB" w:rsidRPr="006435DB">
        <w:t>maspin</w:t>
      </w:r>
      <w:proofErr w:type="spellEnd"/>
      <w:r w:rsidR="006435DB" w:rsidRPr="006435DB">
        <w:t>, (</w:t>
      </w:r>
      <w:r w:rsidR="006435DB" w:rsidRPr="006435DB">
        <w:rPr>
          <w:b/>
          <w:bCs/>
        </w:rPr>
        <w:t>f</w:t>
      </w:r>
      <w:r w:rsidR="006435DB" w:rsidRPr="006435DB">
        <w:t>) p63. Scant expression of myoepithelial/basal cell markers seen at the periphery of tumor cell nests. Tumor necrosis is seen to the right side of all images.</w:t>
      </w:r>
    </w:p>
    <w:p w14:paraId="26B8084B" w14:textId="77777777" w:rsidR="0003728E" w:rsidRDefault="0003728E" w:rsidP="006435DB"/>
    <w:p w14:paraId="421D01A4" w14:textId="1DFFC867" w:rsidR="006435DB" w:rsidRPr="006435DB" w:rsidRDefault="006435DB" w:rsidP="006435DB">
      <w:pPr>
        <w:rPr>
          <w:rFonts w:cstheme="minorHAnsi"/>
          <w:sz w:val="24"/>
          <w:szCs w:val="24"/>
        </w:rPr>
      </w:pPr>
      <w:r w:rsidRPr="006435DB">
        <w:rPr>
          <w:rFonts w:cstheme="minorHAnsi"/>
          <w:sz w:val="24"/>
          <w:szCs w:val="24"/>
        </w:rPr>
        <w:t>In most polymorphous low-grade adenocarcinoma, tumor cells were completely negative or focally positive for smooth muscle actin, calponin, and smooth muscle myosin heavy chain (</w:t>
      </w:r>
      <w:r w:rsidRPr="00ED2AAE">
        <w:rPr>
          <w:rFonts w:cstheme="minorHAnsi"/>
          <w:sz w:val="24"/>
          <w:szCs w:val="24"/>
        </w:rPr>
        <w:t>Figure 2d–f</w:t>
      </w:r>
      <w:r w:rsidRPr="006435DB">
        <w:rPr>
          <w:rFonts w:cstheme="minorHAnsi"/>
          <w:sz w:val="24"/>
          <w:szCs w:val="24"/>
        </w:rPr>
        <w:t xml:space="preserve">). Diffuse expression of metallothionein, </w:t>
      </w:r>
      <w:proofErr w:type="spellStart"/>
      <w:r w:rsidRPr="006435DB">
        <w:rPr>
          <w:rFonts w:cstheme="minorHAnsi"/>
          <w:sz w:val="24"/>
          <w:szCs w:val="24"/>
        </w:rPr>
        <w:t>maspin</w:t>
      </w:r>
      <w:proofErr w:type="spellEnd"/>
      <w:r w:rsidRPr="006435DB">
        <w:rPr>
          <w:rFonts w:cstheme="minorHAnsi"/>
          <w:sz w:val="24"/>
          <w:szCs w:val="24"/>
        </w:rPr>
        <w:t>, and p63 was seen in eight (33%), 14 (58%) and 14 polymorphous low-grade adenocarcinoma (58%) respectively, while the expression was negative or focal in the remaining (</w:t>
      </w:r>
      <w:r w:rsidRPr="00ED2AAE">
        <w:rPr>
          <w:rFonts w:cstheme="minorHAnsi"/>
          <w:sz w:val="24"/>
          <w:szCs w:val="24"/>
        </w:rPr>
        <w:t>Table 3</w:t>
      </w:r>
      <w:r w:rsidRPr="006435DB">
        <w:rPr>
          <w:rFonts w:cstheme="minorHAnsi"/>
          <w:sz w:val="24"/>
          <w:szCs w:val="24"/>
        </w:rPr>
        <w:t xml:space="preserve">). When diffusely expressed, tumor cell nuclei uniformly stained with metallothionein, </w:t>
      </w:r>
      <w:proofErr w:type="spellStart"/>
      <w:r w:rsidRPr="006435DB">
        <w:rPr>
          <w:rFonts w:cstheme="minorHAnsi"/>
          <w:sz w:val="24"/>
          <w:szCs w:val="24"/>
        </w:rPr>
        <w:t>maspin</w:t>
      </w:r>
      <w:proofErr w:type="spellEnd"/>
      <w:r w:rsidRPr="006435DB">
        <w:rPr>
          <w:rFonts w:cstheme="minorHAnsi"/>
          <w:sz w:val="24"/>
          <w:szCs w:val="24"/>
        </w:rPr>
        <w:t>, and p63, and did not show the zonal distribution pattern seen in adenoid cystic carcinoma (</w:t>
      </w:r>
      <w:r w:rsidRPr="00ED2AAE">
        <w:rPr>
          <w:rFonts w:cstheme="minorHAnsi"/>
          <w:sz w:val="24"/>
          <w:szCs w:val="24"/>
        </w:rPr>
        <w:t>Figure 2j–l</w:t>
      </w:r>
      <w:r w:rsidRPr="006435DB">
        <w:rPr>
          <w:rFonts w:cstheme="minorHAnsi"/>
          <w:sz w:val="24"/>
          <w:szCs w:val="24"/>
        </w:rPr>
        <w:t>).</w:t>
      </w:r>
    </w:p>
    <w:p w14:paraId="6DD4BCC7" w14:textId="77777777" w:rsidR="006435DB" w:rsidRPr="006435DB" w:rsidRDefault="006435DB" w:rsidP="002316E5">
      <w:pPr>
        <w:pStyle w:val="Heading2"/>
      </w:pPr>
      <w:r w:rsidRPr="006435DB">
        <w:t>Statistical Analysis</w:t>
      </w:r>
    </w:p>
    <w:p w14:paraId="155B1415" w14:textId="0E2774DD" w:rsidR="006435DB" w:rsidRPr="006435DB" w:rsidRDefault="006435DB" w:rsidP="006435DB">
      <w:pPr>
        <w:rPr>
          <w:rFonts w:cstheme="minorHAnsi"/>
          <w:sz w:val="24"/>
          <w:szCs w:val="24"/>
        </w:rPr>
      </w:pPr>
      <w:r w:rsidRPr="006435DB">
        <w:rPr>
          <w:rFonts w:cstheme="minorHAnsi"/>
          <w:sz w:val="24"/>
          <w:szCs w:val="24"/>
        </w:rPr>
        <w:t xml:space="preserve">Using </w:t>
      </w:r>
      <w:r w:rsidRPr="006435DB">
        <w:rPr>
          <w:rFonts w:cstheme="minorHAnsi"/>
          <w:i/>
          <w:iCs/>
          <w:sz w:val="24"/>
          <w:szCs w:val="24"/>
        </w:rPr>
        <w:t>χ</w:t>
      </w:r>
      <w:r w:rsidRPr="006435DB">
        <w:rPr>
          <w:rFonts w:cstheme="minorHAnsi"/>
          <w:sz w:val="24"/>
          <w:szCs w:val="24"/>
          <w:vertAlign w:val="superscript"/>
        </w:rPr>
        <w:t>2</w:t>
      </w:r>
      <w:r w:rsidRPr="006435DB">
        <w:rPr>
          <w:rFonts w:cstheme="minorHAnsi"/>
          <w:sz w:val="24"/>
          <w:szCs w:val="24"/>
        </w:rPr>
        <w:t xml:space="preserve"> test for trend (significant if </w:t>
      </w:r>
      <w:r w:rsidRPr="006435DB">
        <w:rPr>
          <w:rFonts w:cstheme="minorHAnsi"/>
          <w:i/>
          <w:iCs/>
          <w:sz w:val="24"/>
          <w:szCs w:val="24"/>
        </w:rPr>
        <w:t>P</w:t>
      </w:r>
      <w:r w:rsidRPr="006435DB">
        <w:rPr>
          <w:rFonts w:cstheme="minorHAnsi"/>
          <w:sz w:val="24"/>
          <w:szCs w:val="24"/>
        </w:rPr>
        <w:t>&lt;0.01), we observed a significant association between the expression of smooth muscle actin, calponin, smooth muscle myosin heavy chain, and metallothionein in more tumor cells in adenoid cystic carcinoma than polymorphous low-grade adenocarcinoma (</w:t>
      </w:r>
      <w:r w:rsidRPr="006435DB">
        <w:rPr>
          <w:rFonts w:cstheme="minorHAnsi"/>
          <w:i/>
          <w:iCs/>
          <w:sz w:val="24"/>
          <w:szCs w:val="24"/>
        </w:rPr>
        <w:t>P</w:t>
      </w:r>
      <w:r w:rsidRPr="006435DB">
        <w:rPr>
          <w:rFonts w:cstheme="minorHAnsi"/>
          <w:sz w:val="24"/>
          <w:szCs w:val="24"/>
        </w:rPr>
        <w:t xml:space="preserve">-values≤0.001, </w:t>
      </w:r>
      <w:r w:rsidRPr="00ED2AAE">
        <w:rPr>
          <w:rFonts w:cstheme="minorHAnsi"/>
          <w:sz w:val="24"/>
          <w:szCs w:val="24"/>
        </w:rPr>
        <w:t>Table 3</w:t>
      </w:r>
      <w:r w:rsidRPr="006435DB">
        <w:rPr>
          <w:rFonts w:cstheme="minorHAnsi"/>
          <w:sz w:val="24"/>
          <w:szCs w:val="24"/>
        </w:rPr>
        <w:t xml:space="preserve">). Although </w:t>
      </w:r>
      <w:proofErr w:type="spellStart"/>
      <w:r w:rsidRPr="006435DB">
        <w:rPr>
          <w:rFonts w:cstheme="minorHAnsi"/>
          <w:sz w:val="24"/>
          <w:szCs w:val="24"/>
        </w:rPr>
        <w:t>maspin</w:t>
      </w:r>
      <w:proofErr w:type="spellEnd"/>
      <w:r w:rsidRPr="006435DB">
        <w:rPr>
          <w:rFonts w:cstheme="minorHAnsi"/>
          <w:sz w:val="24"/>
          <w:szCs w:val="24"/>
        </w:rPr>
        <w:t xml:space="preserve"> and p63 expressions were also more diffuse in adenoid cystic carcinoma than in polymorphous low-grade adenocarcinoma, this difference was not significant.</w:t>
      </w:r>
    </w:p>
    <w:p w14:paraId="621E31C8" w14:textId="78076DB9" w:rsidR="006435DB" w:rsidRPr="006435DB" w:rsidRDefault="006435DB" w:rsidP="006435DB">
      <w:pPr>
        <w:rPr>
          <w:rFonts w:cstheme="minorHAnsi"/>
          <w:sz w:val="24"/>
          <w:szCs w:val="24"/>
        </w:rPr>
      </w:pPr>
      <w:r w:rsidRPr="006435DB">
        <w:rPr>
          <w:rFonts w:cstheme="minorHAnsi"/>
          <w:sz w:val="24"/>
          <w:szCs w:val="24"/>
        </w:rPr>
        <w:t>The expression profile of tumor samples showed the more frequent, diffuse expression of smooth muscle actin, calponin, smooth muscle myosin heavy chain, and metallothionein in adenoid cystic carcinoma compared to polymorphous low-grade adenocarcinoma (</w:t>
      </w:r>
      <w:r w:rsidRPr="00ED2AAE">
        <w:rPr>
          <w:rFonts w:cstheme="minorHAnsi"/>
          <w:sz w:val="24"/>
          <w:szCs w:val="24"/>
        </w:rPr>
        <w:t>Figure 4</w:t>
      </w:r>
      <w:r w:rsidRPr="006435DB">
        <w:rPr>
          <w:rFonts w:cstheme="minorHAnsi"/>
          <w:sz w:val="24"/>
          <w:szCs w:val="24"/>
        </w:rPr>
        <w:t xml:space="preserve">). These four proteins together discriminated well between adenoid cystic carcinoma and polymorphous low-grade adenocarcinoma as seen in the dendrogram in </w:t>
      </w:r>
      <w:r w:rsidRPr="00ED2AAE">
        <w:rPr>
          <w:rFonts w:cstheme="minorHAnsi"/>
          <w:sz w:val="24"/>
          <w:szCs w:val="24"/>
        </w:rPr>
        <w:t>Figure 5</w:t>
      </w:r>
      <w:r w:rsidRPr="006435DB">
        <w:rPr>
          <w:rFonts w:cstheme="minorHAnsi"/>
          <w:sz w:val="24"/>
          <w:szCs w:val="24"/>
        </w:rPr>
        <w:t xml:space="preserve">. One adenoid cystic carcinoma (ACC16), a 2.4 cm mass in the soft palate of a 74-year-old woman, clustered with polymorphous low-grade adenocarcinoma, and was subsequently reclassified as polymorphous low-grade adenocarcinoma in consultation with oral and maxillofacial pathologists who were blinded to the results of this study. Three polymorphous low-grade adenocarcinomas (PLGA4, PLGA5, and PLGA9) clustered with adenoid cystic carcinoma, and were reviewed by an expert head and neck pathologist blinded to the results of the cluster analysis. The expert reclassified PLGA4 as adenoid cystic carcinoma but PLGA5 and PLGA9 were reaffirmed to be polymorphous low-grade adenocarcinoma. PLGA5 had a fascicular architecture with a prominent spindle-cell component that was positive with myoid myoepithelial markers. PLGA9 had the characteristic </w:t>
      </w:r>
      <w:proofErr w:type="spellStart"/>
      <w:r w:rsidRPr="006435DB">
        <w:rPr>
          <w:rFonts w:cstheme="minorHAnsi"/>
          <w:sz w:val="24"/>
          <w:szCs w:val="24"/>
        </w:rPr>
        <w:t>tubulocystic</w:t>
      </w:r>
      <w:proofErr w:type="spellEnd"/>
      <w:r w:rsidRPr="006435DB">
        <w:rPr>
          <w:rFonts w:cstheme="minorHAnsi"/>
          <w:sz w:val="24"/>
          <w:szCs w:val="24"/>
        </w:rPr>
        <w:t xml:space="preserve"> architecture of polymorphous low-grade adenocarcinoma with trabecular and infiltrative growth pattern, and showed perineural invasion.</w:t>
      </w:r>
    </w:p>
    <w:p w14:paraId="3D057FE6" w14:textId="16ADC1CD" w:rsidR="006435DB" w:rsidRPr="006435DB" w:rsidRDefault="006435DB" w:rsidP="002316E5">
      <w:pPr>
        <w:pStyle w:val="NoSpacing"/>
      </w:pPr>
      <w:r w:rsidRPr="006435DB">
        <w:rPr>
          <w:noProof/>
        </w:rPr>
        <w:drawing>
          <wp:inline distT="0" distB="0" distL="0" distR="0" wp14:anchorId="2114962E" wp14:editId="638ADB11">
            <wp:extent cx="6400800" cy="979805"/>
            <wp:effectExtent l="0" t="0" r="0" b="0"/>
            <wp:docPr id="3" name="Picture 3" descr="figure 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00800" cy="979805"/>
                    </a:xfrm>
                    <a:prstGeom prst="rect">
                      <a:avLst/>
                    </a:prstGeom>
                    <a:noFill/>
                    <a:ln>
                      <a:noFill/>
                    </a:ln>
                  </pic:spPr>
                </pic:pic>
              </a:graphicData>
            </a:graphic>
          </wp:inline>
        </w:drawing>
      </w:r>
    </w:p>
    <w:p w14:paraId="17085D18" w14:textId="22D8AFC7" w:rsidR="006435DB" w:rsidRPr="006435DB" w:rsidRDefault="002316E5" w:rsidP="002316E5">
      <w:pPr>
        <w:pStyle w:val="NoSpacing"/>
      </w:pPr>
      <w:r w:rsidRPr="002316E5">
        <w:rPr>
          <w:b/>
          <w:bCs/>
        </w:rPr>
        <w:t>Figure 4</w:t>
      </w:r>
      <w:r>
        <w:t xml:space="preserve">. </w:t>
      </w:r>
      <w:r w:rsidR="006435DB" w:rsidRPr="006435DB">
        <w:t>Protein expression profile in all 47 tumor samples. Red: Diffuse, Yellow: Focal, Blue: No expression. Expression of all markers is more frequently diffused in adenoid cystic carcinoma (ACC-left half) as compared to polymorphous low-grade adenocarcinoma (PLGA-right half).</w:t>
      </w:r>
    </w:p>
    <w:p w14:paraId="0DCFFA84" w14:textId="0CCE5A2A" w:rsidR="006435DB" w:rsidRPr="006435DB" w:rsidRDefault="006435DB" w:rsidP="006D62BE">
      <w:pPr>
        <w:pStyle w:val="NoSpacing"/>
      </w:pPr>
      <w:r w:rsidRPr="006435DB">
        <w:rPr>
          <w:noProof/>
        </w:rPr>
        <w:drawing>
          <wp:inline distT="0" distB="0" distL="0" distR="0" wp14:anchorId="2DD21AFC" wp14:editId="4B5AE755">
            <wp:extent cx="2743200" cy="1380744"/>
            <wp:effectExtent l="0" t="0" r="0" b="0"/>
            <wp:docPr id="2" name="Picture 2" descr="figure 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380744"/>
                    </a:xfrm>
                    <a:prstGeom prst="rect">
                      <a:avLst/>
                    </a:prstGeom>
                    <a:noFill/>
                    <a:ln>
                      <a:noFill/>
                    </a:ln>
                  </pic:spPr>
                </pic:pic>
              </a:graphicData>
            </a:graphic>
          </wp:inline>
        </w:drawing>
      </w:r>
    </w:p>
    <w:p w14:paraId="7ECA5465" w14:textId="0B656185" w:rsidR="006435DB" w:rsidRPr="006435DB" w:rsidRDefault="006D62BE" w:rsidP="006D62BE">
      <w:pPr>
        <w:pStyle w:val="NoSpacing"/>
      </w:pPr>
      <w:r w:rsidRPr="006D62BE">
        <w:rPr>
          <w:b/>
          <w:bCs/>
        </w:rPr>
        <w:t>Figure 5</w:t>
      </w:r>
      <w:r>
        <w:t xml:space="preserve">. </w:t>
      </w:r>
      <w:r w:rsidR="006435DB" w:rsidRPr="006435DB">
        <w:t>Dendrogram based on the expression of smooth muscle actin, calponin, smooth muscle myosin heavy chain and metallothionein in tumor samples. These four proteins separate polymorphous low-grade adenocarcinoma (PLGA-left side) and adenoid cystic carcinoma (ACC-right side) into two clusters.</w:t>
      </w:r>
    </w:p>
    <w:p w14:paraId="6A95E58B" w14:textId="77777777" w:rsidR="006D62BE" w:rsidRDefault="006D62BE" w:rsidP="006435DB"/>
    <w:p w14:paraId="3BEE7E85" w14:textId="661AE4FE" w:rsidR="006435DB" w:rsidRPr="006435DB" w:rsidRDefault="006435DB" w:rsidP="006435DB">
      <w:pPr>
        <w:rPr>
          <w:rFonts w:cstheme="minorHAnsi"/>
          <w:sz w:val="24"/>
          <w:szCs w:val="24"/>
        </w:rPr>
      </w:pPr>
      <w:r w:rsidRPr="00ED2AAE">
        <w:rPr>
          <w:rFonts w:cstheme="minorHAnsi"/>
          <w:sz w:val="24"/>
          <w:szCs w:val="24"/>
        </w:rPr>
        <w:t>Table 4</w:t>
      </w:r>
      <w:r w:rsidRPr="006435DB">
        <w:rPr>
          <w:rFonts w:cstheme="minorHAnsi"/>
          <w:sz w:val="24"/>
          <w:szCs w:val="24"/>
        </w:rPr>
        <w:t xml:space="preserve"> shows the concordance between protein pairs among all six proteins using </w:t>
      </w:r>
      <w:r w:rsidRPr="006435DB">
        <w:rPr>
          <w:rFonts w:cstheme="minorHAnsi"/>
          <w:i/>
          <w:iCs/>
          <w:sz w:val="24"/>
          <w:szCs w:val="24"/>
        </w:rPr>
        <w:t>κ</w:t>
      </w:r>
      <w:r w:rsidRPr="006435DB">
        <w:rPr>
          <w:rFonts w:cstheme="minorHAnsi"/>
          <w:sz w:val="24"/>
          <w:szCs w:val="24"/>
        </w:rPr>
        <w:t xml:space="preserve"> statistics. Significant concordance (</w:t>
      </w:r>
      <w:r w:rsidRPr="006435DB">
        <w:rPr>
          <w:rFonts w:cstheme="minorHAnsi"/>
          <w:i/>
          <w:iCs/>
          <w:sz w:val="24"/>
          <w:szCs w:val="24"/>
        </w:rPr>
        <w:t>κ</w:t>
      </w:r>
      <w:r w:rsidRPr="006435DB">
        <w:rPr>
          <w:rFonts w:cstheme="minorHAnsi"/>
          <w:sz w:val="24"/>
          <w:szCs w:val="24"/>
        </w:rPr>
        <w:t xml:space="preserve">≤0.0035) was seen between pairs of proteins in one group (smooth muscle actin, calponin, smooth muscle myosin heavy chain, and metallothionein), and between </w:t>
      </w:r>
      <w:proofErr w:type="spellStart"/>
      <w:r w:rsidRPr="006435DB">
        <w:rPr>
          <w:rFonts w:cstheme="minorHAnsi"/>
          <w:sz w:val="24"/>
          <w:szCs w:val="24"/>
        </w:rPr>
        <w:t>maspin</w:t>
      </w:r>
      <w:proofErr w:type="spellEnd"/>
      <w:r w:rsidRPr="006435DB">
        <w:rPr>
          <w:rFonts w:cstheme="minorHAnsi"/>
          <w:sz w:val="24"/>
          <w:szCs w:val="24"/>
        </w:rPr>
        <w:t xml:space="preserve"> and p63 in another group (</w:t>
      </w:r>
      <w:r w:rsidRPr="006435DB">
        <w:rPr>
          <w:rFonts w:cstheme="minorHAnsi"/>
          <w:i/>
          <w:iCs/>
          <w:sz w:val="24"/>
          <w:szCs w:val="24"/>
        </w:rPr>
        <w:t>κ</w:t>
      </w:r>
      <w:r w:rsidRPr="006435DB">
        <w:rPr>
          <w:rFonts w:cstheme="minorHAnsi"/>
          <w:sz w:val="24"/>
          <w:szCs w:val="24"/>
        </w:rPr>
        <w:t xml:space="preserve">=0.0028). Hierarchical clustering of the protein markers showed virtually identical expression of smooth muscle actin, calponin, smooth muscle myosin heavy chain, and metallothionein in one cluster, and that of </w:t>
      </w:r>
      <w:proofErr w:type="spellStart"/>
      <w:r w:rsidRPr="006435DB">
        <w:rPr>
          <w:rFonts w:cstheme="minorHAnsi"/>
          <w:sz w:val="24"/>
          <w:szCs w:val="24"/>
        </w:rPr>
        <w:t>maspin</w:t>
      </w:r>
      <w:proofErr w:type="spellEnd"/>
      <w:r w:rsidRPr="006435DB">
        <w:rPr>
          <w:rFonts w:cstheme="minorHAnsi"/>
          <w:sz w:val="24"/>
          <w:szCs w:val="24"/>
        </w:rPr>
        <w:t xml:space="preserve"> and p63 in another cluster (</w:t>
      </w:r>
      <w:r w:rsidRPr="00ED2AAE">
        <w:rPr>
          <w:rFonts w:cstheme="minorHAnsi"/>
          <w:sz w:val="24"/>
          <w:szCs w:val="24"/>
        </w:rPr>
        <w:t>Figure 6</w:t>
      </w:r>
      <w:r w:rsidRPr="006435DB">
        <w:rPr>
          <w:rFonts w:cstheme="minorHAnsi"/>
          <w:sz w:val="24"/>
          <w:szCs w:val="24"/>
        </w:rPr>
        <w:t>). This indicates that using one marker in a cluster provides the same information as using multiple markers from the same cluster due to the similarities in their expression. If only diffuse expression is considered positive (and expression in &lt;33% of tumor cells as negative), then smooth muscle actin shows the highest accuracy (91.5%), and positive predictive value (95%) for adenoid cystic carcinoma among all proteins (</w:t>
      </w:r>
      <w:r w:rsidRPr="00ED2AAE">
        <w:rPr>
          <w:rFonts w:cstheme="minorHAnsi"/>
          <w:sz w:val="24"/>
          <w:szCs w:val="24"/>
        </w:rPr>
        <w:t>Table 3</w:t>
      </w:r>
      <w:r w:rsidRPr="006435DB">
        <w:rPr>
          <w:rFonts w:cstheme="minorHAnsi"/>
          <w:sz w:val="24"/>
          <w:szCs w:val="24"/>
        </w:rPr>
        <w:t>).</w:t>
      </w:r>
    </w:p>
    <w:p w14:paraId="47788DC8" w14:textId="77777777" w:rsidR="006435DB" w:rsidRPr="006435DB" w:rsidRDefault="006435DB" w:rsidP="00014890">
      <w:pPr>
        <w:spacing w:after="0"/>
        <w:rPr>
          <w:rFonts w:cstheme="minorHAnsi"/>
          <w:sz w:val="24"/>
          <w:szCs w:val="24"/>
        </w:rPr>
      </w:pPr>
      <w:r w:rsidRPr="006435DB">
        <w:rPr>
          <w:rFonts w:cstheme="minorHAnsi"/>
          <w:b/>
          <w:bCs/>
          <w:sz w:val="24"/>
          <w:szCs w:val="24"/>
        </w:rPr>
        <w:t xml:space="preserve">Table 4 Association between protein pairs using </w:t>
      </w:r>
      <w:r w:rsidRPr="006435DB">
        <w:rPr>
          <w:rFonts w:cstheme="minorHAnsi"/>
          <w:b/>
          <w:bCs/>
          <w:i/>
          <w:iCs/>
          <w:sz w:val="24"/>
          <w:szCs w:val="24"/>
        </w:rPr>
        <w:t>κ</w:t>
      </w:r>
      <w:r w:rsidRPr="006435DB">
        <w:rPr>
          <w:rFonts w:cstheme="minorHAnsi"/>
          <w:b/>
          <w:bCs/>
          <w:sz w:val="24"/>
          <w:szCs w:val="24"/>
        </w:rPr>
        <w:t xml:space="preserve"> statistics</w:t>
      </w:r>
      <w:r w:rsidRPr="006435DB">
        <w:rPr>
          <w:rFonts w:cstheme="minorHAnsi"/>
          <w:b/>
          <w:bCs/>
          <w:sz w:val="24"/>
          <w:szCs w:val="24"/>
          <w:vertAlign w:val="superscript"/>
        </w:rPr>
        <w:t>*</w:t>
      </w:r>
    </w:p>
    <w:tbl>
      <w:tblPr>
        <w:tblStyle w:val="TableGrid"/>
        <w:tblW w:w="0" w:type="auto"/>
        <w:tblLook w:val="04A0" w:firstRow="1" w:lastRow="0" w:firstColumn="1" w:lastColumn="0" w:noHBand="0" w:noVBand="1"/>
      </w:tblPr>
      <w:tblGrid>
        <w:gridCol w:w="1003"/>
        <w:gridCol w:w="833"/>
        <w:gridCol w:w="1019"/>
        <w:gridCol w:w="833"/>
        <w:gridCol w:w="833"/>
        <w:gridCol w:w="898"/>
        <w:gridCol w:w="833"/>
      </w:tblGrid>
      <w:tr w:rsidR="005C0572" w:rsidRPr="005C0572" w14:paraId="50A92266" w14:textId="77777777" w:rsidTr="005C0572">
        <w:tc>
          <w:tcPr>
            <w:tcW w:w="0" w:type="auto"/>
            <w:hideMark/>
          </w:tcPr>
          <w:p w14:paraId="5D1FE193" w14:textId="77777777" w:rsidR="005C0572" w:rsidRPr="005C0572" w:rsidRDefault="005C0572" w:rsidP="005C0572">
            <w:pPr>
              <w:pStyle w:val="NoSpacing"/>
              <w:rPr>
                <w:b/>
                <w:bCs/>
              </w:rPr>
            </w:pPr>
            <w:r w:rsidRPr="005C0572">
              <w:rPr>
                <w:b/>
                <w:bCs/>
              </w:rPr>
              <w:t>Proteins</w:t>
            </w:r>
          </w:p>
        </w:tc>
        <w:tc>
          <w:tcPr>
            <w:tcW w:w="0" w:type="auto"/>
            <w:hideMark/>
          </w:tcPr>
          <w:p w14:paraId="2B1DA12A" w14:textId="77777777" w:rsidR="005C0572" w:rsidRPr="005C0572" w:rsidRDefault="005C0572" w:rsidP="005C0572">
            <w:pPr>
              <w:pStyle w:val="NoSpacing"/>
              <w:rPr>
                <w:b/>
                <w:bCs/>
              </w:rPr>
            </w:pPr>
            <w:r w:rsidRPr="005C0572">
              <w:rPr>
                <w:b/>
                <w:bCs/>
                <w:i/>
                <w:iCs/>
              </w:rPr>
              <w:t>SMA</w:t>
            </w:r>
          </w:p>
        </w:tc>
        <w:tc>
          <w:tcPr>
            <w:tcW w:w="0" w:type="auto"/>
            <w:hideMark/>
          </w:tcPr>
          <w:p w14:paraId="2ABC9D27" w14:textId="77777777" w:rsidR="005C0572" w:rsidRPr="005C0572" w:rsidRDefault="005C0572" w:rsidP="005C0572">
            <w:pPr>
              <w:pStyle w:val="NoSpacing"/>
              <w:rPr>
                <w:b/>
                <w:bCs/>
              </w:rPr>
            </w:pPr>
            <w:r w:rsidRPr="005C0572">
              <w:rPr>
                <w:b/>
                <w:bCs/>
                <w:i/>
                <w:iCs/>
              </w:rPr>
              <w:t>Calponin</w:t>
            </w:r>
          </w:p>
        </w:tc>
        <w:tc>
          <w:tcPr>
            <w:tcW w:w="0" w:type="auto"/>
            <w:hideMark/>
          </w:tcPr>
          <w:p w14:paraId="20E5B34B" w14:textId="77777777" w:rsidR="005C0572" w:rsidRPr="005C0572" w:rsidRDefault="005C0572" w:rsidP="005C0572">
            <w:pPr>
              <w:pStyle w:val="NoSpacing"/>
              <w:rPr>
                <w:b/>
                <w:bCs/>
              </w:rPr>
            </w:pPr>
            <w:r w:rsidRPr="005C0572">
              <w:rPr>
                <w:b/>
                <w:bCs/>
                <w:i/>
                <w:iCs/>
              </w:rPr>
              <w:t>SMMS</w:t>
            </w:r>
          </w:p>
        </w:tc>
        <w:tc>
          <w:tcPr>
            <w:tcW w:w="0" w:type="auto"/>
            <w:hideMark/>
          </w:tcPr>
          <w:p w14:paraId="271BFAB9" w14:textId="77777777" w:rsidR="005C0572" w:rsidRPr="005C0572" w:rsidRDefault="005C0572" w:rsidP="005C0572">
            <w:pPr>
              <w:pStyle w:val="NoSpacing"/>
              <w:rPr>
                <w:b/>
                <w:bCs/>
              </w:rPr>
            </w:pPr>
            <w:r w:rsidRPr="005C0572">
              <w:rPr>
                <w:b/>
                <w:bCs/>
                <w:i/>
                <w:iCs/>
              </w:rPr>
              <w:t>MT</w:t>
            </w:r>
          </w:p>
        </w:tc>
        <w:tc>
          <w:tcPr>
            <w:tcW w:w="0" w:type="auto"/>
            <w:hideMark/>
          </w:tcPr>
          <w:p w14:paraId="776E40B4" w14:textId="77777777" w:rsidR="005C0572" w:rsidRPr="005C0572" w:rsidRDefault="005C0572" w:rsidP="005C0572">
            <w:pPr>
              <w:pStyle w:val="NoSpacing"/>
              <w:rPr>
                <w:b/>
                <w:bCs/>
              </w:rPr>
            </w:pPr>
            <w:proofErr w:type="spellStart"/>
            <w:r w:rsidRPr="005C0572">
              <w:rPr>
                <w:b/>
                <w:bCs/>
                <w:i/>
                <w:iCs/>
              </w:rPr>
              <w:t>Maspin</w:t>
            </w:r>
            <w:proofErr w:type="spellEnd"/>
          </w:p>
        </w:tc>
        <w:tc>
          <w:tcPr>
            <w:tcW w:w="0" w:type="auto"/>
            <w:hideMark/>
          </w:tcPr>
          <w:p w14:paraId="5BB52DC1" w14:textId="77777777" w:rsidR="005C0572" w:rsidRPr="005C0572" w:rsidRDefault="005C0572" w:rsidP="005C0572">
            <w:pPr>
              <w:pStyle w:val="NoSpacing"/>
              <w:rPr>
                <w:b/>
                <w:bCs/>
              </w:rPr>
            </w:pPr>
            <w:r w:rsidRPr="005C0572">
              <w:rPr>
                <w:b/>
                <w:bCs/>
                <w:i/>
                <w:iCs/>
              </w:rPr>
              <w:t>P63</w:t>
            </w:r>
          </w:p>
        </w:tc>
      </w:tr>
      <w:tr w:rsidR="005C0572" w:rsidRPr="005C0572" w14:paraId="0A0A6695" w14:textId="77777777" w:rsidTr="005C0572">
        <w:tc>
          <w:tcPr>
            <w:tcW w:w="0" w:type="auto"/>
            <w:hideMark/>
          </w:tcPr>
          <w:p w14:paraId="0399825E" w14:textId="77777777" w:rsidR="005C0572" w:rsidRPr="005C0572" w:rsidRDefault="005C0572" w:rsidP="005C0572">
            <w:pPr>
              <w:pStyle w:val="NoSpacing"/>
            </w:pPr>
            <w:r w:rsidRPr="005C0572">
              <w:rPr>
                <w:i/>
                <w:iCs/>
              </w:rPr>
              <w:t>SMA</w:t>
            </w:r>
          </w:p>
        </w:tc>
        <w:tc>
          <w:tcPr>
            <w:tcW w:w="0" w:type="auto"/>
            <w:hideMark/>
          </w:tcPr>
          <w:p w14:paraId="332B056C" w14:textId="77777777" w:rsidR="005C0572" w:rsidRPr="00014890" w:rsidRDefault="005C0572" w:rsidP="005C0572">
            <w:pPr>
              <w:pStyle w:val="NoSpacing"/>
              <w:rPr>
                <w:b/>
                <w:bCs/>
              </w:rPr>
            </w:pPr>
            <w:r w:rsidRPr="00014890">
              <w:rPr>
                <w:b/>
                <w:bCs/>
              </w:rPr>
              <w:t>—</w:t>
            </w:r>
          </w:p>
        </w:tc>
        <w:tc>
          <w:tcPr>
            <w:tcW w:w="0" w:type="auto"/>
            <w:hideMark/>
          </w:tcPr>
          <w:p w14:paraId="147BDFB2" w14:textId="77777777" w:rsidR="005C0572" w:rsidRPr="00014890" w:rsidRDefault="005C0572" w:rsidP="005C0572">
            <w:pPr>
              <w:pStyle w:val="NoSpacing"/>
              <w:rPr>
                <w:b/>
                <w:bCs/>
              </w:rPr>
            </w:pPr>
            <w:r w:rsidRPr="00014890">
              <w:rPr>
                <w:b/>
                <w:bCs/>
              </w:rPr>
              <w:t>0.0000</w:t>
            </w:r>
          </w:p>
        </w:tc>
        <w:tc>
          <w:tcPr>
            <w:tcW w:w="0" w:type="auto"/>
            <w:hideMark/>
          </w:tcPr>
          <w:p w14:paraId="6F4172DF" w14:textId="77777777" w:rsidR="005C0572" w:rsidRPr="00014890" w:rsidRDefault="005C0572" w:rsidP="005C0572">
            <w:pPr>
              <w:pStyle w:val="NoSpacing"/>
              <w:rPr>
                <w:b/>
                <w:bCs/>
              </w:rPr>
            </w:pPr>
            <w:r w:rsidRPr="00014890">
              <w:rPr>
                <w:b/>
                <w:bCs/>
              </w:rPr>
              <w:t>0.0001</w:t>
            </w:r>
          </w:p>
        </w:tc>
        <w:tc>
          <w:tcPr>
            <w:tcW w:w="0" w:type="auto"/>
            <w:hideMark/>
          </w:tcPr>
          <w:p w14:paraId="3CE0D298" w14:textId="77777777" w:rsidR="005C0572" w:rsidRPr="00014890" w:rsidRDefault="005C0572" w:rsidP="005C0572">
            <w:pPr>
              <w:pStyle w:val="NoSpacing"/>
              <w:rPr>
                <w:b/>
                <w:bCs/>
              </w:rPr>
            </w:pPr>
            <w:r w:rsidRPr="00014890">
              <w:rPr>
                <w:b/>
                <w:bCs/>
              </w:rPr>
              <w:t>0.0000</w:t>
            </w:r>
          </w:p>
        </w:tc>
        <w:tc>
          <w:tcPr>
            <w:tcW w:w="0" w:type="auto"/>
            <w:hideMark/>
          </w:tcPr>
          <w:p w14:paraId="17FBD52E" w14:textId="77777777" w:rsidR="005C0572" w:rsidRPr="005C0572" w:rsidRDefault="005C0572" w:rsidP="005C0572">
            <w:pPr>
              <w:pStyle w:val="NoSpacing"/>
            </w:pPr>
            <w:r w:rsidRPr="005C0572">
              <w:t>0.1397</w:t>
            </w:r>
          </w:p>
        </w:tc>
        <w:tc>
          <w:tcPr>
            <w:tcW w:w="0" w:type="auto"/>
            <w:hideMark/>
          </w:tcPr>
          <w:p w14:paraId="332E15E3" w14:textId="77777777" w:rsidR="005C0572" w:rsidRPr="005C0572" w:rsidRDefault="005C0572" w:rsidP="005C0572">
            <w:pPr>
              <w:pStyle w:val="NoSpacing"/>
            </w:pPr>
            <w:r w:rsidRPr="005C0572">
              <w:t>0.1657</w:t>
            </w:r>
          </w:p>
        </w:tc>
      </w:tr>
      <w:tr w:rsidR="005C0572" w:rsidRPr="005C0572" w14:paraId="666C6B32" w14:textId="77777777" w:rsidTr="005C0572">
        <w:tc>
          <w:tcPr>
            <w:tcW w:w="0" w:type="auto"/>
            <w:hideMark/>
          </w:tcPr>
          <w:p w14:paraId="4C0E0FAF" w14:textId="77777777" w:rsidR="005C0572" w:rsidRPr="005C0572" w:rsidRDefault="005C0572" w:rsidP="005C0572">
            <w:pPr>
              <w:pStyle w:val="NoSpacing"/>
            </w:pPr>
            <w:r w:rsidRPr="005C0572">
              <w:t>Calponin</w:t>
            </w:r>
          </w:p>
        </w:tc>
        <w:tc>
          <w:tcPr>
            <w:tcW w:w="0" w:type="auto"/>
            <w:hideMark/>
          </w:tcPr>
          <w:p w14:paraId="527C9732" w14:textId="77777777" w:rsidR="005C0572" w:rsidRPr="00014890" w:rsidRDefault="005C0572" w:rsidP="005C0572">
            <w:pPr>
              <w:pStyle w:val="NoSpacing"/>
              <w:rPr>
                <w:b/>
                <w:bCs/>
              </w:rPr>
            </w:pPr>
            <w:r w:rsidRPr="00014890">
              <w:rPr>
                <w:b/>
                <w:bCs/>
              </w:rPr>
              <w:t>0.0000</w:t>
            </w:r>
          </w:p>
        </w:tc>
        <w:tc>
          <w:tcPr>
            <w:tcW w:w="0" w:type="auto"/>
            <w:hideMark/>
          </w:tcPr>
          <w:p w14:paraId="10C14537" w14:textId="77777777" w:rsidR="005C0572" w:rsidRPr="00014890" w:rsidRDefault="005C0572" w:rsidP="005C0572">
            <w:pPr>
              <w:pStyle w:val="NoSpacing"/>
              <w:rPr>
                <w:b/>
                <w:bCs/>
              </w:rPr>
            </w:pPr>
            <w:r w:rsidRPr="00014890">
              <w:rPr>
                <w:b/>
                <w:bCs/>
              </w:rPr>
              <w:t>—</w:t>
            </w:r>
          </w:p>
        </w:tc>
        <w:tc>
          <w:tcPr>
            <w:tcW w:w="0" w:type="auto"/>
            <w:hideMark/>
          </w:tcPr>
          <w:p w14:paraId="6188FF9B" w14:textId="77777777" w:rsidR="005C0572" w:rsidRPr="00014890" w:rsidRDefault="005C0572" w:rsidP="005C0572">
            <w:pPr>
              <w:pStyle w:val="NoSpacing"/>
              <w:rPr>
                <w:b/>
                <w:bCs/>
              </w:rPr>
            </w:pPr>
            <w:r w:rsidRPr="00014890">
              <w:rPr>
                <w:b/>
                <w:bCs/>
              </w:rPr>
              <w:t>0.0000</w:t>
            </w:r>
          </w:p>
        </w:tc>
        <w:tc>
          <w:tcPr>
            <w:tcW w:w="0" w:type="auto"/>
            <w:hideMark/>
          </w:tcPr>
          <w:p w14:paraId="5FC2D917" w14:textId="77777777" w:rsidR="005C0572" w:rsidRPr="00014890" w:rsidRDefault="005C0572" w:rsidP="005C0572">
            <w:pPr>
              <w:pStyle w:val="NoSpacing"/>
              <w:rPr>
                <w:b/>
                <w:bCs/>
              </w:rPr>
            </w:pPr>
            <w:r w:rsidRPr="00014890">
              <w:rPr>
                <w:b/>
                <w:bCs/>
              </w:rPr>
              <w:t>0.0013</w:t>
            </w:r>
          </w:p>
        </w:tc>
        <w:tc>
          <w:tcPr>
            <w:tcW w:w="0" w:type="auto"/>
            <w:hideMark/>
          </w:tcPr>
          <w:p w14:paraId="510F23E4" w14:textId="77777777" w:rsidR="005C0572" w:rsidRPr="005C0572" w:rsidRDefault="005C0572" w:rsidP="005C0572">
            <w:pPr>
              <w:pStyle w:val="NoSpacing"/>
            </w:pPr>
            <w:r w:rsidRPr="005C0572">
              <w:t>0.3803</w:t>
            </w:r>
          </w:p>
        </w:tc>
        <w:tc>
          <w:tcPr>
            <w:tcW w:w="0" w:type="auto"/>
            <w:hideMark/>
          </w:tcPr>
          <w:p w14:paraId="4CE0C82E" w14:textId="77777777" w:rsidR="005C0572" w:rsidRPr="005C0572" w:rsidRDefault="005C0572" w:rsidP="005C0572">
            <w:pPr>
              <w:pStyle w:val="NoSpacing"/>
            </w:pPr>
            <w:r w:rsidRPr="005C0572">
              <w:t>0.2197</w:t>
            </w:r>
          </w:p>
        </w:tc>
      </w:tr>
      <w:tr w:rsidR="005C0572" w:rsidRPr="005C0572" w14:paraId="728F32C4" w14:textId="77777777" w:rsidTr="005C0572">
        <w:tc>
          <w:tcPr>
            <w:tcW w:w="0" w:type="auto"/>
            <w:hideMark/>
          </w:tcPr>
          <w:p w14:paraId="685938E0" w14:textId="77777777" w:rsidR="005C0572" w:rsidRPr="005C0572" w:rsidRDefault="005C0572" w:rsidP="005C0572">
            <w:pPr>
              <w:pStyle w:val="NoSpacing"/>
            </w:pPr>
            <w:r w:rsidRPr="005C0572">
              <w:t>SMMS</w:t>
            </w:r>
          </w:p>
        </w:tc>
        <w:tc>
          <w:tcPr>
            <w:tcW w:w="0" w:type="auto"/>
            <w:hideMark/>
          </w:tcPr>
          <w:p w14:paraId="41E7CFCD" w14:textId="77777777" w:rsidR="005C0572" w:rsidRPr="00014890" w:rsidRDefault="005C0572" w:rsidP="005C0572">
            <w:pPr>
              <w:pStyle w:val="NoSpacing"/>
              <w:rPr>
                <w:b/>
                <w:bCs/>
              </w:rPr>
            </w:pPr>
            <w:r w:rsidRPr="00014890">
              <w:rPr>
                <w:b/>
                <w:bCs/>
              </w:rPr>
              <w:t>0.0001</w:t>
            </w:r>
          </w:p>
        </w:tc>
        <w:tc>
          <w:tcPr>
            <w:tcW w:w="0" w:type="auto"/>
            <w:hideMark/>
          </w:tcPr>
          <w:p w14:paraId="751BD0EC" w14:textId="77777777" w:rsidR="005C0572" w:rsidRPr="00014890" w:rsidRDefault="005C0572" w:rsidP="005C0572">
            <w:pPr>
              <w:pStyle w:val="NoSpacing"/>
              <w:rPr>
                <w:b/>
                <w:bCs/>
              </w:rPr>
            </w:pPr>
            <w:r w:rsidRPr="00014890">
              <w:rPr>
                <w:b/>
                <w:bCs/>
              </w:rPr>
              <w:t>0.0000</w:t>
            </w:r>
          </w:p>
        </w:tc>
        <w:tc>
          <w:tcPr>
            <w:tcW w:w="0" w:type="auto"/>
            <w:hideMark/>
          </w:tcPr>
          <w:p w14:paraId="472AEBB0" w14:textId="77777777" w:rsidR="005C0572" w:rsidRPr="00014890" w:rsidRDefault="005C0572" w:rsidP="005C0572">
            <w:pPr>
              <w:pStyle w:val="NoSpacing"/>
              <w:rPr>
                <w:b/>
                <w:bCs/>
              </w:rPr>
            </w:pPr>
            <w:r w:rsidRPr="00014890">
              <w:rPr>
                <w:b/>
                <w:bCs/>
              </w:rPr>
              <w:t>—</w:t>
            </w:r>
          </w:p>
        </w:tc>
        <w:tc>
          <w:tcPr>
            <w:tcW w:w="0" w:type="auto"/>
            <w:hideMark/>
          </w:tcPr>
          <w:p w14:paraId="54A0A5D0" w14:textId="77777777" w:rsidR="005C0572" w:rsidRPr="00014890" w:rsidRDefault="005C0572" w:rsidP="005C0572">
            <w:pPr>
              <w:pStyle w:val="NoSpacing"/>
              <w:rPr>
                <w:b/>
                <w:bCs/>
              </w:rPr>
            </w:pPr>
            <w:r w:rsidRPr="00014890">
              <w:rPr>
                <w:b/>
                <w:bCs/>
              </w:rPr>
              <w:t>0.0035</w:t>
            </w:r>
          </w:p>
        </w:tc>
        <w:tc>
          <w:tcPr>
            <w:tcW w:w="0" w:type="auto"/>
            <w:hideMark/>
          </w:tcPr>
          <w:p w14:paraId="32060577" w14:textId="77777777" w:rsidR="005C0572" w:rsidRPr="005C0572" w:rsidRDefault="005C0572" w:rsidP="005C0572">
            <w:pPr>
              <w:pStyle w:val="NoSpacing"/>
            </w:pPr>
            <w:r w:rsidRPr="005C0572">
              <w:t>0.0866</w:t>
            </w:r>
          </w:p>
        </w:tc>
        <w:tc>
          <w:tcPr>
            <w:tcW w:w="0" w:type="auto"/>
            <w:hideMark/>
          </w:tcPr>
          <w:p w14:paraId="2C0C6519" w14:textId="77777777" w:rsidR="005C0572" w:rsidRPr="005C0572" w:rsidRDefault="005C0572" w:rsidP="005C0572">
            <w:pPr>
              <w:pStyle w:val="NoSpacing"/>
            </w:pPr>
            <w:r w:rsidRPr="005C0572">
              <w:t>0.0571</w:t>
            </w:r>
          </w:p>
        </w:tc>
      </w:tr>
      <w:tr w:rsidR="005C0572" w:rsidRPr="005C0572" w14:paraId="02ED0562" w14:textId="77777777" w:rsidTr="005C0572">
        <w:tc>
          <w:tcPr>
            <w:tcW w:w="0" w:type="auto"/>
            <w:hideMark/>
          </w:tcPr>
          <w:p w14:paraId="7A9B7C5D" w14:textId="77777777" w:rsidR="005C0572" w:rsidRPr="005C0572" w:rsidRDefault="005C0572" w:rsidP="005C0572">
            <w:pPr>
              <w:pStyle w:val="NoSpacing"/>
            </w:pPr>
            <w:r w:rsidRPr="005C0572">
              <w:t>MT</w:t>
            </w:r>
          </w:p>
        </w:tc>
        <w:tc>
          <w:tcPr>
            <w:tcW w:w="0" w:type="auto"/>
            <w:hideMark/>
          </w:tcPr>
          <w:p w14:paraId="39FF0308" w14:textId="77777777" w:rsidR="005C0572" w:rsidRPr="00014890" w:rsidRDefault="005C0572" w:rsidP="005C0572">
            <w:pPr>
              <w:pStyle w:val="NoSpacing"/>
              <w:rPr>
                <w:b/>
                <w:bCs/>
              </w:rPr>
            </w:pPr>
            <w:r w:rsidRPr="00014890">
              <w:rPr>
                <w:b/>
                <w:bCs/>
              </w:rPr>
              <w:t>0.0000</w:t>
            </w:r>
          </w:p>
        </w:tc>
        <w:tc>
          <w:tcPr>
            <w:tcW w:w="0" w:type="auto"/>
            <w:hideMark/>
          </w:tcPr>
          <w:p w14:paraId="07241E81" w14:textId="77777777" w:rsidR="005C0572" w:rsidRPr="00014890" w:rsidRDefault="005C0572" w:rsidP="005C0572">
            <w:pPr>
              <w:pStyle w:val="NoSpacing"/>
              <w:rPr>
                <w:b/>
                <w:bCs/>
              </w:rPr>
            </w:pPr>
            <w:r w:rsidRPr="00014890">
              <w:rPr>
                <w:b/>
                <w:bCs/>
              </w:rPr>
              <w:t>0.0013</w:t>
            </w:r>
          </w:p>
        </w:tc>
        <w:tc>
          <w:tcPr>
            <w:tcW w:w="0" w:type="auto"/>
            <w:hideMark/>
          </w:tcPr>
          <w:p w14:paraId="0FB2F11D" w14:textId="77777777" w:rsidR="005C0572" w:rsidRPr="00014890" w:rsidRDefault="005C0572" w:rsidP="005C0572">
            <w:pPr>
              <w:pStyle w:val="NoSpacing"/>
              <w:rPr>
                <w:b/>
                <w:bCs/>
              </w:rPr>
            </w:pPr>
            <w:r w:rsidRPr="00014890">
              <w:rPr>
                <w:b/>
                <w:bCs/>
              </w:rPr>
              <w:t>0.0035</w:t>
            </w:r>
          </w:p>
        </w:tc>
        <w:tc>
          <w:tcPr>
            <w:tcW w:w="0" w:type="auto"/>
            <w:hideMark/>
          </w:tcPr>
          <w:p w14:paraId="5ED8AC7E" w14:textId="77777777" w:rsidR="005C0572" w:rsidRPr="00014890" w:rsidRDefault="005C0572" w:rsidP="005C0572">
            <w:pPr>
              <w:pStyle w:val="NoSpacing"/>
              <w:rPr>
                <w:b/>
                <w:bCs/>
              </w:rPr>
            </w:pPr>
            <w:r w:rsidRPr="00014890">
              <w:rPr>
                <w:b/>
                <w:bCs/>
              </w:rPr>
              <w:t>—</w:t>
            </w:r>
          </w:p>
        </w:tc>
        <w:tc>
          <w:tcPr>
            <w:tcW w:w="0" w:type="auto"/>
            <w:hideMark/>
          </w:tcPr>
          <w:p w14:paraId="395E3823" w14:textId="77777777" w:rsidR="005C0572" w:rsidRPr="005C0572" w:rsidRDefault="005C0572" w:rsidP="005C0572">
            <w:pPr>
              <w:pStyle w:val="NoSpacing"/>
            </w:pPr>
            <w:r w:rsidRPr="005C0572">
              <w:t>0.0184</w:t>
            </w:r>
          </w:p>
        </w:tc>
        <w:tc>
          <w:tcPr>
            <w:tcW w:w="0" w:type="auto"/>
            <w:hideMark/>
          </w:tcPr>
          <w:p w14:paraId="6E9C72CD" w14:textId="77777777" w:rsidR="005C0572" w:rsidRPr="005C0572" w:rsidRDefault="005C0572" w:rsidP="005C0572">
            <w:pPr>
              <w:pStyle w:val="NoSpacing"/>
            </w:pPr>
            <w:r w:rsidRPr="005C0572">
              <w:t>0.0295</w:t>
            </w:r>
          </w:p>
        </w:tc>
      </w:tr>
      <w:tr w:rsidR="005C0572" w:rsidRPr="005C0572" w14:paraId="7853CC8C" w14:textId="77777777" w:rsidTr="005C0572">
        <w:tc>
          <w:tcPr>
            <w:tcW w:w="0" w:type="auto"/>
            <w:hideMark/>
          </w:tcPr>
          <w:p w14:paraId="59F42B16" w14:textId="77777777" w:rsidR="005C0572" w:rsidRPr="005C0572" w:rsidRDefault="005C0572" w:rsidP="005C0572">
            <w:pPr>
              <w:pStyle w:val="NoSpacing"/>
            </w:pPr>
            <w:proofErr w:type="spellStart"/>
            <w:r w:rsidRPr="005C0572">
              <w:t>Maspin</w:t>
            </w:r>
            <w:proofErr w:type="spellEnd"/>
          </w:p>
        </w:tc>
        <w:tc>
          <w:tcPr>
            <w:tcW w:w="0" w:type="auto"/>
            <w:hideMark/>
          </w:tcPr>
          <w:p w14:paraId="0725C476" w14:textId="77777777" w:rsidR="005C0572" w:rsidRPr="005C0572" w:rsidRDefault="005C0572" w:rsidP="005C0572">
            <w:pPr>
              <w:pStyle w:val="NoSpacing"/>
            </w:pPr>
            <w:r w:rsidRPr="005C0572">
              <w:t>0.1397</w:t>
            </w:r>
          </w:p>
        </w:tc>
        <w:tc>
          <w:tcPr>
            <w:tcW w:w="0" w:type="auto"/>
            <w:hideMark/>
          </w:tcPr>
          <w:p w14:paraId="4EEEA8B3" w14:textId="77777777" w:rsidR="005C0572" w:rsidRPr="005C0572" w:rsidRDefault="005C0572" w:rsidP="005C0572">
            <w:pPr>
              <w:pStyle w:val="NoSpacing"/>
            </w:pPr>
            <w:r w:rsidRPr="005C0572">
              <w:t>0.3803</w:t>
            </w:r>
          </w:p>
        </w:tc>
        <w:tc>
          <w:tcPr>
            <w:tcW w:w="0" w:type="auto"/>
            <w:hideMark/>
          </w:tcPr>
          <w:p w14:paraId="34CABFF5" w14:textId="77777777" w:rsidR="005C0572" w:rsidRPr="005C0572" w:rsidRDefault="005C0572" w:rsidP="005C0572">
            <w:pPr>
              <w:pStyle w:val="NoSpacing"/>
            </w:pPr>
            <w:r w:rsidRPr="005C0572">
              <w:t>0.0866</w:t>
            </w:r>
          </w:p>
        </w:tc>
        <w:tc>
          <w:tcPr>
            <w:tcW w:w="0" w:type="auto"/>
            <w:hideMark/>
          </w:tcPr>
          <w:p w14:paraId="6132E72E" w14:textId="77777777" w:rsidR="005C0572" w:rsidRPr="005C0572" w:rsidRDefault="005C0572" w:rsidP="005C0572">
            <w:pPr>
              <w:pStyle w:val="NoSpacing"/>
            </w:pPr>
            <w:r w:rsidRPr="005C0572">
              <w:t>0.0184</w:t>
            </w:r>
          </w:p>
        </w:tc>
        <w:tc>
          <w:tcPr>
            <w:tcW w:w="0" w:type="auto"/>
            <w:hideMark/>
          </w:tcPr>
          <w:p w14:paraId="78DBACFE" w14:textId="77777777" w:rsidR="005C0572" w:rsidRPr="00014890" w:rsidRDefault="005C0572" w:rsidP="005C0572">
            <w:pPr>
              <w:pStyle w:val="NoSpacing"/>
              <w:rPr>
                <w:b/>
                <w:bCs/>
              </w:rPr>
            </w:pPr>
            <w:r w:rsidRPr="00014890">
              <w:rPr>
                <w:b/>
                <w:bCs/>
              </w:rPr>
              <w:t>—</w:t>
            </w:r>
          </w:p>
        </w:tc>
        <w:tc>
          <w:tcPr>
            <w:tcW w:w="0" w:type="auto"/>
            <w:hideMark/>
          </w:tcPr>
          <w:p w14:paraId="1E8891F3" w14:textId="77777777" w:rsidR="005C0572" w:rsidRPr="00014890" w:rsidRDefault="005C0572" w:rsidP="005C0572">
            <w:pPr>
              <w:pStyle w:val="NoSpacing"/>
              <w:rPr>
                <w:b/>
                <w:bCs/>
              </w:rPr>
            </w:pPr>
            <w:r w:rsidRPr="00014890">
              <w:rPr>
                <w:b/>
                <w:bCs/>
              </w:rPr>
              <w:t>0.0028</w:t>
            </w:r>
          </w:p>
        </w:tc>
      </w:tr>
      <w:tr w:rsidR="005C0572" w:rsidRPr="005C0572" w14:paraId="68CB0B21" w14:textId="77777777" w:rsidTr="005C0572">
        <w:tc>
          <w:tcPr>
            <w:tcW w:w="0" w:type="auto"/>
            <w:hideMark/>
          </w:tcPr>
          <w:p w14:paraId="41DB1CAE" w14:textId="77777777" w:rsidR="005C0572" w:rsidRPr="005C0572" w:rsidRDefault="005C0572" w:rsidP="005C0572">
            <w:pPr>
              <w:pStyle w:val="NoSpacing"/>
            </w:pPr>
            <w:r w:rsidRPr="005C0572">
              <w:t>p63</w:t>
            </w:r>
          </w:p>
        </w:tc>
        <w:tc>
          <w:tcPr>
            <w:tcW w:w="0" w:type="auto"/>
            <w:hideMark/>
          </w:tcPr>
          <w:p w14:paraId="0DE828F0" w14:textId="77777777" w:rsidR="005C0572" w:rsidRPr="005C0572" w:rsidRDefault="005C0572" w:rsidP="005C0572">
            <w:pPr>
              <w:pStyle w:val="NoSpacing"/>
            </w:pPr>
            <w:r w:rsidRPr="005C0572">
              <w:t>0.1657</w:t>
            </w:r>
          </w:p>
        </w:tc>
        <w:tc>
          <w:tcPr>
            <w:tcW w:w="0" w:type="auto"/>
            <w:hideMark/>
          </w:tcPr>
          <w:p w14:paraId="1E773DFB" w14:textId="77777777" w:rsidR="005C0572" w:rsidRPr="005C0572" w:rsidRDefault="005C0572" w:rsidP="005C0572">
            <w:pPr>
              <w:pStyle w:val="NoSpacing"/>
            </w:pPr>
            <w:r w:rsidRPr="005C0572">
              <w:t>0.2197</w:t>
            </w:r>
          </w:p>
        </w:tc>
        <w:tc>
          <w:tcPr>
            <w:tcW w:w="0" w:type="auto"/>
            <w:hideMark/>
          </w:tcPr>
          <w:p w14:paraId="5F9181E6" w14:textId="77777777" w:rsidR="005C0572" w:rsidRPr="005C0572" w:rsidRDefault="005C0572" w:rsidP="005C0572">
            <w:pPr>
              <w:pStyle w:val="NoSpacing"/>
            </w:pPr>
            <w:r w:rsidRPr="005C0572">
              <w:t>0.0571</w:t>
            </w:r>
          </w:p>
        </w:tc>
        <w:tc>
          <w:tcPr>
            <w:tcW w:w="0" w:type="auto"/>
            <w:hideMark/>
          </w:tcPr>
          <w:p w14:paraId="6C314BD7" w14:textId="77777777" w:rsidR="005C0572" w:rsidRPr="005C0572" w:rsidRDefault="005C0572" w:rsidP="005C0572">
            <w:pPr>
              <w:pStyle w:val="NoSpacing"/>
            </w:pPr>
            <w:r w:rsidRPr="005C0572">
              <w:t>0.0295</w:t>
            </w:r>
          </w:p>
        </w:tc>
        <w:tc>
          <w:tcPr>
            <w:tcW w:w="0" w:type="auto"/>
            <w:hideMark/>
          </w:tcPr>
          <w:p w14:paraId="3A37578A" w14:textId="77777777" w:rsidR="005C0572" w:rsidRPr="00014890" w:rsidRDefault="005C0572" w:rsidP="005C0572">
            <w:pPr>
              <w:pStyle w:val="NoSpacing"/>
              <w:rPr>
                <w:b/>
                <w:bCs/>
              </w:rPr>
            </w:pPr>
            <w:r w:rsidRPr="00014890">
              <w:rPr>
                <w:b/>
                <w:bCs/>
              </w:rPr>
              <w:t>0.0028</w:t>
            </w:r>
          </w:p>
        </w:tc>
        <w:tc>
          <w:tcPr>
            <w:tcW w:w="0" w:type="auto"/>
            <w:hideMark/>
          </w:tcPr>
          <w:p w14:paraId="78261A47" w14:textId="77777777" w:rsidR="005C0572" w:rsidRPr="00014890" w:rsidRDefault="005C0572" w:rsidP="005C0572">
            <w:pPr>
              <w:pStyle w:val="NoSpacing"/>
              <w:rPr>
                <w:b/>
                <w:bCs/>
              </w:rPr>
            </w:pPr>
            <w:r w:rsidRPr="00014890">
              <w:rPr>
                <w:b/>
                <w:bCs/>
              </w:rPr>
              <w:t>—</w:t>
            </w:r>
          </w:p>
        </w:tc>
      </w:tr>
    </w:tbl>
    <w:p w14:paraId="5076DC36" w14:textId="77777777" w:rsidR="005C0572" w:rsidRPr="005C0572" w:rsidRDefault="005C0572" w:rsidP="005C0572">
      <w:pPr>
        <w:pStyle w:val="NoSpacing"/>
      </w:pPr>
      <w:r w:rsidRPr="005C0572">
        <w:rPr>
          <w:vertAlign w:val="superscript"/>
        </w:rPr>
        <w:t>*</w:t>
      </w:r>
      <w:r w:rsidRPr="005C0572">
        <w:rPr>
          <w:i/>
          <w:iCs/>
        </w:rPr>
        <w:t>κ</w:t>
      </w:r>
      <w:r w:rsidRPr="005C0572">
        <w:t> test was used to detect associations between different protein pairs using Bonferroni correction for multiple testing. </w:t>
      </w:r>
      <w:r w:rsidRPr="005C0572">
        <w:rPr>
          <w:i/>
          <w:iCs/>
        </w:rPr>
        <w:t>κ</w:t>
      </w:r>
      <w:r w:rsidRPr="005C0572">
        <w:t> values≤0.0035 suggest a significant association between pairs of proteins (in bold).</w:t>
      </w:r>
    </w:p>
    <w:p w14:paraId="4582052A" w14:textId="77777777" w:rsidR="006D62BE" w:rsidRDefault="006D62BE" w:rsidP="006435DB"/>
    <w:p w14:paraId="6511B15E" w14:textId="29B75AFB" w:rsidR="006435DB" w:rsidRPr="006435DB" w:rsidRDefault="006435DB" w:rsidP="00014890">
      <w:pPr>
        <w:pStyle w:val="NoSpacing"/>
      </w:pPr>
      <w:r w:rsidRPr="006435DB">
        <w:rPr>
          <w:noProof/>
        </w:rPr>
        <w:drawing>
          <wp:inline distT="0" distB="0" distL="0" distR="0" wp14:anchorId="7061F8D4" wp14:editId="4E392CF6">
            <wp:extent cx="2743200" cy="1627632"/>
            <wp:effectExtent l="0" t="0" r="0" b="0"/>
            <wp:docPr id="1" name="Picture 1" descr="figure 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627632"/>
                    </a:xfrm>
                    <a:prstGeom prst="rect">
                      <a:avLst/>
                    </a:prstGeom>
                    <a:noFill/>
                    <a:ln>
                      <a:noFill/>
                    </a:ln>
                  </pic:spPr>
                </pic:pic>
              </a:graphicData>
            </a:graphic>
          </wp:inline>
        </w:drawing>
      </w:r>
    </w:p>
    <w:p w14:paraId="72CE4082" w14:textId="64E1C9A7" w:rsidR="006435DB" w:rsidRPr="006435DB" w:rsidRDefault="00014890" w:rsidP="00014890">
      <w:pPr>
        <w:pStyle w:val="NoSpacing"/>
      </w:pPr>
      <w:r w:rsidRPr="00014890">
        <w:rPr>
          <w:b/>
          <w:bCs/>
        </w:rPr>
        <w:t>Figure 6</w:t>
      </w:r>
      <w:r>
        <w:t xml:space="preserve">. </w:t>
      </w:r>
      <w:r w:rsidR="006435DB" w:rsidRPr="006435DB">
        <w:t xml:space="preserve">Hierarchical clustering of proteins based on their expression in all 47 tumor samples using </w:t>
      </w:r>
      <w:r w:rsidR="006435DB" w:rsidRPr="006435DB">
        <w:rPr>
          <w:i/>
          <w:iCs/>
        </w:rPr>
        <w:t>κ</w:t>
      </w:r>
      <w:r w:rsidR="006435DB" w:rsidRPr="006435DB">
        <w:t xml:space="preserve"> statistic distance metric to assess similarity among the proteins. Smooth muscle actin, calponin, smooth muscle myosin heavy chain, and metallothionein cluster together, while </w:t>
      </w:r>
      <w:proofErr w:type="spellStart"/>
      <w:r w:rsidR="006435DB" w:rsidRPr="006435DB">
        <w:t>maspin</w:t>
      </w:r>
      <w:proofErr w:type="spellEnd"/>
      <w:r w:rsidR="006435DB" w:rsidRPr="006435DB">
        <w:t xml:space="preserve"> and p63 are in a second cluster.</w:t>
      </w:r>
    </w:p>
    <w:p w14:paraId="6611A6CE" w14:textId="77777777" w:rsidR="00014890" w:rsidRDefault="00014890" w:rsidP="006435DB"/>
    <w:p w14:paraId="6D79A974" w14:textId="5433E629" w:rsidR="006435DB" w:rsidRPr="006435DB" w:rsidRDefault="006435DB" w:rsidP="00014890">
      <w:pPr>
        <w:pStyle w:val="Heading1"/>
      </w:pPr>
      <w:r w:rsidRPr="006435DB">
        <w:t>Discussion</w:t>
      </w:r>
    </w:p>
    <w:p w14:paraId="6F66AE04" w14:textId="7AE23B80" w:rsidR="006435DB" w:rsidRPr="006435DB" w:rsidRDefault="006435DB" w:rsidP="006435DB">
      <w:pPr>
        <w:rPr>
          <w:rFonts w:cstheme="minorHAnsi"/>
          <w:sz w:val="24"/>
          <w:szCs w:val="24"/>
        </w:rPr>
      </w:pPr>
      <w:r w:rsidRPr="006435DB">
        <w:rPr>
          <w:rFonts w:cstheme="minorHAnsi"/>
          <w:sz w:val="24"/>
          <w:szCs w:val="24"/>
        </w:rPr>
        <w:t>The new World Health Organization's Blue Book series on ‘Classification of Tumors: Pathology and Genetics of Head and Neck Tumors’ defines adenoid cystic carcinoma as ‘… consisting of epithelial and myoepithelial cells…’ and polymorphous low-grade adenocarcinoma as ‘a malignant epithelial tumor …’.</w:t>
      </w:r>
      <w:r w:rsidRPr="00ED2AAE">
        <w:rPr>
          <w:rFonts w:cstheme="minorHAnsi"/>
          <w:sz w:val="24"/>
          <w:szCs w:val="24"/>
          <w:vertAlign w:val="superscript"/>
        </w:rPr>
        <w:t>13</w:t>
      </w:r>
      <w:r w:rsidRPr="006435DB">
        <w:rPr>
          <w:rFonts w:cstheme="minorHAnsi"/>
          <w:sz w:val="24"/>
          <w:szCs w:val="24"/>
        </w:rPr>
        <w:t xml:space="preserve"> One of the main differentiating features between the two is identification of a dimorphic tumor cell population with myoepithelial and epithelial-type cells in adenoid cystic carcinoma, and a monomorphic epithelial-type tumor cell population in polymorphous low-grade adenocarcinoma. The myoepithelial-type tumor cells in adenoid cystic carcinoma are usually peripheral and adjacent to the basement membrane in tumor nests and tubules, and have clear cytoplasm with angulated, hyperchromatic and dense nuclei. The second type of tumor cells in adenoid cystic carcinoma show ductal/epithelial differentiation, are less numerous and arranged towards the lumen away from the basement membrane, and have round nuclei with vesicular chromatin that may contain small nucleoli. Myoepithelial cells share immunophenotypic features with smooth muscle and basal/stem cells. We selected three cytoplasmic myoid smooth muscle proteins associated with actin filaments (smooth muscle actin, calponin, and smooth muscle myosin heavy chain), and three predominantly nuclear proteins associated with basal/stem cells (metallothionein, </w:t>
      </w:r>
      <w:proofErr w:type="spellStart"/>
      <w:r w:rsidRPr="006435DB">
        <w:rPr>
          <w:rFonts w:cstheme="minorHAnsi"/>
          <w:sz w:val="24"/>
          <w:szCs w:val="24"/>
        </w:rPr>
        <w:t>maspin</w:t>
      </w:r>
      <w:proofErr w:type="spellEnd"/>
      <w:r w:rsidRPr="006435DB">
        <w:rPr>
          <w:rFonts w:cstheme="minorHAnsi"/>
          <w:sz w:val="24"/>
          <w:szCs w:val="24"/>
        </w:rPr>
        <w:t>, and p63). We noted that in adenoid cystic carcinoma the myoid markers (smooth muscle actin, calponin, and smooth muscle myosin heavy chain) were present in the peripheral, abluminal cells supporting their myoepithelial phenotype, while tumor cells lining true lumina were negative, consistent with their epithelial phenotype. However, tumor cells adjacent to spaces containing eosinophilic basement membrane-like material or basophilic stromal mucin showed myoepithelial differentiation, and stained similar to the peripheral, abluminal tumor cells. The expression of all markers appears to diminish in adenoid cystic carcinoma with solid areas and necrosis, as reported before.</w:t>
      </w:r>
      <w:r w:rsidRPr="00ED2AAE">
        <w:rPr>
          <w:rFonts w:cstheme="minorHAnsi"/>
          <w:sz w:val="24"/>
          <w:szCs w:val="24"/>
          <w:vertAlign w:val="superscript"/>
        </w:rPr>
        <w:t>2</w:t>
      </w:r>
      <w:r w:rsidRPr="006435DB">
        <w:rPr>
          <w:rFonts w:cstheme="minorHAnsi"/>
          <w:sz w:val="24"/>
          <w:szCs w:val="24"/>
          <w:vertAlign w:val="superscript"/>
        </w:rPr>
        <w:t xml:space="preserve">, </w:t>
      </w:r>
      <w:r w:rsidRPr="00ED2AAE">
        <w:rPr>
          <w:rFonts w:cstheme="minorHAnsi"/>
          <w:sz w:val="24"/>
          <w:szCs w:val="24"/>
          <w:vertAlign w:val="superscript"/>
        </w:rPr>
        <w:t>3</w:t>
      </w:r>
      <w:r w:rsidRPr="006435DB">
        <w:rPr>
          <w:rFonts w:cstheme="minorHAnsi"/>
          <w:sz w:val="24"/>
          <w:szCs w:val="24"/>
        </w:rPr>
        <w:t xml:space="preserve"> Solid variants of adenoid cystic carcinoma may be considered high grade, and are believed to be associated with worse prognosis.</w:t>
      </w:r>
      <w:r w:rsidRPr="00ED2AAE">
        <w:rPr>
          <w:rFonts w:cstheme="minorHAnsi"/>
          <w:sz w:val="24"/>
          <w:szCs w:val="24"/>
          <w:vertAlign w:val="superscript"/>
        </w:rPr>
        <w:t>14</w:t>
      </w:r>
      <w:r w:rsidRPr="006435DB">
        <w:rPr>
          <w:rFonts w:cstheme="minorHAnsi"/>
          <w:sz w:val="24"/>
          <w:szCs w:val="24"/>
          <w:vertAlign w:val="superscript"/>
        </w:rPr>
        <w:t xml:space="preserve">, </w:t>
      </w:r>
      <w:r w:rsidRPr="00ED2AAE">
        <w:rPr>
          <w:rFonts w:cstheme="minorHAnsi"/>
          <w:sz w:val="24"/>
          <w:szCs w:val="24"/>
          <w:vertAlign w:val="superscript"/>
        </w:rPr>
        <w:t>15</w:t>
      </w:r>
      <w:r w:rsidRPr="006435DB">
        <w:rPr>
          <w:rFonts w:cstheme="minorHAnsi"/>
          <w:sz w:val="24"/>
          <w:szCs w:val="24"/>
        </w:rPr>
        <w:t xml:space="preserve"> However, the role of these antibodies as prognostic markers needs further exploration.</w:t>
      </w:r>
    </w:p>
    <w:p w14:paraId="512EB86D" w14:textId="49541793" w:rsidR="006435DB" w:rsidRPr="006435DB" w:rsidRDefault="006435DB" w:rsidP="006435DB">
      <w:pPr>
        <w:rPr>
          <w:rFonts w:cstheme="minorHAnsi"/>
          <w:sz w:val="24"/>
          <w:szCs w:val="24"/>
        </w:rPr>
      </w:pPr>
      <w:r w:rsidRPr="006435DB">
        <w:rPr>
          <w:rFonts w:cstheme="minorHAnsi"/>
          <w:sz w:val="24"/>
          <w:szCs w:val="24"/>
        </w:rPr>
        <w:t xml:space="preserve">The zonal pattern of immunostaining highlighting the 2-cell population in adenoid cystic carcinoma was not seen in polymorphous low-grade adenocarcinoma. Tumor cells in polymorphous low-grade adenocarcinoma were </w:t>
      </w:r>
      <w:proofErr w:type="spellStart"/>
      <w:r w:rsidRPr="006435DB">
        <w:rPr>
          <w:rFonts w:cstheme="minorHAnsi"/>
          <w:sz w:val="24"/>
          <w:szCs w:val="24"/>
        </w:rPr>
        <w:t>monomorphous</w:t>
      </w:r>
      <w:proofErr w:type="spellEnd"/>
      <w:r w:rsidRPr="006435DB">
        <w:rPr>
          <w:rFonts w:cstheme="minorHAnsi"/>
          <w:sz w:val="24"/>
          <w:szCs w:val="24"/>
        </w:rPr>
        <w:t xml:space="preserve"> containing round to oval, vesicular nuclei with open chromatin and small, distinct or indistinct nucleoli. These tumor cells did not express the markers suggestive of myoid/smooth muscle differentiation, consistent with previous reports.</w:t>
      </w:r>
      <w:r w:rsidRPr="00ED2AAE">
        <w:rPr>
          <w:rFonts w:cstheme="minorHAnsi"/>
          <w:sz w:val="24"/>
          <w:szCs w:val="24"/>
          <w:vertAlign w:val="superscript"/>
        </w:rPr>
        <w:t>2</w:t>
      </w:r>
      <w:r w:rsidRPr="006435DB">
        <w:rPr>
          <w:rFonts w:cstheme="minorHAnsi"/>
          <w:sz w:val="24"/>
          <w:szCs w:val="24"/>
          <w:vertAlign w:val="superscript"/>
        </w:rPr>
        <w:t xml:space="preserve">, </w:t>
      </w:r>
      <w:r w:rsidRPr="00ED2AAE">
        <w:rPr>
          <w:rFonts w:cstheme="minorHAnsi"/>
          <w:sz w:val="24"/>
          <w:szCs w:val="24"/>
          <w:vertAlign w:val="superscript"/>
        </w:rPr>
        <w:t>11</w:t>
      </w:r>
      <w:r w:rsidRPr="006435DB">
        <w:rPr>
          <w:rFonts w:cstheme="minorHAnsi"/>
          <w:sz w:val="24"/>
          <w:szCs w:val="24"/>
          <w:vertAlign w:val="superscript"/>
        </w:rPr>
        <w:t xml:space="preserve">, </w:t>
      </w:r>
      <w:r w:rsidRPr="00ED2AAE">
        <w:rPr>
          <w:rFonts w:cstheme="minorHAnsi"/>
          <w:sz w:val="24"/>
          <w:szCs w:val="24"/>
          <w:vertAlign w:val="superscript"/>
        </w:rPr>
        <w:t>16</w:t>
      </w:r>
      <w:r w:rsidRPr="006435DB">
        <w:rPr>
          <w:rFonts w:cstheme="minorHAnsi"/>
          <w:sz w:val="24"/>
          <w:szCs w:val="24"/>
          <w:vertAlign w:val="superscript"/>
        </w:rPr>
        <w:t xml:space="preserve">, </w:t>
      </w:r>
      <w:r w:rsidRPr="00ED2AAE">
        <w:rPr>
          <w:rFonts w:cstheme="minorHAnsi"/>
          <w:sz w:val="24"/>
          <w:szCs w:val="24"/>
          <w:vertAlign w:val="superscript"/>
        </w:rPr>
        <w:t>17</w:t>
      </w:r>
      <w:r w:rsidRPr="006435DB">
        <w:rPr>
          <w:rFonts w:cstheme="minorHAnsi"/>
          <w:sz w:val="24"/>
          <w:szCs w:val="24"/>
        </w:rPr>
        <w:t xml:space="preserve"> However, polymorphous low-grade adenocarcinoma expressed metallothionein, </w:t>
      </w:r>
      <w:proofErr w:type="spellStart"/>
      <w:r w:rsidRPr="006435DB">
        <w:rPr>
          <w:rFonts w:cstheme="minorHAnsi"/>
          <w:sz w:val="24"/>
          <w:szCs w:val="24"/>
        </w:rPr>
        <w:t>maspin</w:t>
      </w:r>
      <w:proofErr w:type="spellEnd"/>
      <w:r w:rsidRPr="006435DB">
        <w:rPr>
          <w:rFonts w:cstheme="minorHAnsi"/>
          <w:sz w:val="24"/>
          <w:szCs w:val="24"/>
        </w:rPr>
        <w:t xml:space="preserve">, and p63, the latter two frequently and diffusely. Metallothionein, </w:t>
      </w:r>
      <w:proofErr w:type="spellStart"/>
      <w:r w:rsidRPr="006435DB">
        <w:rPr>
          <w:rFonts w:cstheme="minorHAnsi"/>
          <w:sz w:val="24"/>
          <w:szCs w:val="24"/>
        </w:rPr>
        <w:t>maspin</w:t>
      </w:r>
      <w:proofErr w:type="spellEnd"/>
      <w:r w:rsidRPr="006435DB">
        <w:rPr>
          <w:rFonts w:cstheme="minorHAnsi"/>
          <w:sz w:val="24"/>
          <w:szCs w:val="24"/>
        </w:rPr>
        <w:t xml:space="preserve">, and p63 are known to be strongly expressed in simple epithelia, basal/stem cells and myoepithelial cells. Edwards </w:t>
      </w:r>
      <w:r w:rsidRPr="006435DB">
        <w:rPr>
          <w:rFonts w:cstheme="minorHAnsi"/>
          <w:i/>
          <w:iCs/>
          <w:sz w:val="24"/>
          <w:szCs w:val="24"/>
        </w:rPr>
        <w:t>et al</w:t>
      </w:r>
      <w:r w:rsidRPr="00ED2AAE">
        <w:rPr>
          <w:rFonts w:cstheme="minorHAnsi"/>
          <w:sz w:val="24"/>
          <w:szCs w:val="24"/>
          <w:vertAlign w:val="superscript"/>
        </w:rPr>
        <w:t>3</w:t>
      </w:r>
      <w:r w:rsidRPr="006435DB">
        <w:rPr>
          <w:rFonts w:cstheme="minorHAnsi"/>
          <w:sz w:val="24"/>
          <w:szCs w:val="24"/>
        </w:rPr>
        <w:t xml:space="preserve"> reported p63 expression in all polymorphous low-grade adenocarcinoma, adenoid cystic carcinoma, and basal cell adenomas (100%). They suggested an epithelial basal/stem/reserve cell origin for polymorphous low-grade adenocarcinoma, but since p63 also stains myoepithelial cells, myoepithelial histogenesis cannot be completely ruled out. Perez-Ordonez </w:t>
      </w:r>
      <w:r w:rsidRPr="006435DB">
        <w:rPr>
          <w:rFonts w:cstheme="minorHAnsi"/>
          <w:i/>
          <w:iCs/>
          <w:sz w:val="24"/>
          <w:szCs w:val="24"/>
        </w:rPr>
        <w:t>et al</w:t>
      </w:r>
      <w:r w:rsidRPr="00ED2AAE">
        <w:rPr>
          <w:rFonts w:cstheme="minorHAnsi"/>
          <w:sz w:val="24"/>
          <w:szCs w:val="24"/>
          <w:vertAlign w:val="superscript"/>
        </w:rPr>
        <w:t>17</w:t>
      </w:r>
      <w:r w:rsidRPr="006435DB">
        <w:rPr>
          <w:rFonts w:cstheme="minorHAnsi"/>
          <w:sz w:val="24"/>
          <w:szCs w:val="24"/>
        </w:rPr>
        <w:t xml:space="preserve"> reported that all polymorphous low-grade adenocarcinoma (100%) expressed 34</w:t>
      </w:r>
      <w:r w:rsidRPr="006435DB">
        <w:rPr>
          <w:rFonts w:cstheme="minorHAnsi"/>
          <w:i/>
          <w:iCs/>
          <w:sz w:val="24"/>
          <w:szCs w:val="24"/>
        </w:rPr>
        <w:t>β</w:t>
      </w:r>
      <w:r w:rsidRPr="006435DB">
        <w:rPr>
          <w:rFonts w:cstheme="minorHAnsi"/>
          <w:sz w:val="24"/>
          <w:szCs w:val="24"/>
        </w:rPr>
        <w:t xml:space="preserve">E12 in their series. Similarly </w:t>
      </w:r>
      <w:proofErr w:type="spellStart"/>
      <w:r w:rsidRPr="006435DB">
        <w:rPr>
          <w:rFonts w:cstheme="minorHAnsi"/>
          <w:sz w:val="24"/>
          <w:szCs w:val="24"/>
        </w:rPr>
        <w:t>Gnepp</w:t>
      </w:r>
      <w:proofErr w:type="spellEnd"/>
      <w:r w:rsidRPr="006435DB">
        <w:rPr>
          <w:rFonts w:cstheme="minorHAnsi"/>
          <w:sz w:val="24"/>
          <w:szCs w:val="24"/>
        </w:rPr>
        <w:t xml:space="preserve"> </w:t>
      </w:r>
      <w:r w:rsidRPr="006435DB">
        <w:rPr>
          <w:rFonts w:cstheme="minorHAnsi"/>
          <w:i/>
          <w:iCs/>
          <w:sz w:val="24"/>
          <w:szCs w:val="24"/>
        </w:rPr>
        <w:t>et al</w:t>
      </w:r>
      <w:r w:rsidRPr="006435DB">
        <w:rPr>
          <w:rFonts w:cstheme="minorHAnsi"/>
          <w:sz w:val="24"/>
          <w:szCs w:val="24"/>
        </w:rPr>
        <w:t xml:space="preserve"> and </w:t>
      </w:r>
      <w:proofErr w:type="spellStart"/>
      <w:r w:rsidRPr="006435DB">
        <w:rPr>
          <w:rFonts w:cstheme="minorHAnsi"/>
          <w:sz w:val="24"/>
          <w:szCs w:val="24"/>
        </w:rPr>
        <w:t>Regezi</w:t>
      </w:r>
      <w:proofErr w:type="spellEnd"/>
      <w:r w:rsidRPr="006435DB">
        <w:rPr>
          <w:rFonts w:cstheme="minorHAnsi"/>
          <w:sz w:val="24"/>
          <w:szCs w:val="24"/>
        </w:rPr>
        <w:t xml:space="preserve"> </w:t>
      </w:r>
      <w:r w:rsidRPr="006435DB">
        <w:rPr>
          <w:rFonts w:cstheme="minorHAnsi"/>
          <w:i/>
          <w:iCs/>
          <w:sz w:val="24"/>
          <w:szCs w:val="24"/>
        </w:rPr>
        <w:t>et al</w:t>
      </w:r>
      <w:r w:rsidRPr="00ED2AAE">
        <w:rPr>
          <w:rFonts w:cstheme="minorHAnsi"/>
          <w:sz w:val="24"/>
          <w:szCs w:val="24"/>
          <w:vertAlign w:val="superscript"/>
        </w:rPr>
        <w:t>18</w:t>
      </w:r>
      <w:r w:rsidRPr="006435DB">
        <w:rPr>
          <w:rFonts w:cstheme="minorHAnsi"/>
          <w:sz w:val="24"/>
          <w:szCs w:val="24"/>
          <w:vertAlign w:val="superscript"/>
        </w:rPr>
        <w:t xml:space="preserve">, </w:t>
      </w:r>
      <w:r w:rsidRPr="00ED2AAE">
        <w:rPr>
          <w:rFonts w:cstheme="minorHAnsi"/>
          <w:sz w:val="24"/>
          <w:szCs w:val="24"/>
          <w:vertAlign w:val="superscript"/>
        </w:rPr>
        <w:t>19</w:t>
      </w:r>
      <w:r w:rsidRPr="006435DB">
        <w:rPr>
          <w:rFonts w:cstheme="minorHAnsi"/>
          <w:sz w:val="24"/>
          <w:szCs w:val="24"/>
        </w:rPr>
        <w:t xml:space="preserve"> reported the expression of high molecular weight keratin in PLGA. High molecular weight keratin, 34</w:t>
      </w:r>
      <w:r w:rsidRPr="006435DB">
        <w:rPr>
          <w:rFonts w:cstheme="minorHAnsi"/>
          <w:i/>
          <w:iCs/>
          <w:sz w:val="24"/>
          <w:szCs w:val="24"/>
        </w:rPr>
        <w:t>β</w:t>
      </w:r>
      <w:r w:rsidRPr="006435DB">
        <w:rPr>
          <w:rFonts w:cstheme="minorHAnsi"/>
          <w:sz w:val="24"/>
          <w:szCs w:val="24"/>
        </w:rPr>
        <w:t>E12, and p63 are frequently used in prostate pathology to highlight the basal cells. Diffuse expression of p63 is seen in squamous, transitional, and basal cell carcinoma but not in adenocarcinoma.</w:t>
      </w:r>
      <w:r w:rsidRPr="00ED2AAE">
        <w:rPr>
          <w:rFonts w:cstheme="minorHAnsi"/>
          <w:sz w:val="24"/>
          <w:szCs w:val="24"/>
          <w:vertAlign w:val="superscript"/>
        </w:rPr>
        <w:t>20</w:t>
      </w:r>
      <w:r w:rsidRPr="006435DB">
        <w:rPr>
          <w:rFonts w:cstheme="minorHAnsi"/>
          <w:sz w:val="24"/>
          <w:szCs w:val="24"/>
        </w:rPr>
        <w:t xml:space="preserve"> Thus, the expression of p63 in polymorphous low-grade adenocarcinoma may suggest basal/stem cell phenotype than glandular differentiation. Evidence for basaloid differentiation has also been demonstrated by electron microscopy in polymorphous low-grade adenocarcinoma.</w:t>
      </w:r>
      <w:r w:rsidRPr="00ED2AAE">
        <w:rPr>
          <w:rFonts w:cstheme="minorHAnsi"/>
          <w:sz w:val="24"/>
          <w:szCs w:val="24"/>
          <w:vertAlign w:val="superscript"/>
        </w:rPr>
        <w:t>21</w:t>
      </w:r>
      <w:r w:rsidRPr="006435DB">
        <w:rPr>
          <w:rFonts w:cstheme="minorHAnsi"/>
          <w:sz w:val="24"/>
          <w:szCs w:val="24"/>
        </w:rPr>
        <w:t xml:space="preserve"> Indeed, expression of carcinoembryonic antigen, a hallmark of glandular differentiation, seen in most adenocarcinomas has rarely been demonstrated in polymorphous low-grade adenocarcinoma.</w:t>
      </w:r>
      <w:r w:rsidRPr="00ED2AAE">
        <w:rPr>
          <w:rFonts w:cstheme="minorHAnsi"/>
          <w:sz w:val="24"/>
          <w:szCs w:val="24"/>
          <w:vertAlign w:val="superscript"/>
        </w:rPr>
        <w:t>17</w:t>
      </w:r>
      <w:r w:rsidRPr="006435DB">
        <w:rPr>
          <w:rFonts w:cstheme="minorHAnsi"/>
          <w:sz w:val="24"/>
          <w:szCs w:val="24"/>
          <w:vertAlign w:val="superscript"/>
        </w:rPr>
        <w:t xml:space="preserve">, </w:t>
      </w:r>
      <w:r w:rsidRPr="00ED2AAE">
        <w:rPr>
          <w:rFonts w:cstheme="minorHAnsi"/>
          <w:sz w:val="24"/>
          <w:szCs w:val="24"/>
          <w:vertAlign w:val="superscript"/>
        </w:rPr>
        <w:t>18</w:t>
      </w:r>
      <w:r w:rsidRPr="006435DB">
        <w:rPr>
          <w:rFonts w:cstheme="minorHAnsi"/>
          <w:sz w:val="24"/>
          <w:szCs w:val="24"/>
          <w:vertAlign w:val="superscript"/>
        </w:rPr>
        <w:t xml:space="preserve">, </w:t>
      </w:r>
      <w:r w:rsidRPr="00ED2AAE">
        <w:rPr>
          <w:rFonts w:cstheme="minorHAnsi"/>
          <w:sz w:val="24"/>
          <w:szCs w:val="24"/>
          <w:vertAlign w:val="superscript"/>
        </w:rPr>
        <w:t>22</w:t>
      </w:r>
      <w:r w:rsidRPr="006435DB">
        <w:rPr>
          <w:rFonts w:cstheme="minorHAnsi"/>
          <w:sz w:val="24"/>
          <w:szCs w:val="24"/>
        </w:rPr>
        <w:t xml:space="preserve"> The tumor cells in polymorphous low-grade adenocarcinoma do not express proteins associated with myoid differentiation (smooth muscle actin, smooth muscle myosin heavy chain, calponin) or glandular differentiation (carcinoembryonic antigen) but express proteins associated with basal cells such as 34</w:t>
      </w:r>
      <w:r w:rsidRPr="006435DB">
        <w:rPr>
          <w:rFonts w:cstheme="minorHAnsi"/>
          <w:i/>
          <w:iCs/>
          <w:sz w:val="24"/>
          <w:szCs w:val="24"/>
        </w:rPr>
        <w:t>β</w:t>
      </w:r>
      <w:r w:rsidRPr="006435DB">
        <w:rPr>
          <w:rFonts w:cstheme="minorHAnsi"/>
          <w:sz w:val="24"/>
          <w:szCs w:val="24"/>
        </w:rPr>
        <w:t xml:space="preserve">E12, p63, </w:t>
      </w:r>
      <w:proofErr w:type="spellStart"/>
      <w:r w:rsidRPr="006435DB">
        <w:rPr>
          <w:rFonts w:cstheme="minorHAnsi"/>
          <w:sz w:val="24"/>
          <w:szCs w:val="24"/>
        </w:rPr>
        <w:t>maspin</w:t>
      </w:r>
      <w:proofErr w:type="spellEnd"/>
      <w:r w:rsidRPr="006435DB">
        <w:rPr>
          <w:rFonts w:cstheme="minorHAnsi"/>
          <w:sz w:val="24"/>
          <w:szCs w:val="24"/>
        </w:rPr>
        <w:t>, and metallothionein. This appears to favor basaloid/stem/reserve cell immunophenotypic features.</w:t>
      </w:r>
    </w:p>
    <w:p w14:paraId="086619DF" w14:textId="399545E2" w:rsidR="006435DB" w:rsidRPr="006435DB" w:rsidRDefault="006435DB" w:rsidP="006435DB">
      <w:pPr>
        <w:rPr>
          <w:rFonts w:cstheme="minorHAnsi"/>
          <w:sz w:val="24"/>
          <w:szCs w:val="24"/>
        </w:rPr>
      </w:pPr>
      <w:r w:rsidRPr="006435DB">
        <w:rPr>
          <w:rFonts w:cstheme="minorHAnsi"/>
          <w:sz w:val="24"/>
          <w:szCs w:val="24"/>
        </w:rPr>
        <w:t>Hierarchical cluster analysis finds clusters of similar observations within a dataset. It is frequently used to analyze mRNA expression profiles of thousands of genes in DNA microarray studies. In recent years, this statistical tool has been applied to analyze immunohistochemical results on Formalin-fixed paraffin-embedded tissues using multiple antibodies, and has demonstrated that tumors clustered into groups that correlated to their site of origin,</w:t>
      </w:r>
      <w:r w:rsidRPr="00ED2AAE">
        <w:rPr>
          <w:rFonts w:cstheme="minorHAnsi"/>
          <w:sz w:val="24"/>
          <w:szCs w:val="24"/>
          <w:vertAlign w:val="superscript"/>
        </w:rPr>
        <w:t>23</w:t>
      </w:r>
      <w:r w:rsidRPr="006435DB">
        <w:rPr>
          <w:rFonts w:cstheme="minorHAnsi"/>
          <w:sz w:val="24"/>
          <w:szCs w:val="24"/>
        </w:rPr>
        <w:t xml:space="preserve"> phenotype,</w:t>
      </w:r>
      <w:r w:rsidRPr="00ED2AAE">
        <w:rPr>
          <w:rFonts w:cstheme="minorHAnsi"/>
          <w:sz w:val="24"/>
          <w:szCs w:val="24"/>
          <w:vertAlign w:val="superscript"/>
        </w:rPr>
        <w:t>24</w:t>
      </w:r>
      <w:r w:rsidRPr="006435DB">
        <w:rPr>
          <w:rFonts w:cstheme="minorHAnsi"/>
          <w:sz w:val="24"/>
          <w:szCs w:val="24"/>
          <w:vertAlign w:val="superscript"/>
        </w:rPr>
        <w:t xml:space="preserve">, </w:t>
      </w:r>
      <w:r w:rsidRPr="00ED2AAE">
        <w:rPr>
          <w:rFonts w:cstheme="minorHAnsi"/>
          <w:sz w:val="24"/>
          <w:szCs w:val="24"/>
          <w:vertAlign w:val="superscript"/>
        </w:rPr>
        <w:t>25</w:t>
      </w:r>
      <w:r w:rsidRPr="006435DB">
        <w:rPr>
          <w:rFonts w:cstheme="minorHAnsi"/>
          <w:sz w:val="24"/>
          <w:szCs w:val="24"/>
        </w:rPr>
        <w:t xml:space="preserve"> biologic potential,</w:t>
      </w:r>
      <w:r w:rsidRPr="00ED2AAE">
        <w:rPr>
          <w:rFonts w:cstheme="minorHAnsi"/>
          <w:sz w:val="24"/>
          <w:szCs w:val="24"/>
          <w:vertAlign w:val="superscript"/>
        </w:rPr>
        <w:t>26</w:t>
      </w:r>
      <w:r w:rsidRPr="006435DB">
        <w:rPr>
          <w:rFonts w:cstheme="minorHAnsi"/>
          <w:sz w:val="24"/>
          <w:szCs w:val="24"/>
        </w:rPr>
        <w:t xml:space="preserve"> and prognosis.</w:t>
      </w:r>
      <w:r w:rsidRPr="00ED2AAE">
        <w:rPr>
          <w:rFonts w:cstheme="minorHAnsi"/>
          <w:sz w:val="24"/>
          <w:szCs w:val="24"/>
          <w:vertAlign w:val="superscript"/>
        </w:rPr>
        <w:t>27</w:t>
      </w:r>
      <w:r w:rsidRPr="006435DB">
        <w:rPr>
          <w:rFonts w:cstheme="minorHAnsi"/>
          <w:sz w:val="24"/>
          <w:szCs w:val="24"/>
          <w:vertAlign w:val="superscript"/>
        </w:rPr>
        <w:t xml:space="preserve">, </w:t>
      </w:r>
      <w:r w:rsidRPr="00ED2AAE">
        <w:rPr>
          <w:rFonts w:cstheme="minorHAnsi"/>
          <w:sz w:val="24"/>
          <w:szCs w:val="24"/>
          <w:vertAlign w:val="superscript"/>
        </w:rPr>
        <w:t>28</w:t>
      </w:r>
      <w:r w:rsidRPr="006435DB">
        <w:rPr>
          <w:rFonts w:cstheme="minorHAnsi"/>
          <w:sz w:val="24"/>
          <w:szCs w:val="24"/>
          <w:vertAlign w:val="superscript"/>
        </w:rPr>
        <w:t xml:space="preserve">, </w:t>
      </w:r>
      <w:r w:rsidRPr="00ED2AAE">
        <w:rPr>
          <w:rFonts w:cstheme="minorHAnsi"/>
          <w:sz w:val="24"/>
          <w:szCs w:val="24"/>
          <w:vertAlign w:val="superscript"/>
        </w:rPr>
        <w:t>29</w:t>
      </w:r>
      <w:r w:rsidRPr="006435DB">
        <w:rPr>
          <w:rFonts w:cstheme="minorHAnsi"/>
          <w:sz w:val="24"/>
          <w:szCs w:val="24"/>
        </w:rPr>
        <w:t xml:space="preserve"> Our goal was to identify a cluster of markers that can be used in combination in a diagnostic immunohistochemical panel for differentiating adenoid cystic carcinoma from polymorphous low-grade adenocarcinoma. In this study, 47 tumors were </w:t>
      </w:r>
      <w:proofErr w:type="spellStart"/>
      <w:r w:rsidRPr="006435DB">
        <w:rPr>
          <w:rFonts w:cstheme="minorHAnsi"/>
          <w:sz w:val="24"/>
          <w:szCs w:val="24"/>
        </w:rPr>
        <w:t>immunostained</w:t>
      </w:r>
      <w:proofErr w:type="spellEnd"/>
      <w:r w:rsidRPr="006435DB">
        <w:rPr>
          <w:rFonts w:cstheme="minorHAnsi"/>
          <w:sz w:val="24"/>
          <w:szCs w:val="24"/>
        </w:rPr>
        <w:t xml:space="preserve"> with primary antibodies against six proteins, and their expressions were subclassified into three categories (negative, focal, and diffuse expression), generating a dataset comprising of 846 (47 × 6 × 3) individual observations. Four markers, smooth muscle actin, calponin, smooth muscle myosin heavy chain, and metallothionein separated adenoid cystic carcinoma from polymorphous low-grade adenocarcinoma. Using these four markers, we analyzed the 47 tumors expecting them to fall into two distinct clusters, adenoid cystic carcinoma, and polymorphous low-grade adenocarcinoma, and most samples did show expected results. Interestingly, four tumors did not cluster in their expected groups. ACC16 clustered with polymorphous low-grade adenocarcinoma. This tumor was reviewed by consultant oral pathologists who were blinded to the results of this study (not coauthors) and was reclassified as polymorphous low grade adenocarcinoma. PLGA4, PLGA5, and PLGA9 clustered with adenoid cystic carcinoma, and were reviewed by a consultant head and neck pathologist (not coauthor) who was also blinded to the results of this study. PLGA4 was reclassified as adenoid cystic carcinoma while PLGA5 and PLGA9 were reaffirmed to be polymorphous low-grade adenocarcinoma. PLGA5 had a predominantly fascicular architecture with a small tubulo-cystic component and a predominant spindle-cell component that showed myoid myoepithelial differentiation. PLGA9 had no distinguishing features when compared to other polymorphous low-grade adenocarcinoma. Thus, hierarchical cluster analysis suggested the correct diagnosis in 45 of 47 tumors (95.7%).</w:t>
      </w:r>
    </w:p>
    <w:p w14:paraId="4FFB458B" w14:textId="77777777" w:rsidR="006435DB" w:rsidRPr="006435DB" w:rsidRDefault="006435DB" w:rsidP="006435DB">
      <w:pPr>
        <w:rPr>
          <w:rFonts w:cstheme="minorHAnsi"/>
          <w:sz w:val="24"/>
          <w:szCs w:val="24"/>
        </w:rPr>
      </w:pPr>
      <w:r w:rsidRPr="006435DB">
        <w:rPr>
          <w:rFonts w:cstheme="minorHAnsi"/>
          <w:sz w:val="24"/>
          <w:szCs w:val="24"/>
        </w:rPr>
        <w:t xml:space="preserve">It needs to be pointed out that none of the markers are specific for myoepithelial, basal or stem cells. Smooth muscle actin, smooth muscle myosin heavy chain, and calponin are also expressed by smooth muscle cells, proliferating fibroblasts, and blood vessels. Metallothionein is expressed in simple epithelia, basal cells, benign, and malignant mammary cells and tumors of various organs. </w:t>
      </w:r>
      <w:proofErr w:type="spellStart"/>
      <w:r w:rsidRPr="006435DB">
        <w:rPr>
          <w:rFonts w:cstheme="minorHAnsi"/>
          <w:sz w:val="24"/>
          <w:szCs w:val="24"/>
        </w:rPr>
        <w:t>Maspin</w:t>
      </w:r>
      <w:proofErr w:type="spellEnd"/>
      <w:r w:rsidRPr="006435DB">
        <w:rPr>
          <w:rFonts w:cstheme="minorHAnsi"/>
          <w:sz w:val="24"/>
          <w:szCs w:val="24"/>
        </w:rPr>
        <w:t xml:space="preserve"> is expressed by squamous and glandular epithelia, prostatic basal cells, endometrium, testicular germ cells and benign, and malignant mammary cells. p63 expression is seen in basal, squamous, and transitional cells. We also observed that only when more than one-third of the tumor cells were immunoreactive with smooth muscle actin, smooth muscle myosin heavy chain, calponin, and metallothionein, there was a significant association with adenoid cystic carcinoma. Staining reactions of lesser degrees were not distinctive of either tumor. Therefore, we recommend a high threshold for positive interpretation of immunohistochemical reaction with these markers in the differentiation of adenoid cystic carcinoma from polymorphous low-grade adenocarcinoma.</w:t>
      </w:r>
    </w:p>
    <w:p w14:paraId="75A7D4E9" w14:textId="77777777" w:rsidR="006435DB" w:rsidRPr="006435DB" w:rsidRDefault="006435DB" w:rsidP="006435DB">
      <w:pPr>
        <w:rPr>
          <w:rFonts w:cstheme="minorHAnsi"/>
          <w:sz w:val="24"/>
          <w:szCs w:val="24"/>
        </w:rPr>
      </w:pPr>
      <w:r w:rsidRPr="006435DB">
        <w:rPr>
          <w:rFonts w:cstheme="minorHAnsi"/>
          <w:sz w:val="24"/>
          <w:szCs w:val="24"/>
        </w:rPr>
        <w:t>Most experts can differentiate adenoid cystic carcinoma from polymorphous low-grade adenocarcinoma using routine hematoxylin and eosin stains. However, diagnostic difficulties are encountered often. Immunohistochemical panels with multiple markers are a common practice in general surgical pathology and may lead to a false sense of confidence. Our results show that several markers do not improve diagnostic accuracy significantly when used in combination, as their immunoreactions are not complimentary, but virtually identical (</w:t>
      </w:r>
      <w:r w:rsidRPr="006435DB">
        <w:rPr>
          <w:rFonts w:cstheme="minorHAnsi"/>
          <w:i/>
          <w:iCs/>
          <w:sz w:val="24"/>
          <w:szCs w:val="24"/>
        </w:rPr>
        <w:t>κ</w:t>
      </w:r>
      <w:r w:rsidRPr="006435DB">
        <w:rPr>
          <w:rFonts w:cstheme="minorHAnsi"/>
          <w:sz w:val="24"/>
          <w:szCs w:val="24"/>
        </w:rPr>
        <w:t>≤0.0035). Thus, using a panel of primary antibodies would not be any more helpful than using a single marker. In this study, smooth muscle actin provided the highest accuracy and positive predictive value for adenoid cystic carcinoma when compared to several other individual markers. Primary antibody to smooth muscle actin is available in most immunohistochemistry laboratories, and its use as a single agent may be more economical than the use of multiple markers. Smooth muscle actin may also be helpful in differentiating polymorphous low-grade adenocarcinoma from other salivary gland tumors of myoepithelial phenotype, for example, pleomorphic adenoma. However, we would like to caution that immunohistochemistry does not replace or override good morphologic examination, and should be used to support it.</w:t>
      </w:r>
    </w:p>
    <w:p w14:paraId="429FF2AB" w14:textId="77777777" w:rsidR="006435DB" w:rsidRPr="006435DB" w:rsidRDefault="006435DB" w:rsidP="006435DB">
      <w:pPr>
        <w:rPr>
          <w:rFonts w:cstheme="minorHAnsi"/>
          <w:sz w:val="24"/>
          <w:szCs w:val="24"/>
        </w:rPr>
      </w:pPr>
      <w:r w:rsidRPr="006435DB">
        <w:rPr>
          <w:rFonts w:cstheme="minorHAnsi"/>
          <w:sz w:val="24"/>
          <w:szCs w:val="24"/>
        </w:rPr>
        <w:t>In summary, although adenoid cystic carcinoma and polymorphous low-grade adenocarcinoma expressed several myoepithelial and basal/stem cells markers, the extent and pattern of expression were different in the two tumors. Diffuse expression of myoid myoepithelial markers (smooth muscle actin, calponin, smooth muscle myosin heavy chain) and metallothionein in tumor cells is highly predictive of adenoid cystic carcinoma. However, the use of multiple markers did not improve accuracy over using a single marker. A single marker, such as smooth muscle actin may be as informative as and more economical than a panel of multiple markers.</w:t>
      </w:r>
    </w:p>
    <w:p w14:paraId="0D2D6610" w14:textId="77777777" w:rsidR="006435DB" w:rsidRPr="006435DB" w:rsidRDefault="006435DB" w:rsidP="00014890">
      <w:pPr>
        <w:pStyle w:val="Heading1"/>
      </w:pPr>
      <w:r w:rsidRPr="006435DB">
        <w:t>References</w:t>
      </w:r>
    </w:p>
    <w:p w14:paraId="21B1226C"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Castle JT, Thompson LD, </w:t>
      </w:r>
      <w:proofErr w:type="spellStart"/>
      <w:r w:rsidRPr="006435DB">
        <w:rPr>
          <w:rFonts w:cstheme="minorHAnsi"/>
          <w:sz w:val="24"/>
          <w:szCs w:val="24"/>
        </w:rPr>
        <w:t>Frommelt</w:t>
      </w:r>
      <w:proofErr w:type="spellEnd"/>
      <w:r w:rsidRPr="006435DB">
        <w:rPr>
          <w:rFonts w:cstheme="minorHAnsi"/>
          <w:sz w:val="24"/>
          <w:szCs w:val="24"/>
        </w:rPr>
        <w:t xml:space="preserve"> RA, </w:t>
      </w:r>
      <w:r w:rsidRPr="006435DB">
        <w:rPr>
          <w:rFonts w:cstheme="minorHAnsi"/>
          <w:i/>
          <w:iCs/>
          <w:sz w:val="24"/>
          <w:szCs w:val="24"/>
        </w:rPr>
        <w:t>et al</w:t>
      </w:r>
      <w:r w:rsidRPr="006435DB">
        <w:rPr>
          <w:rFonts w:cstheme="minorHAnsi"/>
          <w:sz w:val="24"/>
          <w:szCs w:val="24"/>
        </w:rPr>
        <w:t xml:space="preserve">. Polymorphous low grade adenocarcinoma: a clinicopathologic study of 164 cases. </w:t>
      </w:r>
      <w:r w:rsidRPr="006435DB">
        <w:rPr>
          <w:rFonts w:cstheme="minorHAnsi"/>
          <w:i/>
          <w:iCs/>
          <w:sz w:val="24"/>
          <w:szCs w:val="24"/>
        </w:rPr>
        <w:t>Cancer</w:t>
      </w:r>
      <w:r w:rsidRPr="006435DB">
        <w:rPr>
          <w:rFonts w:cstheme="minorHAnsi"/>
          <w:sz w:val="24"/>
          <w:szCs w:val="24"/>
        </w:rPr>
        <w:t xml:space="preserve"> 1999;</w:t>
      </w:r>
      <w:r w:rsidRPr="006435DB">
        <w:rPr>
          <w:rFonts w:cstheme="minorHAnsi"/>
          <w:b/>
          <w:bCs/>
          <w:sz w:val="24"/>
          <w:szCs w:val="24"/>
        </w:rPr>
        <w:t>86</w:t>
      </w:r>
      <w:r w:rsidRPr="006435DB">
        <w:rPr>
          <w:rFonts w:cstheme="minorHAnsi"/>
          <w:sz w:val="24"/>
          <w:szCs w:val="24"/>
        </w:rPr>
        <w:t>:207–219.</w:t>
      </w:r>
    </w:p>
    <w:p w14:paraId="56432515"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Beltran D, </w:t>
      </w:r>
      <w:proofErr w:type="spellStart"/>
      <w:r w:rsidRPr="006435DB">
        <w:rPr>
          <w:rFonts w:cstheme="minorHAnsi"/>
          <w:sz w:val="24"/>
          <w:szCs w:val="24"/>
        </w:rPr>
        <w:t>Faquin</w:t>
      </w:r>
      <w:proofErr w:type="spellEnd"/>
      <w:r w:rsidRPr="006435DB">
        <w:rPr>
          <w:rFonts w:cstheme="minorHAnsi"/>
          <w:sz w:val="24"/>
          <w:szCs w:val="24"/>
        </w:rPr>
        <w:t xml:space="preserve"> WC, Gallagher G, </w:t>
      </w:r>
      <w:r w:rsidRPr="006435DB">
        <w:rPr>
          <w:rFonts w:cstheme="minorHAnsi"/>
          <w:i/>
          <w:iCs/>
          <w:sz w:val="24"/>
          <w:szCs w:val="24"/>
        </w:rPr>
        <w:t>et al</w:t>
      </w:r>
      <w:r w:rsidRPr="006435DB">
        <w:rPr>
          <w:rFonts w:cstheme="minorHAnsi"/>
          <w:sz w:val="24"/>
          <w:szCs w:val="24"/>
        </w:rPr>
        <w:t xml:space="preserve">. Selective immunohistochemical comparison of polymorphous low-grade adenocarcinoma and adenoid cystic carcinoma. </w:t>
      </w:r>
      <w:r w:rsidRPr="006435DB">
        <w:rPr>
          <w:rFonts w:cstheme="minorHAnsi"/>
          <w:i/>
          <w:iCs/>
          <w:sz w:val="24"/>
          <w:szCs w:val="24"/>
        </w:rPr>
        <w:t xml:space="preserve">J Oral </w:t>
      </w:r>
      <w:proofErr w:type="spellStart"/>
      <w:r w:rsidRPr="006435DB">
        <w:rPr>
          <w:rFonts w:cstheme="minorHAnsi"/>
          <w:i/>
          <w:iCs/>
          <w:sz w:val="24"/>
          <w:szCs w:val="24"/>
        </w:rPr>
        <w:t>Maxillofac</w:t>
      </w:r>
      <w:proofErr w:type="spellEnd"/>
      <w:r w:rsidRPr="006435DB">
        <w:rPr>
          <w:rFonts w:cstheme="minorHAnsi"/>
          <w:i/>
          <w:iCs/>
          <w:sz w:val="24"/>
          <w:szCs w:val="24"/>
        </w:rPr>
        <w:t xml:space="preserve"> Surg</w:t>
      </w:r>
      <w:r w:rsidRPr="006435DB">
        <w:rPr>
          <w:rFonts w:cstheme="minorHAnsi"/>
          <w:sz w:val="24"/>
          <w:szCs w:val="24"/>
        </w:rPr>
        <w:t xml:space="preserve"> 2006;</w:t>
      </w:r>
      <w:r w:rsidRPr="006435DB">
        <w:rPr>
          <w:rFonts w:cstheme="minorHAnsi"/>
          <w:b/>
          <w:bCs/>
          <w:sz w:val="24"/>
          <w:szCs w:val="24"/>
        </w:rPr>
        <w:t>64</w:t>
      </w:r>
      <w:r w:rsidRPr="006435DB">
        <w:rPr>
          <w:rFonts w:cstheme="minorHAnsi"/>
          <w:sz w:val="24"/>
          <w:szCs w:val="24"/>
        </w:rPr>
        <w:t>:415–423.</w:t>
      </w:r>
    </w:p>
    <w:p w14:paraId="382D7921"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Edwards PC, Bhuiya T, </w:t>
      </w:r>
      <w:proofErr w:type="spellStart"/>
      <w:r w:rsidRPr="006435DB">
        <w:rPr>
          <w:rFonts w:cstheme="minorHAnsi"/>
          <w:sz w:val="24"/>
          <w:szCs w:val="24"/>
        </w:rPr>
        <w:t>Kelsch</w:t>
      </w:r>
      <w:proofErr w:type="spellEnd"/>
      <w:r w:rsidRPr="006435DB">
        <w:rPr>
          <w:rFonts w:cstheme="minorHAnsi"/>
          <w:sz w:val="24"/>
          <w:szCs w:val="24"/>
        </w:rPr>
        <w:t xml:space="preserve"> RD . Assessment of p63 expression in the salivary gland neoplasms adenoid cystic carcinoma, polymorphous low-grade adenocarcinoma, and basal cell and canalicular adenomas. </w:t>
      </w:r>
      <w:r w:rsidRPr="006435DB">
        <w:rPr>
          <w:rFonts w:cstheme="minorHAnsi"/>
          <w:i/>
          <w:iCs/>
          <w:sz w:val="24"/>
          <w:szCs w:val="24"/>
        </w:rPr>
        <w:t xml:space="preserve">Oral Surg Oral Med Oral </w:t>
      </w:r>
      <w:proofErr w:type="spellStart"/>
      <w:r w:rsidRPr="006435DB">
        <w:rPr>
          <w:rFonts w:cstheme="minorHAnsi"/>
          <w:i/>
          <w:iCs/>
          <w:sz w:val="24"/>
          <w:szCs w:val="24"/>
        </w:rPr>
        <w:t>Pathol</w:t>
      </w:r>
      <w:proofErr w:type="spellEnd"/>
      <w:r w:rsidRPr="006435DB">
        <w:rPr>
          <w:rFonts w:cstheme="minorHAnsi"/>
          <w:i/>
          <w:iCs/>
          <w:sz w:val="24"/>
          <w:szCs w:val="24"/>
        </w:rPr>
        <w:t xml:space="preserve"> Oral </w:t>
      </w:r>
      <w:proofErr w:type="spellStart"/>
      <w:r w:rsidRPr="006435DB">
        <w:rPr>
          <w:rFonts w:cstheme="minorHAnsi"/>
          <w:i/>
          <w:iCs/>
          <w:sz w:val="24"/>
          <w:szCs w:val="24"/>
        </w:rPr>
        <w:t>Radiol</w:t>
      </w:r>
      <w:proofErr w:type="spellEnd"/>
      <w:r w:rsidRPr="006435DB">
        <w:rPr>
          <w:rFonts w:cstheme="minorHAnsi"/>
          <w:i/>
          <w:iCs/>
          <w:sz w:val="24"/>
          <w:szCs w:val="24"/>
        </w:rPr>
        <w:t xml:space="preserve"> </w:t>
      </w:r>
      <w:proofErr w:type="spellStart"/>
      <w:r w:rsidRPr="006435DB">
        <w:rPr>
          <w:rFonts w:cstheme="minorHAnsi"/>
          <w:i/>
          <w:iCs/>
          <w:sz w:val="24"/>
          <w:szCs w:val="24"/>
        </w:rPr>
        <w:t>Endod</w:t>
      </w:r>
      <w:proofErr w:type="spellEnd"/>
      <w:r w:rsidRPr="006435DB">
        <w:rPr>
          <w:rFonts w:cstheme="minorHAnsi"/>
          <w:sz w:val="24"/>
          <w:szCs w:val="24"/>
        </w:rPr>
        <w:t xml:space="preserve"> 2004;</w:t>
      </w:r>
      <w:r w:rsidRPr="006435DB">
        <w:rPr>
          <w:rFonts w:cstheme="minorHAnsi"/>
          <w:b/>
          <w:bCs/>
          <w:sz w:val="24"/>
          <w:szCs w:val="24"/>
        </w:rPr>
        <w:t>97</w:t>
      </w:r>
      <w:r w:rsidRPr="006435DB">
        <w:rPr>
          <w:rFonts w:cstheme="minorHAnsi"/>
          <w:sz w:val="24"/>
          <w:szCs w:val="24"/>
        </w:rPr>
        <w:t>:613–619.</w:t>
      </w:r>
    </w:p>
    <w:p w14:paraId="07393470"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Penner CR, </w:t>
      </w:r>
      <w:proofErr w:type="spellStart"/>
      <w:r w:rsidRPr="006435DB">
        <w:rPr>
          <w:rFonts w:cstheme="minorHAnsi"/>
          <w:sz w:val="24"/>
          <w:szCs w:val="24"/>
        </w:rPr>
        <w:t>Folpe</w:t>
      </w:r>
      <w:proofErr w:type="spellEnd"/>
      <w:r w:rsidRPr="006435DB">
        <w:rPr>
          <w:rFonts w:cstheme="minorHAnsi"/>
          <w:sz w:val="24"/>
          <w:szCs w:val="24"/>
        </w:rPr>
        <w:t xml:space="preserve"> AL, Budnick SD . C-kit expression distinguishes salivary gland adenoid cystic carcinoma from polymorphous low-grade adenocarcinoma. </w:t>
      </w:r>
      <w:r w:rsidRPr="006435DB">
        <w:rPr>
          <w:rFonts w:cstheme="minorHAnsi"/>
          <w:i/>
          <w:iCs/>
          <w:sz w:val="24"/>
          <w:szCs w:val="24"/>
        </w:rPr>
        <w:t xml:space="preserve">Mod </w:t>
      </w:r>
      <w:proofErr w:type="spellStart"/>
      <w:r w:rsidRPr="006435DB">
        <w:rPr>
          <w:rFonts w:cstheme="minorHAnsi"/>
          <w:i/>
          <w:iCs/>
          <w:sz w:val="24"/>
          <w:szCs w:val="24"/>
        </w:rPr>
        <w:t>Pathol</w:t>
      </w:r>
      <w:proofErr w:type="spellEnd"/>
      <w:r w:rsidRPr="006435DB">
        <w:rPr>
          <w:rFonts w:cstheme="minorHAnsi"/>
          <w:sz w:val="24"/>
          <w:szCs w:val="24"/>
        </w:rPr>
        <w:t xml:space="preserve"> 2002;</w:t>
      </w:r>
      <w:r w:rsidRPr="006435DB">
        <w:rPr>
          <w:rFonts w:cstheme="minorHAnsi"/>
          <w:b/>
          <w:bCs/>
          <w:sz w:val="24"/>
          <w:szCs w:val="24"/>
        </w:rPr>
        <w:t>15</w:t>
      </w:r>
      <w:r w:rsidRPr="006435DB">
        <w:rPr>
          <w:rFonts w:cstheme="minorHAnsi"/>
          <w:sz w:val="24"/>
          <w:szCs w:val="24"/>
        </w:rPr>
        <w:t>:687–691.</w:t>
      </w:r>
    </w:p>
    <w:p w14:paraId="06BE911C"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Cherian MG, Jayasurya A, Bay B-H . </w:t>
      </w:r>
      <w:proofErr w:type="spellStart"/>
      <w:r w:rsidRPr="006435DB">
        <w:rPr>
          <w:rFonts w:cstheme="minorHAnsi"/>
          <w:sz w:val="24"/>
          <w:szCs w:val="24"/>
        </w:rPr>
        <w:t>Metallothioneins</w:t>
      </w:r>
      <w:proofErr w:type="spellEnd"/>
      <w:r w:rsidRPr="006435DB">
        <w:rPr>
          <w:rFonts w:cstheme="minorHAnsi"/>
          <w:sz w:val="24"/>
          <w:szCs w:val="24"/>
        </w:rPr>
        <w:t xml:space="preserve"> in human tumors and potential roles in carcinogenesis. </w:t>
      </w:r>
      <w:proofErr w:type="spellStart"/>
      <w:r w:rsidRPr="006435DB">
        <w:rPr>
          <w:rFonts w:cstheme="minorHAnsi"/>
          <w:i/>
          <w:iCs/>
          <w:sz w:val="24"/>
          <w:szCs w:val="24"/>
        </w:rPr>
        <w:t>Mutat</w:t>
      </w:r>
      <w:proofErr w:type="spellEnd"/>
      <w:r w:rsidRPr="006435DB">
        <w:rPr>
          <w:rFonts w:cstheme="minorHAnsi"/>
          <w:i/>
          <w:iCs/>
          <w:sz w:val="24"/>
          <w:szCs w:val="24"/>
        </w:rPr>
        <w:t xml:space="preserve"> Res</w:t>
      </w:r>
      <w:r w:rsidRPr="006435DB">
        <w:rPr>
          <w:rFonts w:cstheme="minorHAnsi"/>
          <w:sz w:val="24"/>
          <w:szCs w:val="24"/>
        </w:rPr>
        <w:t xml:space="preserve"> 2003;</w:t>
      </w:r>
      <w:r w:rsidRPr="006435DB">
        <w:rPr>
          <w:rFonts w:cstheme="minorHAnsi"/>
          <w:b/>
          <w:bCs/>
          <w:sz w:val="24"/>
          <w:szCs w:val="24"/>
        </w:rPr>
        <w:t>533</w:t>
      </w:r>
      <w:r w:rsidRPr="006435DB">
        <w:rPr>
          <w:rFonts w:cstheme="minorHAnsi"/>
          <w:sz w:val="24"/>
          <w:szCs w:val="24"/>
        </w:rPr>
        <w:t>:201–209.</w:t>
      </w:r>
    </w:p>
    <w:p w14:paraId="1C7E0CCB" w14:textId="77777777" w:rsidR="006435DB" w:rsidRPr="006435DB" w:rsidRDefault="006435DB" w:rsidP="00ED2AAE">
      <w:pPr>
        <w:numPr>
          <w:ilvl w:val="0"/>
          <w:numId w:val="18"/>
        </w:numPr>
        <w:spacing w:after="0"/>
        <w:rPr>
          <w:rFonts w:cstheme="minorHAnsi"/>
          <w:sz w:val="24"/>
          <w:szCs w:val="24"/>
        </w:rPr>
      </w:pPr>
      <w:proofErr w:type="spellStart"/>
      <w:r w:rsidRPr="006435DB">
        <w:rPr>
          <w:rFonts w:cstheme="minorHAnsi"/>
          <w:sz w:val="24"/>
          <w:szCs w:val="24"/>
        </w:rPr>
        <w:t>Jin</w:t>
      </w:r>
      <w:proofErr w:type="spellEnd"/>
      <w:r w:rsidRPr="006435DB">
        <w:rPr>
          <w:rFonts w:cstheme="minorHAnsi"/>
          <w:sz w:val="24"/>
          <w:szCs w:val="24"/>
        </w:rPr>
        <w:t xml:space="preserve"> R, Bay BH, Chow VT, </w:t>
      </w:r>
      <w:r w:rsidRPr="006435DB">
        <w:rPr>
          <w:rFonts w:cstheme="minorHAnsi"/>
          <w:i/>
          <w:iCs/>
          <w:sz w:val="24"/>
          <w:szCs w:val="24"/>
        </w:rPr>
        <w:t>et al</w:t>
      </w:r>
      <w:r w:rsidRPr="006435DB">
        <w:rPr>
          <w:rFonts w:cstheme="minorHAnsi"/>
          <w:sz w:val="24"/>
          <w:szCs w:val="24"/>
        </w:rPr>
        <w:t xml:space="preserve">. Significance of metallothionein expression in breast myoepithelial cells. </w:t>
      </w:r>
      <w:r w:rsidRPr="006435DB">
        <w:rPr>
          <w:rFonts w:cstheme="minorHAnsi"/>
          <w:i/>
          <w:iCs/>
          <w:sz w:val="24"/>
          <w:szCs w:val="24"/>
        </w:rPr>
        <w:t>Cell Tissue Res</w:t>
      </w:r>
      <w:r w:rsidRPr="006435DB">
        <w:rPr>
          <w:rFonts w:cstheme="minorHAnsi"/>
          <w:sz w:val="24"/>
          <w:szCs w:val="24"/>
        </w:rPr>
        <w:t xml:space="preserve"> 2001;</w:t>
      </w:r>
      <w:r w:rsidRPr="006435DB">
        <w:rPr>
          <w:rFonts w:cstheme="minorHAnsi"/>
          <w:b/>
          <w:bCs/>
          <w:sz w:val="24"/>
          <w:szCs w:val="24"/>
        </w:rPr>
        <w:t>303</w:t>
      </w:r>
      <w:r w:rsidRPr="006435DB">
        <w:rPr>
          <w:rFonts w:cstheme="minorHAnsi"/>
          <w:sz w:val="24"/>
          <w:szCs w:val="24"/>
        </w:rPr>
        <w:t>:221–226.</w:t>
      </w:r>
    </w:p>
    <w:p w14:paraId="41E80E7C"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Cherian MG . The significance of the nuclear and cytoplasmic localization of metallothionein in human liver and tumor cells. </w:t>
      </w:r>
      <w:r w:rsidRPr="006435DB">
        <w:rPr>
          <w:rFonts w:cstheme="minorHAnsi"/>
          <w:i/>
          <w:iCs/>
          <w:sz w:val="24"/>
          <w:szCs w:val="24"/>
        </w:rPr>
        <w:t xml:space="preserve">Environ Health </w:t>
      </w:r>
      <w:proofErr w:type="spellStart"/>
      <w:r w:rsidRPr="006435DB">
        <w:rPr>
          <w:rFonts w:cstheme="minorHAnsi"/>
          <w:i/>
          <w:iCs/>
          <w:sz w:val="24"/>
          <w:szCs w:val="24"/>
        </w:rPr>
        <w:t>Perspect</w:t>
      </w:r>
      <w:proofErr w:type="spellEnd"/>
      <w:r w:rsidRPr="006435DB">
        <w:rPr>
          <w:rFonts w:cstheme="minorHAnsi"/>
          <w:sz w:val="24"/>
          <w:szCs w:val="24"/>
        </w:rPr>
        <w:t xml:space="preserve"> 1994;</w:t>
      </w:r>
      <w:r w:rsidRPr="006435DB">
        <w:rPr>
          <w:rFonts w:cstheme="minorHAnsi"/>
          <w:b/>
          <w:bCs/>
          <w:sz w:val="24"/>
          <w:szCs w:val="24"/>
        </w:rPr>
        <w:t>102</w:t>
      </w:r>
      <w:r w:rsidRPr="006435DB">
        <w:rPr>
          <w:rFonts w:cstheme="minorHAnsi"/>
          <w:sz w:val="24"/>
          <w:szCs w:val="24"/>
        </w:rPr>
        <w:t xml:space="preserve"> (Suppl 3):131–135.</w:t>
      </w:r>
    </w:p>
    <w:p w14:paraId="20F8A6D9"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Nartey N, Cherian MG, Banerjee D . Immunohistochemical localization of metallothionein in human thyroid tumors. </w:t>
      </w:r>
      <w:r w:rsidRPr="006435DB">
        <w:rPr>
          <w:rFonts w:cstheme="minorHAnsi"/>
          <w:i/>
          <w:iCs/>
          <w:sz w:val="24"/>
          <w:szCs w:val="24"/>
        </w:rPr>
        <w:t xml:space="preserve">Am J </w:t>
      </w:r>
      <w:proofErr w:type="spellStart"/>
      <w:r w:rsidRPr="006435DB">
        <w:rPr>
          <w:rFonts w:cstheme="minorHAnsi"/>
          <w:i/>
          <w:iCs/>
          <w:sz w:val="24"/>
          <w:szCs w:val="24"/>
        </w:rPr>
        <w:t>Pathol</w:t>
      </w:r>
      <w:proofErr w:type="spellEnd"/>
      <w:r w:rsidRPr="006435DB">
        <w:rPr>
          <w:rFonts w:cstheme="minorHAnsi"/>
          <w:sz w:val="24"/>
          <w:szCs w:val="24"/>
        </w:rPr>
        <w:t xml:space="preserve"> 1987;</w:t>
      </w:r>
      <w:r w:rsidRPr="006435DB">
        <w:rPr>
          <w:rFonts w:cstheme="minorHAnsi"/>
          <w:b/>
          <w:bCs/>
          <w:sz w:val="24"/>
          <w:szCs w:val="24"/>
        </w:rPr>
        <w:t>129</w:t>
      </w:r>
      <w:r w:rsidRPr="006435DB">
        <w:rPr>
          <w:rFonts w:cstheme="minorHAnsi"/>
          <w:sz w:val="24"/>
          <w:szCs w:val="24"/>
        </w:rPr>
        <w:t>:177–182.</w:t>
      </w:r>
    </w:p>
    <w:p w14:paraId="056C9F06"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Zou Z, </w:t>
      </w:r>
      <w:proofErr w:type="spellStart"/>
      <w:r w:rsidRPr="006435DB">
        <w:rPr>
          <w:rFonts w:cstheme="minorHAnsi"/>
          <w:sz w:val="24"/>
          <w:szCs w:val="24"/>
        </w:rPr>
        <w:t>Anisowicz</w:t>
      </w:r>
      <w:proofErr w:type="spellEnd"/>
      <w:r w:rsidRPr="006435DB">
        <w:rPr>
          <w:rFonts w:cstheme="minorHAnsi"/>
          <w:sz w:val="24"/>
          <w:szCs w:val="24"/>
        </w:rPr>
        <w:t xml:space="preserve"> A, Hendrix MJ, </w:t>
      </w:r>
      <w:r w:rsidRPr="006435DB">
        <w:rPr>
          <w:rFonts w:cstheme="minorHAnsi"/>
          <w:i/>
          <w:iCs/>
          <w:sz w:val="24"/>
          <w:szCs w:val="24"/>
        </w:rPr>
        <w:t>et al</w:t>
      </w:r>
      <w:r w:rsidRPr="006435DB">
        <w:rPr>
          <w:rFonts w:cstheme="minorHAnsi"/>
          <w:sz w:val="24"/>
          <w:szCs w:val="24"/>
        </w:rPr>
        <w:t xml:space="preserve">. </w:t>
      </w:r>
      <w:proofErr w:type="spellStart"/>
      <w:r w:rsidRPr="006435DB">
        <w:rPr>
          <w:rFonts w:cstheme="minorHAnsi"/>
          <w:sz w:val="24"/>
          <w:szCs w:val="24"/>
        </w:rPr>
        <w:t>Maspin</w:t>
      </w:r>
      <w:proofErr w:type="spellEnd"/>
      <w:r w:rsidRPr="006435DB">
        <w:rPr>
          <w:rFonts w:cstheme="minorHAnsi"/>
          <w:sz w:val="24"/>
          <w:szCs w:val="24"/>
        </w:rPr>
        <w:t xml:space="preserve">, a serpin with tumor-suppressing activity in human mammary epithelial cells. </w:t>
      </w:r>
      <w:r w:rsidRPr="006435DB">
        <w:rPr>
          <w:rFonts w:cstheme="minorHAnsi"/>
          <w:i/>
          <w:iCs/>
          <w:sz w:val="24"/>
          <w:szCs w:val="24"/>
        </w:rPr>
        <w:t>Science</w:t>
      </w:r>
      <w:r w:rsidRPr="006435DB">
        <w:rPr>
          <w:rFonts w:cstheme="minorHAnsi"/>
          <w:sz w:val="24"/>
          <w:szCs w:val="24"/>
        </w:rPr>
        <w:t xml:space="preserve"> 1994;</w:t>
      </w:r>
      <w:r w:rsidRPr="006435DB">
        <w:rPr>
          <w:rFonts w:cstheme="minorHAnsi"/>
          <w:b/>
          <w:bCs/>
          <w:sz w:val="24"/>
          <w:szCs w:val="24"/>
        </w:rPr>
        <w:t>263</w:t>
      </w:r>
      <w:r w:rsidRPr="006435DB">
        <w:rPr>
          <w:rFonts w:cstheme="minorHAnsi"/>
          <w:sz w:val="24"/>
          <w:szCs w:val="24"/>
        </w:rPr>
        <w:t>:526–529.</w:t>
      </w:r>
    </w:p>
    <w:p w14:paraId="088F69AC" w14:textId="77777777" w:rsidR="006435DB" w:rsidRPr="006435DB" w:rsidRDefault="006435DB" w:rsidP="00ED2AAE">
      <w:pPr>
        <w:numPr>
          <w:ilvl w:val="0"/>
          <w:numId w:val="18"/>
        </w:numPr>
        <w:spacing w:after="0"/>
        <w:rPr>
          <w:rFonts w:cstheme="minorHAnsi"/>
          <w:sz w:val="24"/>
          <w:szCs w:val="24"/>
        </w:rPr>
      </w:pPr>
      <w:proofErr w:type="spellStart"/>
      <w:r w:rsidRPr="006435DB">
        <w:rPr>
          <w:rFonts w:cstheme="minorHAnsi"/>
          <w:sz w:val="24"/>
          <w:szCs w:val="24"/>
        </w:rPr>
        <w:t>Zarbo</w:t>
      </w:r>
      <w:proofErr w:type="spellEnd"/>
      <w:r w:rsidRPr="006435DB">
        <w:rPr>
          <w:rFonts w:cstheme="minorHAnsi"/>
          <w:sz w:val="24"/>
          <w:szCs w:val="24"/>
        </w:rPr>
        <w:t xml:space="preserve"> RJ, Prasad AR, </w:t>
      </w:r>
      <w:proofErr w:type="spellStart"/>
      <w:r w:rsidRPr="006435DB">
        <w:rPr>
          <w:rFonts w:cstheme="minorHAnsi"/>
          <w:sz w:val="24"/>
          <w:szCs w:val="24"/>
        </w:rPr>
        <w:t>Regezi</w:t>
      </w:r>
      <w:proofErr w:type="spellEnd"/>
      <w:r w:rsidRPr="006435DB">
        <w:rPr>
          <w:rFonts w:cstheme="minorHAnsi"/>
          <w:sz w:val="24"/>
          <w:szCs w:val="24"/>
        </w:rPr>
        <w:t xml:space="preserve"> JA, </w:t>
      </w:r>
      <w:r w:rsidRPr="006435DB">
        <w:rPr>
          <w:rFonts w:cstheme="minorHAnsi"/>
          <w:i/>
          <w:iCs/>
          <w:sz w:val="24"/>
          <w:szCs w:val="24"/>
        </w:rPr>
        <w:t>et al</w:t>
      </w:r>
      <w:r w:rsidRPr="006435DB">
        <w:rPr>
          <w:rFonts w:cstheme="minorHAnsi"/>
          <w:sz w:val="24"/>
          <w:szCs w:val="24"/>
        </w:rPr>
        <w:t xml:space="preserve">. Salivary gland basal cell and canalicular adenomas: immunohistochemical demonstration of myoepithelial cell participation and morphogenetic considerations. </w:t>
      </w:r>
      <w:r w:rsidRPr="006435DB">
        <w:rPr>
          <w:rFonts w:cstheme="minorHAnsi"/>
          <w:i/>
          <w:iCs/>
          <w:sz w:val="24"/>
          <w:szCs w:val="24"/>
        </w:rPr>
        <w:t xml:space="preserve">Arch </w:t>
      </w:r>
      <w:proofErr w:type="spellStart"/>
      <w:r w:rsidRPr="006435DB">
        <w:rPr>
          <w:rFonts w:cstheme="minorHAnsi"/>
          <w:i/>
          <w:iCs/>
          <w:sz w:val="24"/>
          <w:szCs w:val="24"/>
        </w:rPr>
        <w:t>Pathol</w:t>
      </w:r>
      <w:proofErr w:type="spellEnd"/>
      <w:r w:rsidRPr="006435DB">
        <w:rPr>
          <w:rFonts w:cstheme="minorHAnsi"/>
          <w:i/>
          <w:iCs/>
          <w:sz w:val="24"/>
          <w:szCs w:val="24"/>
        </w:rPr>
        <w:t xml:space="preserve"> Lab Med</w:t>
      </w:r>
      <w:r w:rsidRPr="006435DB">
        <w:rPr>
          <w:rFonts w:cstheme="minorHAnsi"/>
          <w:sz w:val="24"/>
          <w:szCs w:val="24"/>
        </w:rPr>
        <w:t xml:space="preserve"> 2000;</w:t>
      </w:r>
      <w:r w:rsidRPr="006435DB">
        <w:rPr>
          <w:rFonts w:cstheme="minorHAnsi"/>
          <w:b/>
          <w:bCs/>
          <w:sz w:val="24"/>
          <w:szCs w:val="24"/>
        </w:rPr>
        <w:t>124</w:t>
      </w:r>
      <w:r w:rsidRPr="006435DB">
        <w:rPr>
          <w:rFonts w:cstheme="minorHAnsi"/>
          <w:sz w:val="24"/>
          <w:szCs w:val="24"/>
        </w:rPr>
        <w:t>:401–405.</w:t>
      </w:r>
    </w:p>
    <w:p w14:paraId="1EFDCC82"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Prasad AR, </w:t>
      </w:r>
      <w:proofErr w:type="spellStart"/>
      <w:r w:rsidRPr="006435DB">
        <w:rPr>
          <w:rFonts w:cstheme="minorHAnsi"/>
          <w:sz w:val="24"/>
          <w:szCs w:val="24"/>
        </w:rPr>
        <w:t>Savera</w:t>
      </w:r>
      <w:proofErr w:type="spellEnd"/>
      <w:r w:rsidRPr="006435DB">
        <w:rPr>
          <w:rFonts w:cstheme="minorHAnsi"/>
          <w:sz w:val="24"/>
          <w:szCs w:val="24"/>
        </w:rPr>
        <w:t xml:space="preserve"> AT, Gown AM, </w:t>
      </w:r>
      <w:r w:rsidRPr="006435DB">
        <w:rPr>
          <w:rFonts w:cstheme="minorHAnsi"/>
          <w:i/>
          <w:iCs/>
          <w:sz w:val="24"/>
          <w:szCs w:val="24"/>
        </w:rPr>
        <w:t>et al</w:t>
      </w:r>
      <w:r w:rsidRPr="006435DB">
        <w:rPr>
          <w:rFonts w:cstheme="minorHAnsi"/>
          <w:sz w:val="24"/>
          <w:szCs w:val="24"/>
        </w:rPr>
        <w:t xml:space="preserve">. The myoepithelial immunophenotype in 135 benign and malignant salivary gland tumors other than pleomorphic adenoma. </w:t>
      </w:r>
      <w:r w:rsidRPr="006435DB">
        <w:rPr>
          <w:rFonts w:cstheme="minorHAnsi"/>
          <w:i/>
          <w:iCs/>
          <w:sz w:val="24"/>
          <w:szCs w:val="24"/>
        </w:rPr>
        <w:t xml:space="preserve">Arch </w:t>
      </w:r>
      <w:proofErr w:type="spellStart"/>
      <w:r w:rsidRPr="006435DB">
        <w:rPr>
          <w:rFonts w:cstheme="minorHAnsi"/>
          <w:i/>
          <w:iCs/>
          <w:sz w:val="24"/>
          <w:szCs w:val="24"/>
        </w:rPr>
        <w:t>Pathol</w:t>
      </w:r>
      <w:proofErr w:type="spellEnd"/>
      <w:r w:rsidRPr="006435DB">
        <w:rPr>
          <w:rFonts w:cstheme="minorHAnsi"/>
          <w:i/>
          <w:iCs/>
          <w:sz w:val="24"/>
          <w:szCs w:val="24"/>
        </w:rPr>
        <w:t xml:space="preserve"> Lab Med</w:t>
      </w:r>
      <w:r w:rsidRPr="006435DB">
        <w:rPr>
          <w:rFonts w:cstheme="minorHAnsi"/>
          <w:sz w:val="24"/>
          <w:szCs w:val="24"/>
        </w:rPr>
        <w:t xml:space="preserve"> 1999;</w:t>
      </w:r>
      <w:r w:rsidRPr="006435DB">
        <w:rPr>
          <w:rFonts w:cstheme="minorHAnsi"/>
          <w:b/>
          <w:bCs/>
          <w:sz w:val="24"/>
          <w:szCs w:val="24"/>
        </w:rPr>
        <w:t>123</w:t>
      </w:r>
      <w:r w:rsidRPr="006435DB">
        <w:rPr>
          <w:rFonts w:cstheme="minorHAnsi"/>
          <w:sz w:val="24"/>
          <w:szCs w:val="24"/>
        </w:rPr>
        <w:t>:801–806.</w:t>
      </w:r>
    </w:p>
    <w:p w14:paraId="24F83F4A"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Weinberger PM, Yu Z, </w:t>
      </w:r>
      <w:proofErr w:type="spellStart"/>
      <w:r w:rsidRPr="006435DB">
        <w:rPr>
          <w:rFonts w:cstheme="minorHAnsi"/>
          <w:sz w:val="24"/>
          <w:szCs w:val="24"/>
        </w:rPr>
        <w:t>Haffty</w:t>
      </w:r>
      <w:proofErr w:type="spellEnd"/>
      <w:r w:rsidRPr="006435DB">
        <w:rPr>
          <w:rFonts w:cstheme="minorHAnsi"/>
          <w:sz w:val="24"/>
          <w:szCs w:val="24"/>
        </w:rPr>
        <w:t xml:space="preserve"> BG, </w:t>
      </w:r>
      <w:r w:rsidRPr="006435DB">
        <w:rPr>
          <w:rFonts w:cstheme="minorHAnsi"/>
          <w:i/>
          <w:iCs/>
          <w:sz w:val="24"/>
          <w:szCs w:val="24"/>
        </w:rPr>
        <w:t>et al</w:t>
      </w:r>
      <w:r w:rsidRPr="006435DB">
        <w:rPr>
          <w:rFonts w:cstheme="minorHAnsi"/>
          <w:sz w:val="24"/>
          <w:szCs w:val="24"/>
        </w:rPr>
        <w:t xml:space="preserve">. Molecular classification identifies a subset of human papillomavirus—associated oropharyngeal cancers with favorable prognosis. </w:t>
      </w:r>
      <w:r w:rsidRPr="006435DB">
        <w:rPr>
          <w:rFonts w:cstheme="minorHAnsi"/>
          <w:i/>
          <w:iCs/>
          <w:sz w:val="24"/>
          <w:szCs w:val="24"/>
        </w:rPr>
        <w:t>J Clin Oncol</w:t>
      </w:r>
      <w:r w:rsidRPr="006435DB">
        <w:rPr>
          <w:rFonts w:cstheme="minorHAnsi"/>
          <w:sz w:val="24"/>
          <w:szCs w:val="24"/>
        </w:rPr>
        <w:t xml:space="preserve"> 2006;</w:t>
      </w:r>
      <w:r w:rsidRPr="006435DB">
        <w:rPr>
          <w:rFonts w:cstheme="minorHAnsi"/>
          <w:b/>
          <w:bCs/>
          <w:sz w:val="24"/>
          <w:szCs w:val="24"/>
        </w:rPr>
        <w:t>24</w:t>
      </w:r>
      <w:r w:rsidRPr="006435DB">
        <w:rPr>
          <w:rFonts w:cstheme="minorHAnsi"/>
          <w:sz w:val="24"/>
          <w:szCs w:val="24"/>
        </w:rPr>
        <w:t>:736–747.</w:t>
      </w:r>
    </w:p>
    <w:p w14:paraId="4EA684CA"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Luna MA, </w:t>
      </w:r>
      <w:proofErr w:type="spellStart"/>
      <w:r w:rsidRPr="006435DB">
        <w:rPr>
          <w:rFonts w:cstheme="minorHAnsi"/>
          <w:sz w:val="24"/>
          <w:szCs w:val="24"/>
        </w:rPr>
        <w:t>Wenig</w:t>
      </w:r>
      <w:proofErr w:type="spellEnd"/>
      <w:r w:rsidRPr="006435DB">
        <w:rPr>
          <w:rFonts w:cstheme="minorHAnsi"/>
          <w:sz w:val="24"/>
          <w:szCs w:val="24"/>
        </w:rPr>
        <w:t xml:space="preserve"> BM . Polymorphous low-grade adenocarcinoma. In: Barnes L, </w:t>
      </w:r>
      <w:proofErr w:type="spellStart"/>
      <w:r w:rsidRPr="006435DB">
        <w:rPr>
          <w:rFonts w:cstheme="minorHAnsi"/>
          <w:sz w:val="24"/>
          <w:szCs w:val="24"/>
        </w:rPr>
        <w:t>Eveson</w:t>
      </w:r>
      <w:proofErr w:type="spellEnd"/>
      <w:r w:rsidRPr="006435DB">
        <w:rPr>
          <w:rFonts w:cstheme="minorHAnsi"/>
          <w:sz w:val="24"/>
          <w:szCs w:val="24"/>
        </w:rPr>
        <w:t xml:space="preserve"> JW, </w:t>
      </w:r>
      <w:proofErr w:type="spellStart"/>
      <w:r w:rsidRPr="006435DB">
        <w:rPr>
          <w:rFonts w:cstheme="minorHAnsi"/>
          <w:sz w:val="24"/>
          <w:szCs w:val="24"/>
        </w:rPr>
        <w:t>Reichart</w:t>
      </w:r>
      <w:proofErr w:type="spellEnd"/>
      <w:r w:rsidRPr="006435DB">
        <w:rPr>
          <w:rFonts w:cstheme="minorHAnsi"/>
          <w:sz w:val="24"/>
          <w:szCs w:val="24"/>
        </w:rPr>
        <w:t xml:space="preserve"> P, </w:t>
      </w:r>
      <w:proofErr w:type="spellStart"/>
      <w:r w:rsidRPr="006435DB">
        <w:rPr>
          <w:rFonts w:cstheme="minorHAnsi"/>
          <w:sz w:val="24"/>
          <w:szCs w:val="24"/>
        </w:rPr>
        <w:t>Sidransky</w:t>
      </w:r>
      <w:proofErr w:type="spellEnd"/>
      <w:r w:rsidRPr="006435DB">
        <w:rPr>
          <w:rFonts w:cstheme="minorHAnsi"/>
          <w:sz w:val="24"/>
          <w:szCs w:val="24"/>
        </w:rPr>
        <w:t xml:space="preserve"> D (eds). </w:t>
      </w:r>
      <w:r w:rsidRPr="006435DB">
        <w:rPr>
          <w:rFonts w:cstheme="minorHAnsi"/>
          <w:i/>
          <w:iCs/>
          <w:sz w:val="24"/>
          <w:szCs w:val="24"/>
        </w:rPr>
        <w:t>World Health Organization Classification of Tumors: Pathology and Genetics of Head and Neck Tumors</w:t>
      </w:r>
      <w:r w:rsidRPr="006435DB">
        <w:rPr>
          <w:rFonts w:cstheme="minorHAnsi"/>
          <w:sz w:val="24"/>
          <w:szCs w:val="24"/>
        </w:rPr>
        <w:t>. IARC Press: Lyon, France, 2005, pp 223–224.</w:t>
      </w:r>
    </w:p>
    <w:p w14:paraId="0BFE69B8"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Peel R . Diseases of the salivary glands. In: Barnes L (ed). </w:t>
      </w:r>
      <w:r w:rsidRPr="006435DB">
        <w:rPr>
          <w:rFonts w:cstheme="minorHAnsi"/>
          <w:i/>
          <w:iCs/>
          <w:sz w:val="24"/>
          <w:szCs w:val="24"/>
        </w:rPr>
        <w:t>Surgical Pathology of the Head and Neck</w:t>
      </w:r>
      <w:r w:rsidRPr="006435DB">
        <w:rPr>
          <w:rFonts w:cstheme="minorHAnsi"/>
          <w:sz w:val="24"/>
          <w:szCs w:val="24"/>
        </w:rPr>
        <w:t xml:space="preserve">, 2nd </w:t>
      </w:r>
      <w:proofErr w:type="spellStart"/>
      <w:r w:rsidRPr="006435DB">
        <w:rPr>
          <w:rFonts w:cstheme="minorHAnsi"/>
          <w:sz w:val="24"/>
          <w:szCs w:val="24"/>
        </w:rPr>
        <w:t>edn</w:t>
      </w:r>
      <w:proofErr w:type="spellEnd"/>
      <w:r w:rsidRPr="006435DB">
        <w:rPr>
          <w:rFonts w:cstheme="minorHAnsi"/>
          <w:sz w:val="24"/>
          <w:szCs w:val="24"/>
        </w:rPr>
        <w:t>. M. Dekker: New York, NY, 2001, pp 699–701.</w:t>
      </w:r>
    </w:p>
    <w:p w14:paraId="09D6C9C8"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da Cruz Perez DE, de Abreu Alves F, Nobuko Nishimoto I, </w:t>
      </w:r>
      <w:r w:rsidRPr="006435DB">
        <w:rPr>
          <w:rFonts w:cstheme="minorHAnsi"/>
          <w:i/>
          <w:iCs/>
          <w:sz w:val="24"/>
          <w:szCs w:val="24"/>
        </w:rPr>
        <w:t>et al</w:t>
      </w:r>
      <w:r w:rsidRPr="006435DB">
        <w:rPr>
          <w:rFonts w:cstheme="minorHAnsi"/>
          <w:sz w:val="24"/>
          <w:szCs w:val="24"/>
        </w:rPr>
        <w:t xml:space="preserve">. Prognostic factors in head and neck adenoid cystic carcinoma. </w:t>
      </w:r>
      <w:r w:rsidRPr="006435DB">
        <w:rPr>
          <w:rFonts w:cstheme="minorHAnsi"/>
          <w:i/>
          <w:iCs/>
          <w:sz w:val="24"/>
          <w:szCs w:val="24"/>
        </w:rPr>
        <w:t>Oral Oncol</w:t>
      </w:r>
      <w:r w:rsidRPr="006435DB">
        <w:rPr>
          <w:rFonts w:cstheme="minorHAnsi"/>
          <w:sz w:val="24"/>
          <w:szCs w:val="24"/>
        </w:rPr>
        <w:t xml:space="preserve"> 2006;</w:t>
      </w:r>
      <w:r w:rsidRPr="006435DB">
        <w:rPr>
          <w:rFonts w:cstheme="minorHAnsi"/>
          <w:b/>
          <w:bCs/>
          <w:sz w:val="24"/>
          <w:szCs w:val="24"/>
        </w:rPr>
        <w:t>42</w:t>
      </w:r>
      <w:r w:rsidRPr="006435DB">
        <w:rPr>
          <w:rFonts w:cstheme="minorHAnsi"/>
          <w:sz w:val="24"/>
          <w:szCs w:val="24"/>
        </w:rPr>
        <w:t>:139–146.</w:t>
      </w:r>
    </w:p>
    <w:p w14:paraId="12E3CE5D"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Chen JC, </w:t>
      </w:r>
      <w:proofErr w:type="spellStart"/>
      <w:r w:rsidRPr="006435DB">
        <w:rPr>
          <w:rFonts w:cstheme="minorHAnsi"/>
          <w:sz w:val="24"/>
          <w:szCs w:val="24"/>
        </w:rPr>
        <w:t>Gnepp</w:t>
      </w:r>
      <w:proofErr w:type="spellEnd"/>
      <w:r w:rsidRPr="006435DB">
        <w:rPr>
          <w:rFonts w:cstheme="minorHAnsi"/>
          <w:sz w:val="24"/>
          <w:szCs w:val="24"/>
        </w:rPr>
        <w:t xml:space="preserve"> DR, Bedrossian CW . Adenoid cystic carcinoma of the salivary glands: an immunohistochemical analysis. </w:t>
      </w:r>
      <w:r w:rsidRPr="006435DB">
        <w:rPr>
          <w:rFonts w:cstheme="minorHAnsi"/>
          <w:i/>
          <w:iCs/>
          <w:sz w:val="24"/>
          <w:szCs w:val="24"/>
        </w:rPr>
        <w:t xml:space="preserve">Oral Surg Oral Med Oral </w:t>
      </w:r>
      <w:proofErr w:type="spellStart"/>
      <w:r w:rsidRPr="006435DB">
        <w:rPr>
          <w:rFonts w:cstheme="minorHAnsi"/>
          <w:i/>
          <w:iCs/>
          <w:sz w:val="24"/>
          <w:szCs w:val="24"/>
        </w:rPr>
        <w:t>Pathol</w:t>
      </w:r>
      <w:proofErr w:type="spellEnd"/>
      <w:r w:rsidRPr="006435DB">
        <w:rPr>
          <w:rFonts w:cstheme="minorHAnsi"/>
          <w:sz w:val="24"/>
          <w:szCs w:val="24"/>
        </w:rPr>
        <w:t xml:space="preserve"> 1988;</w:t>
      </w:r>
      <w:r w:rsidRPr="006435DB">
        <w:rPr>
          <w:rFonts w:cstheme="minorHAnsi"/>
          <w:b/>
          <w:bCs/>
          <w:sz w:val="24"/>
          <w:szCs w:val="24"/>
        </w:rPr>
        <w:t>65</w:t>
      </w:r>
      <w:r w:rsidRPr="006435DB">
        <w:rPr>
          <w:rFonts w:cstheme="minorHAnsi"/>
          <w:sz w:val="24"/>
          <w:szCs w:val="24"/>
        </w:rPr>
        <w:t>:316–326.</w:t>
      </w:r>
    </w:p>
    <w:p w14:paraId="1CB53EDA"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Perez-Ordonez B, </w:t>
      </w:r>
      <w:proofErr w:type="spellStart"/>
      <w:r w:rsidRPr="006435DB">
        <w:rPr>
          <w:rFonts w:cstheme="minorHAnsi"/>
          <w:sz w:val="24"/>
          <w:szCs w:val="24"/>
        </w:rPr>
        <w:t>Linkov</w:t>
      </w:r>
      <w:proofErr w:type="spellEnd"/>
      <w:r w:rsidRPr="006435DB">
        <w:rPr>
          <w:rFonts w:cstheme="minorHAnsi"/>
          <w:sz w:val="24"/>
          <w:szCs w:val="24"/>
        </w:rPr>
        <w:t xml:space="preserve"> I, </w:t>
      </w:r>
      <w:proofErr w:type="spellStart"/>
      <w:r w:rsidRPr="006435DB">
        <w:rPr>
          <w:rFonts w:cstheme="minorHAnsi"/>
          <w:sz w:val="24"/>
          <w:szCs w:val="24"/>
        </w:rPr>
        <w:t>Huvos</w:t>
      </w:r>
      <w:proofErr w:type="spellEnd"/>
      <w:r w:rsidRPr="006435DB">
        <w:rPr>
          <w:rFonts w:cstheme="minorHAnsi"/>
          <w:sz w:val="24"/>
          <w:szCs w:val="24"/>
        </w:rPr>
        <w:t xml:space="preserve"> AG . Polymorphous low-grade adenocarcinoma of minor salivary glands: a study of 17 cases with emphasis on cell differentiation. </w:t>
      </w:r>
      <w:r w:rsidRPr="006435DB">
        <w:rPr>
          <w:rFonts w:cstheme="minorHAnsi"/>
          <w:i/>
          <w:iCs/>
          <w:sz w:val="24"/>
          <w:szCs w:val="24"/>
        </w:rPr>
        <w:t>Histopathology</w:t>
      </w:r>
      <w:r w:rsidRPr="006435DB">
        <w:rPr>
          <w:rFonts w:cstheme="minorHAnsi"/>
          <w:sz w:val="24"/>
          <w:szCs w:val="24"/>
        </w:rPr>
        <w:t xml:space="preserve"> 1998;</w:t>
      </w:r>
      <w:r w:rsidRPr="006435DB">
        <w:rPr>
          <w:rFonts w:cstheme="minorHAnsi"/>
          <w:b/>
          <w:bCs/>
          <w:sz w:val="24"/>
          <w:szCs w:val="24"/>
        </w:rPr>
        <w:t>32</w:t>
      </w:r>
      <w:r w:rsidRPr="006435DB">
        <w:rPr>
          <w:rFonts w:cstheme="minorHAnsi"/>
          <w:sz w:val="24"/>
          <w:szCs w:val="24"/>
        </w:rPr>
        <w:t>:521–529.</w:t>
      </w:r>
    </w:p>
    <w:p w14:paraId="546F6C36" w14:textId="77777777" w:rsidR="006435DB" w:rsidRPr="006435DB" w:rsidRDefault="006435DB" w:rsidP="00ED2AAE">
      <w:pPr>
        <w:numPr>
          <w:ilvl w:val="0"/>
          <w:numId w:val="18"/>
        </w:numPr>
        <w:spacing w:after="0"/>
        <w:rPr>
          <w:rFonts w:cstheme="minorHAnsi"/>
          <w:sz w:val="24"/>
          <w:szCs w:val="24"/>
        </w:rPr>
      </w:pPr>
      <w:proofErr w:type="spellStart"/>
      <w:r w:rsidRPr="006435DB">
        <w:rPr>
          <w:rFonts w:cstheme="minorHAnsi"/>
          <w:sz w:val="24"/>
          <w:szCs w:val="24"/>
        </w:rPr>
        <w:t>Gnepp</w:t>
      </w:r>
      <w:proofErr w:type="spellEnd"/>
      <w:r w:rsidRPr="006435DB">
        <w:rPr>
          <w:rFonts w:cstheme="minorHAnsi"/>
          <w:sz w:val="24"/>
          <w:szCs w:val="24"/>
        </w:rPr>
        <w:t xml:space="preserve"> DR, Chen JC, Warren C . Polymorphous low-grade adenocarcinoma of minor salivary gland. An immunohistochemical and clinicopathologic study. </w:t>
      </w:r>
      <w:r w:rsidRPr="006435DB">
        <w:rPr>
          <w:rFonts w:cstheme="minorHAnsi"/>
          <w:i/>
          <w:iCs/>
          <w:sz w:val="24"/>
          <w:szCs w:val="24"/>
        </w:rPr>
        <w:t xml:space="preserve">Am J Surg </w:t>
      </w:r>
      <w:proofErr w:type="spellStart"/>
      <w:r w:rsidRPr="006435DB">
        <w:rPr>
          <w:rFonts w:cstheme="minorHAnsi"/>
          <w:i/>
          <w:iCs/>
          <w:sz w:val="24"/>
          <w:szCs w:val="24"/>
        </w:rPr>
        <w:t>Pathol</w:t>
      </w:r>
      <w:proofErr w:type="spellEnd"/>
      <w:r w:rsidRPr="006435DB">
        <w:rPr>
          <w:rFonts w:cstheme="minorHAnsi"/>
          <w:sz w:val="24"/>
          <w:szCs w:val="24"/>
        </w:rPr>
        <w:t xml:space="preserve"> 1988;</w:t>
      </w:r>
      <w:r w:rsidRPr="006435DB">
        <w:rPr>
          <w:rFonts w:cstheme="minorHAnsi"/>
          <w:b/>
          <w:bCs/>
          <w:sz w:val="24"/>
          <w:szCs w:val="24"/>
        </w:rPr>
        <w:t>12</w:t>
      </w:r>
      <w:r w:rsidRPr="006435DB">
        <w:rPr>
          <w:rFonts w:cstheme="minorHAnsi"/>
          <w:sz w:val="24"/>
          <w:szCs w:val="24"/>
        </w:rPr>
        <w:t>:461–468.</w:t>
      </w:r>
    </w:p>
    <w:p w14:paraId="325854EA" w14:textId="77777777" w:rsidR="006435DB" w:rsidRPr="006435DB" w:rsidRDefault="006435DB" w:rsidP="00ED2AAE">
      <w:pPr>
        <w:numPr>
          <w:ilvl w:val="0"/>
          <w:numId w:val="18"/>
        </w:numPr>
        <w:spacing w:after="0"/>
        <w:rPr>
          <w:rFonts w:cstheme="minorHAnsi"/>
          <w:sz w:val="24"/>
          <w:szCs w:val="24"/>
        </w:rPr>
      </w:pPr>
      <w:proofErr w:type="spellStart"/>
      <w:r w:rsidRPr="006435DB">
        <w:rPr>
          <w:rFonts w:cstheme="minorHAnsi"/>
          <w:sz w:val="24"/>
          <w:szCs w:val="24"/>
        </w:rPr>
        <w:t>Regezi</w:t>
      </w:r>
      <w:proofErr w:type="spellEnd"/>
      <w:r w:rsidRPr="006435DB">
        <w:rPr>
          <w:rFonts w:cstheme="minorHAnsi"/>
          <w:sz w:val="24"/>
          <w:szCs w:val="24"/>
        </w:rPr>
        <w:t xml:space="preserve"> JA, </w:t>
      </w:r>
      <w:proofErr w:type="spellStart"/>
      <w:r w:rsidRPr="006435DB">
        <w:rPr>
          <w:rFonts w:cstheme="minorHAnsi"/>
          <w:sz w:val="24"/>
          <w:szCs w:val="24"/>
        </w:rPr>
        <w:t>Zarbo</w:t>
      </w:r>
      <w:proofErr w:type="spellEnd"/>
      <w:r w:rsidRPr="006435DB">
        <w:rPr>
          <w:rFonts w:cstheme="minorHAnsi"/>
          <w:sz w:val="24"/>
          <w:szCs w:val="24"/>
        </w:rPr>
        <w:t xml:space="preserve"> RJ, Stewart JC, </w:t>
      </w:r>
      <w:r w:rsidRPr="006435DB">
        <w:rPr>
          <w:rFonts w:cstheme="minorHAnsi"/>
          <w:i/>
          <w:iCs/>
          <w:sz w:val="24"/>
          <w:szCs w:val="24"/>
        </w:rPr>
        <w:t>et al</w:t>
      </w:r>
      <w:r w:rsidRPr="006435DB">
        <w:rPr>
          <w:rFonts w:cstheme="minorHAnsi"/>
          <w:sz w:val="24"/>
          <w:szCs w:val="24"/>
        </w:rPr>
        <w:t xml:space="preserve">. Polymorphous low-grade adenocarcinoma of minor salivary gland. A comparative histologic and immunohistochemical study. </w:t>
      </w:r>
      <w:r w:rsidRPr="006435DB">
        <w:rPr>
          <w:rFonts w:cstheme="minorHAnsi"/>
          <w:i/>
          <w:iCs/>
          <w:sz w:val="24"/>
          <w:szCs w:val="24"/>
        </w:rPr>
        <w:t xml:space="preserve">Oral Surg Oral Med Oral </w:t>
      </w:r>
      <w:proofErr w:type="spellStart"/>
      <w:r w:rsidRPr="006435DB">
        <w:rPr>
          <w:rFonts w:cstheme="minorHAnsi"/>
          <w:i/>
          <w:iCs/>
          <w:sz w:val="24"/>
          <w:szCs w:val="24"/>
        </w:rPr>
        <w:t>Pathol</w:t>
      </w:r>
      <w:proofErr w:type="spellEnd"/>
      <w:r w:rsidRPr="006435DB">
        <w:rPr>
          <w:rFonts w:cstheme="minorHAnsi"/>
          <w:sz w:val="24"/>
          <w:szCs w:val="24"/>
        </w:rPr>
        <w:t xml:space="preserve"> 1991;</w:t>
      </w:r>
      <w:r w:rsidRPr="006435DB">
        <w:rPr>
          <w:rFonts w:cstheme="minorHAnsi"/>
          <w:b/>
          <w:bCs/>
          <w:sz w:val="24"/>
          <w:szCs w:val="24"/>
        </w:rPr>
        <w:t>71</w:t>
      </w:r>
      <w:r w:rsidRPr="006435DB">
        <w:rPr>
          <w:rFonts w:cstheme="minorHAnsi"/>
          <w:sz w:val="24"/>
          <w:szCs w:val="24"/>
        </w:rPr>
        <w:t>:469–475.</w:t>
      </w:r>
    </w:p>
    <w:p w14:paraId="00D4D656"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Di Como CJ, </w:t>
      </w:r>
      <w:proofErr w:type="spellStart"/>
      <w:r w:rsidRPr="006435DB">
        <w:rPr>
          <w:rFonts w:cstheme="minorHAnsi"/>
          <w:sz w:val="24"/>
          <w:szCs w:val="24"/>
        </w:rPr>
        <w:t>Urist</w:t>
      </w:r>
      <w:proofErr w:type="spellEnd"/>
      <w:r w:rsidRPr="006435DB">
        <w:rPr>
          <w:rFonts w:cstheme="minorHAnsi"/>
          <w:sz w:val="24"/>
          <w:szCs w:val="24"/>
        </w:rPr>
        <w:t xml:space="preserve"> MJ, Babayan I, </w:t>
      </w:r>
      <w:r w:rsidRPr="006435DB">
        <w:rPr>
          <w:rFonts w:cstheme="minorHAnsi"/>
          <w:i/>
          <w:iCs/>
          <w:sz w:val="24"/>
          <w:szCs w:val="24"/>
        </w:rPr>
        <w:t>et al</w:t>
      </w:r>
      <w:r w:rsidRPr="006435DB">
        <w:rPr>
          <w:rFonts w:cstheme="minorHAnsi"/>
          <w:sz w:val="24"/>
          <w:szCs w:val="24"/>
        </w:rPr>
        <w:t xml:space="preserve">. p63 expression profiles in human normal and tumor tissues. </w:t>
      </w:r>
      <w:r w:rsidRPr="006435DB">
        <w:rPr>
          <w:rFonts w:cstheme="minorHAnsi"/>
          <w:i/>
          <w:iCs/>
          <w:sz w:val="24"/>
          <w:szCs w:val="24"/>
        </w:rPr>
        <w:t>Clin Cancer Res</w:t>
      </w:r>
      <w:r w:rsidRPr="006435DB">
        <w:rPr>
          <w:rFonts w:cstheme="minorHAnsi"/>
          <w:sz w:val="24"/>
          <w:szCs w:val="24"/>
        </w:rPr>
        <w:t xml:space="preserve"> 2002;</w:t>
      </w:r>
      <w:r w:rsidRPr="006435DB">
        <w:rPr>
          <w:rFonts w:cstheme="minorHAnsi"/>
          <w:b/>
          <w:bCs/>
          <w:sz w:val="24"/>
          <w:szCs w:val="24"/>
        </w:rPr>
        <w:t>8</w:t>
      </w:r>
      <w:r w:rsidRPr="006435DB">
        <w:rPr>
          <w:rFonts w:cstheme="minorHAnsi"/>
          <w:sz w:val="24"/>
          <w:szCs w:val="24"/>
        </w:rPr>
        <w:t>:494–501.</w:t>
      </w:r>
    </w:p>
    <w:p w14:paraId="33B2356D"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Norberg LE, Burford-Mason AP, </w:t>
      </w:r>
      <w:proofErr w:type="spellStart"/>
      <w:r w:rsidRPr="006435DB">
        <w:rPr>
          <w:rFonts w:cstheme="minorHAnsi"/>
          <w:sz w:val="24"/>
          <w:szCs w:val="24"/>
        </w:rPr>
        <w:t>Dardick</w:t>
      </w:r>
      <w:proofErr w:type="spellEnd"/>
      <w:r w:rsidRPr="006435DB">
        <w:rPr>
          <w:rFonts w:cstheme="minorHAnsi"/>
          <w:sz w:val="24"/>
          <w:szCs w:val="24"/>
        </w:rPr>
        <w:t xml:space="preserve"> I . Cellular differentiation and morphologic heterogeneity in polymorphous low-grade adenocarcinoma of minor salivary gland. </w:t>
      </w:r>
      <w:r w:rsidRPr="006435DB">
        <w:rPr>
          <w:rFonts w:cstheme="minorHAnsi"/>
          <w:i/>
          <w:iCs/>
          <w:sz w:val="24"/>
          <w:szCs w:val="24"/>
        </w:rPr>
        <w:t xml:space="preserve">J Oral </w:t>
      </w:r>
      <w:proofErr w:type="spellStart"/>
      <w:r w:rsidRPr="006435DB">
        <w:rPr>
          <w:rFonts w:cstheme="minorHAnsi"/>
          <w:i/>
          <w:iCs/>
          <w:sz w:val="24"/>
          <w:szCs w:val="24"/>
        </w:rPr>
        <w:t>Pathol</w:t>
      </w:r>
      <w:proofErr w:type="spellEnd"/>
      <w:r w:rsidRPr="006435DB">
        <w:rPr>
          <w:rFonts w:cstheme="minorHAnsi"/>
          <w:i/>
          <w:iCs/>
          <w:sz w:val="24"/>
          <w:szCs w:val="24"/>
        </w:rPr>
        <w:t xml:space="preserve"> Med</w:t>
      </w:r>
      <w:r w:rsidRPr="006435DB">
        <w:rPr>
          <w:rFonts w:cstheme="minorHAnsi"/>
          <w:sz w:val="24"/>
          <w:szCs w:val="24"/>
        </w:rPr>
        <w:t xml:space="preserve"> 1991;</w:t>
      </w:r>
      <w:r w:rsidRPr="006435DB">
        <w:rPr>
          <w:rFonts w:cstheme="minorHAnsi"/>
          <w:b/>
          <w:bCs/>
          <w:sz w:val="24"/>
          <w:szCs w:val="24"/>
        </w:rPr>
        <w:t>20</w:t>
      </w:r>
      <w:r w:rsidRPr="006435DB">
        <w:rPr>
          <w:rFonts w:cstheme="minorHAnsi"/>
          <w:sz w:val="24"/>
          <w:szCs w:val="24"/>
        </w:rPr>
        <w:t>:373–379.</w:t>
      </w:r>
    </w:p>
    <w:p w14:paraId="7C059D88"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Anderson C, </w:t>
      </w:r>
      <w:proofErr w:type="spellStart"/>
      <w:r w:rsidRPr="006435DB">
        <w:rPr>
          <w:rFonts w:cstheme="minorHAnsi"/>
          <w:sz w:val="24"/>
          <w:szCs w:val="24"/>
        </w:rPr>
        <w:t>Krutchkoff</w:t>
      </w:r>
      <w:proofErr w:type="spellEnd"/>
      <w:r w:rsidRPr="006435DB">
        <w:rPr>
          <w:rFonts w:cstheme="minorHAnsi"/>
          <w:sz w:val="24"/>
          <w:szCs w:val="24"/>
        </w:rPr>
        <w:t xml:space="preserve"> D, Pedersen C, </w:t>
      </w:r>
      <w:r w:rsidRPr="006435DB">
        <w:rPr>
          <w:rFonts w:cstheme="minorHAnsi"/>
          <w:i/>
          <w:iCs/>
          <w:sz w:val="24"/>
          <w:szCs w:val="24"/>
        </w:rPr>
        <w:t>et al</w:t>
      </w:r>
      <w:r w:rsidRPr="006435DB">
        <w:rPr>
          <w:rFonts w:cstheme="minorHAnsi"/>
          <w:sz w:val="24"/>
          <w:szCs w:val="24"/>
        </w:rPr>
        <w:t xml:space="preserve">. Polymorphous low grade adenocarcinoma of minor salivary gland: a clinicopathologic and comparative immunohistochemical study. </w:t>
      </w:r>
      <w:r w:rsidRPr="006435DB">
        <w:rPr>
          <w:rFonts w:cstheme="minorHAnsi"/>
          <w:i/>
          <w:iCs/>
          <w:sz w:val="24"/>
          <w:szCs w:val="24"/>
        </w:rPr>
        <w:t xml:space="preserve">Mod </w:t>
      </w:r>
      <w:proofErr w:type="spellStart"/>
      <w:r w:rsidRPr="006435DB">
        <w:rPr>
          <w:rFonts w:cstheme="minorHAnsi"/>
          <w:i/>
          <w:iCs/>
          <w:sz w:val="24"/>
          <w:szCs w:val="24"/>
        </w:rPr>
        <w:t>Pathol</w:t>
      </w:r>
      <w:proofErr w:type="spellEnd"/>
      <w:r w:rsidRPr="006435DB">
        <w:rPr>
          <w:rFonts w:cstheme="minorHAnsi"/>
          <w:sz w:val="24"/>
          <w:szCs w:val="24"/>
        </w:rPr>
        <w:t xml:space="preserve"> 1990;</w:t>
      </w:r>
      <w:r w:rsidRPr="006435DB">
        <w:rPr>
          <w:rFonts w:cstheme="minorHAnsi"/>
          <w:b/>
          <w:bCs/>
          <w:sz w:val="24"/>
          <w:szCs w:val="24"/>
        </w:rPr>
        <w:t>3</w:t>
      </w:r>
      <w:r w:rsidRPr="006435DB">
        <w:rPr>
          <w:rFonts w:cstheme="minorHAnsi"/>
          <w:sz w:val="24"/>
          <w:szCs w:val="24"/>
        </w:rPr>
        <w:t>:76–82.</w:t>
      </w:r>
    </w:p>
    <w:p w14:paraId="120D1F15"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Hsu FD, Nielsen TO, </w:t>
      </w:r>
      <w:proofErr w:type="spellStart"/>
      <w:r w:rsidRPr="006435DB">
        <w:rPr>
          <w:rFonts w:cstheme="minorHAnsi"/>
          <w:sz w:val="24"/>
          <w:szCs w:val="24"/>
        </w:rPr>
        <w:t>Alkushi</w:t>
      </w:r>
      <w:proofErr w:type="spellEnd"/>
      <w:r w:rsidRPr="006435DB">
        <w:rPr>
          <w:rFonts w:cstheme="minorHAnsi"/>
          <w:sz w:val="24"/>
          <w:szCs w:val="24"/>
        </w:rPr>
        <w:t xml:space="preserve"> A, </w:t>
      </w:r>
      <w:r w:rsidRPr="006435DB">
        <w:rPr>
          <w:rFonts w:cstheme="minorHAnsi"/>
          <w:i/>
          <w:iCs/>
          <w:sz w:val="24"/>
          <w:szCs w:val="24"/>
        </w:rPr>
        <w:t>et al</w:t>
      </w:r>
      <w:r w:rsidRPr="006435DB">
        <w:rPr>
          <w:rFonts w:cstheme="minorHAnsi"/>
          <w:sz w:val="24"/>
          <w:szCs w:val="24"/>
        </w:rPr>
        <w:t xml:space="preserve">. Tissue microarrays are an effective quality assurance tool for diagnostic immunohistochemistry. </w:t>
      </w:r>
      <w:r w:rsidRPr="006435DB">
        <w:rPr>
          <w:rFonts w:cstheme="minorHAnsi"/>
          <w:i/>
          <w:iCs/>
          <w:sz w:val="24"/>
          <w:szCs w:val="24"/>
        </w:rPr>
        <w:t xml:space="preserve">Mod </w:t>
      </w:r>
      <w:proofErr w:type="spellStart"/>
      <w:r w:rsidRPr="006435DB">
        <w:rPr>
          <w:rFonts w:cstheme="minorHAnsi"/>
          <w:i/>
          <w:iCs/>
          <w:sz w:val="24"/>
          <w:szCs w:val="24"/>
        </w:rPr>
        <w:t>Pathol</w:t>
      </w:r>
      <w:proofErr w:type="spellEnd"/>
      <w:r w:rsidRPr="006435DB">
        <w:rPr>
          <w:rFonts w:cstheme="minorHAnsi"/>
          <w:sz w:val="24"/>
          <w:szCs w:val="24"/>
        </w:rPr>
        <w:t xml:space="preserve"> 2002;</w:t>
      </w:r>
      <w:r w:rsidRPr="006435DB">
        <w:rPr>
          <w:rFonts w:cstheme="minorHAnsi"/>
          <w:b/>
          <w:bCs/>
          <w:sz w:val="24"/>
          <w:szCs w:val="24"/>
        </w:rPr>
        <w:t>15</w:t>
      </w:r>
      <w:r w:rsidRPr="006435DB">
        <w:rPr>
          <w:rFonts w:cstheme="minorHAnsi"/>
          <w:sz w:val="24"/>
          <w:szCs w:val="24"/>
        </w:rPr>
        <w:t>:1374–1380.</w:t>
      </w:r>
    </w:p>
    <w:p w14:paraId="46AF0FB0"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Au NHC, </w:t>
      </w:r>
      <w:proofErr w:type="spellStart"/>
      <w:r w:rsidRPr="006435DB">
        <w:rPr>
          <w:rFonts w:cstheme="minorHAnsi"/>
          <w:sz w:val="24"/>
          <w:szCs w:val="24"/>
        </w:rPr>
        <w:t>Cheang</w:t>
      </w:r>
      <w:proofErr w:type="spellEnd"/>
      <w:r w:rsidRPr="006435DB">
        <w:rPr>
          <w:rFonts w:cstheme="minorHAnsi"/>
          <w:sz w:val="24"/>
          <w:szCs w:val="24"/>
        </w:rPr>
        <w:t xml:space="preserve"> M, Huntsman DG, </w:t>
      </w:r>
      <w:r w:rsidRPr="006435DB">
        <w:rPr>
          <w:rFonts w:cstheme="minorHAnsi"/>
          <w:i/>
          <w:iCs/>
          <w:sz w:val="24"/>
          <w:szCs w:val="24"/>
        </w:rPr>
        <w:t>et al</w:t>
      </w:r>
      <w:r w:rsidRPr="006435DB">
        <w:rPr>
          <w:rFonts w:cstheme="minorHAnsi"/>
          <w:sz w:val="24"/>
          <w:szCs w:val="24"/>
        </w:rPr>
        <w:t xml:space="preserve">. Evaluation of immunohistochemical markers in </w:t>
      </w:r>
      <w:proofErr w:type="spellStart"/>
      <w:r w:rsidRPr="006435DB">
        <w:rPr>
          <w:rFonts w:cstheme="minorHAnsi"/>
          <w:sz w:val="24"/>
          <w:szCs w:val="24"/>
        </w:rPr>
        <w:t>non small</w:t>
      </w:r>
      <w:proofErr w:type="spellEnd"/>
      <w:r w:rsidRPr="006435DB">
        <w:rPr>
          <w:rFonts w:cstheme="minorHAnsi"/>
          <w:sz w:val="24"/>
          <w:szCs w:val="24"/>
        </w:rPr>
        <w:t xml:space="preserve"> cell lung cancer by unsupervised hierarchical clustering analysis: a tissue microarray study of 284 cases and 18 markers. </w:t>
      </w:r>
      <w:r w:rsidRPr="006435DB">
        <w:rPr>
          <w:rFonts w:cstheme="minorHAnsi"/>
          <w:i/>
          <w:iCs/>
          <w:sz w:val="24"/>
          <w:szCs w:val="24"/>
        </w:rPr>
        <w:t xml:space="preserve">J </w:t>
      </w:r>
      <w:proofErr w:type="spellStart"/>
      <w:r w:rsidRPr="006435DB">
        <w:rPr>
          <w:rFonts w:cstheme="minorHAnsi"/>
          <w:i/>
          <w:iCs/>
          <w:sz w:val="24"/>
          <w:szCs w:val="24"/>
        </w:rPr>
        <w:t>Pathol</w:t>
      </w:r>
      <w:proofErr w:type="spellEnd"/>
      <w:r w:rsidRPr="006435DB">
        <w:rPr>
          <w:rFonts w:cstheme="minorHAnsi"/>
          <w:sz w:val="24"/>
          <w:szCs w:val="24"/>
        </w:rPr>
        <w:t xml:space="preserve"> 2004;</w:t>
      </w:r>
      <w:r w:rsidRPr="006435DB">
        <w:rPr>
          <w:rFonts w:cstheme="minorHAnsi"/>
          <w:b/>
          <w:bCs/>
          <w:sz w:val="24"/>
          <w:szCs w:val="24"/>
        </w:rPr>
        <w:t>204</w:t>
      </w:r>
      <w:r w:rsidRPr="006435DB">
        <w:rPr>
          <w:rFonts w:cstheme="minorHAnsi"/>
          <w:sz w:val="24"/>
          <w:szCs w:val="24"/>
        </w:rPr>
        <w:t>:101–109.</w:t>
      </w:r>
    </w:p>
    <w:p w14:paraId="3A3AD665"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Olsen SH, Thomas DG, Lucas DR . Cluster analysis of immunohistochemical profiles in synovial sarcoma, malignant peripheral nerve sheath tumor, and Ewing sarcoma. </w:t>
      </w:r>
      <w:r w:rsidRPr="006435DB">
        <w:rPr>
          <w:rFonts w:cstheme="minorHAnsi"/>
          <w:i/>
          <w:iCs/>
          <w:sz w:val="24"/>
          <w:szCs w:val="24"/>
        </w:rPr>
        <w:t xml:space="preserve">Mod </w:t>
      </w:r>
      <w:proofErr w:type="spellStart"/>
      <w:r w:rsidRPr="006435DB">
        <w:rPr>
          <w:rFonts w:cstheme="minorHAnsi"/>
          <w:i/>
          <w:iCs/>
          <w:sz w:val="24"/>
          <w:szCs w:val="24"/>
        </w:rPr>
        <w:t>Pathol</w:t>
      </w:r>
      <w:proofErr w:type="spellEnd"/>
      <w:r w:rsidRPr="006435DB">
        <w:rPr>
          <w:rFonts w:cstheme="minorHAnsi"/>
          <w:sz w:val="24"/>
          <w:szCs w:val="24"/>
        </w:rPr>
        <w:t xml:space="preserve"> 2006;</w:t>
      </w:r>
      <w:r w:rsidRPr="006435DB">
        <w:rPr>
          <w:rFonts w:cstheme="minorHAnsi"/>
          <w:b/>
          <w:bCs/>
          <w:sz w:val="24"/>
          <w:szCs w:val="24"/>
        </w:rPr>
        <w:t>19</w:t>
      </w:r>
      <w:r w:rsidRPr="006435DB">
        <w:rPr>
          <w:rFonts w:cstheme="minorHAnsi"/>
          <w:sz w:val="24"/>
          <w:szCs w:val="24"/>
        </w:rPr>
        <w:t>:659–668.</w:t>
      </w:r>
    </w:p>
    <w:p w14:paraId="6E1D427D"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Zhang W, Hart J, McLeod HL, </w:t>
      </w:r>
      <w:r w:rsidRPr="006435DB">
        <w:rPr>
          <w:rFonts w:cstheme="minorHAnsi"/>
          <w:i/>
          <w:iCs/>
          <w:sz w:val="24"/>
          <w:szCs w:val="24"/>
        </w:rPr>
        <w:t>et al</w:t>
      </w:r>
      <w:r w:rsidRPr="006435DB">
        <w:rPr>
          <w:rFonts w:cstheme="minorHAnsi"/>
          <w:sz w:val="24"/>
          <w:szCs w:val="24"/>
        </w:rPr>
        <w:t xml:space="preserve">. Differential expression of the AP-1 transcription factor family members in human colorectal epithelial and neuroendocrine neoplasms. </w:t>
      </w:r>
      <w:r w:rsidRPr="006435DB">
        <w:rPr>
          <w:rFonts w:cstheme="minorHAnsi"/>
          <w:i/>
          <w:iCs/>
          <w:sz w:val="24"/>
          <w:szCs w:val="24"/>
        </w:rPr>
        <w:t xml:space="preserve">Am J Clin </w:t>
      </w:r>
      <w:proofErr w:type="spellStart"/>
      <w:r w:rsidRPr="006435DB">
        <w:rPr>
          <w:rFonts w:cstheme="minorHAnsi"/>
          <w:i/>
          <w:iCs/>
          <w:sz w:val="24"/>
          <w:szCs w:val="24"/>
        </w:rPr>
        <w:t>Pathol</w:t>
      </w:r>
      <w:proofErr w:type="spellEnd"/>
      <w:r w:rsidRPr="006435DB">
        <w:rPr>
          <w:rFonts w:cstheme="minorHAnsi"/>
          <w:sz w:val="24"/>
          <w:szCs w:val="24"/>
        </w:rPr>
        <w:t xml:space="preserve"> 2005;</w:t>
      </w:r>
      <w:r w:rsidRPr="006435DB">
        <w:rPr>
          <w:rFonts w:cstheme="minorHAnsi"/>
          <w:b/>
          <w:bCs/>
          <w:sz w:val="24"/>
          <w:szCs w:val="24"/>
        </w:rPr>
        <w:t>124</w:t>
      </w:r>
      <w:r w:rsidRPr="006435DB">
        <w:rPr>
          <w:rFonts w:cstheme="minorHAnsi"/>
          <w:sz w:val="24"/>
          <w:szCs w:val="24"/>
        </w:rPr>
        <w:t>:11–19.</w:t>
      </w:r>
    </w:p>
    <w:p w14:paraId="773A2420" w14:textId="77777777" w:rsidR="006435DB" w:rsidRPr="006435DB" w:rsidRDefault="006435DB" w:rsidP="00ED2AAE">
      <w:pPr>
        <w:numPr>
          <w:ilvl w:val="0"/>
          <w:numId w:val="18"/>
        </w:numPr>
        <w:spacing w:after="0"/>
        <w:rPr>
          <w:rFonts w:cstheme="minorHAnsi"/>
          <w:sz w:val="24"/>
          <w:szCs w:val="24"/>
        </w:rPr>
      </w:pPr>
      <w:proofErr w:type="spellStart"/>
      <w:r w:rsidRPr="006435DB">
        <w:rPr>
          <w:rFonts w:cstheme="minorHAnsi"/>
          <w:sz w:val="24"/>
          <w:szCs w:val="24"/>
        </w:rPr>
        <w:t>Bozcuk</w:t>
      </w:r>
      <w:proofErr w:type="spellEnd"/>
      <w:r w:rsidRPr="006435DB">
        <w:rPr>
          <w:rFonts w:cstheme="minorHAnsi"/>
          <w:sz w:val="24"/>
          <w:szCs w:val="24"/>
        </w:rPr>
        <w:t xml:space="preserve"> H, </w:t>
      </w:r>
      <w:proofErr w:type="spellStart"/>
      <w:r w:rsidRPr="006435DB">
        <w:rPr>
          <w:rFonts w:cstheme="minorHAnsi"/>
          <w:sz w:val="24"/>
          <w:szCs w:val="24"/>
        </w:rPr>
        <w:t>Gumus</w:t>
      </w:r>
      <w:proofErr w:type="spellEnd"/>
      <w:r w:rsidRPr="006435DB">
        <w:rPr>
          <w:rFonts w:cstheme="minorHAnsi"/>
          <w:sz w:val="24"/>
          <w:szCs w:val="24"/>
        </w:rPr>
        <w:t xml:space="preserve"> A, </w:t>
      </w:r>
      <w:proofErr w:type="spellStart"/>
      <w:r w:rsidRPr="006435DB">
        <w:rPr>
          <w:rFonts w:cstheme="minorHAnsi"/>
          <w:sz w:val="24"/>
          <w:szCs w:val="24"/>
        </w:rPr>
        <w:t>Ozbilim</w:t>
      </w:r>
      <w:proofErr w:type="spellEnd"/>
      <w:r w:rsidRPr="006435DB">
        <w:rPr>
          <w:rFonts w:cstheme="minorHAnsi"/>
          <w:sz w:val="24"/>
          <w:szCs w:val="24"/>
        </w:rPr>
        <w:t xml:space="preserve"> G, </w:t>
      </w:r>
      <w:r w:rsidRPr="006435DB">
        <w:rPr>
          <w:rFonts w:cstheme="minorHAnsi"/>
          <w:i/>
          <w:iCs/>
          <w:sz w:val="24"/>
          <w:szCs w:val="24"/>
        </w:rPr>
        <w:t>et al</w:t>
      </w:r>
      <w:r w:rsidRPr="006435DB">
        <w:rPr>
          <w:rFonts w:cstheme="minorHAnsi"/>
          <w:sz w:val="24"/>
          <w:szCs w:val="24"/>
        </w:rPr>
        <w:t xml:space="preserve">. Cluster analysis of p-glycoprotein, c-erb-B2 and P53 in relation to tumor histology strongly indicates prognosis in patients with operable </w:t>
      </w:r>
      <w:proofErr w:type="spellStart"/>
      <w:r w:rsidRPr="006435DB">
        <w:rPr>
          <w:rFonts w:cstheme="minorHAnsi"/>
          <w:sz w:val="24"/>
          <w:szCs w:val="24"/>
        </w:rPr>
        <w:t>non small</w:t>
      </w:r>
      <w:proofErr w:type="spellEnd"/>
      <w:r w:rsidRPr="006435DB">
        <w:rPr>
          <w:rFonts w:cstheme="minorHAnsi"/>
          <w:sz w:val="24"/>
          <w:szCs w:val="24"/>
        </w:rPr>
        <w:t xml:space="preserve"> cell lung cancer. </w:t>
      </w:r>
      <w:r w:rsidRPr="006435DB">
        <w:rPr>
          <w:rFonts w:cstheme="minorHAnsi"/>
          <w:i/>
          <w:iCs/>
          <w:sz w:val="24"/>
          <w:szCs w:val="24"/>
        </w:rPr>
        <w:t xml:space="preserve">Med Sci </w:t>
      </w:r>
      <w:proofErr w:type="spellStart"/>
      <w:r w:rsidRPr="006435DB">
        <w:rPr>
          <w:rFonts w:cstheme="minorHAnsi"/>
          <w:i/>
          <w:iCs/>
          <w:sz w:val="24"/>
          <w:szCs w:val="24"/>
        </w:rPr>
        <w:t>Monit</w:t>
      </w:r>
      <w:proofErr w:type="spellEnd"/>
      <w:r w:rsidRPr="006435DB">
        <w:rPr>
          <w:rFonts w:cstheme="minorHAnsi"/>
          <w:sz w:val="24"/>
          <w:szCs w:val="24"/>
        </w:rPr>
        <w:t xml:space="preserve"> 2005;</w:t>
      </w:r>
      <w:r w:rsidRPr="006435DB">
        <w:rPr>
          <w:rFonts w:cstheme="minorHAnsi"/>
          <w:b/>
          <w:bCs/>
          <w:sz w:val="24"/>
          <w:szCs w:val="24"/>
        </w:rPr>
        <w:t>11</w:t>
      </w:r>
      <w:r w:rsidRPr="006435DB">
        <w:rPr>
          <w:rFonts w:cstheme="minorHAnsi"/>
          <w:sz w:val="24"/>
          <w:szCs w:val="24"/>
        </w:rPr>
        <w:t>:HY11–HY20.</w:t>
      </w:r>
    </w:p>
    <w:p w14:paraId="78A6A947" w14:textId="77777777" w:rsidR="006435DB" w:rsidRPr="006435DB" w:rsidRDefault="006435DB" w:rsidP="00ED2AAE">
      <w:pPr>
        <w:numPr>
          <w:ilvl w:val="0"/>
          <w:numId w:val="18"/>
        </w:numPr>
        <w:spacing w:after="0"/>
        <w:rPr>
          <w:rFonts w:cstheme="minorHAnsi"/>
          <w:sz w:val="24"/>
          <w:szCs w:val="24"/>
        </w:rPr>
      </w:pPr>
      <w:r w:rsidRPr="006435DB">
        <w:rPr>
          <w:rFonts w:cstheme="minorHAnsi"/>
          <w:sz w:val="24"/>
          <w:szCs w:val="24"/>
        </w:rPr>
        <w:t xml:space="preserve">Lyall MS, Dundas SR, Curran S, </w:t>
      </w:r>
      <w:r w:rsidRPr="006435DB">
        <w:rPr>
          <w:rFonts w:cstheme="minorHAnsi"/>
          <w:i/>
          <w:iCs/>
          <w:sz w:val="24"/>
          <w:szCs w:val="24"/>
        </w:rPr>
        <w:t>et al</w:t>
      </w:r>
      <w:r w:rsidRPr="006435DB">
        <w:rPr>
          <w:rFonts w:cstheme="minorHAnsi"/>
          <w:sz w:val="24"/>
          <w:szCs w:val="24"/>
        </w:rPr>
        <w:t xml:space="preserve">. Profiling markers of prognosis in colorectal cancer. </w:t>
      </w:r>
      <w:r w:rsidRPr="006435DB">
        <w:rPr>
          <w:rFonts w:cstheme="minorHAnsi"/>
          <w:i/>
          <w:iCs/>
          <w:sz w:val="24"/>
          <w:szCs w:val="24"/>
        </w:rPr>
        <w:t>Clin Cancer Res</w:t>
      </w:r>
      <w:r w:rsidRPr="006435DB">
        <w:rPr>
          <w:rFonts w:cstheme="minorHAnsi"/>
          <w:sz w:val="24"/>
          <w:szCs w:val="24"/>
        </w:rPr>
        <w:t xml:space="preserve"> 2006;</w:t>
      </w:r>
      <w:r w:rsidRPr="006435DB">
        <w:rPr>
          <w:rFonts w:cstheme="minorHAnsi"/>
          <w:b/>
          <w:bCs/>
          <w:sz w:val="24"/>
          <w:szCs w:val="24"/>
        </w:rPr>
        <w:t>12</w:t>
      </w:r>
      <w:r w:rsidRPr="006435DB">
        <w:rPr>
          <w:rFonts w:cstheme="minorHAnsi"/>
          <w:sz w:val="24"/>
          <w:szCs w:val="24"/>
        </w:rPr>
        <w:t>:1184–1191.</w:t>
      </w:r>
    </w:p>
    <w:p w14:paraId="51F40C73" w14:textId="77777777" w:rsidR="006435DB" w:rsidRPr="006435DB" w:rsidRDefault="006435DB" w:rsidP="00ED2AAE">
      <w:pPr>
        <w:numPr>
          <w:ilvl w:val="0"/>
          <w:numId w:val="18"/>
        </w:numPr>
        <w:spacing w:after="0"/>
        <w:rPr>
          <w:rFonts w:cstheme="minorHAnsi"/>
          <w:sz w:val="24"/>
          <w:szCs w:val="24"/>
        </w:rPr>
      </w:pPr>
      <w:proofErr w:type="spellStart"/>
      <w:r w:rsidRPr="006435DB">
        <w:rPr>
          <w:rFonts w:cstheme="minorHAnsi"/>
          <w:sz w:val="24"/>
          <w:szCs w:val="24"/>
        </w:rPr>
        <w:t>Makretsov</w:t>
      </w:r>
      <w:proofErr w:type="spellEnd"/>
      <w:r w:rsidRPr="006435DB">
        <w:rPr>
          <w:rFonts w:cstheme="minorHAnsi"/>
          <w:sz w:val="24"/>
          <w:szCs w:val="24"/>
        </w:rPr>
        <w:t xml:space="preserve"> NA, Huntsman DG, Nielsen TO, </w:t>
      </w:r>
      <w:r w:rsidRPr="006435DB">
        <w:rPr>
          <w:rFonts w:cstheme="minorHAnsi"/>
          <w:i/>
          <w:iCs/>
          <w:sz w:val="24"/>
          <w:szCs w:val="24"/>
        </w:rPr>
        <w:t>et al</w:t>
      </w:r>
      <w:r w:rsidRPr="006435DB">
        <w:rPr>
          <w:rFonts w:cstheme="minorHAnsi"/>
          <w:sz w:val="24"/>
          <w:szCs w:val="24"/>
        </w:rPr>
        <w:t xml:space="preserve">. Hierarchical clustering analysis of tissue microarray immunostaining data identifies prognostically significant groups of breast carcinoma. </w:t>
      </w:r>
      <w:r w:rsidRPr="006435DB">
        <w:rPr>
          <w:rFonts w:cstheme="minorHAnsi"/>
          <w:i/>
          <w:iCs/>
          <w:sz w:val="24"/>
          <w:szCs w:val="24"/>
        </w:rPr>
        <w:t>Clin Cancer Res</w:t>
      </w:r>
      <w:r w:rsidRPr="006435DB">
        <w:rPr>
          <w:rFonts w:cstheme="minorHAnsi"/>
          <w:sz w:val="24"/>
          <w:szCs w:val="24"/>
        </w:rPr>
        <w:t xml:space="preserve"> 2004;</w:t>
      </w:r>
      <w:r w:rsidRPr="006435DB">
        <w:rPr>
          <w:rFonts w:cstheme="minorHAnsi"/>
          <w:b/>
          <w:bCs/>
          <w:sz w:val="24"/>
          <w:szCs w:val="24"/>
        </w:rPr>
        <w:t>10</w:t>
      </w:r>
      <w:r w:rsidRPr="006435DB">
        <w:rPr>
          <w:rFonts w:cstheme="minorHAnsi"/>
          <w:sz w:val="24"/>
          <w:szCs w:val="24"/>
        </w:rPr>
        <w:t>:6143–6151.</w:t>
      </w:r>
    </w:p>
    <w:p w14:paraId="7175F4B9" w14:textId="77777777" w:rsidR="006435DB" w:rsidRPr="006435DB" w:rsidRDefault="006435DB" w:rsidP="00ED2AAE">
      <w:pPr>
        <w:pStyle w:val="Heading1"/>
      </w:pPr>
      <w:r w:rsidRPr="006435DB">
        <w:t>Acknowledgements</w:t>
      </w:r>
    </w:p>
    <w:p w14:paraId="553A55EA" w14:textId="77777777" w:rsidR="006435DB" w:rsidRPr="006435DB" w:rsidRDefault="006435DB" w:rsidP="006435DB">
      <w:pPr>
        <w:rPr>
          <w:rFonts w:cstheme="minorHAnsi"/>
          <w:sz w:val="24"/>
          <w:szCs w:val="24"/>
        </w:rPr>
      </w:pPr>
      <w:r w:rsidRPr="006435DB">
        <w:rPr>
          <w:rFonts w:cstheme="minorHAnsi"/>
          <w:sz w:val="24"/>
          <w:szCs w:val="24"/>
        </w:rPr>
        <w:t xml:space="preserve">We thank Carl Allen, DDS, and John Kalmar, DMD, PhD, Section of Oral and Maxillofacial Surgery &amp; Pathology, College of Dentistry, The Ohio State University, and </w:t>
      </w:r>
      <w:proofErr w:type="spellStart"/>
      <w:r w:rsidRPr="006435DB">
        <w:rPr>
          <w:rFonts w:cstheme="minorHAnsi"/>
          <w:sz w:val="24"/>
          <w:szCs w:val="24"/>
        </w:rPr>
        <w:t>Bayardo</w:t>
      </w:r>
      <w:proofErr w:type="spellEnd"/>
      <w:r w:rsidRPr="006435DB">
        <w:rPr>
          <w:rFonts w:cstheme="minorHAnsi"/>
          <w:sz w:val="24"/>
          <w:szCs w:val="24"/>
        </w:rPr>
        <w:t xml:space="preserve"> Perez-Ordonez, MD, Section of Head &amp; Neck Pathology, Toronto General Hospital, Toronto, Canada for their support and for their expert opinion on some of the cases. We thank Susie Jones for her help with immunohistochemistry.</w:t>
      </w:r>
    </w:p>
    <w:p w14:paraId="37D8A8FA" w14:textId="77777777" w:rsidR="002A0CCE" w:rsidRDefault="002A0CCE" w:rsidP="002A0CCE">
      <w:pPr>
        <w:rPr>
          <w:rFonts w:cstheme="minorHAnsi"/>
          <w:b/>
          <w:bCs/>
          <w:sz w:val="24"/>
          <w:szCs w:val="24"/>
        </w:rPr>
      </w:pPr>
    </w:p>
    <w:sectPr w:rsidR="002A0CC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118"/>
    <w:multiLevelType w:val="multilevel"/>
    <w:tmpl w:val="B3CE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6B123C"/>
    <w:multiLevelType w:val="multilevel"/>
    <w:tmpl w:val="6BE83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7D644A"/>
    <w:multiLevelType w:val="multilevel"/>
    <w:tmpl w:val="8FA40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6F12C0"/>
    <w:multiLevelType w:val="multilevel"/>
    <w:tmpl w:val="F44A5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FC61A5"/>
    <w:multiLevelType w:val="multilevel"/>
    <w:tmpl w:val="87F8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DE498C"/>
    <w:multiLevelType w:val="multilevel"/>
    <w:tmpl w:val="8D86F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ED6E2C"/>
    <w:multiLevelType w:val="multilevel"/>
    <w:tmpl w:val="C016B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C313E"/>
    <w:multiLevelType w:val="multilevel"/>
    <w:tmpl w:val="A9BAF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8E0FFE"/>
    <w:multiLevelType w:val="multilevel"/>
    <w:tmpl w:val="88BA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A66BA5"/>
    <w:multiLevelType w:val="multilevel"/>
    <w:tmpl w:val="B3160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56212"/>
    <w:multiLevelType w:val="multilevel"/>
    <w:tmpl w:val="4224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0A4FC2"/>
    <w:multiLevelType w:val="multilevel"/>
    <w:tmpl w:val="24F08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D42C88"/>
    <w:multiLevelType w:val="multilevel"/>
    <w:tmpl w:val="3E189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5156CB"/>
    <w:multiLevelType w:val="multilevel"/>
    <w:tmpl w:val="F9222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6F492B"/>
    <w:multiLevelType w:val="multilevel"/>
    <w:tmpl w:val="78FCE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3834C2"/>
    <w:multiLevelType w:val="multilevel"/>
    <w:tmpl w:val="6C206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3A0592"/>
    <w:multiLevelType w:val="multilevel"/>
    <w:tmpl w:val="D518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4252D4"/>
    <w:multiLevelType w:val="multilevel"/>
    <w:tmpl w:val="9B7A1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367845"/>
    <w:multiLevelType w:val="multilevel"/>
    <w:tmpl w:val="8F52D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D71487"/>
    <w:multiLevelType w:val="multilevel"/>
    <w:tmpl w:val="5590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472103"/>
    <w:multiLevelType w:val="multilevel"/>
    <w:tmpl w:val="3A68F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653CC9"/>
    <w:multiLevelType w:val="multilevel"/>
    <w:tmpl w:val="6D527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7A011B"/>
    <w:multiLevelType w:val="multilevel"/>
    <w:tmpl w:val="3E3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24706C"/>
    <w:multiLevelType w:val="multilevel"/>
    <w:tmpl w:val="4294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A91A97"/>
    <w:multiLevelType w:val="multilevel"/>
    <w:tmpl w:val="96E66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3C628F"/>
    <w:multiLevelType w:val="multilevel"/>
    <w:tmpl w:val="BFBC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F840D8B"/>
    <w:multiLevelType w:val="multilevel"/>
    <w:tmpl w:val="65A85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3640D4"/>
    <w:multiLevelType w:val="multilevel"/>
    <w:tmpl w:val="A1BAD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446637">
    <w:abstractNumId w:val="19"/>
  </w:num>
  <w:num w:numId="2" w16cid:durableId="160394351">
    <w:abstractNumId w:val="3"/>
  </w:num>
  <w:num w:numId="3" w16cid:durableId="227612212">
    <w:abstractNumId w:val="4"/>
  </w:num>
  <w:num w:numId="4" w16cid:durableId="2014674526">
    <w:abstractNumId w:val="20"/>
  </w:num>
  <w:num w:numId="5" w16cid:durableId="1189415935">
    <w:abstractNumId w:val="22"/>
  </w:num>
  <w:num w:numId="6" w16cid:durableId="930431669">
    <w:abstractNumId w:val="18"/>
  </w:num>
  <w:num w:numId="7" w16cid:durableId="2117095127">
    <w:abstractNumId w:val="10"/>
  </w:num>
  <w:num w:numId="8" w16cid:durableId="1300452452">
    <w:abstractNumId w:val="13"/>
  </w:num>
  <w:num w:numId="9" w16cid:durableId="1623851589">
    <w:abstractNumId w:val="8"/>
  </w:num>
  <w:num w:numId="10" w16cid:durableId="30888115">
    <w:abstractNumId w:val="16"/>
  </w:num>
  <w:num w:numId="11" w16cid:durableId="1662125684">
    <w:abstractNumId w:val="15"/>
  </w:num>
  <w:num w:numId="12" w16cid:durableId="2003502271">
    <w:abstractNumId w:val="23"/>
  </w:num>
  <w:num w:numId="13" w16cid:durableId="1340767863">
    <w:abstractNumId w:val="24"/>
  </w:num>
  <w:num w:numId="14" w16cid:durableId="523132718">
    <w:abstractNumId w:val="6"/>
  </w:num>
  <w:num w:numId="15" w16cid:durableId="542710592">
    <w:abstractNumId w:val="0"/>
  </w:num>
  <w:num w:numId="16" w16cid:durableId="436757200">
    <w:abstractNumId w:val="9"/>
  </w:num>
  <w:num w:numId="17" w16cid:durableId="1870407325">
    <w:abstractNumId w:val="17"/>
  </w:num>
  <w:num w:numId="18" w16cid:durableId="967856236">
    <w:abstractNumId w:val="7"/>
  </w:num>
  <w:num w:numId="19" w16cid:durableId="2011248559">
    <w:abstractNumId w:val="25"/>
  </w:num>
  <w:num w:numId="20" w16cid:durableId="620496583">
    <w:abstractNumId w:val="2"/>
  </w:num>
  <w:num w:numId="21" w16cid:durableId="1561017917">
    <w:abstractNumId w:val="14"/>
  </w:num>
  <w:num w:numId="22" w16cid:durableId="642542725">
    <w:abstractNumId w:val="21"/>
  </w:num>
  <w:num w:numId="23" w16cid:durableId="1863322964">
    <w:abstractNumId w:val="5"/>
  </w:num>
  <w:num w:numId="24" w16cid:durableId="230699125">
    <w:abstractNumId w:val="27"/>
  </w:num>
  <w:num w:numId="25" w16cid:durableId="1535196029">
    <w:abstractNumId w:val="1"/>
  </w:num>
  <w:num w:numId="26" w16cid:durableId="1884975693">
    <w:abstractNumId w:val="11"/>
  </w:num>
  <w:num w:numId="27" w16cid:durableId="876235112">
    <w:abstractNumId w:val="12"/>
  </w:num>
  <w:num w:numId="28" w16cid:durableId="1337421500">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cumentProtection w:edit="readOnly" w:formatting="1" w:enforcement="1" w:cryptProviderType="rsaAES" w:cryptAlgorithmClass="hash" w:cryptAlgorithmType="typeAny" w:cryptAlgorithmSid="14" w:cryptSpinCount="100000" w:hash="G6N/yhnBo6U4FDNeWfLxqBadEZN2IIWxf27tMS805aEGo6pl95WCzDX1inEVhrOTFYGQqI4wXjKzfd6TfRcauA==" w:salt="PRGjBlW12J+txxJpp+Z7F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890"/>
    <w:rsid w:val="00014F38"/>
    <w:rsid w:val="00020194"/>
    <w:rsid w:val="000233C1"/>
    <w:rsid w:val="00024048"/>
    <w:rsid w:val="00024FA1"/>
    <w:rsid w:val="00026BC7"/>
    <w:rsid w:val="0003036D"/>
    <w:rsid w:val="00034205"/>
    <w:rsid w:val="00035704"/>
    <w:rsid w:val="0003728E"/>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86E"/>
    <w:rsid w:val="00101A98"/>
    <w:rsid w:val="00104CE6"/>
    <w:rsid w:val="00107EA8"/>
    <w:rsid w:val="001136C3"/>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2EB9"/>
    <w:rsid w:val="001F70BC"/>
    <w:rsid w:val="001F7FBE"/>
    <w:rsid w:val="002016B1"/>
    <w:rsid w:val="00201875"/>
    <w:rsid w:val="00201AFD"/>
    <w:rsid w:val="00201FDC"/>
    <w:rsid w:val="002022D8"/>
    <w:rsid w:val="002025F4"/>
    <w:rsid w:val="00206486"/>
    <w:rsid w:val="00206CC8"/>
    <w:rsid w:val="00211422"/>
    <w:rsid w:val="00212109"/>
    <w:rsid w:val="0021761E"/>
    <w:rsid w:val="00224240"/>
    <w:rsid w:val="00226FA2"/>
    <w:rsid w:val="002316E5"/>
    <w:rsid w:val="00233BB2"/>
    <w:rsid w:val="00240F70"/>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1ED8"/>
    <w:rsid w:val="002B45EC"/>
    <w:rsid w:val="002B62C6"/>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1F53"/>
    <w:rsid w:val="0030223E"/>
    <w:rsid w:val="00303A1E"/>
    <w:rsid w:val="00303BBD"/>
    <w:rsid w:val="00304C44"/>
    <w:rsid w:val="00313440"/>
    <w:rsid w:val="00314FCD"/>
    <w:rsid w:val="0032274D"/>
    <w:rsid w:val="00323F17"/>
    <w:rsid w:val="00324290"/>
    <w:rsid w:val="00331737"/>
    <w:rsid w:val="0033243D"/>
    <w:rsid w:val="003332F4"/>
    <w:rsid w:val="00334E2D"/>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D6145"/>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74EF"/>
    <w:rsid w:val="00440BC4"/>
    <w:rsid w:val="00440F61"/>
    <w:rsid w:val="004441CB"/>
    <w:rsid w:val="00450DB8"/>
    <w:rsid w:val="00453D2C"/>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E34F8"/>
    <w:rsid w:val="004E3C84"/>
    <w:rsid w:val="004E528B"/>
    <w:rsid w:val="004E6917"/>
    <w:rsid w:val="004F146C"/>
    <w:rsid w:val="004F1F3C"/>
    <w:rsid w:val="004F3CEF"/>
    <w:rsid w:val="004F52AA"/>
    <w:rsid w:val="004F657B"/>
    <w:rsid w:val="004F73E6"/>
    <w:rsid w:val="0050408D"/>
    <w:rsid w:val="00504BD9"/>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0572"/>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10E"/>
    <w:rsid w:val="00620EA0"/>
    <w:rsid w:val="00623E47"/>
    <w:rsid w:val="00624A64"/>
    <w:rsid w:val="00624CC9"/>
    <w:rsid w:val="00624CD2"/>
    <w:rsid w:val="0062795C"/>
    <w:rsid w:val="00631A06"/>
    <w:rsid w:val="00633D28"/>
    <w:rsid w:val="00633E00"/>
    <w:rsid w:val="00633F1B"/>
    <w:rsid w:val="00634D07"/>
    <w:rsid w:val="00635799"/>
    <w:rsid w:val="00636A32"/>
    <w:rsid w:val="00636A77"/>
    <w:rsid w:val="0064051B"/>
    <w:rsid w:val="00640565"/>
    <w:rsid w:val="006435D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1B8D"/>
    <w:rsid w:val="006C7ED1"/>
    <w:rsid w:val="006D0B6D"/>
    <w:rsid w:val="006D53A1"/>
    <w:rsid w:val="006D62BE"/>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4D35"/>
    <w:rsid w:val="00756C59"/>
    <w:rsid w:val="00757D89"/>
    <w:rsid w:val="0076194B"/>
    <w:rsid w:val="00763676"/>
    <w:rsid w:val="00763830"/>
    <w:rsid w:val="00772776"/>
    <w:rsid w:val="00776737"/>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0D31"/>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2686"/>
    <w:rsid w:val="008C3543"/>
    <w:rsid w:val="008C5B8E"/>
    <w:rsid w:val="008D0F0D"/>
    <w:rsid w:val="008D0FF2"/>
    <w:rsid w:val="008D14D6"/>
    <w:rsid w:val="008D1D7F"/>
    <w:rsid w:val="008D3526"/>
    <w:rsid w:val="008F0401"/>
    <w:rsid w:val="008F04C1"/>
    <w:rsid w:val="008F2457"/>
    <w:rsid w:val="008F252A"/>
    <w:rsid w:val="008F2737"/>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350A"/>
    <w:rsid w:val="00A2308C"/>
    <w:rsid w:val="00A231A4"/>
    <w:rsid w:val="00A24317"/>
    <w:rsid w:val="00A310DA"/>
    <w:rsid w:val="00A32FCB"/>
    <w:rsid w:val="00A3561C"/>
    <w:rsid w:val="00A371F0"/>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DE8"/>
    <w:rsid w:val="00AA493D"/>
    <w:rsid w:val="00AA5ED9"/>
    <w:rsid w:val="00AB17D9"/>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057E"/>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6746"/>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57FF"/>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2D92"/>
    <w:rsid w:val="00EB3F18"/>
    <w:rsid w:val="00EB7F70"/>
    <w:rsid w:val="00EC49E8"/>
    <w:rsid w:val="00EC4C2A"/>
    <w:rsid w:val="00EC6764"/>
    <w:rsid w:val="00EC726F"/>
    <w:rsid w:val="00EC7743"/>
    <w:rsid w:val="00EC7B8C"/>
    <w:rsid w:val="00ED2540"/>
    <w:rsid w:val="00ED2AAE"/>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82B"/>
    <w:rsid w:val="00F10B7C"/>
    <w:rsid w:val="00F1126D"/>
    <w:rsid w:val="00F12233"/>
    <w:rsid w:val="00F12CE1"/>
    <w:rsid w:val="00F14096"/>
    <w:rsid w:val="00F14820"/>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57E"/>
  </w:style>
  <w:style w:type="paragraph" w:styleId="Heading1">
    <w:name w:val="heading 1"/>
    <w:basedOn w:val="Normal"/>
    <w:next w:val="Normal"/>
    <w:link w:val="Heading1Char"/>
    <w:uiPriority w:val="9"/>
    <w:qFormat/>
    <w:rsid w:val="00CB057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B057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B057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B057E"/>
    <w:pPr>
      <w:keepNext/>
      <w:keepLines/>
      <w:spacing w:before="40" w:after="0"/>
      <w:outlineLvl w:val="3"/>
    </w:pPr>
    <w:rPr>
      <w:i/>
      <w:iCs/>
    </w:rPr>
  </w:style>
  <w:style w:type="paragraph" w:styleId="Heading5">
    <w:name w:val="heading 5"/>
    <w:basedOn w:val="Normal"/>
    <w:next w:val="Normal"/>
    <w:link w:val="Heading5Char"/>
    <w:uiPriority w:val="9"/>
    <w:unhideWhenUsed/>
    <w:qFormat/>
    <w:rsid w:val="00CB057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CB057E"/>
    <w:pPr>
      <w:keepNext/>
      <w:keepLines/>
      <w:spacing w:before="40" w:after="0"/>
      <w:outlineLvl w:val="5"/>
    </w:pPr>
  </w:style>
  <w:style w:type="paragraph" w:styleId="Heading7">
    <w:name w:val="heading 7"/>
    <w:basedOn w:val="Normal"/>
    <w:next w:val="Normal"/>
    <w:link w:val="Heading7Char"/>
    <w:uiPriority w:val="9"/>
    <w:semiHidden/>
    <w:unhideWhenUsed/>
    <w:qFormat/>
    <w:rsid w:val="00CB057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B057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B057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57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B057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B057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B057E"/>
    <w:rPr>
      <w:i/>
      <w:iCs/>
    </w:rPr>
  </w:style>
  <w:style w:type="character" w:customStyle="1" w:styleId="Heading5Char">
    <w:name w:val="Heading 5 Char"/>
    <w:basedOn w:val="DefaultParagraphFont"/>
    <w:link w:val="Heading5"/>
    <w:uiPriority w:val="9"/>
    <w:rsid w:val="00CB057E"/>
    <w:rPr>
      <w:color w:val="404040" w:themeColor="text1" w:themeTint="BF"/>
    </w:rPr>
  </w:style>
  <w:style w:type="character" w:customStyle="1" w:styleId="Heading6Char">
    <w:name w:val="Heading 6 Char"/>
    <w:basedOn w:val="DefaultParagraphFont"/>
    <w:link w:val="Heading6"/>
    <w:uiPriority w:val="9"/>
    <w:rsid w:val="00CB057E"/>
  </w:style>
  <w:style w:type="character" w:customStyle="1" w:styleId="Heading7Char">
    <w:name w:val="Heading 7 Char"/>
    <w:basedOn w:val="DefaultParagraphFont"/>
    <w:link w:val="Heading7"/>
    <w:uiPriority w:val="9"/>
    <w:semiHidden/>
    <w:rsid w:val="00CB057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B057E"/>
    <w:rPr>
      <w:color w:val="262626" w:themeColor="text1" w:themeTint="D9"/>
      <w:sz w:val="21"/>
      <w:szCs w:val="21"/>
    </w:rPr>
  </w:style>
  <w:style w:type="character" w:customStyle="1" w:styleId="Heading9Char">
    <w:name w:val="Heading 9 Char"/>
    <w:basedOn w:val="DefaultParagraphFont"/>
    <w:link w:val="Heading9"/>
    <w:uiPriority w:val="9"/>
    <w:semiHidden/>
    <w:rsid w:val="00CB057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B057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B057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B057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B057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B057E"/>
    <w:rPr>
      <w:color w:val="5A5A5A" w:themeColor="text1" w:themeTint="A5"/>
      <w:spacing w:val="15"/>
    </w:rPr>
  </w:style>
  <w:style w:type="character" w:styleId="Strong">
    <w:name w:val="Strong"/>
    <w:basedOn w:val="DefaultParagraphFont"/>
    <w:uiPriority w:val="22"/>
    <w:qFormat/>
    <w:rsid w:val="00CB057E"/>
    <w:rPr>
      <w:b/>
      <w:bCs/>
      <w:color w:val="auto"/>
    </w:rPr>
  </w:style>
  <w:style w:type="character" w:styleId="Emphasis">
    <w:name w:val="Emphasis"/>
    <w:basedOn w:val="DefaultParagraphFont"/>
    <w:uiPriority w:val="20"/>
    <w:qFormat/>
    <w:rsid w:val="00CB057E"/>
    <w:rPr>
      <w:i/>
      <w:iCs/>
      <w:color w:val="auto"/>
    </w:rPr>
  </w:style>
  <w:style w:type="paragraph" w:styleId="NoSpacing">
    <w:name w:val="No Spacing"/>
    <w:uiPriority w:val="1"/>
    <w:qFormat/>
    <w:rsid w:val="00CB057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B057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B057E"/>
    <w:rPr>
      <w:i/>
      <w:iCs/>
      <w:color w:val="404040" w:themeColor="text1" w:themeTint="BF"/>
    </w:rPr>
  </w:style>
  <w:style w:type="paragraph" w:styleId="IntenseQuote">
    <w:name w:val="Intense Quote"/>
    <w:basedOn w:val="Normal"/>
    <w:next w:val="Normal"/>
    <w:link w:val="IntenseQuoteChar"/>
    <w:uiPriority w:val="30"/>
    <w:qFormat/>
    <w:rsid w:val="00CB057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B057E"/>
    <w:rPr>
      <w:i/>
      <w:iCs/>
      <w:color w:val="404040" w:themeColor="text1" w:themeTint="BF"/>
    </w:rPr>
  </w:style>
  <w:style w:type="character" w:styleId="SubtleEmphasis">
    <w:name w:val="Subtle Emphasis"/>
    <w:basedOn w:val="DefaultParagraphFont"/>
    <w:uiPriority w:val="19"/>
    <w:qFormat/>
    <w:rsid w:val="00CB057E"/>
    <w:rPr>
      <w:i/>
      <w:iCs/>
      <w:color w:val="404040" w:themeColor="text1" w:themeTint="BF"/>
    </w:rPr>
  </w:style>
  <w:style w:type="character" w:styleId="IntenseEmphasis">
    <w:name w:val="Intense Emphasis"/>
    <w:basedOn w:val="DefaultParagraphFont"/>
    <w:uiPriority w:val="21"/>
    <w:qFormat/>
    <w:rsid w:val="00CB057E"/>
    <w:rPr>
      <w:b/>
      <w:bCs/>
      <w:i/>
      <w:iCs/>
      <w:color w:val="auto"/>
    </w:rPr>
  </w:style>
  <w:style w:type="character" w:styleId="SubtleReference">
    <w:name w:val="Subtle Reference"/>
    <w:basedOn w:val="DefaultParagraphFont"/>
    <w:uiPriority w:val="31"/>
    <w:qFormat/>
    <w:rsid w:val="00CB057E"/>
    <w:rPr>
      <w:smallCaps/>
      <w:color w:val="404040" w:themeColor="text1" w:themeTint="BF"/>
    </w:rPr>
  </w:style>
  <w:style w:type="character" w:styleId="IntenseReference">
    <w:name w:val="Intense Reference"/>
    <w:basedOn w:val="DefaultParagraphFont"/>
    <w:uiPriority w:val="32"/>
    <w:qFormat/>
    <w:rsid w:val="00CB057E"/>
    <w:rPr>
      <w:b/>
      <w:bCs/>
      <w:smallCaps/>
      <w:color w:val="404040" w:themeColor="text1" w:themeTint="BF"/>
      <w:spacing w:val="5"/>
    </w:rPr>
  </w:style>
  <w:style w:type="character" w:styleId="BookTitle">
    <w:name w:val="Book Title"/>
    <w:basedOn w:val="DefaultParagraphFont"/>
    <w:uiPriority w:val="33"/>
    <w:qFormat/>
    <w:rsid w:val="00CB057E"/>
    <w:rPr>
      <w:b/>
      <w:bCs/>
      <w:i/>
      <w:iCs/>
      <w:spacing w:val="5"/>
    </w:rPr>
  </w:style>
  <w:style w:type="paragraph" w:styleId="TOCHeading">
    <w:name w:val="TOC Heading"/>
    <w:basedOn w:val="Heading1"/>
    <w:next w:val="Normal"/>
    <w:uiPriority w:val="39"/>
    <w:semiHidden/>
    <w:unhideWhenUsed/>
    <w:qFormat/>
    <w:rsid w:val="00CB057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15471901">
      <w:bodyDiv w:val="1"/>
      <w:marLeft w:val="0"/>
      <w:marRight w:val="0"/>
      <w:marTop w:val="0"/>
      <w:marBottom w:val="0"/>
      <w:divBdr>
        <w:top w:val="none" w:sz="0" w:space="0" w:color="auto"/>
        <w:left w:val="none" w:sz="0" w:space="0" w:color="auto"/>
        <w:bottom w:val="none" w:sz="0" w:space="0" w:color="auto"/>
        <w:right w:val="none" w:sz="0" w:space="0" w:color="auto"/>
      </w:divBdr>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0863550">
      <w:bodyDiv w:val="1"/>
      <w:marLeft w:val="0"/>
      <w:marRight w:val="0"/>
      <w:marTop w:val="0"/>
      <w:marBottom w:val="0"/>
      <w:divBdr>
        <w:top w:val="none" w:sz="0" w:space="0" w:color="auto"/>
        <w:left w:val="none" w:sz="0" w:space="0" w:color="auto"/>
        <w:bottom w:val="none" w:sz="0" w:space="0" w:color="auto"/>
        <w:right w:val="none" w:sz="0" w:space="0" w:color="auto"/>
      </w:divBdr>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2391590">
      <w:bodyDiv w:val="1"/>
      <w:marLeft w:val="0"/>
      <w:marRight w:val="0"/>
      <w:marTop w:val="0"/>
      <w:marBottom w:val="0"/>
      <w:divBdr>
        <w:top w:val="none" w:sz="0" w:space="0" w:color="auto"/>
        <w:left w:val="none" w:sz="0" w:space="0" w:color="auto"/>
        <w:bottom w:val="none" w:sz="0" w:space="0" w:color="auto"/>
        <w:right w:val="none" w:sz="0" w:space="0" w:color="auto"/>
      </w:divBdr>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88974">
      <w:bodyDiv w:val="1"/>
      <w:marLeft w:val="0"/>
      <w:marRight w:val="0"/>
      <w:marTop w:val="0"/>
      <w:marBottom w:val="0"/>
      <w:divBdr>
        <w:top w:val="none" w:sz="0" w:space="0" w:color="auto"/>
        <w:left w:val="none" w:sz="0" w:space="0" w:color="auto"/>
        <w:bottom w:val="none" w:sz="0" w:space="0" w:color="auto"/>
        <w:right w:val="none" w:sz="0" w:space="0" w:color="auto"/>
      </w:divBdr>
      <w:divsChild>
        <w:div w:id="1908682823">
          <w:marLeft w:val="0"/>
          <w:marRight w:val="0"/>
          <w:marTop w:val="0"/>
          <w:marBottom w:val="0"/>
          <w:divBdr>
            <w:top w:val="single" w:sz="6" w:space="0" w:color="D5D5D5"/>
            <w:left w:val="single" w:sz="6" w:space="0" w:color="D5D5D5"/>
            <w:bottom w:val="single" w:sz="6" w:space="0" w:color="D5D5D5"/>
            <w:right w:val="single" w:sz="6" w:space="0" w:color="D5D5D5"/>
          </w:divBdr>
          <w:divsChild>
            <w:div w:id="345326960">
              <w:marLeft w:val="0"/>
              <w:marRight w:val="0"/>
              <w:marTop w:val="0"/>
              <w:marBottom w:val="0"/>
              <w:divBdr>
                <w:top w:val="none" w:sz="0" w:space="0" w:color="auto"/>
                <w:left w:val="none" w:sz="0" w:space="0" w:color="auto"/>
                <w:bottom w:val="none" w:sz="0" w:space="0" w:color="auto"/>
                <w:right w:val="none" w:sz="0" w:space="0" w:color="auto"/>
              </w:divBdr>
            </w:div>
          </w:divsChild>
        </w:div>
        <w:div w:id="2085757251">
          <w:marLeft w:val="0"/>
          <w:marRight w:val="0"/>
          <w:marTop w:val="0"/>
          <w:marBottom w:val="0"/>
          <w:divBdr>
            <w:top w:val="none" w:sz="0" w:space="0" w:color="auto"/>
            <w:left w:val="none" w:sz="0" w:space="0" w:color="auto"/>
            <w:bottom w:val="none" w:sz="0" w:space="0" w:color="auto"/>
            <w:right w:val="none" w:sz="0" w:space="0" w:color="auto"/>
          </w:divBdr>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20299827">
      <w:bodyDiv w:val="1"/>
      <w:marLeft w:val="0"/>
      <w:marRight w:val="0"/>
      <w:marTop w:val="0"/>
      <w:marBottom w:val="0"/>
      <w:divBdr>
        <w:top w:val="none" w:sz="0" w:space="0" w:color="auto"/>
        <w:left w:val="none" w:sz="0" w:space="0" w:color="auto"/>
        <w:bottom w:val="none" w:sz="0" w:space="0" w:color="auto"/>
        <w:right w:val="none" w:sz="0" w:space="0" w:color="auto"/>
      </w:divBdr>
      <w:divsChild>
        <w:div w:id="638415636">
          <w:marLeft w:val="0"/>
          <w:marRight w:val="0"/>
          <w:marTop w:val="0"/>
          <w:marBottom w:val="0"/>
          <w:divBdr>
            <w:top w:val="single" w:sz="6" w:space="0" w:color="D5D5D5"/>
            <w:left w:val="single" w:sz="6" w:space="0" w:color="D5D5D5"/>
            <w:bottom w:val="single" w:sz="6" w:space="0" w:color="D5D5D5"/>
            <w:right w:val="single" w:sz="6" w:space="0" w:color="D5D5D5"/>
          </w:divBdr>
          <w:divsChild>
            <w:div w:id="1511874528">
              <w:marLeft w:val="0"/>
              <w:marRight w:val="0"/>
              <w:marTop w:val="0"/>
              <w:marBottom w:val="0"/>
              <w:divBdr>
                <w:top w:val="none" w:sz="0" w:space="0" w:color="auto"/>
                <w:left w:val="none" w:sz="0" w:space="0" w:color="auto"/>
                <w:bottom w:val="none" w:sz="0" w:space="0" w:color="auto"/>
                <w:right w:val="none" w:sz="0" w:space="0" w:color="auto"/>
              </w:divBdr>
            </w:div>
          </w:divsChild>
        </w:div>
        <w:div w:id="1047101189">
          <w:marLeft w:val="0"/>
          <w:marRight w:val="0"/>
          <w:marTop w:val="0"/>
          <w:marBottom w:val="0"/>
          <w:divBdr>
            <w:top w:val="none" w:sz="0" w:space="0" w:color="auto"/>
            <w:left w:val="none" w:sz="0" w:space="0" w:color="auto"/>
            <w:bottom w:val="none" w:sz="0" w:space="0" w:color="auto"/>
            <w:right w:val="none" w:sz="0" w:space="0" w:color="auto"/>
          </w:divBdr>
        </w:div>
      </w:divsChild>
    </w:div>
    <w:div w:id="465926832">
      <w:bodyDiv w:val="1"/>
      <w:marLeft w:val="0"/>
      <w:marRight w:val="0"/>
      <w:marTop w:val="0"/>
      <w:marBottom w:val="0"/>
      <w:divBdr>
        <w:top w:val="none" w:sz="0" w:space="0" w:color="auto"/>
        <w:left w:val="none" w:sz="0" w:space="0" w:color="auto"/>
        <w:bottom w:val="none" w:sz="0" w:space="0" w:color="auto"/>
        <w:right w:val="none" w:sz="0" w:space="0" w:color="auto"/>
      </w:divBdr>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47768010">
      <w:bodyDiv w:val="1"/>
      <w:marLeft w:val="0"/>
      <w:marRight w:val="0"/>
      <w:marTop w:val="0"/>
      <w:marBottom w:val="0"/>
      <w:divBdr>
        <w:top w:val="none" w:sz="0" w:space="0" w:color="auto"/>
        <w:left w:val="none" w:sz="0" w:space="0" w:color="auto"/>
        <w:bottom w:val="none" w:sz="0" w:space="0" w:color="auto"/>
        <w:right w:val="none" w:sz="0" w:space="0" w:color="auto"/>
      </w:divBdr>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60611778">
      <w:bodyDiv w:val="1"/>
      <w:marLeft w:val="0"/>
      <w:marRight w:val="0"/>
      <w:marTop w:val="0"/>
      <w:marBottom w:val="0"/>
      <w:divBdr>
        <w:top w:val="none" w:sz="0" w:space="0" w:color="auto"/>
        <w:left w:val="none" w:sz="0" w:space="0" w:color="auto"/>
        <w:bottom w:val="none" w:sz="0" w:space="0" w:color="auto"/>
        <w:right w:val="none" w:sz="0" w:space="0" w:color="auto"/>
      </w:divBdr>
      <w:divsChild>
        <w:div w:id="431585085">
          <w:marLeft w:val="0"/>
          <w:marRight w:val="0"/>
          <w:marTop w:val="0"/>
          <w:marBottom w:val="0"/>
          <w:divBdr>
            <w:top w:val="single" w:sz="6" w:space="0" w:color="D5D5D5"/>
            <w:left w:val="single" w:sz="6" w:space="0" w:color="D5D5D5"/>
            <w:bottom w:val="single" w:sz="6" w:space="0" w:color="D5D5D5"/>
            <w:right w:val="single" w:sz="6" w:space="0" w:color="D5D5D5"/>
          </w:divBdr>
          <w:divsChild>
            <w:div w:id="1656715613">
              <w:marLeft w:val="0"/>
              <w:marRight w:val="0"/>
              <w:marTop w:val="0"/>
              <w:marBottom w:val="0"/>
              <w:divBdr>
                <w:top w:val="none" w:sz="0" w:space="0" w:color="auto"/>
                <w:left w:val="none" w:sz="0" w:space="0" w:color="auto"/>
                <w:bottom w:val="none" w:sz="0" w:space="0" w:color="auto"/>
                <w:right w:val="none" w:sz="0" w:space="0" w:color="auto"/>
              </w:divBdr>
            </w:div>
          </w:divsChild>
        </w:div>
        <w:div w:id="59848675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230681">
      <w:bodyDiv w:val="1"/>
      <w:marLeft w:val="0"/>
      <w:marRight w:val="0"/>
      <w:marTop w:val="0"/>
      <w:marBottom w:val="0"/>
      <w:divBdr>
        <w:top w:val="none" w:sz="0" w:space="0" w:color="auto"/>
        <w:left w:val="none" w:sz="0" w:space="0" w:color="auto"/>
        <w:bottom w:val="none" w:sz="0" w:space="0" w:color="auto"/>
        <w:right w:val="none" w:sz="0" w:space="0" w:color="auto"/>
      </w:divBdr>
      <w:divsChild>
        <w:div w:id="138309217">
          <w:marLeft w:val="0"/>
          <w:marRight w:val="0"/>
          <w:marTop w:val="0"/>
          <w:marBottom w:val="0"/>
          <w:divBdr>
            <w:top w:val="single" w:sz="6" w:space="0" w:color="D5D5D5"/>
            <w:left w:val="single" w:sz="6" w:space="0" w:color="D5D5D5"/>
            <w:bottom w:val="single" w:sz="6" w:space="0" w:color="D5D5D5"/>
            <w:right w:val="single" w:sz="6" w:space="0" w:color="D5D5D5"/>
          </w:divBdr>
          <w:divsChild>
            <w:div w:id="2074234292">
              <w:marLeft w:val="0"/>
              <w:marRight w:val="0"/>
              <w:marTop w:val="0"/>
              <w:marBottom w:val="0"/>
              <w:divBdr>
                <w:top w:val="none" w:sz="0" w:space="0" w:color="auto"/>
                <w:left w:val="none" w:sz="0" w:space="0" w:color="auto"/>
                <w:bottom w:val="none" w:sz="0" w:space="0" w:color="auto"/>
                <w:right w:val="none" w:sz="0" w:space="0" w:color="auto"/>
              </w:divBdr>
            </w:div>
          </w:divsChild>
        </w:div>
        <w:div w:id="1786539184">
          <w:marLeft w:val="0"/>
          <w:marRight w:val="0"/>
          <w:marTop w:val="0"/>
          <w:marBottom w:val="0"/>
          <w:divBdr>
            <w:top w:val="none" w:sz="0" w:space="0" w:color="auto"/>
            <w:left w:val="none" w:sz="0" w:space="0" w:color="auto"/>
            <w:bottom w:val="none" w:sz="0" w:space="0" w:color="auto"/>
            <w:right w:val="none" w:sz="0" w:space="0" w:color="auto"/>
          </w:divBdr>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14066569">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753459">
      <w:bodyDiv w:val="1"/>
      <w:marLeft w:val="0"/>
      <w:marRight w:val="0"/>
      <w:marTop w:val="0"/>
      <w:marBottom w:val="0"/>
      <w:divBdr>
        <w:top w:val="none" w:sz="0" w:space="0" w:color="auto"/>
        <w:left w:val="none" w:sz="0" w:space="0" w:color="auto"/>
        <w:bottom w:val="none" w:sz="0" w:space="0" w:color="auto"/>
        <w:right w:val="none" w:sz="0" w:space="0" w:color="auto"/>
      </w:divBdr>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18957850">
      <w:bodyDiv w:val="1"/>
      <w:marLeft w:val="0"/>
      <w:marRight w:val="0"/>
      <w:marTop w:val="0"/>
      <w:marBottom w:val="0"/>
      <w:divBdr>
        <w:top w:val="none" w:sz="0" w:space="0" w:color="auto"/>
        <w:left w:val="none" w:sz="0" w:space="0" w:color="auto"/>
        <w:bottom w:val="none" w:sz="0" w:space="0" w:color="auto"/>
        <w:right w:val="none" w:sz="0" w:space="0" w:color="auto"/>
      </w:divBdr>
      <w:divsChild>
        <w:div w:id="401102049">
          <w:marLeft w:val="0"/>
          <w:marRight w:val="0"/>
          <w:marTop w:val="0"/>
          <w:marBottom w:val="0"/>
          <w:divBdr>
            <w:top w:val="none" w:sz="0" w:space="0" w:color="auto"/>
            <w:left w:val="none" w:sz="0" w:space="0" w:color="auto"/>
            <w:bottom w:val="none" w:sz="0" w:space="0" w:color="auto"/>
            <w:right w:val="none" w:sz="0" w:space="0" w:color="auto"/>
          </w:divBdr>
          <w:divsChild>
            <w:div w:id="351034315">
              <w:marLeft w:val="0"/>
              <w:marRight w:val="0"/>
              <w:marTop w:val="0"/>
              <w:marBottom w:val="0"/>
              <w:divBdr>
                <w:top w:val="none" w:sz="0" w:space="0" w:color="auto"/>
                <w:left w:val="none" w:sz="0" w:space="0" w:color="auto"/>
                <w:bottom w:val="none" w:sz="0" w:space="0" w:color="auto"/>
                <w:right w:val="none" w:sz="0" w:space="0" w:color="auto"/>
              </w:divBdr>
            </w:div>
          </w:divsChild>
        </w:div>
        <w:div w:id="2114202789">
          <w:marLeft w:val="0"/>
          <w:marRight w:val="0"/>
          <w:marTop w:val="0"/>
          <w:marBottom w:val="0"/>
          <w:divBdr>
            <w:top w:val="none" w:sz="0" w:space="0" w:color="auto"/>
            <w:left w:val="none" w:sz="0" w:space="0" w:color="auto"/>
            <w:bottom w:val="none" w:sz="0" w:space="0" w:color="auto"/>
            <w:right w:val="none" w:sz="0" w:space="0" w:color="auto"/>
          </w:divBdr>
          <w:divsChild>
            <w:div w:id="1862088151">
              <w:marLeft w:val="0"/>
              <w:marRight w:val="0"/>
              <w:marTop w:val="0"/>
              <w:marBottom w:val="0"/>
              <w:divBdr>
                <w:top w:val="none" w:sz="0" w:space="0" w:color="auto"/>
                <w:left w:val="none" w:sz="0" w:space="0" w:color="auto"/>
                <w:bottom w:val="none" w:sz="0" w:space="0" w:color="auto"/>
                <w:right w:val="none" w:sz="0" w:space="0" w:color="auto"/>
              </w:divBdr>
            </w:div>
          </w:divsChild>
        </w:div>
        <w:div w:id="2055690010">
          <w:marLeft w:val="0"/>
          <w:marRight w:val="0"/>
          <w:marTop w:val="0"/>
          <w:marBottom w:val="0"/>
          <w:divBdr>
            <w:top w:val="none" w:sz="0" w:space="0" w:color="auto"/>
            <w:left w:val="none" w:sz="0" w:space="0" w:color="auto"/>
            <w:bottom w:val="none" w:sz="0" w:space="0" w:color="auto"/>
            <w:right w:val="none" w:sz="0" w:space="0" w:color="auto"/>
          </w:divBdr>
          <w:divsChild>
            <w:div w:id="883711780">
              <w:marLeft w:val="0"/>
              <w:marRight w:val="0"/>
              <w:marTop w:val="0"/>
              <w:marBottom w:val="0"/>
              <w:divBdr>
                <w:top w:val="none" w:sz="0" w:space="0" w:color="auto"/>
                <w:left w:val="none" w:sz="0" w:space="0" w:color="auto"/>
                <w:bottom w:val="none" w:sz="0" w:space="0" w:color="auto"/>
                <w:right w:val="none" w:sz="0" w:space="0" w:color="auto"/>
              </w:divBdr>
              <w:divsChild>
                <w:div w:id="1941180131">
                  <w:marLeft w:val="0"/>
                  <w:marRight w:val="0"/>
                  <w:marTop w:val="0"/>
                  <w:marBottom w:val="0"/>
                  <w:divBdr>
                    <w:top w:val="none" w:sz="0" w:space="0" w:color="auto"/>
                    <w:left w:val="none" w:sz="0" w:space="0" w:color="auto"/>
                    <w:bottom w:val="none" w:sz="0" w:space="0" w:color="auto"/>
                    <w:right w:val="none" w:sz="0" w:space="0" w:color="auto"/>
                  </w:divBdr>
                  <w:divsChild>
                    <w:div w:id="122907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500">
          <w:marLeft w:val="0"/>
          <w:marRight w:val="0"/>
          <w:marTop w:val="0"/>
          <w:marBottom w:val="0"/>
          <w:divBdr>
            <w:top w:val="none" w:sz="0" w:space="0" w:color="auto"/>
            <w:left w:val="none" w:sz="0" w:space="0" w:color="auto"/>
            <w:bottom w:val="none" w:sz="0" w:space="0" w:color="auto"/>
            <w:right w:val="none" w:sz="0" w:space="0" w:color="auto"/>
          </w:divBdr>
          <w:divsChild>
            <w:div w:id="2086370583">
              <w:marLeft w:val="0"/>
              <w:marRight w:val="0"/>
              <w:marTop w:val="0"/>
              <w:marBottom w:val="0"/>
              <w:divBdr>
                <w:top w:val="none" w:sz="0" w:space="0" w:color="auto"/>
                <w:left w:val="none" w:sz="0" w:space="0" w:color="auto"/>
                <w:bottom w:val="none" w:sz="0" w:space="0" w:color="auto"/>
                <w:right w:val="none" w:sz="0" w:space="0" w:color="auto"/>
              </w:divBdr>
              <w:divsChild>
                <w:div w:id="177502899">
                  <w:marLeft w:val="0"/>
                  <w:marRight w:val="0"/>
                  <w:marTop w:val="0"/>
                  <w:marBottom w:val="0"/>
                  <w:divBdr>
                    <w:top w:val="none" w:sz="0" w:space="0" w:color="auto"/>
                    <w:left w:val="none" w:sz="0" w:space="0" w:color="auto"/>
                    <w:bottom w:val="none" w:sz="0" w:space="0" w:color="auto"/>
                    <w:right w:val="none" w:sz="0" w:space="0" w:color="auto"/>
                  </w:divBdr>
                  <w:divsChild>
                    <w:div w:id="712004430">
                      <w:marLeft w:val="0"/>
                      <w:marRight w:val="0"/>
                      <w:marTop w:val="0"/>
                      <w:marBottom w:val="0"/>
                      <w:divBdr>
                        <w:top w:val="none" w:sz="0" w:space="0" w:color="auto"/>
                        <w:left w:val="none" w:sz="0" w:space="0" w:color="auto"/>
                        <w:bottom w:val="none" w:sz="0" w:space="0" w:color="auto"/>
                        <w:right w:val="none" w:sz="0" w:space="0" w:color="auto"/>
                      </w:divBdr>
                    </w:div>
                  </w:divsChild>
                </w:div>
                <w:div w:id="227110449">
                  <w:marLeft w:val="0"/>
                  <w:marRight w:val="0"/>
                  <w:marTop w:val="0"/>
                  <w:marBottom w:val="0"/>
                  <w:divBdr>
                    <w:top w:val="none" w:sz="0" w:space="0" w:color="auto"/>
                    <w:left w:val="none" w:sz="0" w:space="0" w:color="auto"/>
                    <w:bottom w:val="none" w:sz="0" w:space="0" w:color="auto"/>
                    <w:right w:val="none" w:sz="0" w:space="0" w:color="auto"/>
                  </w:divBdr>
                  <w:divsChild>
                    <w:div w:id="1827162578">
                      <w:marLeft w:val="0"/>
                      <w:marRight w:val="0"/>
                      <w:marTop w:val="0"/>
                      <w:marBottom w:val="0"/>
                      <w:divBdr>
                        <w:top w:val="none" w:sz="0" w:space="0" w:color="auto"/>
                        <w:left w:val="none" w:sz="0" w:space="0" w:color="auto"/>
                        <w:bottom w:val="none" w:sz="0" w:space="0" w:color="auto"/>
                        <w:right w:val="none" w:sz="0" w:space="0" w:color="auto"/>
                      </w:divBdr>
                      <w:divsChild>
                        <w:div w:id="1434935879">
                          <w:marLeft w:val="0"/>
                          <w:marRight w:val="0"/>
                          <w:marTop w:val="0"/>
                          <w:marBottom w:val="0"/>
                          <w:divBdr>
                            <w:top w:val="none" w:sz="0" w:space="0" w:color="auto"/>
                            <w:left w:val="none" w:sz="0" w:space="0" w:color="auto"/>
                            <w:bottom w:val="none" w:sz="0" w:space="0" w:color="auto"/>
                            <w:right w:val="none" w:sz="0" w:space="0" w:color="auto"/>
                          </w:divBdr>
                        </w:div>
                        <w:div w:id="1960259517">
                          <w:marLeft w:val="0"/>
                          <w:marRight w:val="0"/>
                          <w:marTop w:val="0"/>
                          <w:marBottom w:val="0"/>
                          <w:divBdr>
                            <w:top w:val="none" w:sz="0" w:space="0" w:color="auto"/>
                            <w:left w:val="none" w:sz="0" w:space="0" w:color="auto"/>
                            <w:bottom w:val="none" w:sz="0" w:space="0" w:color="auto"/>
                            <w:right w:val="none" w:sz="0" w:space="0" w:color="auto"/>
                          </w:divBdr>
                        </w:div>
                      </w:divsChild>
                    </w:div>
                    <w:div w:id="773592072">
                      <w:marLeft w:val="0"/>
                      <w:marRight w:val="0"/>
                      <w:marTop w:val="0"/>
                      <w:marBottom w:val="0"/>
                      <w:divBdr>
                        <w:top w:val="none" w:sz="0" w:space="0" w:color="auto"/>
                        <w:left w:val="none" w:sz="0" w:space="0" w:color="auto"/>
                        <w:bottom w:val="none" w:sz="0" w:space="0" w:color="auto"/>
                        <w:right w:val="none" w:sz="0" w:space="0" w:color="auto"/>
                      </w:divBdr>
                    </w:div>
                  </w:divsChild>
                </w:div>
                <w:div w:id="2023431556">
                  <w:marLeft w:val="0"/>
                  <w:marRight w:val="0"/>
                  <w:marTop w:val="0"/>
                  <w:marBottom w:val="0"/>
                  <w:divBdr>
                    <w:top w:val="none" w:sz="0" w:space="0" w:color="auto"/>
                    <w:left w:val="none" w:sz="0" w:space="0" w:color="auto"/>
                    <w:bottom w:val="none" w:sz="0" w:space="0" w:color="auto"/>
                    <w:right w:val="none" w:sz="0" w:space="0" w:color="auto"/>
                  </w:divBdr>
                  <w:divsChild>
                    <w:div w:id="1992706957">
                      <w:marLeft w:val="0"/>
                      <w:marRight w:val="0"/>
                      <w:marTop w:val="0"/>
                      <w:marBottom w:val="0"/>
                      <w:divBdr>
                        <w:top w:val="none" w:sz="0" w:space="0" w:color="auto"/>
                        <w:left w:val="none" w:sz="0" w:space="0" w:color="auto"/>
                        <w:bottom w:val="none" w:sz="0" w:space="0" w:color="auto"/>
                        <w:right w:val="none" w:sz="0" w:space="0" w:color="auto"/>
                      </w:divBdr>
                    </w:div>
                  </w:divsChild>
                </w:div>
                <w:div w:id="1678539287">
                  <w:marLeft w:val="0"/>
                  <w:marRight w:val="0"/>
                  <w:marTop w:val="0"/>
                  <w:marBottom w:val="0"/>
                  <w:divBdr>
                    <w:top w:val="none" w:sz="0" w:space="0" w:color="auto"/>
                    <w:left w:val="none" w:sz="0" w:space="0" w:color="auto"/>
                    <w:bottom w:val="none" w:sz="0" w:space="0" w:color="auto"/>
                    <w:right w:val="none" w:sz="0" w:space="0" w:color="auto"/>
                  </w:divBdr>
                  <w:divsChild>
                    <w:div w:id="1607426553">
                      <w:marLeft w:val="0"/>
                      <w:marRight w:val="0"/>
                      <w:marTop w:val="0"/>
                      <w:marBottom w:val="0"/>
                      <w:divBdr>
                        <w:top w:val="none" w:sz="0" w:space="0" w:color="auto"/>
                        <w:left w:val="none" w:sz="0" w:space="0" w:color="auto"/>
                        <w:bottom w:val="none" w:sz="0" w:space="0" w:color="auto"/>
                        <w:right w:val="none" w:sz="0" w:space="0" w:color="auto"/>
                      </w:divBdr>
                      <w:divsChild>
                        <w:div w:id="1683968605">
                          <w:marLeft w:val="0"/>
                          <w:marRight w:val="0"/>
                          <w:marTop w:val="0"/>
                          <w:marBottom w:val="0"/>
                          <w:divBdr>
                            <w:top w:val="none" w:sz="0" w:space="0" w:color="auto"/>
                            <w:left w:val="none" w:sz="0" w:space="0" w:color="auto"/>
                            <w:bottom w:val="none" w:sz="0" w:space="0" w:color="auto"/>
                            <w:right w:val="none" w:sz="0" w:space="0" w:color="auto"/>
                          </w:divBdr>
                        </w:div>
                        <w:div w:id="1720589300">
                          <w:marLeft w:val="0"/>
                          <w:marRight w:val="0"/>
                          <w:marTop w:val="0"/>
                          <w:marBottom w:val="0"/>
                          <w:divBdr>
                            <w:top w:val="none" w:sz="0" w:space="0" w:color="auto"/>
                            <w:left w:val="none" w:sz="0" w:space="0" w:color="auto"/>
                            <w:bottom w:val="none" w:sz="0" w:space="0" w:color="auto"/>
                            <w:right w:val="none" w:sz="0" w:space="0" w:color="auto"/>
                          </w:divBdr>
                        </w:div>
                      </w:divsChild>
                    </w:div>
                    <w:div w:id="1059674394">
                      <w:marLeft w:val="0"/>
                      <w:marRight w:val="0"/>
                      <w:marTop w:val="0"/>
                      <w:marBottom w:val="0"/>
                      <w:divBdr>
                        <w:top w:val="none" w:sz="0" w:space="0" w:color="auto"/>
                        <w:left w:val="none" w:sz="0" w:space="0" w:color="auto"/>
                        <w:bottom w:val="none" w:sz="0" w:space="0" w:color="auto"/>
                        <w:right w:val="none" w:sz="0" w:space="0" w:color="auto"/>
                      </w:divBdr>
                    </w:div>
                  </w:divsChild>
                </w:div>
                <w:div w:id="1881896477">
                  <w:marLeft w:val="0"/>
                  <w:marRight w:val="0"/>
                  <w:marTop w:val="0"/>
                  <w:marBottom w:val="0"/>
                  <w:divBdr>
                    <w:top w:val="none" w:sz="0" w:space="0" w:color="auto"/>
                    <w:left w:val="none" w:sz="0" w:space="0" w:color="auto"/>
                    <w:bottom w:val="none" w:sz="0" w:space="0" w:color="auto"/>
                    <w:right w:val="none" w:sz="0" w:space="0" w:color="auto"/>
                  </w:divBdr>
                  <w:divsChild>
                    <w:div w:id="637303311">
                      <w:marLeft w:val="0"/>
                      <w:marRight w:val="0"/>
                      <w:marTop w:val="0"/>
                      <w:marBottom w:val="0"/>
                      <w:divBdr>
                        <w:top w:val="none" w:sz="0" w:space="0" w:color="auto"/>
                        <w:left w:val="none" w:sz="0" w:space="0" w:color="auto"/>
                        <w:bottom w:val="none" w:sz="0" w:space="0" w:color="auto"/>
                        <w:right w:val="none" w:sz="0" w:space="0" w:color="auto"/>
                      </w:divBdr>
                      <w:divsChild>
                        <w:div w:id="1896813202">
                          <w:marLeft w:val="0"/>
                          <w:marRight w:val="0"/>
                          <w:marTop w:val="0"/>
                          <w:marBottom w:val="0"/>
                          <w:divBdr>
                            <w:top w:val="none" w:sz="0" w:space="0" w:color="auto"/>
                            <w:left w:val="none" w:sz="0" w:space="0" w:color="auto"/>
                            <w:bottom w:val="none" w:sz="0" w:space="0" w:color="auto"/>
                            <w:right w:val="none" w:sz="0" w:space="0" w:color="auto"/>
                          </w:divBdr>
                        </w:div>
                        <w:div w:id="2025981026">
                          <w:marLeft w:val="0"/>
                          <w:marRight w:val="0"/>
                          <w:marTop w:val="0"/>
                          <w:marBottom w:val="0"/>
                          <w:divBdr>
                            <w:top w:val="none" w:sz="0" w:space="0" w:color="auto"/>
                            <w:left w:val="none" w:sz="0" w:space="0" w:color="auto"/>
                            <w:bottom w:val="none" w:sz="0" w:space="0" w:color="auto"/>
                            <w:right w:val="none" w:sz="0" w:space="0" w:color="auto"/>
                          </w:divBdr>
                        </w:div>
                      </w:divsChild>
                    </w:div>
                    <w:div w:id="1301879733">
                      <w:marLeft w:val="0"/>
                      <w:marRight w:val="0"/>
                      <w:marTop w:val="0"/>
                      <w:marBottom w:val="0"/>
                      <w:divBdr>
                        <w:top w:val="none" w:sz="0" w:space="0" w:color="auto"/>
                        <w:left w:val="none" w:sz="0" w:space="0" w:color="auto"/>
                        <w:bottom w:val="none" w:sz="0" w:space="0" w:color="auto"/>
                        <w:right w:val="none" w:sz="0" w:space="0" w:color="auto"/>
                      </w:divBdr>
                    </w:div>
                  </w:divsChild>
                </w:div>
                <w:div w:id="13846221">
                  <w:marLeft w:val="0"/>
                  <w:marRight w:val="0"/>
                  <w:marTop w:val="0"/>
                  <w:marBottom w:val="0"/>
                  <w:divBdr>
                    <w:top w:val="none" w:sz="0" w:space="0" w:color="auto"/>
                    <w:left w:val="none" w:sz="0" w:space="0" w:color="auto"/>
                    <w:bottom w:val="none" w:sz="0" w:space="0" w:color="auto"/>
                    <w:right w:val="none" w:sz="0" w:space="0" w:color="auto"/>
                  </w:divBdr>
                  <w:divsChild>
                    <w:div w:id="560210186">
                      <w:marLeft w:val="0"/>
                      <w:marRight w:val="0"/>
                      <w:marTop w:val="0"/>
                      <w:marBottom w:val="0"/>
                      <w:divBdr>
                        <w:top w:val="none" w:sz="0" w:space="0" w:color="auto"/>
                        <w:left w:val="none" w:sz="0" w:space="0" w:color="auto"/>
                        <w:bottom w:val="none" w:sz="0" w:space="0" w:color="auto"/>
                        <w:right w:val="none" w:sz="0" w:space="0" w:color="auto"/>
                      </w:divBdr>
                      <w:divsChild>
                        <w:div w:id="1440027639">
                          <w:marLeft w:val="0"/>
                          <w:marRight w:val="0"/>
                          <w:marTop w:val="0"/>
                          <w:marBottom w:val="0"/>
                          <w:divBdr>
                            <w:top w:val="none" w:sz="0" w:space="0" w:color="auto"/>
                            <w:left w:val="none" w:sz="0" w:space="0" w:color="auto"/>
                            <w:bottom w:val="none" w:sz="0" w:space="0" w:color="auto"/>
                            <w:right w:val="none" w:sz="0" w:space="0" w:color="auto"/>
                          </w:divBdr>
                        </w:div>
                        <w:div w:id="1892182398">
                          <w:marLeft w:val="0"/>
                          <w:marRight w:val="0"/>
                          <w:marTop w:val="0"/>
                          <w:marBottom w:val="0"/>
                          <w:divBdr>
                            <w:top w:val="none" w:sz="0" w:space="0" w:color="auto"/>
                            <w:left w:val="none" w:sz="0" w:space="0" w:color="auto"/>
                            <w:bottom w:val="none" w:sz="0" w:space="0" w:color="auto"/>
                            <w:right w:val="none" w:sz="0" w:space="0" w:color="auto"/>
                          </w:divBdr>
                        </w:div>
                      </w:divsChild>
                    </w:div>
                    <w:div w:id="2144998348">
                      <w:marLeft w:val="0"/>
                      <w:marRight w:val="0"/>
                      <w:marTop w:val="0"/>
                      <w:marBottom w:val="0"/>
                      <w:divBdr>
                        <w:top w:val="none" w:sz="0" w:space="0" w:color="auto"/>
                        <w:left w:val="none" w:sz="0" w:space="0" w:color="auto"/>
                        <w:bottom w:val="none" w:sz="0" w:space="0" w:color="auto"/>
                        <w:right w:val="none" w:sz="0" w:space="0" w:color="auto"/>
                      </w:divBdr>
                    </w:div>
                  </w:divsChild>
                </w:div>
                <w:div w:id="2126195219">
                  <w:marLeft w:val="0"/>
                  <w:marRight w:val="0"/>
                  <w:marTop w:val="0"/>
                  <w:marBottom w:val="0"/>
                  <w:divBdr>
                    <w:top w:val="none" w:sz="0" w:space="0" w:color="auto"/>
                    <w:left w:val="none" w:sz="0" w:space="0" w:color="auto"/>
                    <w:bottom w:val="none" w:sz="0" w:space="0" w:color="auto"/>
                    <w:right w:val="none" w:sz="0" w:space="0" w:color="auto"/>
                  </w:divBdr>
                  <w:divsChild>
                    <w:div w:id="323633096">
                      <w:marLeft w:val="0"/>
                      <w:marRight w:val="0"/>
                      <w:marTop w:val="0"/>
                      <w:marBottom w:val="0"/>
                      <w:divBdr>
                        <w:top w:val="none" w:sz="0" w:space="0" w:color="auto"/>
                        <w:left w:val="none" w:sz="0" w:space="0" w:color="auto"/>
                        <w:bottom w:val="none" w:sz="0" w:space="0" w:color="auto"/>
                        <w:right w:val="none" w:sz="0" w:space="0" w:color="auto"/>
                      </w:divBdr>
                      <w:divsChild>
                        <w:div w:id="906526426">
                          <w:marLeft w:val="0"/>
                          <w:marRight w:val="0"/>
                          <w:marTop w:val="0"/>
                          <w:marBottom w:val="0"/>
                          <w:divBdr>
                            <w:top w:val="none" w:sz="0" w:space="0" w:color="auto"/>
                            <w:left w:val="none" w:sz="0" w:space="0" w:color="auto"/>
                            <w:bottom w:val="none" w:sz="0" w:space="0" w:color="auto"/>
                            <w:right w:val="none" w:sz="0" w:space="0" w:color="auto"/>
                          </w:divBdr>
                        </w:div>
                        <w:div w:id="485897857">
                          <w:marLeft w:val="0"/>
                          <w:marRight w:val="0"/>
                          <w:marTop w:val="0"/>
                          <w:marBottom w:val="0"/>
                          <w:divBdr>
                            <w:top w:val="none" w:sz="0" w:space="0" w:color="auto"/>
                            <w:left w:val="none" w:sz="0" w:space="0" w:color="auto"/>
                            <w:bottom w:val="none" w:sz="0" w:space="0" w:color="auto"/>
                            <w:right w:val="none" w:sz="0" w:space="0" w:color="auto"/>
                          </w:divBdr>
                        </w:div>
                      </w:divsChild>
                    </w:div>
                    <w:div w:id="1682970849">
                      <w:marLeft w:val="0"/>
                      <w:marRight w:val="0"/>
                      <w:marTop w:val="0"/>
                      <w:marBottom w:val="0"/>
                      <w:divBdr>
                        <w:top w:val="none" w:sz="0" w:space="0" w:color="auto"/>
                        <w:left w:val="none" w:sz="0" w:space="0" w:color="auto"/>
                        <w:bottom w:val="none" w:sz="0" w:space="0" w:color="auto"/>
                        <w:right w:val="none" w:sz="0" w:space="0" w:color="auto"/>
                      </w:divBdr>
                    </w:div>
                  </w:divsChild>
                </w:div>
                <w:div w:id="1655186659">
                  <w:marLeft w:val="0"/>
                  <w:marRight w:val="0"/>
                  <w:marTop w:val="0"/>
                  <w:marBottom w:val="0"/>
                  <w:divBdr>
                    <w:top w:val="none" w:sz="0" w:space="0" w:color="auto"/>
                    <w:left w:val="none" w:sz="0" w:space="0" w:color="auto"/>
                    <w:bottom w:val="none" w:sz="0" w:space="0" w:color="auto"/>
                    <w:right w:val="none" w:sz="0" w:space="0" w:color="auto"/>
                  </w:divBdr>
                  <w:divsChild>
                    <w:div w:id="819542776">
                      <w:marLeft w:val="0"/>
                      <w:marRight w:val="0"/>
                      <w:marTop w:val="0"/>
                      <w:marBottom w:val="0"/>
                      <w:divBdr>
                        <w:top w:val="none" w:sz="0" w:space="0" w:color="auto"/>
                        <w:left w:val="none" w:sz="0" w:space="0" w:color="auto"/>
                        <w:bottom w:val="none" w:sz="0" w:space="0" w:color="auto"/>
                        <w:right w:val="none" w:sz="0" w:space="0" w:color="auto"/>
                      </w:divBdr>
                    </w:div>
                  </w:divsChild>
                </w:div>
                <w:div w:id="179710278">
                  <w:marLeft w:val="0"/>
                  <w:marRight w:val="0"/>
                  <w:marTop w:val="0"/>
                  <w:marBottom w:val="0"/>
                  <w:divBdr>
                    <w:top w:val="none" w:sz="0" w:space="0" w:color="auto"/>
                    <w:left w:val="none" w:sz="0" w:space="0" w:color="auto"/>
                    <w:bottom w:val="none" w:sz="0" w:space="0" w:color="auto"/>
                    <w:right w:val="none" w:sz="0" w:space="0" w:color="auto"/>
                  </w:divBdr>
                  <w:divsChild>
                    <w:div w:id="1550805729">
                      <w:marLeft w:val="0"/>
                      <w:marRight w:val="0"/>
                      <w:marTop w:val="0"/>
                      <w:marBottom w:val="0"/>
                      <w:divBdr>
                        <w:top w:val="none" w:sz="0" w:space="0" w:color="auto"/>
                        <w:left w:val="none" w:sz="0" w:space="0" w:color="auto"/>
                        <w:bottom w:val="none" w:sz="0" w:space="0" w:color="auto"/>
                        <w:right w:val="none" w:sz="0" w:space="0" w:color="auto"/>
                      </w:divBdr>
                      <w:divsChild>
                        <w:div w:id="606306132">
                          <w:marLeft w:val="0"/>
                          <w:marRight w:val="0"/>
                          <w:marTop w:val="0"/>
                          <w:marBottom w:val="0"/>
                          <w:divBdr>
                            <w:top w:val="none" w:sz="0" w:space="0" w:color="auto"/>
                            <w:left w:val="none" w:sz="0" w:space="0" w:color="auto"/>
                            <w:bottom w:val="none" w:sz="0" w:space="0" w:color="auto"/>
                            <w:right w:val="none" w:sz="0" w:space="0" w:color="auto"/>
                          </w:divBdr>
                        </w:div>
                        <w:div w:id="1622296827">
                          <w:marLeft w:val="0"/>
                          <w:marRight w:val="0"/>
                          <w:marTop w:val="0"/>
                          <w:marBottom w:val="0"/>
                          <w:divBdr>
                            <w:top w:val="none" w:sz="0" w:space="0" w:color="auto"/>
                            <w:left w:val="none" w:sz="0" w:space="0" w:color="auto"/>
                            <w:bottom w:val="none" w:sz="0" w:space="0" w:color="auto"/>
                            <w:right w:val="none" w:sz="0" w:space="0" w:color="auto"/>
                          </w:divBdr>
                        </w:div>
                      </w:divsChild>
                    </w:div>
                    <w:div w:id="15410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160326">
          <w:marLeft w:val="0"/>
          <w:marRight w:val="0"/>
          <w:marTop w:val="0"/>
          <w:marBottom w:val="0"/>
          <w:divBdr>
            <w:top w:val="none" w:sz="0" w:space="0" w:color="auto"/>
            <w:left w:val="none" w:sz="0" w:space="0" w:color="auto"/>
            <w:bottom w:val="none" w:sz="0" w:space="0" w:color="auto"/>
            <w:right w:val="none" w:sz="0" w:space="0" w:color="auto"/>
          </w:divBdr>
          <w:divsChild>
            <w:div w:id="17202829">
              <w:marLeft w:val="0"/>
              <w:marRight w:val="0"/>
              <w:marTop w:val="0"/>
              <w:marBottom w:val="0"/>
              <w:divBdr>
                <w:top w:val="none" w:sz="0" w:space="0" w:color="auto"/>
                <w:left w:val="none" w:sz="0" w:space="0" w:color="auto"/>
                <w:bottom w:val="none" w:sz="0" w:space="0" w:color="auto"/>
                <w:right w:val="none" w:sz="0" w:space="0" w:color="auto"/>
              </w:divBdr>
            </w:div>
          </w:divsChild>
        </w:div>
        <w:div w:id="1859388871">
          <w:marLeft w:val="0"/>
          <w:marRight w:val="0"/>
          <w:marTop w:val="0"/>
          <w:marBottom w:val="0"/>
          <w:divBdr>
            <w:top w:val="none" w:sz="0" w:space="0" w:color="auto"/>
            <w:left w:val="none" w:sz="0" w:space="0" w:color="auto"/>
            <w:bottom w:val="none" w:sz="0" w:space="0" w:color="auto"/>
            <w:right w:val="none" w:sz="0" w:space="0" w:color="auto"/>
          </w:divBdr>
          <w:divsChild>
            <w:div w:id="2017684470">
              <w:marLeft w:val="0"/>
              <w:marRight w:val="0"/>
              <w:marTop w:val="0"/>
              <w:marBottom w:val="0"/>
              <w:divBdr>
                <w:top w:val="none" w:sz="0" w:space="0" w:color="auto"/>
                <w:left w:val="none" w:sz="0" w:space="0" w:color="auto"/>
                <w:bottom w:val="none" w:sz="0" w:space="0" w:color="auto"/>
                <w:right w:val="none" w:sz="0" w:space="0" w:color="auto"/>
              </w:divBdr>
              <w:divsChild>
                <w:div w:id="358425">
                  <w:marLeft w:val="0"/>
                  <w:marRight w:val="0"/>
                  <w:marTop w:val="0"/>
                  <w:marBottom w:val="0"/>
                  <w:divBdr>
                    <w:top w:val="none" w:sz="0" w:space="0" w:color="auto"/>
                    <w:left w:val="none" w:sz="0" w:space="0" w:color="auto"/>
                    <w:bottom w:val="none" w:sz="0" w:space="0" w:color="auto"/>
                    <w:right w:val="none" w:sz="0" w:space="0" w:color="auto"/>
                  </w:divBdr>
                  <w:divsChild>
                    <w:div w:id="5914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192944">
          <w:marLeft w:val="0"/>
          <w:marRight w:val="0"/>
          <w:marTop w:val="0"/>
          <w:marBottom w:val="0"/>
          <w:divBdr>
            <w:top w:val="none" w:sz="0" w:space="0" w:color="auto"/>
            <w:left w:val="none" w:sz="0" w:space="0" w:color="auto"/>
            <w:bottom w:val="none" w:sz="0" w:space="0" w:color="auto"/>
            <w:right w:val="none" w:sz="0" w:space="0" w:color="auto"/>
          </w:divBdr>
          <w:divsChild>
            <w:div w:id="451752874">
              <w:marLeft w:val="0"/>
              <w:marRight w:val="0"/>
              <w:marTop w:val="0"/>
              <w:marBottom w:val="0"/>
              <w:divBdr>
                <w:top w:val="none" w:sz="0" w:space="0" w:color="auto"/>
                <w:left w:val="none" w:sz="0" w:space="0" w:color="auto"/>
                <w:bottom w:val="none" w:sz="0" w:space="0" w:color="auto"/>
                <w:right w:val="none" w:sz="0" w:space="0" w:color="auto"/>
              </w:divBdr>
            </w:div>
          </w:divsChild>
        </w:div>
        <w:div w:id="1091193657">
          <w:marLeft w:val="0"/>
          <w:marRight w:val="0"/>
          <w:marTop w:val="0"/>
          <w:marBottom w:val="0"/>
          <w:divBdr>
            <w:top w:val="none" w:sz="0" w:space="0" w:color="auto"/>
            <w:left w:val="none" w:sz="0" w:space="0" w:color="auto"/>
            <w:bottom w:val="none" w:sz="0" w:space="0" w:color="auto"/>
            <w:right w:val="none" w:sz="0" w:space="0" w:color="auto"/>
          </w:divBdr>
          <w:divsChild>
            <w:div w:id="9416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8/modpathol.3800983" TargetMode="External"/><Relationship Id="rId13" Type="http://schemas.openxmlformats.org/officeDocument/2006/relationships/image" Target="media/image2.jpeg"/><Relationship Id="rId18" Type="http://schemas.openxmlformats.org/officeDocument/2006/relationships/hyperlink" Target="https://www.nature.com/articles/3800983/figures/5"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www.nature.com/articles/3800983/figures/2"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nature.com/articles/3800983/figures/4" TargetMode="External"/><Relationship Id="rId20" Type="http://schemas.openxmlformats.org/officeDocument/2006/relationships/hyperlink" Target="https://www.nature.com/articles/3800983/figures/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s://www.nature.com/articles/3800983/figures/1"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ature.com/articles/3800983/figures/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5992</Words>
  <Characters>34161</Characters>
  <Application>Microsoft Office Word</Application>
  <DocSecurity>8</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2022-07-19T16:34:00Z</dcterms:created>
  <dcterms:modified xsi:type="dcterms:W3CDTF">2022-07-21T13:11:00Z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