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4FA38CA" w:rsidR="000A7622" w:rsidRPr="00C04F25" w:rsidRDefault="00BE1DF2" w:rsidP="00D14423">
      <w:pPr>
        <w:autoSpaceDE w:val="0"/>
        <w:autoSpaceDN w:val="0"/>
        <w:adjustRightInd w:val="0"/>
        <w:rPr>
          <w:rFonts w:cstheme="minorHAnsi"/>
          <w:b/>
          <w:bCs/>
          <w:i/>
          <w:iCs/>
          <w:sz w:val="32"/>
          <w:szCs w:val="32"/>
        </w:rPr>
      </w:pPr>
      <w:r>
        <w:rPr>
          <w:rFonts w:cstheme="minorHAnsi"/>
          <w:b/>
          <w:bCs/>
          <w:i/>
          <w:iCs/>
          <w:sz w:val="32"/>
          <w:szCs w:val="32"/>
        </w:rPr>
        <w:t xml:space="preserve">Electrical and Computer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1"/>
    <w:p w14:paraId="3E538636" w14:textId="77777777" w:rsidR="000A7622" w:rsidRPr="006F33A4" w:rsidRDefault="000A7622" w:rsidP="00D14423">
      <w:pPr>
        <w:jc w:val="center"/>
        <w:rPr>
          <w:rFonts w:cstheme="minorHAnsi"/>
          <w:b/>
          <w:bCs/>
          <w:i/>
          <w:iCs/>
        </w:rPr>
      </w:pPr>
    </w:p>
    <w:p w14:paraId="25509BF0" w14:textId="3FC0B04E"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 xml:space="preserve">The published version may be accessed by following the link in </w:t>
      </w:r>
      <w:proofErr w:type="spellStart"/>
      <w:r w:rsidRPr="00C04F25">
        <w:rPr>
          <w:rFonts w:cstheme="minorHAnsi"/>
          <w:sz w:val="24"/>
          <w:szCs w:val="24"/>
        </w:rPr>
        <w:t>th</w:t>
      </w:r>
      <w:proofErr w:type="spellEnd"/>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0AE6125A" w:rsidR="000A7622" w:rsidRDefault="00CF0E53" w:rsidP="00D14423">
      <w:pPr>
        <w:rPr>
          <w:rFonts w:cstheme="minorHAnsi"/>
          <w:sz w:val="24"/>
          <w:szCs w:val="24"/>
        </w:rPr>
      </w:pPr>
      <w:r w:rsidRPr="00CF0E53">
        <w:rPr>
          <w:rFonts w:cstheme="minorHAnsi"/>
          <w:i/>
          <w:sz w:val="24"/>
          <w:szCs w:val="24"/>
          <w:lang w:val="fr-FR"/>
        </w:rPr>
        <w:t>IEEE Communications Magazine</w:t>
      </w:r>
      <w:r w:rsidR="000A7622" w:rsidRPr="00C04F25">
        <w:rPr>
          <w:rFonts w:cstheme="minorHAnsi"/>
          <w:sz w:val="24"/>
          <w:szCs w:val="24"/>
          <w:lang w:val="fr-FR"/>
        </w:rPr>
        <w:t xml:space="preserve">, Vol. </w:t>
      </w:r>
      <w:r>
        <w:rPr>
          <w:rFonts w:cstheme="minorHAnsi"/>
          <w:sz w:val="24"/>
          <w:szCs w:val="24"/>
          <w:lang w:val="fr-FR"/>
        </w:rPr>
        <w:t>57</w:t>
      </w:r>
      <w:r w:rsidR="000A7622" w:rsidRPr="00C04F25">
        <w:rPr>
          <w:rFonts w:cstheme="minorHAnsi"/>
          <w:sz w:val="24"/>
          <w:szCs w:val="24"/>
          <w:lang w:val="fr-FR"/>
        </w:rPr>
        <w:t>, No.</w:t>
      </w:r>
      <w:r>
        <w:rPr>
          <w:rFonts w:cstheme="minorHAnsi"/>
          <w:sz w:val="24"/>
          <w:szCs w:val="24"/>
          <w:lang w:val="fr-FR"/>
        </w:rPr>
        <w:t xml:space="preserve"> 1</w:t>
      </w:r>
      <w:r w:rsidR="000A7622" w:rsidRPr="00C04F25">
        <w:rPr>
          <w:rFonts w:cstheme="minorHAnsi"/>
          <w:sz w:val="24"/>
          <w:szCs w:val="24"/>
          <w:lang w:val="fr-FR"/>
        </w:rPr>
        <w:t xml:space="preserve"> (</w:t>
      </w:r>
      <w:proofErr w:type="spellStart"/>
      <w:r w:rsidR="004F002F">
        <w:rPr>
          <w:rFonts w:cstheme="minorHAnsi"/>
          <w:sz w:val="24"/>
          <w:szCs w:val="24"/>
          <w:lang w:val="fr-FR"/>
        </w:rPr>
        <w:t>January</w:t>
      </w:r>
      <w:proofErr w:type="spellEnd"/>
      <w:r w:rsidR="004F002F">
        <w:rPr>
          <w:rFonts w:cstheme="minorHAnsi"/>
          <w:sz w:val="24"/>
          <w:szCs w:val="24"/>
          <w:lang w:val="fr-FR"/>
        </w:rPr>
        <w:t xml:space="preserve"> 2019</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4F002F">
        <w:rPr>
          <w:rFonts w:cstheme="minorHAnsi"/>
          <w:sz w:val="24"/>
          <w:szCs w:val="24"/>
          <w:lang w:val="fr-FR"/>
        </w:rPr>
        <w:t>88-97</w:t>
      </w:r>
      <w:r w:rsidR="000A7622" w:rsidRPr="00C04F25">
        <w:rPr>
          <w:rFonts w:cstheme="minorHAnsi"/>
          <w:sz w:val="24"/>
          <w:szCs w:val="24"/>
          <w:lang w:val="fr-FR"/>
        </w:rPr>
        <w:t xml:space="preserve">. </w:t>
      </w:r>
      <w:hyperlink r:id="rId7"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5251AD" w:rsidRPr="005251AD">
        <w:rPr>
          <w:rFonts w:cstheme="minorHAnsi"/>
          <w:sz w:val="24"/>
          <w:szCs w:val="24"/>
        </w:rPr>
        <w:t>Institute of Electrical and Electronic Engineers (IEEE)</w:t>
      </w:r>
      <w:r w:rsidR="000A7622" w:rsidRPr="00C04F25">
        <w:rPr>
          <w:rFonts w:cstheme="minorHAnsi"/>
          <w:sz w:val="24"/>
          <w:szCs w:val="24"/>
        </w:rPr>
        <w:t xml:space="preserve"> and permission has been granted for this version to appear in </w:t>
      </w:r>
      <w:hyperlink r:id="rId8"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5251AD" w:rsidRPr="005251AD">
        <w:rPr>
          <w:rFonts w:cstheme="minorHAnsi"/>
          <w:sz w:val="24"/>
          <w:szCs w:val="24"/>
        </w:rPr>
        <w:t>Institute of Electrical and Electronic Engineers (IEEE)</w:t>
      </w:r>
      <w:r w:rsidR="000A7622" w:rsidRPr="00C04F25">
        <w:rPr>
          <w:rFonts w:cstheme="minorHAnsi"/>
          <w:sz w:val="24"/>
          <w:szCs w:val="24"/>
        </w:rPr>
        <w:t xml:space="preserve"> does not grant permission for this article to be further copied/distributed or hosted elsewhere without the express permission from </w:t>
      </w:r>
      <w:r w:rsidR="005251AD" w:rsidRPr="005251AD">
        <w:rPr>
          <w:rFonts w:cstheme="minorHAnsi"/>
          <w:sz w:val="24"/>
          <w:szCs w:val="24"/>
        </w:rPr>
        <w:t>Institute of Electrical and Electronic Engineers (IEEE)</w:t>
      </w:r>
      <w:r w:rsidR="000A7622" w:rsidRPr="00C04F25">
        <w:rPr>
          <w:rFonts w:cstheme="minorHAnsi"/>
          <w:sz w:val="24"/>
          <w:szCs w:val="24"/>
        </w:rPr>
        <w:t xml:space="preserve">. </w:t>
      </w:r>
    </w:p>
    <w:p w14:paraId="47ACAAFB" w14:textId="6B80E91A" w:rsidR="00BE1DF2" w:rsidRDefault="00BE1DF2" w:rsidP="00D14423">
      <w:pPr>
        <w:rPr>
          <w:rFonts w:cstheme="minorHAnsi"/>
          <w:sz w:val="24"/>
          <w:szCs w:val="24"/>
        </w:rPr>
      </w:pPr>
    </w:p>
    <w:p w14:paraId="51DD9D7A" w14:textId="77777777" w:rsidR="00E42411" w:rsidRPr="00E42411" w:rsidRDefault="00E42411" w:rsidP="00E42411">
      <w:pPr>
        <w:pStyle w:val="Title"/>
      </w:pPr>
      <w:r w:rsidRPr="00E42411">
        <w:t>SDN Testbed for Evaluation of Large Exo-Atmospheric EMP Attacks</w:t>
      </w:r>
    </w:p>
    <w:p w14:paraId="4B7B7F2F" w14:textId="76713AE4" w:rsidR="00BE1DF2" w:rsidRDefault="00BE1DF2" w:rsidP="00D14423">
      <w:pPr>
        <w:rPr>
          <w:rFonts w:cstheme="minorHAnsi"/>
          <w:sz w:val="24"/>
          <w:szCs w:val="24"/>
        </w:rPr>
      </w:pPr>
    </w:p>
    <w:p w14:paraId="01AAB6ED" w14:textId="77777777" w:rsidR="00593003" w:rsidRPr="004B0ADE" w:rsidRDefault="00593003" w:rsidP="004B0ADE">
      <w:pPr>
        <w:pStyle w:val="NoSpacing"/>
        <w:rPr>
          <w:sz w:val="32"/>
          <w:szCs w:val="32"/>
        </w:rPr>
      </w:pPr>
      <w:proofErr w:type="spellStart"/>
      <w:r w:rsidRPr="004B0ADE">
        <w:rPr>
          <w:sz w:val="32"/>
          <w:szCs w:val="32"/>
        </w:rPr>
        <w:t>Diogo</w:t>
      </w:r>
      <w:proofErr w:type="spellEnd"/>
      <w:r w:rsidRPr="004B0ADE">
        <w:rPr>
          <w:sz w:val="32"/>
          <w:szCs w:val="32"/>
        </w:rPr>
        <w:t xml:space="preserve"> Oliveira</w:t>
      </w:r>
    </w:p>
    <w:p w14:paraId="0D385B1F" w14:textId="2CE62ACD" w:rsidR="00593003" w:rsidRPr="004B0ADE" w:rsidRDefault="00593003" w:rsidP="004B0ADE">
      <w:pPr>
        <w:pStyle w:val="NoSpacing"/>
        <w:rPr>
          <w:sz w:val="24"/>
          <w:szCs w:val="24"/>
        </w:rPr>
      </w:pPr>
      <w:r w:rsidRPr="004B0ADE">
        <w:rPr>
          <w:sz w:val="24"/>
          <w:szCs w:val="24"/>
        </w:rPr>
        <w:t>School of Information, Florida State University</w:t>
      </w:r>
    </w:p>
    <w:p w14:paraId="460C7082" w14:textId="77777777" w:rsidR="00593003" w:rsidRPr="004B0ADE" w:rsidRDefault="00593003" w:rsidP="004B0ADE">
      <w:pPr>
        <w:pStyle w:val="NoSpacing"/>
        <w:rPr>
          <w:sz w:val="32"/>
          <w:szCs w:val="32"/>
        </w:rPr>
      </w:pPr>
      <w:r w:rsidRPr="004B0ADE">
        <w:rPr>
          <w:sz w:val="32"/>
          <w:szCs w:val="32"/>
        </w:rPr>
        <w:t>Nasir Ghani</w:t>
      </w:r>
    </w:p>
    <w:p w14:paraId="6644F731" w14:textId="4EBB7F61" w:rsidR="00593003" w:rsidRPr="004B0ADE" w:rsidRDefault="00593003" w:rsidP="004B0ADE">
      <w:pPr>
        <w:pStyle w:val="NoSpacing"/>
        <w:rPr>
          <w:sz w:val="24"/>
          <w:szCs w:val="24"/>
        </w:rPr>
      </w:pPr>
      <w:r w:rsidRPr="004B0ADE">
        <w:rPr>
          <w:sz w:val="24"/>
          <w:szCs w:val="24"/>
        </w:rPr>
        <w:t>Department of Electrical Engineering</w:t>
      </w:r>
      <w:r w:rsidR="002C1852">
        <w:rPr>
          <w:sz w:val="24"/>
          <w:szCs w:val="24"/>
        </w:rPr>
        <w:t xml:space="preserve">, </w:t>
      </w:r>
      <w:r w:rsidRPr="004B0ADE">
        <w:rPr>
          <w:sz w:val="24"/>
          <w:szCs w:val="24"/>
        </w:rPr>
        <w:t xml:space="preserve">University of South Florida </w:t>
      </w:r>
    </w:p>
    <w:p w14:paraId="7ECC0AC2" w14:textId="77777777" w:rsidR="00593003" w:rsidRPr="004B0ADE" w:rsidRDefault="00593003" w:rsidP="004B0ADE">
      <w:pPr>
        <w:pStyle w:val="NoSpacing"/>
        <w:rPr>
          <w:sz w:val="32"/>
          <w:szCs w:val="32"/>
        </w:rPr>
      </w:pPr>
      <w:r w:rsidRPr="004B0ADE">
        <w:rPr>
          <w:sz w:val="32"/>
          <w:szCs w:val="32"/>
        </w:rPr>
        <w:t>Majeed Hayat</w:t>
      </w:r>
    </w:p>
    <w:p w14:paraId="74C5AD42" w14:textId="0A1285A2" w:rsidR="00593003" w:rsidRPr="004B0ADE" w:rsidRDefault="00593003" w:rsidP="004B0ADE">
      <w:pPr>
        <w:pStyle w:val="NoSpacing"/>
        <w:rPr>
          <w:sz w:val="24"/>
          <w:szCs w:val="24"/>
        </w:rPr>
      </w:pPr>
      <w:r w:rsidRPr="004B0ADE">
        <w:rPr>
          <w:sz w:val="24"/>
          <w:szCs w:val="24"/>
        </w:rPr>
        <w:t>Electrical and Computer Engineering Department</w:t>
      </w:r>
      <w:r w:rsidR="002C1852">
        <w:rPr>
          <w:sz w:val="24"/>
          <w:szCs w:val="24"/>
        </w:rPr>
        <w:t>,</w:t>
      </w:r>
      <w:r w:rsidRPr="004B0ADE">
        <w:rPr>
          <w:sz w:val="24"/>
          <w:szCs w:val="24"/>
        </w:rPr>
        <w:t xml:space="preserve"> Marquette University. </w:t>
      </w:r>
    </w:p>
    <w:p w14:paraId="5E94B5AF" w14:textId="77777777" w:rsidR="00593003" w:rsidRPr="004B0ADE" w:rsidRDefault="00593003" w:rsidP="004B0ADE">
      <w:pPr>
        <w:pStyle w:val="NoSpacing"/>
        <w:rPr>
          <w:sz w:val="32"/>
          <w:szCs w:val="32"/>
        </w:rPr>
      </w:pPr>
      <w:r w:rsidRPr="004B0ADE">
        <w:rPr>
          <w:sz w:val="32"/>
          <w:szCs w:val="32"/>
        </w:rPr>
        <w:t xml:space="preserve">Jorge </w:t>
      </w:r>
      <w:proofErr w:type="spellStart"/>
      <w:r w:rsidRPr="004B0ADE">
        <w:rPr>
          <w:sz w:val="32"/>
          <w:szCs w:val="32"/>
        </w:rPr>
        <w:t>Crichigno</w:t>
      </w:r>
      <w:proofErr w:type="spellEnd"/>
    </w:p>
    <w:p w14:paraId="0A0AEC65" w14:textId="039D3FB8" w:rsidR="00593003" w:rsidRPr="004B0ADE" w:rsidRDefault="00593003" w:rsidP="004B0ADE">
      <w:pPr>
        <w:pStyle w:val="NoSpacing"/>
        <w:rPr>
          <w:sz w:val="24"/>
          <w:szCs w:val="24"/>
        </w:rPr>
      </w:pPr>
      <w:r w:rsidRPr="004B0ADE">
        <w:rPr>
          <w:sz w:val="24"/>
          <w:szCs w:val="24"/>
        </w:rPr>
        <w:t xml:space="preserve">Department of Integrated Information Technology, College of Engineering and Computing, University of South Carolina </w:t>
      </w:r>
    </w:p>
    <w:p w14:paraId="601B8ECB" w14:textId="77777777" w:rsidR="00593003" w:rsidRPr="004B0ADE" w:rsidRDefault="00593003" w:rsidP="004B0ADE">
      <w:pPr>
        <w:pStyle w:val="NoSpacing"/>
        <w:rPr>
          <w:sz w:val="32"/>
          <w:szCs w:val="32"/>
        </w:rPr>
      </w:pPr>
      <w:r w:rsidRPr="004B0ADE">
        <w:rPr>
          <w:sz w:val="32"/>
          <w:szCs w:val="32"/>
        </w:rPr>
        <w:t xml:space="preserve">Elias </w:t>
      </w:r>
      <w:proofErr w:type="spellStart"/>
      <w:r w:rsidRPr="004B0ADE">
        <w:rPr>
          <w:sz w:val="32"/>
          <w:szCs w:val="32"/>
        </w:rPr>
        <w:t>Bou-Harb</w:t>
      </w:r>
      <w:proofErr w:type="spellEnd"/>
    </w:p>
    <w:p w14:paraId="70ED244D" w14:textId="5FFB98C6" w:rsidR="00E42411" w:rsidRPr="004B0ADE" w:rsidRDefault="00593003" w:rsidP="004B0ADE">
      <w:pPr>
        <w:pStyle w:val="NoSpacing"/>
        <w:rPr>
          <w:sz w:val="24"/>
          <w:szCs w:val="24"/>
        </w:rPr>
      </w:pPr>
      <w:r w:rsidRPr="004B0ADE">
        <w:rPr>
          <w:sz w:val="24"/>
          <w:szCs w:val="24"/>
        </w:rPr>
        <w:t>Computer Science Department at Florida Atlantic University</w:t>
      </w:r>
    </w:p>
    <w:bookmarkEnd w:id="2"/>
    <w:p w14:paraId="5BC0075B" w14:textId="7514CCD2" w:rsidR="000A7622" w:rsidRDefault="000A7622" w:rsidP="000A7622">
      <w:pPr>
        <w:rPr>
          <w:rFonts w:cstheme="minorHAnsi"/>
        </w:rPr>
      </w:pPr>
    </w:p>
    <w:p w14:paraId="266631B3" w14:textId="77777777" w:rsidR="00331204" w:rsidRPr="009079BA" w:rsidRDefault="00331204" w:rsidP="009079BA">
      <w:pPr>
        <w:pStyle w:val="Heading1"/>
      </w:pPr>
      <w:r w:rsidRPr="009079BA">
        <w:rPr>
          <w:rStyle w:val="Strong"/>
          <w:b w:val="0"/>
          <w:bCs w:val="0"/>
          <w:color w:val="262626" w:themeColor="text1" w:themeTint="D9"/>
        </w:rPr>
        <w:lastRenderedPageBreak/>
        <w:t>Abstract:</w:t>
      </w:r>
    </w:p>
    <w:p w14:paraId="398D7778" w14:textId="77777777" w:rsidR="00331204" w:rsidRPr="00347A0B" w:rsidRDefault="00331204" w:rsidP="00347A0B">
      <w:pPr>
        <w:rPr>
          <w:rFonts w:cstheme="minorHAnsi"/>
        </w:rPr>
      </w:pPr>
      <w:r w:rsidRPr="00347A0B">
        <w:rPr>
          <w:rFonts w:cstheme="minorHAnsi"/>
        </w:rPr>
        <w:t xml:space="preserve">Large-scale nuclear electromagnetic pulse (EMP) attacks and natural disasters can cause extensive network failures across wide geographic regions. Although operational networks are designed to handle most single or dual faults, recent efforts have also focused on more capable multi-failure disaster recovery schemes. Concurrently, advances in software-defined networking (SDN) technologies have delivered </w:t>
      </w:r>
      <w:proofErr w:type="gramStart"/>
      <w:r w:rsidRPr="00347A0B">
        <w:rPr>
          <w:rFonts w:cstheme="minorHAnsi"/>
        </w:rPr>
        <w:t>highly-adaptable</w:t>
      </w:r>
      <w:proofErr w:type="gramEnd"/>
      <w:r w:rsidRPr="00347A0B">
        <w:rPr>
          <w:rFonts w:cstheme="minorHAnsi"/>
        </w:rPr>
        <w:t xml:space="preserve"> frameworks for implementing new and improved service provisioning and recovery paradigms in real-world settings. Hence this study leverages these new innovations to develop a robust disaster recovery (counter-EMP) framework for large backbone networks. Detailed findings from an experimental testbed study are also presented.</w:t>
      </w:r>
    </w:p>
    <w:p w14:paraId="30386D5E" w14:textId="77777777" w:rsidR="00331204" w:rsidRPr="00347A0B" w:rsidRDefault="00331204" w:rsidP="00347A0B">
      <w:pPr>
        <w:rPr>
          <w:rFonts w:cstheme="minorHAnsi"/>
        </w:rPr>
      </w:pPr>
      <w:r w:rsidRPr="00347A0B">
        <w:rPr>
          <w:rFonts w:cstheme="minorHAnsi"/>
        </w:rPr>
        <w:t xml:space="preserve">Network recovery from catastrophic disaster events is a major concern. </w:t>
      </w:r>
      <w:proofErr w:type="gramStart"/>
      <w:r w:rsidRPr="00347A0B">
        <w:rPr>
          <w:rFonts w:cstheme="minorHAnsi"/>
        </w:rPr>
        <w:t>In particular there</w:t>
      </w:r>
      <w:proofErr w:type="gramEnd"/>
      <w:r w:rsidRPr="00347A0B">
        <w:rPr>
          <w:rFonts w:cstheme="minorHAnsi"/>
        </w:rPr>
        <w:t xml:space="preserve"> is renewed concern about large-scale electromagnetic pulse (EMP) attacks caused by nuclear detonations in space by hostile state-based actors.</w:t>
      </w:r>
    </w:p>
    <w:p w14:paraId="7FC86D69" w14:textId="77777777" w:rsidR="00331204" w:rsidRPr="00347A0B" w:rsidRDefault="00331204" w:rsidP="003E3822">
      <w:pPr>
        <w:pStyle w:val="Heading1"/>
      </w:pPr>
      <w:r w:rsidRPr="00347A0B">
        <w:t>Introduction</w:t>
      </w:r>
    </w:p>
    <w:p w14:paraId="471A532C" w14:textId="77777777" w:rsidR="00331204" w:rsidRPr="00347A0B" w:rsidRDefault="00331204" w:rsidP="00347A0B">
      <w:pPr>
        <w:rPr>
          <w:rFonts w:cstheme="minorHAnsi"/>
        </w:rPr>
      </w:pPr>
      <w:r w:rsidRPr="00347A0B">
        <w:rPr>
          <w:rFonts w:cstheme="minorHAnsi"/>
        </w:rPr>
        <w:t xml:space="preserve">Network recovery from catastrophic disaster events is a major concern. </w:t>
      </w:r>
      <w:proofErr w:type="gramStart"/>
      <w:r w:rsidRPr="00347A0B">
        <w:rPr>
          <w:rFonts w:cstheme="minorHAnsi"/>
        </w:rPr>
        <w:t>In particular there</w:t>
      </w:r>
      <w:proofErr w:type="gramEnd"/>
      <w:r w:rsidRPr="00347A0B">
        <w:rPr>
          <w:rFonts w:cstheme="minorHAnsi"/>
        </w:rPr>
        <w:t xml:space="preserve"> is renewed concern about large-scale electromagnetic pulse (EMP) attacks caused by nuclear detonations in space by hostile state-based actors. These </w:t>
      </w:r>
      <w:proofErr w:type="spellStart"/>
      <w:r w:rsidRPr="00347A0B">
        <w:rPr>
          <w:rFonts w:cstheme="minorHAnsi"/>
        </w:rPr>
        <w:t>exo</w:t>
      </w:r>
      <w:proofErr w:type="spellEnd"/>
      <w:r w:rsidRPr="00347A0B">
        <w:rPr>
          <w:rFonts w:cstheme="minorHAnsi"/>
        </w:rPr>
        <w:t>-atmospheric attacks can occur at varying height of bursts (</w:t>
      </w:r>
      <w:proofErr w:type="spellStart"/>
      <w:r w:rsidRPr="00347A0B">
        <w:rPr>
          <w:rFonts w:cstheme="minorHAnsi"/>
        </w:rPr>
        <w:t>HoB</w:t>
      </w:r>
      <w:proofErr w:type="spellEnd"/>
      <w:r w:rsidRPr="00347A0B">
        <w:rPr>
          <w:rFonts w:cstheme="minorHAnsi"/>
        </w:rPr>
        <w:t>), ranging from 50–100 miles (low-altitude) to 500 miles (high-altitude) and will emit large amounts of gamma radiation. In turn, these emissions will interact with the Earth's atmosphere and magnetic fields to release electrons [1]. Specifically, three types of EMP pulses will be generated across a broad range, called E1, E2 and E3 (see Fig. 1). The initial E1 component is a high-frequency short-duration pulse (10 MHz-1 GHz, ns-</w:t>
      </w:r>
      <w:proofErr w:type="spellStart"/>
      <w:r w:rsidRPr="00347A0B">
        <w:rPr>
          <w:rFonts w:cstheme="minorHAnsi"/>
        </w:rPr>
        <w:t>ms</w:t>
      </w:r>
      <w:proofErr w:type="spellEnd"/>
      <w:r w:rsidRPr="00347A0B">
        <w:rPr>
          <w:rFonts w:cstheme="minorHAnsi"/>
        </w:rPr>
        <w:t xml:space="preserve">) with very high electric fields, over 10 kV/m. Unshielded electronics are particularly vulnerable to this effect. Meanwhile, the E2 component is a lower frequency longer-lasting pulse generated by secondary gamma scattering (100 kHz-10 MHz, </w:t>
      </w:r>
      <w:proofErr w:type="spellStart"/>
      <w:r w:rsidRPr="00347A0B">
        <w:rPr>
          <w:rFonts w:cstheme="minorHAnsi"/>
        </w:rPr>
        <w:t>ms</w:t>
      </w:r>
      <w:proofErr w:type="spellEnd"/>
      <w:r w:rsidRPr="00347A0B">
        <w:rPr>
          <w:rFonts w:cstheme="minorHAnsi"/>
        </w:rPr>
        <w:t xml:space="preserve">-sec), However, this component is </w:t>
      </w:r>
      <w:proofErr w:type="gramStart"/>
      <w:r w:rsidRPr="00347A0B">
        <w:rPr>
          <w:rFonts w:cstheme="minorHAnsi"/>
        </w:rPr>
        <w:t>similar to</w:t>
      </w:r>
      <w:proofErr w:type="gramEnd"/>
      <w:r w:rsidRPr="00347A0B">
        <w:rPr>
          <w:rFonts w:cstheme="minorHAnsi"/>
        </w:rPr>
        <w:t xml:space="preserve"> lightning strikes, and hence existing shielding methods can suffice. Finally, the E3 component has much longer durations and lower frequencies (10–100 Hz, seconds-min-</w:t>
      </w:r>
      <w:proofErr w:type="spellStart"/>
      <w:r w:rsidRPr="00347A0B">
        <w:rPr>
          <w:rFonts w:cstheme="minorHAnsi"/>
        </w:rPr>
        <w:t>utes</w:t>
      </w:r>
      <w:proofErr w:type="spellEnd"/>
      <w:r w:rsidRPr="00347A0B">
        <w:rPr>
          <w:rFonts w:cstheme="minorHAnsi"/>
        </w:rPr>
        <w:t>) and can severely damage electrical grids [2]. Note that E3 pulses can also be generated by geomagnetic storms from solar flares, and smaller non-nuclear EMP (NN-EMP) devices can also emit intense emissions across the E1-E3 spectrum (albeit with much smaller footprints).</w:t>
      </w:r>
    </w:p>
    <w:p w14:paraId="57F5ACE7" w14:textId="1E22D175" w:rsidR="00331204" w:rsidRPr="00347A0B" w:rsidRDefault="00331204" w:rsidP="003E3822">
      <w:pPr>
        <w:spacing w:after="0"/>
        <w:rPr>
          <w:rStyle w:val="Hyperlink"/>
          <w:rFonts w:cstheme="minorHAnsi"/>
          <w:color w:val="006699"/>
          <w:u w:val="none"/>
        </w:rPr>
      </w:pPr>
      <w:r w:rsidRPr="00347A0B">
        <w:rPr>
          <w:rFonts w:cstheme="minorHAnsi"/>
        </w:rPr>
        <w:fldChar w:fldCharType="begin"/>
      </w:r>
      <w:r w:rsidRPr="00347A0B">
        <w:rPr>
          <w:rFonts w:cstheme="minorHAnsi"/>
        </w:rPr>
        <w:instrText xml:space="preserve"> HYPERLINK "https://ieeexplore.ieee.org/mediastore_new/IEEE/content/media/35/8613256/8594707/8594707-fig-1-source-large.gif" </w:instrText>
      </w:r>
      <w:r w:rsidRPr="00347A0B">
        <w:rPr>
          <w:rFonts w:cstheme="minorHAnsi"/>
        </w:rPr>
        <w:fldChar w:fldCharType="separate"/>
      </w:r>
      <w:r w:rsidRPr="00347A0B">
        <w:rPr>
          <w:rFonts w:cstheme="minorHAnsi"/>
          <w:noProof/>
          <w:color w:val="006699"/>
        </w:rPr>
        <w:drawing>
          <wp:inline distT="0" distB="0" distL="0" distR="0" wp14:anchorId="13A3FC42" wp14:editId="2288C4C3">
            <wp:extent cx="2743200" cy="2057400"/>
            <wp:effectExtent l="0" t="0" r="0" b="0"/>
            <wp:docPr id="7" name="Picture 7" descr="Figure 1. Effects of exo-atmospheric (space-based) nuclear EMP stri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Fig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43200" cy="2057400"/>
                    </a:xfrm>
                    <a:prstGeom prst="rect">
                      <a:avLst/>
                    </a:prstGeom>
                    <a:noFill/>
                    <a:ln>
                      <a:noFill/>
                    </a:ln>
                  </pic:spPr>
                </pic:pic>
              </a:graphicData>
            </a:graphic>
          </wp:inline>
        </w:drawing>
      </w:r>
    </w:p>
    <w:p w14:paraId="3B2B0610" w14:textId="30747D3E" w:rsidR="00331204" w:rsidRPr="00347A0B" w:rsidRDefault="00331204" w:rsidP="00347A0B">
      <w:pPr>
        <w:rPr>
          <w:rFonts w:cstheme="minorHAnsi"/>
          <w:color w:val="666666"/>
        </w:rPr>
      </w:pPr>
      <w:r w:rsidRPr="00347A0B">
        <w:rPr>
          <w:rFonts w:cstheme="minorHAnsi"/>
        </w:rPr>
        <w:fldChar w:fldCharType="end"/>
      </w:r>
      <w:r w:rsidRPr="00347A0B">
        <w:rPr>
          <w:rFonts w:cstheme="minorHAnsi"/>
          <w:b/>
          <w:bCs/>
          <w:color w:val="666666"/>
        </w:rPr>
        <w:t>Figure 1.</w:t>
      </w:r>
      <w:r w:rsidR="003E3822">
        <w:rPr>
          <w:rFonts w:cstheme="minorHAnsi"/>
          <w:b/>
          <w:bCs/>
          <w:color w:val="666666"/>
        </w:rPr>
        <w:t xml:space="preserve"> </w:t>
      </w:r>
      <w:r w:rsidRPr="00347A0B">
        <w:rPr>
          <w:rFonts w:cstheme="minorHAnsi"/>
          <w:color w:val="666666"/>
        </w:rPr>
        <w:t xml:space="preserve">Effects of </w:t>
      </w:r>
      <w:proofErr w:type="spellStart"/>
      <w:r w:rsidRPr="00347A0B">
        <w:rPr>
          <w:rFonts w:cstheme="minorHAnsi"/>
          <w:color w:val="666666"/>
        </w:rPr>
        <w:t>exo</w:t>
      </w:r>
      <w:proofErr w:type="spellEnd"/>
      <w:r w:rsidRPr="00347A0B">
        <w:rPr>
          <w:rFonts w:cstheme="minorHAnsi"/>
          <w:color w:val="666666"/>
        </w:rPr>
        <w:t>-atmospheric (space-based) nuclear EMP strike.</w:t>
      </w:r>
    </w:p>
    <w:p w14:paraId="656D6F45" w14:textId="77777777" w:rsidR="00331204" w:rsidRPr="00347A0B" w:rsidRDefault="00331204" w:rsidP="00347A0B">
      <w:pPr>
        <w:rPr>
          <w:rFonts w:cstheme="minorHAnsi"/>
        </w:rPr>
      </w:pPr>
      <w:r w:rsidRPr="00347A0B">
        <w:rPr>
          <w:rFonts w:cstheme="minorHAnsi"/>
        </w:rPr>
        <w:t xml:space="preserve">Overall, nuclear EMP attacks can cause near-instantaneous failure of unshielded electronics depending on warhead yield and epicenter location. These events are commonly called stressors and can damage critical infrastructures across a wide region, for example, telecommunications, electricity, oil, gas, water, transportation, aviation, agriculture, and so on. Systematic interdependencies between many of these </w:t>
      </w:r>
      <w:r w:rsidRPr="00347A0B">
        <w:rPr>
          <w:rFonts w:cstheme="minorHAnsi"/>
        </w:rPr>
        <w:lastRenderedPageBreak/>
        <w:t xml:space="preserve">infrastructures can trigger delayed cascades, further exacerbating fallouts [3]. Now several live space-based EMP tests have been conducted in the past, with empirical measurements showing notable damage at extended distances, for example, Starfish Prime, Kingfish, and K-3 (Fig. 1). These tests yielded vital empirical data </w:t>
      </w:r>
      <w:proofErr w:type="gramStart"/>
      <w:r w:rsidRPr="00347A0B">
        <w:rPr>
          <w:rFonts w:cstheme="minorHAnsi"/>
        </w:rPr>
        <w:t>and also</w:t>
      </w:r>
      <w:proofErr w:type="gramEnd"/>
      <w:r w:rsidRPr="00347A0B">
        <w:rPr>
          <w:rFonts w:cstheme="minorHAnsi"/>
        </w:rPr>
        <w:t xml:space="preserve"> helped uncover deficiencies with earlier EMP models (which largely underestimated the E1 component). Hence more accurate formulations were developed based on the pioneering work of theoretical physicist Dr. Conrad Longmire at Los Alamos National Laboratory, New Mexico, USA. Based on these models, a potential 1.5 megaton detonation over the central United States today (akin to the Starfish Prime test) will damage over 350 large transformers and cut power to almost 40 percent of the population [2]. Moreover, it will likely take years to rebuild and reinstall damaged power grids. Given these sobering facts, in 2011 the United States Congress established a commission to assess the EMP threat, the recommendations of which stressed the need for resilient communications to ensure effective recovery/response [2]. </w:t>
      </w:r>
      <w:proofErr w:type="gramStart"/>
      <w:r w:rsidRPr="00347A0B">
        <w:rPr>
          <w:rFonts w:cstheme="minorHAnsi"/>
        </w:rPr>
        <w:t>In particular, contingency</w:t>
      </w:r>
      <w:proofErr w:type="gramEnd"/>
      <w:r w:rsidRPr="00347A0B">
        <w:rPr>
          <w:rFonts w:cstheme="minorHAnsi"/>
        </w:rPr>
        <w:t xml:space="preserve"> and military planners are very concerned about shorter timescales in the immediate aftermath of an attack, that is, seconds to minutes.</w:t>
      </w:r>
    </w:p>
    <w:p w14:paraId="32528E66" w14:textId="77777777" w:rsidR="00331204" w:rsidRPr="00347A0B" w:rsidRDefault="00331204" w:rsidP="00347A0B">
      <w:pPr>
        <w:rPr>
          <w:rFonts w:cstheme="minorHAnsi"/>
        </w:rPr>
      </w:pPr>
      <w:r w:rsidRPr="00347A0B">
        <w:rPr>
          <w:rFonts w:cstheme="minorHAnsi"/>
        </w:rPr>
        <w:t xml:space="preserve">Now most large backbones, including military, use fiber-optic systems for ultra-fast transmission over single-mode fiber. In some </w:t>
      </w:r>
      <w:proofErr w:type="gramStart"/>
      <w:r w:rsidRPr="00347A0B">
        <w:rPr>
          <w:rFonts w:cstheme="minorHAnsi"/>
        </w:rPr>
        <w:t>cases</w:t>
      </w:r>
      <w:proofErr w:type="gramEnd"/>
      <w:r w:rsidRPr="00347A0B">
        <w:rPr>
          <w:rFonts w:cstheme="minorHAnsi"/>
        </w:rPr>
        <w:t xml:space="preserve"> wireless links are also used to reach inaccessible regions or provide backup, that is, satellite and radio. Overall, the fiber medium is immune to EMP radiation as it does not conduct E1-E3 pulses. However, fiber-based transmission still relies on many opto-electronic systems that remain vulnerable to EMP effects, for example, routers, optical cross-connects, multiplexers, remote link regeneration/amplifier units, and so on. Many of these systems are located at dispersed sites such as central offices (CO), customer premises (CP), remote amplifier huts, and so on [2]. For the most part, these locations (in commercial settings) provide minimum shielding against weaker effects, for example, interference, electrostatic discharges, and lightning. Hence a powerful EMP device will cause rapid and extensive damage to backbone infrastructures. Delayed cascading power outages are also likely, but their impacts may not be immediate as most networking facilities have 48–72 hours of backup (batteries, fuel, and generators).</w:t>
      </w:r>
    </w:p>
    <w:p w14:paraId="242D9AD9" w14:textId="77777777" w:rsidR="00331204" w:rsidRPr="00347A0B" w:rsidRDefault="00331204" w:rsidP="00347A0B">
      <w:pPr>
        <w:rPr>
          <w:rFonts w:cstheme="minorHAnsi"/>
        </w:rPr>
      </w:pPr>
      <w:proofErr w:type="gramStart"/>
      <w:r w:rsidRPr="00347A0B">
        <w:rPr>
          <w:rFonts w:cstheme="minorHAnsi"/>
        </w:rPr>
        <w:t>In light of</w:t>
      </w:r>
      <w:proofErr w:type="gramEnd"/>
      <w:r w:rsidRPr="00347A0B">
        <w:rPr>
          <w:rFonts w:cstheme="minorHAnsi"/>
        </w:rPr>
        <w:t xml:space="preserve"> the above, rapid post-attack recovery is a critical concern. However, most networks are only designed to handle single or dual node and link failures and provide little protection against large EMP attacks (natural disasters) causing multiple near-instantaneous failures with high spatial and temporal correlation [4], [5]. To address this concern, the Defense Threat Reduction Agency (DTRA) has funded various studies on disaster recovery, including single domain networks [5], [6], multi-domain networks [7], interdependent pow-</w:t>
      </w:r>
      <w:proofErr w:type="spellStart"/>
      <w:r w:rsidRPr="00347A0B">
        <w:rPr>
          <w:rFonts w:cstheme="minorHAnsi"/>
        </w:rPr>
        <w:t>er</w:t>
      </w:r>
      <w:proofErr w:type="spellEnd"/>
      <w:r w:rsidRPr="00347A0B">
        <w:rPr>
          <w:rFonts w:cstheme="minorHAnsi"/>
        </w:rPr>
        <w:t>-communication grids [8], and robust infrastructure design/pre-planning [9]. These contributions leverage definitions/concepts of pre-fault probabilistic risk regions and have yielded key theoretical findings on failure modeling and multi-failure recovery. Nevertheless, the effectiveness of these solutions in realistic settings remains to be seen, and this forms the key motivation for this work.</w:t>
      </w:r>
    </w:p>
    <w:p w14:paraId="049A4EBA" w14:textId="77777777" w:rsidR="00331204" w:rsidRPr="00347A0B" w:rsidRDefault="00331204" w:rsidP="00347A0B">
      <w:pPr>
        <w:rPr>
          <w:rFonts w:cstheme="minorHAnsi"/>
        </w:rPr>
      </w:pPr>
      <w:r w:rsidRPr="00347A0B">
        <w:rPr>
          <w:rFonts w:cstheme="minorHAnsi"/>
        </w:rPr>
        <w:t>Deploying advanced counter-EMP schemes in real-world communication networks is very challenging due to the prevalence of vendor-pro-</w:t>
      </w:r>
      <w:proofErr w:type="spellStart"/>
      <w:r w:rsidRPr="00347A0B">
        <w:rPr>
          <w:rFonts w:cstheme="minorHAnsi"/>
        </w:rPr>
        <w:t>prietary</w:t>
      </w:r>
      <w:proofErr w:type="spellEnd"/>
      <w:r w:rsidRPr="00347A0B">
        <w:rPr>
          <w:rFonts w:cstheme="minorHAnsi"/>
        </w:rPr>
        <w:t xml:space="preserve"> systems and </w:t>
      </w:r>
      <w:proofErr w:type="gramStart"/>
      <w:r w:rsidRPr="00347A0B">
        <w:rPr>
          <w:rFonts w:cstheme="minorHAnsi"/>
        </w:rPr>
        <w:t>tightly-coupled</w:t>
      </w:r>
      <w:proofErr w:type="gramEnd"/>
      <w:r w:rsidRPr="00347A0B">
        <w:rPr>
          <w:rFonts w:cstheme="minorHAnsi"/>
        </w:rPr>
        <w:t xml:space="preserve"> data-con-</w:t>
      </w:r>
      <w:proofErr w:type="spellStart"/>
      <w:r w:rsidRPr="00347A0B">
        <w:rPr>
          <w:rFonts w:cstheme="minorHAnsi"/>
        </w:rPr>
        <w:t>trol</w:t>
      </w:r>
      <w:proofErr w:type="spellEnd"/>
      <w:r w:rsidRPr="00347A0B">
        <w:rPr>
          <w:rFonts w:cstheme="minorHAnsi"/>
        </w:rPr>
        <w:t xml:space="preserve"> planes. These dependencies mandate niche expertise and limit the range of recovery options. However, emerging software defined networking (SDN) paradigms have redefined legacy boundaries and offer much better service programmability and agility [10]. Still, SDN only provides a control framework and relegates detailed service provisioning and recovery algorithm design to operators themselves. Despite some notable testbed studies [11]</w:t>
      </w:r>
      <w:proofErr w:type="gramStart"/>
      <w:r w:rsidRPr="00347A0B">
        <w:rPr>
          <w:rFonts w:cstheme="minorHAnsi"/>
        </w:rPr>
        <w:t>–[</w:t>
      </w:r>
      <w:proofErr w:type="gramEnd"/>
      <w:r w:rsidRPr="00347A0B">
        <w:rPr>
          <w:rFonts w:cstheme="minorHAnsi"/>
        </w:rPr>
        <w:t>12][13], there are no known works on SDN-based disaster recovery. Hence, this effort focuses on translating advanced count-</w:t>
      </w:r>
      <w:proofErr w:type="spellStart"/>
      <w:r w:rsidRPr="00347A0B">
        <w:rPr>
          <w:rFonts w:cstheme="minorHAnsi"/>
        </w:rPr>
        <w:t>er</w:t>
      </w:r>
      <w:proofErr w:type="spellEnd"/>
      <w:r w:rsidRPr="00347A0B">
        <w:rPr>
          <w:rFonts w:cstheme="minorHAnsi"/>
        </w:rPr>
        <w:t>-EMP service recovery schemes (only studied in research literature) into real-world settings by developing a resilient SDN-based management and orchestration (MANO) framework. Namely, these methods incorporate the definition of pre-fault probabilistic failure regions. A testbed facility is also built to evaluate the solution for large optical backbones with full conversion and regeneration.</w:t>
      </w:r>
    </w:p>
    <w:p w14:paraId="2ECAEB85" w14:textId="77777777" w:rsidR="00331204" w:rsidRPr="00347A0B" w:rsidRDefault="00331204" w:rsidP="00347A0B">
      <w:pPr>
        <w:rPr>
          <w:rFonts w:cstheme="minorHAnsi"/>
        </w:rPr>
      </w:pPr>
      <w:r w:rsidRPr="00347A0B">
        <w:rPr>
          <w:rFonts w:cstheme="minorHAnsi"/>
        </w:rPr>
        <w:lastRenderedPageBreak/>
        <w:t>This article is organized as follows. The following section presents a review of recent work in multi-failure network recovery and SDN testbeds, motivating the need for disaster recovery efforts. We then detail the resilient SDN MANO architecture, and present findings from the testbed study. Conclusions and future directions are outlined in the final section.</w:t>
      </w:r>
    </w:p>
    <w:p w14:paraId="39BA1EC4" w14:textId="77777777" w:rsidR="00331204" w:rsidRPr="00347A0B" w:rsidRDefault="00331204" w:rsidP="003E3822">
      <w:pPr>
        <w:pStyle w:val="Heading1"/>
      </w:pPr>
      <w:r w:rsidRPr="00347A0B">
        <w:t>Existing Work</w:t>
      </w:r>
    </w:p>
    <w:p w14:paraId="343B09B0" w14:textId="77777777" w:rsidR="00331204" w:rsidRPr="00347A0B" w:rsidRDefault="00331204" w:rsidP="00347A0B">
      <w:pPr>
        <w:rPr>
          <w:rFonts w:cstheme="minorHAnsi"/>
        </w:rPr>
      </w:pPr>
      <w:r w:rsidRPr="00347A0B">
        <w:rPr>
          <w:rFonts w:cstheme="minorHAnsi"/>
        </w:rPr>
        <w:t xml:space="preserve">Various studies have addressed multi-failure network recovery. For example, some have looked at connection protection for multiple independent failures [4]. However, this approach does not accurately model large disasters or EMP attacks with high </w:t>
      </w:r>
      <w:proofErr w:type="spellStart"/>
      <w:r w:rsidRPr="00347A0B">
        <w:rPr>
          <w:rFonts w:cstheme="minorHAnsi"/>
        </w:rPr>
        <w:t>spatio</w:t>
      </w:r>
      <w:proofErr w:type="spellEnd"/>
      <w:r w:rsidRPr="00347A0B">
        <w:rPr>
          <w:rFonts w:cstheme="minorHAnsi"/>
        </w:rPr>
        <w:t xml:space="preserve">-temporal fault correlation. Hence, [5] introduces a realistic probabilistic shared risk link group (p-SRLG) model to define a-priori stressor (risk) regions, that is, occurrence probabilities, conditional link/node failure rates, and so on. New optimization and heuristic methods are then proposed to minimize primary/backup path failure probabilities for pre-defined stressors. However, since these schemes focus on risk minimization, they yield longer (less efficient) routes. Hence, [6] outlines a load balancing heuristic to improve the reliability-efficiency tradeoff. Finally, others have also studied multi-failure recovery in multi-domain networks, for example, two-stage optimization models to minimize failures at the intra-domain/inter-domain levels, </w:t>
      </w:r>
      <w:proofErr w:type="spellStart"/>
      <w:r w:rsidRPr="00347A0B">
        <w:rPr>
          <w:rFonts w:cstheme="minorHAnsi"/>
        </w:rPr>
        <w:t>adhoc</w:t>
      </w:r>
      <w:proofErr w:type="spellEnd"/>
      <w:r w:rsidRPr="00347A0B">
        <w:rPr>
          <w:rFonts w:cstheme="minorHAnsi"/>
        </w:rPr>
        <w:t xml:space="preserve"> post-fault re-routing, </w:t>
      </w:r>
      <w:proofErr w:type="spellStart"/>
      <w:r w:rsidRPr="00347A0B">
        <w:rPr>
          <w:rFonts w:cstheme="minorHAnsi"/>
        </w:rPr>
        <w:t>etc</w:t>
      </w:r>
      <w:proofErr w:type="spellEnd"/>
      <w:r w:rsidRPr="00347A0B">
        <w:rPr>
          <w:rFonts w:cstheme="minorHAnsi"/>
        </w:rPr>
        <w:t> [7].</w:t>
      </w:r>
    </w:p>
    <w:p w14:paraId="57EF7F86" w14:textId="77777777" w:rsidR="00331204" w:rsidRPr="00347A0B" w:rsidRDefault="00331204" w:rsidP="00347A0B">
      <w:pPr>
        <w:rPr>
          <w:rFonts w:cstheme="minorHAnsi"/>
        </w:rPr>
      </w:pPr>
      <w:r w:rsidRPr="00347A0B">
        <w:rPr>
          <w:rFonts w:cstheme="minorHAnsi"/>
        </w:rPr>
        <w:t xml:space="preserve">Despite these contributions, few researchers have addressed multi-failure recovery under </w:t>
      </w:r>
      <w:proofErr w:type="spellStart"/>
      <w:r w:rsidRPr="00347A0B">
        <w:rPr>
          <w:rFonts w:cstheme="minorHAnsi"/>
        </w:rPr>
        <w:t>realworld</w:t>
      </w:r>
      <w:proofErr w:type="spellEnd"/>
      <w:r w:rsidRPr="00347A0B">
        <w:rPr>
          <w:rFonts w:cstheme="minorHAnsi"/>
        </w:rPr>
        <w:t xml:space="preserve"> conditions. Here, the complex vendor-pro-</w:t>
      </w:r>
      <w:proofErr w:type="spellStart"/>
      <w:r w:rsidRPr="00347A0B">
        <w:rPr>
          <w:rFonts w:cstheme="minorHAnsi"/>
        </w:rPr>
        <w:t>prietary</w:t>
      </w:r>
      <w:proofErr w:type="spellEnd"/>
      <w:r w:rsidRPr="00347A0B">
        <w:rPr>
          <w:rFonts w:cstheme="minorHAnsi"/>
        </w:rPr>
        <w:t xml:space="preserve"> nature of legacy control setups makes it extremely difficult (if not impossible) to implement tailored schemes. For example, most setups feature single-vendor network management systems (NMS) with limited recovery options for single/dual node and link failures [6]. It is here that emerging SDN frameworks [10] provide a much-needed avenue for building more capable (counter-EMP) recovery solutions. Namely, SDN decouples the data and control planes and relegates all path computation and provisioning to controllers operating with “bird's eye” network views. These entities are responsible for generating flow routes/rules and pushing them onto network nodes, which in turn are streamlined for data forwarding. This programmable open architecture allows operators to achieve flow-selective routing and can support a wide range of applications/policies, for example, load balancing, survivability, security, and so on.</w:t>
      </w:r>
    </w:p>
    <w:p w14:paraId="19FC28AD" w14:textId="77777777" w:rsidR="00331204" w:rsidRPr="00347A0B" w:rsidRDefault="00331204" w:rsidP="00347A0B">
      <w:pPr>
        <w:rPr>
          <w:rFonts w:cstheme="minorHAnsi"/>
        </w:rPr>
      </w:pPr>
      <w:r w:rsidRPr="00347A0B">
        <w:rPr>
          <w:rFonts w:cstheme="minorHAnsi"/>
        </w:rPr>
        <w:t xml:space="preserve">Now various SDN protocols have emerged, including OpenFlow, </w:t>
      </w:r>
      <w:proofErr w:type="spellStart"/>
      <w:r w:rsidRPr="00347A0B">
        <w:rPr>
          <w:rFonts w:cstheme="minorHAnsi"/>
        </w:rPr>
        <w:t>OpenSwitch</w:t>
      </w:r>
      <w:proofErr w:type="spellEnd"/>
      <w:r w:rsidRPr="00347A0B">
        <w:rPr>
          <w:rFonts w:cstheme="minorHAnsi"/>
        </w:rPr>
        <w:t xml:space="preserve">, </w:t>
      </w:r>
      <w:proofErr w:type="spellStart"/>
      <w:r w:rsidRPr="00347A0B">
        <w:rPr>
          <w:rFonts w:cstheme="minorHAnsi"/>
        </w:rPr>
        <w:t>OpenLight</w:t>
      </w:r>
      <w:proofErr w:type="spellEnd"/>
      <w:r w:rsidRPr="00347A0B">
        <w:rPr>
          <w:rFonts w:cstheme="minorHAnsi"/>
        </w:rPr>
        <w:t xml:space="preserve">, NETCONF, others [10], [13]. Numerous testbeds have also deployed these SDN-based solutions for a range of scenarios, for example, </w:t>
      </w:r>
      <w:proofErr w:type="spellStart"/>
      <w:r w:rsidRPr="00347A0B">
        <w:rPr>
          <w:rFonts w:cstheme="minorHAnsi"/>
        </w:rPr>
        <w:t>datacen-ter</w:t>
      </w:r>
      <w:proofErr w:type="spellEnd"/>
      <w:r w:rsidRPr="00347A0B">
        <w:rPr>
          <w:rFonts w:cstheme="minorHAnsi"/>
        </w:rPr>
        <w:t>, enterprise, metro-core, mobile, and so on. Although a detailed survey is out of scope here, some recent efforts are summarized. For example, [11] extends SDN control for a multi-do-main testbed running the </w:t>
      </w:r>
      <w:r w:rsidRPr="00347A0B">
        <w:rPr>
          <w:rFonts w:cstheme="minorHAnsi"/>
          <w:i/>
          <w:iCs/>
        </w:rPr>
        <w:t>Floodlight</w:t>
      </w:r>
      <w:r w:rsidRPr="00347A0B">
        <w:rPr>
          <w:rFonts w:cstheme="minorHAnsi"/>
        </w:rPr>
        <w:t> and </w:t>
      </w:r>
      <w:r w:rsidRPr="00347A0B">
        <w:rPr>
          <w:rFonts w:cstheme="minorHAnsi"/>
          <w:i/>
          <w:iCs/>
        </w:rPr>
        <w:t xml:space="preserve">Open </w:t>
      </w:r>
      <w:proofErr w:type="spellStart"/>
      <w:r w:rsidRPr="00347A0B">
        <w:rPr>
          <w:rFonts w:cstheme="minorHAnsi"/>
          <w:i/>
          <w:iCs/>
        </w:rPr>
        <w:t>vSwitch</w:t>
      </w:r>
      <w:proofErr w:type="spellEnd"/>
      <w:r w:rsidRPr="00347A0B">
        <w:rPr>
          <w:rFonts w:cstheme="minorHAnsi"/>
        </w:rPr>
        <w:t xml:space="preserve"> protocols. Novel methods are proposed for “east-west” inter-controller exchange and domain virtualization. Meanwhile, [12] proposes a resilient SDN architecture for connecting high-performance zones in a higher-education network. The authors also use OpenFlow devices to perform failover switching for isolated link outages. Finally, [13] studies controller failures and compares the scalability and reliability of multi-controller Open Network Operating System (ONOS) and </w:t>
      </w:r>
      <w:proofErr w:type="spellStart"/>
      <w:r w:rsidRPr="00347A0B">
        <w:rPr>
          <w:rFonts w:cstheme="minorHAnsi"/>
        </w:rPr>
        <w:t>OpenOaylight</w:t>
      </w:r>
      <w:proofErr w:type="spellEnd"/>
      <w:r w:rsidRPr="00347A0B">
        <w:rPr>
          <w:rFonts w:cstheme="minorHAnsi"/>
        </w:rPr>
        <w:t xml:space="preserve"> (ODL) setups, that is, for rule installation, network database synchronization, and failover mechanisms. Nevertheless, despite these (and other) contributions, there are no known SDN studies on large-scale disaster recovery. A detailed framework is now presented to address this need.</w:t>
      </w:r>
    </w:p>
    <w:p w14:paraId="79B12506" w14:textId="77777777" w:rsidR="00331204" w:rsidRPr="00347A0B" w:rsidRDefault="00331204" w:rsidP="003E3822">
      <w:pPr>
        <w:pStyle w:val="Heading1"/>
      </w:pPr>
      <w:r w:rsidRPr="00347A0B">
        <w:t>Architecture Design and Development</w:t>
      </w:r>
    </w:p>
    <w:p w14:paraId="1BE64F84" w14:textId="77777777" w:rsidR="00331204" w:rsidRPr="00347A0B" w:rsidRDefault="00331204" w:rsidP="00347A0B">
      <w:pPr>
        <w:rPr>
          <w:rFonts w:cstheme="minorHAnsi"/>
        </w:rPr>
      </w:pPr>
      <w:r w:rsidRPr="00347A0B">
        <w:rPr>
          <w:rFonts w:cstheme="minorHAnsi"/>
        </w:rPr>
        <w:t>As noted earlier, several SDN protocols have been developed. However, </w:t>
      </w:r>
      <w:r w:rsidRPr="00347A0B">
        <w:rPr>
          <w:rFonts w:cstheme="minorHAnsi"/>
          <w:i/>
          <w:iCs/>
        </w:rPr>
        <w:t>OpenFlow</w:t>
      </w:r>
      <w:r w:rsidRPr="00347A0B">
        <w:rPr>
          <w:rFonts w:cstheme="minorHAnsi"/>
        </w:rPr>
        <w:t xml:space="preserve"> is chosen here as it is the most </w:t>
      </w:r>
      <w:proofErr w:type="gramStart"/>
      <w:r w:rsidRPr="00347A0B">
        <w:rPr>
          <w:rFonts w:cstheme="minorHAnsi"/>
        </w:rPr>
        <w:t>widely-used</w:t>
      </w:r>
      <w:proofErr w:type="gramEnd"/>
      <w:r w:rsidRPr="00347A0B">
        <w:rPr>
          <w:rFonts w:cstheme="minorHAnsi"/>
        </w:rPr>
        <w:t xml:space="preserve"> solution. Several network operating systems have also been proposed to interface with the southbound (SDN protocol) application programmer interfaces (API) and automate service provisioning, for example, </w:t>
      </w:r>
      <w:proofErr w:type="gramStart"/>
      <w:r w:rsidRPr="00347A0B">
        <w:rPr>
          <w:rFonts w:cstheme="minorHAnsi"/>
          <w:i/>
          <w:iCs/>
        </w:rPr>
        <w:t>ONOS</w:t>
      </w:r>
      <w:r w:rsidRPr="00347A0B">
        <w:rPr>
          <w:rFonts w:cstheme="minorHAnsi"/>
        </w:rPr>
        <w:t>(</w:t>
      </w:r>
      <w:proofErr w:type="gramEnd"/>
      <w:r w:rsidRPr="00347A0B">
        <w:rPr>
          <w:rFonts w:cstheme="minorHAnsi"/>
        </w:rPr>
        <w:t xml:space="preserve">by </w:t>
      </w:r>
      <w:proofErr w:type="spellStart"/>
      <w:r w:rsidRPr="00347A0B">
        <w:rPr>
          <w:rFonts w:cstheme="minorHAnsi"/>
        </w:rPr>
        <w:t>ON.lab</w:t>
      </w:r>
      <w:proofErr w:type="spellEnd"/>
      <w:r w:rsidRPr="00347A0B">
        <w:rPr>
          <w:rFonts w:cstheme="minorHAnsi"/>
        </w:rPr>
        <w:t>) and the vendor-based </w:t>
      </w:r>
      <w:r w:rsidRPr="00347A0B">
        <w:rPr>
          <w:rFonts w:cstheme="minorHAnsi"/>
          <w:i/>
          <w:iCs/>
        </w:rPr>
        <w:t>ODL</w:t>
      </w:r>
      <w:r w:rsidRPr="00347A0B">
        <w:rPr>
          <w:rFonts w:cstheme="minorHAnsi"/>
        </w:rPr>
        <w:t> solution. Again, </w:t>
      </w:r>
      <w:r w:rsidRPr="00347A0B">
        <w:rPr>
          <w:rFonts w:cstheme="minorHAnsi"/>
          <w:i/>
          <w:iCs/>
        </w:rPr>
        <w:t>ONOS</w:t>
      </w:r>
      <w:r w:rsidRPr="00347A0B">
        <w:rPr>
          <w:rFonts w:cstheme="minorHAnsi"/>
        </w:rPr>
        <w:t> is chosen as it is designed for use with </w:t>
      </w:r>
      <w:r w:rsidRPr="00347A0B">
        <w:rPr>
          <w:rFonts w:cstheme="minorHAnsi"/>
          <w:i/>
          <w:iCs/>
        </w:rPr>
        <w:t>OpenFlow.</w:t>
      </w:r>
      <w:r w:rsidRPr="00347A0B">
        <w:rPr>
          <w:rFonts w:cstheme="minorHAnsi"/>
        </w:rPr>
        <w:t xml:space="preserve"> Nevertheless, the Open-Flow and ONOS combination still lacks critical features for multi-failure </w:t>
      </w:r>
      <w:r w:rsidRPr="00347A0B">
        <w:rPr>
          <w:rFonts w:cstheme="minorHAnsi"/>
        </w:rPr>
        <w:lastRenderedPageBreak/>
        <w:t>recovery as it does not provide any path computation element (PCE) for route generation. Therefore, a novel resilient SDN system MANO framework is developed for disaster recovery support. This setup is specifically designed to handle large multi-failure (e.g., EMP-type) events and allows operators to pre-specify vulnerable regions and stressor likelihoods. The framework is shown in Fig. 2 and is comprised of three key entities, that is, an Abstraction Module, a Resilient Path Computation (RPC) Module, and an ONOS Driver. The solution leverages the </w:t>
      </w:r>
      <w:r w:rsidRPr="00347A0B">
        <w:rPr>
          <w:rFonts w:cstheme="minorHAnsi"/>
          <w:i/>
          <w:iCs/>
        </w:rPr>
        <w:t>OpenFlow</w:t>
      </w:r>
      <w:r w:rsidRPr="00347A0B">
        <w:rPr>
          <w:rFonts w:cstheme="minorHAnsi"/>
        </w:rPr>
        <w:t> and </w:t>
      </w:r>
      <w:r w:rsidRPr="00347A0B">
        <w:rPr>
          <w:rFonts w:cstheme="minorHAnsi"/>
          <w:i/>
          <w:iCs/>
        </w:rPr>
        <w:t>ONOS</w:t>
      </w:r>
      <w:r w:rsidRPr="00347A0B">
        <w:rPr>
          <w:rFonts w:cstheme="minorHAnsi"/>
        </w:rPr>
        <w:t> frameworks and adds critical features for multi-failure recovery, that is, state visibility, pre-fault/post-fault schemes, and so on.</w:t>
      </w:r>
    </w:p>
    <w:p w14:paraId="6D854A00" w14:textId="3CDC6329" w:rsidR="00331204" w:rsidRPr="00347A0B" w:rsidRDefault="00331204" w:rsidP="003E3822">
      <w:pPr>
        <w:spacing w:after="0"/>
        <w:rPr>
          <w:rStyle w:val="Hyperlink"/>
          <w:rFonts w:cstheme="minorHAnsi"/>
          <w:color w:val="006699"/>
          <w:u w:val="none"/>
        </w:rPr>
      </w:pPr>
      <w:r w:rsidRPr="00347A0B">
        <w:rPr>
          <w:rFonts w:cstheme="minorHAnsi"/>
        </w:rPr>
        <w:fldChar w:fldCharType="begin"/>
      </w:r>
      <w:r w:rsidRPr="00347A0B">
        <w:rPr>
          <w:rFonts w:cstheme="minorHAnsi"/>
        </w:rPr>
        <w:instrText xml:space="preserve"> HYPERLINK "https://ieeexplore.ieee.org/mediastore_new/IEEE/content/media/35/8613256/8594707/8594707-fig-2-source-large.gif" </w:instrText>
      </w:r>
      <w:r w:rsidRPr="00347A0B">
        <w:rPr>
          <w:rFonts w:cstheme="minorHAnsi"/>
        </w:rPr>
        <w:fldChar w:fldCharType="separate"/>
      </w:r>
      <w:r w:rsidRPr="00347A0B">
        <w:rPr>
          <w:rFonts w:cstheme="minorHAnsi"/>
          <w:noProof/>
          <w:color w:val="006699"/>
        </w:rPr>
        <w:drawing>
          <wp:inline distT="0" distB="0" distL="0" distR="0" wp14:anchorId="15113C42" wp14:editId="28E6BFC9">
            <wp:extent cx="2743200" cy="1554480"/>
            <wp:effectExtent l="0" t="0" r="0" b="7620"/>
            <wp:docPr id="6" name="Picture 6" descr="Figure 2. Resilient SDN MANO system architecture for multi-failure network recove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Fig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554480"/>
                    </a:xfrm>
                    <a:prstGeom prst="rect">
                      <a:avLst/>
                    </a:prstGeom>
                    <a:noFill/>
                    <a:ln>
                      <a:noFill/>
                    </a:ln>
                  </pic:spPr>
                </pic:pic>
              </a:graphicData>
            </a:graphic>
          </wp:inline>
        </w:drawing>
      </w:r>
    </w:p>
    <w:p w14:paraId="30701E1C" w14:textId="3702131D" w:rsidR="00331204" w:rsidRPr="00347A0B" w:rsidRDefault="00331204" w:rsidP="00347A0B">
      <w:pPr>
        <w:rPr>
          <w:rFonts w:cstheme="minorHAnsi"/>
          <w:color w:val="666666"/>
        </w:rPr>
      </w:pPr>
      <w:r w:rsidRPr="00347A0B">
        <w:rPr>
          <w:rFonts w:cstheme="minorHAnsi"/>
        </w:rPr>
        <w:fldChar w:fldCharType="end"/>
      </w:r>
      <w:r w:rsidRPr="00347A0B">
        <w:rPr>
          <w:rFonts w:cstheme="minorHAnsi"/>
          <w:b/>
          <w:bCs/>
          <w:color w:val="666666"/>
        </w:rPr>
        <w:t>Figure 2.</w:t>
      </w:r>
      <w:r w:rsidR="003E3822">
        <w:rPr>
          <w:rFonts w:cstheme="minorHAnsi"/>
          <w:b/>
          <w:bCs/>
          <w:color w:val="666666"/>
        </w:rPr>
        <w:t xml:space="preserve"> </w:t>
      </w:r>
      <w:r w:rsidRPr="00347A0B">
        <w:rPr>
          <w:rFonts w:cstheme="minorHAnsi"/>
          <w:color w:val="666666"/>
        </w:rPr>
        <w:t>Resilient SDN MANO system architecture for multi-failure network recovery.</w:t>
      </w:r>
    </w:p>
    <w:p w14:paraId="2623468F" w14:textId="77777777" w:rsidR="00331204" w:rsidRPr="00347A0B" w:rsidRDefault="00331204" w:rsidP="00347A0B">
      <w:pPr>
        <w:rPr>
          <w:rFonts w:cstheme="minorHAnsi"/>
        </w:rPr>
      </w:pPr>
      <w:r w:rsidRPr="00347A0B">
        <w:rPr>
          <w:rFonts w:cstheme="minorHAnsi"/>
        </w:rPr>
        <w:t>Overall, the proposed setup assumes that all network nodes are generic bandwidth/circuit provisioning entities, that is, opaque/full-conversion optical nodes or backbone routers. However, future extensions can be added to handle all-optical or partial-conversion nodes requiring wavelength continuity. Also, an SDN controller can represent a single point-of-failure and bottleneck. Hence in practice, multi-controller setups are required to improve </w:t>
      </w:r>
      <w:r w:rsidRPr="00347A0B">
        <w:rPr>
          <w:rFonts w:cstheme="minorHAnsi"/>
          <w:i/>
          <w:iCs/>
        </w:rPr>
        <w:t>control plane</w:t>
      </w:r>
      <w:r w:rsidRPr="00347A0B">
        <w:rPr>
          <w:rFonts w:cstheme="minorHAnsi"/>
        </w:rPr>
        <w:t> redundancy, and these designs can leverage from related work in [13]. However, this is left for future study as the focus is on data plane recovery. Consider the details.</w:t>
      </w:r>
    </w:p>
    <w:p w14:paraId="3256AC59" w14:textId="77777777" w:rsidR="00331204" w:rsidRPr="00347A0B" w:rsidRDefault="00331204" w:rsidP="003E3822">
      <w:pPr>
        <w:pStyle w:val="Heading2"/>
      </w:pPr>
      <w:r w:rsidRPr="00347A0B">
        <w:t>Abstraction Module</w:t>
      </w:r>
    </w:p>
    <w:p w14:paraId="421EA85A" w14:textId="77777777" w:rsidR="00331204" w:rsidRPr="00347A0B" w:rsidRDefault="00331204" w:rsidP="00347A0B">
      <w:pPr>
        <w:rPr>
          <w:rFonts w:cstheme="minorHAnsi"/>
        </w:rPr>
      </w:pPr>
      <w:r w:rsidRPr="00347A0B">
        <w:rPr>
          <w:rFonts w:cstheme="minorHAnsi"/>
        </w:rPr>
        <w:t>This module implements a database to allow the resilient SDN-based MANO system to visualize the network, its risk vulnerabilities, and active flows. This overall state is then used to drive the other key system components, for example, the ONOS Driver module. In particular, the network markup language (NML) standard [14] is used to describe the network topology using abstract models based on classes (also called resources), attributes, relations and parameters. These entities are then encoded in appropriate schema files. For example, NML defines base schema constructs for physical resources at switches and links using topology-related resources and properties. These constructs include inbound and outbound link ports and neighbors. Fig. 3 shows a fraction of the ontology needed to define such a topology.</w:t>
      </w:r>
    </w:p>
    <w:p w14:paraId="2D2D4C41" w14:textId="0EF742AE" w:rsidR="00331204" w:rsidRPr="00347A0B" w:rsidRDefault="00331204" w:rsidP="003E3822">
      <w:pPr>
        <w:spacing w:after="0"/>
        <w:rPr>
          <w:rStyle w:val="Hyperlink"/>
          <w:rFonts w:cstheme="minorHAnsi"/>
          <w:color w:val="006699"/>
          <w:u w:val="none"/>
        </w:rPr>
      </w:pPr>
      <w:r w:rsidRPr="00347A0B">
        <w:rPr>
          <w:rFonts w:cstheme="minorHAnsi"/>
        </w:rPr>
        <w:fldChar w:fldCharType="begin"/>
      </w:r>
      <w:r w:rsidRPr="00347A0B">
        <w:rPr>
          <w:rFonts w:cstheme="minorHAnsi"/>
        </w:rPr>
        <w:instrText xml:space="preserve"> HYPERLINK "https://ieeexplore.ieee.org/mediastore_new/IEEE/content/media/35/8613256/8594707/8594707-fig-3-source-large.gif" </w:instrText>
      </w:r>
      <w:r w:rsidRPr="00347A0B">
        <w:rPr>
          <w:rFonts w:cstheme="minorHAnsi"/>
        </w:rPr>
        <w:fldChar w:fldCharType="separate"/>
      </w:r>
      <w:r w:rsidRPr="00347A0B">
        <w:rPr>
          <w:rFonts w:cstheme="minorHAnsi"/>
          <w:noProof/>
          <w:color w:val="006699"/>
        </w:rPr>
        <w:drawing>
          <wp:inline distT="0" distB="0" distL="0" distR="0" wp14:anchorId="51416001" wp14:editId="1FB8D9A1">
            <wp:extent cx="2743200" cy="960120"/>
            <wp:effectExtent l="0" t="0" r="0" b="0"/>
            <wp:docPr id="5" name="Picture 5" descr="Figure 3. Extended network markup language (E-NML) sche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ig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960120"/>
                    </a:xfrm>
                    <a:prstGeom prst="rect">
                      <a:avLst/>
                    </a:prstGeom>
                    <a:noFill/>
                    <a:ln>
                      <a:noFill/>
                    </a:ln>
                  </pic:spPr>
                </pic:pic>
              </a:graphicData>
            </a:graphic>
          </wp:inline>
        </w:drawing>
      </w:r>
    </w:p>
    <w:p w14:paraId="5C19AACD" w14:textId="196E7FDB" w:rsidR="00331204" w:rsidRPr="00347A0B" w:rsidRDefault="00331204" w:rsidP="00347A0B">
      <w:pPr>
        <w:rPr>
          <w:rFonts w:cstheme="minorHAnsi"/>
          <w:color w:val="666666"/>
        </w:rPr>
      </w:pPr>
      <w:r w:rsidRPr="00347A0B">
        <w:rPr>
          <w:rFonts w:cstheme="minorHAnsi"/>
        </w:rPr>
        <w:fldChar w:fldCharType="end"/>
      </w:r>
      <w:r w:rsidRPr="00347A0B">
        <w:rPr>
          <w:rFonts w:cstheme="minorHAnsi"/>
          <w:b/>
          <w:bCs/>
          <w:color w:val="666666"/>
        </w:rPr>
        <w:t>Figure 3.</w:t>
      </w:r>
      <w:r w:rsidR="003E3822">
        <w:rPr>
          <w:rFonts w:cstheme="minorHAnsi"/>
          <w:b/>
          <w:bCs/>
          <w:color w:val="666666"/>
        </w:rPr>
        <w:t xml:space="preserve"> </w:t>
      </w:r>
      <w:r w:rsidRPr="00347A0B">
        <w:rPr>
          <w:rFonts w:cstheme="minorHAnsi"/>
          <w:color w:val="666666"/>
        </w:rPr>
        <w:t>Extended network markup language (E-NML) schema.</w:t>
      </w:r>
    </w:p>
    <w:p w14:paraId="0A6F50AB" w14:textId="77777777" w:rsidR="00331204" w:rsidRPr="00347A0B" w:rsidRDefault="00331204" w:rsidP="00347A0B">
      <w:pPr>
        <w:rPr>
          <w:rFonts w:cstheme="minorHAnsi"/>
        </w:rPr>
      </w:pPr>
      <w:r w:rsidRPr="00347A0B">
        <w:rPr>
          <w:rFonts w:cstheme="minorHAnsi"/>
        </w:rPr>
        <w:t xml:space="preserve">Nevertheless, the base NML schema [14] only details static topologies. Hence, new class and attribute definitions are also introduced for critical risk vulnerability and path route information to support multi-failure disaster recovery, called extended NML (E-NML) (see Fig. 3). Foremost, a shared risk resource group (SRRG) service class is defined to group nodes and links with common a-priori risks. Here a SRRG resource identifies a group of nodes and ports with specific severity and failure probability values, respectively, given by </w:t>
      </w:r>
      <w:r w:rsidRPr="00347A0B">
        <w:rPr>
          <w:rFonts w:cstheme="minorHAnsi"/>
        </w:rPr>
        <w:lastRenderedPageBreak/>
        <w:t>the </w:t>
      </w:r>
      <w:r w:rsidRPr="00347A0B">
        <w:rPr>
          <w:rFonts w:cstheme="minorHAnsi"/>
          <w:i/>
          <w:iCs/>
        </w:rPr>
        <w:t>severity</w:t>
      </w:r>
      <w:r w:rsidRPr="00347A0B">
        <w:rPr>
          <w:rFonts w:cstheme="minorHAnsi"/>
        </w:rPr>
        <w:t> and </w:t>
      </w:r>
      <w:proofErr w:type="spellStart"/>
      <w:r w:rsidRPr="00347A0B">
        <w:rPr>
          <w:rFonts w:cstheme="minorHAnsi"/>
          <w:i/>
          <w:iCs/>
        </w:rPr>
        <w:t>occurenceProbability</w:t>
      </w:r>
      <w:proofErr w:type="spellEnd"/>
      <w:r w:rsidRPr="00347A0B">
        <w:rPr>
          <w:rFonts w:cstheme="minorHAnsi"/>
        </w:rPr>
        <w:t> properties. Note that the shared risk (link) group concept has been studied by researchers [5]</w:t>
      </w:r>
      <w:proofErr w:type="gramStart"/>
      <w:r w:rsidRPr="00347A0B">
        <w:rPr>
          <w:rFonts w:cstheme="minorHAnsi"/>
        </w:rPr>
        <w:t>–[</w:t>
      </w:r>
      <w:proofErr w:type="gramEnd"/>
      <w:r w:rsidRPr="00347A0B">
        <w:rPr>
          <w:rFonts w:cstheme="minorHAnsi"/>
        </w:rPr>
        <w:t>6][7], but its adaptation in operational SDN settings for multi-failure recovery is lacking.</w:t>
      </w:r>
    </w:p>
    <w:p w14:paraId="6B766DEF" w14:textId="77777777" w:rsidR="00331204" w:rsidRPr="00347A0B" w:rsidRDefault="00331204" w:rsidP="00347A0B">
      <w:pPr>
        <w:rPr>
          <w:rFonts w:cstheme="minorHAnsi"/>
        </w:rPr>
      </w:pPr>
      <w:r w:rsidRPr="00347A0B">
        <w:rPr>
          <w:rFonts w:cstheme="minorHAnsi"/>
        </w:rPr>
        <w:t>Next, a path service model is introduced to enhance the NML base schema and define control plane flow rules to detail logical relations. Namely, the nodes, ports and flow rules associated with a source-destination pair are specified by a new flow service class, called </w:t>
      </w:r>
      <w:proofErr w:type="spellStart"/>
      <w:r w:rsidRPr="00347A0B">
        <w:rPr>
          <w:rFonts w:cstheme="minorHAnsi"/>
          <w:i/>
          <w:iCs/>
        </w:rPr>
        <w:t>openFlowService</w:t>
      </w:r>
      <w:proofErr w:type="spellEnd"/>
      <w:r w:rsidRPr="00347A0B">
        <w:rPr>
          <w:rFonts w:cstheme="minorHAnsi"/>
        </w:rPr>
        <w:t> (see Fig. 3). This class defines several other flow-related classes, relations, attributes and parameters. Foremost, </w:t>
      </w:r>
      <w:proofErr w:type="spellStart"/>
      <w:r w:rsidRPr="00347A0B">
        <w:rPr>
          <w:rFonts w:cstheme="minorHAnsi"/>
          <w:i/>
          <w:iCs/>
        </w:rPr>
        <w:t>openFlow</w:t>
      </w:r>
      <w:proofErr w:type="spellEnd"/>
      <w:r w:rsidRPr="00347A0B">
        <w:rPr>
          <w:rFonts w:cstheme="minorHAnsi"/>
          <w:i/>
          <w:iCs/>
        </w:rPr>
        <w:t>-Service</w:t>
      </w:r>
      <w:r w:rsidRPr="00347A0B">
        <w:rPr>
          <w:rFonts w:cstheme="minorHAnsi"/>
        </w:rPr>
        <w:t> resources are associated with a topology, which in turn supports SDN nodes with flow tables, that is, </w:t>
      </w:r>
      <w:proofErr w:type="spellStart"/>
      <w:r w:rsidRPr="00347A0B">
        <w:rPr>
          <w:rFonts w:cstheme="minorHAnsi"/>
          <w:i/>
          <w:iCs/>
        </w:rPr>
        <w:t>providesFlowTable</w:t>
      </w:r>
      <w:proofErr w:type="spellEnd"/>
      <w:r w:rsidRPr="00347A0B">
        <w:rPr>
          <w:rFonts w:cstheme="minorHAnsi"/>
        </w:rPr>
        <w:t> property. A flow table is also defined by the </w:t>
      </w:r>
      <w:proofErr w:type="spellStart"/>
      <w:r w:rsidRPr="00347A0B">
        <w:rPr>
          <w:rFonts w:cstheme="minorHAnsi"/>
          <w:i/>
          <w:iCs/>
        </w:rPr>
        <w:t>flowTable</w:t>
      </w:r>
      <w:proofErr w:type="spellEnd"/>
      <w:r w:rsidRPr="00347A0B">
        <w:rPr>
          <w:rFonts w:cstheme="minorHAnsi"/>
        </w:rPr>
        <w:t> class and provides a set of flows (</w:t>
      </w:r>
      <w:r w:rsidRPr="00347A0B">
        <w:rPr>
          <w:rFonts w:cstheme="minorHAnsi"/>
          <w:i/>
          <w:iCs/>
        </w:rPr>
        <w:t>Flow</w:t>
      </w:r>
      <w:r w:rsidRPr="00347A0B">
        <w:rPr>
          <w:rFonts w:cstheme="minorHAnsi"/>
        </w:rPr>
        <w:t> resources) through the </w:t>
      </w:r>
      <w:proofErr w:type="spellStart"/>
      <w:r w:rsidRPr="00347A0B">
        <w:rPr>
          <w:rFonts w:cstheme="minorHAnsi"/>
          <w:i/>
          <w:iCs/>
        </w:rPr>
        <w:t>providesFlow</w:t>
      </w:r>
      <w:proofErr w:type="spellEnd"/>
      <w:r w:rsidRPr="00347A0B">
        <w:rPr>
          <w:rFonts w:cstheme="minorHAnsi"/>
        </w:rPr>
        <w:t> relation property. Ideally, a flow class is created to match a flow, and hence the </w:t>
      </w:r>
      <w:proofErr w:type="spellStart"/>
      <w:r w:rsidRPr="00347A0B">
        <w:rPr>
          <w:rFonts w:cstheme="minorHAnsi"/>
          <w:i/>
          <w:iCs/>
        </w:rPr>
        <w:t>flowMatch</w:t>
      </w:r>
      <w:proofErr w:type="spellEnd"/>
      <w:r w:rsidRPr="00347A0B">
        <w:rPr>
          <w:rFonts w:cstheme="minorHAnsi"/>
        </w:rPr>
        <w:t> relation defines a </w:t>
      </w:r>
      <w:proofErr w:type="spellStart"/>
      <w:r w:rsidRPr="00347A0B">
        <w:rPr>
          <w:rFonts w:cstheme="minorHAnsi"/>
          <w:i/>
          <w:iCs/>
        </w:rPr>
        <w:t>flowRule</w:t>
      </w:r>
      <w:proofErr w:type="spellEnd"/>
      <w:r w:rsidRPr="00347A0B">
        <w:rPr>
          <w:rFonts w:cstheme="minorHAnsi"/>
        </w:rPr>
        <w:t> traffic criteria, that is, source/des-</w:t>
      </w:r>
      <w:proofErr w:type="spellStart"/>
      <w:r w:rsidRPr="00347A0B">
        <w:rPr>
          <w:rFonts w:cstheme="minorHAnsi"/>
        </w:rPr>
        <w:t>tination</w:t>
      </w:r>
      <w:proofErr w:type="spellEnd"/>
      <w:r w:rsidRPr="00347A0B">
        <w:rPr>
          <w:rFonts w:cstheme="minorHAnsi"/>
        </w:rPr>
        <w:t xml:space="preserve"> media access control (MAC) addresses, source/destination IP addresses, inbound/ outbound ports, virtual LAN (VLAN) identifiers, and so on. Furthermore, a </w:t>
      </w:r>
      <w:proofErr w:type="spellStart"/>
      <w:r w:rsidRPr="00347A0B">
        <w:rPr>
          <w:rFonts w:cstheme="minorHAnsi"/>
          <w:i/>
          <w:iCs/>
        </w:rPr>
        <w:t>flowRule</w:t>
      </w:r>
      <w:proofErr w:type="spellEnd"/>
      <w:r w:rsidRPr="00347A0B">
        <w:rPr>
          <w:rFonts w:cstheme="minorHAnsi"/>
        </w:rPr>
        <w:t> is also associated with a </w:t>
      </w:r>
      <w:r w:rsidRPr="00347A0B">
        <w:rPr>
          <w:rFonts w:cstheme="minorHAnsi"/>
          <w:i/>
          <w:iCs/>
        </w:rPr>
        <w:t>flow</w:t>
      </w:r>
      <w:r w:rsidRPr="00347A0B">
        <w:rPr>
          <w:rFonts w:cstheme="minorHAnsi"/>
        </w:rPr>
        <w:t> by a </w:t>
      </w:r>
      <w:proofErr w:type="spellStart"/>
      <w:r w:rsidRPr="00347A0B">
        <w:rPr>
          <w:rFonts w:cstheme="minorHAnsi"/>
          <w:i/>
          <w:iCs/>
        </w:rPr>
        <w:t>flowAction</w:t>
      </w:r>
      <w:proofErr w:type="spellEnd"/>
      <w:r w:rsidRPr="00347A0B">
        <w:rPr>
          <w:rFonts w:cstheme="minorHAnsi"/>
        </w:rPr>
        <w:t> relation to determine control plane decision-making for specific traffic data, that is, forward frame through outbound port </w:t>
      </w:r>
      <w:r w:rsidRPr="00347A0B">
        <w:rPr>
          <w:rFonts w:cstheme="minorHAnsi"/>
          <w:i/>
          <w:iCs/>
        </w:rPr>
        <w:t>N.</w:t>
      </w:r>
      <w:r w:rsidRPr="00347A0B">
        <w:rPr>
          <w:rFonts w:cstheme="minorHAnsi"/>
        </w:rPr>
        <w:t> Finally, a set of NML </w:t>
      </w:r>
      <w:r w:rsidRPr="00347A0B">
        <w:rPr>
          <w:rFonts w:cstheme="minorHAnsi"/>
          <w:i/>
          <w:iCs/>
        </w:rPr>
        <w:t>flow</w:t>
      </w:r>
      <w:r w:rsidRPr="00347A0B">
        <w:rPr>
          <w:rFonts w:cstheme="minorHAnsi"/>
        </w:rPr>
        <w:t> objects (instantiated </w:t>
      </w:r>
      <w:r w:rsidRPr="00347A0B">
        <w:rPr>
          <w:rFonts w:cstheme="minorHAnsi"/>
          <w:i/>
          <w:iCs/>
        </w:rPr>
        <w:t>flow</w:t>
      </w:r>
      <w:r w:rsidRPr="00347A0B">
        <w:rPr>
          <w:rFonts w:cstheme="minorHAnsi"/>
        </w:rPr>
        <w:t> classes) are also defined for each source-destination path pair, and each path is also assigned a unique identification number (UUID).</w:t>
      </w:r>
    </w:p>
    <w:p w14:paraId="39646468" w14:textId="77777777" w:rsidR="00331204" w:rsidRPr="00347A0B" w:rsidRDefault="00331204" w:rsidP="00347A0B">
      <w:pPr>
        <w:rPr>
          <w:rFonts w:cstheme="minorHAnsi"/>
        </w:rPr>
      </w:pPr>
      <w:r w:rsidRPr="00347A0B">
        <w:rPr>
          <w:rFonts w:cstheme="minorHAnsi"/>
        </w:rPr>
        <w:t>The Resilient Path Computation Module retrieves state information from the Abstraction Module and performs constrained route computation between requesting source-destination nodes. Topology information is used to build a graph-based network view comprised of vertices and </w:t>
      </w:r>
      <w:r w:rsidRPr="00347A0B">
        <w:rPr>
          <w:rFonts w:cstheme="minorHAnsi"/>
          <w:i/>
          <w:iCs/>
        </w:rPr>
        <w:t>edges</w:t>
      </w:r>
      <w:r w:rsidRPr="00347A0B">
        <w:rPr>
          <w:rFonts w:cstheme="minorHAnsi"/>
        </w:rPr>
        <w:t>.</w:t>
      </w:r>
    </w:p>
    <w:p w14:paraId="5B6CC9EA" w14:textId="77777777" w:rsidR="00331204" w:rsidRPr="00347A0B" w:rsidRDefault="00331204" w:rsidP="003E3822">
      <w:pPr>
        <w:pStyle w:val="Heading2"/>
      </w:pPr>
      <w:r w:rsidRPr="00347A0B">
        <w:t>Resilient Path Computation (RPC) Module</w:t>
      </w:r>
    </w:p>
    <w:p w14:paraId="778AF191" w14:textId="77777777" w:rsidR="00331204" w:rsidRPr="00347A0B" w:rsidRDefault="00331204" w:rsidP="00347A0B">
      <w:pPr>
        <w:rPr>
          <w:rFonts w:cstheme="minorHAnsi"/>
        </w:rPr>
      </w:pPr>
      <w:r w:rsidRPr="00347A0B">
        <w:rPr>
          <w:rFonts w:cstheme="minorHAnsi"/>
        </w:rPr>
        <w:t>This module retrieves state information from the Abstraction Module and performs constrained route computation between requesting source-destination nodes. Topology information is used to build a graph-based network view comprised of vertices and edges. Meanwhile, input requests are defined via a new path request service model which specifies a source, destination, and desired bandwidth capacity (see Fig. 3). Now as noted above, several polynomial-time graph-based algorithms have been developed for multi-failure disaster recovery [5]</w:t>
      </w:r>
      <w:proofErr w:type="gramStart"/>
      <w:r w:rsidRPr="00347A0B">
        <w:rPr>
          <w:rFonts w:cstheme="minorHAnsi"/>
        </w:rPr>
        <w:t>–[</w:t>
      </w:r>
      <w:proofErr w:type="gramEnd"/>
      <w:r w:rsidRPr="00347A0B">
        <w:rPr>
          <w:rFonts w:cstheme="minorHAnsi"/>
        </w:rPr>
        <w:t>6][7]. Hence, some of these (and some other baseline) solutions are adapted here (Fig. 4).</w:t>
      </w:r>
    </w:p>
    <w:p w14:paraId="28624688" w14:textId="2C11B720" w:rsidR="00331204" w:rsidRPr="00347A0B" w:rsidRDefault="00331204" w:rsidP="003E3822">
      <w:pPr>
        <w:spacing w:after="0"/>
        <w:rPr>
          <w:rStyle w:val="Hyperlink"/>
          <w:rFonts w:cstheme="minorHAnsi"/>
          <w:color w:val="006699"/>
          <w:u w:val="none"/>
        </w:rPr>
      </w:pPr>
      <w:r w:rsidRPr="00347A0B">
        <w:rPr>
          <w:rFonts w:cstheme="minorHAnsi"/>
        </w:rPr>
        <w:fldChar w:fldCharType="begin"/>
      </w:r>
      <w:r w:rsidRPr="00347A0B">
        <w:rPr>
          <w:rFonts w:cstheme="minorHAnsi"/>
        </w:rPr>
        <w:instrText xml:space="preserve"> HYPERLINK "https://ieeexplore.ieee.org/mediastore_new/IEEE/content/media/35/8613256/8594707/8594707-fig-4-source-large.gif" </w:instrText>
      </w:r>
      <w:r w:rsidRPr="00347A0B">
        <w:rPr>
          <w:rFonts w:cstheme="minorHAnsi"/>
        </w:rPr>
        <w:fldChar w:fldCharType="separate"/>
      </w:r>
      <w:r w:rsidRPr="00347A0B">
        <w:rPr>
          <w:rFonts w:cstheme="minorHAnsi"/>
          <w:noProof/>
          <w:color w:val="006699"/>
        </w:rPr>
        <w:drawing>
          <wp:inline distT="0" distB="0" distL="0" distR="0" wp14:anchorId="540CF0C3" wp14:editId="10A3C79B">
            <wp:extent cx="2743200" cy="2532888"/>
            <wp:effectExtent l="0" t="0" r="0" b="1270"/>
            <wp:docPr id="4" name="Picture 4" descr="Figure 4. Network service recovery mechanisms (pre- and post-fau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2532888"/>
                    </a:xfrm>
                    <a:prstGeom prst="rect">
                      <a:avLst/>
                    </a:prstGeom>
                    <a:noFill/>
                    <a:ln>
                      <a:noFill/>
                    </a:ln>
                  </pic:spPr>
                </pic:pic>
              </a:graphicData>
            </a:graphic>
          </wp:inline>
        </w:drawing>
      </w:r>
    </w:p>
    <w:p w14:paraId="659C313C" w14:textId="569A33CA" w:rsidR="00331204" w:rsidRPr="00347A0B" w:rsidRDefault="00331204" w:rsidP="00347A0B">
      <w:pPr>
        <w:rPr>
          <w:rFonts w:cstheme="minorHAnsi"/>
          <w:color w:val="666666"/>
        </w:rPr>
      </w:pPr>
      <w:r w:rsidRPr="00347A0B">
        <w:rPr>
          <w:rFonts w:cstheme="minorHAnsi"/>
        </w:rPr>
        <w:fldChar w:fldCharType="end"/>
      </w:r>
      <w:r w:rsidRPr="00347A0B">
        <w:rPr>
          <w:rFonts w:cstheme="minorHAnsi"/>
          <w:b/>
          <w:bCs/>
          <w:color w:val="666666"/>
        </w:rPr>
        <w:t>Figure 4.</w:t>
      </w:r>
      <w:r w:rsidR="003E3822">
        <w:rPr>
          <w:rFonts w:cstheme="minorHAnsi"/>
          <w:b/>
          <w:bCs/>
          <w:color w:val="666666"/>
        </w:rPr>
        <w:t xml:space="preserve"> </w:t>
      </w:r>
      <w:r w:rsidRPr="00347A0B">
        <w:rPr>
          <w:rFonts w:cstheme="minorHAnsi"/>
          <w:color w:val="666666"/>
        </w:rPr>
        <w:t>Network service recovery mechanisms (pre- and post-fault).</w:t>
      </w:r>
    </w:p>
    <w:p w14:paraId="587FDF5B" w14:textId="77777777" w:rsidR="00331204" w:rsidRPr="00347A0B" w:rsidRDefault="00331204" w:rsidP="003E3822">
      <w:pPr>
        <w:pStyle w:val="Heading2"/>
        <w:rPr>
          <w:color w:val="auto"/>
        </w:rPr>
      </w:pPr>
      <w:r w:rsidRPr="00347A0B">
        <w:t>No Protection (NP)</w:t>
      </w:r>
    </w:p>
    <w:p w14:paraId="3CA89D58" w14:textId="77777777" w:rsidR="00331204" w:rsidRPr="00347A0B" w:rsidRDefault="00331204" w:rsidP="00347A0B">
      <w:pPr>
        <w:rPr>
          <w:rFonts w:cstheme="minorHAnsi"/>
        </w:rPr>
      </w:pPr>
      <w:r w:rsidRPr="00347A0B">
        <w:rPr>
          <w:rFonts w:cstheme="minorHAnsi"/>
        </w:rPr>
        <w:t>This baseline scheme does not provide any backup. A primary path is provisioned for a request using Dijkstra's shortest path algorithm based upon a desired network traffic engineering (TE) objective, for example, hop count minimization, load balancing, and so on.</w:t>
      </w:r>
    </w:p>
    <w:p w14:paraId="2BA91967" w14:textId="77777777" w:rsidR="00331204" w:rsidRPr="00347A0B" w:rsidRDefault="00331204" w:rsidP="003E3822">
      <w:pPr>
        <w:pStyle w:val="Heading2"/>
      </w:pPr>
      <w:r w:rsidRPr="00347A0B">
        <w:lastRenderedPageBreak/>
        <w:t>Standard Protection (SP)</w:t>
      </w:r>
    </w:p>
    <w:p w14:paraId="1140557E" w14:textId="77777777" w:rsidR="00331204" w:rsidRPr="00347A0B" w:rsidRDefault="00331204" w:rsidP="00347A0B">
      <w:pPr>
        <w:rPr>
          <w:rFonts w:cstheme="minorHAnsi"/>
        </w:rPr>
      </w:pPr>
      <w:r w:rsidRPr="00347A0B">
        <w:rPr>
          <w:rFonts w:cstheme="minorHAnsi"/>
        </w:rPr>
        <w:t>This scheme computes a backup path, that is, a primary-backup path pair (Fig. 4). The algorithm starts by computing the </w:t>
      </w:r>
      <w:r w:rsidRPr="00347A0B">
        <w:rPr>
          <w:rFonts w:cstheme="minorHAnsi"/>
          <w:i/>
          <w:iCs/>
        </w:rPr>
        <w:t>k</w:t>
      </w:r>
      <w:r w:rsidRPr="00347A0B">
        <w:rPr>
          <w:rFonts w:cstheme="minorHAnsi"/>
        </w:rPr>
        <w:t> </w:t>
      </w:r>
      <w:proofErr w:type="gramStart"/>
      <w:r w:rsidRPr="00347A0B">
        <w:rPr>
          <w:rFonts w:cstheme="minorHAnsi"/>
        </w:rPr>
        <w:t>shortest-paths</w:t>
      </w:r>
      <w:proofErr w:type="gramEnd"/>
      <w:r w:rsidRPr="00347A0B">
        <w:rPr>
          <w:rFonts w:cstheme="minorHAnsi"/>
        </w:rPr>
        <w:t xml:space="preserve"> between the source and destination. Node-disjoint protection paths are then derived for each candidate path, and the path pair with the lowest combined TE cost is chosen based on hop count or load cost. This joint computation strategy is more efficient than a greedy </w:t>
      </w:r>
      <w:r w:rsidRPr="00347A0B">
        <w:rPr>
          <w:rFonts w:cstheme="minorHAnsi"/>
          <w:i/>
          <w:iCs/>
        </w:rPr>
        <w:t>sequential</w:t>
      </w:r>
      <w:r w:rsidRPr="00347A0B">
        <w:rPr>
          <w:rFonts w:cstheme="minorHAnsi"/>
        </w:rPr>
        <w:t> approach (which first computes a primary path, prunes related links/nodes, and then computes a backup route).</w:t>
      </w:r>
    </w:p>
    <w:p w14:paraId="6C1C8AC7" w14:textId="77777777" w:rsidR="00331204" w:rsidRPr="00347A0B" w:rsidRDefault="00331204" w:rsidP="003E3822">
      <w:pPr>
        <w:pStyle w:val="Heading2"/>
      </w:pPr>
      <w:r w:rsidRPr="00347A0B">
        <w:t>Risk Minimization (RM)</w:t>
      </w:r>
    </w:p>
    <w:p w14:paraId="1E04E37D" w14:textId="77777777" w:rsidR="00331204" w:rsidRPr="00347A0B" w:rsidRDefault="00331204" w:rsidP="00347A0B">
      <w:pPr>
        <w:rPr>
          <w:rFonts w:cstheme="minorHAnsi"/>
        </w:rPr>
      </w:pPr>
      <w:r w:rsidRPr="00347A0B">
        <w:rPr>
          <w:rFonts w:cstheme="minorHAnsi"/>
        </w:rPr>
        <w:t>This scheme computes a primary working path in a “risk-averse” manner to increase reliability based upon pre-specified risk regions defined by operators, that is, occurrence probabilities and conditional node/link failure rates (p-SRLG models in the Abstraction Module). A constrained path is computed to minimize risks over a modified topology with link weights set as logarithmic functions of the risk probabilities [5], [6]. Expectedly, path reliability will depend upon the accuracy of the a-priori SRLG models.</w:t>
      </w:r>
    </w:p>
    <w:p w14:paraId="3C97FB2B" w14:textId="77777777" w:rsidR="00331204" w:rsidRPr="00347A0B" w:rsidRDefault="00331204" w:rsidP="003E3822">
      <w:pPr>
        <w:pStyle w:val="Heading2"/>
      </w:pPr>
      <w:r w:rsidRPr="00347A0B">
        <w:t>Joint Risk Minimization (JRM)</w:t>
      </w:r>
    </w:p>
    <w:p w14:paraId="2D8B6269" w14:textId="77777777" w:rsidR="00331204" w:rsidRPr="00347A0B" w:rsidRDefault="00331204" w:rsidP="00347A0B">
      <w:pPr>
        <w:rPr>
          <w:rFonts w:cstheme="minorHAnsi"/>
        </w:rPr>
      </w:pPr>
      <w:r w:rsidRPr="00347A0B">
        <w:rPr>
          <w:rFonts w:cstheme="minorHAnsi"/>
        </w:rPr>
        <w:t>This scheme extends the RM scheme to compute a “risk-averse” backup path. Namely, the </w:t>
      </w:r>
      <w:r w:rsidRPr="00347A0B">
        <w:rPr>
          <w:rFonts w:cstheme="minorHAnsi"/>
          <w:i/>
          <w:iCs/>
        </w:rPr>
        <w:t>k</w:t>
      </w:r>
      <w:r w:rsidRPr="00347A0B">
        <w:rPr>
          <w:rFonts w:cstheme="minorHAnsi"/>
        </w:rPr>
        <w:t> </w:t>
      </w:r>
      <w:proofErr w:type="gramStart"/>
      <w:r w:rsidRPr="00347A0B">
        <w:rPr>
          <w:rFonts w:cstheme="minorHAnsi"/>
        </w:rPr>
        <w:t>shortest-paths</w:t>
      </w:r>
      <w:proofErr w:type="gramEnd"/>
      <w:r w:rsidRPr="00347A0B">
        <w:rPr>
          <w:rFonts w:cstheme="minorHAnsi"/>
        </w:rPr>
        <w:t xml:space="preserve"> are computed over a modified graph using the same logarithmic link weights. Node-disjoint backup paths are then computed for each possible primary path, and the working-backup path pair with the minimum TE cost (using hop count or load balancing) is chosen (see [6]). Hence, this scheme tries to achieve a balance between cost and risk, but for small </w:t>
      </w:r>
      <w:r w:rsidRPr="00347A0B">
        <w:rPr>
          <w:rFonts w:cstheme="minorHAnsi"/>
          <w:i/>
          <w:iCs/>
        </w:rPr>
        <w:t>k</w:t>
      </w:r>
      <w:r w:rsidRPr="00347A0B">
        <w:rPr>
          <w:rFonts w:cstheme="minorHAnsi"/>
        </w:rPr>
        <w:t> values </w:t>
      </w:r>
      <w:r w:rsidRPr="00347A0B">
        <w:rPr>
          <w:rStyle w:val="mo"/>
          <w:rFonts w:cstheme="minorHAnsi"/>
          <w:bdr w:val="none" w:sz="0" w:space="0" w:color="auto" w:frame="1"/>
        </w:rPr>
        <w:t>(</w:t>
      </w:r>
      <w:r w:rsidRPr="00347A0B">
        <w:rPr>
          <w:rStyle w:val="mi"/>
          <w:rFonts w:cstheme="minorHAnsi"/>
          <w:bdr w:val="none" w:sz="0" w:space="0" w:color="auto" w:frame="1"/>
        </w:rPr>
        <w:t>k</w:t>
      </w:r>
      <w:r w:rsidRPr="00347A0B">
        <w:rPr>
          <w:rStyle w:val="mo"/>
          <w:rFonts w:cstheme="minorHAnsi"/>
          <w:bdr w:val="none" w:sz="0" w:space="0" w:color="auto" w:frame="1"/>
        </w:rPr>
        <w:t>≤</w:t>
      </w:r>
      <w:r w:rsidRPr="00347A0B">
        <w:rPr>
          <w:rStyle w:val="mn"/>
          <w:rFonts w:cstheme="minorHAnsi"/>
          <w:bdr w:val="none" w:sz="0" w:space="0" w:color="auto" w:frame="1"/>
        </w:rPr>
        <w:t>3</w:t>
      </w:r>
      <w:r w:rsidRPr="00347A0B">
        <w:rPr>
          <w:rStyle w:val="mo"/>
          <w:rFonts w:cstheme="minorHAnsi"/>
          <w:bdr w:val="none" w:sz="0" w:space="0" w:color="auto" w:frame="1"/>
        </w:rPr>
        <w:t>)</w:t>
      </w:r>
      <w:r w:rsidRPr="00347A0B">
        <w:rPr>
          <w:rFonts w:cstheme="minorHAnsi"/>
        </w:rPr>
        <w:t> will still favor the latter.</w:t>
      </w:r>
    </w:p>
    <w:p w14:paraId="574B1C0D" w14:textId="77777777" w:rsidR="00331204" w:rsidRPr="00347A0B" w:rsidRDefault="00331204" w:rsidP="003E3822">
      <w:pPr>
        <w:pStyle w:val="Heading2"/>
      </w:pPr>
      <w:r w:rsidRPr="00347A0B">
        <w:t>Post-Fault Restoration (PFR)</w:t>
      </w:r>
    </w:p>
    <w:p w14:paraId="77800A9E" w14:textId="77777777" w:rsidR="00331204" w:rsidRPr="00347A0B" w:rsidRDefault="00331204" w:rsidP="00347A0B">
      <w:pPr>
        <w:rPr>
          <w:rFonts w:cstheme="minorHAnsi"/>
        </w:rPr>
      </w:pPr>
      <w:r w:rsidRPr="00347A0B">
        <w:rPr>
          <w:rFonts w:cstheme="minorHAnsi"/>
        </w:rPr>
        <w:t>This method focuses on </w:t>
      </w:r>
      <w:r w:rsidRPr="00347A0B">
        <w:rPr>
          <w:rFonts w:cstheme="minorHAnsi"/>
          <w:i/>
          <w:iCs/>
        </w:rPr>
        <w:t>post-fault</w:t>
      </w:r>
      <w:r w:rsidRPr="00347A0B">
        <w:rPr>
          <w:rFonts w:cstheme="minorHAnsi"/>
        </w:rPr>
        <w:t> recovery and ca</w:t>
      </w:r>
      <w:r w:rsidRPr="00347A0B">
        <w:rPr>
          <w:rFonts w:cstheme="minorHAnsi"/>
          <w:i/>
          <w:iCs/>
        </w:rPr>
        <w:t>n</w:t>
      </w:r>
      <w:r w:rsidRPr="00347A0B">
        <w:rPr>
          <w:rFonts w:cstheme="minorHAnsi"/>
        </w:rPr>
        <w:t> be used in conjunction with any of the above schemes. The RPC module waits for a pre-defined hold-off time to allow the Abstraction Module to collect updated topological and path service state. New routes are then re-computed for affected paths experiencing one/more link failures to re-</w:t>
      </w:r>
      <w:proofErr w:type="spellStart"/>
      <w:r w:rsidRPr="00347A0B">
        <w:rPr>
          <w:rFonts w:cstheme="minorHAnsi"/>
        </w:rPr>
        <w:t>estab</w:t>
      </w:r>
      <w:proofErr w:type="spellEnd"/>
      <w:r w:rsidRPr="00347A0B">
        <w:rPr>
          <w:rFonts w:cstheme="minorHAnsi"/>
        </w:rPr>
        <w:t>-</w:t>
      </w:r>
      <w:proofErr w:type="spellStart"/>
      <w:r w:rsidRPr="00347A0B">
        <w:rPr>
          <w:rFonts w:cstheme="minorHAnsi"/>
        </w:rPr>
        <w:t>lish</w:t>
      </w:r>
      <w:proofErr w:type="spellEnd"/>
      <w:r w:rsidRPr="00347A0B">
        <w:rPr>
          <w:rFonts w:cstheme="minorHAnsi"/>
        </w:rPr>
        <w:t xml:space="preserve"> connectivity. The affected paths are randomly selected for recovery, and path re-computation is done using the baseline NP scheme.</w:t>
      </w:r>
    </w:p>
    <w:p w14:paraId="06243ED2" w14:textId="77777777" w:rsidR="00331204" w:rsidRPr="00347A0B" w:rsidRDefault="00331204" w:rsidP="00347A0B">
      <w:pPr>
        <w:rPr>
          <w:rFonts w:cstheme="minorHAnsi"/>
        </w:rPr>
      </w:pPr>
      <w:r w:rsidRPr="00347A0B">
        <w:rPr>
          <w:rFonts w:cstheme="minorHAnsi"/>
        </w:rPr>
        <w:t>After computation, the path is translated/ stored in a path service model in the Abstraction Module database (see Fig. 2). Note that the unprotected NP and JRM schemes only store one main path, whereas the protected SP and JRM schemes store </w:t>
      </w:r>
      <w:proofErr w:type="spellStart"/>
      <w:r w:rsidRPr="00347A0B">
        <w:rPr>
          <w:rFonts w:cstheme="minorHAnsi"/>
          <w:i/>
          <w:iCs/>
        </w:rPr>
        <w:t>an</w:t>
      </w:r>
      <w:r w:rsidRPr="00347A0B">
        <w:rPr>
          <w:rFonts w:cstheme="minorHAnsi"/>
        </w:rPr>
        <w:t>additional</w:t>
      </w:r>
      <w:proofErr w:type="spellEnd"/>
      <w:r w:rsidRPr="00347A0B">
        <w:rPr>
          <w:rFonts w:cstheme="minorHAnsi"/>
        </w:rPr>
        <w:t xml:space="preserve"> backup path (albeit only one is active, as detailed next).</w:t>
      </w:r>
    </w:p>
    <w:p w14:paraId="378AB5A9" w14:textId="77777777" w:rsidR="00331204" w:rsidRPr="00347A0B" w:rsidRDefault="00331204" w:rsidP="001D1FC9">
      <w:pPr>
        <w:pStyle w:val="Heading1"/>
      </w:pPr>
      <w:r w:rsidRPr="00347A0B">
        <w:t>ONOS Driver</w:t>
      </w:r>
    </w:p>
    <w:p w14:paraId="5F67F726" w14:textId="77777777" w:rsidR="00331204" w:rsidRPr="00347A0B" w:rsidRDefault="00331204" w:rsidP="00347A0B">
      <w:pPr>
        <w:rPr>
          <w:rFonts w:cstheme="minorHAnsi"/>
        </w:rPr>
      </w:pPr>
      <w:r w:rsidRPr="00347A0B">
        <w:rPr>
          <w:rFonts w:cstheme="minorHAnsi"/>
          <w:i/>
          <w:iCs/>
        </w:rPr>
        <w:t>ONOS</w:t>
      </w:r>
      <w:r w:rsidRPr="00347A0B">
        <w:rPr>
          <w:rFonts w:cstheme="minorHAnsi"/>
        </w:rPr>
        <w:t> provides a framework for managing </w:t>
      </w:r>
      <w:r w:rsidRPr="00347A0B">
        <w:rPr>
          <w:rFonts w:cstheme="minorHAnsi"/>
          <w:i/>
          <w:iCs/>
        </w:rPr>
        <w:t>Open-Flow-capable</w:t>
      </w:r>
      <w:r w:rsidRPr="00347A0B">
        <w:rPr>
          <w:rFonts w:cstheme="minorHAnsi"/>
        </w:rPr>
        <w:t> devices. Leveraging this, the ONOS Driver module in Fig. 2 implements the main interface with the underlying ONOS controller via the ONOS REST representational state transfer (REST) API. Several key directional transfers are implemented. Foremost, topology state is pulled in the </w:t>
      </w:r>
      <w:r w:rsidRPr="00347A0B">
        <w:rPr>
          <w:rFonts w:cstheme="minorHAnsi"/>
          <w:i/>
          <w:iCs/>
        </w:rPr>
        <w:t>northbound</w:t>
      </w:r>
      <w:r w:rsidRPr="00347A0B">
        <w:rPr>
          <w:rFonts w:cstheme="minorHAnsi"/>
        </w:rPr>
        <w:t> direction from SDN-enabled devices, that is, to populate the Abstraction Module database when prompted by an incoming request. Meanwhile, path route information is pushed in the </w:t>
      </w:r>
      <w:r w:rsidRPr="00347A0B">
        <w:rPr>
          <w:rFonts w:cstheme="minorHAnsi"/>
          <w:i/>
          <w:iCs/>
        </w:rPr>
        <w:t>southbound</w:t>
      </w:r>
      <w:r w:rsidRPr="00347A0B">
        <w:rPr>
          <w:rFonts w:cstheme="minorHAnsi"/>
        </w:rPr>
        <w:t> direction to instantiate end-to-end routes. Namely, the ONOS Driver retrieves the relevant path request service model from the Abstraction Module to obtain the flow rules, that is, frame processing/forwarding. This model is then parsed and encoded into JavaScript object notation (JSON) format and sent to the ONOS controller to distribute to all path nodes. The OpenFlow flow identification numbers (FID) assigned to each deployed flow are also retrieved and passed to the Abstraction Module database to track the deployed flow rules, that is, northbound transfer.</w:t>
      </w:r>
    </w:p>
    <w:p w14:paraId="32815615" w14:textId="77777777" w:rsidR="00331204" w:rsidRPr="00347A0B" w:rsidRDefault="00331204" w:rsidP="00347A0B">
      <w:pPr>
        <w:rPr>
          <w:rFonts w:cstheme="minorHAnsi"/>
        </w:rPr>
      </w:pPr>
      <w:r w:rsidRPr="00347A0B">
        <w:rPr>
          <w:rFonts w:cstheme="minorHAnsi"/>
        </w:rPr>
        <w:t xml:space="preserve">Now only one path service model can be active at a given time for a demand. Hence, primary path rule sets are established after a request is processed. However, for protected demands (SP, JRM schemes), backup path switchover/ reversion is only performed after link/node failures are detected. Here the ONOS Driver module </w:t>
      </w:r>
      <w:r w:rsidRPr="00347A0B">
        <w:rPr>
          <w:rFonts w:cstheme="minorHAnsi"/>
        </w:rPr>
        <w:lastRenderedPageBreak/>
        <w:t>retrieves </w:t>
      </w:r>
      <w:r w:rsidRPr="00347A0B">
        <w:rPr>
          <w:rFonts w:cstheme="minorHAnsi"/>
          <w:b/>
          <w:bCs/>
        </w:rPr>
        <w:t>all</w:t>
      </w:r>
      <w:r w:rsidRPr="00347A0B">
        <w:rPr>
          <w:rFonts w:cstheme="minorHAnsi"/>
        </w:rPr>
        <w:t> </w:t>
      </w:r>
      <w:proofErr w:type="gramStart"/>
      <w:r w:rsidRPr="00347A0B">
        <w:rPr>
          <w:rFonts w:cstheme="minorHAnsi"/>
        </w:rPr>
        <w:t>currently-active</w:t>
      </w:r>
      <w:proofErr w:type="gramEnd"/>
      <w:r w:rsidRPr="00347A0B">
        <w:rPr>
          <w:rFonts w:cstheme="minorHAnsi"/>
        </w:rPr>
        <w:t xml:space="preserve"> primary FID routes from the Abstraction Module database and signals the ONOS controller to remove affected flows with failed link(s). Flow rules for all corresponding backup paths (unaffected by failures) are then pushed to the SDN controller to re-establish routes. Now if path protection is not provisioned (NP, SP, or RM schemes) and/or backup protection paths are also affected by failures, then the PFR scheme can (optionally) be used to recover failed routes. Here the ONOS Driver removes the SDN flow table entries for affected paths by invoking a procedure to retrieve failure-affected paths. For each such path, the PFR algorithm searches for a recovery path and allocates bandwidth on its links before performing switchover. Akin to the pre-computation schemes, this approach relies on a service request model with a source and destination pair. Once the shortest path is computed, a service model is defined and stored in the database.</w:t>
      </w:r>
    </w:p>
    <w:p w14:paraId="26D01EF9" w14:textId="77777777" w:rsidR="00331204" w:rsidRPr="00347A0B" w:rsidRDefault="00331204" w:rsidP="00347A0B">
      <w:pPr>
        <w:rPr>
          <w:rFonts w:cstheme="minorHAnsi"/>
        </w:rPr>
      </w:pPr>
      <w:r w:rsidRPr="00347A0B">
        <w:rPr>
          <w:rFonts w:cstheme="minorHAnsi"/>
        </w:rPr>
        <w:t>Note that larger multi-area networks will require multiple (SDN) controllers, mandating distributed inter-domain path computation. Specifically, multiple ONOS Driver instances will have to be instantiated to communicate (push, pull) required topology information between peer SDN controllers. However, inter-domain path computation is complicated by the lack of global visibility, </w:t>
      </w:r>
      <w:r w:rsidRPr="00347A0B">
        <w:rPr>
          <w:rFonts w:cstheme="minorHAnsi"/>
          <w:i/>
          <w:iCs/>
        </w:rPr>
        <w:t>and</w:t>
      </w:r>
      <w:r w:rsidRPr="00347A0B">
        <w:rPr>
          <w:rFonts w:cstheme="minorHAnsi"/>
        </w:rPr>
        <w:t> many different schemes have been proposed.</w:t>
      </w:r>
    </w:p>
    <w:p w14:paraId="19410AE7" w14:textId="77777777" w:rsidR="00331204" w:rsidRPr="00347A0B" w:rsidRDefault="00331204" w:rsidP="00347A0B">
      <w:pPr>
        <w:rPr>
          <w:rFonts w:cstheme="minorHAnsi"/>
        </w:rPr>
      </w:pPr>
      <w:r w:rsidRPr="00347A0B">
        <w:rPr>
          <w:rFonts w:cstheme="minorHAnsi"/>
        </w:rPr>
        <w:t>Note that larger </w:t>
      </w:r>
      <w:r w:rsidRPr="00347A0B">
        <w:rPr>
          <w:rFonts w:cstheme="minorHAnsi"/>
          <w:i/>
          <w:iCs/>
        </w:rPr>
        <w:t>multi-area</w:t>
      </w:r>
      <w:r w:rsidRPr="00347A0B">
        <w:rPr>
          <w:rFonts w:cstheme="minorHAnsi"/>
        </w:rPr>
        <w:t> networks will require multiple (SDN) controllers, mandating distributed </w:t>
      </w:r>
      <w:r w:rsidRPr="00347A0B">
        <w:rPr>
          <w:rFonts w:cstheme="minorHAnsi"/>
          <w:i/>
          <w:iCs/>
        </w:rPr>
        <w:t>inter-domain</w:t>
      </w:r>
      <w:r w:rsidRPr="00347A0B">
        <w:rPr>
          <w:rFonts w:cstheme="minorHAnsi"/>
        </w:rPr>
        <w:t> path computation. Specifically, multiple ONOS Driver modules will have to be instantiated to communicate (push, pull) required topology information between peer SDN controllers. However, inter-domain path computation is complicated by the lack of global visibility, and many different schemes have been proposed (see [7], [13]). Owing to these complexities, such features are left for future study.</w:t>
      </w:r>
    </w:p>
    <w:p w14:paraId="6F4C0E97" w14:textId="77777777" w:rsidR="00331204" w:rsidRPr="00347A0B" w:rsidRDefault="00331204" w:rsidP="001D1FC9">
      <w:pPr>
        <w:pStyle w:val="Heading1"/>
      </w:pPr>
      <w:r w:rsidRPr="00347A0B">
        <w:t>Testbed Study</w:t>
      </w:r>
    </w:p>
    <w:p w14:paraId="53D8AC6B" w14:textId="77777777" w:rsidR="00331204" w:rsidRPr="00347A0B" w:rsidRDefault="00331204" w:rsidP="00347A0B">
      <w:pPr>
        <w:rPr>
          <w:rFonts w:cstheme="minorHAnsi"/>
        </w:rPr>
      </w:pPr>
      <w:r w:rsidRPr="00347A0B">
        <w:rPr>
          <w:rFonts w:cstheme="minorHAnsi"/>
        </w:rPr>
        <w:t xml:space="preserve">The resilient SDN-based MANO framework is implemented in an advanced testbed and evaluated for a range of nuclear EMP threats. The impact of such attacks is best gauged for a large </w:t>
      </w:r>
      <w:proofErr w:type="spellStart"/>
      <w:r w:rsidRPr="00347A0B">
        <w:rPr>
          <w:rFonts w:cstheme="minorHAnsi"/>
        </w:rPr>
        <w:t>conti</w:t>
      </w:r>
      <w:proofErr w:type="spellEnd"/>
      <w:r w:rsidRPr="00347A0B">
        <w:rPr>
          <w:rFonts w:cstheme="minorHAnsi"/>
        </w:rPr>
        <w:t>-</w:t>
      </w:r>
      <w:proofErr w:type="spellStart"/>
      <w:r w:rsidRPr="00347A0B">
        <w:rPr>
          <w:rFonts w:cstheme="minorHAnsi"/>
        </w:rPr>
        <w:t>nental</w:t>
      </w:r>
      <w:proofErr w:type="spellEnd"/>
      <w:r w:rsidRPr="00347A0B">
        <w:rPr>
          <w:rFonts w:cstheme="minorHAnsi"/>
        </w:rPr>
        <w:t>-sized backbone, and hence the testbed uses a realistic 75 node/99 link Continental US (CONUS) topology from the Defense Advanced Research Project Agency (DARPA) CORONET project [15]. This network is implemented using a combination of real-world physical and soft-ware-emulated network nodes and links. Specifically, five </w:t>
      </w:r>
      <w:r w:rsidRPr="00347A0B">
        <w:rPr>
          <w:rFonts w:cstheme="minorHAnsi"/>
          <w:i/>
          <w:iCs/>
        </w:rPr>
        <w:t xml:space="preserve">OpenFlow-enabled </w:t>
      </w:r>
      <w:proofErr w:type="spellStart"/>
      <w:r w:rsidRPr="00347A0B">
        <w:rPr>
          <w:rFonts w:cstheme="minorHAnsi"/>
          <w:i/>
          <w:iCs/>
        </w:rPr>
        <w:t>iwNetworks</w:t>
      </w:r>
      <w:proofErr w:type="spellEnd"/>
      <w:r w:rsidRPr="00347A0B">
        <w:rPr>
          <w:rFonts w:cstheme="minorHAnsi"/>
          <w:i/>
          <w:iCs/>
        </w:rPr>
        <w:t xml:space="preserve"> Pronto 3290</w:t>
      </w:r>
      <w:r w:rsidRPr="00347A0B">
        <w:rPr>
          <w:rFonts w:cstheme="minorHAnsi"/>
        </w:rPr>
        <w:t> bare-metal switches are used to build part of the CONUS network at the University of Maryland Mid-Atlantic Crossroads (MAX) facility. The remaining nodes and links are emulated in </w:t>
      </w:r>
      <w:proofErr w:type="spellStart"/>
      <w:r w:rsidRPr="00347A0B">
        <w:rPr>
          <w:rFonts w:cstheme="minorHAnsi"/>
          <w:i/>
          <w:iCs/>
        </w:rPr>
        <w:t>Mininet</w:t>
      </w:r>
      <w:proofErr w:type="spellEnd"/>
      <w:r w:rsidRPr="00347A0B">
        <w:rPr>
          <w:rFonts w:cstheme="minorHAnsi"/>
        </w:rPr>
        <w:t> on a quad-core Intel Xeon E3-1200 processor with 8 gigabytes of memory. </w:t>
      </w:r>
      <w:r w:rsidRPr="00347A0B">
        <w:rPr>
          <w:rFonts w:cstheme="minorHAnsi"/>
          <w:b/>
          <w:bCs/>
        </w:rPr>
        <w:t>All</w:t>
      </w:r>
      <w:r w:rsidRPr="00347A0B">
        <w:rPr>
          <w:rFonts w:cstheme="minorHAnsi"/>
        </w:rPr>
        <w:t> key system modules (Fig. 3) are separately implemented i</w:t>
      </w:r>
      <w:r w:rsidRPr="00347A0B">
        <w:rPr>
          <w:rFonts w:cstheme="minorHAnsi"/>
          <w:i/>
          <w:iCs/>
        </w:rPr>
        <w:t>n</w:t>
      </w:r>
      <w:r w:rsidRPr="00347A0B">
        <w:rPr>
          <w:rFonts w:cstheme="minorHAnsi"/>
        </w:rPr>
        <w:t> a quad-core Intel Xeon E3-1200 processor with 32 gigabytes of memory.</w:t>
      </w:r>
    </w:p>
    <w:p w14:paraId="3A5B5E90" w14:textId="77777777" w:rsidR="00331204" w:rsidRPr="00347A0B" w:rsidRDefault="00331204" w:rsidP="00347A0B">
      <w:pPr>
        <w:rPr>
          <w:rFonts w:cstheme="minorHAnsi"/>
        </w:rPr>
      </w:pPr>
      <w:r w:rsidRPr="00347A0B">
        <w:rPr>
          <w:rFonts w:cstheme="minorHAnsi"/>
        </w:rPr>
        <w:t>A range of potential EMP attacks are developed for the central United States. This region is of key strategic interest (vulnerability) since its nodes/links serve in critical </w:t>
      </w:r>
      <w:r w:rsidRPr="00347A0B">
        <w:rPr>
          <w:rFonts w:cstheme="minorHAnsi"/>
          <w:i/>
          <w:iCs/>
        </w:rPr>
        <w:t>transit</w:t>
      </w:r>
      <w:r w:rsidRPr="00347A0B">
        <w:rPr>
          <w:rFonts w:cstheme="minorHAnsi"/>
        </w:rPr>
        <w:t xml:space="preserve"> roles for cross-country routes. Note that several stressors are also tested over the East and West Coast regions, but these give low recovery rates since a large percentage of the failed nodes are source/ destination </w:t>
      </w:r>
      <w:proofErr w:type="gramStart"/>
      <w:r w:rsidRPr="00347A0B">
        <w:rPr>
          <w:rFonts w:cstheme="minorHAnsi"/>
        </w:rPr>
        <w:t>end-points</w:t>
      </w:r>
      <w:proofErr w:type="gramEnd"/>
      <w:r w:rsidRPr="00347A0B">
        <w:rPr>
          <w:rFonts w:cstheme="minorHAnsi"/>
        </w:rPr>
        <w:t>, that is, they need physical repair. Now as detailed i</w:t>
      </w:r>
      <w:r w:rsidRPr="00347A0B">
        <w:rPr>
          <w:rFonts w:cstheme="minorHAnsi"/>
          <w:i/>
          <w:iCs/>
        </w:rPr>
        <w:t>n</w:t>
      </w:r>
      <w:r w:rsidRPr="00347A0B">
        <w:rPr>
          <w:rFonts w:cstheme="minorHAnsi"/>
        </w:rPr>
        <w:t> [1], low-altitude EMP attacks (</w:t>
      </w:r>
      <w:proofErr w:type="spellStart"/>
      <w:r w:rsidRPr="00347A0B">
        <w:rPr>
          <w:rFonts w:cstheme="minorHAnsi"/>
        </w:rPr>
        <w:t>HoB</w:t>
      </w:r>
      <w:proofErr w:type="spellEnd"/>
      <w:r w:rsidRPr="00347A0B">
        <w:rPr>
          <w:rFonts w:cstheme="minorHAnsi"/>
        </w:rPr>
        <w:t xml:space="preserve"> in 50–300 miles) exhibit “</w:t>
      </w:r>
      <w:proofErr w:type="spellStart"/>
      <w:r w:rsidRPr="00347A0B">
        <w:rPr>
          <w:rFonts w:cstheme="minorHAnsi"/>
        </w:rPr>
        <w:t>smi</w:t>
      </w:r>
      <w:proofErr w:type="spellEnd"/>
      <w:r w:rsidRPr="00347A0B">
        <w:rPr>
          <w:rFonts w:cstheme="minorHAnsi"/>
        </w:rPr>
        <w:t>-ley face” geometries (due to Earth's magnetic fields) with three failure sub-regions (see Fig. 5a). The (red) sub-region closest to the epicenter experiences near complete failure of unshielded nodes and links. The wider surrounding (</w:t>
      </w:r>
      <w:proofErr w:type="spellStart"/>
      <w:r w:rsidRPr="00347A0B">
        <w:rPr>
          <w:rFonts w:cstheme="minorHAnsi"/>
        </w:rPr>
        <w:t>yel</w:t>
      </w:r>
      <w:proofErr w:type="spellEnd"/>
      <w:r w:rsidRPr="00347A0B">
        <w:rPr>
          <w:rFonts w:cstheme="minorHAnsi"/>
        </w:rPr>
        <w:t xml:space="preserve">-low) sub-region also sees relatively high failures, that is, 75 percent range. However, the outer (green) sub-region has notably lower outages, averaging 20 percent. Based on this, three EMP attack types are defined, as shown superimposed over the CORONET test network in Fig. 5. These stressors include a </w:t>
      </w:r>
      <w:proofErr w:type="gramStart"/>
      <w:r w:rsidRPr="00347A0B">
        <w:rPr>
          <w:rFonts w:cstheme="minorHAnsi"/>
        </w:rPr>
        <w:t>50 mile</w:t>
      </w:r>
      <w:proofErr w:type="gramEnd"/>
      <w:r w:rsidRPr="00347A0B">
        <w:rPr>
          <w:rFonts w:cstheme="minorHAnsi"/>
        </w:rPr>
        <w:t xml:space="preserve"> </w:t>
      </w:r>
      <w:proofErr w:type="spellStart"/>
      <w:r w:rsidRPr="00347A0B">
        <w:rPr>
          <w:rFonts w:cstheme="minorHAnsi"/>
        </w:rPr>
        <w:t>HoB</w:t>
      </w:r>
      <w:proofErr w:type="spellEnd"/>
      <w:r w:rsidRPr="00347A0B">
        <w:rPr>
          <w:rFonts w:cstheme="minorHAnsi"/>
        </w:rPr>
        <w:t xml:space="preserve"> with 700 mile diameter (Stressor 1, Fig. 5a), an 80 mile </w:t>
      </w:r>
      <w:proofErr w:type="spellStart"/>
      <w:r w:rsidRPr="00347A0B">
        <w:rPr>
          <w:rFonts w:cstheme="minorHAnsi"/>
        </w:rPr>
        <w:t>HoB</w:t>
      </w:r>
      <w:proofErr w:type="spellEnd"/>
      <w:r w:rsidRPr="00347A0B">
        <w:rPr>
          <w:rFonts w:cstheme="minorHAnsi"/>
        </w:rPr>
        <w:t xml:space="preserve"> with 1,120 mile diameter (Stressor 2, Fig. 5b), and a 100 mile </w:t>
      </w:r>
      <w:proofErr w:type="spellStart"/>
      <w:r w:rsidRPr="00347A0B">
        <w:rPr>
          <w:rFonts w:cstheme="minorHAnsi"/>
        </w:rPr>
        <w:t>HoB</w:t>
      </w:r>
      <w:proofErr w:type="spellEnd"/>
      <w:r w:rsidRPr="00347A0B">
        <w:rPr>
          <w:rFonts w:cstheme="minorHAnsi"/>
        </w:rPr>
        <w:t xml:space="preserve"> with 1,440 mile diameter (Stressor 3, Fig. 5b). The smaller Stressor 1 tests are further evaluated for five epicenters to gauge geographic sensitivity, that is, Central (C), West Central (WC), East Central (EC), South Central (SC), and North Central (NC) (see Fig. 5a). Also, three random permutations are averaged for each stressor site to evaluate different node/ link failure combinations i</w:t>
      </w:r>
      <w:r w:rsidRPr="00347A0B">
        <w:rPr>
          <w:rFonts w:cstheme="minorHAnsi"/>
          <w:i/>
          <w:iCs/>
        </w:rPr>
        <w:t>n</w:t>
      </w:r>
      <w:r w:rsidRPr="00347A0B">
        <w:rPr>
          <w:rFonts w:cstheme="minorHAnsi"/>
        </w:rPr>
        <w:t xml:space="preserve"> the yellow and green regions. Meanwhile, the larger Stressor 2 and 3 scenarios are only tested for one epicenter as they span most of the central United States, that is, almost cause </w:t>
      </w:r>
      <w:r w:rsidRPr="00347A0B">
        <w:rPr>
          <w:rFonts w:cstheme="minorHAnsi"/>
        </w:rPr>
        <w:lastRenderedPageBreak/>
        <w:t xml:space="preserve">network partitioning. Still, three random permutations are tested. Note that these test cases include link failures between surviving/working </w:t>
      </w:r>
      <w:proofErr w:type="gramStart"/>
      <w:r w:rsidRPr="00347A0B">
        <w:rPr>
          <w:rFonts w:cstheme="minorHAnsi"/>
        </w:rPr>
        <w:t>end-points</w:t>
      </w:r>
      <w:proofErr w:type="gramEnd"/>
      <w:r w:rsidRPr="00347A0B">
        <w:rPr>
          <w:rFonts w:cstheme="minorHAnsi"/>
        </w:rPr>
        <w:t xml:space="preserve">, that is, to model optical </w:t>
      </w:r>
      <w:proofErr w:type="spellStart"/>
      <w:r w:rsidRPr="00347A0B">
        <w:rPr>
          <w:rFonts w:cstheme="minorHAnsi"/>
        </w:rPr>
        <w:t>amolifier</w:t>
      </w:r>
      <w:proofErr w:type="spellEnd"/>
      <w:r w:rsidRPr="00347A0B">
        <w:rPr>
          <w:rFonts w:cstheme="minorHAnsi"/>
        </w:rPr>
        <w:t>/link failures.</w:t>
      </w:r>
    </w:p>
    <w:p w14:paraId="5E477E0C" w14:textId="0F009DDD" w:rsidR="00331204" w:rsidRPr="00347A0B" w:rsidRDefault="00331204" w:rsidP="001D1FC9">
      <w:pPr>
        <w:spacing w:after="0"/>
        <w:rPr>
          <w:rStyle w:val="Hyperlink"/>
          <w:rFonts w:cstheme="minorHAnsi"/>
          <w:color w:val="006699"/>
          <w:u w:val="none"/>
        </w:rPr>
      </w:pPr>
      <w:r w:rsidRPr="00347A0B">
        <w:rPr>
          <w:rFonts w:cstheme="minorHAnsi"/>
        </w:rPr>
        <w:fldChar w:fldCharType="begin"/>
      </w:r>
      <w:r w:rsidRPr="00347A0B">
        <w:rPr>
          <w:rFonts w:cstheme="minorHAnsi"/>
        </w:rPr>
        <w:instrText xml:space="preserve"> HYPERLINK "https://ieeexplore.ieee.org/mediastore_new/IEEE/content/media/35/8613256/8594707/8594707-fig-5-source-large.gif" </w:instrText>
      </w:r>
      <w:r w:rsidRPr="00347A0B">
        <w:rPr>
          <w:rFonts w:cstheme="minorHAnsi"/>
        </w:rPr>
        <w:fldChar w:fldCharType="separate"/>
      </w:r>
      <w:r w:rsidRPr="00347A0B">
        <w:rPr>
          <w:rFonts w:cstheme="minorHAnsi"/>
          <w:noProof/>
          <w:color w:val="006699"/>
        </w:rPr>
        <w:drawing>
          <wp:inline distT="0" distB="0" distL="0" distR="0" wp14:anchorId="0F7D3FFC" wp14:editId="2B63F999">
            <wp:extent cx="2743200" cy="923544"/>
            <wp:effectExtent l="0" t="0" r="0" b="0"/>
            <wp:docPr id="3" name="Picture 3" descr="Figure 5. Nuclear EMP stressor footprints over 75-node CONUS topology: a) Stressor 1 (50 mile HoB); b) Stressors 2, 3 (80, 100 m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923544"/>
                    </a:xfrm>
                    <a:prstGeom prst="rect">
                      <a:avLst/>
                    </a:prstGeom>
                    <a:noFill/>
                    <a:ln>
                      <a:noFill/>
                    </a:ln>
                  </pic:spPr>
                </pic:pic>
              </a:graphicData>
            </a:graphic>
          </wp:inline>
        </w:drawing>
      </w:r>
    </w:p>
    <w:p w14:paraId="3C862CB2" w14:textId="4200C870" w:rsidR="00331204" w:rsidRPr="00347A0B" w:rsidRDefault="00331204" w:rsidP="00347A0B">
      <w:pPr>
        <w:rPr>
          <w:rFonts w:cstheme="minorHAnsi"/>
          <w:color w:val="666666"/>
        </w:rPr>
      </w:pPr>
      <w:r w:rsidRPr="00347A0B">
        <w:rPr>
          <w:rFonts w:cstheme="minorHAnsi"/>
        </w:rPr>
        <w:fldChar w:fldCharType="end"/>
      </w:r>
      <w:r w:rsidRPr="00347A0B">
        <w:rPr>
          <w:rFonts w:cstheme="minorHAnsi"/>
          <w:b/>
          <w:bCs/>
          <w:color w:val="666666"/>
        </w:rPr>
        <w:t>Figure 5.</w:t>
      </w:r>
      <w:r w:rsidR="001D1FC9">
        <w:rPr>
          <w:rFonts w:cstheme="minorHAnsi"/>
          <w:b/>
          <w:bCs/>
          <w:color w:val="666666"/>
        </w:rPr>
        <w:t xml:space="preserve"> </w:t>
      </w:r>
      <w:r w:rsidRPr="00347A0B">
        <w:rPr>
          <w:rFonts w:cstheme="minorHAnsi"/>
          <w:color w:val="666666"/>
        </w:rPr>
        <w:t>Nuclear EMP stressor footprints over 75-node CONUS topology: a) Stressor 1 (</w:t>
      </w:r>
      <w:proofErr w:type="gramStart"/>
      <w:r w:rsidRPr="00347A0B">
        <w:rPr>
          <w:rFonts w:cstheme="minorHAnsi"/>
          <w:color w:val="666666"/>
        </w:rPr>
        <w:t>50 mile</w:t>
      </w:r>
      <w:proofErr w:type="gramEnd"/>
      <w:r w:rsidRPr="00347A0B">
        <w:rPr>
          <w:rFonts w:cstheme="minorHAnsi"/>
          <w:color w:val="666666"/>
        </w:rPr>
        <w:t xml:space="preserve"> </w:t>
      </w:r>
      <w:proofErr w:type="spellStart"/>
      <w:r w:rsidRPr="00347A0B">
        <w:rPr>
          <w:rFonts w:cstheme="minorHAnsi"/>
          <w:color w:val="666666"/>
        </w:rPr>
        <w:t>HoB</w:t>
      </w:r>
      <w:proofErr w:type="spellEnd"/>
      <w:r w:rsidRPr="00347A0B">
        <w:rPr>
          <w:rFonts w:cstheme="minorHAnsi"/>
          <w:color w:val="666666"/>
        </w:rPr>
        <w:t>); b) Stressors 2, 3 (80, 100 mile).</w:t>
      </w:r>
    </w:p>
    <w:p w14:paraId="3EA75B5D" w14:textId="77777777" w:rsidR="00331204" w:rsidRPr="00347A0B" w:rsidRDefault="00331204" w:rsidP="00347A0B">
      <w:pPr>
        <w:rPr>
          <w:rFonts w:cstheme="minorHAnsi"/>
        </w:rPr>
      </w:pPr>
      <w:r w:rsidRPr="00347A0B">
        <w:rPr>
          <w:rFonts w:cstheme="minorHAnsi"/>
        </w:rPr>
        <w:t>The scenarios are evaluated for medium-to-heavy load with 100 cross-country connections between random East and West Coast locations (requesting 5 percent link capacity). In general, these test cases represent </w:t>
      </w:r>
      <w:r w:rsidRPr="00347A0B">
        <w:rPr>
          <w:rFonts w:cstheme="minorHAnsi"/>
          <w:i/>
          <w:iCs/>
        </w:rPr>
        <w:t>an</w:t>
      </w:r>
      <w:r w:rsidRPr="00347A0B">
        <w:rPr>
          <w:rFonts w:cstheme="minorHAnsi"/>
        </w:rPr>
        <w:t xml:space="preserve"> optical backbone carrying wavelength </w:t>
      </w:r>
      <w:proofErr w:type="spellStart"/>
      <w:r w:rsidRPr="00347A0B">
        <w:rPr>
          <w:rFonts w:cstheme="minorHAnsi"/>
        </w:rPr>
        <w:t>lightpaths</w:t>
      </w:r>
      <w:proofErr w:type="spellEnd"/>
      <w:r w:rsidRPr="00347A0B">
        <w:rPr>
          <w:rFonts w:cstheme="minorHAnsi"/>
        </w:rPr>
        <w:t xml:space="preserve"> with full/ adequate conversion and regeneration. Now the actual “attacks” are triggered by running scripts to fail the impacted nodes/links specified </w:t>
      </w:r>
      <w:proofErr w:type="spellStart"/>
      <w:r w:rsidRPr="00347A0B">
        <w:rPr>
          <w:rFonts w:cstheme="minorHAnsi"/>
        </w:rPr>
        <w:t>i</w:t>
      </w:r>
      <w:r w:rsidRPr="00347A0B">
        <w:rPr>
          <w:rFonts w:cstheme="minorHAnsi"/>
          <w:i/>
          <w:iCs/>
        </w:rPr>
        <w:t>n</w:t>
      </w:r>
      <w:r w:rsidRPr="00347A0B">
        <w:rPr>
          <w:rFonts w:cstheme="minorHAnsi"/>
        </w:rPr>
        <w:t>the</w:t>
      </w:r>
      <w:proofErr w:type="spellEnd"/>
      <w:r w:rsidRPr="00347A0B">
        <w:rPr>
          <w:rFonts w:cstheme="minorHAnsi"/>
        </w:rPr>
        <w:t xml:space="preserve"> test cases. As noted earlier, the “risk-aware” (RM, JRM) schemes require a-priori SRRG regions for path computation and hence three types are defined/inputted, that is, East Coast, Central, and West Coast. As the Central region is most relevant here, its SRRG footprint is purposely set different from any of the test cases (Stressors 1–3 in Fig. 5). This choice injects a high degree of realism as actual and predicted failures will rarely match. A subset of tests </w:t>
      </w:r>
      <w:proofErr w:type="gramStart"/>
      <w:r w:rsidRPr="00347A0B">
        <w:rPr>
          <w:rFonts w:cstheme="minorHAnsi"/>
        </w:rPr>
        <w:t>are</w:t>
      </w:r>
      <w:proofErr w:type="gramEnd"/>
      <w:r w:rsidRPr="00347A0B">
        <w:rPr>
          <w:rFonts w:cstheme="minorHAnsi"/>
        </w:rPr>
        <w:t xml:space="preserve"> also done using a minimum level of EMP hardening. Twenty percent of nodes and links (opto-electronic regeneration units) in the central region of the CONUS network are assumed to be immune to E1 and E2 effects, for example, via MIL 188–125 or TEMPEST shielding.</w:t>
      </w:r>
    </w:p>
    <w:p w14:paraId="3568CCCA" w14:textId="77777777" w:rsidR="00331204" w:rsidRPr="00347A0B" w:rsidRDefault="00331204" w:rsidP="00347A0B">
      <w:pPr>
        <w:rPr>
          <w:rFonts w:cstheme="minorHAnsi"/>
        </w:rPr>
      </w:pPr>
      <w:r w:rsidRPr="00347A0B">
        <w:rPr>
          <w:rFonts w:cstheme="minorHAnsi"/>
        </w:rPr>
        <w:t>Overall post-attack failure rates are shown i</w:t>
      </w:r>
      <w:r w:rsidRPr="00347A0B">
        <w:rPr>
          <w:rFonts w:cstheme="minorHAnsi"/>
          <w:i/>
          <w:iCs/>
        </w:rPr>
        <w:t>n</w:t>
      </w:r>
      <w:r w:rsidRPr="00347A0B">
        <w:rPr>
          <w:rFonts w:cstheme="minorHAnsi"/>
        </w:rPr>
        <w:t> Fig. 6, that is, the number of failed connections after recovery attempts. A tiered recovery strategy is also implemented where the postfault re-routing (PFR) scheme is done in case of backup route failure. Foremost, the results for Stressor 1 attacks in Fig. 6a indicate very high outages for regular unprotected demands, that is, over 70 percent of failures for the NP scheme in non-hardened networks. Sensitivity to epicenter location is also evident here, with attacks in the SC and WC regions failing over 90 percent of unprotected East-West connection paths. However, these findings also confirm notable improvement with the survivability schemes. For example, the basic node-disjoint protection (SP scheme) gives 10–30 percent fewer failures depending upon Stressor 1 epicenters, and these gains increase with higher initial failures. More importantly, the “risk-aware” schemes give even better results. For example, using a-priori information to compute more resilient routes (RM scheme) yields 20 percent fewer failures versus regular TE routing (NP scheme) for attacks in the WC region and over 50 percent i</w:t>
      </w:r>
      <w:r w:rsidRPr="00347A0B">
        <w:rPr>
          <w:rFonts w:cstheme="minorHAnsi"/>
          <w:i/>
          <w:iCs/>
        </w:rPr>
        <w:t>n</w:t>
      </w:r>
      <w:r w:rsidRPr="00347A0B">
        <w:rPr>
          <w:rFonts w:cstheme="minorHAnsi"/>
        </w:rPr>
        <w:t xml:space="preserve"> the SC region. “Risk-aware” route protection (JRM scheme) is even more effective, with post-fault failures dropping to under 30 percent in most cases. The improvement over basic protection (SP scheme) is also quite significant, with 20 to 40 percent fewer route failures. Finally, active post-fault re-routing (PFR scheme) recovers all failed demands regardless, as Stressor 1 footprints leave </w:t>
      </w:r>
      <w:proofErr w:type="gramStart"/>
      <w:r w:rsidRPr="00347A0B">
        <w:rPr>
          <w:rFonts w:cstheme="minorHAnsi"/>
        </w:rPr>
        <w:t>sufficient</w:t>
      </w:r>
      <w:proofErr w:type="gramEnd"/>
      <w:r w:rsidRPr="00347A0B">
        <w:rPr>
          <w:rFonts w:cstheme="minorHAnsi"/>
        </w:rPr>
        <w:t xml:space="preserve"> post-fault working link capacity.</w:t>
      </w:r>
    </w:p>
    <w:p w14:paraId="10852F3D" w14:textId="64B1A31B" w:rsidR="00331204" w:rsidRPr="00347A0B" w:rsidRDefault="00331204" w:rsidP="001D1FC9">
      <w:pPr>
        <w:spacing w:after="0"/>
        <w:rPr>
          <w:rStyle w:val="Hyperlink"/>
          <w:rFonts w:cstheme="minorHAnsi"/>
          <w:color w:val="006699"/>
          <w:u w:val="none"/>
        </w:rPr>
      </w:pPr>
      <w:r w:rsidRPr="00347A0B">
        <w:rPr>
          <w:rFonts w:cstheme="minorHAnsi"/>
        </w:rPr>
        <w:lastRenderedPageBreak/>
        <w:fldChar w:fldCharType="begin"/>
      </w:r>
      <w:r w:rsidRPr="00347A0B">
        <w:rPr>
          <w:rFonts w:cstheme="minorHAnsi"/>
        </w:rPr>
        <w:instrText xml:space="preserve"> HYPERLINK "https://ieeexplore.ieee.org/mediastore_new/IEEE/content/media/35/8613256/8594707/8594707-fig-6-source-large.gif" </w:instrText>
      </w:r>
      <w:r w:rsidRPr="00347A0B">
        <w:rPr>
          <w:rFonts w:cstheme="minorHAnsi"/>
        </w:rPr>
        <w:fldChar w:fldCharType="separate"/>
      </w:r>
      <w:r w:rsidRPr="00347A0B">
        <w:rPr>
          <w:rFonts w:cstheme="minorHAnsi"/>
          <w:noProof/>
          <w:color w:val="006699"/>
        </w:rPr>
        <w:drawing>
          <wp:inline distT="0" distB="0" distL="0" distR="0" wp14:anchorId="530C638A" wp14:editId="63554077">
            <wp:extent cx="2743200" cy="2770632"/>
            <wp:effectExtent l="0" t="0" r="0" b="0"/>
            <wp:docPr id="2" name="Picture 2" descr="Figure 6. Post-attack connection failure rates: a) Stressor 1, b) Stressor 2, c) Stresso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2770632"/>
                    </a:xfrm>
                    <a:prstGeom prst="rect">
                      <a:avLst/>
                    </a:prstGeom>
                    <a:noFill/>
                    <a:ln>
                      <a:noFill/>
                    </a:ln>
                  </pic:spPr>
                </pic:pic>
              </a:graphicData>
            </a:graphic>
          </wp:inline>
        </w:drawing>
      </w:r>
    </w:p>
    <w:p w14:paraId="2B54CB46" w14:textId="65620CC5" w:rsidR="00331204" w:rsidRPr="00347A0B" w:rsidRDefault="00331204" w:rsidP="00347A0B">
      <w:pPr>
        <w:rPr>
          <w:rFonts w:cstheme="minorHAnsi"/>
          <w:color w:val="666666"/>
        </w:rPr>
      </w:pPr>
      <w:r w:rsidRPr="00347A0B">
        <w:rPr>
          <w:rFonts w:cstheme="minorHAnsi"/>
        </w:rPr>
        <w:fldChar w:fldCharType="end"/>
      </w:r>
      <w:r w:rsidRPr="00347A0B">
        <w:rPr>
          <w:rFonts w:cstheme="minorHAnsi"/>
          <w:b/>
          <w:bCs/>
          <w:color w:val="666666"/>
        </w:rPr>
        <w:t>Figure 6.</w:t>
      </w:r>
      <w:r w:rsidR="001D1FC9">
        <w:rPr>
          <w:rFonts w:cstheme="minorHAnsi"/>
          <w:b/>
          <w:bCs/>
          <w:color w:val="666666"/>
        </w:rPr>
        <w:t xml:space="preserve"> </w:t>
      </w:r>
      <w:r w:rsidRPr="00347A0B">
        <w:rPr>
          <w:rFonts w:cstheme="minorHAnsi"/>
          <w:color w:val="666666"/>
        </w:rPr>
        <w:t>Post-attack connection failure rates: a) Stressor 1, b) Stressor 2, c) Stressor 3.</w:t>
      </w:r>
    </w:p>
    <w:p w14:paraId="7A05D3BE" w14:textId="77777777" w:rsidR="00331204" w:rsidRPr="00347A0B" w:rsidRDefault="00331204" w:rsidP="00347A0B">
      <w:pPr>
        <w:rPr>
          <w:rFonts w:cstheme="minorHAnsi"/>
        </w:rPr>
      </w:pPr>
      <w:r w:rsidRPr="00347A0B">
        <w:rPr>
          <w:rFonts w:cstheme="minorHAnsi"/>
        </w:rPr>
        <w:t>However, results for larger EMP attacks show much higher outages, that is, Fig. 6</w:t>
      </w:r>
      <w:proofErr w:type="gramStart"/>
      <w:r w:rsidRPr="00347A0B">
        <w:rPr>
          <w:rFonts w:cstheme="minorHAnsi"/>
        </w:rPr>
        <w:t>b(</w:t>
      </w:r>
      <w:proofErr w:type="gramEnd"/>
      <w:r w:rsidRPr="00347A0B">
        <w:rPr>
          <w:rFonts w:cstheme="minorHAnsi"/>
        </w:rPr>
        <w:t>Stressor 2) and Fig. 6c (Stressor 3). For example, unprotected TE-routed demands experience near total failure in all cases. Furthermore, basic protection (SP scheme) only gives nominal recovery, under 10 percent. More importantly, a-priori risk information (RM, JRM schemes) provides minimal failure reduction for both stressors, that is, since larger failure regions dwarf the smaller a-</w:t>
      </w:r>
      <w:proofErr w:type="spellStart"/>
      <w:r w:rsidRPr="00347A0B">
        <w:rPr>
          <w:rFonts w:cstheme="minorHAnsi"/>
        </w:rPr>
        <w:t>pri</w:t>
      </w:r>
      <w:proofErr w:type="spellEnd"/>
      <w:r w:rsidRPr="00347A0B">
        <w:rPr>
          <w:rFonts w:cstheme="minorHAnsi"/>
        </w:rPr>
        <w:t>-</w:t>
      </w:r>
      <w:proofErr w:type="spellStart"/>
      <w:r w:rsidRPr="00347A0B">
        <w:rPr>
          <w:rFonts w:cstheme="minorHAnsi"/>
        </w:rPr>
        <w:t>ori</w:t>
      </w:r>
      <w:proofErr w:type="spellEnd"/>
      <w:r w:rsidRPr="00347A0B">
        <w:rPr>
          <w:rFonts w:cstheme="minorHAnsi"/>
        </w:rPr>
        <w:t xml:space="preserve"> central failure region. In other words, the realistic discrepancy between predicted and actual failure footprints reduces the effectiveness of a-priori methods. By contrast, theoretical studies show notably better recovery since they assume ideal matching failure regions [4], [5]. Nevertheless, post-fault re-routing (PFR scheme) is still very effective for larger attacks, that is, recovering all Stressor 2 outages (Fig. 6b) and lowering Stressor 3 failures to below 50 percent (Fig. 6c). </w:t>
      </w:r>
      <w:proofErr w:type="gramStart"/>
      <w:r w:rsidRPr="00347A0B">
        <w:rPr>
          <w:rFonts w:cstheme="minorHAnsi"/>
        </w:rPr>
        <w:t>However</w:t>
      </w:r>
      <w:proofErr w:type="gramEnd"/>
      <w:r w:rsidRPr="00347A0B">
        <w:rPr>
          <w:rFonts w:cstheme="minorHAnsi"/>
        </w:rPr>
        <w:t xml:space="preserve"> this scheme still cannot provide full recovery in the latter case since only one or two working links are left to prevent network partitioning (bandwidth congestion when re-routing large numbers of affected demands).</w:t>
      </w:r>
    </w:p>
    <w:p w14:paraId="4C990840" w14:textId="77777777" w:rsidR="00331204" w:rsidRPr="00347A0B" w:rsidRDefault="00331204" w:rsidP="00347A0B">
      <w:pPr>
        <w:rPr>
          <w:rFonts w:cstheme="minorHAnsi"/>
        </w:rPr>
      </w:pPr>
      <w:r w:rsidRPr="00347A0B">
        <w:rPr>
          <w:rFonts w:cstheme="minorHAnsi"/>
        </w:rPr>
        <w:t>As noted earlier, the “risk-aware” methods (RM, JRM, and PFR schemes) are also evaluated for moderate levels of network EMP hardening (the shaded bars in Fig. 6). These results indicate that the “risk-aware” RM and JRM schemes generally give moderate (non-negligible) recovery gains in hardened networks for smaller Stressor 1 and 2 type attacks, i</w:t>
      </w:r>
      <w:r w:rsidRPr="00347A0B">
        <w:rPr>
          <w:rFonts w:cstheme="minorHAnsi"/>
          <w:i/>
          <w:iCs/>
        </w:rPr>
        <w:t>n</w:t>
      </w:r>
      <w:r w:rsidRPr="00347A0B">
        <w:rPr>
          <w:rFonts w:cstheme="minorHAnsi"/>
        </w:rPr>
        <w:t> the 0–20 percent range (Figs. 6a and 6b). However, failure reduction with network hardening is much more pronounced for larger Stressor 3 events, that is, i</w:t>
      </w:r>
      <w:r w:rsidRPr="00347A0B">
        <w:rPr>
          <w:rFonts w:cstheme="minorHAnsi"/>
          <w:i/>
          <w:iCs/>
        </w:rPr>
        <w:t>n</w:t>
      </w:r>
      <w:r w:rsidRPr="00347A0B">
        <w:rPr>
          <w:rFonts w:cstheme="minorHAnsi"/>
        </w:rPr>
        <w:t> the 40 to 50 percent range (Fig. 6c). Furthermore, post-fault re-routing (PFR scheme) even recovers all failed routes for larger Stressor 3 attacks, that is, since hardened networks generally provide more capacity </w:t>
      </w:r>
      <w:r w:rsidRPr="00347A0B">
        <w:rPr>
          <w:rFonts w:cstheme="minorHAnsi"/>
          <w:i/>
          <w:iCs/>
        </w:rPr>
        <w:t>on</w:t>
      </w:r>
      <w:r w:rsidRPr="00347A0B">
        <w:rPr>
          <w:rFonts w:cstheme="minorHAnsi"/>
        </w:rPr>
        <w:t xml:space="preserve"> critical transit links. These findings indicate that operators can reduce, that is, tradeoff, their investments </w:t>
      </w:r>
      <w:proofErr w:type="spellStart"/>
      <w:r w:rsidRPr="00347A0B">
        <w:rPr>
          <w:rFonts w:cstheme="minorHAnsi"/>
        </w:rPr>
        <w:t>i</w:t>
      </w:r>
      <w:r w:rsidRPr="00347A0B">
        <w:rPr>
          <w:rFonts w:cstheme="minorHAnsi"/>
          <w:i/>
          <w:iCs/>
        </w:rPr>
        <w:t>n</w:t>
      </w:r>
      <w:r w:rsidRPr="00347A0B">
        <w:rPr>
          <w:rFonts w:cstheme="minorHAnsi"/>
        </w:rPr>
        <w:t>network</w:t>
      </w:r>
      <w:proofErr w:type="spellEnd"/>
      <w:r w:rsidRPr="00347A0B">
        <w:rPr>
          <w:rFonts w:cstheme="minorHAnsi"/>
        </w:rPr>
        <w:t xml:space="preserve"> hardening to an extent by deploying more capable SDN-based recovery solutions.</w:t>
      </w:r>
    </w:p>
    <w:p w14:paraId="25DE4C34" w14:textId="77777777" w:rsidR="00331204" w:rsidRPr="00347A0B" w:rsidRDefault="00331204" w:rsidP="00347A0B">
      <w:pPr>
        <w:rPr>
          <w:rFonts w:cstheme="minorHAnsi"/>
        </w:rPr>
      </w:pPr>
      <w:r w:rsidRPr="00347A0B">
        <w:rPr>
          <w:rFonts w:cstheme="minorHAnsi"/>
        </w:rPr>
        <w:t>Average route length (hop count) is also measured to gauge resource utilization (see Table 1). These results confirm notably longer pre-fault routes with backup protection, about 40 percent. However, “risk-aware” routing only gives a slight increase i</w:t>
      </w:r>
      <w:r w:rsidRPr="00347A0B">
        <w:rPr>
          <w:rFonts w:cstheme="minorHAnsi"/>
          <w:i/>
          <w:iCs/>
        </w:rPr>
        <w:t>n</w:t>
      </w:r>
      <w:r w:rsidRPr="00347A0B">
        <w:rPr>
          <w:rFonts w:cstheme="minorHAnsi"/>
        </w:rPr>
        <w:t xml:space="preserve"> usage versus regular TE provisioning, that is, 1 to 2 percent higher average hop counts with the RM scheme (JRM scheme) versus the TE scheme (SP scheme). Meanwhile, post-fault PFR recovery shows sensitivity to stressor size and location. For example, the larger Stressor 2 and 3 attacks yield longer routes, averaging 13 to 14 hops (non-hardened). At the same time, some smaller Stressor 1 </w:t>
      </w:r>
      <w:proofErr w:type="spellStart"/>
      <w:r w:rsidRPr="00347A0B">
        <w:rPr>
          <w:rFonts w:cstheme="minorHAnsi"/>
        </w:rPr>
        <w:t>epicen-ters</w:t>
      </w:r>
      <w:proofErr w:type="spellEnd"/>
      <w:r w:rsidRPr="00347A0B">
        <w:rPr>
          <w:rFonts w:cstheme="minorHAnsi"/>
        </w:rPr>
        <w:t xml:space="preserve"> also give higher utilization, </w:t>
      </w:r>
      <w:r w:rsidRPr="00347A0B">
        <w:rPr>
          <w:rFonts w:cstheme="minorHAnsi"/>
          <w:i/>
          <w:iCs/>
        </w:rPr>
        <w:t>on</w:t>
      </w:r>
      <w:r w:rsidRPr="00347A0B">
        <w:rPr>
          <w:rFonts w:cstheme="minorHAnsi"/>
        </w:rPr>
        <w:t> par with larger attacks. These findings also show a slight decrease in post-fault utilization with network hardening, that is, less detoured routes.</w:t>
      </w:r>
    </w:p>
    <w:p w14:paraId="5C1E2F45" w14:textId="77777777" w:rsidR="00331204" w:rsidRPr="00347A0B" w:rsidRDefault="00331204" w:rsidP="00347A0B">
      <w:pPr>
        <w:rPr>
          <w:rFonts w:cstheme="minorHAnsi"/>
        </w:rPr>
      </w:pPr>
      <w:r w:rsidRPr="00347A0B">
        <w:rPr>
          <w:rFonts w:cstheme="minorHAnsi"/>
        </w:rPr>
        <w:lastRenderedPageBreak/>
        <w:t>A-priori risk information (RM, JRM schemes) provides minimal failure reduction for both stressors, that is, since larger failure regions dwarf the smaller a-priori central failure region. In other words, the realistic discrepancy between predicted and actual failure footprints reduces the effectiveness of a-priori methods. By contrast, theoretical studies show notably better recovery since they assume ideal matching failure regions.</w:t>
      </w:r>
    </w:p>
    <w:p w14:paraId="0D0855BE" w14:textId="77777777" w:rsidR="00331204" w:rsidRPr="00347A0B" w:rsidRDefault="00331204" w:rsidP="00347A0B">
      <w:pPr>
        <w:rPr>
          <w:rFonts w:cstheme="minorHAnsi"/>
        </w:rPr>
      </w:pPr>
      <w:r w:rsidRPr="00347A0B">
        <w:rPr>
          <w:rFonts w:cstheme="minorHAnsi"/>
        </w:rPr>
        <w:t>Finally, in terms of delay, it takes about 2 minutes (1.25 minutes) to compute a primary (protection) path. However, since all routes are pre-computed and stored beforehand, post-at-tack recovery is not impacted. Meanwhile, average connection setup times are about 2 minutes during working conditions. Conversely, average post-fault recovery delays with the PFR scheme are generally higher, as shown in Table 1, includi</w:t>
      </w:r>
      <w:r w:rsidRPr="00347A0B">
        <w:rPr>
          <w:rFonts w:cstheme="minorHAnsi"/>
          <w:i/>
          <w:iCs/>
        </w:rPr>
        <w:t>n</w:t>
      </w:r>
      <w:r w:rsidRPr="00347A0B">
        <w:rPr>
          <w:rFonts w:cstheme="minorHAnsi"/>
        </w:rPr>
        <w:t>g cumulative switchover times from failed protection paths to re-computed working routes </w:t>
      </w:r>
      <w:r w:rsidRPr="00347A0B">
        <w:rPr>
          <w:rStyle w:val="mo"/>
          <w:rFonts w:cstheme="minorHAnsi"/>
          <w:bdr w:val="none" w:sz="0" w:space="0" w:color="auto" w:frame="1"/>
        </w:rPr>
        <w:t>(</w:t>
      </w:r>
      <w:r w:rsidRPr="00347A0B">
        <w:rPr>
          <w:rStyle w:val="mi"/>
          <w:rFonts w:cstheme="minorHAnsi"/>
          <w:bdr w:val="none" w:sz="0" w:space="0" w:color="auto" w:frame="1"/>
        </w:rPr>
        <w:t>SP</w:t>
      </w:r>
      <w:r w:rsidRPr="00347A0B">
        <w:rPr>
          <w:rStyle w:val="mo"/>
          <w:rFonts w:cstheme="minorHAnsi"/>
          <w:bdr w:val="none" w:sz="0" w:space="0" w:color="auto" w:frame="1"/>
        </w:rPr>
        <w:t>→</w:t>
      </w:r>
      <w:r w:rsidRPr="00347A0B">
        <w:rPr>
          <w:rStyle w:val="mi"/>
          <w:rFonts w:cstheme="minorHAnsi"/>
          <w:bdr w:val="none" w:sz="0" w:space="0" w:color="auto" w:frame="1"/>
        </w:rPr>
        <w:t>PFR</w:t>
      </w:r>
      <w:r w:rsidRPr="00347A0B">
        <w:rPr>
          <w:rFonts w:cstheme="minorHAnsi"/>
        </w:rPr>
        <w:t> or </w:t>
      </w:r>
      <w:r w:rsidRPr="00347A0B">
        <w:rPr>
          <w:rStyle w:val="mi"/>
          <w:rFonts w:cstheme="minorHAnsi"/>
          <w:bdr w:val="none" w:sz="0" w:space="0" w:color="auto" w:frame="1"/>
        </w:rPr>
        <w:t>JRM</w:t>
      </w:r>
      <w:r w:rsidRPr="00347A0B">
        <w:rPr>
          <w:rStyle w:val="mo"/>
          <w:rFonts w:cstheme="minorHAnsi"/>
          <w:bdr w:val="none" w:sz="0" w:space="0" w:color="auto" w:frame="1"/>
        </w:rPr>
        <w:t>→</w:t>
      </w:r>
      <w:r w:rsidRPr="00347A0B">
        <w:rPr>
          <w:rStyle w:val="mi"/>
          <w:rFonts w:cstheme="minorHAnsi"/>
          <w:bdr w:val="none" w:sz="0" w:space="0" w:color="auto" w:frame="1"/>
        </w:rPr>
        <w:t>PFR</w:t>
      </w:r>
      <w:r w:rsidRPr="00347A0B">
        <w:rPr>
          <w:rStyle w:val="mo"/>
          <w:rFonts w:cstheme="minorHAnsi"/>
          <w:bdr w:val="none" w:sz="0" w:space="0" w:color="auto" w:frame="1"/>
        </w:rPr>
        <w:t>)</w:t>
      </w:r>
      <w:r w:rsidRPr="00347A0B">
        <w:rPr>
          <w:rFonts w:cstheme="minorHAnsi"/>
        </w:rPr>
        <w:t>. These findings confirm that “risk-aware” provisioning gives faster recovery as there are fewer failed routes to recover, as seen by comparing </w:t>
      </w:r>
      <w:r w:rsidRPr="00347A0B">
        <w:rPr>
          <w:rStyle w:val="mi"/>
          <w:rFonts w:cstheme="minorHAnsi"/>
          <w:bdr w:val="none" w:sz="0" w:space="0" w:color="auto" w:frame="1"/>
        </w:rPr>
        <w:t>SP</w:t>
      </w:r>
      <w:r w:rsidRPr="00347A0B">
        <w:rPr>
          <w:rStyle w:val="mo"/>
          <w:rFonts w:cstheme="minorHAnsi"/>
          <w:bdr w:val="none" w:sz="0" w:space="0" w:color="auto" w:frame="1"/>
        </w:rPr>
        <w:t>→</w:t>
      </w:r>
      <w:r w:rsidRPr="00347A0B">
        <w:rPr>
          <w:rStyle w:val="mi"/>
          <w:rFonts w:cstheme="minorHAnsi"/>
          <w:bdr w:val="none" w:sz="0" w:space="0" w:color="auto" w:frame="1"/>
        </w:rPr>
        <w:t>PFR</w:t>
      </w:r>
      <w:r w:rsidRPr="00347A0B">
        <w:rPr>
          <w:rFonts w:cstheme="minorHAnsi"/>
        </w:rPr>
        <w:t> with </w:t>
      </w:r>
      <w:r w:rsidRPr="00347A0B">
        <w:rPr>
          <w:rStyle w:val="mi"/>
          <w:rFonts w:cstheme="minorHAnsi"/>
          <w:bdr w:val="none" w:sz="0" w:space="0" w:color="auto" w:frame="1"/>
        </w:rPr>
        <w:t>IRM</w:t>
      </w:r>
      <w:r w:rsidRPr="00347A0B">
        <w:rPr>
          <w:rStyle w:val="mo"/>
          <w:rFonts w:cstheme="minorHAnsi"/>
          <w:bdr w:val="none" w:sz="0" w:space="0" w:color="auto" w:frame="1"/>
        </w:rPr>
        <w:t>→</w:t>
      </w:r>
      <w:r w:rsidRPr="00347A0B">
        <w:rPr>
          <w:rStyle w:val="mi"/>
          <w:rFonts w:cstheme="minorHAnsi"/>
          <w:bdr w:val="none" w:sz="0" w:space="0" w:color="auto" w:frame="1"/>
        </w:rPr>
        <w:t>PFR</w:t>
      </w:r>
      <w:r w:rsidRPr="00347A0B">
        <w:rPr>
          <w:rFonts w:cstheme="minorHAnsi"/>
        </w:rPr>
        <w:t> times (non-hardened). Moreover, hardening gives equivalent or lower averages as it yields fewer failures.</w:t>
      </w:r>
    </w:p>
    <w:p w14:paraId="13CE0E2D" w14:textId="77777777" w:rsidR="00331204" w:rsidRPr="00347A0B" w:rsidRDefault="00331204" w:rsidP="00347A0B">
      <w:pPr>
        <w:rPr>
          <w:rFonts w:cstheme="minorHAnsi"/>
        </w:rPr>
      </w:pPr>
      <w:r w:rsidRPr="00347A0B">
        <w:rPr>
          <w:rFonts w:cstheme="minorHAnsi"/>
        </w:rPr>
        <w:t xml:space="preserve">This study presents a novel resilient SDN control framework for disaster recovery, with a focus on large </w:t>
      </w:r>
      <w:proofErr w:type="gramStart"/>
      <w:r w:rsidRPr="00347A0B">
        <w:rPr>
          <w:rFonts w:cstheme="minorHAnsi"/>
        </w:rPr>
        <w:t>space-based</w:t>
      </w:r>
      <w:proofErr w:type="gramEnd"/>
      <w:r w:rsidRPr="00347A0B">
        <w:rPr>
          <w:rFonts w:cstheme="minorHAnsi"/>
        </w:rPr>
        <w:t xml:space="preserve"> nuclear EMP attacks. The solution introduces new survivability-related schema definitions </w:t>
      </w:r>
      <w:r w:rsidRPr="00347A0B">
        <w:rPr>
          <w:rFonts w:cstheme="minorHAnsi"/>
          <w:i/>
          <w:iCs/>
        </w:rPr>
        <w:t>and</w:t>
      </w:r>
      <w:r w:rsidRPr="00347A0B">
        <w:rPr>
          <w:rFonts w:cstheme="minorHAnsi"/>
        </w:rPr>
        <w:t> implements a range of pre-fault and post-fault strategies.</w:t>
      </w:r>
    </w:p>
    <w:p w14:paraId="63029802" w14:textId="62C37615" w:rsidR="00331204" w:rsidRDefault="00331204" w:rsidP="00347A0B">
      <w:pPr>
        <w:rPr>
          <w:rFonts w:cstheme="minorHAnsi"/>
          <w:color w:val="666666"/>
        </w:rPr>
      </w:pPr>
      <w:r w:rsidRPr="00347A0B">
        <w:rPr>
          <w:rFonts w:cstheme="minorHAnsi"/>
          <w:b/>
          <w:bCs/>
          <w:color w:val="666666"/>
        </w:rPr>
        <w:t>Table 1. </w:t>
      </w:r>
      <w:r w:rsidRPr="00347A0B">
        <w:rPr>
          <w:rFonts w:cstheme="minorHAnsi"/>
          <w:color w:val="666666"/>
        </w:rPr>
        <w:t>Average path lengths (hops) and post-fault switchover times</w:t>
      </w:r>
    </w:p>
    <w:p w14:paraId="6CB67FA0" w14:textId="5740E065" w:rsidR="00E83465" w:rsidRPr="00E83465" w:rsidRDefault="00E83465" w:rsidP="00E83465">
      <w:pPr>
        <w:kinsoku w:val="0"/>
        <w:overflowPunct w:val="0"/>
        <w:autoSpaceDE w:val="0"/>
        <w:autoSpaceDN w:val="0"/>
        <w:adjustRightInd w:val="0"/>
        <w:spacing w:after="0" w:line="240" w:lineRule="auto"/>
        <w:rPr>
          <w:rFonts w:ascii="Times New Roman" w:hAnsi="Times New Roman" w:cs="Times New Roman"/>
          <w:sz w:val="20"/>
          <w:szCs w:val="20"/>
        </w:rPr>
      </w:pPr>
      <w:r w:rsidRPr="00E83465">
        <w:rPr>
          <w:rFonts w:ascii="Times New Roman" w:hAnsi="Times New Roman" w:cs="Times New Roman"/>
          <w:noProof/>
          <w:sz w:val="20"/>
          <w:szCs w:val="20"/>
        </w:rPr>
        <mc:AlternateContent>
          <mc:Choice Requires="wps">
            <w:drawing>
              <wp:inline distT="0" distB="0" distL="0" distR="0" wp14:anchorId="0E5D78BB" wp14:editId="0AF8E1BD">
                <wp:extent cx="5639437" cy="4855119"/>
                <wp:effectExtent l="0" t="0" r="18415" b="3175"/>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9437" cy="48551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4896" w:type="pct"/>
                              <w:tblLook w:val="0020" w:firstRow="1" w:lastRow="0" w:firstColumn="0" w:lastColumn="0" w:noHBand="0" w:noVBand="0"/>
                            </w:tblPr>
                            <w:tblGrid>
                              <w:gridCol w:w="3498"/>
                              <w:gridCol w:w="1225"/>
                              <w:gridCol w:w="1366"/>
                              <w:gridCol w:w="1274"/>
                              <w:gridCol w:w="1338"/>
                            </w:tblGrid>
                            <w:tr w:rsidR="003A38A5" w14:paraId="73657FAE" w14:textId="77777777" w:rsidTr="003A38A5">
                              <w:trPr>
                                <w:trHeight w:val="315"/>
                              </w:trPr>
                              <w:tc>
                                <w:tcPr>
                                  <w:tcW w:w="2010" w:type="pct"/>
                                </w:tcPr>
                                <w:p w14:paraId="05D29DFA" w14:textId="77777777" w:rsidR="009E41E1" w:rsidRDefault="009E41E1" w:rsidP="00E83465">
                                  <w:pPr>
                                    <w:pStyle w:val="NoSpacing"/>
                                  </w:pPr>
                                  <w:r>
                                    <w:t>Pre-fault path lengths (hops)</w:t>
                                  </w:r>
                                </w:p>
                              </w:tc>
                              <w:tc>
                                <w:tcPr>
                                  <w:tcW w:w="704" w:type="pct"/>
                                </w:tcPr>
                                <w:p w14:paraId="2E40F48F" w14:textId="26FAFD42" w:rsidR="009E41E1" w:rsidRDefault="009E41E1" w:rsidP="00E83465">
                                  <w:pPr>
                                    <w:pStyle w:val="NoSpacing"/>
                                  </w:pPr>
                                </w:p>
                              </w:tc>
                              <w:tc>
                                <w:tcPr>
                                  <w:tcW w:w="785" w:type="pct"/>
                                </w:tcPr>
                                <w:p w14:paraId="0CF2DAA2" w14:textId="77777777" w:rsidR="009E41E1" w:rsidRDefault="009E41E1" w:rsidP="00E83465">
                                  <w:pPr>
                                    <w:pStyle w:val="NoSpacing"/>
                                  </w:pPr>
                                </w:p>
                              </w:tc>
                              <w:tc>
                                <w:tcPr>
                                  <w:tcW w:w="732" w:type="pct"/>
                                </w:tcPr>
                                <w:p w14:paraId="5BBA33AB" w14:textId="77777777" w:rsidR="009E41E1" w:rsidRDefault="009E41E1" w:rsidP="00E83465">
                                  <w:pPr>
                                    <w:pStyle w:val="NoSpacing"/>
                                  </w:pPr>
                                </w:p>
                              </w:tc>
                              <w:tc>
                                <w:tcPr>
                                  <w:tcW w:w="769" w:type="pct"/>
                                </w:tcPr>
                                <w:p w14:paraId="5376108B" w14:textId="03FD7A14" w:rsidR="009E41E1" w:rsidRDefault="009E41E1" w:rsidP="00E83465">
                                  <w:pPr>
                                    <w:pStyle w:val="NoSpacing"/>
                                  </w:pPr>
                                </w:p>
                              </w:tc>
                            </w:tr>
                            <w:tr w:rsidR="003A38A5" w14:paraId="06BDC6F1" w14:textId="77777777" w:rsidTr="003A38A5">
                              <w:trPr>
                                <w:trHeight w:val="310"/>
                              </w:trPr>
                              <w:tc>
                                <w:tcPr>
                                  <w:tcW w:w="2010" w:type="pct"/>
                                </w:tcPr>
                                <w:p w14:paraId="1DCCA664" w14:textId="77777777" w:rsidR="009E41E1" w:rsidRDefault="009E41E1" w:rsidP="00E83465">
                                  <w:pPr>
                                    <w:pStyle w:val="NoSpacing"/>
                                  </w:pPr>
                                  <w:r>
                                    <w:t>Scheme TE</w:t>
                                  </w:r>
                                </w:p>
                              </w:tc>
                              <w:tc>
                                <w:tcPr>
                                  <w:tcW w:w="704" w:type="pct"/>
                                </w:tcPr>
                                <w:p w14:paraId="17E03897" w14:textId="249C5DF1" w:rsidR="009E41E1" w:rsidRDefault="009E41E1" w:rsidP="00E83465">
                                  <w:pPr>
                                    <w:pStyle w:val="NoSpacing"/>
                                  </w:pPr>
                                </w:p>
                              </w:tc>
                              <w:tc>
                                <w:tcPr>
                                  <w:tcW w:w="785" w:type="pct"/>
                                </w:tcPr>
                                <w:p w14:paraId="0FE7AE6F" w14:textId="77777777" w:rsidR="009E41E1" w:rsidRDefault="009E41E1" w:rsidP="00E83465">
                                  <w:pPr>
                                    <w:pStyle w:val="NoSpacing"/>
                                  </w:pPr>
                                  <w:r>
                                    <w:t>RM</w:t>
                                  </w:r>
                                </w:p>
                              </w:tc>
                              <w:tc>
                                <w:tcPr>
                                  <w:tcW w:w="732" w:type="pct"/>
                                </w:tcPr>
                                <w:p w14:paraId="461B86EE" w14:textId="77777777" w:rsidR="009E41E1" w:rsidRDefault="009E41E1" w:rsidP="00E83465">
                                  <w:pPr>
                                    <w:pStyle w:val="NoSpacing"/>
                                  </w:pPr>
                                  <w:r>
                                    <w:t>SP</w:t>
                                  </w:r>
                                </w:p>
                              </w:tc>
                              <w:tc>
                                <w:tcPr>
                                  <w:tcW w:w="769" w:type="pct"/>
                                </w:tcPr>
                                <w:p w14:paraId="2914318D" w14:textId="77777777" w:rsidR="009E41E1" w:rsidRDefault="009E41E1" w:rsidP="00E83465">
                                  <w:pPr>
                                    <w:pStyle w:val="NoSpacing"/>
                                  </w:pPr>
                                  <w:r>
                                    <w:t>JRM</w:t>
                                  </w:r>
                                </w:p>
                              </w:tc>
                            </w:tr>
                            <w:tr w:rsidR="009816E7" w14:paraId="46DC0038" w14:textId="77777777" w:rsidTr="003A38A5">
                              <w:trPr>
                                <w:trHeight w:val="310"/>
                              </w:trPr>
                              <w:tc>
                                <w:tcPr>
                                  <w:tcW w:w="2010" w:type="pct"/>
                                </w:tcPr>
                                <w:p w14:paraId="6D9D7ED6" w14:textId="77777777" w:rsidR="009E41E1" w:rsidRDefault="009E41E1" w:rsidP="00E83465">
                                  <w:pPr>
                                    <w:pStyle w:val="NoSpacing"/>
                                  </w:pPr>
                                  <w:r>
                                    <w:t>Stressor 1–3 11.46</w:t>
                                  </w:r>
                                </w:p>
                              </w:tc>
                              <w:tc>
                                <w:tcPr>
                                  <w:tcW w:w="704" w:type="pct"/>
                                </w:tcPr>
                                <w:p w14:paraId="3985C16D" w14:textId="7627BD7E" w:rsidR="009E41E1" w:rsidRDefault="009E41E1" w:rsidP="00E83465">
                                  <w:pPr>
                                    <w:pStyle w:val="NoSpacing"/>
                                  </w:pPr>
                                </w:p>
                              </w:tc>
                              <w:tc>
                                <w:tcPr>
                                  <w:tcW w:w="785" w:type="pct"/>
                                </w:tcPr>
                                <w:p w14:paraId="5B5A3D13" w14:textId="77777777" w:rsidR="009E41E1" w:rsidRDefault="009E41E1" w:rsidP="00E83465">
                                  <w:pPr>
                                    <w:pStyle w:val="NoSpacing"/>
                                  </w:pPr>
                                  <w:r>
                                    <w:t>11.73</w:t>
                                  </w:r>
                                </w:p>
                              </w:tc>
                              <w:tc>
                                <w:tcPr>
                                  <w:tcW w:w="732" w:type="pct"/>
                                </w:tcPr>
                                <w:p w14:paraId="2FE5F0DF" w14:textId="77777777" w:rsidR="009E41E1" w:rsidRDefault="009E41E1" w:rsidP="00E83465">
                                  <w:pPr>
                                    <w:pStyle w:val="NoSpacing"/>
                                  </w:pPr>
                                  <w:r>
                                    <w:t>15.76</w:t>
                                  </w:r>
                                </w:p>
                              </w:tc>
                              <w:tc>
                                <w:tcPr>
                                  <w:tcW w:w="769" w:type="pct"/>
                                </w:tcPr>
                                <w:p w14:paraId="2356753A" w14:textId="77777777" w:rsidR="009E41E1" w:rsidRDefault="009E41E1" w:rsidP="00E83465">
                                  <w:pPr>
                                    <w:pStyle w:val="NoSpacing"/>
                                  </w:pPr>
                                  <w:r>
                                    <w:t>15.9</w:t>
                                  </w:r>
                                </w:p>
                              </w:tc>
                            </w:tr>
                            <w:tr w:rsidR="009816E7" w14:paraId="6AD33411" w14:textId="77777777" w:rsidTr="003A38A5">
                              <w:trPr>
                                <w:trHeight w:val="310"/>
                              </w:trPr>
                              <w:tc>
                                <w:tcPr>
                                  <w:tcW w:w="2010" w:type="pct"/>
                                </w:tcPr>
                                <w:p w14:paraId="36E3446A" w14:textId="77777777" w:rsidR="009E41E1" w:rsidRDefault="009E41E1" w:rsidP="00E83465">
                                  <w:pPr>
                                    <w:pStyle w:val="NoSpacing"/>
                                    <w:rPr>
                                      <w:w w:val="90"/>
                                    </w:rPr>
                                  </w:pPr>
                                  <w:r>
                                    <w:t>Post-fault path lengths (hops)</w:t>
                                  </w:r>
                                </w:p>
                              </w:tc>
                              <w:tc>
                                <w:tcPr>
                                  <w:tcW w:w="704" w:type="pct"/>
                                </w:tcPr>
                                <w:p w14:paraId="1E50B6DE" w14:textId="751EBA70" w:rsidR="009E41E1" w:rsidRDefault="009E41E1" w:rsidP="00E83465">
                                  <w:pPr>
                                    <w:pStyle w:val="NoSpacing"/>
                                    <w:rPr>
                                      <w:w w:val="90"/>
                                    </w:rPr>
                                  </w:pPr>
                                </w:p>
                              </w:tc>
                              <w:tc>
                                <w:tcPr>
                                  <w:tcW w:w="785" w:type="pct"/>
                                </w:tcPr>
                                <w:p w14:paraId="19842590" w14:textId="77777777" w:rsidR="009E41E1" w:rsidRDefault="009E41E1" w:rsidP="00E83465">
                                  <w:pPr>
                                    <w:pStyle w:val="NoSpacing"/>
                                  </w:pPr>
                                </w:p>
                              </w:tc>
                              <w:tc>
                                <w:tcPr>
                                  <w:tcW w:w="732" w:type="pct"/>
                                </w:tcPr>
                                <w:p w14:paraId="7DA1C0A7" w14:textId="77777777" w:rsidR="009E41E1" w:rsidRDefault="009E41E1" w:rsidP="00E83465">
                                  <w:pPr>
                                    <w:pStyle w:val="NoSpacing"/>
                                    <w:rPr>
                                      <w:rFonts w:ascii="Times New Roman" w:hAnsi="Times New Roman" w:cs="Times New Roman"/>
                                      <w:sz w:val="14"/>
                                      <w:szCs w:val="14"/>
                                    </w:rPr>
                                  </w:pPr>
                                </w:p>
                              </w:tc>
                              <w:tc>
                                <w:tcPr>
                                  <w:tcW w:w="769" w:type="pct"/>
                                </w:tcPr>
                                <w:p w14:paraId="4168C17A" w14:textId="77777777" w:rsidR="009E41E1" w:rsidRDefault="009E41E1" w:rsidP="00E83465">
                                  <w:pPr>
                                    <w:pStyle w:val="NoSpacing"/>
                                  </w:pPr>
                                </w:p>
                              </w:tc>
                            </w:tr>
                            <w:tr w:rsidR="009816E7" w14:paraId="0B01FA97" w14:textId="77777777" w:rsidTr="003A38A5">
                              <w:trPr>
                                <w:trHeight w:val="310"/>
                              </w:trPr>
                              <w:tc>
                                <w:tcPr>
                                  <w:tcW w:w="2010" w:type="pct"/>
                                </w:tcPr>
                                <w:p w14:paraId="3B336F22" w14:textId="77777777" w:rsidR="009E41E1" w:rsidRDefault="009E41E1" w:rsidP="00E83465">
                                  <w:pPr>
                                    <w:pStyle w:val="NoSpacing"/>
                                    <w:rPr>
                                      <w:w w:val="90"/>
                                    </w:rPr>
                                  </w:pPr>
                                  <w:r>
                                    <w:rPr>
                                      <w:w w:val="90"/>
                                    </w:rPr>
                                    <w:t>Non-</w:t>
                                  </w:r>
                                </w:p>
                              </w:tc>
                              <w:tc>
                                <w:tcPr>
                                  <w:tcW w:w="704" w:type="pct"/>
                                </w:tcPr>
                                <w:p w14:paraId="5C519F85" w14:textId="7E59197B" w:rsidR="009E41E1" w:rsidRDefault="009E41E1" w:rsidP="00E83465">
                                  <w:pPr>
                                    <w:pStyle w:val="NoSpacing"/>
                                    <w:rPr>
                                      <w:w w:val="90"/>
                                    </w:rPr>
                                  </w:pPr>
                                </w:p>
                              </w:tc>
                              <w:tc>
                                <w:tcPr>
                                  <w:tcW w:w="785" w:type="pct"/>
                                </w:tcPr>
                                <w:p w14:paraId="426194DC" w14:textId="77777777" w:rsidR="009E41E1" w:rsidRDefault="009E41E1" w:rsidP="00E83465">
                                  <w:pPr>
                                    <w:pStyle w:val="NoSpacing"/>
                                  </w:pPr>
                                  <w:r>
                                    <w:t>ardened</w:t>
                                  </w:r>
                                </w:p>
                              </w:tc>
                              <w:tc>
                                <w:tcPr>
                                  <w:tcW w:w="732" w:type="pct"/>
                                </w:tcPr>
                                <w:p w14:paraId="34988E7E" w14:textId="77777777" w:rsidR="009E41E1" w:rsidRDefault="009E41E1" w:rsidP="00E83465">
                                  <w:pPr>
                                    <w:pStyle w:val="NoSpacing"/>
                                    <w:rPr>
                                      <w:rFonts w:ascii="Times New Roman" w:hAnsi="Times New Roman" w:cs="Times New Roman"/>
                                      <w:sz w:val="14"/>
                                      <w:szCs w:val="14"/>
                                    </w:rPr>
                                  </w:pPr>
                                </w:p>
                              </w:tc>
                              <w:tc>
                                <w:tcPr>
                                  <w:tcW w:w="769" w:type="pct"/>
                                </w:tcPr>
                                <w:p w14:paraId="5B9F580E" w14:textId="77777777" w:rsidR="009E41E1" w:rsidRDefault="009E41E1" w:rsidP="00E83465">
                                  <w:pPr>
                                    <w:pStyle w:val="NoSpacing"/>
                                  </w:pPr>
                                  <w:r>
                                    <w:t>Hardened</w:t>
                                  </w:r>
                                </w:p>
                              </w:tc>
                            </w:tr>
                            <w:tr w:rsidR="009816E7" w14:paraId="6C3B1DDC" w14:textId="77777777" w:rsidTr="003A38A5">
                              <w:trPr>
                                <w:trHeight w:val="310"/>
                              </w:trPr>
                              <w:tc>
                                <w:tcPr>
                                  <w:tcW w:w="2010" w:type="pct"/>
                                </w:tcPr>
                                <w:p w14:paraId="3143B1C7" w14:textId="77777777" w:rsidR="009E41E1" w:rsidRPr="009E41E1" w:rsidRDefault="009E41E1" w:rsidP="009E41E1">
                                  <w:pPr>
                                    <w:pStyle w:val="NoSpacing"/>
                                  </w:pPr>
                                  <w:r w:rsidRPr="009E41E1">
                                    <w:t xml:space="preserve">Scheme </w:t>
                                  </w:r>
                                  <w:r w:rsidRPr="009E41E1">
                                    <w:t></w:t>
                                  </w:r>
                                </w:p>
                              </w:tc>
                              <w:tc>
                                <w:tcPr>
                                  <w:tcW w:w="704" w:type="pct"/>
                                </w:tcPr>
                                <w:p w14:paraId="65F71CBD" w14:textId="259070CA" w:rsidR="009E41E1" w:rsidRPr="009E41E1" w:rsidRDefault="009E41E1" w:rsidP="009E41E1">
                                  <w:pPr>
                                    <w:pStyle w:val="NoSpacing"/>
                                  </w:pPr>
                                </w:p>
                              </w:tc>
                              <w:tc>
                                <w:tcPr>
                                  <w:tcW w:w="785" w:type="pct"/>
                                </w:tcPr>
                                <w:p w14:paraId="54166D1B" w14:textId="77777777" w:rsidR="009E41E1" w:rsidRPr="009E41E1" w:rsidRDefault="009E41E1" w:rsidP="009E41E1">
                                  <w:pPr>
                                    <w:pStyle w:val="NoSpacing"/>
                                  </w:pPr>
                                  <w:r w:rsidRPr="009E41E1">
                                    <w:t xml:space="preserve">SP </w:t>
                                  </w:r>
                                  <w:r w:rsidRPr="009E41E1">
                                    <w:t> PFR</w:t>
                                  </w:r>
                                </w:p>
                              </w:tc>
                              <w:tc>
                                <w:tcPr>
                                  <w:tcW w:w="732" w:type="pct"/>
                                </w:tcPr>
                                <w:p w14:paraId="7B64749B" w14:textId="77777777" w:rsidR="009E41E1" w:rsidRPr="009E41E1" w:rsidRDefault="009E41E1" w:rsidP="009E41E1">
                                  <w:pPr>
                                    <w:pStyle w:val="NoSpacing"/>
                                  </w:pPr>
                                  <w:r w:rsidRPr="009E41E1">
                                    <w:t xml:space="preserve">JRM </w:t>
                                  </w:r>
                                  <w:r w:rsidRPr="009E41E1">
                                    <w:t> PFR</w:t>
                                  </w:r>
                                </w:p>
                              </w:tc>
                              <w:tc>
                                <w:tcPr>
                                  <w:tcW w:w="769" w:type="pct"/>
                                </w:tcPr>
                                <w:p w14:paraId="57DA494E" w14:textId="77777777" w:rsidR="009E41E1" w:rsidRPr="009E41E1" w:rsidRDefault="009E41E1" w:rsidP="009E41E1">
                                  <w:pPr>
                                    <w:pStyle w:val="NoSpacing"/>
                                  </w:pPr>
                                  <w:r w:rsidRPr="009E41E1">
                                    <w:t xml:space="preserve">JRM </w:t>
                                  </w:r>
                                  <w:r w:rsidRPr="009E41E1">
                                    <w:t> PFR</w:t>
                                  </w:r>
                                </w:p>
                              </w:tc>
                            </w:tr>
                            <w:tr w:rsidR="00371A21" w14:paraId="48C439D7" w14:textId="77777777" w:rsidTr="003A38A5">
                              <w:trPr>
                                <w:trHeight w:val="310"/>
                              </w:trPr>
                              <w:tc>
                                <w:tcPr>
                                  <w:tcW w:w="2010" w:type="pct"/>
                                </w:tcPr>
                                <w:p w14:paraId="0BE3C2EE" w14:textId="77777777" w:rsidR="00E83465" w:rsidRDefault="00E83465" w:rsidP="00E83465">
                                  <w:pPr>
                                    <w:pStyle w:val="NoSpacing"/>
                                  </w:pPr>
                                  <w:r>
                                    <w:t>Stressor 1</w:t>
                                  </w:r>
                                </w:p>
                              </w:tc>
                              <w:tc>
                                <w:tcPr>
                                  <w:tcW w:w="704" w:type="pct"/>
                                </w:tcPr>
                                <w:p w14:paraId="3BB9D6F7" w14:textId="77777777" w:rsidR="00E83465" w:rsidRDefault="00E83465" w:rsidP="00E83465">
                                  <w:pPr>
                                    <w:pStyle w:val="NoSpacing"/>
                                    <w:rPr>
                                      <w:w w:val="84"/>
                                    </w:rPr>
                                  </w:pPr>
                                  <w:r>
                                    <w:rPr>
                                      <w:w w:val="84"/>
                                    </w:rPr>
                                    <w:t>C</w:t>
                                  </w:r>
                                </w:p>
                              </w:tc>
                              <w:tc>
                                <w:tcPr>
                                  <w:tcW w:w="785" w:type="pct"/>
                                </w:tcPr>
                                <w:p w14:paraId="6378858A" w14:textId="77777777" w:rsidR="00E83465" w:rsidRDefault="00E83465" w:rsidP="00E83465">
                                  <w:pPr>
                                    <w:pStyle w:val="NoSpacing"/>
                                  </w:pPr>
                                  <w:r>
                                    <w:t>10.98</w:t>
                                  </w:r>
                                </w:p>
                              </w:tc>
                              <w:tc>
                                <w:tcPr>
                                  <w:tcW w:w="732" w:type="pct"/>
                                </w:tcPr>
                                <w:p w14:paraId="21A7E7BC" w14:textId="77777777" w:rsidR="00E83465" w:rsidRDefault="00E83465" w:rsidP="00E83465">
                                  <w:pPr>
                                    <w:pStyle w:val="NoSpacing"/>
                                  </w:pPr>
                                  <w:r>
                                    <w:t>11.87</w:t>
                                  </w:r>
                                </w:p>
                              </w:tc>
                              <w:tc>
                                <w:tcPr>
                                  <w:tcW w:w="769" w:type="pct"/>
                                </w:tcPr>
                                <w:p w14:paraId="4171E0A7" w14:textId="77777777" w:rsidR="00E83465" w:rsidRDefault="00E83465" w:rsidP="00E83465">
                                  <w:pPr>
                                    <w:pStyle w:val="NoSpacing"/>
                                  </w:pPr>
                                  <w:r>
                                    <w:t>11.48</w:t>
                                  </w:r>
                                </w:p>
                              </w:tc>
                            </w:tr>
                            <w:tr w:rsidR="00371A21" w14:paraId="0CBA2733" w14:textId="77777777" w:rsidTr="003A38A5">
                              <w:trPr>
                                <w:trHeight w:val="310"/>
                              </w:trPr>
                              <w:tc>
                                <w:tcPr>
                                  <w:tcW w:w="2010" w:type="pct"/>
                                </w:tcPr>
                                <w:p w14:paraId="2AEBB869" w14:textId="77777777" w:rsidR="00E83465" w:rsidRDefault="00E83465" w:rsidP="00E83465">
                                  <w:pPr>
                                    <w:pStyle w:val="NoSpacing"/>
                                    <w:rPr>
                                      <w:rFonts w:ascii="Times New Roman" w:hAnsi="Times New Roman" w:cs="Times New Roman"/>
                                      <w:sz w:val="2"/>
                                      <w:szCs w:val="2"/>
                                    </w:rPr>
                                  </w:pPr>
                                </w:p>
                              </w:tc>
                              <w:tc>
                                <w:tcPr>
                                  <w:tcW w:w="704" w:type="pct"/>
                                </w:tcPr>
                                <w:p w14:paraId="300E5CAD" w14:textId="77777777" w:rsidR="00E83465" w:rsidRDefault="00E83465" w:rsidP="00E83465">
                                  <w:pPr>
                                    <w:pStyle w:val="NoSpacing"/>
                                    <w:rPr>
                                      <w:w w:val="90"/>
                                    </w:rPr>
                                  </w:pPr>
                                  <w:r>
                                    <w:rPr>
                                      <w:w w:val="90"/>
                                    </w:rPr>
                                    <w:t>NC</w:t>
                                  </w:r>
                                </w:p>
                              </w:tc>
                              <w:tc>
                                <w:tcPr>
                                  <w:tcW w:w="785" w:type="pct"/>
                                </w:tcPr>
                                <w:p w14:paraId="32062C18" w14:textId="77777777" w:rsidR="00E83465" w:rsidRDefault="00E83465" w:rsidP="00E83465">
                                  <w:pPr>
                                    <w:pStyle w:val="NoSpacing"/>
                                  </w:pPr>
                                  <w:r>
                                    <w:t>11.71</w:t>
                                  </w:r>
                                </w:p>
                              </w:tc>
                              <w:tc>
                                <w:tcPr>
                                  <w:tcW w:w="732" w:type="pct"/>
                                </w:tcPr>
                                <w:p w14:paraId="31D666FE" w14:textId="77777777" w:rsidR="00E83465" w:rsidRDefault="00E83465" w:rsidP="00E83465">
                                  <w:pPr>
                                    <w:pStyle w:val="NoSpacing"/>
                                  </w:pPr>
                                  <w:r>
                                    <w:t>12.42</w:t>
                                  </w:r>
                                </w:p>
                              </w:tc>
                              <w:tc>
                                <w:tcPr>
                                  <w:tcW w:w="769" w:type="pct"/>
                                </w:tcPr>
                                <w:p w14:paraId="0939E2B0" w14:textId="77777777" w:rsidR="00E83465" w:rsidRDefault="00E83465" w:rsidP="00E83465">
                                  <w:pPr>
                                    <w:pStyle w:val="NoSpacing"/>
                                  </w:pPr>
                                  <w:r>
                                    <w:t>12.44</w:t>
                                  </w:r>
                                </w:p>
                              </w:tc>
                            </w:tr>
                            <w:tr w:rsidR="00371A21" w14:paraId="4585B4AB" w14:textId="77777777" w:rsidTr="003A38A5">
                              <w:trPr>
                                <w:trHeight w:val="310"/>
                              </w:trPr>
                              <w:tc>
                                <w:tcPr>
                                  <w:tcW w:w="2010" w:type="pct"/>
                                </w:tcPr>
                                <w:p w14:paraId="5C7E77EA" w14:textId="77777777" w:rsidR="00E83465" w:rsidRDefault="00E83465" w:rsidP="00E83465">
                                  <w:pPr>
                                    <w:pStyle w:val="NoSpacing"/>
                                    <w:rPr>
                                      <w:rFonts w:ascii="Times New Roman" w:hAnsi="Times New Roman" w:cs="Times New Roman"/>
                                      <w:sz w:val="2"/>
                                      <w:szCs w:val="2"/>
                                    </w:rPr>
                                  </w:pPr>
                                </w:p>
                              </w:tc>
                              <w:tc>
                                <w:tcPr>
                                  <w:tcW w:w="704" w:type="pct"/>
                                </w:tcPr>
                                <w:p w14:paraId="7ACB222C" w14:textId="77777777" w:rsidR="00E83465" w:rsidRDefault="00E83465" w:rsidP="00E83465">
                                  <w:pPr>
                                    <w:pStyle w:val="NoSpacing"/>
                                    <w:rPr>
                                      <w:w w:val="80"/>
                                    </w:rPr>
                                  </w:pPr>
                                  <w:r>
                                    <w:rPr>
                                      <w:w w:val="80"/>
                                    </w:rPr>
                                    <w:t>SC</w:t>
                                  </w:r>
                                </w:p>
                              </w:tc>
                              <w:tc>
                                <w:tcPr>
                                  <w:tcW w:w="785" w:type="pct"/>
                                </w:tcPr>
                                <w:p w14:paraId="5DEAEDD7" w14:textId="77777777" w:rsidR="00E83465" w:rsidRDefault="00E83465" w:rsidP="00E83465">
                                  <w:pPr>
                                    <w:pStyle w:val="NoSpacing"/>
                                  </w:pPr>
                                  <w:r>
                                    <w:t>10.93</w:t>
                                  </w:r>
                                </w:p>
                              </w:tc>
                              <w:tc>
                                <w:tcPr>
                                  <w:tcW w:w="732" w:type="pct"/>
                                </w:tcPr>
                                <w:p w14:paraId="18B334B0" w14:textId="77777777" w:rsidR="00E83465" w:rsidRDefault="00E83465" w:rsidP="00E83465">
                                  <w:pPr>
                                    <w:pStyle w:val="NoSpacing"/>
                                  </w:pPr>
                                  <w:r>
                                    <w:t>11.27</w:t>
                                  </w:r>
                                </w:p>
                              </w:tc>
                              <w:tc>
                                <w:tcPr>
                                  <w:tcW w:w="769" w:type="pct"/>
                                </w:tcPr>
                                <w:p w14:paraId="2DF906C6" w14:textId="77777777" w:rsidR="00E83465" w:rsidRDefault="00E83465" w:rsidP="00E83465">
                                  <w:pPr>
                                    <w:pStyle w:val="NoSpacing"/>
                                  </w:pPr>
                                  <w:r>
                                    <w:t>11.00</w:t>
                                  </w:r>
                                </w:p>
                              </w:tc>
                            </w:tr>
                            <w:tr w:rsidR="00371A21" w14:paraId="3E43A856" w14:textId="77777777" w:rsidTr="003A38A5">
                              <w:trPr>
                                <w:trHeight w:val="310"/>
                              </w:trPr>
                              <w:tc>
                                <w:tcPr>
                                  <w:tcW w:w="2010" w:type="pct"/>
                                </w:tcPr>
                                <w:p w14:paraId="3570DCB0" w14:textId="77777777" w:rsidR="00E83465" w:rsidRDefault="00E83465" w:rsidP="00E83465">
                                  <w:pPr>
                                    <w:pStyle w:val="NoSpacing"/>
                                    <w:rPr>
                                      <w:rFonts w:ascii="Times New Roman" w:hAnsi="Times New Roman" w:cs="Times New Roman"/>
                                      <w:sz w:val="2"/>
                                      <w:szCs w:val="2"/>
                                    </w:rPr>
                                  </w:pPr>
                                </w:p>
                              </w:tc>
                              <w:tc>
                                <w:tcPr>
                                  <w:tcW w:w="704" w:type="pct"/>
                                </w:tcPr>
                                <w:p w14:paraId="45CF1A3D" w14:textId="77777777" w:rsidR="00E83465" w:rsidRDefault="00E83465" w:rsidP="00E83465">
                                  <w:pPr>
                                    <w:pStyle w:val="NoSpacing"/>
                                    <w:rPr>
                                      <w:w w:val="80"/>
                                    </w:rPr>
                                  </w:pPr>
                                  <w:r>
                                    <w:rPr>
                                      <w:w w:val="80"/>
                                    </w:rPr>
                                    <w:t>EC</w:t>
                                  </w:r>
                                </w:p>
                              </w:tc>
                              <w:tc>
                                <w:tcPr>
                                  <w:tcW w:w="785" w:type="pct"/>
                                </w:tcPr>
                                <w:p w14:paraId="352E68E2" w14:textId="77777777" w:rsidR="00E83465" w:rsidRDefault="00E83465" w:rsidP="00E83465">
                                  <w:pPr>
                                    <w:pStyle w:val="NoSpacing"/>
                                  </w:pPr>
                                  <w:r>
                                    <w:t>11.10</w:t>
                                  </w:r>
                                </w:p>
                              </w:tc>
                              <w:tc>
                                <w:tcPr>
                                  <w:tcW w:w="732" w:type="pct"/>
                                </w:tcPr>
                                <w:p w14:paraId="507A6DF5" w14:textId="77777777" w:rsidR="00E83465" w:rsidRDefault="00E83465" w:rsidP="00E83465">
                                  <w:pPr>
                                    <w:pStyle w:val="NoSpacing"/>
                                  </w:pPr>
                                  <w:r>
                                    <w:t>12.40</w:t>
                                  </w:r>
                                </w:p>
                              </w:tc>
                              <w:tc>
                                <w:tcPr>
                                  <w:tcW w:w="769" w:type="pct"/>
                                </w:tcPr>
                                <w:p w14:paraId="03D93144" w14:textId="77777777" w:rsidR="00E83465" w:rsidRDefault="00E83465" w:rsidP="00E83465">
                                  <w:pPr>
                                    <w:pStyle w:val="NoSpacing"/>
                                  </w:pPr>
                                  <w:r>
                                    <w:t>11.40</w:t>
                                  </w:r>
                                </w:p>
                              </w:tc>
                            </w:tr>
                            <w:tr w:rsidR="00371A21" w14:paraId="1646F74C" w14:textId="77777777" w:rsidTr="003A38A5">
                              <w:trPr>
                                <w:trHeight w:val="310"/>
                              </w:trPr>
                              <w:tc>
                                <w:tcPr>
                                  <w:tcW w:w="2010" w:type="pct"/>
                                </w:tcPr>
                                <w:p w14:paraId="449DD2A5" w14:textId="77777777" w:rsidR="00E83465" w:rsidRDefault="00E83465" w:rsidP="00E83465">
                                  <w:pPr>
                                    <w:pStyle w:val="NoSpacing"/>
                                    <w:rPr>
                                      <w:rFonts w:ascii="Times New Roman" w:hAnsi="Times New Roman" w:cs="Times New Roman"/>
                                      <w:sz w:val="2"/>
                                      <w:szCs w:val="2"/>
                                    </w:rPr>
                                  </w:pPr>
                                </w:p>
                              </w:tc>
                              <w:tc>
                                <w:tcPr>
                                  <w:tcW w:w="704" w:type="pct"/>
                                </w:tcPr>
                                <w:p w14:paraId="75A6D0E4" w14:textId="77777777" w:rsidR="00E83465" w:rsidRDefault="00E83465" w:rsidP="00E83465">
                                  <w:pPr>
                                    <w:pStyle w:val="NoSpacing"/>
                                    <w:rPr>
                                      <w:w w:val="85"/>
                                    </w:rPr>
                                  </w:pPr>
                                  <w:r>
                                    <w:rPr>
                                      <w:w w:val="85"/>
                                    </w:rPr>
                                    <w:t>WC</w:t>
                                  </w:r>
                                </w:p>
                              </w:tc>
                              <w:tc>
                                <w:tcPr>
                                  <w:tcW w:w="785" w:type="pct"/>
                                </w:tcPr>
                                <w:p w14:paraId="1BA8A993" w14:textId="77777777" w:rsidR="00E83465" w:rsidRDefault="00E83465" w:rsidP="00E83465">
                                  <w:pPr>
                                    <w:pStyle w:val="NoSpacing"/>
                                  </w:pPr>
                                  <w:r>
                                    <w:t>11.25</w:t>
                                  </w:r>
                                </w:p>
                              </w:tc>
                              <w:tc>
                                <w:tcPr>
                                  <w:tcW w:w="732" w:type="pct"/>
                                </w:tcPr>
                                <w:p w14:paraId="307E31DD" w14:textId="77777777" w:rsidR="00E83465" w:rsidRDefault="00E83465" w:rsidP="00E83465">
                                  <w:pPr>
                                    <w:pStyle w:val="NoSpacing"/>
                                  </w:pPr>
                                  <w:r>
                                    <w:t>12.01</w:t>
                                  </w:r>
                                </w:p>
                              </w:tc>
                              <w:tc>
                                <w:tcPr>
                                  <w:tcW w:w="769" w:type="pct"/>
                                </w:tcPr>
                                <w:p w14:paraId="744BAD5E" w14:textId="77777777" w:rsidR="00E83465" w:rsidRDefault="00E83465" w:rsidP="00E83465">
                                  <w:pPr>
                                    <w:pStyle w:val="NoSpacing"/>
                                  </w:pPr>
                                  <w:r>
                                    <w:t>11.59</w:t>
                                  </w:r>
                                </w:p>
                              </w:tc>
                            </w:tr>
                            <w:tr w:rsidR="00371A21" w14:paraId="1EF22EEE" w14:textId="77777777" w:rsidTr="003A38A5">
                              <w:trPr>
                                <w:trHeight w:val="310"/>
                              </w:trPr>
                              <w:tc>
                                <w:tcPr>
                                  <w:tcW w:w="2010" w:type="pct"/>
                                </w:tcPr>
                                <w:p w14:paraId="0B852C7C" w14:textId="77777777" w:rsidR="009E41E1" w:rsidRDefault="009E41E1" w:rsidP="00E83465">
                                  <w:pPr>
                                    <w:pStyle w:val="NoSpacing"/>
                                  </w:pPr>
                                  <w:r>
                                    <w:t>Stressor 2</w:t>
                                  </w:r>
                                </w:p>
                              </w:tc>
                              <w:tc>
                                <w:tcPr>
                                  <w:tcW w:w="704" w:type="pct"/>
                                </w:tcPr>
                                <w:p w14:paraId="3B89D3BC" w14:textId="28DB98E4" w:rsidR="009E41E1" w:rsidRDefault="009E41E1" w:rsidP="00E83465">
                                  <w:pPr>
                                    <w:pStyle w:val="NoSpacing"/>
                                  </w:pPr>
                                </w:p>
                              </w:tc>
                              <w:tc>
                                <w:tcPr>
                                  <w:tcW w:w="785" w:type="pct"/>
                                </w:tcPr>
                                <w:p w14:paraId="318CA4D2" w14:textId="77777777" w:rsidR="009E41E1" w:rsidRDefault="009E41E1" w:rsidP="00E83465">
                                  <w:pPr>
                                    <w:pStyle w:val="NoSpacing"/>
                                  </w:pPr>
                                  <w:r>
                                    <w:t>12.04</w:t>
                                  </w:r>
                                </w:p>
                              </w:tc>
                              <w:tc>
                                <w:tcPr>
                                  <w:tcW w:w="732" w:type="pct"/>
                                </w:tcPr>
                                <w:p w14:paraId="7B9BD7BD" w14:textId="77777777" w:rsidR="009E41E1" w:rsidRDefault="009E41E1" w:rsidP="00E83465">
                                  <w:pPr>
                                    <w:pStyle w:val="NoSpacing"/>
                                  </w:pPr>
                                  <w:r>
                                    <w:t>13.88</w:t>
                                  </w:r>
                                </w:p>
                              </w:tc>
                              <w:tc>
                                <w:tcPr>
                                  <w:tcW w:w="769" w:type="pct"/>
                                </w:tcPr>
                                <w:p w14:paraId="24B06A7E" w14:textId="77777777" w:rsidR="009E41E1" w:rsidRDefault="009E41E1" w:rsidP="00E83465">
                                  <w:pPr>
                                    <w:pStyle w:val="NoSpacing"/>
                                  </w:pPr>
                                  <w:r>
                                    <w:t>12.27</w:t>
                                  </w:r>
                                </w:p>
                              </w:tc>
                            </w:tr>
                            <w:tr w:rsidR="003A38A5" w14:paraId="384911B1" w14:textId="77777777" w:rsidTr="003A38A5">
                              <w:trPr>
                                <w:trHeight w:val="310"/>
                              </w:trPr>
                              <w:tc>
                                <w:tcPr>
                                  <w:tcW w:w="2010" w:type="pct"/>
                                </w:tcPr>
                                <w:p w14:paraId="32A7035D" w14:textId="77777777" w:rsidR="009E41E1" w:rsidRDefault="009E41E1" w:rsidP="00E83465">
                                  <w:pPr>
                                    <w:pStyle w:val="NoSpacing"/>
                                  </w:pPr>
                                  <w:r>
                                    <w:t>Stressor 3</w:t>
                                  </w:r>
                                </w:p>
                              </w:tc>
                              <w:tc>
                                <w:tcPr>
                                  <w:tcW w:w="704" w:type="pct"/>
                                </w:tcPr>
                                <w:p w14:paraId="4BFF1B0E" w14:textId="4CE2C4DC" w:rsidR="009E41E1" w:rsidRDefault="009E41E1" w:rsidP="00E83465">
                                  <w:pPr>
                                    <w:pStyle w:val="NoSpacing"/>
                                  </w:pPr>
                                </w:p>
                              </w:tc>
                              <w:tc>
                                <w:tcPr>
                                  <w:tcW w:w="785" w:type="pct"/>
                                </w:tcPr>
                                <w:p w14:paraId="14BDC394" w14:textId="77777777" w:rsidR="009E41E1" w:rsidRDefault="009E41E1" w:rsidP="00E83465">
                                  <w:pPr>
                                    <w:pStyle w:val="NoSpacing"/>
                                  </w:pPr>
                                  <w:r>
                                    <w:t>13.35</w:t>
                                  </w:r>
                                </w:p>
                              </w:tc>
                              <w:tc>
                                <w:tcPr>
                                  <w:tcW w:w="732" w:type="pct"/>
                                </w:tcPr>
                                <w:p w14:paraId="4F04AFEC" w14:textId="77777777" w:rsidR="009E41E1" w:rsidRDefault="009E41E1" w:rsidP="00E83465">
                                  <w:pPr>
                                    <w:pStyle w:val="NoSpacing"/>
                                  </w:pPr>
                                  <w:r>
                                    <w:t>14.38</w:t>
                                  </w:r>
                                </w:p>
                              </w:tc>
                              <w:tc>
                                <w:tcPr>
                                  <w:tcW w:w="769" w:type="pct"/>
                                </w:tcPr>
                                <w:p w14:paraId="01DDE28E" w14:textId="77777777" w:rsidR="009E41E1" w:rsidRDefault="009E41E1" w:rsidP="00E83465">
                                  <w:pPr>
                                    <w:pStyle w:val="NoSpacing"/>
                                  </w:pPr>
                                  <w:r>
                                    <w:t>13.00</w:t>
                                  </w:r>
                                </w:p>
                              </w:tc>
                            </w:tr>
                            <w:tr w:rsidR="003A38A5" w14:paraId="6735F17D" w14:textId="77777777" w:rsidTr="003A38A5">
                              <w:trPr>
                                <w:trHeight w:val="310"/>
                              </w:trPr>
                              <w:tc>
                                <w:tcPr>
                                  <w:tcW w:w="2010" w:type="pct"/>
                                </w:tcPr>
                                <w:p w14:paraId="56B2B357" w14:textId="38C4D89B" w:rsidR="009E41E1" w:rsidRDefault="009E41E1" w:rsidP="00E83465">
                                  <w:pPr>
                                    <w:pStyle w:val="NoSpacing"/>
                                  </w:pPr>
                                  <w:r>
                                    <w:t>Post-fault switchover time (s)</w:t>
                                  </w:r>
                                </w:p>
                              </w:tc>
                              <w:tc>
                                <w:tcPr>
                                  <w:tcW w:w="704" w:type="pct"/>
                                </w:tcPr>
                                <w:p w14:paraId="2096EF78" w14:textId="77777777" w:rsidR="009E41E1" w:rsidRDefault="009E41E1" w:rsidP="00E83465">
                                  <w:pPr>
                                    <w:pStyle w:val="NoSpacing"/>
                                  </w:pPr>
                                </w:p>
                              </w:tc>
                              <w:tc>
                                <w:tcPr>
                                  <w:tcW w:w="785" w:type="pct"/>
                                </w:tcPr>
                                <w:p w14:paraId="596D806B" w14:textId="77777777" w:rsidR="009E41E1" w:rsidRDefault="009E41E1" w:rsidP="00E83465">
                                  <w:pPr>
                                    <w:pStyle w:val="NoSpacing"/>
                                  </w:pPr>
                                </w:p>
                              </w:tc>
                              <w:tc>
                                <w:tcPr>
                                  <w:tcW w:w="732" w:type="pct"/>
                                </w:tcPr>
                                <w:p w14:paraId="58E4810E" w14:textId="77777777" w:rsidR="009E41E1" w:rsidRDefault="009E41E1" w:rsidP="00E83465">
                                  <w:pPr>
                                    <w:pStyle w:val="NoSpacing"/>
                                  </w:pPr>
                                </w:p>
                              </w:tc>
                              <w:tc>
                                <w:tcPr>
                                  <w:tcW w:w="769" w:type="pct"/>
                                </w:tcPr>
                                <w:p w14:paraId="5137DD69" w14:textId="77777777" w:rsidR="009E41E1" w:rsidRDefault="009E41E1" w:rsidP="00E83465">
                                  <w:pPr>
                                    <w:pStyle w:val="NoSpacing"/>
                                  </w:pPr>
                                </w:p>
                              </w:tc>
                            </w:tr>
                            <w:tr w:rsidR="003A38A5" w14:paraId="3E4FAE75" w14:textId="77777777" w:rsidTr="003A38A5">
                              <w:trPr>
                                <w:trHeight w:val="310"/>
                              </w:trPr>
                              <w:tc>
                                <w:tcPr>
                                  <w:tcW w:w="2010" w:type="pct"/>
                                </w:tcPr>
                                <w:p w14:paraId="06A13A2C" w14:textId="77777777" w:rsidR="009E41E1" w:rsidRDefault="009E41E1" w:rsidP="00E83465">
                                  <w:pPr>
                                    <w:pStyle w:val="NoSpacing"/>
                                    <w:rPr>
                                      <w:w w:val="90"/>
                                    </w:rPr>
                                  </w:pPr>
                                  <w:r>
                                    <w:rPr>
                                      <w:w w:val="90"/>
                                    </w:rPr>
                                    <w:t>Non-</w:t>
                                  </w:r>
                                </w:p>
                              </w:tc>
                              <w:tc>
                                <w:tcPr>
                                  <w:tcW w:w="704" w:type="pct"/>
                                </w:tcPr>
                                <w:p w14:paraId="13478417" w14:textId="67C4DEB8" w:rsidR="009E41E1" w:rsidRDefault="009E41E1" w:rsidP="00E83465">
                                  <w:pPr>
                                    <w:pStyle w:val="NoSpacing"/>
                                    <w:rPr>
                                      <w:w w:val="90"/>
                                    </w:rPr>
                                  </w:pPr>
                                </w:p>
                              </w:tc>
                              <w:tc>
                                <w:tcPr>
                                  <w:tcW w:w="785" w:type="pct"/>
                                </w:tcPr>
                                <w:p w14:paraId="39A31197" w14:textId="77777777" w:rsidR="009E41E1" w:rsidRDefault="009E41E1" w:rsidP="00E83465">
                                  <w:pPr>
                                    <w:pStyle w:val="NoSpacing"/>
                                  </w:pPr>
                                  <w:r>
                                    <w:t>ardened</w:t>
                                  </w:r>
                                </w:p>
                              </w:tc>
                              <w:tc>
                                <w:tcPr>
                                  <w:tcW w:w="732" w:type="pct"/>
                                </w:tcPr>
                                <w:p w14:paraId="3FE6A047" w14:textId="77777777" w:rsidR="009E41E1" w:rsidRDefault="009E41E1" w:rsidP="00E83465">
                                  <w:pPr>
                                    <w:pStyle w:val="NoSpacing"/>
                                    <w:rPr>
                                      <w:rFonts w:ascii="Times New Roman" w:hAnsi="Times New Roman" w:cs="Times New Roman"/>
                                      <w:sz w:val="14"/>
                                      <w:szCs w:val="14"/>
                                    </w:rPr>
                                  </w:pPr>
                                </w:p>
                              </w:tc>
                              <w:tc>
                                <w:tcPr>
                                  <w:tcW w:w="769" w:type="pct"/>
                                </w:tcPr>
                                <w:p w14:paraId="0D9F9624" w14:textId="77777777" w:rsidR="009E41E1" w:rsidRDefault="009E41E1" w:rsidP="00E83465">
                                  <w:pPr>
                                    <w:pStyle w:val="NoSpacing"/>
                                  </w:pPr>
                                  <w:r>
                                    <w:t>Hardened</w:t>
                                  </w:r>
                                </w:p>
                              </w:tc>
                            </w:tr>
                            <w:tr w:rsidR="003A38A5" w14:paraId="198BFD9F" w14:textId="77777777" w:rsidTr="003A38A5">
                              <w:trPr>
                                <w:trHeight w:val="310"/>
                              </w:trPr>
                              <w:tc>
                                <w:tcPr>
                                  <w:tcW w:w="2010" w:type="pct"/>
                                </w:tcPr>
                                <w:p w14:paraId="582F3BF0" w14:textId="77777777" w:rsidR="009E41E1" w:rsidRPr="009E41E1" w:rsidRDefault="009E41E1" w:rsidP="009E41E1">
                                  <w:pPr>
                                    <w:pStyle w:val="NoSpacing"/>
                                  </w:pPr>
                                  <w:r w:rsidRPr="009E41E1">
                                    <w:t xml:space="preserve">Scheme </w:t>
                                  </w:r>
                                  <w:r w:rsidRPr="009E41E1">
                                    <w:t></w:t>
                                  </w:r>
                                </w:p>
                              </w:tc>
                              <w:tc>
                                <w:tcPr>
                                  <w:tcW w:w="704" w:type="pct"/>
                                </w:tcPr>
                                <w:p w14:paraId="11E48E02" w14:textId="7DAFB13C" w:rsidR="009E41E1" w:rsidRPr="009E41E1" w:rsidRDefault="009E41E1" w:rsidP="009E41E1">
                                  <w:pPr>
                                    <w:pStyle w:val="NoSpacing"/>
                                  </w:pPr>
                                </w:p>
                              </w:tc>
                              <w:tc>
                                <w:tcPr>
                                  <w:tcW w:w="785" w:type="pct"/>
                                </w:tcPr>
                                <w:p w14:paraId="08288B7E" w14:textId="77777777" w:rsidR="009E41E1" w:rsidRPr="009E41E1" w:rsidRDefault="009E41E1" w:rsidP="009E41E1">
                                  <w:pPr>
                                    <w:pStyle w:val="NoSpacing"/>
                                  </w:pPr>
                                  <w:r w:rsidRPr="009E41E1">
                                    <w:t xml:space="preserve">SP </w:t>
                                  </w:r>
                                  <w:r w:rsidRPr="009E41E1">
                                    <w:t> PFR</w:t>
                                  </w:r>
                                </w:p>
                              </w:tc>
                              <w:tc>
                                <w:tcPr>
                                  <w:tcW w:w="732" w:type="pct"/>
                                </w:tcPr>
                                <w:p w14:paraId="167C0D0F" w14:textId="77777777" w:rsidR="009E41E1" w:rsidRPr="009E41E1" w:rsidRDefault="009E41E1" w:rsidP="009E41E1">
                                  <w:pPr>
                                    <w:pStyle w:val="NoSpacing"/>
                                  </w:pPr>
                                  <w:r w:rsidRPr="009E41E1">
                                    <w:t xml:space="preserve">JRM </w:t>
                                  </w:r>
                                  <w:r w:rsidRPr="009E41E1">
                                    <w:t> PFR</w:t>
                                  </w:r>
                                </w:p>
                              </w:tc>
                              <w:tc>
                                <w:tcPr>
                                  <w:tcW w:w="769" w:type="pct"/>
                                </w:tcPr>
                                <w:p w14:paraId="300DB957" w14:textId="77777777" w:rsidR="009E41E1" w:rsidRPr="009E41E1" w:rsidRDefault="009E41E1" w:rsidP="009E41E1">
                                  <w:pPr>
                                    <w:pStyle w:val="NoSpacing"/>
                                  </w:pPr>
                                  <w:r w:rsidRPr="009E41E1">
                                    <w:t xml:space="preserve">JRM </w:t>
                                  </w:r>
                                  <w:r w:rsidRPr="009E41E1">
                                    <w:t> PFR</w:t>
                                  </w:r>
                                </w:p>
                              </w:tc>
                            </w:tr>
                            <w:tr w:rsidR="00371A21" w14:paraId="310D8A4A" w14:textId="77777777" w:rsidTr="003A38A5">
                              <w:trPr>
                                <w:trHeight w:val="310"/>
                              </w:trPr>
                              <w:tc>
                                <w:tcPr>
                                  <w:tcW w:w="2010" w:type="pct"/>
                                </w:tcPr>
                                <w:p w14:paraId="2A8D8D63" w14:textId="77777777" w:rsidR="00E83465" w:rsidRDefault="00E83465" w:rsidP="00E83465">
                                  <w:pPr>
                                    <w:pStyle w:val="NoSpacing"/>
                                    <w:rPr>
                                      <w:sz w:val="18"/>
                                      <w:szCs w:val="18"/>
                                    </w:rPr>
                                  </w:pPr>
                                </w:p>
                                <w:p w14:paraId="1375D387" w14:textId="77777777" w:rsidR="00E83465" w:rsidRDefault="00E83465" w:rsidP="00E83465">
                                  <w:pPr>
                                    <w:pStyle w:val="NoSpacing"/>
                                  </w:pPr>
                                  <w:r>
                                    <w:t>Stressor 1</w:t>
                                  </w:r>
                                </w:p>
                              </w:tc>
                              <w:tc>
                                <w:tcPr>
                                  <w:tcW w:w="704" w:type="pct"/>
                                </w:tcPr>
                                <w:p w14:paraId="2A409D3D" w14:textId="77777777" w:rsidR="00E83465" w:rsidRDefault="00E83465" w:rsidP="00E83465">
                                  <w:pPr>
                                    <w:pStyle w:val="NoSpacing"/>
                                    <w:rPr>
                                      <w:w w:val="84"/>
                                    </w:rPr>
                                  </w:pPr>
                                  <w:r>
                                    <w:rPr>
                                      <w:w w:val="84"/>
                                    </w:rPr>
                                    <w:t>C</w:t>
                                  </w:r>
                                </w:p>
                              </w:tc>
                              <w:tc>
                                <w:tcPr>
                                  <w:tcW w:w="785" w:type="pct"/>
                                </w:tcPr>
                                <w:p w14:paraId="0BDCF3AC" w14:textId="77777777" w:rsidR="00E83465" w:rsidRDefault="00E83465" w:rsidP="00E83465">
                                  <w:pPr>
                                    <w:pStyle w:val="NoSpacing"/>
                                  </w:pPr>
                                  <w:r>
                                    <w:t>8.5</w:t>
                                  </w:r>
                                </w:p>
                              </w:tc>
                              <w:tc>
                                <w:tcPr>
                                  <w:tcW w:w="732" w:type="pct"/>
                                </w:tcPr>
                                <w:p w14:paraId="367CBE0A" w14:textId="77777777" w:rsidR="00E83465" w:rsidRDefault="00E83465" w:rsidP="00E83465">
                                  <w:pPr>
                                    <w:pStyle w:val="NoSpacing"/>
                                  </w:pPr>
                                  <w:r>
                                    <w:t>3.3</w:t>
                                  </w:r>
                                </w:p>
                              </w:tc>
                              <w:tc>
                                <w:tcPr>
                                  <w:tcW w:w="769" w:type="pct"/>
                                </w:tcPr>
                                <w:p w14:paraId="6A935415" w14:textId="77777777" w:rsidR="00E83465" w:rsidRDefault="00E83465" w:rsidP="00E83465">
                                  <w:pPr>
                                    <w:pStyle w:val="NoSpacing"/>
                                  </w:pPr>
                                  <w:r>
                                    <w:t>2.6</w:t>
                                  </w:r>
                                </w:p>
                              </w:tc>
                            </w:tr>
                            <w:tr w:rsidR="00371A21" w14:paraId="0CF52DEB" w14:textId="77777777" w:rsidTr="003A38A5">
                              <w:trPr>
                                <w:trHeight w:val="310"/>
                              </w:trPr>
                              <w:tc>
                                <w:tcPr>
                                  <w:tcW w:w="2010" w:type="pct"/>
                                </w:tcPr>
                                <w:p w14:paraId="6F7EF87F" w14:textId="77777777" w:rsidR="00E83465" w:rsidRDefault="00E83465" w:rsidP="00E83465">
                                  <w:pPr>
                                    <w:pStyle w:val="NoSpacing"/>
                                    <w:rPr>
                                      <w:rFonts w:ascii="Times New Roman" w:hAnsi="Times New Roman" w:cs="Times New Roman"/>
                                      <w:sz w:val="2"/>
                                      <w:szCs w:val="2"/>
                                    </w:rPr>
                                  </w:pPr>
                                </w:p>
                              </w:tc>
                              <w:tc>
                                <w:tcPr>
                                  <w:tcW w:w="704" w:type="pct"/>
                                </w:tcPr>
                                <w:p w14:paraId="75100224" w14:textId="77777777" w:rsidR="00E83465" w:rsidRDefault="00E83465" w:rsidP="00E83465">
                                  <w:pPr>
                                    <w:pStyle w:val="NoSpacing"/>
                                    <w:rPr>
                                      <w:w w:val="90"/>
                                    </w:rPr>
                                  </w:pPr>
                                  <w:r>
                                    <w:rPr>
                                      <w:w w:val="90"/>
                                    </w:rPr>
                                    <w:t>NC</w:t>
                                  </w:r>
                                </w:p>
                              </w:tc>
                              <w:tc>
                                <w:tcPr>
                                  <w:tcW w:w="785" w:type="pct"/>
                                </w:tcPr>
                                <w:p w14:paraId="022F0F66" w14:textId="77777777" w:rsidR="00E83465" w:rsidRDefault="00E83465" w:rsidP="00E83465">
                                  <w:pPr>
                                    <w:pStyle w:val="NoSpacing"/>
                                  </w:pPr>
                                  <w:r>
                                    <w:t>9.2</w:t>
                                  </w:r>
                                </w:p>
                              </w:tc>
                              <w:tc>
                                <w:tcPr>
                                  <w:tcW w:w="732" w:type="pct"/>
                                </w:tcPr>
                                <w:p w14:paraId="626E7A51" w14:textId="77777777" w:rsidR="00E83465" w:rsidRDefault="00E83465" w:rsidP="00E83465">
                                  <w:pPr>
                                    <w:pStyle w:val="NoSpacing"/>
                                  </w:pPr>
                                  <w:r>
                                    <w:t>4.7</w:t>
                                  </w:r>
                                </w:p>
                              </w:tc>
                              <w:tc>
                                <w:tcPr>
                                  <w:tcW w:w="769" w:type="pct"/>
                                </w:tcPr>
                                <w:p w14:paraId="43577375" w14:textId="77777777" w:rsidR="00E83465" w:rsidRDefault="00E83465" w:rsidP="00E83465">
                                  <w:pPr>
                                    <w:pStyle w:val="NoSpacing"/>
                                  </w:pPr>
                                  <w:r>
                                    <w:t>4.7</w:t>
                                  </w:r>
                                </w:p>
                              </w:tc>
                            </w:tr>
                            <w:tr w:rsidR="00371A21" w14:paraId="10055B44" w14:textId="77777777" w:rsidTr="003A38A5">
                              <w:trPr>
                                <w:trHeight w:val="310"/>
                              </w:trPr>
                              <w:tc>
                                <w:tcPr>
                                  <w:tcW w:w="2010" w:type="pct"/>
                                </w:tcPr>
                                <w:p w14:paraId="34EF3EC1" w14:textId="77777777" w:rsidR="00E83465" w:rsidRDefault="00E83465" w:rsidP="00E83465">
                                  <w:pPr>
                                    <w:pStyle w:val="NoSpacing"/>
                                    <w:rPr>
                                      <w:rFonts w:ascii="Times New Roman" w:hAnsi="Times New Roman" w:cs="Times New Roman"/>
                                      <w:sz w:val="2"/>
                                      <w:szCs w:val="2"/>
                                    </w:rPr>
                                  </w:pPr>
                                </w:p>
                              </w:tc>
                              <w:tc>
                                <w:tcPr>
                                  <w:tcW w:w="704" w:type="pct"/>
                                </w:tcPr>
                                <w:p w14:paraId="5947364C" w14:textId="77777777" w:rsidR="00E83465" w:rsidRDefault="00E83465" w:rsidP="00E83465">
                                  <w:pPr>
                                    <w:pStyle w:val="NoSpacing"/>
                                    <w:rPr>
                                      <w:w w:val="80"/>
                                    </w:rPr>
                                  </w:pPr>
                                  <w:r>
                                    <w:rPr>
                                      <w:w w:val="80"/>
                                    </w:rPr>
                                    <w:t>SC</w:t>
                                  </w:r>
                                </w:p>
                              </w:tc>
                              <w:tc>
                                <w:tcPr>
                                  <w:tcW w:w="785" w:type="pct"/>
                                </w:tcPr>
                                <w:p w14:paraId="1BFAE6B1" w14:textId="77777777" w:rsidR="00E83465" w:rsidRDefault="00E83465" w:rsidP="00E83465">
                                  <w:pPr>
                                    <w:pStyle w:val="NoSpacing"/>
                                  </w:pPr>
                                  <w:r>
                                    <w:t>5.9</w:t>
                                  </w:r>
                                </w:p>
                              </w:tc>
                              <w:tc>
                                <w:tcPr>
                                  <w:tcW w:w="732" w:type="pct"/>
                                </w:tcPr>
                                <w:p w14:paraId="0370C90E" w14:textId="77777777" w:rsidR="00E83465" w:rsidRDefault="00E83465" w:rsidP="00E83465">
                                  <w:pPr>
                                    <w:pStyle w:val="NoSpacing"/>
                                  </w:pPr>
                                  <w:r>
                                    <w:t>2.7</w:t>
                                  </w:r>
                                </w:p>
                              </w:tc>
                              <w:tc>
                                <w:tcPr>
                                  <w:tcW w:w="769" w:type="pct"/>
                                </w:tcPr>
                                <w:p w14:paraId="18DDCCC5" w14:textId="77777777" w:rsidR="00E83465" w:rsidRDefault="00E83465" w:rsidP="00E83465">
                                  <w:pPr>
                                    <w:pStyle w:val="NoSpacing"/>
                                  </w:pPr>
                                  <w:r>
                                    <w:t>2.7</w:t>
                                  </w:r>
                                </w:p>
                              </w:tc>
                            </w:tr>
                            <w:tr w:rsidR="00371A21" w14:paraId="6BE852E1" w14:textId="77777777" w:rsidTr="003A38A5">
                              <w:trPr>
                                <w:trHeight w:val="310"/>
                              </w:trPr>
                              <w:tc>
                                <w:tcPr>
                                  <w:tcW w:w="2010" w:type="pct"/>
                                </w:tcPr>
                                <w:p w14:paraId="388AEDEF" w14:textId="77777777" w:rsidR="00E83465" w:rsidRDefault="00E83465" w:rsidP="00E83465">
                                  <w:pPr>
                                    <w:pStyle w:val="NoSpacing"/>
                                    <w:rPr>
                                      <w:rFonts w:ascii="Times New Roman" w:hAnsi="Times New Roman" w:cs="Times New Roman"/>
                                      <w:sz w:val="2"/>
                                      <w:szCs w:val="2"/>
                                    </w:rPr>
                                  </w:pPr>
                                </w:p>
                              </w:tc>
                              <w:tc>
                                <w:tcPr>
                                  <w:tcW w:w="704" w:type="pct"/>
                                </w:tcPr>
                                <w:p w14:paraId="44D6C670" w14:textId="77777777" w:rsidR="00E83465" w:rsidRDefault="00E83465" w:rsidP="00E83465">
                                  <w:pPr>
                                    <w:pStyle w:val="NoSpacing"/>
                                    <w:rPr>
                                      <w:w w:val="80"/>
                                    </w:rPr>
                                  </w:pPr>
                                  <w:r>
                                    <w:rPr>
                                      <w:w w:val="80"/>
                                    </w:rPr>
                                    <w:t>EC</w:t>
                                  </w:r>
                                </w:p>
                              </w:tc>
                              <w:tc>
                                <w:tcPr>
                                  <w:tcW w:w="785" w:type="pct"/>
                                </w:tcPr>
                                <w:p w14:paraId="7E877DA4" w14:textId="77777777" w:rsidR="00E83465" w:rsidRDefault="00E83465" w:rsidP="00E83465">
                                  <w:pPr>
                                    <w:pStyle w:val="NoSpacing"/>
                                  </w:pPr>
                                  <w:r>
                                    <w:t>8.9</w:t>
                                  </w:r>
                                </w:p>
                              </w:tc>
                              <w:tc>
                                <w:tcPr>
                                  <w:tcW w:w="732" w:type="pct"/>
                                </w:tcPr>
                                <w:p w14:paraId="2EEBFD4E" w14:textId="77777777" w:rsidR="00E83465" w:rsidRDefault="00E83465" w:rsidP="00E83465">
                                  <w:pPr>
                                    <w:pStyle w:val="NoSpacing"/>
                                  </w:pPr>
                                  <w:r>
                                    <w:t>3.3</w:t>
                                  </w:r>
                                </w:p>
                              </w:tc>
                              <w:tc>
                                <w:tcPr>
                                  <w:tcW w:w="769" w:type="pct"/>
                                </w:tcPr>
                                <w:p w14:paraId="2E617593" w14:textId="77777777" w:rsidR="00E83465" w:rsidRDefault="00E83465" w:rsidP="00E83465">
                                  <w:pPr>
                                    <w:pStyle w:val="NoSpacing"/>
                                  </w:pPr>
                                  <w:r>
                                    <w:t>2.6</w:t>
                                  </w:r>
                                </w:p>
                              </w:tc>
                            </w:tr>
                            <w:tr w:rsidR="00371A21" w14:paraId="6E8FF801" w14:textId="77777777" w:rsidTr="003A38A5">
                              <w:trPr>
                                <w:trHeight w:val="310"/>
                              </w:trPr>
                              <w:tc>
                                <w:tcPr>
                                  <w:tcW w:w="2010" w:type="pct"/>
                                </w:tcPr>
                                <w:p w14:paraId="4AC070B5" w14:textId="77777777" w:rsidR="00E83465" w:rsidRDefault="00E83465" w:rsidP="00E83465">
                                  <w:pPr>
                                    <w:pStyle w:val="NoSpacing"/>
                                    <w:rPr>
                                      <w:rFonts w:ascii="Times New Roman" w:hAnsi="Times New Roman" w:cs="Times New Roman"/>
                                      <w:sz w:val="2"/>
                                      <w:szCs w:val="2"/>
                                    </w:rPr>
                                  </w:pPr>
                                </w:p>
                              </w:tc>
                              <w:tc>
                                <w:tcPr>
                                  <w:tcW w:w="704" w:type="pct"/>
                                </w:tcPr>
                                <w:p w14:paraId="53B0AA0B" w14:textId="77777777" w:rsidR="00E83465" w:rsidRDefault="00E83465" w:rsidP="00E83465">
                                  <w:pPr>
                                    <w:pStyle w:val="NoSpacing"/>
                                    <w:rPr>
                                      <w:w w:val="85"/>
                                    </w:rPr>
                                  </w:pPr>
                                  <w:r>
                                    <w:rPr>
                                      <w:w w:val="85"/>
                                    </w:rPr>
                                    <w:t>WC</w:t>
                                  </w:r>
                                </w:p>
                              </w:tc>
                              <w:tc>
                                <w:tcPr>
                                  <w:tcW w:w="785" w:type="pct"/>
                                </w:tcPr>
                                <w:p w14:paraId="3B783D1E" w14:textId="77777777" w:rsidR="00E83465" w:rsidRDefault="00E83465" w:rsidP="00E83465">
                                  <w:pPr>
                                    <w:pStyle w:val="NoSpacing"/>
                                  </w:pPr>
                                  <w:r>
                                    <w:t>10.4</w:t>
                                  </w:r>
                                </w:p>
                              </w:tc>
                              <w:tc>
                                <w:tcPr>
                                  <w:tcW w:w="732" w:type="pct"/>
                                </w:tcPr>
                                <w:p w14:paraId="0ECD6891" w14:textId="77777777" w:rsidR="00E83465" w:rsidRDefault="00E83465" w:rsidP="00E83465">
                                  <w:pPr>
                                    <w:pStyle w:val="NoSpacing"/>
                                  </w:pPr>
                                  <w:r>
                                    <w:t>3.3</w:t>
                                  </w:r>
                                </w:p>
                              </w:tc>
                              <w:tc>
                                <w:tcPr>
                                  <w:tcW w:w="769" w:type="pct"/>
                                </w:tcPr>
                                <w:p w14:paraId="79312CC8" w14:textId="77777777" w:rsidR="00E83465" w:rsidRDefault="00E83465" w:rsidP="00E83465">
                                  <w:pPr>
                                    <w:pStyle w:val="NoSpacing"/>
                                  </w:pPr>
                                  <w:r>
                                    <w:t>3.3</w:t>
                                  </w:r>
                                </w:p>
                              </w:tc>
                            </w:tr>
                            <w:tr w:rsidR="000809A1" w14:paraId="24AF64B0" w14:textId="77777777" w:rsidTr="003A38A5">
                              <w:trPr>
                                <w:trHeight w:val="310"/>
                              </w:trPr>
                              <w:tc>
                                <w:tcPr>
                                  <w:tcW w:w="2010" w:type="pct"/>
                                </w:tcPr>
                                <w:p w14:paraId="3887D8B0" w14:textId="77777777" w:rsidR="003A38A5" w:rsidRDefault="003A38A5" w:rsidP="00E83465">
                                  <w:pPr>
                                    <w:pStyle w:val="NoSpacing"/>
                                  </w:pPr>
                                  <w:r>
                                    <w:t>Stressor 2</w:t>
                                  </w:r>
                                </w:p>
                              </w:tc>
                              <w:tc>
                                <w:tcPr>
                                  <w:tcW w:w="704" w:type="pct"/>
                                </w:tcPr>
                                <w:p w14:paraId="242A283D" w14:textId="02C41C8C" w:rsidR="003A38A5" w:rsidRDefault="003A38A5" w:rsidP="00E83465">
                                  <w:pPr>
                                    <w:pStyle w:val="NoSpacing"/>
                                  </w:pPr>
                                </w:p>
                              </w:tc>
                              <w:tc>
                                <w:tcPr>
                                  <w:tcW w:w="785" w:type="pct"/>
                                </w:tcPr>
                                <w:p w14:paraId="005678F7" w14:textId="77777777" w:rsidR="003A38A5" w:rsidRDefault="003A38A5" w:rsidP="00E83465">
                                  <w:pPr>
                                    <w:pStyle w:val="NoSpacing"/>
                                  </w:pPr>
                                  <w:r>
                                    <w:t>14.7</w:t>
                                  </w:r>
                                </w:p>
                              </w:tc>
                              <w:tc>
                                <w:tcPr>
                                  <w:tcW w:w="732" w:type="pct"/>
                                </w:tcPr>
                                <w:p w14:paraId="106B562E" w14:textId="77777777" w:rsidR="003A38A5" w:rsidRDefault="003A38A5" w:rsidP="00E83465">
                                  <w:pPr>
                                    <w:pStyle w:val="NoSpacing"/>
                                  </w:pPr>
                                  <w:r>
                                    <w:t>13.7</w:t>
                                  </w:r>
                                </w:p>
                              </w:tc>
                              <w:tc>
                                <w:tcPr>
                                  <w:tcW w:w="769" w:type="pct"/>
                                </w:tcPr>
                                <w:p w14:paraId="00D5C9E7" w14:textId="77777777" w:rsidR="003A38A5" w:rsidRDefault="003A38A5" w:rsidP="00E83465">
                                  <w:pPr>
                                    <w:pStyle w:val="NoSpacing"/>
                                  </w:pPr>
                                  <w:r>
                                    <w:t>13.4</w:t>
                                  </w:r>
                                </w:p>
                              </w:tc>
                            </w:tr>
                            <w:tr w:rsidR="003A38A5" w14:paraId="2EAEE3E1" w14:textId="77777777" w:rsidTr="003A38A5">
                              <w:trPr>
                                <w:trHeight w:val="250"/>
                              </w:trPr>
                              <w:tc>
                                <w:tcPr>
                                  <w:tcW w:w="2010" w:type="pct"/>
                                </w:tcPr>
                                <w:p w14:paraId="0A94CB20" w14:textId="77777777" w:rsidR="003A38A5" w:rsidRDefault="003A38A5" w:rsidP="00E83465">
                                  <w:pPr>
                                    <w:pStyle w:val="NoSpacing"/>
                                  </w:pPr>
                                  <w:r>
                                    <w:t>Stressor 3</w:t>
                                  </w:r>
                                </w:p>
                              </w:tc>
                              <w:tc>
                                <w:tcPr>
                                  <w:tcW w:w="704" w:type="pct"/>
                                </w:tcPr>
                                <w:p w14:paraId="77B681B1" w14:textId="4C9BA84F" w:rsidR="003A38A5" w:rsidRDefault="003A38A5" w:rsidP="00E83465">
                                  <w:pPr>
                                    <w:pStyle w:val="NoSpacing"/>
                                  </w:pPr>
                                </w:p>
                              </w:tc>
                              <w:tc>
                                <w:tcPr>
                                  <w:tcW w:w="785" w:type="pct"/>
                                </w:tcPr>
                                <w:p w14:paraId="2F9A654D" w14:textId="77777777" w:rsidR="003A38A5" w:rsidRDefault="003A38A5" w:rsidP="00E83465">
                                  <w:pPr>
                                    <w:pStyle w:val="NoSpacing"/>
                                  </w:pPr>
                                  <w:r>
                                    <w:t>15.0</w:t>
                                  </w:r>
                                </w:p>
                              </w:tc>
                              <w:tc>
                                <w:tcPr>
                                  <w:tcW w:w="732" w:type="pct"/>
                                </w:tcPr>
                                <w:p w14:paraId="512D1A81" w14:textId="77777777" w:rsidR="003A38A5" w:rsidRDefault="003A38A5" w:rsidP="00E83465">
                                  <w:pPr>
                                    <w:pStyle w:val="NoSpacing"/>
                                  </w:pPr>
                                  <w:r>
                                    <w:t>15.0</w:t>
                                  </w:r>
                                </w:p>
                              </w:tc>
                              <w:tc>
                                <w:tcPr>
                                  <w:tcW w:w="769" w:type="pct"/>
                                </w:tcPr>
                                <w:p w14:paraId="4A5EB768" w14:textId="77777777" w:rsidR="003A38A5" w:rsidRDefault="003A38A5" w:rsidP="00E83465">
                                  <w:pPr>
                                    <w:pStyle w:val="NoSpacing"/>
                                  </w:pPr>
                                  <w:r>
                                    <w:t>9.0</w:t>
                                  </w:r>
                                </w:p>
                              </w:tc>
                            </w:tr>
                          </w:tbl>
                          <w:p w14:paraId="0668F314" w14:textId="77777777" w:rsidR="00E83465" w:rsidRDefault="00E83465" w:rsidP="00E83465">
                            <w:pPr>
                              <w:pStyle w:val="BodyText"/>
                              <w:kinsoku w:val="0"/>
                              <w:overflowPunct w:val="0"/>
                              <w:rPr>
                                <w:rFonts w:ascii="Times New Roman" w:hAnsi="Times New Roman" w:cs="Times New Roman"/>
                                <w:sz w:val="24"/>
                                <w:szCs w:val="24"/>
                              </w:rPr>
                            </w:pPr>
                          </w:p>
                        </w:txbxContent>
                      </wps:txbx>
                      <wps:bodyPr rot="0" vert="horz" wrap="square" lIns="0" tIns="0" rIns="0" bIns="0" anchor="t" anchorCtr="0" upright="1">
                        <a:noAutofit/>
                      </wps:bodyPr>
                    </wps:wsp>
                  </a:graphicData>
                </a:graphic>
              </wp:inline>
            </w:drawing>
          </mc:Choice>
          <mc:Fallback>
            <w:pict>
              <v:shapetype w14:anchorId="0E5D78BB" id="_x0000_t202" coordsize="21600,21600" o:spt="202" path="m,l,21600r21600,l21600,xe">
                <v:stroke joinstyle="miter"/>
                <v:path gradientshapeok="t" o:connecttype="rect"/>
              </v:shapetype>
              <v:shape id="Text Box 8" o:spid="_x0000_s1026" type="#_x0000_t202" style="width:444.05pt;height:382.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" filled="f" stroked="f">
                <v:textbox inset="0,0,0,0">
                  <w:txbxContent>
                    <w:tbl>
                      <w:tblPr>
                        <w:tblStyle w:val="TableGrid"/>
                        <w:tblW w:w="4896" w:type="pct"/>
                        <w:tblLook w:val="0020" w:firstRow="1" w:lastRow="0" w:firstColumn="0" w:lastColumn="0" w:noHBand="0" w:noVBand="0"/>
                      </w:tblPr>
                      <w:tblGrid>
                        <w:gridCol w:w="3498"/>
                        <w:gridCol w:w="1225"/>
                        <w:gridCol w:w="1366"/>
                        <w:gridCol w:w="1274"/>
                        <w:gridCol w:w="1338"/>
                      </w:tblGrid>
                      <w:tr w:rsidR="003A38A5" w14:paraId="73657FAE" w14:textId="77777777" w:rsidTr="003A38A5">
                        <w:trPr>
                          <w:trHeight w:val="315"/>
                        </w:trPr>
                        <w:tc>
                          <w:tcPr>
                            <w:tcW w:w="2010" w:type="pct"/>
                          </w:tcPr>
                          <w:p w14:paraId="05D29DFA" w14:textId="77777777" w:rsidR="009E41E1" w:rsidRDefault="009E41E1" w:rsidP="00E83465">
                            <w:pPr>
                              <w:pStyle w:val="NoSpacing"/>
                            </w:pPr>
                            <w:r>
                              <w:t>Pre-fault path lengths (hops)</w:t>
                            </w:r>
                          </w:p>
                        </w:tc>
                        <w:tc>
                          <w:tcPr>
                            <w:tcW w:w="704" w:type="pct"/>
                          </w:tcPr>
                          <w:p w14:paraId="2E40F48F" w14:textId="26FAFD42" w:rsidR="009E41E1" w:rsidRDefault="009E41E1" w:rsidP="00E83465">
                            <w:pPr>
                              <w:pStyle w:val="NoSpacing"/>
                            </w:pPr>
                          </w:p>
                        </w:tc>
                        <w:tc>
                          <w:tcPr>
                            <w:tcW w:w="785" w:type="pct"/>
                          </w:tcPr>
                          <w:p w14:paraId="0CF2DAA2" w14:textId="77777777" w:rsidR="009E41E1" w:rsidRDefault="009E41E1" w:rsidP="00E83465">
                            <w:pPr>
                              <w:pStyle w:val="NoSpacing"/>
                            </w:pPr>
                          </w:p>
                        </w:tc>
                        <w:tc>
                          <w:tcPr>
                            <w:tcW w:w="732" w:type="pct"/>
                          </w:tcPr>
                          <w:p w14:paraId="5BBA33AB" w14:textId="77777777" w:rsidR="009E41E1" w:rsidRDefault="009E41E1" w:rsidP="00E83465">
                            <w:pPr>
                              <w:pStyle w:val="NoSpacing"/>
                            </w:pPr>
                          </w:p>
                        </w:tc>
                        <w:tc>
                          <w:tcPr>
                            <w:tcW w:w="769" w:type="pct"/>
                          </w:tcPr>
                          <w:p w14:paraId="5376108B" w14:textId="03FD7A14" w:rsidR="009E41E1" w:rsidRDefault="009E41E1" w:rsidP="00E83465">
                            <w:pPr>
                              <w:pStyle w:val="NoSpacing"/>
                            </w:pPr>
                          </w:p>
                        </w:tc>
                      </w:tr>
                      <w:tr w:rsidR="003A38A5" w14:paraId="06BDC6F1" w14:textId="77777777" w:rsidTr="003A38A5">
                        <w:trPr>
                          <w:trHeight w:val="310"/>
                        </w:trPr>
                        <w:tc>
                          <w:tcPr>
                            <w:tcW w:w="2010" w:type="pct"/>
                          </w:tcPr>
                          <w:p w14:paraId="1DCCA664" w14:textId="77777777" w:rsidR="009E41E1" w:rsidRDefault="009E41E1" w:rsidP="00E83465">
                            <w:pPr>
                              <w:pStyle w:val="NoSpacing"/>
                            </w:pPr>
                            <w:r>
                              <w:t>Scheme TE</w:t>
                            </w:r>
                          </w:p>
                        </w:tc>
                        <w:tc>
                          <w:tcPr>
                            <w:tcW w:w="704" w:type="pct"/>
                          </w:tcPr>
                          <w:p w14:paraId="17E03897" w14:textId="249C5DF1" w:rsidR="009E41E1" w:rsidRDefault="009E41E1" w:rsidP="00E83465">
                            <w:pPr>
                              <w:pStyle w:val="NoSpacing"/>
                            </w:pPr>
                          </w:p>
                        </w:tc>
                        <w:tc>
                          <w:tcPr>
                            <w:tcW w:w="785" w:type="pct"/>
                          </w:tcPr>
                          <w:p w14:paraId="0FE7AE6F" w14:textId="77777777" w:rsidR="009E41E1" w:rsidRDefault="009E41E1" w:rsidP="00E83465">
                            <w:pPr>
                              <w:pStyle w:val="NoSpacing"/>
                            </w:pPr>
                            <w:r>
                              <w:t>RM</w:t>
                            </w:r>
                          </w:p>
                        </w:tc>
                        <w:tc>
                          <w:tcPr>
                            <w:tcW w:w="732" w:type="pct"/>
                          </w:tcPr>
                          <w:p w14:paraId="461B86EE" w14:textId="77777777" w:rsidR="009E41E1" w:rsidRDefault="009E41E1" w:rsidP="00E83465">
                            <w:pPr>
                              <w:pStyle w:val="NoSpacing"/>
                            </w:pPr>
                            <w:r>
                              <w:t>SP</w:t>
                            </w:r>
                          </w:p>
                        </w:tc>
                        <w:tc>
                          <w:tcPr>
                            <w:tcW w:w="769" w:type="pct"/>
                          </w:tcPr>
                          <w:p w14:paraId="2914318D" w14:textId="77777777" w:rsidR="009E41E1" w:rsidRDefault="009E41E1" w:rsidP="00E83465">
                            <w:pPr>
                              <w:pStyle w:val="NoSpacing"/>
                            </w:pPr>
                            <w:r>
                              <w:t>JRM</w:t>
                            </w:r>
                          </w:p>
                        </w:tc>
                      </w:tr>
                      <w:tr w:rsidR="009816E7" w14:paraId="46DC0038" w14:textId="77777777" w:rsidTr="003A38A5">
                        <w:trPr>
                          <w:trHeight w:val="310"/>
                        </w:trPr>
                        <w:tc>
                          <w:tcPr>
                            <w:tcW w:w="2010" w:type="pct"/>
                          </w:tcPr>
                          <w:p w14:paraId="6D9D7ED6" w14:textId="77777777" w:rsidR="009E41E1" w:rsidRDefault="009E41E1" w:rsidP="00E83465">
                            <w:pPr>
                              <w:pStyle w:val="NoSpacing"/>
                            </w:pPr>
                            <w:r>
                              <w:t>Stressor 1–3 11.46</w:t>
                            </w:r>
                          </w:p>
                        </w:tc>
                        <w:tc>
                          <w:tcPr>
                            <w:tcW w:w="704" w:type="pct"/>
                          </w:tcPr>
                          <w:p w14:paraId="3985C16D" w14:textId="7627BD7E" w:rsidR="009E41E1" w:rsidRDefault="009E41E1" w:rsidP="00E83465">
                            <w:pPr>
                              <w:pStyle w:val="NoSpacing"/>
                            </w:pPr>
                          </w:p>
                        </w:tc>
                        <w:tc>
                          <w:tcPr>
                            <w:tcW w:w="785" w:type="pct"/>
                          </w:tcPr>
                          <w:p w14:paraId="5B5A3D13" w14:textId="77777777" w:rsidR="009E41E1" w:rsidRDefault="009E41E1" w:rsidP="00E83465">
                            <w:pPr>
                              <w:pStyle w:val="NoSpacing"/>
                            </w:pPr>
                            <w:r>
                              <w:t>11.73</w:t>
                            </w:r>
                          </w:p>
                        </w:tc>
                        <w:tc>
                          <w:tcPr>
                            <w:tcW w:w="732" w:type="pct"/>
                          </w:tcPr>
                          <w:p w14:paraId="2FE5F0DF" w14:textId="77777777" w:rsidR="009E41E1" w:rsidRDefault="009E41E1" w:rsidP="00E83465">
                            <w:pPr>
                              <w:pStyle w:val="NoSpacing"/>
                            </w:pPr>
                            <w:r>
                              <w:t>15.76</w:t>
                            </w:r>
                          </w:p>
                        </w:tc>
                        <w:tc>
                          <w:tcPr>
                            <w:tcW w:w="769" w:type="pct"/>
                          </w:tcPr>
                          <w:p w14:paraId="2356753A" w14:textId="77777777" w:rsidR="009E41E1" w:rsidRDefault="009E41E1" w:rsidP="00E83465">
                            <w:pPr>
                              <w:pStyle w:val="NoSpacing"/>
                            </w:pPr>
                            <w:r>
                              <w:t>15.9</w:t>
                            </w:r>
                          </w:p>
                        </w:tc>
                      </w:tr>
                      <w:tr w:rsidR="009816E7" w14:paraId="6AD33411" w14:textId="77777777" w:rsidTr="003A38A5">
                        <w:trPr>
                          <w:trHeight w:val="310"/>
                        </w:trPr>
                        <w:tc>
                          <w:tcPr>
                            <w:tcW w:w="2010" w:type="pct"/>
                          </w:tcPr>
                          <w:p w14:paraId="36E3446A" w14:textId="77777777" w:rsidR="009E41E1" w:rsidRDefault="009E41E1" w:rsidP="00E83465">
                            <w:pPr>
                              <w:pStyle w:val="NoSpacing"/>
                              <w:rPr>
                                <w:w w:val="90"/>
                              </w:rPr>
                            </w:pPr>
                            <w:r>
                              <w:t>Post-fault path lengths (hops)</w:t>
                            </w:r>
                          </w:p>
                        </w:tc>
                        <w:tc>
                          <w:tcPr>
                            <w:tcW w:w="704" w:type="pct"/>
                          </w:tcPr>
                          <w:p w14:paraId="1E50B6DE" w14:textId="751EBA70" w:rsidR="009E41E1" w:rsidRDefault="009E41E1" w:rsidP="00E83465">
                            <w:pPr>
                              <w:pStyle w:val="NoSpacing"/>
                              <w:rPr>
                                <w:w w:val="90"/>
                              </w:rPr>
                            </w:pPr>
                          </w:p>
                        </w:tc>
                        <w:tc>
                          <w:tcPr>
                            <w:tcW w:w="785" w:type="pct"/>
                          </w:tcPr>
                          <w:p w14:paraId="19842590" w14:textId="77777777" w:rsidR="009E41E1" w:rsidRDefault="009E41E1" w:rsidP="00E83465">
                            <w:pPr>
                              <w:pStyle w:val="NoSpacing"/>
                            </w:pPr>
                          </w:p>
                        </w:tc>
                        <w:tc>
                          <w:tcPr>
                            <w:tcW w:w="732" w:type="pct"/>
                          </w:tcPr>
                          <w:p w14:paraId="7DA1C0A7" w14:textId="77777777" w:rsidR="009E41E1" w:rsidRDefault="009E41E1" w:rsidP="00E83465">
                            <w:pPr>
                              <w:pStyle w:val="NoSpacing"/>
                              <w:rPr>
                                <w:rFonts w:ascii="Times New Roman" w:hAnsi="Times New Roman" w:cs="Times New Roman"/>
                                <w:sz w:val="14"/>
                                <w:szCs w:val="14"/>
                              </w:rPr>
                            </w:pPr>
                          </w:p>
                        </w:tc>
                        <w:tc>
                          <w:tcPr>
                            <w:tcW w:w="769" w:type="pct"/>
                          </w:tcPr>
                          <w:p w14:paraId="4168C17A" w14:textId="77777777" w:rsidR="009E41E1" w:rsidRDefault="009E41E1" w:rsidP="00E83465">
                            <w:pPr>
                              <w:pStyle w:val="NoSpacing"/>
                            </w:pPr>
                          </w:p>
                        </w:tc>
                      </w:tr>
                      <w:tr w:rsidR="009816E7" w14:paraId="0B01FA97" w14:textId="77777777" w:rsidTr="003A38A5">
                        <w:trPr>
                          <w:trHeight w:val="310"/>
                        </w:trPr>
                        <w:tc>
                          <w:tcPr>
                            <w:tcW w:w="2010" w:type="pct"/>
                          </w:tcPr>
                          <w:p w14:paraId="3B336F22" w14:textId="77777777" w:rsidR="009E41E1" w:rsidRDefault="009E41E1" w:rsidP="00E83465">
                            <w:pPr>
                              <w:pStyle w:val="NoSpacing"/>
                              <w:rPr>
                                <w:w w:val="90"/>
                              </w:rPr>
                            </w:pPr>
                            <w:r>
                              <w:rPr>
                                <w:w w:val="90"/>
                              </w:rPr>
                              <w:t>Non-</w:t>
                            </w:r>
                          </w:p>
                        </w:tc>
                        <w:tc>
                          <w:tcPr>
                            <w:tcW w:w="704" w:type="pct"/>
                          </w:tcPr>
                          <w:p w14:paraId="5C519F85" w14:textId="7E59197B" w:rsidR="009E41E1" w:rsidRDefault="009E41E1" w:rsidP="00E83465">
                            <w:pPr>
                              <w:pStyle w:val="NoSpacing"/>
                              <w:rPr>
                                <w:w w:val="90"/>
                              </w:rPr>
                            </w:pPr>
                          </w:p>
                        </w:tc>
                        <w:tc>
                          <w:tcPr>
                            <w:tcW w:w="785" w:type="pct"/>
                          </w:tcPr>
                          <w:p w14:paraId="426194DC" w14:textId="77777777" w:rsidR="009E41E1" w:rsidRDefault="009E41E1" w:rsidP="00E83465">
                            <w:pPr>
                              <w:pStyle w:val="NoSpacing"/>
                            </w:pPr>
                            <w:r>
                              <w:t>ardened</w:t>
                            </w:r>
                          </w:p>
                        </w:tc>
                        <w:tc>
                          <w:tcPr>
                            <w:tcW w:w="732" w:type="pct"/>
                          </w:tcPr>
                          <w:p w14:paraId="34988E7E" w14:textId="77777777" w:rsidR="009E41E1" w:rsidRDefault="009E41E1" w:rsidP="00E83465">
                            <w:pPr>
                              <w:pStyle w:val="NoSpacing"/>
                              <w:rPr>
                                <w:rFonts w:ascii="Times New Roman" w:hAnsi="Times New Roman" w:cs="Times New Roman"/>
                                <w:sz w:val="14"/>
                                <w:szCs w:val="14"/>
                              </w:rPr>
                            </w:pPr>
                          </w:p>
                        </w:tc>
                        <w:tc>
                          <w:tcPr>
                            <w:tcW w:w="769" w:type="pct"/>
                          </w:tcPr>
                          <w:p w14:paraId="5B9F580E" w14:textId="77777777" w:rsidR="009E41E1" w:rsidRDefault="009E41E1" w:rsidP="00E83465">
                            <w:pPr>
                              <w:pStyle w:val="NoSpacing"/>
                            </w:pPr>
                            <w:r>
                              <w:t>Hardened</w:t>
                            </w:r>
                          </w:p>
                        </w:tc>
                      </w:tr>
                      <w:tr w:rsidR="009816E7" w14:paraId="6C3B1DDC" w14:textId="77777777" w:rsidTr="003A38A5">
                        <w:trPr>
                          <w:trHeight w:val="310"/>
                        </w:trPr>
                        <w:tc>
                          <w:tcPr>
                            <w:tcW w:w="2010" w:type="pct"/>
                          </w:tcPr>
                          <w:p w14:paraId="3143B1C7" w14:textId="77777777" w:rsidR="009E41E1" w:rsidRPr="009E41E1" w:rsidRDefault="009E41E1" w:rsidP="009E41E1">
                            <w:pPr>
                              <w:pStyle w:val="NoSpacing"/>
                            </w:pPr>
                            <w:r w:rsidRPr="009E41E1">
                              <w:t xml:space="preserve">Scheme </w:t>
                            </w:r>
                            <w:r w:rsidRPr="009E41E1">
                              <w:t></w:t>
                            </w:r>
                          </w:p>
                        </w:tc>
                        <w:tc>
                          <w:tcPr>
                            <w:tcW w:w="704" w:type="pct"/>
                          </w:tcPr>
                          <w:p w14:paraId="65F71CBD" w14:textId="259070CA" w:rsidR="009E41E1" w:rsidRPr="009E41E1" w:rsidRDefault="009E41E1" w:rsidP="009E41E1">
                            <w:pPr>
                              <w:pStyle w:val="NoSpacing"/>
                            </w:pPr>
                          </w:p>
                        </w:tc>
                        <w:tc>
                          <w:tcPr>
                            <w:tcW w:w="785" w:type="pct"/>
                          </w:tcPr>
                          <w:p w14:paraId="54166D1B" w14:textId="77777777" w:rsidR="009E41E1" w:rsidRPr="009E41E1" w:rsidRDefault="009E41E1" w:rsidP="009E41E1">
                            <w:pPr>
                              <w:pStyle w:val="NoSpacing"/>
                            </w:pPr>
                            <w:r w:rsidRPr="009E41E1">
                              <w:t xml:space="preserve">SP </w:t>
                            </w:r>
                            <w:r w:rsidRPr="009E41E1">
                              <w:t> PFR</w:t>
                            </w:r>
                          </w:p>
                        </w:tc>
                        <w:tc>
                          <w:tcPr>
                            <w:tcW w:w="732" w:type="pct"/>
                          </w:tcPr>
                          <w:p w14:paraId="7B64749B" w14:textId="77777777" w:rsidR="009E41E1" w:rsidRPr="009E41E1" w:rsidRDefault="009E41E1" w:rsidP="009E41E1">
                            <w:pPr>
                              <w:pStyle w:val="NoSpacing"/>
                            </w:pPr>
                            <w:r w:rsidRPr="009E41E1">
                              <w:t xml:space="preserve">JRM </w:t>
                            </w:r>
                            <w:r w:rsidRPr="009E41E1">
                              <w:t> PFR</w:t>
                            </w:r>
                          </w:p>
                        </w:tc>
                        <w:tc>
                          <w:tcPr>
                            <w:tcW w:w="769" w:type="pct"/>
                          </w:tcPr>
                          <w:p w14:paraId="57DA494E" w14:textId="77777777" w:rsidR="009E41E1" w:rsidRPr="009E41E1" w:rsidRDefault="009E41E1" w:rsidP="009E41E1">
                            <w:pPr>
                              <w:pStyle w:val="NoSpacing"/>
                            </w:pPr>
                            <w:r w:rsidRPr="009E41E1">
                              <w:t xml:space="preserve">JRM </w:t>
                            </w:r>
                            <w:r w:rsidRPr="009E41E1">
                              <w:t> PFR</w:t>
                            </w:r>
                          </w:p>
                        </w:tc>
                      </w:tr>
                      <w:tr w:rsidR="00371A21" w14:paraId="48C439D7" w14:textId="77777777" w:rsidTr="003A38A5">
                        <w:trPr>
                          <w:trHeight w:val="310"/>
                        </w:trPr>
                        <w:tc>
                          <w:tcPr>
                            <w:tcW w:w="2010" w:type="pct"/>
                          </w:tcPr>
                          <w:p w14:paraId="0BE3C2EE" w14:textId="77777777" w:rsidR="00E83465" w:rsidRDefault="00E83465" w:rsidP="00E83465">
                            <w:pPr>
                              <w:pStyle w:val="NoSpacing"/>
                            </w:pPr>
                            <w:r>
                              <w:t>Stressor 1</w:t>
                            </w:r>
                          </w:p>
                        </w:tc>
                        <w:tc>
                          <w:tcPr>
                            <w:tcW w:w="704" w:type="pct"/>
                          </w:tcPr>
                          <w:p w14:paraId="3BB9D6F7" w14:textId="77777777" w:rsidR="00E83465" w:rsidRDefault="00E83465" w:rsidP="00E83465">
                            <w:pPr>
                              <w:pStyle w:val="NoSpacing"/>
                              <w:rPr>
                                <w:w w:val="84"/>
                              </w:rPr>
                            </w:pPr>
                            <w:r>
                              <w:rPr>
                                <w:w w:val="84"/>
                              </w:rPr>
                              <w:t>C</w:t>
                            </w:r>
                          </w:p>
                        </w:tc>
                        <w:tc>
                          <w:tcPr>
                            <w:tcW w:w="785" w:type="pct"/>
                          </w:tcPr>
                          <w:p w14:paraId="6378858A" w14:textId="77777777" w:rsidR="00E83465" w:rsidRDefault="00E83465" w:rsidP="00E83465">
                            <w:pPr>
                              <w:pStyle w:val="NoSpacing"/>
                            </w:pPr>
                            <w:r>
                              <w:t>10.98</w:t>
                            </w:r>
                          </w:p>
                        </w:tc>
                        <w:tc>
                          <w:tcPr>
                            <w:tcW w:w="732" w:type="pct"/>
                          </w:tcPr>
                          <w:p w14:paraId="21A7E7BC" w14:textId="77777777" w:rsidR="00E83465" w:rsidRDefault="00E83465" w:rsidP="00E83465">
                            <w:pPr>
                              <w:pStyle w:val="NoSpacing"/>
                            </w:pPr>
                            <w:r>
                              <w:t>11.87</w:t>
                            </w:r>
                          </w:p>
                        </w:tc>
                        <w:tc>
                          <w:tcPr>
                            <w:tcW w:w="769" w:type="pct"/>
                          </w:tcPr>
                          <w:p w14:paraId="4171E0A7" w14:textId="77777777" w:rsidR="00E83465" w:rsidRDefault="00E83465" w:rsidP="00E83465">
                            <w:pPr>
                              <w:pStyle w:val="NoSpacing"/>
                            </w:pPr>
                            <w:r>
                              <w:t>11.48</w:t>
                            </w:r>
                          </w:p>
                        </w:tc>
                      </w:tr>
                      <w:tr w:rsidR="00371A21" w14:paraId="0CBA2733" w14:textId="77777777" w:rsidTr="003A38A5">
                        <w:trPr>
                          <w:trHeight w:val="310"/>
                        </w:trPr>
                        <w:tc>
                          <w:tcPr>
                            <w:tcW w:w="2010" w:type="pct"/>
                          </w:tcPr>
                          <w:p w14:paraId="2AEBB869" w14:textId="77777777" w:rsidR="00E83465" w:rsidRDefault="00E83465" w:rsidP="00E83465">
                            <w:pPr>
                              <w:pStyle w:val="NoSpacing"/>
                              <w:rPr>
                                <w:rFonts w:ascii="Times New Roman" w:hAnsi="Times New Roman" w:cs="Times New Roman"/>
                                <w:sz w:val="2"/>
                                <w:szCs w:val="2"/>
                              </w:rPr>
                            </w:pPr>
                          </w:p>
                        </w:tc>
                        <w:tc>
                          <w:tcPr>
                            <w:tcW w:w="704" w:type="pct"/>
                          </w:tcPr>
                          <w:p w14:paraId="300E5CAD" w14:textId="77777777" w:rsidR="00E83465" w:rsidRDefault="00E83465" w:rsidP="00E83465">
                            <w:pPr>
                              <w:pStyle w:val="NoSpacing"/>
                              <w:rPr>
                                <w:w w:val="90"/>
                              </w:rPr>
                            </w:pPr>
                            <w:r>
                              <w:rPr>
                                <w:w w:val="90"/>
                              </w:rPr>
                              <w:t>NC</w:t>
                            </w:r>
                          </w:p>
                        </w:tc>
                        <w:tc>
                          <w:tcPr>
                            <w:tcW w:w="785" w:type="pct"/>
                          </w:tcPr>
                          <w:p w14:paraId="32062C18" w14:textId="77777777" w:rsidR="00E83465" w:rsidRDefault="00E83465" w:rsidP="00E83465">
                            <w:pPr>
                              <w:pStyle w:val="NoSpacing"/>
                            </w:pPr>
                            <w:r>
                              <w:t>11.71</w:t>
                            </w:r>
                          </w:p>
                        </w:tc>
                        <w:tc>
                          <w:tcPr>
                            <w:tcW w:w="732" w:type="pct"/>
                          </w:tcPr>
                          <w:p w14:paraId="31D666FE" w14:textId="77777777" w:rsidR="00E83465" w:rsidRDefault="00E83465" w:rsidP="00E83465">
                            <w:pPr>
                              <w:pStyle w:val="NoSpacing"/>
                            </w:pPr>
                            <w:r>
                              <w:t>12.42</w:t>
                            </w:r>
                          </w:p>
                        </w:tc>
                        <w:tc>
                          <w:tcPr>
                            <w:tcW w:w="769" w:type="pct"/>
                          </w:tcPr>
                          <w:p w14:paraId="0939E2B0" w14:textId="77777777" w:rsidR="00E83465" w:rsidRDefault="00E83465" w:rsidP="00E83465">
                            <w:pPr>
                              <w:pStyle w:val="NoSpacing"/>
                            </w:pPr>
                            <w:r>
                              <w:t>12.44</w:t>
                            </w:r>
                          </w:p>
                        </w:tc>
                      </w:tr>
                      <w:tr w:rsidR="00371A21" w14:paraId="4585B4AB" w14:textId="77777777" w:rsidTr="003A38A5">
                        <w:trPr>
                          <w:trHeight w:val="310"/>
                        </w:trPr>
                        <w:tc>
                          <w:tcPr>
                            <w:tcW w:w="2010" w:type="pct"/>
                          </w:tcPr>
                          <w:p w14:paraId="5C7E77EA" w14:textId="77777777" w:rsidR="00E83465" w:rsidRDefault="00E83465" w:rsidP="00E83465">
                            <w:pPr>
                              <w:pStyle w:val="NoSpacing"/>
                              <w:rPr>
                                <w:rFonts w:ascii="Times New Roman" w:hAnsi="Times New Roman" w:cs="Times New Roman"/>
                                <w:sz w:val="2"/>
                                <w:szCs w:val="2"/>
                              </w:rPr>
                            </w:pPr>
                          </w:p>
                        </w:tc>
                        <w:tc>
                          <w:tcPr>
                            <w:tcW w:w="704" w:type="pct"/>
                          </w:tcPr>
                          <w:p w14:paraId="7ACB222C" w14:textId="77777777" w:rsidR="00E83465" w:rsidRDefault="00E83465" w:rsidP="00E83465">
                            <w:pPr>
                              <w:pStyle w:val="NoSpacing"/>
                              <w:rPr>
                                <w:w w:val="80"/>
                              </w:rPr>
                            </w:pPr>
                            <w:r>
                              <w:rPr>
                                <w:w w:val="80"/>
                              </w:rPr>
                              <w:t>SC</w:t>
                            </w:r>
                          </w:p>
                        </w:tc>
                        <w:tc>
                          <w:tcPr>
                            <w:tcW w:w="785" w:type="pct"/>
                          </w:tcPr>
                          <w:p w14:paraId="5DEAEDD7" w14:textId="77777777" w:rsidR="00E83465" w:rsidRDefault="00E83465" w:rsidP="00E83465">
                            <w:pPr>
                              <w:pStyle w:val="NoSpacing"/>
                            </w:pPr>
                            <w:r>
                              <w:t>10.93</w:t>
                            </w:r>
                          </w:p>
                        </w:tc>
                        <w:tc>
                          <w:tcPr>
                            <w:tcW w:w="732" w:type="pct"/>
                          </w:tcPr>
                          <w:p w14:paraId="18B334B0" w14:textId="77777777" w:rsidR="00E83465" w:rsidRDefault="00E83465" w:rsidP="00E83465">
                            <w:pPr>
                              <w:pStyle w:val="NoSpacing"/>
                            </w:pPr>
                            <w:r>
                              <w:t>11.27</w:t>
                            </w:r>
                          </w:p>
                        </w:tc>
                        <w:tc>
                          <w:tcPr>
                            <w:tcW w:w="769" w:type="pct"/>
                          </w:tcPr>
                          <w:p w14:paraId="2DF906C6" w14:textId="77777777" w:rsidR="00E83465" w:rsidRDefault="00E83465" w:rsidP="00E83465">
                            <w:pPr>
                              <w:pStyle w:val="NoSpacing"/>
                            </w:pPr>
                            <w:r>
                              <w:t>11.00</w:t>
                            </w:r>
                          </w:p>
                        </w:tc>
                      </w:tr>
                      <w:tr w:rsidR="00371A21" w14:paraId="3E43A856" w14:textId="77777777" w:rsidTr="003A38A5">
                        <w:trPr>
                          <w:trHeight w:val="310"/>
                        </w:trPr>
                        <w:tc>
                          <w:tcPr>
                            <w:tcW w:w="2010" w:type="pct"/>
                          </w:tcPr>
                          <w:p w14:paraId="3570DCB0" w14:textId="77777777" w:rsidR="00E83465" w:rsidRDefault="00E83465" w:rsidP="00E83465">
                            <w:pPr>
                              <w:pStyle w:val="NoSpacing"/>
                              <w:rPr>
                                <w:rFonts w:ascii="Times New Roman" w:hAnsi="Times New Roman" w:cs="Times New Roman"/>
                                <w:sz w:val="2"/>
                                <w:szCs w:val="2"/>
                              </w:rPr>
                            </w:pPr>
                          </w:p>
                        </w:tc>
                        <w:tc>
                          <w:tcPr>
                            <w:tcW w:w="704" w:type="pct"/>
                          </w:tcPr>
                          <w:p w14:paraId="45CF1A3D" w14:textId="77777777" w:rsidR="00E83465" w:rsidRDefault="00E83465" w:rsidP="00E83465">
                            <w:pPr>
                              <w:pStyle w:val="NoSpacing"/>
                              <w:rPr>
                                <w:w w:val="80"/>
                              </w:rPr>
                            </w:pPr>
                            <w:r>
                              <w:rPr>
                                <w:w w:val="80"/>
                              </w:rPr>
                              <w:t>EC</w:t>
                            </w:r>
                          </w:p>
                        </w:tc>
                        <w:tc>
                          <w:tcPr>
                            <w:tcW w:w="785" w:type="pct"/>
                          </w:tcPr>
                          <w:p w14:paraId="352E68E2" w14:textId="77777777" w:rsidR="00E83465" w:rsidRDefault="00E83465" w:rsidP="00E83465">
                            <w:pPr>
                              <w:pStyle w:val="NoSpacing"/>
                            </w:pPr>
                            <w:r>
                              <w:t>11.10</w:t>
                            </w:r>
                          </w:p>
                        </w:tc>
                        <w:tc>
                          <w:tcPr>
                            <w:tcW w:w="732" w:type="pct"/>
                          </w:tcPr>
                          <w:p w14:paraId="507A6DF5" w14:textId="77777777" w:rsidR="00E83465" w:rsidRDefault="00E83465" w:rsidP="00E83465">
                            <w:pPr>
                              <w:pStyle w:val="NoSpacing"/>
                            </w:pPr>
                            <w:r>
                              <w:t>12.40</w:t>
                            </w:r>
                          </w:p>
                        </w:tc>
                        <w:tc>
                          <w:tcPr>
                            <w:tcW w:w="769" w:type="pct"/>
                          </w:tcPr>
                          <w:p w14:paraId="03D93144" w14:textId="77777777" w:rsidR="00E83465" w:rsidRDefault="00E83465" w:rsidP="00E83465">
                            <w:pPr>
                              <w:pStyle w:val="NoSpacing"/>
                            </w:pPr>
                            <w:r>
                              <w:t>11.40</w:t>
                            </w:r>
                          </w:p>
                        </w:tc>
                      </w:tr>
                      <w:tr w:rsidR="00371A21" w14:paraId="1646F74C" w14:textId="77777777" w:rsidTr="003A38A5">
                        <w:trPr>
                          <w:trHeight w:val="310"/>
                        </w:trPr>
                        <w:tc>
                          <w:tcPr>
                            <w:tcW w:w="2010" w:type="pct"/>
                          </w:tcPr>
                          <w:p w14:paraId="449DD2A5" w14:textId="77777777" w:rsidR="00E83465" w:rsidRDefault="00E83465" w:rsidP="00E83465">
                            <w:pPr>
                              <w:pStyle w:val="NoSpacing"/>
                              <w:rPr>
                                <w:rFonts w:ascii="Times New Roman" w:hAnsi="Times New Roman" w:cs="Times New Roman"/>
                                <w:sz w:val="2"/>
                                <w:szCs w:val="2"/>
                              </w:rPr>
                            </w:pPr>
                          </w:p>
                        </w:tc>
                        <w:tc>
                          <w:tcPr>
                            <w:tcW w:w="704" w:type="pct"/>
                          </w:tcPr>
                          <w:p w14:paraId="75A6D0E4" w14:textId="77777777" w:rsidR="00E83465" w:rsidRDefault="00E83465" w:rsidP="00E83465">
                            <w:pPr>
                              <w:pStyle w:val="NoSpacing"/>
                              <w:rPr>
                                <w:w w:val="85"/>
                              </w:rPr>
                            </w:pPr>
                            <w:r>
                              <w:rPr>
                                <w:w w:val="85"/>
                              </w:rPr>
                              <w:t>WC</w:t>
                            </w:r>
                          </w:p>
                        </w:tc>
                        <w:tc>
                          <w:tcPr>
                            <w:tcW w:w="785" w:type="pct"/>
                          </w:tcPr>
                          <w:p w14:paraId="1BA8A993" w14:textId="77777777" w:rsidR="00E83465" w:rsidRDefault="00E83465" w:rsidP="00E83465">
                            <w:pPr>
                              <w:pStyle w:val="NoSpacing"/>
                            </w:pPr>
                            <w:r>
                              <w:t>11.25</w:t>
                            </w:r>
                          </w:p>
                        </w:tc>
                        <w:tc>
                          <w:tcPr>
                            <w:tcW w:w="732" w:type="pct"/>
                          </w:tcPr>
                          <w:p w14:paraId="307E31DD" w14:textId="77777777" w:rsidR="00E83465" w:rsidRDefault="00E83465" w:rsidP="00E83465">
                            <w:pPr>
                              <w:pStyle w:val="NoSpacing"/>
                            </w:pPr>
                            <w:r>
                              <w:t>12.01</w:t>
                            </w:r>
                          </w:p>
                        </w:tc>
                        <w:tc>
                          <w:tcPr>
                            <w:tcW w:w="769" w:type="pct"/>
                          </w:tcPr>
                          <w:p w14:paraId="744BAD5E" w14:textId="77777777" w:rsidR="00E83465" w:rsidRDefault="00E83465" w:rsidP="00E83465">
                            <w:pPr>
                              <w:pStyle w:val="NoSpacing"/>
                            </w:pPr>
                            <w:r>
                              <w:t>11.59</w:t>
                            </w:r>
                          </w:p>
                        </w:tc>
                      </w:tr>
                      <w:tr w:rsidR="00371A21" w14:paraId="1EF22EEE" w14:textId="77777777" w:rsidTr="003A38A5">
                        <w:trPr>
                          <w:trHeight w:val="310"/>
                        </w:trPr>
                        <w:tc>
                          <w:tcPr>
                            <w:tcW w:w="2010" w:type="pct"/>
                          </w:tcPr>
                          <w:p w14:paraId="0B852C7C" w14:textId="77777777" w:rsidR="009E41E1" w:rsidRDefault="009E41E1" w:rsidP="00E83465">
                            <w:pPr>
                              <w:pStyle w:val="NoSpacing"/>
                            </w:pPr>
                            <w:r>
                              <w:t>Stressor 2</w:t>
                            </w:r>
                          </w:p>
                        </w:tc>
                        <w:tc>
                          <w:tcPr>
                            <w:tcW w:w="704" w:type="pct"/>
                          </w:tcPr>
                          <w:p w14:paraId="3B89D3BC" w14:textId="28DB98E4" w:rsidR="009E41E1" w:rsidRDefault="009E41E1" w:rsidP="00E83465">
                            <w:pPr>
                              <w:pStyle w:val="NoSpacing"/>
                            </w:pPr>
                          </w:p>
                        </w:tc>
                        <w:tc>
                          <w:tcPr>
                            <w:tcW w:w="785" w:type="pct"/>
                          </w:tcPr>
                          <w:p w14:paraId="318CA4D2" w14:textId="77777777" w:rsidR="009E41E1" w:rsidRDefault="009E41E1" w:rsidP="00E83465">
                            <w:pPr>
                              <w:pStyle w:val="NoSpacing"/>
                            </w:pPr>
                            <w:r>
                              <w:t>12.04</w:t>
                            </w:r>
                          </w:p>
                        </w:tc>
                        <w:tc>
                          <w:tcPr>
                            <w:tcW w:w="732" w:type="pct"/>
                          </w:tcPr>
                          <w:p w14:paraId="7B9BD7BD" w14:textId="77777777" w:rsidR="009E41E1" w:rsidRDefault="009E41E1" w:rsidP="00E83465">
                            <w:pPr>
                              <w:pStyle w:val="NoSpacing"/>
                            </w:pPr>
                            <w:r>
                              <w:t>13.88</w:t>
                            </w:r>
                          </w:p>
                        </w:tc>
                        <w:tc>
                          <w:tcPr>
                            <w:tcW w:w="769" w:type="pct"/>
                          </w:tcPr>
                          <w:p w14:paraId="24B06A7E" w14:textId="77777777" w:rsidR="009E41E1" w:rsidRDefault="009E41E1" w:rsidP="00E83465">
                            <w:pPr>
                              <w:pStyle w:val="NoSpacing"/>
                            </w:pPr>
                            <w:r>
                              <w:t>12.27</w:t>
                            </w:r>
                          </w:p>
                        </w:tc>
                      </w:tr>
                      <w:tr w:rsidR="003A38A5" w14:paraId="384911B1" w14:textId="77777777" w:rsidTr="003A38A5">
                        <w:trPr>
                          <w:trHeight w:val="310"/>
                        </w:trPr>
                        <w:tc>
                          <w:tcPr>
                            <w:tcW w:w="2010" w:type="pct"/>
                          </w:tcPr>
                          <w:p w14:paraId="32A7035D" w14:textId="77777777" w:rsidR="009E41E1" w:rsidRDefault="009E41E1" w:rsidP="00E83465">
                            <w:pPr>
                              <w:pStyle w:val="NoSpacing"/>
                            </w:pPr>
                            <w:r>
                              <w:t>Stressor 3</w:t>
                            </w:r>
                          </w:p>
                        </w:tc>
                        <w:tc>
                          <w:tcPr>
                            <w:tcW w:w="704" w:type="pct"/>
                          </w:tcPr>
                          <w:p w14:paraId="4BFF1B0E" w14:textId="4CE2C4DC" w:rsidR="009E41E1" w:rsidRDefault="009E41E1" w:rsidP="00E83465">
                            <w:pPr>
                              <w:pStyle w:val="NoSpacing"/>
                            </w:pPr>
                          </w:p>
                        </w:tc>
                        <w:tc>
                          <w:tcPr>
                            <w:tcW w:w="785" w:type="pct"/>
                          </w:tcPr>
                          <w:p w14:paraId="14BDC394" w14:textId="77777777" w:rsidR="009E41E1" w:rsidRDefault="009E41E1" w:rsidP="00E83465">
                            <w:pPr>
                              <w:pStyle w:val="NoSpacing"/>
                            </w:pPr>
                            <w:r>
                              <w:t>13.35</w:t>
                            </w:r>
                          </w:p>
                        </w:tc>
                        <w:tc>
                          <w:tcPr>
                            <w:tcW w:w="732" w:type="pct"/>
                          </w:tcPr>
                          <w:p w14:paraId="4F04AFEC" w14:textId="77777777" w:rsidR="009E41E1" w:rsidRDefault="009E41E1" w:rsidP="00E83465">
                            <w:pPr>
                              <w:pStyle w:val="NoSpacing"/>
                            </w:pPr>
                            <w:r>
                              <w:t>14.38</w:t>
                            </w:r>
                          </w:p>
                        </w:tc>
                        <w:tc>
                          <w:tcPr>
                            <w:tcW w:w="769" w:type="pct"/>
                          </w:tcPr>
                          <w:p w14:paraId="01DDE28E" w14:textId="77777777" w:rsidR="009E41E1" w:rsidRDefault="009E41E1" w:rsidP="00E83465">
                            <w:pPr>
                              <w:pStyle w:val="NoSpacing"/>
                            </w:pPr>
                            <w:r>
                              <w:t>13.00</w:t>
                            </w:r>
                          </w:p>
                        </w:tc>
                      </w:tr>
                      <w:tr w:rsidR="003A38A5" w14:paraId="6735F17D" w14:textId="77777777" w:rsidTr="003A38A5">
                        <w:trPr>
                          <w:trHeight w:val="310"/>
                        </w:trPr>
                        <w:tc>
                          <w:tcPr>
                            <w:tcW w:w="2010" w:type="pct"/>
                          </w:tcPr>
                          <w:p w14:paraId="56B2B357" w14:textId="38C4D89B" w:rsidR="009E41E1" w:rsidRDefault="009E41E1" w:rsidP="00E83465">
                            <w:pPr>
                              <w:pStyle w:val="NoSpacing"/>
                            </w:pPr>
                            <w:r>
                              <w:t>Post-fault switchover time (s)</w:t>
                            </w:r>
                          </w:p>
                        </w:tc>
                        <w:tc>
                          <w:tcPr>
                            <w:tcW w:w="704" w:type="pct"/>
                          </w:tcPr>
                          <w:p w14:paraId="2096EF78" w14:textId="77777777" w:rsidR="009E41E1" w:rsidRDefault="009E41E1" w:rsidP="00E83465">
                            <w:pPr>
                              <w:pStyle w:val="NoSpacing"/>
                            </w:pPr>
                          </w:p>
                        </w:tc>
                        <w:tc>
                          <w:tcPr>
                            <w:tcW w:w="785" w:type="pct"/>
                          </w:tcPr>
                          <w:p w14:paraId="596D806B" w14:textId="77777777" w:rsidR="009E41E1" w:rsidRDefault="009E41E1" w:rsidP="00E83465">
                            <w:pPr>
                              <w:pStyle w:val="NoSpacing"/>
                            </w:pPr>
                          </w:p>
                        </w:tc>
                        <w:tc>
                          <w:tcPr>
                            <w:tcW w:w="732" w:type="pct"/>
                          </w:tcPr>
                          <w:p w14:paraId="58E4810E" w14:textId="77777777" w:rsidR="009E41E1" w:rsidRDefault="009E41E1" w:rsidP="00E83465">
                            <w:pPr>
                              <w:pStyle w:val="NoSpacing"/>
                            </w:pPr>
                          </w:p>
                        </w:tc>
                        <w:tc>
                          <w:tcPr>
                            <w:tcW w:w="769" w:type="pct"/>
                          </w:tcPr>
                          <w:p w14:paraId="5137DD69" w14:textId="77777777" w:rsidR="009E41E1" w:rsidRDefault="009E41E1" w:rsidP="00E83465">
                            <w:pPr>
                              <w:pStyle w:val="NoSpacing"/>
                            </w:pPr>
                          </w:p>
                        </w:tc>
                      </w:tr>
                      <w:tr w:rsidR="003A38A5" w14:paraId="3E4FAE75" w14:textId="77777777" w:rsidTr="003A38A5">
                        <w:trPr>
                          <w:trHeight w:val="310"/>
                        </w:trPr>
                        <w:tc>
                          <w:tcPr>
                            <w:tcW w:w="2010" w:type="pct"/>
                          </w:tcPr>
                          <w:p w14:paraId="06A13A2C" w14:textId="77777777" w:rsidR="009E41E1" w:rsidRDefault="009E41E1" w:rsidP="00E83465">
                            <w:pPr>
                              <w:pStyle w:val="NoSpacing"/>
                              <w:rPr>
                                <w:w w:val="90"/>
                              </w:rPr>
                            </w:pPr>
                            <w:r>
                              <w:rPr>
                                <w:w w:val="90"/>
                              </w:rPr>
                              <w:t>Non-</w:t>
                            </w:r>
                          </w:p>
                        </w:tc>
                        <w:tc>
                          <w:tcPr>
                            <w:tcW w:w="704" w:type="pct"/>
                          </w:tcPr>
                          <w:p w14:paraId="13478417" w14:textId="67C4DEB8" w:rsidR="009E41E1" w:rsidRDefault="009E41E1" w:rsidP="00E83465">
                            <w:pPr>
                              <w:pStyle w:val="NoSpacing"/>
                              <w:rPr>
                                <w:w w:val="90"/>
                              </w:rPr>
                            </w:pPr>
                          </w:p>
                        </w:tc>
                        <w:tc>
                          <w:tcPr>
                            <w:tcW w:w="785" w:type="pct"/>
                          </w:tcPr>
                          <w:p w14:paraId="39A31197" w14:textId="77777777" w:rsidR="009E41E1" w:rsidRDefault="009E41E1" w:rsidP="00E83465">
                            <w:pPr>
                              <w:pStyle w:val="NoSpacing"/>
                            </w:pPr>
                            <w:r>
                              <w:t>ardened</w:t>
                            </w:r>
                          </w:p>
                        </w:tc>
                        <w:tc>
                          <w:tcPr>
                            <w:tcW w:w="732" w:type="pct"/>
                          </w:tcPr>
                          <w:p w14:paraId="3FE6A047" w14:textId="77777777" w:rsidR="009E41E1" w:rsidRDefault="009E41E1" w:rsidP="00E83465">
                            <w:pPr>
                              <w:pStyle w:val="NoSpacing"/>
                              <w:rPr>
                                <w:rFonts w:ascii="Times New Roman" w:hAnsi="Times New Roman" w:cs="Times New Roman"/>
                                <w:sz w:val="14"/>
                                <w:szCs w:val="14"/>
                              </w:rPr>
                            </w:pPr>
                          </w:p>
                        </w:tc>
                        <w:tc>
                          <w:tcPr>
                            <w:tcW w:w="769" w:type="pct"/>
                          </w:tcPr>
                          <w:p w14:paraId="0D9F9624" w14:textId="77777777" w:rsidR="009E41E1" w:rsidRDefault="009E41E1" w:rsidP="00E83465">
                            <w:pPr>
                              <w:pStyle w:val="NoSpacing"/>
                            </w:pPr>
                            <w:r>
                              <w:t>Hardened</w:t>
                            </w:r>
                          </w:p>
                        </w:tc>
                      </w:tr>
                      <w:tr w:rsidR="003A38A5" w14:paraId="198BFD9F" w14:textId="77777777" w:rsidTr="003A38A5">
                        <w:trPr>
                          <w:trHeight w:val="310"/>
                        </w:trPr>
                        <w:tc>
                          <w:tcPr>
                            <w:tcW w:w="2010" w:type="pct"/>
                          </w:tcPr>
                          <w:p w14:paraId="582F3BF0" w14:textId="77777777" w:rsidR="009E41E1" w:rsidRPr="009E41E1" w:rsidRDefault="009E41E1" w:rsidP="009E41E1">
                            <w:pPr>
                              <w:pStyle w:val="NoSpacing"/>
                            </w:pPr>
                            <w:r w:rsidRPr="009E41E1">
                              <w:t xml:space="preserve">Scheme </w:t>
                            </w:r>
                            <w:r w:rsidRPr="009E41E1">
                              <w:t></w:t>
                            </w:r>
                          </w:p>
                        </w:tc>
                        <w:tc>
                          <w:tcPr>
                            <w:tcW w:w="704" w:type="pct"/>
                          </w:tcPr>
                          <w:p w14:paraId="11E48E02" w14:textId="7DAFB13C" w:rsidR="009E41E1" w:rsidRPr="009E41E1" w:rsidRDefault="009E41E1" w:rsidP="009E41E1">
                            <w:pPr>
                              <w:pStyle w:val="NoSpacing"/>
                            </w:pPr>
                          </w:p>
                        </w:tc>
                        <w:tc>
                          <w:tcPr>
                            <w:tcW w:w="785" w:type="pct"/>
                          </w:tcPr>
                          <w:p w14:paraId="08288B7E" w14:textId="77777777" w:rsidR="009E41E1" w:rsidRPr="009E41E1" w:rsidRDefault="009E41E1" w:rsidP="009E41E1">
                            <w:pPr>
                              <w:pStyle w:val="NoSpacing"/>
                            </w:pPr>
                            <w:r w:rsidRPr="009E41E1">
                              <w:t xml:space="preserve">SP </w:t>
                            </w:r>
                            <w:r w:rsidRPr="009E41E1">
                              <w:t> PFR</w:t>
                            </w:r>
                          </w:p>
                        </w:tc>
                        <w:tc>
                          <w:tcPr>
                            <w:tcW w:w="732" w:type="pct"/>
                          </w:tcPr>
                          <w:p w14:paraId="167C0D0F" w14:textId="77777777" w:rsidR="009E41E1" w:rsidRPr="009E41E1" w:rsidRDefault="009E41E1" w:rsidP="009E41E1">
                            <w:pPr>
                              <w:pStyle w:val="NoSpacing"/>
                            </w:pPr>
                            <w:r w:rsidRPr="009E41E1">
                              <w:t xml:space="preserve">JRM </w:t>
                            </w:r>
                            <w:r w:rsidRPr="009E41E1">
                              <w:t> PFR</w:t>
                            </w:r>
                          </w:p>
                        </w:tc>
                        <w:tc>
                          <w:tcPr>
                            <w:tcW w:w="769" w:type="pct"/>
                          </w:tcPr>
                          <w:p w14:paraId="300DB957" w14:textId="77777777" w:rsidR="009E41E1" w:rsidRPr="009E41E1" w:rsidRDefault="009E41E1" w:rsidP="009E41E1">
                            <w:pPr>
                              <w:pStyle w:val="NoSpacing"/>
                            </w:pPr>
                            <w:r w:rsidRPr="009E41E1">
                              <w:t xml:space="preserve">JRM </w:t>
                            </w:r>
                            <w:r w:rsidRPr="009E41E1">
                              <w:t> PFR</w:t>
                            </w:r>
                          </w:p>
                        </w:tc>
                      </w:tr>
                      <w:tr w:rsidR="00371A21" w14:paraId="310D8A4A" w14:textId="77777777" w:rsidTr="003A38A5">
                        <w:trPr>
                          <w:trHeight w:val="310"/>
                        </w:trPr>
                        <w:tc>
                          <w:tcPr>
                            <w:tcW w:w="2010" w:type="pct"/>
                          </w:tcPr>
                          <w:p w14:paraId="2A8D8D63" w14:textId="77777777" w:rsidR="00E83465" w:rsidRDefault="00E83465" w:rsidP="00E83465">
                            <w:pPr>
                              <w:pStyle w:val="NoSpacing"/>
                              <w:rPr>
                                <w:sz w:val="18"/>
                                <w:szCs w:val="18"/>
                              </w:rPr>
                            </w:pPr>
                          </w:p>
                          <w:p w14:paraId="1375D387" w14:textId="77777777" w:rsidR="00E83465" w:rsidRDefault="00E83465" w:rsidP="00E83465">
                            <w:pPr>
                              <w:pStyle w:val="NoSpacing"/>
                            </w:pPr>
                            <w:r>
                              <w:t>Stressor 1</w:t>
                            </w:r>
                          </w:p>
                        </w:tc>
                        <w:tc>
                          <w:tcPr>
                            <w:tcW w:w="704" w:type="pct"/>
                          </w:tcPr>
                          <w:p w14:paraId="2A409D3D" w14:textId="77777777" w:rsidR="00E83465" w:rsidRDefault="00E83465" w:rsidP="00E83465">
                            <w:pPr>
                              <w:pStyle w:val="NoSpacing"/>
                              <w:rPr>
                                <w:w w:val="84"/>
                              </w:rPr>
                            </w:pPr>
                            <w:r>
                              <w:rPr>
                                <w:w w:val="84"/>
                              </w:rPr>
                              <w:t>C</w:t>
                            </w:r>
                          </w:p>
                        </w:tc>
                        <w:tc>
                          <w:tcPr>
                            <w:tcW w:w="785" w:type="pct"/>
                          </w:tcPr>
                          <w:p w14:paraId="0BDCF3AC" w14:textId="77777777" w:rsidR="00E83465" w:rsidRDefault="00E83465" w:rsidP="00E83465">
                            <w:pPr>
                              <w:pStyle w:val="NoSpacing"/>
                            </w:pPr>
                            <w:r>
                              <w:t>8.5</w:t>
                            </w:r>
                          </w:p>
                        </w:tc>
                        <w:tc>
                          <w:tcPr>
                            <w:tcW w:w="732" w:type="pct"/>
                          </w:tcPr>
                          <w:p w14:paraId="367CBE0A" w14:textId="77777777" w:rsidR="00E83465" w:rsidRDefault="00E83465" w:rsidP="00E83465">
                            <w:pPr>
                              <w:pStyle w:val="NoSpacing"/>
                            </w:pPr>
                            <w:r>
                              <w:t>3.3</w:t>
                            </w:r>
                          </w:p>
                        </w:tc>
                        <w:tc>
                          <w:tcPr>
                            <w:tcW w:w="769" w:type="pct"/>
                          </w:tcPr>
                          <w:p w14:paraId="6A935415" w14:textId="77777777" w:rsidR="00E83465" w:rsidRDefault="00E83465" w:rsidP="00E83465">
                            <w:pPr>
                              <w:pStyle w:val="NoSpacing"/>
                            </w:pPr>
                            <w:r>
                              <w:t>2.6</w:t>
                            </w:r>
                          </w:p>
                        </w:tc>
                      </w:tr>
                      <w:tr w:rsidR="00371A21" w14:paraId="0CF52DEB" w14:textId="77777777" w:rsidTr="003A38A5">
                        <w:trPr>
                          <w:trHeight w:val="310"/>
                        </w:trPr>
                        <w:tc>
                          <w:tcPr>
                            <w:tcW w:w="2010" w:type="pct"/>
                          </w:tcPr>
                          <w:p w14:paraId="6F7EF87F" w14:textId="77777777" w:rsidR="00E83465" w:rsidRDefault="00E83465" w:rsidP="00E83465">
                            <w:pPr>
                              <w:pStyle w:val="NoSpacing"/>
                              <w:rPr>
                                <w:rFonts w:ascii="Times New Roman" w:hAnsi="Times New Roman" w:cs="Times New Roman"/>
                                <w:sz w:val="2"/>
                                <w:szCs w:val="2"/>
                              </w:rPr>
                            </w:pPr>
                          </w:p>
                        </w:tc>
                        <w:tc>
                          <w:tcPr>
                            <w:tcW w:w="704" w:type="pct"/>
                          </w:tcPr>
                          <w:p w14:paraId="75100224" w14:textId="77777777" w:rsidR="00E83465" w:rsidRDefault="00E83465" w:rsidP="00E83465">
                            <w:pPr>
                              <w:pStyle w:val="NoSpacing"/>
                              <w:rPr>
                                <w:w w:val="90"/>
                              </w:rPr>
                            </w:pPr>
                            <w:r>
                              <w:rPr>
                                <w:w w:val="90"/>
                              </w:rPr>
                              <w:t>NC</w:t>
                            </w:r>
                          </w:p>
                        </w:tc>
                        <w:tc>
                          <w:tcPr>
                            <w:tcW w:w="785" w:type="pct"/>
                          </w:tcPr>
                          <w:p w14:paraId="022F0F66" w14:textId="77777777" w:rsidR="00E83465" w:rsidRDefault="00E83465" w:rsidP="00E83465">
                            <w:pPr>
                              <w:pStyle w:val="NoSpacing"/>
                            </w:pPr>
                            <w:r>
                              <w:t>9.2</w:t>
                            </w:r>
                          </w:p>
                        </w:tc>
                        <w:tc>
                          <w:tcPr>
                            <w:tcW w:w="732" w:type="pct"/>
                          </w:tcPr>
                          <w:p w14:paraId="626E7A51" w14:textId="77777777" w:rsidR="00E83465" w:rsidRDefault="00E83465" w:rsidP="00E83465">
                            <w:pPr>
                              <w:pStyle w:val="NoSpacing"/>
                            </w:pPr>
                            <w:r>
                              <w:t>4.7</w:t>
                            </w:r>
                          </w:p>
                        </w:tc>
                        <w:tc>
                          <w:tcPr>
                            <w:tcW w:w="769" w:type="pct"/>
                          </w:tcPr>
                          <w:p w14:paraId="43577375" w14:textId="77777777" w:rsidR="00E83465" w:rsidRDefault="00E83465" w:rsidP="00E83465">
                            <w:pPr>
                              <w:pStyle w:val="NoSpacing"/>
                            </w:pPr>
                            <w:r>
                              <w:t>4.7</w:t>
                            </w:r>
                          </w:p>
                        </w:tc>
                      </w:tr>
                      <w:tr w:rsidR="00371A21" w14:paraId="10055B44" w14:textId="77777777" w:rsidTr="003A38A5">
                        <w:trPr>
                          <w:trHeight w:val="310"/>
                        </w:trPr>
                        <w:tc>
                          <w:tcPr>
                            <w:tcW w:w="2010" w:type="pct"/>
                          </w:tcPr>
                          <w:p w14:paraId="34EF3EC1" w14:textId="77777777" w:rsidR="00E83465" w:rsidRDefault="00E83465" w:rsidP="00E83465">
                            <w:pPr>
                              <w:pStyle w:val="NoSpacing"/>
                              <w:rPr>
                                <w:rFonts w:ascii="Times New Roman" w:hAnsi="Times New Roman" w:cs="Times New Roman"/>
                                <w:sz w:val="2"/>
                                <w:szCs w:val="2"/>
                              </w:rPr>
                            </w:pPr>
                          </w:p>
                        </w:tc>
                        <w:tc>
                          <w:tcPr>
                            <w:tcW w:w="704" w:type="pct"/>
                          </w:tcPr>
                          <w:p w14:paraId="5947364C" w14:textId="77777777" w:rsidR="00E83465" w:rsidRDefault="00E83465" w:rsidP="00E83465">
                            <w:pPr>
                              <w:pStyle w:val="NoSpacing"/>
                              <w:rPr>
                                <w:w w:val="80"/>
                              </w:rPr>
                            </w:pPr>
                            <w:r>
                              <w:rPr>
                                <w:w w:val="80"/>
                              </w:rPr>
                              <w:t>SC</w:t>
                            </w:r>
                          </w:p>
                        </w:tc>
                        <w:tc>
                          <w:tcPr>
                            <w:tcW w:w="785" w:type="pct"/>
                          </w:tcPr>
                          <w:p w14:paraId="1BFAE6B1" w14:textId="77777777" w:rsidR="00E83465" w:rsidRDefault="00E83465" w:rsidP="00E83465">
                            <w:pPr>
                              <w:pStyle w:val="NoSpacing"/>
                            </w:pPr>
                            <w:r>
                              <w:t>5.9</w:t>
                            </w:r>
                          </w:p>
                        </w:tc>
                        <w:tc>
                          <w:tcPr>
                            <w:tcW w:w="732" w:type="pct"/>
                          </w:tcPr>
                          <w:p w14:paraId="0370C90E" w14:textId="77777777" w:rsidR="00E83465" w:rsidRDefault="00E83465" w:rsidP="00E83465">
                            <w:pPr>
                              <w:pStyle w:val="NoSpacing"/>
                            </w:pPr>
                            <w:r>
                              <w:t>2.7</w:t>
                            </w:r>
                          </w:p>
                        </w:tc>
                        <w:tc>
                          <w:tcPr>
                            <w:tcW w:w="769" w:type="pct"/>
                          </w:tcPr>
                          <w:p w14:paraId="18DDCCC5" w14:textId="77777777" w:rsidR="00E83465" w:rsidRDefault="00E83465" w:rsidP="00E83465">
                            <w:pPr>
                              <w:pStyle w:val="NoSpacing"/>
                            </w:pPr>
                            <w:r>
                              <w:t>2.7</w:t>
                            </w:r>
                          </w:p>
                        </w:tc>
                      </w:tr>
                      <w:tr w:rsidR="00371A21" w14:paraId="6BE852E1" w14:textId="77777777" w:rsidTr="003A38A5">
                        <w:trPr>
                          <w:trHeight w:val="310"/>
                        </w:trPr>
                        <w:tc>
                          <w:tcPr>
                            <w:tcW w:w="2010" w:type="pct"/>
                          </w:tcPr>
                          <w:p w14:paraId="388AEDEF" w14:textId="77777777" w:rsidR="00E83465" w:rsidRDefault="00E83465" w:rsidP="00E83465">
                            <w:pPr>
                              <w:pStyle w:val="NoSpacing"/>
                              <w:rPr>
                                <w:rFonts w:ascii="Times New Roman" w:hAnsi="Times New Roman" w:cs="Times New Roman"/>
                                <w:sz w:val="2"/>
                                <w:szCs w:val="2"/>
                              </w:rPr>
                            </w:pPr>
                          </w:p>
                        </w:tc>
                        <w:tc>
                          <w:tcPr>
                            <w:tcW w:w="704" w:type="pct"/>
                          </w:tcPr>
                          <w:p w14:paraId="44D6C670" w14:textId="77777777" w:rsidR="00E83465" w:rsidRDefault="00E83465" w:rsidP="00E83465">
                            <w:pPr>
                              <w:pStyle w:val="NoSpacing"/>
                              <w:rPr>
                                <w:w w:val="80"/>
                              </w:rPr>
                            </w:pPr>
                            <w:r>
                              <w:rPr>
                                <w:w w:val="80"/>
                              </w:rPr>
                              <w:t>EC</w:t>
                            </w:r>
                          </w:p>
                        </w:tc>
                        <w:tc>
                          <w:tcPr>
                            <w:tcW w:w="785" w:type="pct"/>
                          </w:tcPr>
                          <w:p w14:paraId="7E877DA4" w14:textId="77777777" w:rsidR="00E83465" w:rsidRDefault="00E83465" w:rsidP="00E83465">
                            <w:pPr>
                              <w:pStyle w:val="NoSpacing"/>
                            </w:pPr>
                            <w:r>
                              <w:t>8.9</w:t>
                            </w:r>
                          </w:p>
                        </w:tc>
                        <w:tc>
                          <w:tcPr>
                            <w:tcW w:w="732" w:type="pct"/>
                          </w:tcPr>
                          <w:p w14:paraId="2EEBFD4E" w14:textId="77777777" w:rsidR="00E83465" w:rsidRDefault="00E83465" w:rsidP="00E83465">
                            <w:pPr>
                              <w:pStyle w:val="NoSpacing"/>
                            </w:pPr>
                            <w:r>
                              <w:t>3.3</w:t>
                            </w:r>
                          </w:p>
                        </w:tc>
                        <w:tc>
                          <w:tcPr>
                            <w:tcW w:w="769" w:type="pct"/>
                          </w:tcPr>
                          <w:p w14:paraId="2E617593" w14:textId="77777777" w:rsidR="00E83465" w:rsidRDefault="00E83465" w:rsidP="00E83465">
                            <w:pPr>
                              <w:pStyle w:val="NoSpacing"/>
                            </w:pPr>
                            <w:r>
                              <w:t>2.6</w:t>
                            </w:r>
                          </w:p>
                        </w:tc>
                      </w:tr>
                      <w:tr w:rsidR="00371A21" w14:paraId="6E8FF801" w14:textId="77777777" w:rsidTr="003A38A5">
                        <w:trPr>
                          <w:trHeight w:val="310"/>
                        </w:trPr>
                        <w:tc>
                          <w:tcPr>
                            <w:tcW w:w="2010" w:type="pct"/>
                          </w:tcPr>
                          <w:p w14:paraId="4AC070B5" w14:textId="77777777" w:rsidR="00E83465" w:rsidRDefault="00E83465" w:rsidP="00E83465">
                            <w:pPr>
                              <w:pStyle w:val="NoSpacing"/>
                              <w:rPr>
                                <w:rFonts w:ascii="Times New Roman" w:hAnsi="Times New Roman" w:cs="Times New Roman"/>
                                <w:sz w:val="2"/>
                                <w:szCs w:val="2"/>
                              </w:rPr>
                            </w:pPr>
                          </w:p>
                        </w:tc>
                        <w:tc>
                          <w:tcPr>
                            <w:tcW w:w="704" w:type="pct"/>
                          </w:tcPr>
                          <w:p w14:paraId="53B0AA0B" w14:textId="77777777" w:rsidR="00E83465" w:rsidRDefault="00E83465" w:rsidP="00E83465">
                            <w:pPr>
                              <w:pStyle w:val="NoSpacing"/>
                              <w:rPr>
                                <w:w w:val="85"/>
                              </w:rPr>
                            </w:pPr>
                            <w:r>
                              <w:rPr>
                                <w:w w:val="85"/>
                              </w:rPr>
                              <w:t>WC</w:t>
                            </w:r>
                          </w:p>
                        </w:tc>
                        <w:tc>
                          <w:tcPr>
                            <w:tcW w:w="785" w:type="pct"/>
                          </w:tcPr>
                          <w:p w14:paraId="3B783D1E" w14:textId="77777777" w:rsidR="00E83465" w:rsidRDefault="00E83465" w:rsidP="00E83465">
                            <w:pPr>
                              <w:pStyle w:val="NoSpacing"/>
                            </w:pPr>
                            <w:r>
                              <w:t>10.4</w:t>
                            </w:r>
                          </w:p>
                        </w:tc>
                        <w:tc>
                          <w:tcPr>
                            <w:tcW w:w="732" w:type="pct"/>
                          </w:tcPr>
                          <w:p w14:paraId="0ECD6891" w14:textId="77777777" w:rsidR="00E83465" w:rsidRDefault="00E83465" w:rsidP="00E83465">
                            <w:pPr>
                              <w:pStyle w:val="NoSpacing"/>
                            </w:pPr>
                            <w:r>
                              <w:t>3.3</w:t>
                            </w:r>
                          </w:p>
                        </w:tc>
                        <w:tc>
                          <w:tcPr>
                            <w:tcW w:w="769" w:type="pct"/>
                          </w:tcPr>
                          <w:p w14:paraId="79312CC8" w14:textId="77777777" w:rsidR="00E83465" w:rsidRDefault="00E83465" w:rsidP="00E83465">
                            <w:pPr>
                              <w:pStyle w:val="NoSpacing"/>
                            </w:pPr>
                            <w:r>
                              <w:t>3.3</w:t>
                            </w:r>
                          </w:p>
                        </w:tc>
                      </w:tr>
                      <w:tr w:rsidR="000809A1" w14:paraId="24AF64B0" w14:textId="77777777" w:rsidTr="003A38A5">
                        <w:trPr>
                          <w:trHeight w:val="310"/>
                        </w:trPr>
                        <w:tc>
                          <w:tcPr>
                            <w:tcW w:w="2010" w:type="pct"/>
                          </w:tcPr>
                          <w:p w14:paraId="3887D8B0" w14:textId="77777777" w:rsidR="003A38A5" w:rsidRDefault="003A38A5" w:rsidP="00E83465">
                            <w:pPr>
                              <w:pStyle w:val="NoSpacing"/>
                            </w:pPr>
                            <w:r>
                              <w:t>Stressor 2</w:t>
                            </w:r>
                          </w:p>
                        </w:tc>
                        <w:tc>
                          <w:tcPr>
                            <w:tcW w:w="704" w:type="pct"/>
                          </w:tcPr>
                          <w:p w14:paraId="242A283D" w14:textId="02C41C8C" w:rsidR="003A38A5" w:rsidRDefault="003A38A5" w:rsidP="00E83465">
                            <w:pPr>
                              <w:pStyle w:val="NoSpacing"/>
                            </w:pPr>
                          </w:p>
                        </w:tc>
                        <w:tc>
                          <w:tcPr>
                            <w:tcW w:w="785" w:type="pct"/>
                          </w:tcPr>
                          <w:p w14:paraId="005678F7" w14:textId="77777777" w:rsidR="003A38A5" w:rsidRDefault="003A38A5" w:rsidP="00E83465">
                            <w:pPr>
                              <w:pStyle w:val="NoSpacing"/>
                            </w:pPr>
                            <w:r>
                              <w:t>14.7</w:t>
                            </w:r>
                          </w:p>
                        </w:tc>
                        <w:tc>
                          <w:tcPr>
                            <w:tcW w:w="732" w:type="pct"/>
                          </w:tcPr>
                          <w:p w14:paraId="106B562E" w14:textId="77777777" w:rsidR="003A38A5" w:rsidRDefault="003A38A5" w:rsidP="00E83465">
                            <w:pPr>
                              <w:pStyle w:val="NoSpacing"/>
                            </w:pPr>
                            <w:r>
                              <w:t>13.7</w:t>
                            </w:r>
                          </w:p>
                        </w:tc>
                        <w:tc>
                          <w:tcPr>
                            <w:tcW w:w="769" w:type="pct"/>
                          </w:tcPr>
                          <w:p w14:paraId="00D5C9E7" w14:textId="77777777" w:rsidR="003A38A5" w:rsidRDefault="003A38A5" w:rsidP="00E83465">
                            <w:pPr>
                              <w:pStyle w:val="NoSpacing"/>
                            </w:pPr>
                            <w:r>
                              <w:t>13.4</w:t>
                            </w:r>
                          </w:p>
                        </w:tc>
                      </w:tr>
                      <w:tr w:rsidR="003A38A5" w14:paraId="2EAEE3E1" w14:textId="77777777" w:rsidTr="003A38A5">
                        <w:trPr>
                          <w:trHeight w:val="250"/>
                        </w:trPr>
                        <w:tc>
                          <w:tcPr>
                            <w:tcW w:w="2010" w:type="pct"/>
                          </w:tcPr>
                          <w:p w14:paraId="0A94CB20" w14:textId="77777777" w:rsidR="003A38A5" w:rsidRDefault="003A38A5" w:rsidP="00E83465">
                            <w:pPr>
                              <w:pStyle w:val="NoSpacing"/>
                            </w:pPr>
                            <w:r>
                              <w:t>Stressor 3</w:t>
                            </w:r>
                          </w:p>
                        </w:tc>
                        <w:tc>
                          <w:tcPr>
                            <w:tcW w:w="704" w:type="pct"/>
                          </w:tcPr>
                          <w:p w14:paraId="77B681B1" w14:textId="4C9BA84F" w:rsidR="003A38A5" w:rsidRDefault="003A38A5" w:rsidP="00E83465">
                            <w:pPr>
                              <w:pStyle w:val="NoSpacing"/>
                            </w:pPr>
                          </w:p>
                        </w:tc>
                        <w:tc>
                          <w:tcPr>
                            <w:tcW w:w="785" w:type="pct"/>
                          </w:tcPr>
                          <w:p w14:paraId="2F9A654D" w14:textId="77777777" w:rsidR="003A38A5" w:rsidRDefault="003A38A5" w:rsidP="00E83465">
                            <w:pPr>
                              <w:pStyle w:val="NoSpacing"/>
                            </w:pPr>
                            <w:r>
                              <w:t>15.0</w:t>
                            </w:r>
                          </w:p>
                        </w:tc>
                        <w:tc>
                          <w:tcPr>
                            <w:tcW w:w="732" w:type="pct"/>
                          </w:tcPr>
                          <w:p w14:paraId="512D1A81" w14:textId="77777777" w:rsidR="003A38A5" w:rsidRDefault="003A38A5" w:rsidP="00E83465">
                            <w:pPr>
                              <w:pStyle w:val="NoSpacing"/>
                            </w:pPr>
                            <w:r>
                              <w:t>15.0</w:t>
                            </w:r>
                          </w:p>
                        </w:tc>
                        <w:tc>
                          <w:tcPr>
                            <w:tcW w:w="769" w:type="pct"/>
                          </w:tcPr>
                          <w:p w14:paraId="4A5EB768" w14:textId="77777777" w:rsidR="003A38A5" w:rsidRDefault="003A38A5" w:rsidP="00E83465">
                            <w:pPr>
                              <w:pStyle w:val="NoSpacing"/>
                            </w:pPr>
                            <w:r>
                              <w:t>9.0</w:t>
                            </w:r>
                          </w:p>
                        </w:tc>
                      </w:tr>
                    </w:tbl>
                    <w:p w14:paraId="0668F314" w14:textId="77777777" w:rsidR="00E83465" w:rsidRDefault="00E83465" w:rsidP="00E83465">
                      <w:pPr>
                        <w:pStyle w:val="BodyText"/>
                        <w:kinsoku w:val="0"/>
                        <w:overflowPunct w:val="0"/>
                        <w:rPr>
                          <w:rFonts w:ascii="Times New Roman" w:hAnsi="Times New Roman" w:cs="Times New Roman"/>
                          <w:sz w:val="24"/>
                          <w:szCs w:val="24"/>
                        </w:rPr>
                      </w:pPr>
                    </w:p>
                  </w:txbxContent>
                </v:textbox>
                <w10:anchorlock/>
              </v:shape>
            </w:pict>
          </mc:Fallback>
        </mc:AlternateContent>
      </w:r>
    </w:p>
    <w:p w14:paraId="7F95FD3C" w14:textId="77777777" w:rsidR="001D1FC9" w:rsidRPr="00347A0B" w:rsidRDefault="001D1FC9" w:rsidP="00347A0B">
      <w:pPr>
        <w:rPr>
          <w:rFonts w:cstheme="minorHAnsi"/>
          <w:color w:val="666666"/>
        </w:rPr>
      </w:pPr>
    </w:p>
    <w:p w14:paraId="758E5F63" w14:textId="17851D1A" w:rsidR="00331204" w:rsidRPr="00347A0B" w:rsidRDefault="00331204" w:rsidP="00347A0B">
      <w:pPr>
        <w:rPr>
          <w:rStyle w:val="Hyperlink"/>
          <w:rFonts w:cstheme="minorHAnsi"/>
          <w:color w:val="006699"/>
          <w:u w:val="none"/>
        </w:rPr>
      </w:pPr>
      <w:r w:rsidRPr="00347A0B">
        <w:rPr>
          <w:rFonts w:cstheme="minorHAnsi"/>
        </w:rPr>
        <w:lastRenderedPageBreak/>
        <w:fldChar w:fldCharType="begin"/>
      </w:r>
      <w:r w:rsidRPr="00347A0B">
        <w:rPr>
          <w:rFonts w:cstheme="minorHAnsi"/>
        </w:rPr>
        <w:instrText xml:space="preserve"> HYPERLINK "https://ieeexplore.ieee.org/mediastore_new/IEEE/content/media/35/8613256/8594707/8594707-table-1-source-large.gif" </w:instrText>
      </w:r>
      <w:r w:rsidRPr="00347A0B">
        <w:rPr>
          <w:rFonts w:cstheme="minorHAnsi"/>
        </w:rPr>
        <w:fldChar w:fldCharType="separate"/>
      </w:r>
      <w:r w:rsidRPr="00347A0B">
        <w:rPr>
          <w:rFonts w:cstheme="minorHAnsi"/>
          <w:noProof/>
          <w:color w:val="006699"/>
        </w:rPr>
        <w:drawing>
          <wp:inline distT="0" distB="0" distL="0" distR="0" wp14:anchorId="1D53796E" wp14:editId="6975AEE5">
            <wp:extent cx="2714625" cy="5238750"/>
            <wp:effectExtent l="0" t="0" r="9525" b="0"/>
            <wp:docPr id="1" name="Picture 1" descr="Table 1. Average path lengths (hops) and post-fault switchover ti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14625" cy="5238750"/>
                    </a:xfrm>
                    <a:prstGeom prst="rect">
                      <a:avLst/>
                    </a:prstGeom>
                    <a:noFill/>
                    <a:ln>
                      <a:noFill/>
                    </a:ln>
                  </pic:spPr>
                </pic:pic>
              </a:graphicData>
            </a:graphic>
          </wp:inline>
        </w:drawing>
      </w:r>
    </w:p>
    <w:p w14:paraId="5EA36698" w14:textId="21C6A644" w:rsidR="00331204" w:rsidRPr="00347A0B" w:rsidRDefault="00331204" w:rsidP="00D60CDF">
      <w:pPr>
        <w:pStyle w:val="Heading1"/>
      </w:pPr>
      <w:r w:rsidRPr="00347A0B">
        <w:rPr>
          <w:rFonts w:asciiTheme="minorHAnsi" w:hAnsiTheme="minorHAnsi" w:cstheme="minorHAnsi"/>
          <w:sz w:val="22"/>
          <w:szCs w:val="22"/>
        </w:rPr>
        <w:fldChar w:fldCharType="end"/>
      </w:r>
      <w:r w:rsidRPr="00347A0B">
        <w:t>Conclusions and Future Efforts</w:t>
      </w:r>
    </w:p>
    <w:p w14:paraId="3DA3AE9C" w14:textId="77777777" w:rsidR="00331204" w:rsidRPr="00347A0B" w:rsidRDefault="00331204" w:rsidP="00347A0B">
      <w:pPr>
        <w:rPr>
          <w:rFonts w:cstheme="minorHAnsi"/>
        </w:rPr>
      </w:pPr>
      <w:r w:rsidRPr="00347A0B">
        <w:rPr>
          <w:rFonts w:cstheme="minorHAnsi"/>
        </w:rPr>
        <w:t>This study presents a novel resilient SDN control framework for disaster recovery, with a focus </w:t>
      </w:r>
      <w:r w:rsidRPr="00347A0B">
        <w:rPr>
          <w:rFonts w:cstheme="minorHAnsi"/>
          <w:i/>
          <w:iCs/>
        </w:rPr>
        <w:t>on</w:t>
      </w:r>
      <w:r w:rsidRPr="00347A0B">
        <w:rPr>
          <w:rFonts w:cstheme="minorHAnsi"/>
        </w:rPr>
        <w:t xml:space="preserve"> large </w:t>
      </w:r>
      <w:proofErr w:type="gramStart"/>
      <w:r w:rsidRPr="00347A0B">
        <w:rPr>
          <w:rFonts w:cstheme="minorHAnsi"/>
        </w:rPr>
        <w:t>space-based</w:t>
      </w:r>
      <w:proofErr w:type="gramEnd"/>
      <w:r w:rsidRPr="00347A0B">
        <w:rPr>
          <w:rFonts w:cstheme="minorHAnsi"/>
        </w:rPr>
        <w:t xml:space="preserve"> nuclear EMP attacks. The solution introduces new survivability-related schema definitions and implements a range of pre-fault and post-fault strategies. The framework is deployed i</w:t>
      </w:r>
      <w:r w:rsidRPr="00347A0B">
        <w:rPr>
          <w:rFonts w:cstheme="minorHAnsi"/>
          <w:i/>
          <w:iCs/>
        </w:rPr>
        <w:t>n</w:t>
      </w:r>
      <w:r w:rsidRPr="00347A0B">
        <w:rPr>
          <w:rFonts w:cstheme="minorHAnsi"/>
        </w:rPr>
        <w:t> an advanced SDN testbed running the </w:t>
      </w:r>
      <w:r w:rsidRPr="00347A0B">
        <w:rPr>
          <w:rFonts w:cstheme="minorHAnsi"/>
          <w:i/>
          <w:iCs/>
        </w:rPr>
        <w:t>ONOS</w:t>
      </w:r>
      <w:r w:rsidRPr="00347A0B">
        <w:rPr>
          <w:rFonts w:cstheme="minorHAnsi"/>
        </w:rPr>
        <w:t> framework to manage </w:t>
      </w:r>
      <w:r w:rsidRPr="00347A0B">
        <w:rPr>
          <w:rFonts w:cstheme="minorHAnsi"/>
          <w:i/>
          <w:iCs/>
        </w:rPr>
        <w:t>OpenFlow</w:t>
      </w:r>
      <w:r w:rsidRPr="00347A0B">
        <w:rPr>
          <w:rFonts w:cstheme="minorHAnsi"/>
        </w:rPr>
        <w:t> switches. Various scenarios are evaluated, and the findings validate results from earlier theoretical studies </w:t>
      </w:r>
      <w:r w:rsidRPr="00347A0B">
        <w:rPr>
          <w:rFonts w:cstheme="minorHAnsi"/>
          <w:i/>
          <w:iCs/>
        </w:rPr>
        <w:t>on</w:t>
      </w:r>
      <w:r w:rsidRPr="00347A0B">
        <w:rPr>
          <w:rFonts w:cstheme="minorHAnsi"/>
        </w:rPr>
        <w:t xml:space="preserve"> the benefit of using a-priori risk information and fast re-routing recovery. More importantly, this effort demonstrates the effectiveness of using SDN protocols to implement counter-EMP network recovery. As such, this testbed provides a vital operational facility to develop and evaluate further pre-fault/ post-fault EMP mitigation schemes. These efforts </w:t>
      </w:r>
      <w:proofErr w:type="spellStart"/>
      <w:r w:rsidRPr="00347A0B">
        <w:rPr>
          <w:rFonts w:cstheme="minorHAnsi"/>
        </w:rPr>
        <w:t>ca</w:t>
      </w:r>
      <w:r w:rsidRPr="00347A0B">
        <w:rPr>
          <w:rFonts w:cstheme="minorHAnsi"/>
          <w:i/>
          <w:iCs/>
        </w:rPr>
        <w:t>n</w:t>
      </w:r>
      <w:r w:rsidRPr="00347A0B">
        <w:rPr>
          <w:rFonts w:cstheme="minorHAnsi"/>
        </w:rPr>
        <w:t>include</w:t>
      </w:r>
      <w:proofErr w:type="spellEnd"/>
      <w:r w:rsidRPr="00347A0B">
        <w:rPr>
          <w:rFonts w:cstheme="minorHAnsi"/>
        </w:rPr>
        <w:t xml:space="preserve"> modified path recovery schemes, delayed cascading failure methods, expanded multi-domain disaster recovery methods, static network pre-design (EMP hardening), and post-fault repair strategies. The latter efforts ca</w:t>
      </w:r>
      <w:r w:rsidRPr="00347A0B">
        <w:rPr>
          <w:rFonts w:cstheme="minorHAnsi"/>
          <w:i/>
          <w:iCs/>
        </w:rPr>
        <w:t>n</w:t>
      </w:r>
      <w:r w:rsidRPr="00347A0B">
        <w:rPr>
          <w:rFonts w:cstheme="minorHAnsi"/>
        </w:rPr>
        <w:t> include rapid deployment of backup cellular and/or satellite communication assets to re-establish connectivity.</w:t>
      </w:r>
    </w:p>
    <w:p w14:paraId="4B6E64E6" w14:textId="77777777" w:rsidR="00331204" w:rsidRPr="00347A0B" w:rsidRDefault="00331204" w:rsidP="00D60CDF">
      <w:pPr>
        <w:pStyle w:val="Heading1"/>
      </w:pPr>
      <w:r w:rsidRPr="00347A0B">
        <w:t>ACKNOWLEDGMENT</w:t>
      </w:r>
    </w:p>
    <w:p w14:paraId="6521974E" w14:textId="5CE553AC" w:rsidR="00331204" w:rsidRDefault="00331204" w:rsidP="00347A0B">
      <w:pPr>
        <w:rPr>
          <w:rFonts w:cstheme="minorHAnsi"/>
        </w:rPr>
      </w:pPr>
      <w:r w:rsidRPr="00347A0B">
        <w:rPr>
          <w:rFonts w:cstheme="minorHAnsi"/>
        </w:rPr>
        <w:t>This work has been funded by the Defense Threat Reduction Agency (DTRA) under Grant HDTRA1-13-C-0027. The authors are very grateful for this support.</w:t>
      </w:r>
    </w:p>
    <w:p w14:paraId="64C7C692" w14:textId="330CAF81" w:rsidR="00D60CDF" w:rsidRDefault="00371A21" w:rsidP="00371A21">
      <w:pPr>
        <w:pStyle w:val="Heading1"/>
      </w:pPr>
      <w:r>
        <w:lastRenderedPageBreak/>
        <w:t>References</w:t>
      </w:r>
    </w:p>
    <w:p w14:paraId="4F19F3FF" w14:textId="77777777" w:rsidR="00371A21" w:rsidRPr="00371A21" w:rsidRDefault="00371A21" w:rsidP="00371A21">
      <w:pPr>
        <w:pStyle w:val="NoSpacing"/>
        <w:ind w:left="720" w:hanging="720"/>
      </w:pPr>
      <w:r w:rsidRPr="00371A21">
        <w:rPr>
          <w:b/>
          <w:bCs/>
        </w:rPr>
        <w:t>1.</w:t>
      </w:r>
      <w:r w:rsidRPr="00371A21">
        <w:t> S. Gladstone, P. Dolan, The Effects of Nuclear Weapons, United States Department of Defense and the Energy Research and Development Administration, 1977.</w:t>
      </w:r>
    </w:p>
    <w:p w14:paraId="204EBD75" w14:textId="77777777" w:rsidR="00371A21" w:rsidRPr="00371A21" w:rsidRDefault="00371A21" w:rsidP="00371A21">
      <w:pPr>
        <w:pStyle w:val="NoSpacing"/>
        <w:ind w:left="720" w:hanging="720"/>
      </w:pPr>
      <w:r w:rsidRPr="00371A21">
        <w:rPr>
          <w:b/>
          <w:bCs/>
        </w:rPr>
        <w:t>2.</w:t>
      </w:r>
      <w:r w:rsidRPr="00371A21">
        <w:t> S. Gladstone, P. Dolan, "Critical National Infrastructures" in Report of the Commission to Assess the Threat to the US from Electromagnetic Pulse (EMP) Attack, April 2008.</w:t>
      </w:r>
    </w:p>
    <w:p w14:paraId="75C0F20A" w14:textId="77777777" w:rsidR="00371A21" w:rsidRPr="00371A21" w:rsidRDefault="00371A21" w:rsidP="00371A21">
      <w:pPr>
        <w:pStyle w:val="NoSpacing"/>
        <w:ind w:left="720" w:hanging="720"/>
      </w:pPr>
      <w:r w:rsidRPr="00371A21">
        <w:rPr>
          <w:b/>
          <w:bCs/>
        </w:rPr>
        <w:t>3.</w:t>
      </w:r>
      <w:r w:rsidRPr="00371A21">
        <w:t xml:space="preserve"> M. </w:t>
      </w:r>
      <w:proofErr w:type="spellStart"/>
      <w:r w:rsidRPr="00371A21">
        <w:t>Naeini</w:t>
      </w:r>
      <w:proofErr w:type="spellEnd"/>
      <w:r w:rsidRPr="00371A21">
        <w:t xml:space="preserve"> et al., "Modeling Stochastic Correlated Failures and Their Effects on Network Reliability", </w:t>
      </w:r>
      <w:r w:rsidRPr="00371A21">
        <w:rPr>
          <w:i/>
          <w:iCs/>
        </w:rPr>
        <w:t>Proc. IEEE ICCCN 2011</w:t>
      </w:r>
      <w:r w:rsidRPr="00371A21">
        <w:t>, Aug. 2011.</w:t>
      </w:r>
    </w:p>
    <w:p w14:paraId="0B9586F1" w14:textId="77777777" w:rsidR="00371A21" w:rsidRPr="00371A21" w:rsidRDefault="00371A21" w:rsidP="00371A21">
      <w:pPr>
        <w:pStyle w:val="NoSpacing"/>
        <w:ind w:left="720" w:hanging="720"/>
      </w:pPr>
      <w:r w:rsidRPr="00371A21">
        <w:rPr>
          <w:b/>
          <w:bCs/>
        </w:rPr>
        <w:t>4.</w:t>
      </w:r>
      <w:r w:rsidRPr="00371A21">
        <w:t xml:space="preserve"> Q. She, X. Huang, J. </w:t>
      </w:r>
      <w:proofErr w:type="spellStart"/>
      <w:r w:rsidRPr="00371A21">
        <w:t>Jue</w:t>
      </w:r>
      <w:proofErr w:type="spellEnd"/>
      <w:r w:rsidRPr="00371A21">
        <w:t>, "Maximum Survivability Under Multiple Failures", </w:t>
      </w:r>
      <w:r w:rsidRPr="00371A21">
        <w:rPr>
          <w:i/>
          <w:iCs/>
        </w:rPr>
        <w:t>IEEE/OSA Optical Fiber Conf. (OFC) 2006</w:t>
      </w:r>
      <w:r w:rsidRPr="00371A21">
        <w:t>, Mar. 2006.</w:t>
      </w:r>
    </w:p>
    <w:p w14:paraId="3074A91B" w14:textId="77777777" w:rsidR="00371A21" w:rsidRPr="00371A21" w:rsidRDefault="00371A21" w:rsidP="00371A21">
      <w:pPr>
        <w:pStyle w:val="NoSpacing"/>
        <w:ind w:left="720" w:hanging="720"/>
      </w:pPr>
      <w:r w:rsidRPr="00371A21">
        <w:rPr>
          <w:b/>
          <w:bCs/>
        </w:rPr>
        <w:t>5.</w:t>
      </w:r>
      <w:r w:rsidRPr="00371A21">
        <w:t> H. Lee, E. Modiano, K. Lee, "Diverse Routing in Networks with Probabilistic Failures", </w:t>
      </w:r>
      <w:r w:rsidRPr="00371A21">
        <w:rPr>
          <w:i/>
          <w:iCs/>
        </w:rPr>
        <w:t>IEEE/ACM Trans. Networking</w:t>
      </w:r>
      <w:r w:rsidRPr="00371A21">
        <w:t>, vol. 18, no. 6, pp. 1895-1907, Dec. 2010.</w:t>
      </w:r>
    </w:p>
    <w:p w14:paraId="3301295F" w14:textId="77777777" w:rsidR="00371A21" w:rsidRPr="00371A21" w:rsidRDefault="00371A21" w:rsidP="00371A21">
      <w:pPr>
        <w:pStyle w:val="NoSpacing"/>
        <w:ind w:left="720" w:hanging="720"/>
      </w:pPr>
      <w:r w:rsidRPr="00371A21">
        <w:rPr>
          <w:b/>
          <w:bCs/>
        </w:rPr>
        <w:t>6.</w:t>
      </w:r>
      <w:r w:rsidRPr="00371A21">
        <w:t> O. Diaz et al., "Network Survivability for Multiple Probabilistic Failures", </w:t>
      </w:r>
      <w:r w:rsidRPr="00371A21">
        <w:rPr>
          <w:i/>
          <w:iCs/>
        </w:rPr>
        <w:t xml:space="preserve">IEEE </w:t>
      </w:r>
      <w:proofErr w:type="spellStart"/>
      <w:r w:rsidRPr="00371A21">
        <w:rPr>
          <w:i/>
          <w:iCs/>
        </w:rPr>
        <w:t>Commun</w:t>
      </w:r>
      <w:proofErr w:type="spellEnd"/>
      <w:r w:rsidRPr="00371A21">
        <w:rPr>
          <w:i/>
          <w:iCs/>
        </w:rPr>
        <w:t>. Lett.</w:t>
      </w:r>
      <w:r w:rsidRPr="00371A21">
        <w:t>, vol. 16, no. 8, pp. 1320-23, 2012.</w:t>
      </w:r>
    </w:p>
    <w:p w14:paraId="775DBD9F" w14:textId="77777777" w:rsidR="00371A21" w:rsidRPr="00371A21" w:rsidRDefault="00371A21" w:rsidP="00371A21">
      <w:pPr>
        <w:pStyle w:val="NoSpacing"/>
        <w:ind w:left="720" w:hanging="720"/>
      </w:pPr>
      <w:r w:rsidRPr="00371A21">
        <w:rPr>
          <w:b/>
          <w:bCs/>
        </w:rPr>
        <w:t>7.</w:t>
      </w:r>
      <w:r w:rsidRPr="00371A21">
        <w:t xml:space="preserve"> N. Ghani, M. Peng, A. </w:t>
      </w:r>
      <w:proofErr w:type="spellStart"/>
      <w:r w:rsidRPr="00371A21">
        <w:t>Rayes</w:t>
      </w:r>
      <w:proofErr w:type="spellEnd"/>
      <w:r w:rsidRPr="00371A21">
        <w:t xml:space="preserve">, N. </w:t>
      </w:r>
      <w:proofErr w:type="spellStart"/>
      <w:r w:rsidRPr="00371A21">
        <w:t>Anto-niades</w:t>
      </w:r>
      <w:proofErr w:type="spellEnd"/>
      <w:r w:rsidRPr="00371A21">
        <w:t xml:space="preserve">, G. </w:t>
      </w:r>
      <w:proofErr w:type="spellStart"/>
      <w:r w:rsidRPr="00371A21">
        <w:t>Ellinas</w:t>
      </w:r>
      <w:proofErr w:type="spellEnd"/>
      <w:r w:rsidRPr="00371A21">
        <w:t xml:space="preserve">, I. </w:t>
      </w:r>
      <w:proofErr w:type="spellStart"/>
      <w:r w:rsidRPr="00371A21">
        <w:t>Roudas</w:t>
      </w:r>
      <w:proofErr w:type="spellEnd"/>
      <w:r w:rsidRPr="00371A21">
        <w:t>, "Service Provisioning and Survivability in Multi-Domain Optical Networks" in Design and Engineering of WDM Systems and Networks, Springer, pp. 481-519, 2011.</w:t>
      </w:r>
    </w:p>
    <w:p w14:paraId="6031D407" w14:textId="77777777" w:rsidR="00371A21" w:rsidRPr="00371A21" w:rsidRDefault="00371A21" w:rsidP="00371A21">
      <w:pPr>
        <w:pStyle w:val="NoSpacing"/>
        <w:ind w:left="720" w:hanging="720"/>
      </w:pPr>
      <w:r w:rsidRPr="00371A21">
        <w:rPr>
          <w:b/>
          <w:bCs/>
        </w:rPr>
        <w:t>8.</w:t>
      </w:r>
      <w:r w:rsidRPr="00371A21">
        <w:t xml:space="preserve"> S. </w:t>
      </w:r>
      <w:proofErr w:type="spellStart"/>
      <w:r w:rsidRPr="00371A21">
        <w:t>Buldyrev</w:t>
      </w:r>
      <w:proofErr w:type="spellEnd"/>
      <w:r w:rsidRPr="00371A21">
        <w:t xml:space="preserve"> et al., "Catastrophic Cascade of Failures in Interdependent Networks", </w:t>
      </w:r>
      <w:r w:rsidRPr="00371A21">
        <w:rPr>
          <w:i/>
          <w:iCs/>
        </w:rPr>
        <w:t>Nature</w:t>
      </w:r>
      <w:r w:rsidRPr="00371A21">
        <w:t>, vol. 464, pp. 1025-28, Apr. 2010.</w:t>
      </w:r>
    </w:p>
    <w:p w14:paraId="7BECA366" w14:textId="77777777" w:rsidR="00371A21" w:rsidRPr="00371A21" w:rsidRDefault="00371A21" w:rsidP="00371A21">
      <w:pPr>
        <w:pStyle w:val="NoSpacing"/>
        <w:ind w:left="720" w:hanging="720"/>
      </w:pPr>
      <w:r w:rsidRPr="00371A21">
        <w:rPr>
          <w:b/>
          <w:bCs/>
        </w:rPr>
        <w:t>9.</w:t>
      </w:r>
      <w:r w:rsidRPr="00371A21">
        <w:t> P. Agarwal et al., "The Resilience of WDM Networks to Probabilistic Geographical Failures", </w:t>
      </w:r>
      <w:r w:rsidRPr="00371A21">
        <w:rPr>
          <w:i/>
          <w:iCs/>
        </w:rPr>
        <w:t>IEEE/ACM Trans. Networking</w:t>
      </w:r>
      <w:r w:rsidRPr="00371A21">
        <w:t>, vol. 21, no. 5, pp. 1525-38, Oct. 2013.</w:t>
      </w:r>
    </w:p>
    <w:p w14:paraId="45E5EF42" w14:textId="77777777" w:rsidR="00371A21" w:rsidRPr="00371A21" w:rsidRDefault="00371A21" w:rsidP="00371A21">
      <w:pPr>
        <w:pStyle w:val="NoSpacing"/>
        <w:ind w:left="720" w:hanging="720"/>
      </w:pPr>
      <w:r w:rsidRPr="00371A21">
        <w:rPr>
          <w:b/>
          <w:bCs/>
        </w:rPr>
        <w:t>10.</w:t>
      </w:r>
      <w:r w:rsidRPr="00371A21">
        <w:t xml:space="preserve"> B. Nunes et al., "A Survey of Software-Defined Networking: Past Present and Future of Programmable Networks" in IEEE </w:t>
      </w:r>
      <w:proofErr w:type="spellStart"/>
      <w:r w:rsidRPr="00371A21">
        <w:t>Commun</w:t>
      </w:r>
      <w:proofErr w:type="spellEnd"/>
      <w:r w:rsidRPr="00371A21">
        <w:t>. Surveys &amp; Tutorials, pp. 1617-34, 3rd Quarter, Feb. 2014.</w:t>
      </w:r>
    </w:p>
    <w:p w14:paraId="455060EB" w14:textId="77777777" w:rsidR="00371A21" w:rsidRPr="00371A21" w:rsidRDefault="00371A21" w:rsidP="00371A21">
      <w:pPr>
        <w:pStyle w:val="NoSpacing"/>
        <w:ind w:left="720" w:hanging="720"/>
      </w:pPr>
      <w:r w:rsidRPr="00371A21">
        <w:rPr>
          <w:b/>
          <w:bCs/>
        </w:rPr>
        <w:t>11.</w:t>
      </w:r>
      <w:r w:rsidRPr="00371A21">
        <w:t> P. Lin et al., "A West-East Bridge Based SDN Inter-Domain Testbed", </w:t>
      </w:r>
      <w:r w:rsidRPr="00371A21">
        <w:rPr>
          <w:i/>
          <w:iCs/>
        </w:rPr>
        <w:t xml:space="preserve">IEEE </w:t>
      </w:r>
      <w:proofErr w:type="spellStart"/>
      <w:r w:rsidRPr="00371A21">
        <w:rPr>
          <w:i/>
          <w:iCs/>
        </w:rPr>
        <w:t>Commun</w:t>
      </w:r>
      <w:proofErr w:type="spellEnd"/>
      <w:r w:rsidRPr="00371A21">
        <w:rPr>
          <w:i/>
          <w:iCs/>
        </w:rPr>
        <w:t>. Mag.</w:t>
      </w:r>
      <w:r w:rsidRPr="00371A21">
        <w:t>, vol. 53, no. 2, pp. 190-97, Feb. 2015.</w:t>
      </w:r>
    </w:p>
    <w:p w14:paraId="015A12CD" w14:textId="77777777" w:rsidR="00371A21" w:rsidRPr="00371A21" w:rsidRDefault="00371A21" w:rsidP="00371A21">
      <w:pPr>
        <w:pStyle w:val="NoSpacing"/>
        <w:ind w:left="720" w:hanging="720"/>
      </w:pPr>
      <w:r w:rsidRPr="00371A21">
        <w:rPr>
          <w:b/>
          <w:bCs/>
        </w:rPr>
        <w:t>12.</w:t>
      </w:r>
      <w:r w:rsidRPr="00371A21">
        <w:t xml:space="preserve"> M. Menth et al., "Resilient Integration of Distributed High-Performance Zones into the </w:t>
      </w:r>
      <w:proofErr w:type="spellStart"/>
      <w:r w:rsidRPr="00371A21">
        <w:t>BelWue</w:t>
      </w:r>
      <w:proofErr w:type="spellEnd"/>
      <w:r w:rsidRPr="00371A21">
        <w:t xml:space="preserve"> Network Using OpenFlow", </w:t>
      </w:r>
      <w:r w:rsidRPr="00371A21">
        <w:rPr>
          <w:i/>
          <w:iCs/>
        </w:rPr>
        <w:t xml:space="preserve">IEEE </w:t>
      </w:r>
      <w:proofErr w:type="spellStart"/>
      <w:r w:rsidRPr="00371A21">
        <w:rPr>
          <w:i/>
          <w:iCs/>
        </w:rPr>
        <w:t>Commun</w:t>
      </w:r>
      <w:proofErr w:type="spellEnd"/>
      <w:r w:rsidRPr="00371A21">
        <w:rPr>
          <w:i/>
          <w:iCs/>
        </w:rPr>
        <w:t>. Mag.</w:t>
      </w:r>
      <w:r w:rsidRPr="00371A21">
        <w:t>, vol. 55, no. 4, pp. 94-99, Apr. 2017.</w:t>
      </w:r>
    </w:p>
    <w:p w14:paraId="695C9721" w14:textId="77777777" w:rsidR="00371A21" w:rsidRPr="00371A21" w:rsidRDefault="00371A21" w:rsidP="00371A21">
      <w:pPr>
        <w:pStyle w:val="NoSpacing"/>
        <w:ind w:left="720" w:hanging="720"/>
      </w:pPr>
      <w:r w:rsidRPr="00371A21">
        <w:rPr>
          <w:b/>
          <w:bCs/>
        </w:rPr>
        <w:t>13.</w:t>
      </w:r>
      <w:r w:rsidRPr="00371A21">
        <w:t> D. Suh et al., "Toward Highly Available and Scalable Software Defined Networks for Service Providers", </w:t>
      </w:r>
      <w:r w:rsidRPr="00371A21">
        <w:rPr>
          <w:i/>
          <w:iCs/>
        </w:rPr>
        <w:t xml:space="preserve">IEEE </w:t>
      </w:r>
      <w:proofErr w:type="spellStart"/>
      <w:r w:rsidRPr="00371A21">
        <w:rPr>
          <w:i/>
          <w:iCs/>
        </w:rPr>
        <w:t>Commun</w:t>
      </w:r>
      <w:proofErr w:type="spellEnd"/>
      <w:r w:rsidRPr="00371A21">
        <w:rPr>
          <w:i/>
          <w:iCs/>
        </w:rPr>
        <w:t>. Mag.</w:t>
      </w:r>
      <w:r w:rsidRPr="00371A21">
        <w:t>, vol. 55, no. 4, pp. 100-07, Apr. 2017.</w:t>
      </w:r>
    </w:p>
    <w:p w14:paraId="5593866D" w14:textId="77777777" w:rsidR="00371A21" w:rsidRPr="00371A21" w:rsidRDefault="00371A21" w:rsidP="00371A21">
      <w:pPr>
        <w:pStyle w:val="NoSpacing"/>
        <w:ind w:left="720" w:hanging="720"/>
      </w:pPr>
      <w:r w:rsidRPr="00371A21">
        <w:rPr>
          <w:b/>
          <w:bCs/>
        </w:rPr>
        <w:t>14.</w:t>
      </w:r>
      <w:r w:rsidRPr="00371A21">
        <w:t> J. Ham et al., "Network Markup Language Base Schema Version 1" in Open Grid Forum, 2013.</w:t>
      </w:r>
    </w:p>
    <w:p w14:paraId="5D996D30" w14:textId="77777777" w:rsidR="00371A21" w:rsidRPr="00371A21" w:rsidRDefault="00371A21" w:rsidP="00371A21">
      <w:pPr>
        <w:pStyle w:val="NoSpacing"/>
        <w:ind w:left="720" w:hanging="720"/>
      </w:pPr>
      <w:r w:rsidRPr="00371A21">
        <w:rPr>
          <w:b/>
          <w:bCs/>
        </w:rPr>
        <w:t>15.</w:t>
      </w:r>
      <w:r w:rsidRPr="00371A21">
        <w:t xml:space="preserve"> G. Clapp et al., "Management of Switched Systems at 100 </w:t>
      </w:r>
      <w:proofErr w:type="spellStart"/>
      <w:r w:rsidRPr="00371A21">
        <w:t>Tbps</w:t>
      </w:r>
      <w:proofErr w:type="spellEnd"/>
      <w:r w:rsidRPr="00371A21">
        <w:t>: The DARPA CORONET Program", </w:t>
      </w:r>
      <w:r w:rsidRPr="00371A21">
        <w:rPr>
          <w:i/>
          <w:iCs/>
        </w:rPr>
        <w:t>Proc. Intl Conf. Photonics in Switching 2009 (PS 2009)</w:t>
      </w:r>
      <w:r w:rsidRPr="00371A21">
        <w:t>, Sept. 2009.</w:t>
      </w:r>
    </w:p>
    <w:p w14:paraId="08B5C754" w14:textId="77777777" w:rsidR="00371A21" w:rsidRPr="00347A0B" w:rsidRDefault="00371A21" w:rsidP="00347A0B">
      <w:pPr>
        <w:rPr>
          <w:rFonts w:cstheme="minorHAnsi"/>
        </w:rPr>
      </w:pPr>
    </w:p>
    <w:p w14:paraId="3A02794B" w14:textId="77777777" w:rsidR="00331204" w:rsidRPr="00347A0B" w:rsidRDefault="00331204" w:rsidP="00347A0B">
      <w:pPr>
        <w:rPr>
          <w:rFonts w:cstheme="minorHAnsi"/>
        </w:rPr>
      </w:pPr>
    </w:p>
    <w:sectPr w:rsidR="00331204" w:rsidRPr="00347A0B"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yH6DK0ov845BQjvSd2IHLch15v5xcnfmT/g1j8zMmo0FZ2ov5ST22iqzJgtvNf1c+slJxZAPBlPbs7u0L6OZew==" w:salt="Z1gi748SXEiDn44WtgCLG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09A1"/>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1FC9"/>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1852"/>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204"/>
    <w:rsid w:val="00331737"/>
    <w:rsid w:val="0033243D"/>
    <w:rsid w:val="0033652E"/>
    <w:rsid w:val="00340617"/>
    <w:rsid w:val="00340B13"/>
    <w:rsid w:val="00340CDB"/>
    <w:rsid w:val="003427C6"/>
    <w:rsid w:val="00343472"/>
    <w:rsid w:val="003455AA"/>
    <w:rsid w:val="00347634"/>
    <w:rsid w:val="00347A0B"/>
    <w:rsid w:val="00351E90"/>
    <w:rsid w:val="00360206"/>
    <w:rsid w:val="003624EE"/>
    <w:rsid w:val="003632E1"/>
    <w:rsid w:val="00363CD3"/>
    <w:rsid w:val="003656A9"/>
    <w:rsid w:val="00366852"/>
    <w:rsid w:val="003706EF"/>
    <w:rsid w:val="00370BE4"/>
    <w:rsid w:val="00371A21"/>
    <w:rsid w:val="00371D56"/>
    <w:rsid w:val="0037755D"/>
    <w:rsid w:val="00381F0E"/>
    <w:rsid w:val="0038549B"/>
    <w:rsid w:val="0038628A"/>
    <w:rsid w:val="0038634F"/>
    <w:rsid w:val="00391C48"/>
    <w:rsid w:val="00394337"/>
    <w:rsid w:val="003A38A5"/>
    <w:rsid w:val="003A437A"/>
    <w:rsid w:val="003A503E"/>
    <w:rsid w:val="003A6039"/>
    <w:rsid w:val="003B47FA"/>
    <w:rsid w:val="003B6208"/>
    <w:rsid w:val="003B7F8F"/>
    <w:rsid w:val="003C4172"/>
    <w:rsid w:val="003C437D"/>
    <w:rsid w:val="003C4456"/>
    <w:rsid w:val="003D3301"/>
    <w:rsid w:val="003D4641"/>
    <w:rsid w:val="003E05B7"/>
    <w:rsid w:val="003E0C0A"/>
    <w:rsid w:val="003E3822"/>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0ADE"/>
    <w:rsid w:val="004B2226"/>
    <w:rsid w:val="004B6BED"/>
    <w:rsid w:val="004B77C2"/>
    <w:rsid w:val="004C0B3D"/>
    <w:rsid w:val="004C2D7B"/>
    <w:rsid w:val="004C45D2"/>
    <w:rsid w:val="004C5EEF"/>
    <w:rsid w:val="004D118A"/>
    <w:rsid w:val="004D1CB9"/>
    <w:rsid w:val="004D21C9"/>
    <w:rsid w:val="004E34F8"/>
    <w:rsid w:val="004E3C84"/>
    <w:rsid w:val="004E528B"/>
    <w:rsid w:val="004F002F"/>
    <w:rsid w:val="004F146C"/>
    <w:rsid w:val="004F1F3C"/>
    <w:rsid w:val="0050408D"/>
    <w:rsid w:val="00504C6A"/>
    <w:rsid w:val="00510364"/>
    <w:rsid w:val="005116C9"/>
    <w:rsid w:val="00511BEE"/>
    <w:rsid w:val="005175E9"/>
    <w:rsid w:val="00520368"/>
    <w:rsid w:val="005251AD"/>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3003"/>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9BA"/>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16E7"/>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41E1"/>
    <w:rsid w:val="009E56AC"/>
    <w:rsid w:val="009E56AF"/>
    <w:rsid w:val="009E678D"/>
    <w:rsid w:val="009F047E"/>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75609"/>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21A3"/>
    <w:rsid w:val="00BD439F"/>
    <w:rsid w:val="00BD4F14"/>
    <w:rsid w:val="00BE1DF2"/>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0E53"/>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18F"/>
    <w:rsid w:val="00D45330"/>
    <w:rsid w:val="00D45705"/>
    <w:rsid w:val="00D45A48"/>
    <w:rsid w:val="00D45DB8"/>
    <w:rsid w:val="00D45FAE"/>
    <w:rsid w:val="00D505CD"/>
    <w:rsid w:val="00D50821"/>
    <w:rsid w:val="00D52D25"/>
    <w:rsid w:val="00D539E6"/>
    <w:rsid w:val="00D60CDF"/>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2411"/>
    <w:rsid w:val="00E43654"/>
    <w:rsid w:val="00E459FA"/>
    <w:rsid w:val="00E45A4B"/>
    <w:rsid w:val="00E46996"/>
    <w:rsid w:val="00E50522"/>
    <w:rsid w:val="00E52F87"/>
    <w:rsid w:val="00E6120D"/>
    <w:rsid w:val="00E61D06"/>
    <w:rsid w:val="00E7043E"/>
    <w:rsid w:val="00E747D9"/>
    <w:rsid w:val="00E75D5D"/>
    <w:rsid w:val="00E766CA"/>
    <w:rsid w:val="00E81F85"/>
    <w:rsid w:val="00E8346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31204"/>
    <w:rPr>
      <w:color w:val="0000FF"/>
      <w:u w:val="single"/>
    </w:rPr>
  </w:style>
  <w:style w:type="character" w:customStyle="1" w:styleId="publisher-info-label">
    <w:name w:val="publisher-info-label"/>
    <w:basedOn w:val="DefaultParagraphFont"/>
    <w:rsid w:val="00331204"/>
  </w:style>
  <w:style w:type="paragraph" w:styleId="NormalWeb">
    <w:name w:val="Normal (Web)"/>
    <w:basedOn w:val="Normal"/>
    <w:uiPriority w:val="99"/>
    <w:semiHidden/>
    <w:unhideWhenUsed/>
    <w:rsid w:val="003312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ks">
    <w:name w:val="links"/>
    <w:basedOn w:val="Normal"/>
    <w:rsid w:val="0033120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o">
    <w:name w:val="mo"/>
    <w:basedOn w:val="DefaultParagraphFont"/>
    <w:rsid w:val="00331204"/>
  </w:style>
  <w:style w:type="character" w:customStyle="1" w:styleId="mi">
    <w:name w:val="mi"/>
    <w:basedOn w:val="DefaultParagraphFont"/>
    <w:rsid w:val="00331204"/>
  </w:style>
  <w:style w:type="character" w:customStyle="1" w:styleId="mn">
    <w:name w:val="mn"/>
    <w:basedOn w:val="DefaultParagraphFont"/>
    <w:rsid w:val="00331204"/>
  </w:style>
  <w:style w:type="character" w:styleId="UnresolvedMention">
    <w:name w:val="Unresolved Mention"/>
    <w:basedOn w:val="DefaultParagraphFont"/>
    <w:uiPriority w:val="99"/>
    <w:semiHidden/>
    <w:unhideWhenUsed/>
    <w:rsid w:val="00E83465"/>
    <w:rPr>
      <w:color w:val="605E5C"/>
      <w:shd w:val="clear" w:color="auto" w:fill="E1DFDD"/>
    </w:rPr>
  </w:style>
  <w:style w:type="paragraph" w:styleId="BodyText">
    <w:name w:val="Body Text"/>
    <w:basedOn w:val="Normal"/>
    <w:link w:val="BodyTextChar"/>
    <w:uiPriority w:val="99"/>
    <w:semiHidden/>
    <w:unhideWhenUsed/>
    <w:rsid w:val="00E83465"/>
    <w:pPr>
      <w:spacing w:after="120"/>
    </w:pPr>
  </w:style>
  <w:style w:type="character" w:customStyle="1" w:styleId="BodyTextChar">
    <w:name w:val="Body Text Char"/>
    <w:basedOn w:val="DefaultParagraphFont"/>
    <w:link w:val="BodyText"/>
    <w:uiPriority w:val="99"/>
    <w:semiHidden/>
    <w:rsid w:val="00E83465"/>
  </w:style>
  <w:style w:type="paragraph" w:customStyle="1" w:styleId="TableParagraph">
    <w:name w:val="Table Paragraph"/>
    <w:basedOn w:val="Normal"/>
    <w:uiPriority w:val="1"/>
    <w:qFormat/>
    <w:rsid w:val="00E83465"/>
    <w:pPr>
      <w:autoSpaceDE w:val="0"/>
      <w:autoSpaceDN w:val="0"/>
      <w:adjustRightInd w:val="0"/>
      <w:spacing w:before="65" w:after="0" w:line="240" w:lineRule="auto"/>
    </w:pPr>
    <w:rPr>
      <w:rFonts w:ascii="Arial Narrow" w:hAnsi="Arial Narrow" w:cs="Arial Narro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0845826">
      <w:bodyDiv w:val="1"/>
      <w:marLeft w:val="0"/>
      <w:marRight w:val="0"/>
      <w:marTop w:val="0"/>
      <w:marBottom w:val="0"/>
      <w:divBdr>
        <w:top w:val="none" w:sz="0" w:space="0" w:color="auto"/>
        <w:left w:val="none" w:sz="0" w:space="0" w:color="auto"/>
        <w:bottom w:val="none" w:sz="0" w:space="0" w:color="auto"/>
        <w:right w:val="none" w:sz="0" w:space="0" w:color="auto"/>
      </w:divBdr>
    </w:div>
    <w:div w:id="655303482">
      <w:bodyDiv w:val="1"/>
      <w:marLeft w:val="0"/>
      <w:marRight w:val="0"/>
      <w:marTop w:val="0"/>
      <w:marBottom w:val="0"/>
      <w:divBdr>
        <w:top w:val="none" w:sz="0" w:space="0" w:color="auto"/>
        <w:left w:val="none" w:sz="0" w:space="0" w:color="auto"/>
        <w:bottom w:val="none" w:sz="0" w:space="0" w:color="auto"/>
        <w:right w:val="none" w:sz="0" w:space="0" w:color="auto"/>
      </w:divBdr>
      <w:divsChild>
        <w:div w:id="1135875292">
          <w:marLeft w:val="0"/>
          <w:marRight w:val="0"/>
          <w:marTop w:val="0"/>
          <w:marBottom w:val="0"/>
          <w:divBdr>
            <w:top w:val="none" w:sz="0" w:space="0" w:color="auto"/>
            <w:left w:val="none" w:sz="0" w:space="0" w:color="auto"/>
            <w:bottom w:val="single" w:sz="6" w:space="12" w:color="DDDDDD"/>
            <w:right w:val="none" w:sz="0" w:space="0" w:color="auto"/>
          </w:divBdr>
          <w:divsChild>
            <w:div w:id="1250306206">
              <w:marLeft w:val="0"/>
              <w:marRight w:val="0"/>
              <w:marTop w:val="0"/>
              <w:marBottom w:val="0"/>
              <w:divBdr>
                <w:top w:val="none" w:sz="0" w:space="0" w:color="auto"/>
                <w:left w:val="none" w:sz="0" w:space="0" w:color="auto"/>
                <w:bottom w:val="none" w:sz="0" w:space="0" w:color="auto"/>
                <w:right w:val="none" w:sz="0" w:space="0" w:color="auto"/>
              </w:divBdr>
              <w:divsChild>
                <w:div w:id="737362604">
                  <w:marLeft w:val="0"/>
                  <w:marRight w:val="0"/>
                  <w:marTop w:val="0"/>
                  <w:marBottom w:val="0"/>
                  <w:divBdr>
                    <w:top w:val="none" w:sz="0" w:space="0" w:color="auto"/>
                    <w:left w:val="none" w:sz="0" w:space="0" w:color="auto"/>
                    <w:bottom w:val="none" w:sz="0" w:space="0" w:color="auto"/>
                    <w:right w:val="none" w:sz="0" w:space="0" w:color="auto"/>
                  </w:divBdr>
                  <w:divsChild>
                    <w:div w:id="166319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233951">
          <w:marLeft w:val="0"/>
          <w:marRight w:val="0"/>
          <w:marTop w:val="0"/>
          <w:marBottom w:val="0"/>
          <w:divBdr>
            <w:top w:val="none" w:sz="0" w:space="0" w:color="auto"/>
            <w:left w:val="none" w:sz="0" w:space="0" w:color="auto"/>
            <w:bottom w:val="single" w:sz="6" w:space="12" w:color="DDDDDD"/>
            <w:right w:val="none" w:sz="0" w:space="0" w:color="auto"/>
          </w:divBdr>
          <w:divsChild>
            <w:div w:id="1414818933">
              <w:marLeft w:val="0"/>
              <w:marRight w:val="0"/>
              <w:marTop w:val="0"/>
              <w:marBottom w:val="0"/>
              <w:divBdr>
                <w:top w:val="none" w:sz="0" w:space="0" w:color="auto"/>
                <w:left w:val="none" w:sz="0" w:space="0" w:color="auto"/>
                <w:bottom w:val="none" w:sz="0" w:space="0" w:color="auto"/>
                <w:right w:val="none" w:sz="0" w:space="0" w:color="auto"/>
              </w:divBdr>
              <w:divsChild>
                <w:div w:id="1539120833">
                  <w:marLeft w:val="0"/>
                  <w:marRight w:val="0"/>
                  <w:marTop w:val="0"/>
                  <w:marBottom w:val="0"/>
                  <w:divBdr>
                    <w:top w:val="none" w:sz="0" w:space="0" w:color="auto"/>
                    <w:left w:val="none" w:sz="0" w:space="0" w:color="auto"/>
                    <w:bottom w:val="none" w:sz="0" w:space="0" w:color="auto"/>
                    <w:right w:val="none" w:sz="0" w:space="0" w:color="auto"/>
                  </w:divBdr>
                  <w:divsChild>
                    <w:div w:id="1328560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5591687">
          <w:marLeft w:val="0"/>
          <w:marRight w:val="0"/>
          <w:marTop w:val="0"/>
          <w:marBottom w:val="0"/>
          <w:divBdr>
            <w:top w:val="none" w:sz="0" w:space="0" w:color="auto"/>
            <w:left w:val="none" w:sz="0" w:space="0" w:color="auto"/>
            <w:bottom w:val="single" w:sz="6" w:space="12" w:color="DDDDDD"/>
            <w:right w:val="none" w:sz="0" w:space="0" w:color="auto"/>
          </w:divBdr>
          <w:divsChild>
            <w:div w:id="1607539963">
              <w:marLeft w:val="0"/>
              <w:marRight w:val="0"/>
              <w:marTop w:val="0"/>
              <w:marBottom w:val="0"/>
              <w:divBdr>
                <w:top w:val="none" w:sz="0" w:space="0" w:color="auto"/>
                <w:left w:val="none" w:sz="0" w:space="0" w:color="auto"/>
                <w:bottom w:val="none" w:sz="0" w:space="0" w:color="auto"/>
                <w:right w:val="none" w:sz="0" w:space="0" w:color="auto"/>
              </w:divBdr>
              <w:divsChild>
                <w:div w:id="1652758155">
                  <w:marLeft w:val="0"/>
                  <w:marRight w:val="0"/>
                  <w:marTop w:val="0"/>
                  <w:marBottom w:val="0"/>
                  <w:divBdr>
                    <w:top w:val="none" w:sz="0" w:space="0" w:color="auto"/>
                    <w:left w:val="none" w:sz="0" w:space="0" w:color="auto"/>
                    <w:bottom w:val="none" w:sz="0" w:space="0" w:color="auto"/>
                    <w:right w:val="none" w:sz="0" w:space="0" w:color="auto"/>
                  </w:divBdr>
                  <w:divsChild>
                    <w:div w:id="180515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124248">
          <w:marLeft w:val="0"/>
          <w:marRight w:val="0"/>
          <w:marTop w:val="0"/>
          <w:marBottom w:val="0"/>
          <w:divBdr>
            <w:top w:val="none" w:sz="0" w:space="0" w:color="auto"/>
            <w:left w:val="none" w:sz="0" w:space="0" w:color="auto"/>
            <w:bottom w:val="single" w:sz="6" w:space="12" w:color="DDDDDD"/>
            <w:right w:val="none" w:sz="0" w:space="0" w:color="auto"/>
          </w:divBdr>
          <w:divsChild>
            <w:div w:id="343899932">
              <w:marLeft w:val="0"/>
              <w:marRight w:val="0"/>
              <w:marTop w:val="0"/>
              <w:marBottom w:val="0"/>
              <w:divBdr>
                <w:top w:val="none" w:sz="0" w:space="0" w:color="auto"/>
                <w:left w:val="none" w:sz="0" w:space="0" w:color="auto"/>
                <w:bottom w:val="none" w:sz="0" w:space="0" w:color="auto"/>
                <w:right w:val="none" w:sz="0" w:space="0" w:color="auto"/>
              </w:divBdr>
              <w:divsChild>
                <w:div w:id="1357120009">
                  <w:marLeft w:val="0"/>
                  <w:marRight w:val="0"/>
                  <w:marTop w:val="0"/>
                  <w:marBottom w:val="0"/>
                  <w:divBdr>
                    <w:top w:val="none" w:sz="0" w:space="0" w:color="auto"/>
                    <w:left w:val="none" w:sz="0" w:space="0" w:color="auto"/>
                    <w:bottom w:val="none" w:sz="0" w:space="0" w:color="auto"/>
                    <w:right w:val="none" w:sz="0" w:space="0" w:color="auto"/>
                  </w:divBdr>
                  <w:divsChild>
                    <w:div w:id="34853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126485">
          <w:marLeft w:val="0"/>
          <w:marRight w:val="0"/>
          <w:marTop w:val="0"/>
          <w:marBottom w:val="0"/>
          <w:divBdr>
            <w:top w:val="none" w:sz="0" w:space="0" w:color="auto"/>
            <w:left w:val="none" w:sz="0" w:space="0" w:color="auto"/>
            <w:bottom w:val="single" w:sz="6" w:space="12" w:color="DDDDDD"/>
            <w:right w:val="none" w:sz="0" w:space="0" w:color="auto"/>
          </w:divBdr>
          <w:divsChild>
            <w:div w:id="1264266038">
              <w:marLeft w:val="0"/>
              <w:marRight w:val="0"/>
              <w:marTop w:val="0"/>
              <w:marBottom w:val="0"/>
              <w:divBdr>
                <w:top w:val="none" w:sz="0" w:space="0" w:color="auto"/>
                <w:left w:val="none" w:sz="0" w:space="0" w:color="auto"/>
                <w:bottom w:val="none" w:sz="0" w:space="0" w:color="auto"/>
                <w:right w:val="none" w:sz="0" w:space="0" w:color="auto"/>
              </w:divBdr>
              <w:divsChild>
                <w:div w:id="1270773423">
                  <w:marLeft w:val="0"/>
                  <w:marRight w:val="0"/>
                  <w:marTop w:val="0"/>
                  <w:marBottom w:val="0"/>
                  <w:divBdr>
                    <w:top w:val="none" w:sz="0" w:space="0" w:color="auto"/>
                    <w:left w:val="none" w:sz="0" w:space="0" w:color="auto"/>
                    <w:bottom w:val="none" w:sz="0" w:space="0" w:color="auto"/>
                    <w:right w:val="none" w:sz="0" w:space="0" w:color="auto"/>
                  </w:divBdr>
                  <w:divsChild>
                    <w:div w:id="943151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541264">
          <w:marLeft w:val="0"/>
          <w:marRight w:val="0"/>
          <w:marTop w:val="0"/>
          <w:marBottom w:val="0"/>
          <w:divBdr>
            <w:top w:val="none" w:sz="0" w:space="0" w:color="auto"/>
            <w:left w:val="none" w:sz="0" w:space="0" w:color="auto"/>
            <w:bottom w:val="single" w:sz="6" w:space="12" w:color="DDDDDD"/>
            <w:right w:val="none" w:sz="0" w:space="0" w:color="auto"/>
          </w:divBdr>
          <w:divsChild>
            <w:div w:id="1488203047">
              <w:marLeft w:val="0"/>
              <w:marRight w:val="0"/>
              <w:marTop w:val="0"/>
              <w:marBottom w:val="0"/>
              <w:divBdr>
                <w:top w:val="none" w:sz="0" w:space="0" w:color="auto"/>
                <w:left w:val="none" w:sz="0" w:space="0" w:color="auto"/>
                <w:bottom w:val="none" w:sz="0" w:space="0" w:color="auto"/>
                <w:right w:val="none" w:sz="0" w:space="0" w:color="auto"/>
              </w:divBdr>
              <w:divsChild>
                <w:div w:id="1304576907">
                  <w:marLeft w:val="0"/>
                  <w:marRight w:val="0"/>
                  <w:marTop w:val="0"/>
                  <w:marBottom w:val="0"/>
                  <w:divBdr>
                    <w:top w:val="none" w:sz="0" w:space="0" w:color="auto"/>
                    <w:left w:val="none" w:sz="0" w:space="0" w:color="auto"/>
                    <w:bottom w:val="none" w:sz="0" w:space="0" w:color="auto"/>
                    <w:right w:val="none" w:sz="0" w:space="0" w:color="auto"/>
                  </w:divBdr>
                  <w:divsChild>
                    <w:div w:id="1526211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8452341">
          <w:marLeft w:val="0"/>
          <w:marRight w:val="0"/>
          <w:marTop w:val="0"/>
          <w:marBottom w:val="0"/>
          <w:divBdr>
            <w:top w:val="none" w:sz="0" w:space="0" w:color="auto"/>
            <w:left w:val="none" w:sz="0" w:space="0" w:color="auto"/>
            <w:bottom w:val="single" w:sz="6" w:space="12" w:color="DDDDDD"/>
            <w:right w:val="none" w:sz="0" w:space="0" w:color="auto"/>
          </w:divBdr>
          <w:divsChild>
            <w:div w:id="2064477603">
              <w:marLeft w:val="0"/>
              <w:marRight w:val="0"/>
              <w:marTop w:val="0"/>
              <w:marBottom w:val="0"/>
              <w:divBdr>
                <w:top w:val="none" w:sz="0" w:space="0" w:color="auto"/>
                <w:left w:val="none" w:sz="0" w:space="0" w:color="auto"/>
                <w:bottom w:val="none" w:sz="0" w:space="0" w:color="auto"/>
                <w:right w:val="none" w:sz="0" w:space="0" w:color="auto"/>
              </w:divBdr>
              <w:divsChild>
                <w:div w:id="1552111739">
                  <w:marLeft w:val="0"/>
                  <w:marRight w:val="0"/>
                  <w:marTop w:val="0"/>
                  <w:marBottom w:val="0"/>
                  <w:divBdr>
                    <w:top w:val="none" w:sz="0" w:space="0" w:color="auto"/>
                    <w:left w:val="none" w:sz="0" w:space="0" w:color="auto"/>
                    <w:bottom w:val="none" w:sz="0" w:space="0" w:color="auto"/>
                    <w:right w:val="none" w:sz="0" w:space="0" w:color="auto"/>
                  </w:divBdr>
                  <w:divsChild>
                    <w:div w:id="31950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5957791">
          <w:marLeft w:val="0"/>
          <w:marRight w:val="0"/>
          <w:marTop w:val="0"/>
          <w:marBottom w:val="0"/>
          <w:divBdr>
            <w:top w:val="none" w:sz="0" w:space="0" w:color="auto"/>
            <w:left w:val="none" w:sz="0" w:space="0" w:color="auto"/>
            <w:bottom w:val="single" w:sz="6" w:space="12" w:color="DDDDDD"/>
            <w:right w:val="none" w:sz="0" w:space="0" w:color="auto"/>
          </w:divBdr>
          <w:divsChild>
            <w:div w:id="817112678">
              <w:marLeft w:val="0"/>
              <w:marRight w:val="0"/>
              <w:marTop w:val="0"/>
              <w:marBottom w:val="0"/>
              <w:divBdr>
                <w:top w:val="none" w:sz="0" w:space="0" w:color="auto"/>
                <w:left w:val="none" w:sz="0" w:space="0" w:color="auto"/>
                <w:bottom w:val="none" w:sz="0" w:space="0" w:color="auto"/>
                <w:right w:val="none" w:sz="0" w:space="0" w:color="auto"/>
              </w:divBdr>
              <w:divsChild>
                <w:div w:id="2024359709">
                  <w:marLeft w:val="0"/>
                  <w:marRight w:val="0"/>
                  <w:marTop w:val="0"/>
                  <w:marBottom w:val="0"/>
                  <w:divBdr>
                    <w:top w:val="none" w:sz="0" w:space="0" w:color="auto"/>
                    <w:left w:val="none" w:sz="0" w:space="0" w:color="auto"/>
                    <w:bottom w:val="none" w:sz="0" w:space="0" w:color="auto"/>
                    <w:right w:val="none" w:sz="0" w:space="0" w:color="auto"/>
                  </w:divBdr>
                  <w:divsChild>
                    <w:div w:id="110830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143193">
          <w:marLeft w:val="0"/>
          <w:marRight w:val="0"/>
          <w:marTop w:val="0"/>
          <w:marBottom w:val="0"/>
          <w:divBdr>
            <w:top w:val="none" w:sz="0" w:space="0" w:color="auto"/>
            <w:left w:val="none" w:sz="0" w:space="0" w:color="auto"/>
            <w:bottom w:val="single" w:sz="6" w:space="12" w:color="DDDDDD"/>
            <w:right w:val="none" w:sz="0" w:space="0" w:color="auto"/>
          </w:divBdr>
          <w:divsChild>
            <w:div w:id="232352450">
              <w:marLeft w:val="0"/>
              <w:marRight w:val="0"/>
              <w:marTop w:val="0"/>
              <w:marBottom w:val="0"/>
              <w:divBdr>
                <w:top w:val="none" w:sz="0" w:space="0" w:color="auto"/>
                <w:left w:val="none" w:sz="0" w:space="0" w:color="auto"/>
                <w:bottom w:val="none" w:sz="0" w:space="0" w:color="auto"/>
                <w:right w:val="none" w:sz="0" w:space="0" w:color="auto"/>
              </w:divBdr>
              <w:divsChild>
                <w:div w:id="226502035">
                  <w:marLeft w:val="0"/>
                  <w:marRight w:val="0"/>
                  <w:marTop w:val="0"/>
                  <w:marBottom w:val="0"/>
                  <w:divBdr>
                    <w:top w:val="none" w:sz="0" w:space="0" w:color="auto"/>
                    <w:left w:val="none" w:sz="0" w:space="0" w:color="auto"/>
                    <w:bottom w:val="none" w:sz="0" w:space="0" w:color="auto"/>
                    <w:right w:val="none" w:sz="0" w:space="0" w:color="auto"/>
                  </w:divBdr>
                  <w:divsChild>
                    <w:div w:id="12489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415652">
          <w:marLeft w:val="0"/>
          <w:marRight w:val="0"/>
          <w:marTop w:val="0"/>
          <w:marBottom w:val="0"/>
          <w:divBdr>
            <w:top w:val="none" w:sz="0" w:space="0" w:color="auto"/>
            <w:left w:val="none" w:sz="0" w:space="0" w:color="auto"/>
            <w:bottom w:val="single" w:sz="6" w:space="12" w:color="DDDDDD"/>
            <w:right w:val="none" w:sz="0" w:space="0" w:color="auto"/>
          </w:divBdr>
          <w:divsChild>
            <w:div w:id="1646423098">
              <w:marLeft w:val="0"/>
              <w:marRight w:val="0"/>
              <w:marTop w:val="0"/>
              <w:marBottom w:val="0"/>
              <w:divBdr>
                <w:top w:val="none" w:sz="0" w:space="0" w:color="auto"/>
                <w:left w:val="none" w:sz="0" w:space="0" w:color="auto"/>
                <w:bottom w:val="none" w:sz="0" w:space="0" w:color="auto"/>
                <w:right w:val="none" w:sz="0" w:space="0" w:color="auto"/>
              </w:divBdr>
              <w:divsChild>
                <w:div w:id="770902676">
                  <w:marLeft w:val="0"/>
                  <w:marRight w:val="0"/>
                  <w:marTop w:val="0"/>
                  <w:marBottom w:val="0"/>
                  <w:divBdr>
                    <w:top w:val="none" w:sz="0" w:space="0" w:color="auto"/>
                    <w:left w:val="none" w:sz="0" w:space="0" w:color="auto"/>
                    <w:bottom w:val="none" w:sz="0" w:space="0" w:color="auto"/>
                    <w:right w:val="none" w:sz="0" w:space="0" w:color="auto"/>
                  </w:divBdr>
                  <w:divsChild>
                    <w:div w:id="103750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444874">
          <w:marLeft w:val="0"/>
          <w:marRight w:val="0"/>
          <w:marTop w:val="0"/>
          <w:marBottom w:val="0"/>
          <w:divBdr>
            <w:top w:val="none" w:sz="0" w:space="0" w:color="auto"/>
            <w:left w:val="none" w:sz="0" w:space="0" w:color="auto"/>
            <w:bottom w:val="single" w:sz="6" w:space="12" w:color="DDDDDD"/>
            <w:right w:val="none" w:sz="0" w:space="0" w:color="auto"/>
          </w:divBdr>
          <w:divsChild>
            <w:div w:id="300381866">
              <w:marLeft w:val="0"/>
              <w:marRight w:val="0"/>
              <w:marTop w:val="0"/>
              <w:marBottom w:val="0"/>
              <w:divBdr>
                <w:top w:val="none" w:sz="0" w:space="0" w:color="auto"/>
                <w:left w:val="none" w:sz="0" w:space="0" w:color="auto"/>
                <w:bottom w:val="none" w:sz="0" w:space="0" w:color="auto"/>
                <w:right w:val="none" w:sz="0" w:space="0" w:color="auto"/>
              </w:divBdr>
              <w:divsChild>
                <w:div w:id="1249072835">
                  <w:marLeft w:val="0"/>
                  <w:marRight w:val="0"/>
                  <w:marTop w:val="0"/>
                  <w:marBottom w:val="0"/>
                  <w:divBdr>
                    <w:top w:val="none" w:sz="0" w:space="0" w:color="auto"/>
                    <w:left w:val="none" w:sz="0" w:space="0" w:color="auto"/>
                    <w:bottom w:val="none" w:sz="0" w:space="0" w:color="auto"/>
                    <w:right w:val="none" w:sz="0" w:space="0" w:color="auto"/>
                  </w:divBdr>
                  <w:divsChild>
                    <w:div w:id="209716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9134925">
          <w:marLeft w:val="0"/>
          <w:marRight w:val="0"/>
          <w:marTop w:val="0"/>
          <w:marBottom w:val="0"/>
          <w:divBdr>
            <w:top w:val="none" w:sz="0" w:space="0" w:color="auto"/>
            <w:left w:val="none" w:sz="0" w:space="0" w:color="auto"/>
            <w:bottom w:val="single" w:sz="6" w:space="12" w:color="DDDDDD"/>
            <w:right w:val="none" w:sz="0" w:space="0" w:color="auto"/>
          </w:divBdr>
          <w:divsChild>
            <w:div w:id="1841457142">
              <w:marLeft w:val="0"/>
              <w:marRight w:val="0"/>
              <w:marTop w:val="0"/>
              <w:marBottom w:val="0"/>
              <w:divBdr>
                <w:top w:val="none" w:sz="0" w:space="0" w:color="auto"/>
                <w:left w:val="none" w:sz="0" w:space="0" w:color="auto"/>
                <w:bottom w:val="none" w:sz="0" w:space="0" w:color="auto"/>
                <w:right w:val="none" w:sz="0" w:space="0" w:color="auto"/>
              </w:divBdr>
              <w:divsChild>
                <w:div w:id="821503522">
                  <w:marLeft w:val="0"/>
                  <w:marRight w:val="0"/>
                  <w:marTop w:val="0"/>
                  <w:marBottom w:val="0"/>
                  <w:divBdr>
                    <w:top w:val="none" w:sz="0" w:space="0" w:color="auto"/>
                    <w:left w:val="none" w:sz="0" w:space="0" w:color="auto"/>
                    <w:bottom w:val="none" w:sz="0" w:space="0" w:color="auto"/>
                    <w:right w:val="none" w:sz="0" w:space="0" w:color="auto"/>
                  </w:divBdr>
                  <w:divsChild>
                    <w:div w:id="121419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24450">
          <w:marLeft w:val="0"/>
          <w:marRight w:val="0"/>
          <w:marTop w:val="0"/>
          <w:marBottom w:val="0"/>
          <w:divBdr>
            <w:top w:val="none" w:sz="0" w:space="0" w:color="auto"/>
            <w:left w:val="none" w:sz="0" w:space="0" w:color="auto"/>
            <w:bottom w:val="single" w:sz="6" w:space="12" w:color="DDDDDD"/>
            <w:right w:val="none" w:sz="0" w:space="0" w:color="auto"/>
          </w:divBdr>
          <w:divsChild>
            <w:div w:id="1041784835">
              <w:marLeft w:val="0"/>
              <w:marRight w:val="0"/>
              <w:marTop w:val="0"/>
              <w:marBottom w:val="0"/>
              <w:divBdr>
                <w:top w:val="none" w:sz="0" w:space="0" w:color="auto"/>
                <w:left w:val="none" w:sz="0" w:space="0" w:color="auto"/>
                <w:bottom w:val="none" w:sz="0" w:space="0" w:color="auto"/>
                <w:right w:val="none" w:sz="0" w:space="0" w:color="auto"/>
              </w:divBdr>
              <w:divsChild>
                <w:div w:id="2518205">
                  <w:marLeft w:val="0"/>
                  <w:marRight w:val="0"/>
                  <w:marTop w:val="0"/>
                  <w:marBottom w:val="0"/>
                  <w:divBdr>
                    <w:top w:val="none" w:sz="0" w:space="0" w:color="auto"/>
                    <w:left w:val="none" w:sz="0" w:space="0" w:color="auto"/>
                    <w:bottom w:val="none" w:sz="0" w:space="0" w:color="auto"/>
                    <w:right w:val="none" w:sz="0" w:space="0" w:color="auto"/>
                  </w:divBdr>
                  <w:divsChild>
                    <w:div w:id="98306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6028887">
          <w:marLeft w:val="0"/>
          <w:marRight w:val="0"/>
          <w:marTop w:val="0"/>
          <w:marBottom w:val="0"/>
          <w:divBdr>
            <w:top w:val="none" w:sz="0" w:space="0" w:color="auto"/>
            <w:left w:val="none" w:sz="0" w:space="0" w:color="auto"/>
            <w:bottom w:val="single" w:sz="6" w:space="12" w:color="DDDDDD"/>
            <w:right w:val="none" w:sz="0" w:space="0" w:color="auto"/>
          </w:divBdr>
          <w:divsChild>
            <w:div w:id="1254054027">
              <w:marLeft w:val="0"/>
              <w:marRight w:val="0"/>
              <w:marTop w:val="0"/>
              <w:marBottom w:val="0"/>
              <w:divBdr>
                <w:top w:val="none" w:sz="0" w:space="0" w:color="auto"/>
                <w:left w:val="none" w:sz="0" w:space="0" w:color="auto"/>
                <w:bottom w:val="none" w:sz="0" w:space="0" w:color="auto"/>
                <w:right w:val="none" w:sz="0" w:space="0" w:color="auto"/>
              </w:divBdr>
              <w:divsChild>
                <w:div w:id="154146886">
                  <w:marLeft w:val="0"/>
                  <w:marRight w:val="0"/>
                  <w:marTop w:val="0"/>
                  <w:marBottom w:val="0"/>
                  <w:divBdr>
                    <w:top w:val="none" w:sz="0" w:space="0" w:color="auto"/>
                    <w:left w:val="none" w:sz="0" w:space="0" w:color="auto"/>
                    <w:bottom w:val="none" w:sz="0" w:space="0" w:color="auto"/>
                    <w:right w:val="none" w:sz="0" w:space="0" w:color="auto"/>
                  </w:divBdr>
                  <w:divsChild>
                    <w:div w:id="158114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314651">
          <w:marLeft w:val="0"/>
          <w:marRight w:val="0"/>
          <w:marTop w:val="0"/>
          <w:marBottom w:val="0"/>
          <w:divBdr>
            <w:top w:val="none" w:sz="0" w:space="0" w:color="auto"/>
            <w:left w:val="none" w:sz="0" w:space="0" w:color="auto"/>
            <w:bottom w:val="none" w:sz="0" w:space="0" w:color="auto"/>
            <w:right w:val="none" w:sz="0" w:space="0" w:color="auto"/>
          </w:divBdr>
          <w:divsChild>
            <w:div w:id="640501924">
              <w:marLeft w:val="0"/>
              <w:marRight w:val="0"/>
              <w:marTop w:val="0"/>
              <w:marBottom w:val="0"/>
              <w:divBdr>
                <w:top w:val="none" w:sz="0" w:space="0" w:color="auto"/>
                <w:left w:val="none" w:sz="0" w:space="0" w:color="auto"/>
                <w:bottom w:val="none" w:sz="0" w:space="0" w:color="auto"/>
                <w:right w:val="none" w:sz="0" w:space="0" w:color="auto"/>
              </w:divBdr>
              <w:divsChild>
                <w:div w:id="2021153439">
                  <w:marLeft w:val="0"/>
                  <w:marRight w:val="0"/>
                  <w:marTop w:val="0"/>
                  <w:marBottom w:val="0"/>
                  <w:divBdr>
                    <w:top w:val="none" w:sz="0" w:space="0" w:color="auto"/>
                    <w:left w:val="none" w:sz="0" w:space="0" w:color="auto"/>
                    <w:bottom w:val="none" w:sz="0" w:space="0" w:color="auto"/>
                    <w:right w:val="none" w:sz="0" w:space="0" w:color="auto"/>
                  </w:divBdr>
                  <w:divsChild>
                    <w:div w:id="7583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8453360">
      <w:bodyDiv w:val="1"/>
      <w:marLeft w:val="0"/>
      <w:marRight w:val="0"/>
      <w:marTop w:val="0"/>
      <w:marBottom w:val="0"/>
      <w:divBdr>
        <w:top w:val="none" w:sz="0" w:space="0" w:color="auto"/>
        <w:left w:val="none" w:sz="0" w:space="0" w:color="auto"/>
        <w:bottom w:val="none" w:sz="0" w:space="0" w:color="auto"/>
        <w:right w:val="none" w:sz="0" w:space="0" w:color="auto"/>
      </w:divBdr>
      <w:divsChild>
        <w:div w:id="1610703418">
          <w:marLeft w:val="0"/>
          <w:marRight w:val="0"/>
          <w:marTop w:val="0"/>
          <w:marBottom w:val="0"/>
          <w:divBdr>
            <w:top w:val="none" w:sz="0" w:space="0" w:color="auto"/>
            <w:left w:val="none" w:sz="0" w:space="0" w:color="auto"/>
            <w:bottom w:val="none" w:sz="0" w:space="0" w:color="auto"/>
            <w:right w:val="none" w:sz="0" w:space="0" w:color="auto"/>
          </w:divBdr>
          <w:divsChild>
            <w:div w:id="1820268815">
              <w:marLeft w:val="0"/>
              <w:marRight w:val="0"/>
              <w:marTop w:val="0"/>
              <w:marBottom w:val="0"/>
              <w:divBdr>
                <w:top w:val="none" w:sz="0" w:space="0" w:color="auto"/>
                <w:left w:val="none" w:sz="0" w:space="0" w:color="auto"/>
                <w:bottom w:val="single" w:sz="12" w:space="0" w:color="006699"/>
                <w:right w:val="none" w:sz="0" w:space="0" w:color="auto"/>
              </w:divBdr>
              <w:divsChild>
                <w:div w:id="844248589">
                  <w:marLeft w:val="0"/>
                  <w:marRight w:val="0"/>
                  <w:marTop w:val="0"/>
                  <w:marBottom w:val="0"/>
                  <w:divBdr>
                    <w:top w:val="none" w:sz="0" w:space="0" w:color="auto"/>
                    <w:left w:val="none" w:sz="0" w:space="0" w:color="auto"/>
                    <w:bottom w:val="none" w:sz="0" w:space="0" w:color="auto"/>
                    <w:right w:val="none" w:sz="0" w:space="0" w:color="auto"/>
                  </w:divBdr>
                  <w:divsChild>
                    <w:div w:id="2127310829">
                      <w:marLeft w:val="0"/>
                      <w:marRight w:val="0"/>
                      <w:marTop w:val="0"/>
                      <w:marBottom w:val="0"/>
                      <w:divBdr>
                        <w:top w:val="none" w:sz="0" w:space="0" w:color="auto"/>
                        <w:left w:val="none" w:sz="0" w:space="0" w:color="auto"/>
                        <w:bottom w:val="none" w:sz="0" w:space="0" w:color="auto"/>
                        <w:right w:val="none" w:sz="0" w:space="0" w:color="auto"/>
                      </w:divBdr>
                      <w:divsChild>
                        <w:div w:id="1706978568">
                          <w:marLeft w:val="0"/>
                          <w:marRight w:val="0"/>
                          <w:marTop w:val="0"/>
                          <w:marBottom w:val="0"/>
                          <w:divBdr>
                            <w:top w:val="none" w:sz="0" w:space="0" w:color="auto"/>
                            <w:left w:val="none" w:sz="0" w:space="0" w:color="auto"/>
                            <w:bottom w:val="none" w:sz="0" w:space="0" w:color="auto"/>
                            <w:right w:val="none" w:sz="0" w:space="0" w:color="auto"/>
                          </w:divBdr>
                          <w:divsChild>
                            <w:div w:id="96354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87390">
                  <w:marLeft w:val="0"/>
                  <w:marRight w:val="0"/>
                  <w:marTop w:val="0"/>
                  <w:marBottom w:val="0"/>
                  <w:divBdr>
                    <w:top w:val="none" w:sz="0" w:space="0" w:color="auto"/>
                    <w:left w:val="none" w:sz="0" w:space="0" w:color="auto"/>
                    <w:bottom w:val="none" w:sz="0" w:space="0" w:color="auto"/>
                    <w:right w:val="none" w:sz="0" w:space="0" w:color="auto"/>
                  </w:divBdr>
                </w:div>
                <w:div w:id="467213473">
                  <w:marLeft w:val="0"/>
                  <w:marRight w:val="0"/>
                  <w:marTop w:val="0"/>
                  <w:marBottom w:val="0"/>
                  <w:divBdr>
                    <w:top w:val="none" w:sz="0" w:space="0" w:color="auto"/>
                    <w:left w:val="none" w:sz="0" w:space="0" w:color="auto"/>
                    <w:bottom w:val="none" w:sz="0" w:space="0" w:color="auto"/>
                    <w:right w:val="none" w:sz="0" w:space="0" w:color="auto"/>
                  </w:divBdr>
                  <w:divsChild>
                    <w:div w:id="1379206351">
                      <w:marLeft w:val="0"/>
                      <w:marRight w:val="0"/>
                      <w:marTop w:val="0"/>
                      <w:marBottom w:val="0"/>
                      <w:divBdr>
                        <w:top w:val="none" w:sz="0" w:space="0" w:color="auto"/>
                        <w:left w:val="none" w:sz="0" w:space="0" w:color="auto"/>
                        <w:bottom w:val="none" w:sz="0" w:space="0" w:color="auto"/>
                        <w:right w:val="none" w:sz="0" w:space="0" w:color="auto"/>
                      </w:divBdr>
                      <w:divsChild>
                        <w:div w:id="116223673">
                          <w:marLeft w:val="0"/>
                          <w:marRight w:val="0"/>
                          <w:marTop w:val="0"/>
                          <w:marBottom w:val="0"/>
                          <w:divBdr>
                            <w:top w:val="none" w:sz="0" w:space="0" w:color="auto"/>
                            <w:left w:val="none" w:sz="0" w:space="0" w:color="auto"/>
                            <w:bottom w:val="none" w:sz="0" w:space="0" w:color="auto"/>
                            <w:right w:val="none" w:sz="0" w:space="0" w:color="auto"/>
                          </w:divBdr>
                        </w:div>
                        <w:div w:id="1692949984">
                          <w:marLeft w:val="0"/>
                          <w:marRight w:val="0"/>
                          <w:marTop w:val="0"/>
                          <w:marBottom w:val="0"/>
                          <w:divBdr>
                            <w:top w:val="none" w:sz="0" w:space="0" w:color="auto"/>
                            <w:left w:val="none" w:sz="0" w:space="0" w:color="auto"/>
                            <w:bottom w:val="none" w:sz="0" w:space="0" w:color="auto"/>
                            <w:right w:val="none" w:sz="0" w:space="0" w:color="auto"/>
                          </w:divBdr>
                        </w:div>
                        <w:div w:id="1465003714">
                          <w:marLeft w:val="0"/>
                          <w:marRight w:val="0"/>
                          <w:marTop w:val="0"/>
                          <w:marBottom w:val="0"/>
                          <w:divBdr>
                            <w:top w:val="none" w:sz="0" w:space="0" w:color="auto"/>
                            <w:left w:val="none" w:sz="0" w:space="0" w:color="auto"/>
                            <w:bottom w:val="none" w:sz="0" w:space="0" w:color="auto"/>
                            <w:right w:val="none" w:sz="0" w:space="0" w:color="auto"/>
                          </w:divBdr>
                          <w:divsChild>
                            <w:div w:id="27887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13161">
                      <w:marLeft w:val="0"/>
                      <w:marRight w:val="0"/>
                      <w:marTop w:val="0"/>
                      <w:marBottom w:val="0"/>
                      <w:divBdr>
                        <w:top w:val="none" w:sz="0" w:space="0" w:color="auto"/>
                        <w:left w:val="none" w:sz="0" w:space="0" w:color="auto"/>
                        <w:bottom w:val="none" w:sz="0" w:space="0" w:color="auto"/>
                        <w:right w:val="none" w:sz="0" w:space="0" w:color="auto"/>
                      </w:divBdr>
                      <w:divsChild>
                        <w:div w:id="313291667">
                          <w:marLeft w:val="0"/>
                          <w:marRight w:val="0"/>
                          <w:marTop w:val="0"/>
                          <w:marBottom w:val="0"/>
                          <w:divBdr>
                            <w:top w:val="none" w:sz="0" w:space="0" w:color="auto"/>
                            <w:left w:val="none" w:sz="0" w:space="0" w:color="auto"/>
                            <w:bottom w:val="none" w:sz="0" w:space="0" w:color="auto"/>
                            <w:right w:val="none" w:sz="0" w:space="0" w:color="auto"/>
                          </w:divBdr>
                        </w:div>
                        <w:div w:id="58213486">
                          <w:marLeft w:val="0"/>
                          <w:marRight w:val="0"/>
                          <w:marTop w:val="0"/>
                          <w:marBottom w:val="0"/>
                          <w:divBdr>
                            <w:top w:val="none" w:sz="0" w:space="0" w:color="auto"/>
                            <w:left w:val="none" w:sz="0" w:space="0" w:color="auto"/>
                            <w:bottom w:val="none" w:sz="0" w:space="0" w:color="auto"/>
                            <w:right w:val="none" w:sz="0" w:space="0" w:color="auto"/>
                          </w:divBdr>
                        </w:div>
                        <w:div w:id="147332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4166055">
          <w:marLeft w:val="0"/>
          <w:marRight w:val="0"/>
          <w:marTop w:val="0"/>
          <w:marBottom w:val="0"/>
          <w:divBdr>
            <w:top w:val="none" w:sz="0" w:space="0" w:color="auto"/>
            <w:left w:val="none" w:sz="0" w:space="0" w:color="auto"/>
            <w:bottom w:val="none" w:sz="0" w:space="0" w:color="auto"/>
            <w:right w:val="none" w:sz="0" w:space="0" w:color="auto"/>
          </w:divBdr>
          <w:divsChild>
            <w:div w:id="105126275">
              <w:marLeft w:val="0"/>
              <w:marRight w:val="0"/>
              <w:marTop w:val="0"/>
              <w:marBottom w:val="0"/>
              <w:divBdr>
                <w:top w:val="none" w:sz="0" w:space="0" w:color="auto"/>
                <w:left w:val="none" w:sz="0" w:space="0" w:color="auto"/>
                <w:bottom w:val="single" w:sz="6" w:space="12" w:color="333333"/>
                <w:right w:val="none" w:sz="0" w:space="0" w:color="auto"/>
              </w:divBdr>
              <w:divsChild>
                <w:div w:id="1628589315">
                  <w:marLeft w:val="0"/>
                  <w:marRight w:val="0"/>
                  <w:marTop w:val="0"/>
                  <w:marBottom w:val="0"/>
                  <w:divBdr>
                    <w:top w:val="none" w:sz="0" w:space="0" w:color="auto"/>
                    <w:left w:val="none" w:sz="0" w:space="0" w:color="auto"/>
                    <w:bottom w:val="none" w:sz="0" w:space="0" w:color="auto"/>
                    <w:right w:val="none" w:sz="0" w:space="0" w:color="auto"/>
                  </w:divBdr>
                  <w:divsChild>
                    <w:div w:id="415516546">
                      <w:marLeft w:val="0"/>
                      <w:marRight w:val="0"/>
                      <w:marTop w:val="0"/>
                      <w:marBottom w:val="0"/>
                      <w:divBdr>
                        <w:top w:val="none" w:sz="0" w:space="0" w:color="auto"/>
                        <w:left w:val="none" w:sz="0" w:space="0" w:color="auto"/>
                        <w:bottom w:val="none" w:sz="0" w:space="0" w:color="auto"/>
                        <w:right w:val="none" w:sz="0" w:space="0" w:color="auto"/>
                      </w:divBdr>
                      <w:divsChild>
                        <w:div w:id="1187987271">
                          <w:marLeft w:val="0"/>
                          <w:marRight w:val="0"/>
                          <w:marTop w:val="0"/>
                          <w:marBottom w:val="0"/>
                          <w:divBdr>
                            <w:top w:val="none" w:sz="0" w:space="0" w:color="auto"/>
                            <w:left w:val="none" w:sz="0" w:space="0" w:color="auto"/>
                            <w:bottom w:val="dotted" w:sz="6" w:space="0" w:color="FEA957"/>
                            <w:right w:val="none" w:sz="0" w:space="0" w:color="auto"/>
                          </w:divBdr>
                          <w:divsChild>
                            <w:div w:id="1689989522">
                              <w:marLeft w:val="0"/>
                              <w:marRight w:val="0"/>
                              <w:marTop w:val="0"/>
                              <w:marBottom w:val="0"/>
                              <w:divBdr>
                                <w:top w:val="none" w:sz="0" w:space="0" w:color="auto"/>
                                <w:left w:val="none" w:sz="0" w:space="0" w:color="auto"/>
                                <w:bottom w:val="none" w:sz="0" w:space="0" w:color="auto"/>
                                <w:right w:val="none" w:sz="0" w:space="0" w:color="auto"/>
                              </w:divBdr>
                              <w:divsChild>
                                <w:div w:id="1045061187">
                                  <w:marLeft w:val="0"/>
                                  <w:marRight w:val="0"/>
                                  <w:marTop w:val="0"/>
                                  <w:marBottom w:val="450"/>
                                  <w:divBdr>
                                    <w:top w:val="none" w:sz="0" w:space="0" w:color="auto"/>
                                    <w:left w:val="none" w:sz="0" w:space="0" w:color="auto"/>
                                    <w:bottom w:val="none" w:sz="0" w:space="0" w:color="auto"/>
                                    <w:right w:val="none" w:sz="0" w:space="0" w:color="auto"/>
                                  </w:divBdr>
                                  <w:divsChild>
                                    <w:div w:id="1854999238">
                                      <w:marLeft w:val="0"/>
                                      <w:marRight w:val="0"/>
                                      <w:marTop w:val="0"/>
                                      <w:marBottom w:val="375"/>
                                      <w:divBdr>
                                        <w:top w:val="none" w:sz="0" w:space="0" w:color="auto"/>
                                        <w:left w:val="none" w:sz="0" w:space="0" w:color="auto"/>
                                        <w:bottom w:val="none" w:sz="0" w:space="0" w:color="auto"/>
                                        <w:right w:val="none" w:sz="0" w:space="0" w:color="auto"/>
                                      </w:divBdr>
                                    </w:div>
                                    <w:div w:id="1535844085">
                                      <w:marLeft w:val="0"/>
                                      <w:marRight w:val="0"/>
                                      <w:marTop w:val="240"/>
                                      <w:marBottom w:val="480"/>
                                      <w:divBdr>
                                        <w:top w:val="none" w:sz="0" w:space="0" w:color="auto"/>
                                        <w:left w:val="none" w:sz="0" w:space="0" w:color="auto"/>
                                        <w:bottom w:val="none" w:sz="0" w:space="0" w:color="auto"/>
                                        <w:right w:val="none" w:sz="0" w:space="0" w:color="auto"/>
                                      </w:divBdr>
                                      <w:divsChild>
                                        <w:div w:id="639766291">
                                          <w:marLeft w:val="0"/>
                                          <w:marRight w:val="0"/>
                                          <w:marTop w:val="0"/>
                                          <w:marBottom w:val="0"/>
                                          <w:divBdr>
                                            <w:top w:val="single" w:sz="6" w:space="0" w:color="C6C6C6"/>
                                            <w:left w:val="single" w:sz="6" w:space="0" w:color="C6C6C6"/>
                                            <w:bottom w:val="single" w:sz="6" w:space="0" w:color="C6C6C6"/>
                                            <w:right w:val="single" w:sz="6" w:space="0" w:color="C6C6C6"/>
                                          </w:divBdr>
                                        </w:div>
                                        <w:div w:id="122074526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171986622">
                                  <w:marLeft w:val="0"/>
                                  <w:marRight w:val="0"/>
                                  <w:marTop w:val="0"/>
                                  <w:marBottom w:val="450"/>
                                  <w:divBdr>
                                    <w:top w:val="none" w:sz="0" w:space="0" w:color="auto"/>
                                    <w:left w:val="none" w:sz="0" w:space="0" w:color="auto"/>
                                    <w:bottom w:val="none" w:sz="0" w:space="0" w:color="auto"/>
                                    <w:right w:val="none" w:sz="0" w:space="0" w:color="auto"/>
                                  </w:divBdr>
                                  <w:divsChild>
                                    <w:div w:id="1313022573">
                                      <w:marLeft w:val="0"/>
                                      <w:marRight w:val="0"/>
                                      <w:marTop w:val="0"/>
                                      <w:marBottom w:val="375"/>
                                      <w:divBdr>
                                        <w:top w:val="none" w:sz="0" w:space="0" w:color="auto"/>
                                        <w:left w:val="none" w:sz="0" w:space="0" w:color="auto"/>
                                        <w:bottom w:val="none" w:sz="0" w:space="0" w:color="auto"/>
                                        <w:right w:val="none" w:sz="0" w:space="0" w:color="auto"/>
                                      </w:divBdr>
                                    </w:div>
                                  </w:divsChild>
                                </w:div>
                                <w:div w:id="902065566">
                                  <w:marLeft w:val="0"/>
                                  <w:marRight w:val="0"/>
                                  <w:marTop w:val="0"/>
                                  <w:marBottom w:val="450"/>
                                  <w:divBdr>
                                    <w:top w:val="none" w:sz="0" w:space="0" w:color="auto"/>
                                    <w:left w:val="none" w:sz="0" w:space="0" w:color="auto"/>
                                    <w:bottom w:val="none" w:sz="0" w:space="0" w:color="auto"/>
                                    <w:right w:val="none" w:sz="0" w:space="0" w:color="auto"/>
                                  </w:divBdr>
                                  <w:divsChild>
                                    <w:div w:id="995304579">
                                      <w:marLeft w:val="0"/>
                                      <w:marRight w:val="0"/>
                                      <w:marTop w:val="0"/>
                                      <w:marBottom w:val="375"/>
                                      <w:divBdr>
                                        <w:top w:val="none" w:sz="0" w:space="0" w:color="auto"/>
                                        <w:left w:val="none" w:sz="0" w:space="0" w:color="auto"/>
                                        <w:bottom w:val="none" w:sz="0" w:space="0" w:color="auto"/>
                                        <w:right w:val="none" w:sz="0" w:space="0" w:color="auto"/>
                                      </w:divBdr>
                                    </w:div>
                                    <w:div w:id="1566646194">
                                      <w:marLeft w:val="0"/>
                                      <w:marRight w:val="0"/>
                                      <w:marTop w:val="240"/>
                                      <w:marBottom w:val="480"/>
                                      <w:divBdr>
                                        <w:top w:val="none" w:sz="0" w:space="0" w:color="auto"/>
                                        <w:left w:val="none" w:sz="0" w:space="0" w:color="auto"/>
                                        <w:bottom w:val="none" w:sz="0" w:space="0" w:color="auto"/>
                                        <w:right w:val="none" w:sz="0" w:space="0" w:color="auto"/>
                                      </w:divBdr>
                                      <w:divsChild>
                                        <w:div w:id="2141679375">
                                          <w:marLeft w:val="0"/>
                                          <w:marRight w:val="0"/>
                                          <w:marTop w:val="0"/>
                                          <w:marBottom w:val="0"/>
                                          <w:divBdr>
                                            <w:top w:val="single" w:sz="6" w:space="0" w:color="C6C6C6"/>
                                            <w:left w:val="single" w:sz="6" w:space="0" w:color="C6C6C6"/>
                                            <w:bottom w:val="single" w:sz="6" w:space="0" w:color="C6C6C6"/>
                                            <w:right w:val="single" w:sz="6" w:space="0" w:color="C6C6C6"/>
                                          </w:divBdr>
                                        </w:div>
                                        <w:div w:id="873809510">
                                          <w:marLeft w:val="0"/>
                                          <w:marRight w:val="0"/>
                                          <w:marTop w:val="0"/>
                                          <w:marBottom w:val="0"/>
                                          <w:divBdr>
                                            <w:top w:val="none" w:sz="0" w:space="0" w:color="auto"/>
                                            <w:left w:val="none" w:sz="0" w:space="0" w:color="auto"/>
                                            <w:bottom w:val="dotted" w:sz="6" w:space="6" w:color="999999"/>
                                            <w:right w:val="none" w:sz="0" w:space="0" w:color="auto"/>
                                          </w:divBdr>
                                        </w:div>
                                      </w:divsChild>
                                    </w:div>
                                    <w:div w:id="531918879">
                                      <w:marLeft w:val="0"/>
                                      <w:marRight w:val="0"/>
                                      <w:marTop w:val="0"/>
                                      <w:marBottom w:val="0"/>
                                      <w:divBdr>
                                        <w:top w:val="none" w:sz="0" w:space="0" w:color="auto"/>
                                        <w:left w:val="none" w:sz="0" w:space="0" w:color="auto"/>
                                        <w:bottom w:val="none" w:sz="0" w:space="0" w:color="auto"/>
                                        <w:right w:val="none" w:sz="0" w:space="0" w:color="auto"/>
                                      </w:divBdr>
                                      <w:divsChild>
                                        <w:div w:id="1993875165">
                                          <w:marLeft w:val="0"/>
                                          <w:marRight w:val="0"/>
                                          <w:marTop w:val="240"/>
                                          <w:marBottom w:val="480"/>
                                          <w:divBdr>
                                            <w:top w:val="none" w:sz="0" w:space="0" w:color="auto"/>
                                            <w:left w:val="none" w:sz="0" w:space="0" w:color="auto"/>
                                            <w:bottom w:val="none" w:sz="0" w:space="0" w:color="auto"/>
                                            <w:right w:val="none" w:sz="0" w:space="0" w:color="auto"/>
                                          </w:divBdr>
                                          <w:divsChild>
                                            <w:div w:id="1077822262">
                                              <w:marLeft w:val="0"/>
                                              <w:marRight w:val="0"/>
                                              <w:marTop w:val="0"/>
                                              <w:marBottom w:val="0"/>
                                              <w:divBdr>
                                                <w:top w:val="single" w:sz="6" w:space="0" w:color="C6C6C6"/>
                                                <w:left w:val="single" w:sz="6" w:space="0" w:color="C6C6C6"/>
                                                <w:bottom w:val="single" w:sz="6" w:space="0" w:color="C6C6C6"/>
                                                <w:right w:val="single" w:sz="6" w:space="0" w:color="C6C6C6"/>
                                              </w:divBdr>
                                            </w:div>
                                            <w:div w:id="5343679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500075">
                                      <w:marLeft w:val="0"/>
                                      <w:marRight w:val="0"/>
                                      <w:marTop w:val="0"/>
                                      <w:marBottom w:val="0"/>
                                      <w:divBdr>
                                        <w:top w:val="none" w:sz="0" w:space="0" w:color="auto"/>
                                        <w:left w:val="none" w:sz="0" w:space="0" w:color="auto"/>
                                        <w:bottom w:val="none" w:sz="0" w:space="0" w:color="auto"/>
                                        <w:right w:val="none" w:sz="0" w:space="0" w:color="auto"/>
                                      </w:divBdr>
                                      <w:divsChild>
                                        <w:div w:id="1988515243">
                                          <w:marLeft w:val="0"/>
                                          <w:marRight w:val="0"/>
                                          <w:marTop w:val="240"/>
                                          <w:marBottom w:val="480"/>
                                          <w:divBdr>
                                            <w:top w:val="none" w:sz="0" w:space="0" w:color="auto"/>
                                            <w:left w:val="none" w:sz="0" w:space="0" w:color="auto"/>
                                            <w:bottom w:val="none" w:sz="0" w:space="0" w:color="auto"/>
                                            <w:right w:val="none" w:sz="0" w:space="0" w:color="auto"/>
                                          </w:divBdr>
                                          <w:divsChild>
                                            <w:div w:id="434638917">
                                              <w:marLeft w:val="0"/>
                                              <w:marRight w:val="0"/>
                                              <w:marTop w:val="0"/>
                                              <w:marBottom w:val="0"/>
                                              <w:divBdr>
                                                <w:top w:val="single" w:sz="6" w:space="0" w:color="C6C6C6"/>
                                                <w:left w:val="single" w:sz="6" w:space="0" w:color="C6C6C6"/>
                                                <w:bottom w:val="single" w:sz="6" w:space="0" w:color="C6C6C6"/>
                                                <w:right w:val="single" w:sz="6" w:space="0" w:color="C6C6C6"/>
                                              </w:divBdr>
                                            </w:div>
                                            <w:div w:id="1023705083">
                                              <w:marLeft w:val="0"/>
                                              <w:marRight w:val="0"/>
                                              <w:marTop w:val="0"/>
                                              <w:marBottom w:val="0"/>
                                              <w:divBdr>
                                                <w:top w:val="none" w:sz="0" w:space="0" w:color="auto"/>
                                                <w:left w:val="none" w:sz="0" w:space="0" w:color="auto"/>
                                                <w:bottom w:val="dotted" w:sz="6" w:space="6" w:color="999999"/>
                                                <w:right w:val="none" w:sz="0" w:space="0" w:color="auto"/>
                                              </w:divBdr>
                                            </w:div>
                                          </w:divsChild>
                                        </w:div>
                                        <w:div w:id="358972176">
                                          <w:marLeft w:val="0"/>
                                          <w:marRight w:val="0"/>
                                          <w:marTop w:val="0"/>
                                          <w:marBottom w:val="0"/>
                                          <w:divBdr>
                                            <w:top w:val="none" w:sz="0" w:space="0" w:color="auto"/>
                                            <w:left w:val="none" w:sz="0" w:space="0" w:color="auto"/>
                                            <w:bottom w:val="none" w:sz="0" w:space="0" w:color="auto"/>
                                            <w:right w:val="none" w:sz="0" w:space="0" w:color="auto"/>
                                          </w:divBdr>
                                        </w:div>
                                        <w:div w:id="925649054">
                                          <w:marLeft w:val="0"/>
                                          <w:marRight w:val="0"/>
                                          <w:marTop w:val="0"/>
                                          <w:marBottom w:val="0"/>
                                          <w:divBdr>
                                            <w:top w:val="none" w:sz="0" w:space="0" w:color="auto"/>
                                            <w:left w:val="none" w:sz="0" w:space="0" w:color="auto"/>
                                            <w:bottom w:val="none" w:sz="0" w:space="0" w:color="auto"/>
                                            <w:right w:val="none" w:sz="0" w:space="0" w:color="auto"/>
                                          </w:divBdr>
                                        </w:div>
                                        <w:div w:id="1937981473">
                                          <w:marLeft w:val="0"/>
                                          <w:marRight w:val="0"/>
                                          <w:marTop w:val="0"/>
                                          <w:marBottom w:val="0"/>
                                          <w:divBdr>
                                            <w:top w:val="none" w:sz="0" w:space="0" w:color="auto"/>
                                            <w:left w:val="none" w:sz="0" w:space="0" w:color="auto"/>
                                            <w:bottom w:val="none" w:sz="0" w:space="0" w:color="auto"/>
                                            <w:right w:val="none" w:sz="0" w:space="0" w:color="auto"/>
                                          </w:divBdr>
                                        </w:div>
                                        <w:div w:id="1187019091">
                                          <w:marLeft w:val="0"/>
                                          <w:marRight w:val="0"/>
                                          <w:marTop w:val="0"/>
                                          <w:marBottom w:val="0"/>
                                          <w:divBdr>
                                            <w:top w:val="none" w:sz="0" w:space="0" w:color="auto"/>
                                            <w:left w:val="none" w:sz="0" w:space="0" w:color="auto"/>
                                            <w:bottom w:val="none" w:sz="0" w:space="0" w:color="auto"/>
                                            <w:right w:val="none" w:sz="0" w:space="0" w:color="auto"/>
                                          </w:divBdr>
                                        </w:div>
                                        <w:div w:id="197857432">
                                          <w:marLeft w:val="0"/>
                                          <w:marRight w:val="0"/>
                                          <w:marTop w:val="0"/>
                                          <w:marBottom w:val="0"/>
                                          <w:divBdr>
                                            <w:top w:val="none" w:sz="0" w:space="0" w:color="auto"/>
                                            <w:left w:val="none" w:sz="0" w:space="0" w:color="auto"/>
                                            <w:bottom w:val="none" w:sz="0" w:space="0" w:color="auto"/>
                                            <w:right w:val="none" w:sz="0" w:space="0" w:color="auto"/>
                                          </w:divBdr>
                                        </w:div>
                                      </w:divsChild>
                                    </w:div>
                                    <w:div w:id="141045194">
                                      <w:marLeft w:val="0"/>
                                      <w:marRight w:val="0"/>
                                      <w:marTop w:val="0"/>
                                      <w:marBottom w:val="0"/>
                                      <w:divBdr>
                                        <w:top w:val="none" w:sz="0" w:space="0" w:color="auto"/>
                                        <w:left w:val="none" w:sz="0" w:space="0" w:color="auto"/>
                                        <w:bottom w:val="none" w:sz="0" w:space="0" w:color="auto"/>
                                        <w:right w:val="none" w:sz="0" w:space="0" w:color="auto"/>
                                      </w:divBdr>
                                    </w:div>
                                  </w:divsChild>
                                </w:div>
                                <w:div w:id="827091871">
                                  <w:marLeft w:val="0"/>
                                  <w:marRight w:val="0"/>
                                  <w:marTop w:val="0"/>
                                  <w:marBottom w:val="450"/>
                                  <w:divBdr>
                                    <w:top w:val="none" w:sz="0" w:space="0" w:color="auto"/>
                                    <w:left w:val="none" w:sz="0" w:space="0" w:color="auto"/>
                                    <w:bottom w:val="none" w:sz="0" w:space="0" w:color="auto"/>
                                    <w:right w:val="none" w:sz="0" w:space="0" w:color="auto"/>
                                  </w:divBdr>
                                  <w:divsChild>
                                    <w:div w:id="1751732417">
                                      <w:marLeft w:val="0"/>
                                      <w:marRight w:val="0"/>
                                      <w:marTop w:val="0"/>
                                      <w:marBottom w:val="375"/>
                                      <w:divBdr>
                                        <w:top w:val="none" w:sz="0" w:space="0" w:color="auto"/>
                                        <w:left w:val="none" w:sz="0" w:space="0" w:color="auto"/>
                                        <w:bottom w:val="none" w:sz="0" w:space="0" w:color="auto"/>
                                        <w:right w:val="none" w:sz="0" w:space="0" w:color="auto"/>
                                      </w:divBdr>
                                    </w:div>
                                    <w:div w:id="175535454">
                                      <w:marLeft w:val="0"/>
                                      <w:marRight w:val="0"/>
                                      <w:marTop w:val="240"/>
                                      <w:marBottom w:val="480"/>
                                      <w:divBdr>
                                        <w:top w:val="none" w:sz="0" w:space="0" w:color="auto"/>
                                        <w:left w:val="none" w:sz="0" w:space="0" w:color="auto"/>
                                        <w:bottom w:val="none" w:sz="0" w:space="0" w:color="auto"/>
                                        <w:right w:val="none" w:sz="0" w:space="0" w:color="auto"/>
                                      </w:divBdr>
                                      <w:divsChild>
                                        <w:div w:id="1504935164">
                                          <w:marLeft w:val="0"/>
                                          <w:marRight w:val="0"/>
                                          <w:marTop w:val="0"/>
                                          <w:marBottom w:val="0"/>
                                          <w:divBdr>
                                            <w:top w:val="single" w:sz="6" w:space="0" w:color="C6C6C6"/>
                                            <w:left w:val="single" w:sz="6" w:space="0" w:color="C6C6C6"/>
                                            <w:bottom w:val="single" w:sz="6" w:space="0" w:color="C6C6C6"/>
                                            <w:right w:val="single" w:sz="6" w:space="0" w:color="C6C6C6"/>
                                          </w:divBdr>
                                        </w:div>
                                        <w:div w:id="28997127">
                                          <w:marLeft w:val="0"/>
                                          <w:marRight w:val="0"/>
                                          <w:marTop w:val="0"/>
                                          <w:marBottom w:val="0"/>
                                          <w:divBdr>
                                            <w:top w:val="none" w:sz="0" w:space="0" w:color="auto"/>
                                            <w:left w:val="none" w:sz="0" w:space="0" w:color="auto"/>
                                            <w:bottom w:val="dotted" w:sz="6" w:space="6" w:color="999999"/>
                                            <w:right w:val="none" w:sz="0" w:space="0" w:color="auto"/>
                                          </w:divBdr>
                                        </w:div>
                                      </w:divsChild>
                                    </w:div>
                                    <w:div w:id="235751670">
                                      <w:marLeft w:val="0"/>
                                      <w:marRight w:val="0"/>
                                      <w:marTop w:val="240"/>
                                      <w:marBottom w:val="480"/>
                                      <w:divBdr>
                                        <w:top w:val="none" w:sz="0" w:space="0" w:color="auto"/>
                                        <w:left w:val="none" w:sz="0" w:space="0" w:color="auto"/>
                                        <w:bottom w:val="none" w:sz="0" w:space="0" w:color="auto"/>
                                        <w:right w:val="none" w:sz="0" w:space="0" w:color="auto"/>
                                      </w:divBdr>
                                      <w:divsChild>
                                        <w:div w:id="614096481">
                                          <w:marLeft w:val="0"/>
                                          <w:marRight w:val="0"/>
                                          <w:marTop w:val="0"/>
                                          <w:marBottom w:val="0"/>
                                          <w:divBdr>
                                            <w:top w:val="single" w:sz="6" w:space="0" w:color="C6C6C6"/>
                                            <w:left w:val="single" w:sz="6" w:space="0" w:color="C6C6C6"/>
                                            <w:bottom w:val="single" w:sz="6" w:space="0" w:color="C6C6C6"/>
                                            <w:right w:val="single" w:sz="6" w:space="0" w:color="C6C6C6"/>
                                          </w:divBdr>
                                        </w:div>
                                        <w:div w:id="1396473225">
                                          <w:marLeft w:val="0"/>
                                          <w:marRight w:val="0"/>
                                          <w:marTop w:val="0"/>
                                          <w:marBottom w:val="0"/>
                                          <w:divBdr>
                                            <w:top w:val="none" w:sz="0" w:space="0" w:color="auto"/>
                                            <w:left w:val="none" w:sz="0" w:space="0" w:color="auto"/>
                                            <w:bottom w:val="dotted" w:sz="6" w:space="6" w:color="999999"/>
                                            <w:right w:val="none" w:sz="0" w:space="0" w:color="auto"/>
                                          </w:divBdr>
                                        </w:div>
                                      </w:divsChild>
                                    </w:div>
                                    <w:div w:id="2027055353">
                                      <w:marLeft w:val="0"/>
                                      <w:marRight w:val="0"/>
                                      <w:marTop w:val="240"/>
                                      <w:marBottom w:val="480"/>
                                      <w:divBdr>
                                        <w:top w:val="none" w:sz="0" w:space="0" w:color="auto"/>
                                        <w:left w:val="none" w:sz="0" w:space="0" w:color="auto"/>
                                        <w:bottom w:val="none" w:sz="0" w:space="0" w:color="auto"/>
                                        <w:right w:val="none" w:sz="0" w:space="0" w:color="auto"/>
                                      </w:divBdr>
                                      <w:divsChild>
                                        <w:div w:id="477453226">
                                          <w:marLeft w:val="0"/>
                                          <w:marRight w:val="0"/>
                                          <w:marTop w:val="0"/>
                                          <w:marBottom w:val="0"/>
                                          <w:divBdr>
                                            <w:top w:val="none" w:sz="0" w:space="0" w:color="auto"/>
                                            <w:left w:val="none" w:sz="0" w:space="0" w:color="auto"/>
                                            <w:bottom w:val="dotted" w:sz="6" w:space="6" w:color="999999"/>
                                            <w:right w:val="none" w:sz="0" w:space="0" w:color="auto"/>
                                          </w:divBdr>
                                        </w:div>
                                        <w:div w:id="230312862">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64706679">
                                  <w:marLeft w:val="0"/>
                                  <w:marRight w:val="0"/>
                                  <w:marTop w:val="0"/>
                                  <w:marBottom w:val="450"/>
                                  <w:divBdr>
                                    <w:top w:val="none" w:sz="0" w:space="0" w:color="auto"/>
                                    <w:left w:val="none" w:sz="0" w:space="0" w:color="auto"/>
                                    <w:bottom w:val="none" w:sz="0" w:space="0" w:color="auto"/>
                                    <w:right w:val="none" w:sz="0" w:space="0" w:color="auto"/>
                                  </w:divBdr>
                                  <w:divsChild>
                                    <w:div w:id="1362242628">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13" Type="http://schemas.openxmlformats.org/officeDocument/2006/relationships/image" Target="media/image5.gif"/><Relationship Id="rId3" Type="http://schemas.openxmlformats.org/officeDocument/2006/relationships/customXml" Target="../customXml/item3.xml"/><Relationship Id="rId7" Type="http://schemas.openxmlformats.org/officeDocument/2006/relationships/hyperlink" Target="https://doi.org/10.1109/MCOM.2017.1700847" TargetMode="External"/><Relationship Id="rId12" Type="http://schemas.openxmlformats.org/officeDocument/2006/relationships/image" Target="media/image4.gi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5" Type="http://schemas.openxmlformats.org/officeDocument/2006/relationships/settings" Target="settings.xml"/><Relationship Id="rId15" Type="http://schemas.openxmlformats.org/officeDocument/2006/relationships/image" Target="media/image7.gif"/><Relationship Id="rId10" Type="http://schemas.openxmlformats.org/officeDocument/2006/relationships/image" Target="media/image2.gif"/><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image" Target="media/image6.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DE78EC-C9D6-4177-A29E-C4106197732C}"/>
</file>

<file path=customXml/itemProps2.xml><?xml version="1.0" encoding="utf-8"?>
<ds:datastoreItem xmlns:ds="http://schemas.openxmlformats.org/officeDocument/2006/customXml" ds:itemID="{99FE357C-8A68-4257-9E8A-42CCE996E829}">
  <ds:schemaRefs>
    <ds:schemaRef ds:uri="http://schemas.microsoft.com/sharepoint/v3/contenttype/forms"/>
  </ds:schemaRefs>
</ds:datastoreItem>
</file>

<file path=customXml/itemProps3.xml><?xml version="1.0" encoding="utf-8"?>
<ds:datastoreItem xmlns:ds="http://schemas.openxmlformats.org/officeDocument/2006/customXml" ds:itemID="{4FC8A726-E43C-4B04-82ED-418CC53463C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13</Pages>
  <Words>5781</Words>
  <Characters>34109</Characters>
  <Application>Microsoft Office Word</Application>
  <DocSecurity>8</DocSecurity>
  <Lines>437</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26</cp:revision>
  <dcterms:created xsi:type="dcterms:W3CDTF">2019-06-25T17:53:00Z</dcterms:created>
  <dcterms:modified xsi:type="dcterms:W3CDTF">2019-11-05T18:52:00Z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