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1763867" w:rsidR="000A7622" w:rsidRPr="00C04F25" w:rsidRDefault="00B24BD2"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884E15A" w:rsidR="000A7622" w:rsidRDefault="00F56CC0" w:rsidP="00D14423">
      <w:pPr>
        <w:rPr>
          <w:rFonts w:cstheme="minorHAnsi"/>
          <w:sz w:val="24"/>
          <w:szCs w:val="24"/>
        </w:rPr>
      </w:pPr>
      <w:proofErr w:type="spellStart"/>
      <w:r>
        <w:rPr>
          <w:rFonts w:cstheme="minorHAnsi"/>
          <w:i/>
          <w:sz w:val="24"/>
          <w:szCs w:val="24"/>
          <w:lang w:val="fr-FR"/>
        </w:rPr>
        <w:t>Frontiers</w:t>
      </w:r>
      <w:proofErr w:type="spellEnd"/>
      <w:r>
        <w:rPr>
          <w:rFonts w:cstheme="minorHAnsi"/>
          <w:i/>
          <w:sz w:val="24"/>
          <w:szCs w:val="24"/>
          <w:lang w:val="fr-FR"/>
        </w:rPr>
        <w:t xml:space="preserve"> in Human Neuroscience</w:t>
      </w:r>
      <w:r w:rsidR="000A7622" w:rsidRPr="00C04F25">
        <w:rPr>
          <w:rFonts w:cstheme="minorHAnsi"/>
          <w:sz w:val="24"/>
          <w:szCs w:val="24"/>
          <w:lang w:val="fr-FR"/>
        </w:rPr>
        <w:t xml:space="preserve">, Vol. </w:t>
      </w:r>
      <w:r>
        <w:rPr>
          <w:rFonts w:cstheme="minorHAnsi"/>
          <w:sz w:val="24"/>
          <w:szCs w:val="24"/>
          <w:lang w:val="fr-FR"/>
        </w:rPr>
        <w:t>15</w:t>
      </w:r>
      <w:r w:rsidR="000A7622" w:rsidRPr="00C04F25">
        <w:rPr>
          <w:rFonts w:cstheme="minorHAnsi"/>
          <w:sz w:val="24"/>
          <w:szCs w:val="24"/>
          <w:lang w:val="fr-FR"/>
        </w:rPr>
        <w:t xml:space="preserve"> (</w:t>
      </w:r>
      <w:proofErr w:type="spellStart"/>
      <w:r>
        <w:rPr>
          <w:rFonts w:cstheme="minorHAnsi"/>
          <w:sz w:val="24"/>
          <w:szCs w:val="24"/>
          <w:lang w:val="fr-FR"/>
        </w:rPr>
        <w:t>September</w:t>
      </w:r>
      <w:proofErr w:type="spellEnd"/>
      <w:r>
        <w:rPr>
          <w:rFonts w:cstheme="minorHAnsi"/>
          <w:sz w:val="24"/>
          <w:szCs w:val="24"/>
          <w:lang w:val="fr-FR"/>
        </w:rPr>
        <w:t xml:space="preserve"> </w:t>
      </w:r>
      <w:r w:rsidR="00314611">
        <w:rPr>
          <w:rFonts w:cstheme="minorHAnsi"/>
          <w:sz w:val="24"/>
          <w:szCs w:val="24"/>
          <w:lang w:val="fr-FR"/>
        </w:rPr>
        <w:t xml:space="preserve">29, </w:t>
      </w:r>
      <w:r>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742198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D1851" w:rsidRPr="004D1851">
        <w:rPr>
          <w:rFonts w:cstheme="minorHAnsi"/>
          <w:sz w:val="24"/>
          <w:szCs w:val="24"/>
        </w:rPr>
        <w:t xml:space="preserve">2021 Weis, Huggins, </w:t>
      </w:r>
      <w:proofErr w:type="spellStart"/>
      <w:r w:rsidR="004D1851" w:rsidRPr="004D1851">
        <w:rPr>
          <w:rFonts w:cstheme="minorHAnsi"/>
          <w:sz w:val="24"/>
          <w:szCs w:val="24"/>
        </w:rPr>
        <w:t>Miskovich</w:t>
      </w:r>
      <w:proofErr w:type="spellEnd"/>
      <w:r w:rsidR="004D1851" w:rsidRPr="004D1851">
        <w:rPr>
          <w:rFonts w:cstheme="minorHAnsi"/>
          <w:sz w:val="24"/>
          <w:szCs w:val="24"/>
        </w:rPr>
        <w:t xml:space="preserve">, Fitzgerald, Bennett, </w:t>
      </w:r>
      <w:proofErr w:type="spellStart"/>
      <w:r w:rsidR="004D1851" w:rsidRPr="004D1851">
        <w:rPr>
          <w:rFonts w:cstheme="minorHAnsi"/>
          <w:sz w:val="24"/>
          <w:szCs w:val="24"/>
        </w:rPr>
        <w:t>Krukowski</w:t>
      </w:r>
      <w:proofErr w:type="spellEnd"/>
      <w:r w:rsidR="004D1851" w:rsidRPr="004D1851">
        <w:rPr>
          <w:rFonts w:cstheme="minorHAnsi"/>
          <w:sz w:val="24"/>
          <w:szCs w:val="24"/>
        </w:rPr>
        <w:t xml:space="preserve">, Webb, </w:t>
      </w:r>
      <w:proofErr w:type="spellStart"/>
      <w:r w:rsidR="004D1851" w:rsidRPr="004D1851">
        <w:rPr>
          <w:rFonts w:cstheme="minorHAnsi"/>
          <w:sz w:val="24"/>
          <w:szCs w:val="24"/>
        </w:rPr>
        <w:t>deRoon</w:t>
      </w:r>
      <w:proofErr w:type="spellEnd"/>
      <w:r w:rsidR="004D1851" w:rsidRPr="004D1851">
        <w:rPr>
          <w:rFonts w:cstheme="minorHAnsi"/>
          <w:sz w:val="24"/>
          <w:szCs w:val="24"/>
        </w:rPr>
        <w:t>-</w:t>
      </w:r>
      <w:proofErr w:type="gramStart"/>
      <w:r w:rsidR="004D1851" w:rsidRPr="004D1851">
        <w:rPr>
          <w:rFonts w:cstheme="minorHAnsi"/>
          <w:sz w:val="24"/>
          <w:szCs w:val="24"/>
        </w:rPr>
        <w:t>Cassini</w:t>
      </w:r>
      <w:proofErr w:type="gramEnd"/>
      <w:r w:rsidR="004D1851" w:rsidRPr="004D1851">
        <w:rPr>
          <w:rFonts w:cstheme="minorHAnsi"/>
          <w:sz w:val="24"/>
          <w:szCs w:val="24"/>
        </w:rPr>
        <w:t xml:space="preserve"> and Larson. </w:t>
      </w:r>
      <w:r w:rsidR="004D1851">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3323F7" w:rsidRPr="003323F7">
        <w:rPr>
          <w:rFonts w:cstheme="minorHAnsi"/>
          <w:sz w:val="24"/>
          <w:szCs w:val="2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36D66B89" w14:textId="17FA88F8" w:rsidR="000976FB" w:rsidRDefault="000976FB" w:rsidP="000976FB"/>
    <w:p w14:paraId="3D6B7650" w14:textId="78CFB948" w:rsidR="007D1B53" w:rsidRDefault="007D1B53" w:rsidP="007D1B53">
      <w:pPr>
        <w:pStyle w:val="Title"/>
      </w:pPr>
      <w:r w:rsidRPr="007D1B53">
        <w:t>Acute White Matter Integrity Post-trauma and Prospective Posttraumatic Stress Disorder Symptoms</w:t>
      </w:r>
    </w:p>
    <w:p w14:paraId="4F2612A6" w14:textId="77777777" w:rsidR="00B24BD2" w:rsidRDefault="00B24BD2" w:rsidP="007D1B53"/>
    <w:p w14:paraId="7504F6C9" w14:textId="2B1F29F5" w:rsidR="00321876" w:rsidRPr="00246E28" w:rsidRDefault="00321876" w:rsidP="00246E28">
      <w:pPr>
        <w:pStyle w:val="NoSpacing"/>
        <w:rPr>
          <w:sz w:val="32"/>
          <w:szCs w:val="32"/>
        </w:rPr>
      </w:pPr>
      <w:r w:rsidRPr="00246E28">
        <w:rPr>
          <w:sz w:val="32"/>
          <w:szCs w:val="32"/>
        </w:rPr>
        <w:t>Carissa N. Weis</w:t>
      </w:r>
    </w:p>
    <w:p w14:paraId="728F800A" w14:textId="3981935C" w:rsidR="00321876" w:rsidRPr="00246E28" w:rsidRDefault="00DB5077" w:rsidP="00246E28">
      <w:pPr>
        <w:pStyle w:val="NoSpacing"/>
        <w:rPr>
          <w:sz w:val="24"/>
          <w:szCs w:val="24"/>
        </w:rPr>
      </w:pPr>
      <w:r w:rsidRPr="00246E28">
        <w:rPr>
          <w:sz w:val="24"/>
          <w:szCs w:val="24"/>
        </w:rPr>
        <w:t>Department of Psychology, University of Wisconsin-Milwaukee, Milwaukee, WI</w:t>
      </w:r>
    </w:p>
    <w:p w14:paraId="76DBD013" w14:textId="4AB07ECC" w:rsidR="00321876" w:rsidRPr="00246E28" w:rsidRDefault="00321876" w:rsidP="00246E28">
      <w:pPr>
        <w:pStyle w:val="NoSpacing"/>
        <w:rPr>
          <w:sz w:val="32"/>
          <w:szCs w:val="32"/>
        </w:rPr>
      </w:pPr>
      <w:r w:rsidRPr="00246E28">
        <w:rPr>
          <w:sz w:val="32"/>
          <w:szCs w:val="32"/>
        </w:rPr>
        <w:t>Ashley A. Huggins</w:t>
      </w:r>
    </w:p>
    <w:p w14:paraId="143AADA0" w14:textId="3274AF0F" w:rsidR="00321876" w:rsidRPr="00246E28" w:rsidRDefault="00DB5077" w:rsidP="00246E28">
      <w:pPr>
        <w:pStyle w:val="NoSpacing"/>
        <w:rPr>
          <w:sz w:val="24"/>
          <w:szCs w:val="24"/>
        </w:rPr>
      </w:pPr>
      <w:r w:rsidRPr="00246E28">
        <w:rPr>
          <w:sz w:val="24"/>
          <w:szCs w:val="24"/>
        </w:rPr>
        <w:t>Department of Psychology, University of Wisconsin-Milwaukee, Milwaukee, WI</w:t>
      </w:r>
    </w:p>
    <w:p w14:paraId="32B593AD" w14:textId="13C3094A" w:rsidR="00321876" w:rsidRPr="00246E28" w:rsidRDefault="00321876" w:rsidP="00246E28">
      <w:pPr>
        <w:pStyle w:val="NoSpacing"/>
        <w:rPr>
          <w:sz w:val="32"/>
          <w:szCs w:val="32"/>
        </w:rPr>
      </w:pPr>
      <w:r w:rsidRPr="00246E28">
        <w:rPr>
          <w:sz w:val="32"/>
          <w:szCs w:val="32"/>
        </w:rPr>
        <w:t xml:space="preserve">Tara A. </w:t>
      </w:r>
      <w:proofErr w:type="spellStart"/>
      <w:r w:rsidRPr="00246E28">
        <w:rPr>
          <w:sz w:val="32"/>
          <w:szCs w:val="32"/>
        </w:rPr>
        <w:t>Miskovich</w:t>
      </w:r>
      <w:proofErr w:type="spellEnd"/>
    </w:p>
    <w:p w14:paraId="41968EB1" w14:textId="68AD3EE5" w:rsidR="00321876" w:rsidRPr="00246E28" w:rsidRDefault="00DB5077" w:rsidP="00246E28">
      <w:pPr>
        <w:pStyle w:val="NoSpacing"/>
        <w:rPr>
          <w:sz w:val="24"/>
          <w:szCs w:val="24"/>
        </w:rPr>
      </w:pPr>
      <w:r w:rsidRPr="00246E28">
        <w:rPr>
          <w:sz w:val="24"/>
          <w:szCs w:val="24"/>
        </w:rPr>
        <w:t>Sacramento VA Medical Center (VHA), Sacramento, CA</w:t>
      </w:r>
    </w:p>
    <w:p w14:paraId="68721756" w14:textId="53332634" w:rsidR="00321876" w:rsidRPr="00246E28" w:rsidRDefault="00321876" w:rsidP="00246E28">
      <w:pPr>
        <w:pStyle w:val="NoSpacing"/>
        <w:rPr>
          <w:sz w:val="32"/>
          <w:szCs w:val="32"/>
        </w:rPr>
      </w:pPr>
      <w:r w:rsidRPr="00246E28">
        <w:rPr>
          <w:sz w:val="32"/>
          <w:szCs w:val="32"/>
        </w:rPr>
        <w:t>Jacklynn M. Fitzgerald</w:t>
      </w:r>
    </w:p>
    <w:p w14:paraId="2BCFE640" w14:textId="14E55BEF" w:rsidR="00321876" w:rsidRPr="00246E28" w:rsidRDefault="006973CC" w:rsidP="00246E28">
      <w:pPr>
        <w:pStyle w:val="NoSpacing"/>
        <w:rPr>
          <w:sz w:val="24"/>
          <w:szCs w:val="24"/>
        </w:rPr>
      </w:pPr>
      <w:r w:rsidRPr="00246E28">
        <w:rPr>
          <w:sz w:val="24"/>
          <w:szCs w:val="24"/>
        </w:rPr>
        <w:t>Department of Psychology, Marquette University, Milwaukee, WI</w:t>
      </w:r>
    </w:p>
    <w:p w14:paraId="40F90A34" w14:textId="6E72771C" w:rsidR="00321876" w:rsidRPr="00246E28" w:rsidRDefault="00321876" w:rsidP="00246E28">
      <w:pPr>
        <w:pStyle w:val="NoSpacing"/>
        <w:rPr>
          <w:sz w:val="32"/>
          <w:szCs w:val="32"/>
        </w:rPr>
      </w:pPr>
      <w:r w:rsidRPr="00246E28">
        <w:rPr>
          <w:sz w:val="32"/>
          <w:szCs w:val="32"/>
        </w:rPr>
        <w:t>Kenneth P. Bennett</w:t>
      </w:r>
    </w:p>
    <w:p w14:paraId="591BF7E5" w14:textId="0FA37844" w:rsidR="00321876" w:rsidRPr="00246E28" w:rsidRDefault="006973CC" w:rsidP="00246E28">
      <w:pPr>
        <w:pStyle w:val="NoSpacing"/>
        <w:rPr>
          <w:sz w:val="24"/>
          <w:szCs w:val="24"/>
        </w:rPr>
      </w:pPr>
      <w:r w:rsidRPr="00246E28">
        <w:rPr>
          <w:sz w:val="24"/>
          <w:szCs w:val="24"/>
        </w:rPr>
        <w:t>Montana VA Health Care System, Helena, MT</w:t>
      </w:r>
    </w:p>
    <w:p w14:paraId="6457EABE" w14:textId="5C5D2505" w:rsidR="00321876" w:rsidRPr="00246E28" w:rsidRDefault="00321876" w:rsidP="00246E28">
      <w:pPr>
        <w:pStyle w:val="NoSpacing"/>
        <w:rPr>
          <w:sz w:val="32"/>
          <w:szCs w:val="32"/>
        </w:rPr>
      </w:pPr>
      <w:r w:rsidRPr="00246E28">
        <w:rPr>
          <w:sz w:val="32"/>
          <w:szCs w:val="32"/>
        </w:rPr>
        <w:lastRenderedPageBreak/>
        <w:t xml:space="preserve">Jessica L. </w:t>
      </w:r>
      <w:proofErr w:type="spellStart"/>
      <w:r w:rsidRPr="00246E28">
        <w:rPr>
          <w:sz w:val="32"/>
          <w:szCs w:val="32"/>
        </w:rPr>
        <w:t>Krukowski</w:t>
      </w:r>
      <w:proofErr w:type="spellEnd"/>
    </w:p>
    <w:p w14:paraId="67557835" w14:textId="42CE38BF" w:rsidR="00321876" w:rsidRPr="00246E28" w:rsidRDefault="006973CC" w:rsidP="00246E28">
      <w:pPr>
        <w:pStyle w:val="NoSpacing"/>
        <w:rPr>
          <w:sz w:val="24"/>
          <w:szCs w:val="24"/>
        </w:rPr>
      </w:pPr>
      <w:r w:rsidRPr="00246E28">
        <w:rPr>
          <w:sz w:val="24"/>
          <w:szCs w:val="24"/>
        </w:rPr>
        <w:t>Department of Psychology, Marquette University, Milwaukee, WI</w:t>
      </w:r>
    </w:p>
    <w:p w14:paraId="4D844998" w14:textId="1764DF9C" w:rsidR="00321876" w:rsidRPr="00246E28" w:rsidRDefault="00321876" w:rsidP="00246E28">
      <w:pPr>
        <w:pStyle w:val="NoSpacing"/>
        <w:rPr>
          <w:sz w:val="32"/>
          <w:szCs w:val="32"/>
        </w:rPr>
      </w:pPr>
      <w:r w:rsidRPr="00246E28">
        <w:rPr>
          <w:sz w:val="32"/>
          <w:szCs w:val="32"/>
        </w:rPr>
        <w:t>E. Kate Webb</w:t>
      </w:r>
    </w:p>
    <w:p w14:paraId="3FF09061" w14:textId="684C1338" w:rsidR="00321876" w:rsidRPr="00246E28" w:rsidRDefault="00DB5077" w:rsidP="00246E28">
      <w:pPr>
        <w:pStyle w:val="NoSpacing"/>
        <w:rPr>
          <w:sz w:val="24"/>
          <w:szCs w:val="24"/>
        </w:rPr>
      </w:pPr>
      <w:r w:rsidRPr="00246E28">
        <w:rPr>
          <w:sz w:val="24"/>
          <w:szCs w:val="24"/>
        </w:rPr>
        <w:t>Department of Psychology, University of Wisconsin-Milwaukee, Milwaukee, WI</w:t>
      </w:r>
    </w:p>
    <w:p w14:paraId="416A6902" w14:textId="69A905AE" w:rsidR="00321876" w:rsidRPr="00246E28" w:rsidRDefault="00321876" w:rsidP="00246E28">
      <w:pPr>
        <w:pStyle w:val="NoSpacing"/>
        <w:rPr>
          <w:sz w:val="32"/>
          <w:szCs w:val="32"/>
        </w:rPr>
      </w:pPr>
      <w:r w:rsidRPr="00246E28">
        <w:rPr>
          <w:sz w:val="32"/>
          <w:szCs w:val="32"/>
        </w:rPr>
        <w:t xml:space="preserve">Terri A. </w:t>
      </w:r>
      <w:proofErr w:type="spellStart"/>
      <w:r w:rsidRPr="00246E28">
        <w:rPr>
          <w:sz w:val="32"/>
          <w:szCs w:val="32"/>
        </w:rPr>
        <w:t>deRoon</w:t>
      </w:r>
      <w:proofErr w:type="spellEnd"/>
      <w:r w:rsidRPr="00246E28">
        <w:rPr>
          <w:sz w:val="32"/>
          <w:szCs w:val="32"/>
        </w:rPr>
        <w:t>-Cassini</w:t>
      </w:r>
    </w:p>
    <w:p w14:paraId="2696003A" w14:textId="7083FA07" w:rsidR="00321876" w:rsidRPr="00246E28" w:rsidRDefault="00246E28" w:rsidP="00246E28">
      <w:pPr>
        <w:pStyle w:val="NoSpacing"/>
        <w:rPr>
          <w:sz w:val="24"/>
          <w:szCs w:val="24"/>
        </w:rPr>
      </w:pPr>
      <w:r w:rsidRPr="00246E28">
        <w:rPr>
          <w:sz w:val="24"/>
          <w:szCs w:val="24"/>
        </w:rPr>
        <w:t>Division of Trauma and Acute Care Surgery, Department of Surgery, Medical College of Wisconsin, Milwaukee, WI</w:t>
      </w:r>
    </w:p>
    <w:p w14:paraId="429C0E11" w14:textId="4E3AE561" w:rsidR="00B24BD2" w:rsidRPr="00246E28" w:rsidRDefault="00321876" w:rsidP="00246E28">
      <w:pPr>
        <w:pStyle w:val="NoSpacing"/>
        <w:rPr>
          <w:sz w:val="32"/>
          <w:szCs w:val="32"/>
        </w:rPr>
      </w:pPr>
      <w:r w:rsidRPr="00246E28">
        <w:rPr>
          <w:sz w:val="32"/>
          <w:szCs w:val="32"/>
        </w:rPr>
        <w:t>Christine L. Larson</w:t>
      </w:r>
    </w:p>
    <w:p w14:paraId="2CF17647" w14:textId="1BA7F96B" w:rsidR="00B24BD2" w:rsidRPr="00246E28" w:rsidRDefault="00DB5077" w:rsidP="00246E28">
      <w:pPr>
        <w:pStyle w:val="NoSpacing"/>
        <w:rPr>
          <w:sz w:val="24"/>
          <w:szCs w:val="24"/>
        </w:rPr>
      </w:pPr>
      <w:r w:rsidRPr="00246E28">
        <w:rPr>
          <w:sz w:val="24"/>
          <w:szCs w:val="24"/>
        </w:rPr>
        <w:t>Department of Psychology, University of Wisconsin-Milwaukee, Milwaukee, WI</w:t>
      </w:r>
    </w:p>
    <w:p w14:paraId="0431C715" w14:textId="77777777" w:rsidR="00B24BD2" w:rsidRDefault="00B24BD2" w:rsidP="007D1B53"/>
    <w:p w14:paraId="0BC14D25" w14:textId="77777777" w:rsidR="007D1B53" w:rsidRPr="007D1B53" w:rsidRDefault="007D1B53" w:rsidP="00246E28">
      <w:pPr>
        <w:pStyle w:val="Heading1"/>
        <w:rPr>
          <w:lang w:val="en"/>
        </w:rPr>
      </w:pPr>
      <w:r w:rsidRPr="007D1B53">
        <w:rPr>
          <w:lang w:val="en"/>
        </w:rPr>
        <w:t>Abstract</w:t>
      </w:r>
    </w:p>
    <w:p w14:paraId="11B928DC" w14:textId="77777777" w:rsidR="007D1B53" w:rsidRPr="007D1B53" w:rsidRDefault="007D1B53" w:rsidP="007D1B53">
      <w:pPr>
        <w:rPr>
          <w:lang w:val="en"/>
        </w:rPr>
      </w:pPr>
      <w:r w:rsidRPr="007D1B53">
        <w:rPr>
          <w:b/>
          <w:bCs/>
          <w:lang w:val="en"/>
        </w:rPr>
        <w:t>Background:</w:t>
      </w:r>
      <w:r w:rsidRPr="007D1B53">
        <w:rPr>
          <w:lang w:val="en"/>
        </w:rPr>
        <w:t> Little is known about what distinguishes those who are resilient after trauma from those at risk for developing posttraumatic stress disorder (PTSD). Previous work indicates white matter integrity may be a useful biomarker in predicting PTSD. Research has shown changes in the integrity of three white matter tracts—the cingulum bundle, corpus callosum (CC), and uncinate fasciculus (UNC)—in the aftermath of trauma relate to PTSD symptoms. However, few have examined the predictive utility of white matter integrity in the </w:t>
      </w:r>
      <w:r w:rsidRPr="007D1B53">
        <w:rPr>
          <w:i/>
          <w:iCs/>
          <w:lang w:val="en"/>
        </w:rPr>
        <w:t>acute</w:t>
      </w:r>
      <w:r w:rsidRPr="007D1B53">
        <w:rPr>
          <w:lang w:val="en"/>
        </w:rPr>
        <w:t> aftermath of trauma to predict </w:t>
      </w:r>
      <w:r w:rsidRPr="007D1B53">
        <w:rPr>
          <w:i/>
          <w:iCs/>
          <w:lang w:val="en"/>
        </w:rPr>
        <w:t>prospective</w:t>
      </w:r>
      <w:r w:rsidRPr="007D1B53">
        <w:rPr>
          <w:lang w:val="en"/>
        </w:rPr>
        <w:t> PTSD symptom severity in a mixed traumatic injury sample.</w:t>
      </w:r>
    </w:p>
    <w:p w14:paraId="07613E0B" w14:textId="77777777" w:rsidR="007D1B53" w:rsidRPr="007D1B53" w:rsidRDefault="007D1B53" w:rsidP="007D1B53">
      <w:pPr>
        <w:rPr>
          <w:lang w:val="en"/>
        </w:rPr>
      </w:pPr>
      <w:r w:rsidRPr="007D1B53">
        <w:rPr>
          <w:b/>
          <w:bCs/>
          <w:lang w:val="en"/>
        </w:rPr>
        <w:t>Method:</w:t>
      </w:r>
      <w:r w:rsidRPr="007D1B53">
        <w:rPr>
          <w:lang w:val="en"/>
        </w:rPr>
        <w:t> Thus, the current study investigated acute brain structural integrity in 148 individuals being treated for traumatic injuries in the Emergency Department of a Level 1 trauma center. Participants underwent diffusion-weighted magnetic resonance imaging 2 weeks post-trauma and completed several self-report measures at 2-weeks (T1) and 6 months (T2), including the Clinician Administered PTSD Scale for DSM-V (CAPS-5), post-injury.</w:t>
      </w:r>
    </w:p>
    <w:p w14:paraId="3895CF5D" w14:textId="77777777" w:rsidR="007D1B53" w:rsidRPr="007D1B53" w:rsidRDefault="007D1B53" w:rsidP="007D1B53">
      <w:pPr>
        <w:rPr>
          <w:lang w:val="en"/>
        </w:rPr>
      </w:pPr>
      <w:r w:rsidRPr="007D1B53">
        <w:rPr>
          <w:b/>
          <w:bCs/>
          <w:lang w:val="en"/>
        </w:rPr>
        <w:t>Results:</w:t>
      </w:r>
      <w:r w:rsidRPr="007D1B53">
        <w:rPr>
          <w:lang w:val="en"/>
        </w:rPr>
        <w:t> Consistent with previous work, T1 lesser anterior cingulum fractional anisotropy (FA) was marginally related to greater T2 total PTSD symptoms. No other white matter tracts were related to PTSD symptoms.</w:t>
      </w:r>
    </w:p>
    <w:p w14:paraId="6640F26F" w14:textId="77777777" w:rsidR="007D1B53" w:rsidRPr="007D1B53" w:rsidRDefault="007D1B53" w:rsidP="007D1B53">
      <w:pPr>
        <w:rPr>
          <w:lang w:val="en"/>
        </w:rPr>
      </w:pPr>
      <w:r w:rsidRPr="007D1B53">
        <w:rPr>
          <w:b/>
          <w:bCs/>
          <w:lang w:val="en"/>
        </w:rPr>
        <w:t>Conclusions:</w:t>
      </w:r>
      <w:r w:rsidRPr="007D1B53">
        <w:rPr>
          <w:lang w:val="en"/>
        </w:rPr>
        <w:t> Results demonstrate that in a traumatically injured sample with predominantly subclinical PTSD symptoms at T2, acute white matter integrity after trauma is not robustly related to the development of chronic PTSD symptoms. These findings suggest the timing of evaluating white matter integrity and PTSD is important as white matter differences may not be apparent in the acute period after injury.</w:t>
      </w:r>
    </w:p>
    <w:p w14:paraId="4F882DB2" w14:textId="77777777" w:rsidR="00246E28" w:rsidRDefault="007D1B53" w:rsidP="00246E28">
      <w:pPr>
        <w:pStyle w:val="Heading1"/>
        <w:rPr>
          <w:lang w:val="en"/>
        </w:rPr>
      </w:pPr>
      <w:r w:rsidRPr="007D1B53">
        <w:rPr>
          <w:lang w:val="en"/>
        </w:rPr>
        <w:t>Keywords</w:t>
      </w:r>
    </w:p>
    <w:p w14:paraId="64A16962" w14:textId="0B802E98" w:rsidR="007D1B53" w:rsidRPr="007D1B53" w:rsidRDefault="007D1B53" w:rsidP="007D1B53">
      <w:pPr>
        <w:rPr>
          <w:lang w:val="en"/>
        </w:rPr>
      </w:pPr>
      <w:r w:rsidRPr="007D1B53">
        <w:rPr>
          <w:lang w:val="en"/>
        </w:rPr>
        <w:t>PTSD, DTI, trauma, white matter, brain structure</w:t>
      </w:r>
    </w:p>
    <w:p w14:paraId="12248F27" w14:textId="77777777" w:rsidR="007D1B53" w:rsidRPr="007D1B53" w:rsidRDefault="007D1B53" w:rsidP="00246E28">
      <w:pPr>
        <w:pStyle w:val="Heading1"/>
      </w:pPr>
      <w:r w:rsidRPr="007D1B53">
        <w:t>Introduction</w:t>
      </w:r>
    </w:p>
    <w:p w14:paraId="1F948324" w14:textId="3B2ECB1B" w:rsidR="007D1B53" w:rsidRPr="007D1B53" w:rsidRDefault="007D1B53" w:rsidP="007D1B53">
      <w:r w:rsidRPr="007D1B53">
        <w:t>In the United States, nearly 90% of people experience a traumatic event in their lives (</w:t>
      </w:r>
      <w:r w:rsidRPr="003E1E6E">
        <w:t>Kilpatrick et al., 2013</w:t>
      </w:r>
      <w:r w:rsidRPr="007D1B53">
        <w:t>). While most individuals are resilient after trauma, a substantial subset of trauma-exposed individuals go on to develop posttraumatic stress disorder (PTSD) (</w:t>
      </w:r>
      <w:proofErr w:type="spellStart"/>
      <w:r w:rsidRPr="003E1E6E">
        <w:t>Cloitre</w:t>
      </w:r>
      <w:proofErr w:type="spellEnd"/>
      <w:r w:rsidRPr="003E1E6E">
        <w:t xml:space="preserve"> et al., 2019</w:t>
      </w:r>
      <w:r w:rsidRPr="007D1B53">
        <w:t>). PTSD is characterized by symptoms that include re-experiencing the traumatic event through intrusive thoughts, nightmares, and flashbacks, avoiding trauma-related stimuli, general hyperarousal, and experiencing negative thoughts or emotions that begin or worsen after the event (</w:t>
      </w:r>
      <w:r w:rsidRPr="003E1E6E">
        <w:t>American Psychiatric Association, 2013</w:t>
      </w:r>
      <w:r w:rsidRPr="007D1B53">
        <w:t>).</w:t>
      </w:r>
    </w:p>
    <w:p w14:paraId="1F77C9DB" w14:textId="0AE31073" w:rsidR="007D1B53" w:rsidRPr="007D1B53" w:rsidRDefault="007D1B53" w:rsidP="007D1B53">
      <w:r w:rsidRPr="007D1B53">
        <w:t xml:space="preserve">Critically, </w:t>
      </w:r>
      <w:proofErr w:type="gramStart"/>
      <w:r w:rsidRPr="007D1B53">
        <w:t>at this point in time</w:t>
      </w:r>
      <w:proofErr w:type="gramEnd"/>
      <w:r w:rsidRPr="007D1B53">
        <w:t xml:space="preserve">, clinicians do not have an accurate method of predicting who is at risk of developing PTSD after a traumatic event. Ideally, psychological and/or biological markers measured early after trauma exposure could be used to identify those at risk for chronic distress so that appropriate interventions </w:t>
      </w:r>
      <w:r w:rsidRPr="007D1B53">
        <w:lastRenderedPageBreak/>
        <w:t>could be administered (</w:t>
      </w:r>
      <w:r w:rsidRPr="003E1E6E">
        <w:t>Bryant, 2003</w:t>
      </w:r>
      <w:r w:rsidRPr="007D1B53">
        <w:t>; </w:t>
      </w:r>
      <w:r w:rsidRPr="003E1E6E">
        <w:t>Shalev et al., 2019</w:t>
      </w:r>
      <w:r w:rsidRPr="007D1B53">
        <w:t>). Localizing disruptions in the brain that underlie maladaptive behaviors and cognitions is important so that targeted interventions can be implemented to prevent symptom development without disrupting unrelated and intact neural processes.</w:t>
      </w:r>
    </w:p>
    <w:p w14:paraId="51879EDD" w14:textId="00C3683C" w:rsidR="007D1B53" w:rsidRPr="007D1B53" w:rsidRDefault="007D1B53" w:rsidP="007D1B53">
      <w:r w:rsidRPr="007D1B53">
        <w:t>Structural integrity studies using diffusion tensor imaging (DTI) have repeatedly yielded results suggesting the utility of white matter integrity as a biomarker of PTSD (</w:t>
      </w:r>
      <w:proofErr w:type="spellStart"/>
      <w:r w:rsidRPr="003E1E6E">
        <w:t>Bremner</w:t>
      </w:r>
      <w:proofErr w:type="spellEnd"/>
      <w:r w:rsidRPr="003E1E6E">
        <w:t>, 2005</w:t>
      </w:r>
      <w:r w:rsidRPr="007D1B53">
        <w:t>; </w:t>
      </w:r>
      <w:r w:rsidRPr="003E1E6E">
        <w:t>Karl et al., 2006</w:t>
      </w:r>
      <w:r w:rsidRPr="007D1B53">
        <w:t>; </w:t>
      </w:r>
      <w:r w:rsidRPr="003E1E6E">
        <w:t>Alexander et al., 2007</w:t>
      </w:r>
      <w:r w:rsidRPr="007D1B53">
        <w:t>; </w:t>
      </w:r>
      <w:r w:rsidRPr="003E1E6E">
        <w:t>Pitman et al., 2012</w:t>
      </w:r>
      <w:r w:rsidRPr="007D1B53">
        <w:t>). DTI is a neuroimaging technique that can non-invasively characterize structural integrity of white matter tracts in the brain by measuring the signal attenuation of water movement within brain tissue (</w:t>
      </w:r>
      <w:r w:rsidRPr="003E1E6E">
        <w:t xml:space="preserve">Mori and </w:t>
      </w:r>
      <w:proofErr w:type="spellStart"/>
      <w:r w:rsidRPr="003E1E6E">
        <w:t>Tournier</w:t>
      </w:r>
      <w:proofErr w:type="spellEnd"/>
      <w:r w:rsidRPr="003E1E6E">
        <w:t>, 2014</w:t>
      </w:r>
      <w:r w:rsidRPr="007D1B53">
        <w:t xml:space="preserve">). White matter tracts are the myelinated axons of neurons within the brain that facilitate the efficient neural transfer of information. Fractional anisotropy (FA) </w:t>
      </w:r>
      <w:proofErr w:type="gramStart"/>
      <w:r w:rsidRPr="007D1B53">
        <w:t>is an approximation of</w:t>
      </w:r>
      <w:proofErr w:type="gramEnd"/>
      <w:r w:rsidRPr="007D1B53">
        <w:t xml:space="preserve"> the spatial coherence of white matter tissue (</w:t>
      </w:r>
      <w:r w:rsidRPr="003E1E6E">
        <w:t xml:space="preserve">Mori and </w:t>
      </w:r>
      <w:proofErr w:type="spellStart"/>
      <w:r w:rsidRPr="003E1E6E">
        <w:t>Tournier</w:t>
      </w:r>
      <w:proofErr w:type="spellEnd"/>
      <w:r w:rsidRPr="003E1E6E">
        <w:t>, 2014</w:t>
      </w:r>
      <w:r w:rsidRPr="007D1B53">
        <w:t>). Prior research has shown that FA, a measure of disruption of white matter integrity, of the cingulum, corpus callosum, and uncinate fasciculus is repeatedly linked with PTSD symptom severity and diagnosis (</w:t>
      </w:r>
      <w:r w:rsidRPr="003E1E6E">
        <w:t>Abe et al., 2006</w:t>
      </w:r>
      <w:r w:rsidRPr="007D1B53">
        <w:t>; </w:t>
      </w:r>
      <w:proofErr w:type="spellStart"/>
      <w:r w:rsidRPr="003E1E6E">
        <w:t>Jackowski</w:t>
      </w:r>
      <w:proofErr w:type="spellEnd"/>
      <w:r w:rsidRPr="003E1E6E">
        <w:t xml:space="preserve"> et al., 2008</w:t>
      </w:r>
      <w:r w:rsidRPr="007D1B53">
        <w:t>; </w:t>
      </w:r>
      <w:proofErr w:type="spellStart"/>
      <w:r w:rsidRPr="003E1E6E">
        <w:t>Bierer</w:t>
      </w:r>
      <w:proofErr w:type="spellEnd"/>
      <w:r w:rsidRPr="003E1E6E">
        <w:t xml:space="preserve"> et al., 2015</w:t>
      </w:r>
      <w:r w:rsidRPr="007D1B53">
        <w:t>; </w:t>
      </w:r>
      <w:proofErr w:type="spellStart"/>
      <w:r w:rsidRPr="003E1E6E">
        <w:t>Fani</w:t>
      </w:r>
      <w:proofErr w:type="spellEnd"/>
      <w:r w:rsidRPr="003E1E6E">
        <w:t xml:space="preserve"> et al., 2015</w:t>
      </w:r>
      <w:r w:rsidRPr="007D1B53">
        <w:t>; </w:t>
      </w:r>
      <w:proofErr w:type="spellStart"/>
      <w:r w:rsidRPr="003E1E6E">
        <w:t>Kennis</w:t>
      </w:r>
      <w:proofErr w:type="spellEnd"/>
      <w:r w:rsidRPr="003E1E6E">
        <w:t xml:space="preserve"> et al., 2015</w:t>
      </w:r>
      <w:r w:rsidRPr="007D1B53">
        <w:t>; </w:t>
      </w:r>
      <w:r w:rsidRPr="003E1E6E">
        <w:t>Hu et al., 2016</w:t>
      </w:r>
      <w:r w:rsidRPr="007D1B53">
        <w:t>; </w:t>
      </w:r>
      <w:r w:rsidRPr="003E1E6E">
        <w:t>Saar-Ashkenazy et al., 2016</w:t>
      </w:r>
      <w:r w:rsidRPr="007D1B53">
        <w:t>; </w:t>
      </w:r>
      <w:r w:rsidRPr="003E1E6E">
        <w:t>Weis et al., 2018</w:t>
      </w:r>
      <w:r w:rsidRPr="007D1B53">
        <w:t>).</w:t>
      </w:r>
    </w:p>
    <w:p w14:paraId="5AE668FD" w14:textId="3B1016FB" w:rsidR="007D1B53" w:rsidRPr="007D1B53" w:rsidRDefault="007D1B53" w:rsidP="007D1B53">
      <w:r w:rsidRPr="007D1B53">
        <w:t xml:space="preserve">The cingulum interconnects </w:t>
      </w:r>
      <w:proofErr w:type="spellStart"/>
      <w:r w:rsidRPr="007D1B53">
        <w:t>fronto</w:t>
      </w:r>
      <w:proofErr w:type="spellEnd"/>
      <w:r w:rsidRPr="007D1B53">
        <w:t>-limbic regions along the cingulate gyrus (</w:t>
      </w:r>
      <w:proofErr w:type="spellStart"/>
      <w:r w:rsidRPr="003E1E6E">
        <w:t>Schmahmann</w:t>
      </w:r>
      <w:proofErr w:type="spellEnd"/>
      <w:r w:rsidRPr="003E1E6E">
        <w:t xml:space="preserve"> et al., 2007</w:t>
      </w:r>
      <w:r w:rsidRPr="007D1B53">
        <w:t>), and the corpus callosum connects many prefrontal and parietal cortical regions between cerebral hemispheres (</w:t>
      </w:r>
      <w:r w:rsidRPr="003E1E6E">
        <w:t>Hofer and Frahm, 2006</w:t>
      </w:r>
      <w:r w:rsidRPr="007D1B53">
        <w:t>). The structural connectivity of both the cingulum and corpus callosum has been hypothesized to underlie dysregulated emotions and memory processes (e.g., re-experiencing symptoms) present in PTSD (</w:t>
      </w:r>
      <w:r w:rsidRPr="003E1E6E">
        <w:t>Mahan and Ressler, 2012</w:t>
      </w:r>
      <w:r w:rsidRPr="007D1B53">
        <w:t>; </w:t>
      </w:r>
      <w:r w:rsidRPr="003E1E6E">
        <w:t>Pitman et al., 2012</w:t>
      </w:r>
      <w:r w:rsidRPr="007D1B53">
        <w:t>; </w:t>
      </w:r>
      <w:proofErr w:type="spellStart"/>
      <w:r w:rsidRPr="003E1E6E">
        <w:t>Sanjuan</w:t>
      </w:r>
      <w:proofErr w:type="spellEnd"/>
      <w:r w:rsidRPr="003E1E6E">
        <w:t xml:space="preserve"> et al., 2013</w:t>
      </w:r>
      <w:r w:rsidRPr="007D1B53">
        <w:t>; </w:t>
      </w:r>
      <w:proofErr w:type="spellStart"/>
      <w:r w:rsidRPr="003E1E6E">
        <w:t>Reuveni</w:t>
      </w:r>
      <w:proofErr w:type="spellEnd"/>
      <w:r w:rsidRPr="003E1E6E">
        <w:t xml:space="preserve"> et al., 2016</w:t>
      </w:r>
      <w:r w:rsidRPr="007D1B53">
        <w:t>; </w:t>
      </w:r>
      <w:proofErr w:type="spellStart"/>
      <w:r w:rsidRPr="003E1E6E">
        <w:t>Akiki</w:t>
      </w:r>
      <w:proofErr w:type="spellEnd"/>
      <w:r w:rsidRPr="003E1E6E">
        <w:t xml:space="preserve"> et al., 2017</w:t>
      </w:r>
      <w:r w:rsidRPr="007D1B53">
        <w:t>; </w:t>
      </w:r>
      <w:proofErr w:type="spellStart"/>
      <w:r w:rsidRPr="003E1E6E">
        <w:t>Siehl</w:t>
      </w:r>
      <w:proofErr w:type="spellEnd"/>
      <w:r w:rsidRPr="003E1E6E">
        <w:t xml:space="preserve"> et al., 2018</w:t>
      </w:r>
      <w:r w:rsidRPr="007D1B53">
        <w:t>). Finally, the uncinate fasciculus, a white matter tract which connects the temporal and frontal cortices through the limbic region, has also been implicated in aberrant extinction learning processes leading to avoidance behaviors in PTSD (</w:t>
      </w:r>
      <w:r w:rsidRPr="003E1E6E">
        <w:t>Jovanovic and Ressler, 2010</w:t>
      </w:r>
      <w:r w:rsidRPr="007D1B53">
        <w:t>; </w:t>
      </w:r>
      <w:r w:rsidRPr="003E1E6E">
        <w:t>Von Der Heide et al., 2013</w:t>
      </w:r>
      <w:r w:rsidRPr="007D1B53">
        <w:t>; </w:t>
      </w:r>
      <w:r w:rsidRPr="003E1E6E">
        <w:t>Olson et al., 2015</w:t>
      </w:r>
      <w:r w:rsidRPr="007D1B53">
        <w:t>; </w:t>
      </w:r>
      <w:r w:rsidRPr="003E1E6E">
        <w:t>Koch et al., 2017</w:t>
      </w:r>
      <w:r w:rsidRPr="007D1B53">
        <w:t>; </w:t>
      </w:r>
      <w:r w:rsidRPr="003E1E6E">
        <w:t>Harnett et al., 2018</w:t>
      </w:r>
      <w:r w:rsidRPr="007D1B53">
        <w:t>).</w:t>
      </w:r>
    </w:p>
    <w:p w14:paraId="5456908B" w14:textId="466E9E4D" w:rsidR="007D1B53" w:rsidRPr="007D1B53" w:rsidRDefault="007D1B53" w:rsidP="007D1B53">
      <w:r w:rsidRPr="007D1B53">
        <w:t>Cross-sectional studies in a variety of trauma samples have shown that </w:t>
      </w:r>
      <w:r w:rsidRPr="007D1B53">
        <w:rPr>
          <w:i/>
          <w:iCs/>
        </w:rPr>
        <w:t>lesser</w:t>
      </w:r>
      <w:r w:rsidRPr="007D1B53">
        <w:t> integrity (e.g., lower FA) of the cingulum (</w:t>
      </w:r>
      <w:r w:rsidRPr="003E1E6E">
        <w:t>Abe et al., 2006</w:t>
      </w:r>
      <w:r w:rsidRPr="007D1B53">
        <w:t>; </w:t>
      </w:r>
      <w:proofErr w:type="spellStart"/>
      <w:r w:rsidRPr="003E1E6E">
        <w:t>Fani</w:t>
      </w:r>
      <w:proofErr w:type="spellEnd"/>
      <w:r w:rsidRPr="003E1E6E">
        <w:t xml:space="preserve"> et al., 2012</w:t>
      </w:r>
      <w:r w:rsidRPr="007D1B53">
        <w:t>, </w:t>
      </w:r>
      <w:r w:rsidRPr="003E1E6E">
        <w:t>2015</w:t>
      </w:r>
      <w:r w:rsidRPr="007D1B53">
        <w:t>; </w:t>
      </w:r>
      <w:proofErr w:type="spellStart"/>
      <w:r w:rsidRPr="003E1E6E">
        <w:t>Sanjuan</w:t>
      </w:r>
      <w:proofErr w:type="spellEnd"/>
      <w:r w:rsidRPr="003E1E6E">
        <w:t xml:space="preserve"> et al., 2013</w:t>
      </w:r>
      <w:r w:rsidRPr="007D1B53">
        <w:t>; </w:t>
      </w:r>
      <w:proofErr w:type="spellStart"/>
      <w:r w:rsidRPr="003E1E6E">
        <w:t>Bierer</w:t>
      </w:r>
      <w:proofErr w:type="spellEnd"/>
      <w:r w:rsidRPr="003E1E6E">
        <w:t xml:space="preserve"> et al., 2015</w:t>
      </w:r>
      <w:r w:rsidRPr="007D1B53">
        <w:t>; </w:t>
      </w:r>
      <w:proofErr w:type="spellStart"/>
      <w:r w:rsidRPr="003E1E6E">
        <w:t>Reuveni</w:t>
      </w:r>
      <w:proofErr w:type="spellEnd"/>
      <w:r w:rsidRPr="003E1E6E">
        <w:t xml:space="preserve"> et al., 2016</w:t>
      </w:r>
      <w:r w:rsidRPr="007D1B53">
        <w:t>), corpus callosum (</w:t>
      </w:r>
      <w:proofErr w:type="spellStart"/>
      <w:r w:rsidRPr="003E1E6E">
        <w:t>Jackowski</w:t>
      </w:r>
      <w:proofErr w:type="spellEnd"/>
      <w:r w:rsidRPr="003E1E6E">
        <w:t xml:space="preserve"> et al., 2008</w:t>
      </w:r>
      <w:r w:rsidRPr="007D1B53">
        <w:t>; </w:t>
      </w:r>
      <w:r w:rsidRPr="003E1E6E">
        <w:t>Li et al., 2016</w:t>
      </w:r>
      <w:r w:rsidRPr="007D1B53">
        <w:t>; </w:t>
      </w:r>
      <w:r w:rsidRPr="003E1E6E">
        <w:t>Saar-Ashkenazy et al., 2016</w:t>
      </w:r>
      <w:r w:rsidRPr="007D1B53">
        <w:t>), and uncinate fasciculus (</w:t>
      </w:r>
      <w:r w:rsidRPr="003E1E6E">
        <w:t>Hanson et al., 2015</w:t>
      </w:r>
      <w:r w:rsidRPr="007D1B53">
        <w:t>; </w:t>
      </w:r>
      <w:r w:rsidRPr="003E1E6E">
        <w:t>Koch et al., 2017</w:t>
      </w:r>
      <w:r w:rsidRPr="007D1B53">
        <w:t>) are related to </w:t>
      </w:r>
      <w:r w:rsidRPr="007D1B53">
        <w:rPr>
          <w:i/>
          <w:iCs/>
        </w:rPr>
        <w:t>greater</w:t>
      </w:r>
      <w:r w:rsidRPr="007D1B53">
        <w:t> PTSD symptoms. Meta-analytic work also notes the integrity of these three white matter tracts in relation to PTSD (</w:t>
      </w:r>
      <w:r w:rsidRPr="003E1E6E">
        <w:t>Daniels et al., 2013</w:t>
      </w:r>
      <w:r w:rsidRPr="007D1B53">
        <w:t>; </w:t>
      </w:r>
      <w:r w:rsidRPr="003E1E6E">
        <w:t>Jenkins et al., 2016</w:t>
      </w:r>
      <w:r w:rsidRPr="007D1B53">
        <w:t>; </w:t>
      </w:r>
      <w:proofErr w:type="spellStart"/>
      <w:r w:rsidRPr="003E1E6E">
        <w:t>Siehl</w:t>
      </w:r>
      <w:proofErr w:type="spellEnd"/>
      <w:r w:rsidRPr="003E1E6E">
        <w:t xml:space="preserve"> et al., 2018</w:t>
      </w:r>
      <w:r w:rsidRPr="007D1B53">
        <w:t>; </w:t>
      </w:r>
      <w:r w:rsidRPr="003E1E6E">
        <w:t>Ju et al., 2020</w:t>
      </w:r>
      <w:r w:rsidRPr="007D1B53">
        <w:t>).</w:t>
      </w:r>
    </w:p>
    <w:p w14:paraId="17F40E26" w14:textId="1CBB750B" w:rsidR="007D1B53" w:rsidRPr="007D1B53" w:rsidRDefault="007D1B53" w:rsidP="007D1B53">
      <w:r w:rsidRPr="007D1B53">
        <w:t>Longitudinal research has yielded some insights into the structural changes that accompany PTSD, indicating that increased integrity over time of the cingulum (</w:t>
      </w:r>
      <w:r w:rsidRPr="003E1E6E">
        <w:t>Zhang et al., 2012</w:t>
      </w:r>
      <w:r w:rsidRPr="007D1B53">
        <w:t>; </w:t>
      </w:r>
      <w:proofErr w:type="spellStart"/>
      <w:r w:rsidRPr="003E1E6E">
        <w:t>Kennis</w:t>
      </w:r>
      <w:proofErr w:type="spellEnd"/>
      <w:r w:rsidRPr="003E1E6E">
        <w:t xml:space="preserve"> et al., 2015</w:t>
      </w:r>
      <w:r w:rsidRPr="007D1B53">
        <w:t>), corpus callosum (</w:t>
      </w:r>
      <w:r w:rsidRPr="003E1E6E">
        <w:t>Sun et al., 2015</w:t>
      </w:r>
      <w:r w:rsidRPr="007D1B53">
        <w:t>), and uncinate (</w:t>
      </w:r>
      <w:proofErr w:type="spellStart"/>
      <w:r w:rsidRPr="003E1E6E">
        <w:t>Fani</w:t>
      </w:r>
      <w:proofErr w:type="spellEnd"/>
      <w:r w:rsidRPr="003E1E6E">
        <w:t xml:space="preserve"> et al., 2017</w:t>
      </w:r>
      <w:r w:rsidRPr="007D1B53">
        <w:t>) are related to less severe PTSD symptoms. In one notable example, </w:t>
      </w:r>
      <w:proofErr w:type="spellStart"/>
      <w:r w:rsidRPr="003E1E6E">
        <w:t>Kennis</w:t>
      </w:r>
      <w:proofErr w:type="spellEnd"/>
      <w:r w:rsidRPr="003E1E6E">
        <w:t xml:space="preserve"> et al. (2015)</w:t>
      </w:r>
      <w:r w:rsidRPr="007D1B53">
        <w:t> demonstrated increased cingulum integrity (FA) 6–8 months after treatment for PTSD and up to 4 years later corresponded with concurrent improved PTSD symptoms.</w:t>
      </w:r>
    </w:p>
    <w:p w14:paraId="08CF7FA1" w14:textId="4CFA3D9A" w:rsidR="007D1B53" w:rsidRPr="007D1B53" w:rsidRDefault="007D1B53" w:rsidP="007D1B53">
      <w:r w:rsidRPr="007D1B53">
        <w:t>However, relatively few studies (</w:t>
      </w:r>
      <w:proofErr w:type="spellStart"/>
      <w:r w:rsidRPr="003E1E6E">
        <w:t>Fani</w:t>
      </w:r>
      <w:proofErr w:type="spellEnd"/>
      <w:r w:rsidRPr="003E1E6E">
        <w:t xml:space="preserve"> et al., 2012</w:t>
      </w:r>
      <w:r w:rsidRPr="007D1B53">
        <w:t>; </w:t>
      </w:r>
      <w:r w:rsidRPr="003E1E6E">
        <w:t>Sun et al., 2015</w:t>
      </w:r>
      <w:r w:rsidRPr="007D1B53">
        <w:t>; </w:t>
      </w:r>
      <w:r w:rsidRPr="003E1E6E">
        <w:t>Hu et al., 2016</w:t>
      </w:r>
      <w:r w:rsidRPr="007D1B53">
        <w:t>; </w:t>
      </w:r>
      <w:r w:rsidRPr="003E1E6E">
        <w:t>Li et al., 2016</w:t>
      </w:r>
      <w:r w:rsidRPr="007D1B53">
        <w:t>; </w:t>
      </w:r>
      <w:r w:rsidRPr="003E1E6E">
        <w:t>Saar-Ashkenazy et al., 2016</w:t>
      </w:r>
      <w:r w:rsidRPr="007D1B53">
        <w:t>; </w:t>
      </w:r>
      <w:r w:rsidRPr="003E1E6E">
        <w:t>Harnett et al., 2020</w:t>
      </w:r>
      <w:r w:rsidRPr="007D1B53">
        <w:t>) have investigated the predictive utility of acute white matter structural integrity in conferring risk for prospective PTSD, particularly in traumatically injured civilian samples. Notably, in a mixed-sample of acute trauma survivors, lower FA in the uncinate 1-month post-trauma was significantly related to greater posttraumatic anhedonia (PTA), 6 months post-trauma (</w:t>
      </w:r>
      <w:proofErr w:type="spellStart"/>
      <w:r w:rsidRPr="003E1E6E">
        <w:t>Fani</w:t>
      </w:r>
      <w:proofErr w:type="spellEnd"/>
      <w:r w:rsidRPr="003E1E6E">
        <w:t xml:space="preserve"> et al., 2017</w:t>
      </w:r>
      <w:r w:rsidRPr="007D1B53">
        <w:t>). Similarly, when compared to trauma-exposed controls, motor vehicle crash (MVC) victims had lesser integrity in the cingulum, corpus callosum, and uncinate 2 days after their accident that correlated with greater PTSD symptom severity 6-month later (</w:t>
      </w:r>
      <w:r w:rsidRPr="003E1E6E">
        <w:t>Sun et al., 2015</w:t>
      </w:r>
      <w:r w:rsidRPr="007D1B53">
        <w:t>; </w:t>
      </w:r>
      <w:r w:rsidRPr="003E1E6E">
        <w:t>Hu et al., 2016</w:t>
      </w:r>
      <w:r w:rsidRPr="007D1B53">
        <w:t xml:space="preserve">). Still, there are some limitations to these few prospective studies including, </w:t>
      </w:r>
      <w:proofErr w:type="gramStart"/>
      <w:r w:rsidRPr="007D1B53">
        <w:t>fairly small</w:t>
      </w:r>
      <w:proofErr w:type="gramEnd"/>
      <w:r w:rsidRPr="007D1B53">
        <w:t xml:space="preserve"> sample sizes (</w:t>
      </w:r>
      <w:r w:rsidRPr="007D1B53">
        <w:rPr>
          <w:i/>
          <w:iCs/>
        </w:rPr>
        <w:t>n</w:t>
      </w:r>
      <w:r w:rsidRPr="007D1B53">
        <w:t> &lt; 62), homogenous trauma populations, and comparing diagnostic groups.</w:t>
      </w:r>
    </w:p>
    <w:p w14:paraId="1B600354" w14:textId="77777777" w:rsidR="007D1B53" w:rsidRPr="007D1B53" w:rsidRDefault="007D1B53" w:rsidP="007D1B53">
      <w:r w:rsidRPr="007D1B53">
        <w:lastRenderedPageBreak/>
        <w:t>Therefore, the current study adds to this body of literature aiming to assess whether </w:t>
      </w:r>
      <w:r w:rsidRPr="007D1B53">
        <w:rPr>
          <w:i/>
          <w:iCs/>
        </w:rPr>
        <w:t>acute</w:t>
      </w:r>
      <w:r w:rsidRPr="007D1B53">
        <w:t> post-trauma white matter integrity relates to </w:t>
      </w:r>
      <w:r w:rsidRPr="007D1B53">
        <w:rPr>
          <w:i/>
          <w:iCs/>
        </w:rPr>
        <w:t>prospective</w:t>
      </w:r>
      <w:r w:rsidRPr="007D1B53">
        <w:t> PTSD symptom severity by examining a large and diverse traumatically injured sample. In keeping with the few studies of acute trauma survivors to date, we predicted that lesser integrity of the cingulum, corpus callosum, and uncinate after traumatic injury will be related to greater PTSD symptom severity 6 months later.</w:t>
      </w:r>
    </w:p>
    <w:p w14:paraId="562D0FC4" w14:textId="77777777" w:rsidR="007D1B53" w:rsidRPr="007D1B53" w:rsidRDefault="007D1B53" w:rsidP="00246E28">
      <w:pPr>
        <w:pStyle w:val="Heading1"/>
      </w:pPr>
      <w:r w:rsidRPr="007D1B53">
        <w:t>Materials and Methods</w:t>
      </w:r>
    </w:p>
    <w:p w14:paraId="19C2B7E2" w14:textId="77777777" w:rsidR="007D1B53" w:rsidRPr="007D1B53" w:rsidRDefault="007D1B53" w:rsidP="00246E28">
      <w:pPr>
        <w:pStyle w:val="Heading2"/>
      </w:pPr>
      <w:r w:rsidRPr="007D1B53">
        <w:t>Participants</w:t>
      </w:r>
    </w:p>
    <w:p w14:paraId="5E151F3C" w14:textId="56F184F7" w:rsidR="007D1B53" w:rsidRPr="007D1B53" w:rsidRDefault="007D1B53" w:rsidP="007D1B53">
      <w:r w:rsidRPr="007D1B53">
        <w:t>Nine-hundred sixty-nine individuals treated for traumatic injuries in the Emergency Department (ED) of a Level 1 Trauma Center in Southeastern Wisconsin were recruited directly from the ED or by phone following ED discharge for the </w:t>
      </w:r>
      <w:r w:rsidRPr="007D1B53">
        <w:rPr>
          <w:i/>
          <w:iCs/>
        </w:rPr>
        <w:t>Imaging Study on Trauma and Resilience</w:t>
      </w:r>
      <w:r w:rsidRPr="007D1B53">
        <w:t> (</w:t>
      </w:r>
      <w:proofErr w:type="spellStart"/>
      <w:r w:rsidRPr="007D1B53">
        <w:t>iSTAR</w:t>
      </w:r>
      <w:proofErr w:type="spellEnd"/>
      <w:r w:rsidRPr="007D1B53">
        <w:t xml:space="preserve"> study: </w:t>
      </w:r>
      <w:r w:rsidRPr="003E1E6E">
        <w:t>Bird et al., 2021</w:t>
      </w:r>
      <w:r w:rsidRPr="007D1B53">
        <w:t>; </w:t>
      </w:r>
      <w:r w:rsidRPr="003E1E6E">
        <w:t>Webb et al., 2021a</w:t>
      </w:r>
      <w:r w:rsidRPr="007D1B53">
        <w:t>, </w:t>
      </w:r>
      <w:r w:rsidRPr="003E1E6E">
        <w:t>b</w:t>
      </w:r>
      <w:r w:rsidRPr="007D1B53">
        <w:t>; </w:t>
      </w:r>
      <w:r w:rsidRPr="003E1E6E">
        <w:t>Weis et al., 2021a</w:t>
      </w:r>
      <w:r w:rsidRPr="007D1B53">
        <w:t>, </w:t>
      </w:r>
      <w:r w:rsidRPr="003E1E6E">
        <w:t>b</w:t>
      </w:r>
      <w:r w:rsidRPr="007D1B53">
        <w:t>). After expressed interest in study participation the participant received a complete verbal overview of the study and were screened to ensure eligibility. Participants provided written informed consent, and all procedures were approved by the Medical College of Wisconsin Institutional Review Board. Though 969 individuals were recruited for study participation, only 524 met eligibility criteria of which 279 were discontinued or withdrawn before the first study (i.e., first visit unable to be scheduled, visit scheduled but participant no-showed, discontinued interest in study participation). Thus, 215 eligible participants were enrolled in the study.</w:t>
      </w:r>
    </w:p>
    <w:p w14:paraId="6B5C1B3C" w14:textId="7987FC6E" w:rsidR="007D1B53" w:rsidRPr="007D1B53" w:rsidRDefault="007D1B53" w:rsidP="007D1B53">
      <w:r w:rsidRPr="007D1B53">
        <w:t>Inclusion criteria include those who met criterion A of PTSD diagnosis as defined by the Diagnostic and Statistical Manual- 5th edition (DSM-V). Individuals then completed the Predicting PTSD Questionnaire (</w:t>
      </w:r>
      <w:proofErr w:type="spellStart"/>
      <w:r w:rsidRPr="003E1E6E">
        <w:t>Rothbaum</w:t>
      </w:r>
      <w:proofErr w:type="spellEnd"/>
      <w:r w:rsidRPr="003E1E6E">
        <w:t xml:space="preserve"> et al., 2014</w:t>
      </w:r>
      <w:r w:rsidRPr="007D1B53">
        <w:t>) to evaluate 5 risk factors to chronic PTSD development including evidence of prior trauma, current trauma severity, dissociation during current trauma, childhood trauma exposure, and family history of psychopathology (max score = 5; all 5 risk factors). Those with a minimum score of 3, indicating greater risk of developing chronic PTSD, were considered eligible. This inclusion criteria means our sample represents a subset of trauma-exposed individuals who are at elevated risk of PTSD development. In addition, individuals were eligible if they were between the ages of 18–60, English speaking, and able to schedule their first research visit within 30 days of the trauma.</w:t>
      </w:r>
    </w:p>
    <w:p w14:paraId="478DAFDA" w14:textId="78F4A982" w:rsidR="007D1B53" w:rsidRPr="007D1B53" w:rsidRDefault="007D1B53" w:rsidP="007D1B53">
      <w:r w:rsidRPr="007D1B53">
        <w:t>Exclusion criteria included head injury more severe than a mild traumatic brain injury (score of less than 13 on the Glasgow Coma Scale; </w:t>
      </w:r>
      <w:proofErr w:type="spellStart"/>
      <w:r w:rsidRPr="003E1E6E">
        <w:t>Sternbach</w:t>
      </w:r>
      <w:proofErr w:type="spellEnd"/>
      <w:r w:rsidRPr="003E1E6E">
        <w:t>, 2000</w:t>
      </w:r>
      <w:r w:rsidRPr="007D1B53">
        <w:t>; </w:t>
      </w:r>
      <w:r w:rsidRPr="003E1E6E">
        <w:t>Teasdale et al., 2014</w:t>
      </w:r>
      <w:r w:rsidRPr="007D1B53">
        <w:t>), spinal cord injury with neurological deficit or any condition affecting brain structure or function, self-inflicted injury, severe vision or hearing impairments, history of psychotic or manic symptoms, currently on antipsychotic medications, clear substance abuse noted in medical record, on police hold following their injury, contraindications for MRI scanning including metal objects or fragments in the body, claustrophobia, and pregnancy or planned pregnancy within the next 6 months.</w:t>
      </w:r>
    </w:p>
    <w:p w14:paraId="21A01D22" w14:textId="77777777" w:rsidR="007D1B53" w:rsidRPr="007D1B53" w:rsidRDefault="007D1B53" w:rsidP="00246E28">
      <w:pPr>
        <w:pStyle w:val="Heading2"/>
      </w:pPr>
      <w:r w:rsidRPr="007D1B53">
        <w:t>Procedure</w:t>
      </w:r>
    </w:p>
    <w:p w14:paraId="168A5A26" w14:textId="77777777" w:rsidR="007D1B53" w:rsidRPr="007D1B53" w:rsidRDefault="007D1B53" w:rsidP="007D1B53">
      <w:r w:rsidRPr="007D1B53">
        <w:t>Participants came to research visits at two time points, within 2–4 weeks (T1; range = 3–33 days, mean = 18 days) and 6-months (T2; range = 157–231 days, mean = 187 days) following the trauma that resulted in their ED admission. At both visits, a large battery of behavioral, cognitive, self-report questionnaires, and neuroimaging data were collected. Herein, we report select measures from both time points and the structural and diffusion MRI (DTI) data from T1. As part of this larger study participants were scanned on two consecutive days within the acute post-trauma period (T1). Of the 215 enrolled participants, 208 were scanned in the MRI environment on Day 1, and 185 were scanned on Day 2 when the DTI protocol was completed. Of the 185 scanned, a total of </w:t>
      </w:r>
      <w:r w:rsidRPr="007D1B53">
        <w:rPr>
          <w:i/>
          <w:iCs/>
        </w:rPr>
        <w:t>N</w:t>
      </w:r>
      <w:r w:rsidRPr="007D1B53">
        <w:t> = 171 participants had complete diffusion weighted imaging scans. After visual inspection, four participants were removed for marked distortions in the DTI scans (</w:t>
      </w:r>
      <w:r w:rsidRPr="007D1B53">
        <w:rPr>
          <w:i/>
          <w:iCs/>
        </w:rPr>
        <w:t>N</w:t>
      </w:r>
      <w:r w:rsidRPr="007D1B53">
        <w:t> = 167). Of the 167 participants with usable DTI scans at T1, 148 had T2 PTSD data.</w:t>
      </w:r>
    </w:p>
    <w:p w14:paraId="54B13181" w14:textId="3D62C40E" w:rsidR="007D1B53" w:rsidRPr="007D1B53" w:rsidRDefault="007D1B53" w:rsidP="007D1B53">
      <w:r w:rsidRPr="007D1B53">
        <w:lastRenderedPageBreak/>
        <w:t>There were no differences in age, sex, or T1 (PCL-5) or T2 PTSD symptoms (assessed with Clinician Administered PTSD Scale; CAPS-5; see Section “Measures”) between individuals with usable scan data included in all subsequent analyses and those who were enrolled in the study but did not complete or have usable scans. Although, those enrolled in the study without scan data had significantly lower screened risk of PTSD as measured by the Predicting PTSD Questionnaire (</w:t>
      </w:r>
      <w:proofErr w:type="spellStart"/>
      <w:r w:rsidRPr="003E1E6E">
        <w:t>Rothbaum</w:t>
      </w:r>
      <w:proofErr w:type="spellEnd"/>
      <w:r w:rsidRPr="003E1E6E">
        <w:t xml:space="preserve"> et al., 2014</w:t>
      </w:r>
      <w:r w:rsidRPr="007D1B53">
        <w:t>) than those included in the current analysis, </w:t>
      </w:r>
      <w:proofErr w:type="gramStart"/>
      <w:r w:rsidRPr="007D1B53">
        <w:rPr>
          <w:i/>
          <w:iCs/>
        </w:rPr>
        <w:t>t</w:t>
      </w:r>
      <w:r w:rsidRPr="007D1B53">
        <w:t>(</w:t>
      </w:r>
      <w:proofErr w:type="gramEnd"/>
      <w:r w:rsidRPr="007D1B53">
        <w:t>248) = −8.32, </w:t>
      </w:r>
      <w:r w:rsidRPr="007D1B53">
        <w:rPr>
          <w:i/>
          <w:iCs/>
        </w:rPr>
        <w:t>p</w:t>
      </w:r>
      <w:r w:rsidRPr="007D1B53">
        <w:t> &lt; 0.001. See </w:t>
      </w:r>
      <w:r w:rsidRPr="003E1E6E">
        <w:t>Table 1</w:t>
      </w:r>
      <w:r w:rsidRPr="007D1B53">
        <w:t> for characteristics of the final sample (</w:t>
      </w:r>
      <w:r w:rsidRPr="007D1B53">
        <w:rPr>
          <w:i/>
          <w:iCs/>
        </w:rPr>
        <w:t>N</w:t>
      </w:r>
      <w:r w:rsidRPr="007D1B53">
        <w:t> = 148).</w:t>
      </w:r>
    </w:p>
    <w:p w14:paraId="1E0CC224" w14:textId="6B949DE1" w:rsidR="007D1B53" w:rsidRPr="007D1B53" w:rsidRDefault="007D1B53" w:rsidP="00246E28">
      <w:pPr>
        <w:spacing w:after="0"/>
      </w:pPr>
      <w:r w:rsidRPr="007D1B53">
        <w:t>TABLE 1</w:t>
      </w:r>
      <w:r w:rsidR="00246E28">
        <w:t xml:space="preserve"> </w:t>
      </w:r>
      <w:r w:rsidRPr="007D1B53">
        <w:t>Sample characteristics (</w:t>
      </w:r>
      <m:oMath>
        <m:r>
          <w:rPr>
            <w:rFonts w:ascii="Cambria Math" w:hAnsi="Cambria Math"/>
          </w:rPr>
          <m:t>N</m:t>
        </m:r>
        <m:r>
          <w:rPr>
            <w:rFonts w:ascii="Cambria Math" w:hAnsi="Cambria Math"/>
          </w:rPr>
          <m:t> = 148</m:t>
        </m:r>
      </m:oMath>
      <w:r w:rsidRPr="007D1B53">
        <w:t>).</w:t>
      </w:r>
    </w:p>
    <w:tbl>
      <w:tblPr>
        <w:tblStyle w:val="TableGrid"/>
        <w:tblW w:w="0" w:type="auto"/>
        <w:tblLook w:val="04A0" w:firstRow="1" w:lastRow="0" w:firstColumn="1" w:lastColumn="0" w:noHBand="0" w:noVBand="1"/>
      </w:tblPr>
      <w:tblGrid>
        <w:gridCol w:w="3477"/>
        <w:gridCol w:w="2617"/>
      </w:tblGrid>
      <w:tr w:rsidR="007D1B53" w:rsidRPr="007D1B53" w14:paraId="6926DBEA" w14:textId="77777777" w:rsidTr="00246E28">
        <w:tc>
          <w:tcPr>
            <w:tcW w:w="0" w:type="auto"/>
            <w:hideMark/>
          </w:tcPr>
          <w:p w14:paraId="6A8096F9" w14:textId="77777777" w:rsidR="007D1B53" w:rsidRPr="007D1B53" w:rsidRDefault="007D1B53" w:rsidP="007D1B53"/>
        </w:tc>
        <w:tc>
          <w:tcPr>
            <w:tcW w:w="0" w:type="auto"/>
            <w:hideMark/>
          </w:tcPr>
          <w:p w14:paraId="622CBBA0" w14:textId="77777777" w:rsidR="007D1B53" w:rsidRPr="007D1B53" w:rsidRDefault="007D1B53" w:rsidP="007D1B53">
            <w:r w:rsidRPr="007D1B53">
              <w:rPr>
                <w:i/>
                <w:iCs/>
              </w:rPr>
              <w:t>M</w:t>
            </w:r>
            <w:r w:rsidRPr="007D1B53">
              <w:t> (</w:t>
            </w:r>
            <w:r w:rsidRPr="007D1B53">
              <w:rPr>
                <w:i/>
                <w:iCs/>
              </w:rPr>
              <w:t>SD</w:t>
            </w:r>
            <w:r w:rsidRPr="007D1B53">
              <w:t>)</w:t>
            </w:r>
          </w:p>
        </w:tc>
      </w:tr>
      <w:tr w:rsidR="007D1B53" w:rsidRPr="007D1B53" w14:paraId="3C1955F2" w14:textId="77777777" w:rsidTr="00246E28">
        <w:tc>
          <w:tcPr>
            <w:tcW w:w="0" w:type="auto"/>
            <w:hideMark/>
          </w:tcPr>
          <w:p w14:paraId="12CF8457" w14:textId="77777777" w:rsidR="007D1B53" w:rsidRPr="007D1B53" w:rsidRDefault="007D1B53" w:rsidP="007D1B53">
            <w:r w:rsidRPr="007D1B53">
              <w:rPr>
                <w:b/>
                <w:bCs/>
              </w:rPr>
              <w:t>Age</w:t>
            </w:r>
          </w:p>
        </w:tc>
        <w:tc>
          <w:tcPr>
            <w:tcW w:w="0" w:type="auto"/>
            <w:hideMark/>
          </w:tcPr>
          <w:p w14:paraId="3E14B966" w14:textId="77777777" w:rsidR="007D1B53" w:rsidRPr="007D1B53" w:rsidRDefault="007D1B53" w:rsidP="007D1B53">
            <w:r w:rsidRPr="007D1B53">
              <w:t>33.12 (10.48)</w:t>
            </w:r>
          </w:p>
        </w:tc>
      </w:tr>
      <w:tr w:rsidR="007D1B53" w:rsidRPr="007D1B53" w14:paraId="2755B5CD" w14:textId="77777777" w:rsidTr="00246E28">
        <w:tc>
          <w:tcPr>
            <w:tcW w:w="0" w:type="auto"/>
            <w:hideMark/>
          </w:tcPr>
          <w:p w14:paraId="3303013A" w14:textId="77777777" w:rsidR="007D1B53" w:rsidRPr="007D1B53" w:rsidRDefault="007D1B53" w:rsidP="007D1B53">
            <w:r w:rsidRPr="007D1B53">
              <w:rPr>
                <w:b/>
                <w:bCs/>
              </w:rPr>
              <w:t>Sex</w:t>
            </w:r>
          </w:p>
        </w:tc>
        <w:tc>
          <w:tcPr>
            <w:tcW w:w="0" w:type="auto"/>
            <w:hideMark/>
          </w:tcPr>
          <w:p w14:paraId="1552DF85" w14:textId="77777777" w:rsidR="007D1B53" w:rsidRPr="007D1B53" w:rsidRDefault="007D1B53" w:rsidP="007D1B53">
            <w:r w:rsidRPr="007D1B53">
              <w:t>65 male, 83 female</w:t>
            </w:r>
          </w:p>
        </w:tc>
      </w:tr>
      <w:tr w:rsidR="007D1B53" w:rsidRPr="007D1B53" w14:paraId="47942998" w14:textId="77777777" w:rsidTr="00246E28">
        <w:tc>
          <w:tcPr>
            <w:tcW w:w="0" w:type="auto"/>
            <w:hideMark/>
          </w:tcPr>
          <w:p w14:paraId="1E2C5410" w14:textId="77777777" w:rsidR="007D1B53" w:rsidRPr="007D1B53" w:rsidRDefault="007D1B53" w:rsidP="007D1B53">
            <w:r w:rsidRPr="007D1B53">
              <w:rPr>
                <w:b/>
                <w:bCs/>
              </w:rPr>
              <w:t>Race</w:t>
            </w:r>
          </w:p>
        </w:tc>
        <w:tc>
          <w:tcPr>
            <w:tcW w:w="0" w:type="auto"/>
            <w:hideMark/>
          </w:tcPr>
          <w:p w14:paraId="25A1B471" w14:textId="77777777" w:rsidR="007D1B53" w:rsidRPr="007D1B53" w:rsidRDefault="007D1B53" w:rsidP="007D1B53">
            <w:r w:rsidRPr="007D1B53">
              <w:rPr>
                <w:b/>
                <w:bCs/>
              </w:rPr>
              <w:t xml:space="preserve">% </w:t>
            </w:r>
            <w:proofErr w:type="gramStart"/>
            <w:r w:rsidRPr="007D1B53">
              <w:rPr>
                <w:b/>
                <w:bCs/>
              </w:rPr>
              <w:t>of</w:t>
            </w:r>
            <w:proofErr w:type="gramEnd"/>
            <w:r w:rsidRPr="007D1B53">
              <w:rPr>
                <w:b/>
                <w:bCs/>
              </w:rPr>
              <w:t xml:space="preserve"> sample</w:t>
            </w:r>
          </w:p>
        </w:tc>
      </w:tr>
      <w:tr w:rsidR="007D1B53" w:rsidRPr="007D1B53" w14:paraId="1DF27322" w14:textId="77777777" w:rsidTr="00246E28">
        <w:tc>
          <w:tcPr>
            <w:tcW w:w="0" w:type="auto"/>
            <w:hideMark/>
          </w:tcPr>
          <w:p w14:paraId="1A0C7E31" w14:textId="77777777" w:rsidR="007D1B53" w:rsidRPr="007D1B53" w:rsidRDefault="007D1B53" w:rsidP="007D1B53">
            <w:r w:rsidRPr="007D1B53">
              <w:t>Asian</w:t>
            </w:r>
          </w:p>
        </w:tc>
        <w:tc>
          <w:tcPr>
            <w:tcW w:w="0" w:type="auto"/>
            <w:hideMark/>
          </w:tcPr>
          <w:p w14:paraId="6C51ECB3" w14:textId="77777777" w:rsidR="007D1B53" w:rsidRPr="007D1B53" w:rsidRDefault="007D1B53" w:rsidP="007D1B53">
            <w:r w:rsidRPr="007D1B53">
              <w:t>&lt;5%</w:t>
            </w:r>
          </w:p>
        </w:tc>
      </w:tr>
      <w:tr w:rsidR="007D1B53" w:rsidRPr="007D1B53" w14:paraId="68A7A3DD" w14:textId="77777777" w:rsidTr="00246E28">
        <w:tc>
          <w:tcPr>
            <w:tcW w:w="0" w:type="auto"/>
            <w:hideMark/>
          </w:tcPr>
          <w:p w14:paraId="7937AC99" w14:textId="77777777" w:rsidR="007D1B53" w:rsidRPr="007D1B53" w:rsidRDefault="007D1B53" w:rsidP="007D1B53">
            <w:r w:rsidRPr="007D1B53">
              <w:t>Black</w:t>
            </w:r>
          </w:p>
        </w:tc>
        <w:tc>
          <w:tcPr>
            <w:tcW w:w="0" w:type="auto"/>
            <w:hideMark/>
          </w:tcPr>
          <w:p w14:paraId="67E57433" w14:textId="77777777" w:rsidR="007D1B53" w:rsidRPr="007D1B53" w:rsidRDefault="007D1B53" w:rsidP="007D1B53">
            <w:r w:rsidRPr="007D1B53">
              <w:t>60%</w:t>
            </w:r>
          </w:p>
        </w:tc>
      </w:tr>
      <w:tr w:rsidR="007D1B53" w:rsidRPr="007D1B53" w14:paraId="55BD1B7E" w14:textId="77777777" w:rsidTr="00246E28">
        <w:tc>
          <w:tcPr>
            <w:tcW w:w="0" w:type="auto"/>
            <w:hideMark/>
          </w:tcPr>
          <w:p w14:paraId="02463F3D" w14:textId="77777777" w:rsidR="007D1B53" w:rsidRPr="007D1B53" w:rsidRDefault="007D1B53" w:rsidP="007D1B53">
            <w:r w:rsidRPr="007D1B53">
              <w:t>Pacific Islander</w:t>
            </w:r>
          </w:p>
        </w:tc>
        <w:tc>
          <w:tcPr>
            <w:tcW w:w="0" w:type="auto"/>
            <w:hideMark/>
          </w:tcPr>
          <w:p w14:paraId="5BF4B47E" w14:textId="77777777" w:rsidR="007D1B53" w:rsidRPr="007D1B53" w:rsidRDefault="007D1B53" w:rsidP="007D1B53">
            <w:r w:rsidRPr="007D1B53">
              <w:t>&lt;5%</w:t>
            </w:r>
          </w:p>
        </w:tc>
      </w:tr>
      <w:tr w:rsidR="007D1B53" w:rsidRPr="007D1B53" w14:paraId="370442F3" w14:textId="77777777" w:rsidTr="00246E28">
        <w:tc>
          <w:tcPr>
            <w:tcW w:w="0" w:type="auto"/>
            <w:hideMark/>
          </w:tcPr>
          <w:p w14:paraId="52D499D2" w14:textId="77777777" w:rsidR="007D1B53" w:rsidRPr="007D1B53" w:rsidRDefault="007D1B53" w:rsidP="007D1B53">
            <w:r w:rsidRPr="007D1B53">
              <w:t>White</w:t>
            </w:r>
          </w:p>
        </w:tc>
        <w:tc>
          <w:tcPr>
            <w:tcW w:w="0" w:type="auto"/>
            <w:hideMark/>
          </w:tcPr>
          <w:p w14:paraId="411E0074" w14:textId="77777777" w:rsidR="007D1B53" w:rsidRPr="007D1B53" w:rsidRDefault="007D1B53" w:rsidP="007D1B53">
            <w:r w:rsidRPr="007D1B53">
              <w:t>26%</w:t>
            </w:r>
          </w:p>
        </w:tc>
      </w:tr>
      <w:tr w:rsidR="007D1B53" w:rsidRPr="007D1B53" w14:paraId="1EB8A25D" w14:textId="77777777" w:rsidTr="00246E28">
        <w:tc>
          <w:tcPr>
            <w:tcW w:w="0" w:type="auto"/>
            <w:hideMark/>
          </w:tcPr>
          <w:p w14:paraId="398931D4" w14:textId="77777777" w:rsidR="007D1B53" w:rsidRPr="007D1B53" w:rsidRDefault="007D1B53" w:rsidP="007D1B53">
            <w:r w:rsidRPr="007D1B53">
              <w:t>More than one</w:t>
            </w:r>
          </w:p>
        </w:tc>
        <w:tc>
          <w:tcPr>
            <w:tcW w:w="0" w:type="auto"/>
            <w:hideMark/>
          </w:tcPr>
          <w:p w14:paraId="5F496BC7" w14:textId="77777777" w:rsidR="007D1B53" w:rsidRPr="007D1B53" w:rsidRDefault="007D1B53" w:rsidP="007D1B53">
            <w:r w:rsidRPr="007D1B53">
              <w:t>6%</w:t>
            </w:r>
          </w:p>
        </w:tc>
      </w:tr>
      <w:tr w:rsidR="007D1B53" w:rsidRPr="007D1B53" w14:paraId="5FE9A21F" w14:textId="77777777" w:rsidTr="00246E28">
        <w:tc>
          <w:tcPr>
            <w:tcW w:w="0" w:type="auto"/>
            <w:hideMark/>
          </w:tcPr>
          <w:p w14:paraId="2C3980EF" w14:textId="77777777" w:rsidR="007D1B53" w:rsidRPr="007D1B53" w:rsidRDefault="007D1B53" w:rsidP="007D1B53">
            <w:r w:rsidRPr="007D1B53">
              <w:t>Unknown/not reported</w:t>
            </w:r>
          </w:p>
        </w:tc>
        <w:tc>
          <w:tcPr>
            <w:tcW w:w="0" w:type="auto"/>
            <w:hideMark/>
          </w:tcPr>
          <w:p w14:paraId="35141EAD" w14:textId="77777777" w:rsidR="007D1B53" w:rsidRPr="007D1B53" w:rsidRDefault="007D1B53" w:rsidP="007D1B53">
            <w:r w:rsidRPr="007D1B53">
              <w:t>6%</w:t>
            </w:r>
          </w:p>
        </w:tc>
      </w:tr>
      <w:tr w:rsidR="007D1B53" w:rsidRPr="007D1B53" w14:paraId="08AEEE74" w14:textId="77777777" w:rsidTr="00246E28">
        <w:tc>
          <w:tcPr>
            <w:tcW w:w="0" w:type="auto"/>
            <w:hideMark/>
          </w:tcPr>
          <w:p w14:paraId="20FD5FD9" w14:textId="77777777" w:rsidR="007D1B53" w:rsidRPr="007D1B53" w:rsidRDefault="007D1B53" w:rsidP="007D1B53">
            <w:r w:rsidRPr="007D1B53">
              <w:rPr>
                <w:b/>
                <w:bCs/>
              </w:rPr>
              <w:t>Annual income</w:t>
            </w:r>
          </w:p>
        </w:tc>
        <w:tc>
          <w:tcPr>
            <w:tcW w:w="0" w:type="auto"/>
            <w:hideMark/>
          </w:tcPr>
          <w:p w14:paraId="3352C07B" w14:textId="77777777" w:rsidR="007D1B53" w:rsidRPr="007D1B53" w:rsidRDefault="007D1B53" w:rsidP="007D1B53">
            <w:r w:rsidRPr="007D1B53">
              <w:rPr>
                <w:b/>
                <w:bCs/>
              </w:rPr>
              <w:t xml:space="preserve">% </w:t>
            </w:r>
            <w:proofErr w:type="gramStart"/>
            <w:r w:rsidRPr="007D1B53">
              <w:rPr>
                <w:b/>
                <w:bCs/>
              </w:rPr>
              <w:t>of</w:t>
            </w:r>
            <w:proofErr w:type="gramEnd"/>
            <w:r w:rsidRPr="007D1B53">
              <w:rPr>
                <w:b/>
                <w:bCs/>
              </w:rPr>
              <w:t xml:space="preserve"> sample</w:t>
            </w:r>
          </w:p>
        </w:tc>
      </w:tr>
      <w:tr w:rsidR="007D1B53" w:rsidRPr="007D1B53" w14:paraId="12F60FA8" w14:textId="77777777" w:rsidTr="00246E28">
        <w:tc>
          <w:tcPr>
            <w:tcW w:w="0" w:type="auto"/>
            <w:hideMark/>
          </w:tcPr>
          <w:p w14:paraId="39FE7B5C" w14:textId="77777777" w:rsidR="007D1B53" w:rsidRPr="007D1B53" w:rsidRDefault="007D1B53" w:rsidP="007D1B53">
            <w:r w:rsidRPr="007D1B53">
              <w:t>Less than $40,000</w:t>
            </w:r>
          </w:p>
        </w:tc>
        <w:tc>
          <w:tcPr>
            <w:tcW w:w="0" w:type="auto"/>
            <w:hideMark/>
          </w:tcPr>
          <w:p w14:paraId="72CF3A22" w14:textId="77777777" w:rsidR="007D1B53" w:rsidRPr="007D1B53" w:rsidRDefault="007D1B53" w:rsidP="007D1B53">
            <w:r w:rsidRPr="007D1B53">
              <w:t>58%</w:t>
            </w:r>
          </w:p>
        </w:tc>
      </w:tr>
      <w:tr w:rsidR="007D1B53" w:rsidRPr="007D1B53" w14:paraId="21408795" w14:textId="77777777" w:rsidTr="00246E28">
        <w:tc>
          <w:tcPr>
            <w:tcW w:w="0" w:type="auto"/>
            <w:hideMark/>
          </w:tcPr>
          <w:p w14:paraId="04C369B1" w14:textId="77777777" w:rsidR="007D1B53" w:rsidRPr="007D1B53" w:rsidRDefault="007D1B53" w:rsidP="007D1B53">
            <w:r w:rsidRPr="007D1B53">
              <w:t>40,000–60,000</w:t>
            </w:r>
          </w:p>
        </w:tc>
        <w:tc>
          <w:tcPr>
            <w:tcW w:w="0" w:type="auto"/>
            <w:hideMark/>
          </w:tcPr>
          <w:p w14:paraId="57BA4D9E" w14:textId="77777777" w:rsidR="007D1B53" w:rsidRPr="007D1B53" w:rsidRDefault="007D1B53" w:rsidP="007D1B53">
            <w:r w:rsidRPr="007D1B53">
              <w:t>16%</w:t>
            </w:r>
          </w:p>
        </w:tc>
      </w:tr>
      <w:tr w:rsidR="007D1B53" w:rsidRPr="007D1B53" w14:paraId="321D18AA" w14:textId="77777777" w:rsidTr="00246E28">
        <w:tc>
          <w:tcPr>
            <w:tcW w:w="0" w:type="auto"/>
            <w:hideMark/>
          </w:tcPr>
          <w:p w14:paraId="439E2928" w14:textId="77777777" w:rsidR="007D1B53" w:rsidRPr="007D1B53" w:rsidRDefault="007D1B53" w:rsidP="007D1B53">
            <w:r w:rsidRPr="007D1B53">
              <w:t>60,000–80,000</w:t>
            </w:r>
          </w:p>
        </w:tc>
        <w:tc>
          <w:tcPr>
            <w:tcW w:w="0" w:type="auto"/>
            <w:hideMark/>
          </w:tcPr>
          <w:p w14:paraId="259DCF0E" w14:textId="77777777" w:rsidR="007D1B53" w:rsidRPr="007D1B53" w:rsidRDefault="007D1B53" w:rsidP="007D1B53">
            <w:r w:rsidRPr="007D1B53">
              <w:t>14%</w:t>
            </w:r>
          </w:p>
        </w:tc>
      </w:tr>
      <w:tr w:rsidR="007D1B53" w:rsidRPr="007D1B53" w14:paraId="2CF3AD57" w14:textId="77777777" w:rsidTr="00246E28">
        <w:tc>
          <w:tcPr>
            <w:tcW w:w="0" w:type="auto"/>
            <w:hideMark/>
          </w:tcPr>
          <w:p w14:paraId="2147FDAA" w14:textId="77777777" w:rsidR="007D1B53" w:rsidRPr="007D1B53" w:rsidRDefault="007D1B53" w:rsidP="007D1B53">
            <w:r w:rsidRPr="007D1B53">
              <w:t>Greater than $80,000</w:t>
            </w:r>
          </w:p>
        </w:tc>
        <w:tc>
          <w:tcPr>
            <w:tcW w:w="0" w:type="auto"/>
            <w:hideMark/>
          </w:tcPr>
          <w:p w14:paraId="61DB164F" w14:textId="77777777" w:rsidR="007D1B53" w:rsidRPr="007D1B53" w:rsidRDefault="007D1B53" w:rsidP="007D1B53">
            <w:r w:rsidRPr="007D1B53">
              <w:t>12%</w:t>
            </w:r>
          </w:p>
        </w:tc>
      </w:tr>
      <w:tr w:rsidR="007D1B53" w:rsidRPr="007D1B53" w14:paraId="3644710D" w14:textId="77777777" w:rsidTr="00246E28">
        <w:tc>
          <w:tcPr>
            <w:tcW w:w="0" w:type="auto"/>
            <w:hideMark/>
          </w:tcPr>
          <w:p w14:paraId="1B4DB7E0" w14:textId="77777777" w:rsidR="007D1B53" w:rsidRPr="007D1B53" w:rsidRDefault="007D1B53" w:rsidP="007D1B53">
            <w:r w:rsidRPr="007D1B53">
              <w:rPr>
                <w:b/>
                <w:bCs/>
              </w:rPr>
              <w:t>Educational attainment</w:t>
            </w:r>
          </w:p>
        </w:tc>
        <w:tc>
          <w:tcPr>
            <w:tcW w:w="0" w:type="auto"/>
            <w:hideMark/>
          </w:tcPr>
          <w:p w14:paraId="0F93DAFA" w14:textId="77777777" w:rsidR="007D1B53" w:rsidRPr="007D1B53" w:rsidRDefault="007D1B53" w:rsidP="007D1B53">
            <w:r w:rsidRPr="007D1B53">
              <w:rPr>
                <w:b/>
                <w:bCs/>
              </w:rPr>
              <w:t xml:space="preserve">% </w:t>
            </w:r>
            <w:proofErr w:type="gramStart"/>
            <w:r w:rsidRPr="007D1B53">
              <w:rPr>
                <w:b/>
                <w:bCs/>
              </w:rPr>
              <w:t>of</w:t>
            </w:r>
            <w:proofErr w:type="gramEnd"/>
            <w:r w:rsidRPr="007D1B53">
              <w:rPr>
                <w:b/>
                <w:bCs/>
              </w:rPr>
              <w:t xml:space="preserve"> sample</w:t>
            </w:r>
          </w:p>
        </w:tc>
      </w:tr>
      <w:tr w:rsidR="007D1B53" w:rsidRPr="007D1B53" w14:paraId="01D53168" w14:textId="77777777" w:rsidTr="00246E28">
        <w:tc>
          <w:tcPr>
            <w:tcW w:w="0" w:type="auto"/>
            <w:hideMark/>
          </w:tcPr>
          <w:p w14:paraId="7AB1DD74" w14:textId="77777777" w:rsidR="007D1B53" w:rsidRPr="007D1B53" w:rsidRDefault="007D1B53" w:rsidP="007D1B53">
            <w:r w:rsidRPr="007D1B53">
              <w:t>Some high school</w:t>
            </w:r>
          </w:p>
        </w:tc>
        <w:tc>
          <w:tcPr>
            <w:tcW w:w="0" w:type="auto"/>
            <w:hideMark/>
          </w:tcPr>
          <w:p w14:paraId="1489B443" w14:textId="77777777" w:rsidR="007D1B53" w:rsidRPr="007D1B53" w:rsidRDefault="007D1B53" w:rsidP="007D1B53">
            <w:r w:rsidRPr="007D1B53">
              <w:t>7%</w:t>
            </w:r>
          </w:p>
        </w:tc>
      </w:tr>
      <w:tr w:rsidR="007D1B53" w:rsidRPr="007D1B53" w14:paraId="3B066DDC" w14:textId="77777777" w:rsidTr="00246E28">
        <w:tc>
          <w:tcPr>
            <w:tcW w:w="0" w:type="auto"/>
            <w:hideMark/>
          </w:tcPr>
          <w:p w14:paraId="6AD505B2" w14:textId="77777777" w:rsidR="007D1B53" w:rsidRPr="007D1B53" w:rsidRDefault="007D1B53" w:rsidP="007D1B53">
            <w:r w:rsidRPr="007D1B53">
              <w:t>High school graduate or GED</w:t>
            </w:r>
          </w:p>
        </w:tc>
        <w:tc>
          <w:tcPr>
            <w:tcW w:w="0" w:type="auto"/>
            <w:hideMark/>
          </w:tcPr>
          <w:p w14:paraId="0948703C" w14:textId="77777777" w:rsidR="007D1B53" w:rsidRPr="007D1B53" w:rsidRDefault="007D1B53" w:rsidP="007D1B53">
            <w:r w:rsidRPr="007D1B53">
              <w:t>33%</w:t>
            </w:r>
          </w:p>
        </w:tc>
      </w:tr>
      <w:tr w:rsidR="007D1B53" w:rsidRPr="007D1B53" w14:paraId="18127409" w14:textId="77777777" w:rsidTr="00246E28">
        <w:tc>
          <w:tcPr>
            <w:tcW w:w="0" w:type="auto"/>
            <w:hideMark/>
          </w:tcPr>
          <w:p w14:paraId="00B17661" w14:textId="77777777" w:rsidR="007D1B53" w:rsidRPr="007D1B53" w:rsidRDefault="007D1B53" w:rsidP="007D1B53">
            <w:r w:rsidRPr="007D1B53">
              <w:t>Some college</w:t>
            </w:r>
          </w:p>
        </w:tc>
        <w:tc>
          <w:tcPr>
            <w:tcW w:w="0" w:type="auto"/>
            <w:hideMark/>
          </w:tcPr>
          <w:p w14:paraId="33171878" w14:textId="77777777" w:rsidR="007D1B53" w:rsidRPr="007D1B53" w:rsidRDefault="007D1B53" w:rsidP="007D1B53">
            <w:r w:rsidRPr="007D1B53">
              <w:t>28%</w:t>
            </w:r>
          </w:p>
        </w:tc>
      </w:tr>
      <w:tr w:rsidR="007D1B53" w:rsidRPr="007D1B53" w14:paraId="54B0003F" w14:textId="77777777" w:rsidTr="00246E28">
        <w:tc>
          <w:tcPr>
            <w:tcW w:w="0" w:type="auto"/>
            <w:hideMark/>
          </w:tcPr>
          <w:p w14:paraId="16FA4458" w14:textId="77777777" w:rsidR="007D1B53" w:rsidRPr="007D1B53" w:rsidRDefault="007D1B53" w:rsidP="007D1B53">
            <w:r w:rsidRPr="007D1B53">
              <w:t>Associate degree</w:t>
            </w:r>
          </w:p>
        </w:tc>
        <w:tc>
          <w:tcPr>
            <w:tcW w:w="0" w:type="auto"/>
            <w:hideMark/>
          </w:tcPr>
          <w:p w14:paraId="1A1C8F3E" w14:textId="77777777" w:rsidR="007D1B53" w:rsidRPr="007D1B53" w:rsidRDefault="007D1B53" w:rsidP="007D1B53">
            <w:r w:rsidRPr="007D1B53">
              <w:t>16%</w:t>
            </w:r>
          </w:p>
        </w:tc>
      </w:tr>
      <w:tr w:rsidR="007D1B53" w:rsidRPr="007D1B53" w14:paraId="740D41ED" w14:textId="77777777" w:rsidTr="00246E28">
        <w:tc>
          <w:tcPr>
            <w:tcW w:w="0" w:type="auto"/>
            <w:hideMark/>
          </w:tcPr>
          <w:p w14:paraId="7F06545A" w14:textId="77777777" w:rsidR="007D1B53" w:rsidRPr="007D1B53" w:rsidRDefault="007D1B53" w:rsidP="007D1B53">
            <w:proofErr w:type="gramStart"/>
            <w:r w:rsidRPr="007D1B53">
              <w:t>Bachelor</w:t>
            </w:r>
            <w:proofErr w:type="gramEnd"/>
            <w:r w:rsidRPr="007D1B53">
              <w:t xml:space="preserve"> degree</w:t>
            </w:r>
          </w:p>
        </w:tc>
        <w:tc>
          <w:tcPr>
            <w:tcW w:w="0" w:type="auto"/>
            <w:hideMark/>
          </w:tcPr>
          <w:p w14:paraId="30DEF296" w14:textId="77777777" w:rsidR="007D1B53" w:rsidRPr="007D1B53" w:rsidRDefault="007D1B53" w:rsidP="007D1B53">
            <w:r w:rsidRPr="007D1B53">
              <w:t>14%</w:t>
            </w:r>
          </w:p>
        </w:tc>
      </w:tr>
      <w:tr w:rsidR="007D1B53" w:rsidRPr="007D1B53" w14:paraId="6D85A4BB" w14:textId="77777777" w:rsidTr="00246E28">
        <w:tc>
          <w:tcPr>
            <w:tcW w:w="0" w:type="auto"/>
            <w:hideMark/>
          </w:tcPr>
          <w:p w14:paraId="3BA70E58" w14:textId="77777777" w:rsidR="007D1B53" w:rsidRPr="007D1B53" w:rsidRDefault="007D1B53" w:rsidP="007D1B53">
            <w:proofErr w:type="gramStart"/>
            <w:r w:rsidRPr="007D1B53">
              <w:t>Master</w:t>
            </w:r>
            <w:proofErr w:type="gramEnd"/>
            <w:r w:rsidRPr="007D1B53">
              <w:t xml:space="preserve"> degree or higher</w:t>
            </w:r>
          </w:p>
        </w:tc>
        <w:tc>
          <w:tcPr>
            <w:tcW w:w="0" w:type="auto"/>
            <w:hideMark/>
          </w:tcPr>
          <w:p w14:paraId="12DE1984" w14:textId="77777777" w:rsidR="007D1B53" w:rsidRPr="007D1B53" w:rsidRDefault="007D1B53" w:rsidP="007D1B53">
            <w:r w:rsidRPr="007D1B53">
              <w:t>&lt;5%</w:t>
            </w:r>
          </w:p>
        </w:tc>
      </w:tr>
      <w:tr w:rsidR="007D1B53" w:rsidRPr="007D1B53" w14:paraId="0314C493" w14:textId="77777777" w:rsidTr="00246E28">
        <w:tc>
          <w:tcPr>
            <w:tcW w:w="0" w:type="auto"/>
            <w:hideMark/>
          </w:tcPr>
          <w:p w14:paraId="3B0D9A96" w14:textId="77777777" w:rsidR="007D1B53" w:rsidRPr="007D1B53" w:rsidRDefault="007D1B53" w:rsidP="007D1B53">
            <w:r w:rsidRPr="007D1B53">
              <w:rPr>
                <w:b/>
                <w:bCs/>
              </w:rPr>
              <w:t>Mechanism of injury</w:t>
            </w:r>
          </w:p>
        </w:tc>
        <w:tc>
          <w:tcPr>
            <w:tcW w:w="0" w:type="auto"/>
            <w:hideMark/>
          </w:tcPr>
          <w:p w14:paraId="13F041B0" w14:textId="77777777" w:rsidR="007D1B53" w:rsidRPr="007D1B53" w:rsidRDefault="007D1B53" w:rsidP="007D1B53">
            <w:r w:rsidRPr="007D1B53">
              <w:rPr>
                <w:b/>
                <w:bCs/>
              </w:rPr>
              <w:t>Percent (# male, # female)</w:t>
            </w:r>
          </w:p>
        </w:tc>
      </w:tr>
      <w:tr w:rsidR="007D1B53" w:rsidRPr="007D1B53" w14:paraId="65F5DB37" w14:textId="77777777" w:rsidTr="00246E28">
        <w:tc>
          <w:tcPr>
            <w:tcW w:w="0" w:type="auto"/>
            <w:hideMark/>
          </w:tcPr>
          <w:p w14:paraId="4EC5E164" w14:textId="77777777" w:rsidR="007D1B53" w:rsidRPr="007D1B53" w:rsidRDefault="007D1B53" w:rsidP="007D1B53">
            <w:r w:rsidRPr="007D1B53">
              <w:t>Assault</w:t>
            </w:r>
          </w:p>
        </w:tc>
        <w:tc>
          <w:tcPr>
            <w:tcW w:w="0" w:type="auto"/>
            <w:hideMark/>
          </w:tcPr>
          <w:p w14:paraId="186496B2" w14:textId="77777777" w:rsidR="007D1B53" w:rsidRPr="007D1B53" w:rsidRDefault="007D1B53" w:rsidP="007D1B53">
            <w:r w:rsidRPr="007D1B53">
              <w:t>15% (8 M, 15 F)</w:t>
            </w:r>
          </w:p>
        </w:tc>
      </w:tr>
      <w:tr w:rsidR="007D1B53" w:rsidRPr="007D1B53" w14:paraId="30927A66" w14:textId="77777777" w:rsidTr="00246E28">
        <w:tc>
          <w:tcPr>
            <w:tcW w:w="0" w:type="auto"/>
            <w:hideMark/>
          </w:tcPr>
          <w:p w14:paraId="23E7C1CC" w14:textId="77777777" w:rsidR="007D1B53" w:rsidRPr="007D1B53" w:rsidRDefault="007D1B53" w:rsidP="007D1B53">
            <w:r w:rsidRPr="007D1B53">
              <w:t>Fall</w:t>
            </w:r>
          </w:p>
        </w:tc>
        <w:tc>
          <w:tcPr>
            <w:tcW w:w="0" w:type="auto"/>
            <w:hideMark/>
          </w:tcPr>
          <w:p w14:paraId="0D026968" w14:textId="77777777" w:rsidR="007D1B53" w:rsidRPr="007D1B53" w:rsidRDefault="007D1B53" w:rsidP="007D1B53">
            <w:r w:rsidRPr="007D1B53">
              <w:t>1% (0 M, 2 F)</w:t>
            </w:r>
          </w:p>
        </w:tc>
      </w:tr>
      <w:tr w:rsidR="007D1B53" w:rsidRPr="007D1B53" w14:paraId="3DDDB3D0" w14:textId="77777777" w:rsidTr="00246E28">
        <w:tc>
          <w:tcPr>
            <w:tcW w:w="0" w:type="auto"/>
            <w:hideMark/>
          </w:tcPr>
          <w:p w14:paraId="7E6E56B2" w14:textId="77777777" w:rsidR="007D1B53" w:rsidRPr="007D1B53" w:rsidRDefault="007D1B53" w:rsidP="007D1B53">
            <w:r w:rsidRPr="007D1B53">
              <w:t>MVC</w:t>
            </w:r>
          </w:p>
        </w:tc>
        <w:tc>
          <w:tcPr>
            <w:tcW w:w="0" w:type="auto"/>
            <w:hideMark/>
          </w:tcPr>
          <w:p w14:paraId="6A00DAFB" w14:textId="77777777" w:rsidR="007D1B53" w:rsidRPr="007D1B53" w:rsidRDefault="007D1B53" w:rsidP="007D1B53">
            <w:r w:rsidRPr="007D1B53">
              <w:t>69% (47 M, 56 F)</w:t>
            </w:r>
          </w:p>
        </w:tc>
      </w:tr>
      <w:tr w:rsidR="007D1B53" w:rsidRPr="007D1B53" w14:paraId="2A6D55FE" w14:textId="77777777" w:rsidTr="00246E28">
        <w:tc>
          <w:tcPr>
            <w:tcW w:w="0" w:type="auto"/>
            <w:hideMark/>
          </w:tcPr>
          <w:p w14:paraId="7D480A3A" w14:textId="77777777" w:rsidR="007D1B53" w:rsidRPr="007D1B53" w:rsidRDefault="007D1B53" w:rsidP="007D1B53">
            <w:r w:rsidRPr="007D1B53">
              <w:t>Pedestrian struck</w:t>
            </w:r>
          </w:p>
        </w:tc>
        <w:tc>
          <w:tcPr>
            <w:tcW w:w="0" w:type="auto"/>
            <w:hideMark/>
          </w:tcPr>
          <w:p w14:paraId="4FBD40D7" w14:textId="77777777" w:rsidR="007D1B53" w:rsidRPr="007D1B53" w:rsidRDefault="007D1B53" w:rsidP="007D1B53">
            <w:r w:rsidRPr="007D1B53">
              <w:t>4% (4 M 2 F)</w:t>
            </w:r>
          </w:p>
        </w:tc>
      </w:tr>
      <w:tr w:rsidR="007D1B53" w:rsidRPr="007D1B53" w14:paraId="26E3D047" w14:textId="77777777" w:rsidTr="00246E28">
        <w:tc>
          <w:tcPr>
            <w:tcW w:w="0" w:type="auto"/>
            <w:hideMark/>
          </w:tcPr>
          <w:p w14:paraId="3F88BB9A" w14:textId="77777777" w:rsidR="007D1B53" w:rsidRPr="007D1B53" w:rsidRDefault="007D1B53" w:rsidP="007D1B53">
            <w:r w:rsidRPr="007D1B53">
              <w:t>Other</w:t>
            </w:r>
          </w:p>
        </w:tc>
        <w:tc>
          <w:tcPr>
            <w:tcW w:w="0" w:type="auto"/>
            <w:hideMark/>
          </w:tcPr>
          <w:p w14:paraId="7B91E3F9" w14:textId="77777777" w:rsidR="007D1B53" w:rsidRPr="007D1B53" w:rsidRDefault="007D1B53" w:rsidP="007D1B53">
            <w:r w:rsidRPr="007D1B53">
              <w:t>11% (6 M, 8 F)</w:t>
            </w:r>
          </w:p>
        </w:tc>
      </w:tr>
      <w:tr w:rsidR="007D1B53" w:rsidRPr="007D1B53" w14:paraId="60BC0500" w14:textId="77777777" w:rsidTr="00246E28">
        <w:tc>
          <w:tcPr>
            <w:tcW w:w="0" w:type="auto"/>
            <w:hideMark/>
          </w:tcPr>
          <w:p w14:paraId="0CBA0159" w14:textId="77777777" w:rsidR="007D1B53" w:rsidRPr="007D1B53" w:rsidRDefault="007D1B53" w:rsidP="007D1B53">
            <w:r w:rsidRPr="007D1B53">
              <w:rPr>
                <w:b/>
                <w:bCs/>
              </w:rPr>
              <w:t>Days since injury</w:t>
            </w:r>
          </w:p>
        </w:tc>
        <w:tc>
          <w:tcPr>
            <w:tcW w:w="0" w:type="auto"/>
            <w:hideMark/>
          </w:tcPr>
          <w:p w14:paraId="56D266BB" w14:textId="77777777" w:rsidR="007D1B53" w:rsidRPr="007D1B53" w:rsidRDefault="007D1B53" w:rsidP="007D1B53">
            <w:r w:rsidRPr="007D1B53">
              <w:rPr>
                <w:b/>
                <w:bCs/>
                <w:i/>
                <w:iCs/>
              </w:rPr>
              <w:t>M</w:t>
            </w:r>
            <w:r w:rsidRPr="007D1B53">
              <w:rPr>
                <w:b/>
                <w:bCs/>
              </w:rPr>
              <w:t> (</w:t>
            </w:r>
            <w:r w:rsidRPr="007D1B53">
              <w:rPr>
                <w:b/>
                <w:bCs/>
                <w:i/>
                <w:iCs/>
              </w:rPr>
              <w:t>SD</w:t>
            </w:r>
            <w:r w:rsidRPr="007D1B53">
              <w:rPr>
                <w:b/>
                <w:bCs/>
              </w:rPr>
              <w:t>)</w:t>
            </w:r>
          </w:p>
        </w:tc>
      </w:tr>
      <w:tr w:rsidR="007D1B53" w:rsidRPr="007D1B53" w14:paraId="4C36AF53" w14:textId="77777777" w:rsidTr="00246E28">
        <w:tc>
          <w:tcPr>
            <w:tcW w:w="0" w:type="auto"/>
            <w:hideMark/>
          </w:tcPr>
          <w:p w14:paraId="2818AE83" w14:textId="77777777" w:rsidR="007D1B53" w:rsidRPr="007D1B53" w:rsidRDefault="007D1B53" w:rsidP="007D1B53">
            <w:r w:rsidRPr="007D1B53">
              <w:t>T1</w:t>
            </w:r>
          </w:p>
        </w:tc>
        <w:tc>
          <w:tcPr>
            <w:tcW w:w="0" w:type="auto"/>
            <w:hideMark/>
          </w:tcPr>
          <w:p w14:paraId="55EBA570" w14:textId="77777777" w:rsidR="007D1B53" w:rsidRPr="007D1B53" w:rsidRDefault="007D1B53" w:rsidP="007D1B53">
            <w:r w:rsidRPr="007D1B53">
              <w:t>17.83 (5.79)</w:t>
            </w:r>
          </w:p>
        </w:tc>
      </w:tr>
      <w:tr w:rsidR="007D1B53" w:rsidRPr="007D1B53" w14:paraId="2A5CD077" w14:textId="77777777" w:rsidTr="00246E28">
        <w:tc>
          <w:tcPr>
            <w:tcW w:w="0" w:type="auto"/>
            <w:hideMark/>
          </w:tcPr>
          <w:p w14:paraId="68F0E3BC" w14:textId="77777777" w:rsidR="007D1B53" w:rsidRPr="007D1B53" w:rsidRDefault="007D1B53" w:rsidP="007D1B53">
            <w:r w:rsidRPr="007D1B53">
              <w:t>T2</w:t>
            </w:r>
          </w:p>
        </w:tc>
        <w:tc>
          <w:tcPr>
            <w:tcW w:w="0" w:type="auto"/>
            <w:hideMark/>
          </w:tcPr>
          <w:p w14:paraId="7C5D824D" w14:textId="77777777" w:rsidR="007D1B53" w:rsidRPr="007D1B53" w:rsidRDefault="007D1B53" w:rsidP="007D1B53">
            <w:r w:rsidRPr="007D1B53">
              <w:t>183.64 (11.89)</w:t>
            </w:r>
          </w:p>
        </w:tc>
      </w:tr>
      <w:tr w:rsidR="007D1B53" w:rsidRPr="007D1B53" w14:paraId="7B81039F" w14:textId="77777777" w:rsidTr="00246E28">
        <w:tc>
          <w:tcPr>
            <w:tcW w:w="0" w:type="auto"/>
            <w:hideMark/>
          </w:tcPr>
          <w:p w14:paraId="45B62EE3" w14:textId="77777777" w:rsidR="007D1B53" w:rsidRPr="007D1B53" w:rsidRDefault="007D1B53" w:rsidP="007D1B53">
            <w:r w:rsidRPr="007D1B53">
              <w:rPr>
                <w:b/>
                <w:bCs/>
              </w:rPr>
              <w:t>Prior trauma history (weighted LEC)</w:t>
            </w:r>
          </w:p>
        </w:tc>
        <w:tc>
          <w:tcPr>
            <w:tcW w:w="0" w:type="auto"/>
            <w:hideMark/>
          </w:tcPr>
          <w:p w14:paraId="79318324" w14:textId="77777777" w:rsidR="007D1B53" w:rsidRPr="007D1B53" w:rsidRDefault="007D1B53" w:rsidP="007D1B53">
            <w:r w:rsidRPr="007D1B53">
              <w:t>31.39 (16.37)</w:t>
            </w:r>
          </w:p>
        </w:tc>
      </w:tr>
      <w:tr w:rsidR="007D1B53" w:rsidRPr="007D1B53" w14:paraId="05A266A5" w14:textId="77777777" w:rsidTr="00246E28">
        <w:tc>
          <w:tcPr>
            <w:tcW w:w="0" w:type="auto"/>
            <w:hideMark/>
          </w:tcPr>
          <w:p w14:paraId="1F74DB3B" w14:textId="77777777" w:rsidR="007D1B53" w:rsidRPr="007D1B53" w:rsidRDefault="007D1B53" w:rsidP="007D1B53">
            <w:r w:rsidRPr="007D1B53">
              <w:rPr>
                <w:b/>
                <w:bCs/>
              </w:rPr>
              <w:t>PTSD symptoms</w:t>
            </w:r>
          </w:p>
        </w:tc>
        <w:tc>
          <w:tcPr>
            <w:tcW w:w="0" w:type="auto"/>
            <w:hideMark/>
          </w:tcPr>
          <w:p w14:paraId="610B32A2" w14:textId="77777777" w:rsidR="007D1B53" w:rsidRPr="007D1B53" w:rsidRDefault="007D1B53" w:rsidP="007D1B53">
            <w:r w:rsidRPr="007D1B53">
              <w:rPr>
                <w:b/>
                <w:bCs/>
                <w:i/>
                <w:iCs/>
              </w:rPr>
              <w:t>M</w:t>
            </w:r>
            <w:r w:rsidRPr="007D1B53">
              <w:rPr>
                <w:b/>
                <w:bCs/>
              </w:rPr>
              <w:t> (</w:t>
            </w:r>
            <w:r w:rsidRPr="007D1B53">
              <w:rPr>
                <w:b/>
                <w:bCs/>
                <w:i/>
                <w:iCs/>
              </w:rPr>
              <w:t>SD</w:t>
            </w:r>
            <w:r w:rsidRPr="007D1B53">
              <w:rPr>
                <w:b/>
                <w:bCs/>
              </w:rPr>
              <w:t>)</w:t>
            </w:r>
          </w:p>
        </w:tc>
      </w:tr>
      <w:tr w:rsidR="007D1B53" w:rsidRPr="007D1B53" w14:paraId="66C6D4B0" w14:textId="77777777" w:rsidTr="00246E28">
        <w:tc>
          <w:tcPr>
            <w:tcW w:w="0" w:type="auto"/>
            <w:hideMark/>
          </w:tcPr>
          <w:p w14:paraId="424869BC" w14:textId="77777777" w:rsidR="007D1B53" w:rsidRPr="007D1B53" w:rsidRDefault="007D1B53" w:rsidP="007D1B53">
            <w:r w:rsidRPr="007D1B53">
              <w:t>PCL-5 (T1)</w:t>
            </w:r>
          </w:p>
        </w:tc>
        <w:tc>
          <w:tcPr>
            <w:tcW w:w="0" w:type="auto"/>
            <w:hideMark/>
          </w:tcPr>
          <w:p w14:paraId="6F0D2810" w14:textId="77777777" w:rsidR="007D1B53" w:rsidRPr="007D1B53" w:rsidRDefault="007D1B53" w:rsidP="007D1B53">
            <w:r w:rsidRPr="007D1B53">
              <w:t>26.78 (17.29)</w:t>
            </w:r>
          </w:p>
        </w:tc>
      </w:tr>
      <w:tr w:rsidR="007D1B53" w:rsidRPr="007D1B53" w14:paraId="32D38709" w14:textId="77777777" w:rsidTr="00246E28">
        <w:tc>
          <w:tcPr>
            <w:tcW w:w="0" w:type="auto"/>
            <w:hideMark/>
          </w:tcPr>
          <w:p w14:paraId="74DA4CE9" w14:textId="77777777" w:rsidR="007D1B53" w:rsidRPr="007D1B53" w:rsidRDefault="007D1B53" w:rsidP="007D1B53">
            <w:r w:rsidRPr="007D1B53">
              <w:t>CAPS-5 severity (T2)</w:t>
            </w:r>
          </w:p>
        </w:tc>
        <w:tc>
          <w:tcPr>
            <w:tcW w:w="0" w:type="auto"/>
            <w:hideMark/>
          </w:tcPr>
          <w:p w14:paraId="75C572D7" w14:textId="77777777" w:rsidR="007D1B53" w:rsidRPr="007D1B53" w:rsidRDefault="007D1B53" w:rsidP="007D1B53">
            <w:r w:rsidRPr="007D1B53">
              <w:t>12.70 (11.25)</w:t>
            </w:r>
          </w:p>
        </w:tc>
      </w:tr>
      <w:tr w:rsidR="007D1B53" w:rsidRPr="007D1B53" w14:paraId="63FE7F60" w14:textId="77777777" w:rsidTr="00246E28">
        <w:tc>
          <w:tcPr>
            <w:tcW w:w="0" w:type="auto"/>
            <w:hideMark/>
          </w:tcPr>
          <w:p w14:paraId="77F03184" w14:textId="77777777" w:rsidR="007D1B53" w:rsidRPr="007D1B53" w:rsidRDefault="007D1B53" w:rsidP="007D1B53">
            <w:r w:rsidRPr="007D1B53">
              <w:t>CAPS-5 Dx (T2)</w:t>
            </w:r>
          </w:p>
        </w:tc>
        <w:tc>
          <w:tcPr>
            <w:tcW w:w="0" w:type="auto"/>
            <w:hideMark/>
          </w:tcPr>
          <w:p w14:paraId="54A89F92" w14:textId="77777777" w:rsidR="007D1B53" w:rsidRPr="007D1B53" w:rsidRDefault="007D1B53" w:rsidP="007D1B53">
            <w:r w:rsidRPr="007D1B53">
              <w:t>27+/121−</w:t>
            </w:r>
          </w:p>
        </w:tc>
      </w:tr>
    </w:tbl>
    <w:p w14:paraId="28F3C559" w14:textId="77777777" w:rsidR="007D1B53" w:rsidRPr="007D1B53" w:rsidRDefault="007D1B53" w:rsidP="007D1B53">
      <w:r w:rsidRPr="007D1B53">
        <w:rPr>
          <w:i/>
          <w:iCs/>
        </w:rPr>
        <w:t>MVC, motor vehicle crash; LEC, life events checklist; PTSD, posttraumatic stress disorder; PCL-5, PTSD checklist for DSM-5; CAPS-5, Clinician Administered PTSD Scale for DSM-5; T1, 2-weeks post traumatic injury; T2, 6-months post traumatic injury; M, mean; SD, standard deviation; Dx, diagnosis. Small sample sizes for select racial groups are reported as &lt;5% to ensure participant anonymity, thus cumulative percentages exceed 100%.</w:t>
      </w:r>
    </w:p>
    <w:p w14:paraId="2AE6BD0D" w14:textId="77777777" w:rsidR="007D1B53" w:rsidRPr="007D1B53" w:rsidRDefault="007D1B53" w:rsidP="00246E28">
      <w:pPr>
        <w:pStyle w:val="Heading2"/>
      </w:pPr>
      <w:r w:rsidRPr="007D1B53">
        <w:lastRenderedPageBreak/>
        <w:t>Measures</w:t>
      </w:r>
    </w:p>
    <w:p w14:paraId="70EF6DC4" w14:textId="681197A9" w:rsidR="007D1B53" w:rsidRPr="007D1B53" w:rsidRDefault="007D1B53" w:rsidP="007D1B53">
      <w:r w:rsidRPr="007D1B53">
        <w:t>Prior trauma history is a significant risk factor in chronic trauma-related outcomes (</w:t>
      </w:r>
      <w:r w:rsidRPr="003E1E6E">
        <w:t>Karam et al., 2014</w:t>
      </w:r>
      <w:r w:rsidRPr="007D1B53">
        <w:t>), therefore, to assess past traumatic/stressful experiences, we used the Life Events Checklist (LEC; </w:t>
      </w:r>
      <w:r w:rsidRPr="003E1E6E">
        <w:t>Gray et al., 2004</w:t>
      </w:r>
      <w:r w:rsidRPr="007D1B53">
        <w:t>). The LEC assesses occurrence of 17 major life events (e.g., natural disaster, assault, combat, life-threatening illness, or injury) that a person may have experienced, witnessed, or learned about happening to someone close to them. To capture the greater PTSD risk conferred by experiencing an event as compared to learning about an event (</w:t>
      </w:r>
      <w:r w:rsidRPr="003E1E6E">
        <w:t>Gray et al., 2004</w:t>
      </w:r>
      <w:r w:rsidRPr="007D1B53">
        <w:t>), a newly developed weighted summary score was used (</w:t>
      </w:r>
      <w:r w:rsidRPr="003E1E6E">
        <w:t>Weis et al., 2021a</w:t>
      </w:r>
      <w:r w:rsidRPr="007D1B53">
        <w:t xml:space="preserve">). Items experienced firsthand were weighted by a factor of 3, items witnessed weighted with a factor of 2, and items learned about were weighted with a factor of 1. After weighting, all items were summed (maximum score = 102). Higher scores therefore indicate more events experienced with </w:t>
      </w:r>
      <w:proofErr w:type="gramStart"/>
      <w:r w:rsidRPr="007D1B53">
        <w:t>close proximity</w:t>
      </w:r>
      <w:proofErr w:type="gramEnd"/>
      <w:r w:rsidRPr="007D1B53">
        <w:t xml:space="preserve"> to the individual (descriptive information presented in </w:t>
      </w:r>
      <w:r w:rsidRPr="003E1E6E">
        <w:t>Table 1</w:t>
      </w:r>
      <w:r w:rsidRPr="007D1B53">
        <w:t>).</w:t>
      </w:r>
    </w:p>
    <w:p w14:paraId="2C52F470" w14:textId="77777777" w:rsidR="007D1B53" w:rsidRPr="007D1B53" w:rsidRDefault="007D1B53" w:rsidP="00246E28">
      <w:pPr>
        <w:pStyle w:val="Heading2"/>
      </w:pPr>
      <w:r w:rsidRPr="007D1B53">
        <w:t>Posttraumatic Stress Disorder Symptom Measurement</w:t>
      </w:r>
    </w:p>
    <w:p w14:paraId="05782676" w14:textId="7F4ED98C" w:rsidR="007D1B53" w:rsidRPr="007D1B53" w:rsidRDefault="007D1B53" w:rsidP="007D1B53">
      <w:r w:rsidRPr="007D1B53">
        <w:t>The Clinician-Administered PTSD Scale for DSM-5 (CAPS-5) was used to assess chronic PTSD symptoms at T2 (</w:t>
      </w:r>
      <w:r w:rsidRPr="003E1E6E">
        <w:t>Weathers et al., 2013</w:t>
      </w:r>
      <w:r w:rsidRPr="007D1B53">
        <w:t>). The CAPS-5 is an interview consisting of 18 questions corresponding to PTSD criterion in the DSM-5. Frequency and intensity of PTSD symptoms are assessed by the interviewer and a single severity rating is designated for each item. Total symptom severity is derived from the sum of severity ratings on all questions. The interview was administered by trained senior study personnel and audio-recorded for each participant. A random selection of interviews (</w:t>
      </w:r>
      <w:r w:rsidRPr="007D1B53">
        <w:rPr>
          <w:rFonts w:ascii="Cambria Math" w:hAnsi="Cambria Math" w:cs="Cambria Math"/>
        </w:rPr>
        <w:t>∼</w:t>
      </w:r>
      <w:r w:rsidRPr="007D1B53">
        <w:t>20%) were reviewed and reevaluated by licensed clinical psychologists in the study team to establish good reliability across interviewer administration within the study (Cohen’s Kappa = 0.95). At T2, the sample had predominantly subclinical symptoms (</w:t>
      </w:r>
      <w:r w:rsidRPr="007D1B53">
        <w:rPr>
          <w:i/>
          <w:iCs/>
        </w:rPr>
        <w:t>M</w:t>
      </w:r>
      <w:r w:rsidRPr="007D1B53">
        <w:t> = 12.70, </w:t>
      </w:r>
      <w:r w:rsidRPr="007D1B53">
        <w:rPr>
          <w:i/>
          <w:iCs/>
        </w:rPr>
        <w:t>SD</w:t>
      </w:r>
      <w:r w:rsidRPr="007D1B53">
        <w:t> = 11.25), as only 18% of participants (13 male and 14 female) met criteria for PTSD diagnosis according to the CAPS-5 (</w:t>
      </w:r>
      <w:r w:rsidRPr="003E1E6E">
        <w:t>Weathers et al., 2013</w:t>
      </w:r>
      <w:r w:rsidRPr="007D1B53">
        <w:t>).</w:t>
      </w:r>
    </w:p>
    <w:p w14:paraId="6D683210" w14:textId="1B32E3AF" w:rsidR="007D1B53" w:rsidRPr="007D1B53" w:rsidRDefault="007D1B53" w:rsidP="007D1B53">
      <w:r w:rsidRPr="007D1B53">
        <w:t>To assess baseline PTSD symptoms, we used total scores from the PTSD Checklist for DSM-5 (PCL-5) administered at T1 (</w:t>
      </w:r>
      <w:r w:rsidRPr="003E1E6E">
        <w:t>Blevins et al., 2015</w:t>
      </w:r>
      <w:r w:rsidRPr="007D1B53">
        <w:t>; </w:t>
      </w:r>
      <w:r w:rsidRPr="003E1E6E">
        <w:t>U.S. Department of Affairs, 2017</w:t>
      </w:r>
      <w:r w:rsidRPr="007D1B53">
        <w:t>). The PCL-5 is a 20-item self-report measure that assesses symptoms of PTSD according to the DSM-5 criteria. A sum score is generated reflecting symptom severity ranging from 0 to 80, with a higher scoring indicating greater symptom severity. Note, the PCL-5 was also administered at T2, however, the CAPS-5 is viewed as a more valid and objective measure of PTSD, therefore we used the CAPS-5 as the outcome variable of interest at T2 for all analyses rather than the PCL-5. Both measures of PTSD were highly correlated at T2, </w:t>
      </w:r>
      <w:r w:rsidRPr="007D1B53">
        <w:rPr>
          <w:i/>
          <w:iCs/>
        </w:rPr>
        <w:t>r</w:t>
      </w:r>
      <w:r w:rsidRPr="007D1B53">
        <w:rPr>
          <w:vertAlign w:val="superscript"/>
        </w:rPr>
        <w:t>2</w:t>
      </w:r>
      <w:r w:rsidRPr="007D1B53">
        <w:t> = 0.44, </w:t>
      </w:r>
      <w:r w:rsidRPr="007D1B53">
        <w:rPr>
          <w:i/>
          <w:iCs/>
        </w:rPr>
        <w:t>p</w:t>
      </w:r>
      <w:r w:rsidRPr="007D1B53">
        <w:t> &lt; 0.001.</w:t>
      </w:r>
    </w:p>
    <w:p w14:paraId="51558EAA" w14:textId="77777777" w:rsidR="007D1B53" w:rsidRPr="007D1B53" w:rsidRDefault="007D1B53" w:rsidP="00246E28">
      <w:pPr>
        <w:pStyle w:val="Heading2"/>
      </w:pPr>
      <w:r w:rsidRPr="007D1B53">
        <w:t>Depression Symptom Measurement</w:t>
      </w:r>
    </w:p>
    <w:p w14:paraId="5A4EFD87" w14:textId="43D48D66" w:rsidR="007D1B53" w:rsidRPr="007D1B53" w:rsidRDefault="007D1B53" w:rsidP="007D1B53">
      <w:r w:rsidRPr="007D1B53">
        <w:t>Given the high degree of comorbidity of PTSD and depression after traumatic injury (</w:t>
      </w:r>
      <w:proofErr w:type="spellStart"/>
      <w:r w:rsidRPr="003E1E6E">
        <w:t>Rytwinski</w:t>
      </w:r>
      <w:proofErr w:type="spellEnd"/>
      <w:r w:rsidRPr="003E1E6E">
        <w:t xml:space="preserve"> et al., 2013</w:t>
      </w:r>
      <w:r w:rsidRPr="007D1B53">
        <w:t>; </w:t>
      </w:r>
      <w:r w:rsidRPr="003E1E6E">
        <w:t>Flory and Yehuda, 2015</w:t>
      </w:r>
      <w:r w:rsidRPr="007D1B53">
        <w:t xml:space="preserve">), and </w:t>
      </w:r>
      <w:proofErr w:type="gramStart"/>
      <w:r w:rsidRPr="007D1B53">
        <w:t>in particular the</w:t>
      </w:r>
      <w:proofErr w:type="gramEnd"/>
      <w:r w:rsidRPr="007D1B53">
        <w:t xml:space="preserve"> relationship of depression and DTI after trauma (</w:t>
      </w:r>
      <w:r w:rsidRPr="003E1E6E">
        <w:t>Isaac et al., 2015</w:t>
      </w:r>
      <w:r w:rsidRPr="007D1B53">
        <w:t>), we included depression symptoms as a covariate in the analysis. Depressive symptoms were assessed at T1 using the Depression, Anxiety and Stress Scale (DASS; </w:t>
      </w:r>
      <w:r w:rsidRPr="003E1E6E">
        <w:t>Lovibond P.F. and Lovibond, 1995</w:t>
      </w:r>
      <w:r w:rsidRPr="007D1B53">
        <w:t>; </w:t>
      </w:r>
      <w:r w:rsidRPr="003E1E6E">
        <w:t>Lovibond S.H. and Lovibond, 1995</w:t>
      </w:r>
      <w:r w:rsidRPr="007D1B53">
        <w:t>; </w:t>
      </w:r>
      <w:r w:rsidRPr="003E1E6E">
        <w:t>Henry and Crawford, 2005</w:t>
      </w:r>
      <w:r w:rsidRPr="007D1B53">
        <w:t>). The DASS is a 21-item self-report measure divided into 3-subscales (7-items per subscale), depression, anxiety, and stress. Total scores from the depression subscale were used to evaluate depressive symptoms over the prior week relative to the time of administration. On the depression subscale total scores between 0 and 9 suggest asymptomatic depression, 10–13 indicate mild depression, 14–20 moderate depression, 21–27 severe depression, and scores greater than 28 correspond with extremely severe depression (</w:t>
      </w:r>
      <w:r w:rsidRPr="003E1E6E">
        <w:t>Lovibond P.F. and Lovibond, 1995</w:t>
      </w:r>
      <w:r w:rsidRPr="007D1B53">
        <w:t>; </w:t>
      </w:r>
      <w:r w:rsidRPr="003E1E6E">
        <w:t>Lovibond S.H. and Lovibond, 1995</w:t>
      </w:r>
      <w:r w:rsidRPr="007D1B53">
        <w:t>; </w:t>
      </w:r>
      <w:r w:rsidRPr="003E1E6E">
        <w:t>Henry and Crawford, 2005</w:t>
      </w:r>
      <w:r w:rsidRPr="007D1B53">
        <w:t>). On average, the current sample had asymptomatic depression (T1: </w:t>
      </w:r>
      <w:r w:rsidRPr="007D1B53">
        <w:rPr>
          <w:i/>
          <w:iCs/>
        </w:rPr>
        <w:t>M</w:t>
      </w:r>
      <w:r w:rsidRPr="007D1B53">
        <w:t> = 8.50) but with considerable variability up to extremely severe depression (range = 0–40) at T1.</w:t>
      </w:r>
    </w:p>
    <w:p w14:paraId="236101DB" w14:textId="77777777" w:rsidR="007D1B53" w:rsidRPr="007D1B53" w:rsidRDefault="007D1B53" w:rsidP="00246E28">
      <w:pPr>
        <w:pStyle w:val="Heading2"/>
      </w:pPr>
      <w:r w:rsidRPr="007D1B53">
        <w:lastRenderedPageBreak/>
        <w:t>MRI Acquisition</w:t>
      </w:r>
    </w:p>
    <w:p w14:paraId="5B90F1EB" w14:textId="77777777" w:rsidR="007D1B53" w:rsidRPr="007D1B53" w:rsidRDefault="007D1B53" w:rsidP="007D1B53">
      <w:r w:rsidRPr="007D1B53">
        <w:t xml:space="preserve">The MRI was collected on a 3.0T short bore GE Signa Excite system. High resolution T1 spoiled gradient recalled (SPGR) images were acquired in a sagittal orientation (TR = 8.2 </w:t>
      </w:r>
      <w:proofErr w:type="spellStart"/>
      <w:r w:rsidRPr="007D1B53">
        <w:t>ms</w:t>
      </w:r>
      <w:proofErr w:type="spellEnd"/>
      <w:r w:rsidRPr="007D1B53">
        <w:t xml:space="preserve">; TE = 3.2 </w:t>
      </w:r>
      <w:proofErr w:type="spellStart"/>
      <w:r w:rsidRPr="007D1B53">
        <w:t>ms</w:t>
      </w:r>
      <w:proofErr w:type="spellEnd"/>
      <w:r w:rsidRPr="007D1B53">
        <w:t xml:space="preserve">; FOV = 24 cm; flip angle = 12°; voxel size = 1 mm × 0.9375 mm × 0.9375 mm). Diffusion weighted images (DWI) were collected using an echoplanar pulse sequence with 70 contiguous 2 mm axial slices and 38 non-collinear diffusion gradients (TR = 10 s; TE = 77.99 </w:t>
      </w:r>
      <w:proofErr w:type="spellStart"/>
      <w:r w:rsidRPr="007D1B53">
        <w:t>ms</w:t>
      </w:r>
      <w:proofErr w:type="spellEnd"/>
      <w:r w:rsidRPr="007D1B53">
        <w:t>; </w:t>
      </w:r>
      <w:r w:rsidRPr="007D1B53">
        <w:rPr>
          <w:i/>
          <w:iCs/>
        </w:rPr>
        <w:t>b</w:t>
      </w:r>
      <w:r w:rsidRPr="007D1B53">
        <w:t>-value = 800 s/mm</w:t>
      </w:r>
      <w:r w:rsidRPr="007D1B53">
        <w:rPr>
          <w:vertAlign w:val="superscript"/>
        </w:rPr>
        <w:t>2</w:t>
      </w:r>
      <w:r w:rsidRPr="007D1B53">
        <w:t>; FOV = 25.6 cm; flip angle = 90°; voxel size = 2 mm × 2 mm × 2 mm).</w:t>
      </w:r>
    </w:p>
    <w:p w14:paraId="629DA986" w14:textId="77777777" w:rsidR="007D1B53" w:rsidRPr="007D1B53" w:rsidRDefault="007D1B53" w:rsidP="00246E28">
      <w:pPr>
        <w:pStyle w:val="Heading2"/>
      </w:pPr>
      <w:r w:rsidRPr="007D1B53">
        <w:t>Diffusion Tensor Imaging Image Processing</w:t>
      </w:r>
    </w:p>
    <w:p w14:paraId="557D5BC3" w14:textId="24F828F4" w:rsidR="007D1B53" w:rsidRPr="007D1B53" w:rsidRDefault="007D1B53" w:rsidP="007D1B53">
      <w:r w:rsidRPr="007D1B53">
        <w:t>Anatomical T1 scans were processed using the </w:t>
      </w:r>
      <w:r w:rsidRPr="007D1B53">
        <w:rPr>
          <w:i/>
          <w:iCs/>
        </w:rPr>
        <w:t>recon-all</w:t>
      </w:r>
      <w:r w:rsidRPr="007D1B53">
        <w:t xml:space="preserve"> pipeline in </w:t>
      </w:r>
      <w:proofErr w:type="spellStart"/>
      <w:r w:rsidRPr="007D1B53">
        <w:t>FreeSurfer</w:t>
      </w:r>
      <w:proofErr w:type="spellEnd"/>
      <w:r w:rsidRPr="007D1B53">
        <w:t xml:space="preserve"> v5.3 and reconstructions were visually inspected for quality control (</w:t>
      </w:r>
      <w:proofErr w:type="spellStart"/>
      <w:r w:rsidRPr="003E1E6E">
        <w:t>Fischl</w:t>
      </w:r>
      <w:proofErr w:type="spellEnd"/>
      <w:r w:rsidRPr="003E1E6E">
        <w:t>, 2012</w:t>
      </w:r>
      <w:r w:rsidRPr="007D1B53">
        <w:t>). Diffusion weighted images (DWI) were preprocessed using a standardized pipeline in TRACULA (</w:t>
      </w:r>
      <w:proofErr w:type="spellStart"/>
      <w:r w:rsidRPr="003E1E6E">
        <w:t>Yendiki</w:t>
      </w:r>
      <w:proofErr w:type="spellEnd"/>
      <w:r w:rsidRPr="003E1E6E">
        <w:t xml:space="preserve"> et al., 2011</w:t>
      </w:r>
      <w:r w:rsidRPr="007D1B53">
        <w:t xml:space="preserve">). First, DWIs were corrected for image and eddy current distortions then registered to anatomical T1 scans using </w:t>
      </w:r>
      <w:proofErr w:type="spellStart"/>
      <w:r w:rsidRPr="007D1B53">
        <w:t>FreeSurfer’s</w:t>
      </w:r>
      <w:proofErr w:type="spellEnd"/>
      <w:r w:rsidRPr="007D1B53">
        <w:t> </w:t>
      </w:r>
      <w:proofErr w:type="spellStart"/>
      <w:r w:rsidRPr="007D1B53">
        <w:rPr>
          <w:i/>
          <w:iCs/>
        </w:rPr>
        <w:t>bbregister</w:t>
      </w:r>
      <w:proofErr w:type="spellEnd"/>
      <w:r w:rsidRPr="007D1B53">
        <w:t> affine transformation. T1 scans were then registered to a standard template (MNI152) for group comparison. Head motion (translation and rotation) was calculated within TRACULA and used as a nuisance covariate in subsequent analyses. For tract reconstruction, FSL’s </w:t>
      </w:r>
      <w:r w:rsidRPr="007D1B53">
        <w:rPr>
          <w:i/>
          <w:iCs/>
        </w:rPr>
        <w:t>bedpost</w:t>
      </w:r>
      <w:r w:rsidRPr="007D1B53">
        <w:t> method was used to fit the ball-and-stick model with two anisotropic compartments at every voxel to account for crossing fibers. TRACULA then conducts global probabilistic tractography to reconstruct the pathways of interest. An atlas of 33 healthy individuals’ manually reconstructed pathways is referenced for pathway reconstruction.</w:t>
      </w:r>
    </w:p>
    <w:p w14:paraId="4760D146" w14:textId="74804B46" w:rsidR="007D1B53" w:rsidRPr="003E1E6E" w:rsidRDefault="007D1B53" w:rsidP="003544AA">
      <w:pPr>
        <w:pStyle w:val="NoSpacing"/>
      </w:pPr>
      <w:r w:rsidRPr="007D1B53">
        <w:t>For the tracts of interest in the current study TRACULA segments the cingulum into anterior and posterior segments, and the CC into forceps major and minor. In all, 5 tracts—anterior cingulum (CCG), posterior cingulum (CAB), forceps major (FMAJOR), forceps minor (FMINOR), and uncinate (UNC)—were reconstructed and FA metrics extracted for analysis (see </w:t>
      </w:r>
      <w:r w:rsidRPr="003E1E6E">
        <w:t>Figure 1</w:t>
      </w:r>
      <w:r w:rsidRPr="007D1B53">
        <w:t xml:space="preserve"> for tracts from a representative subject). Path reconstruction failed or was poor quality (i.e., fragmented tracts) for a handful of subjects in select </w:t>
      </w:r>
      <w:proofErr w:type="gramStart"/>
      <w:r w:rsidRPr="007D1B53">
        <w:t>tracts:</w:t>
      </w:r>
      <w:proofErr w:type="gramEnd"/>
      <w:r w:rsidRPr="007D1B53">
        <w:t xml:space="preserve"> left (</w:t>
      </w:r>
      <w:r w:rsidRPr="007D1B53">
        <w:rPr>
          <w:i/>
          <w:iCs/>
        </w:rPr>
        <w:t>n</w:t>
      </w:r>
      <w:r w:rsidRPr="007D1B53">
        <w:t> = 29) and right CAB (</w:t>
      </w:r>
      <w:r w:rsidRPr="007D1B53">
        <w:rPr>
          <w:i/>
          <w:iCs/>
        </w:rPr>
        <w:t>n</w:t>
      </w:r>
      <w:r w:rsidRPr="007D1B53">
        <w:t> = 44), and left (</w:t>
      </w:r>
      <w:r w:rsidRPr="007D1B53">
        <w:rPr>
          <w:i/>
          <w:iCs/>
        </w:rPr>
        <w:t>n</w:t>
      </w:r>
      <w:r w:rsidRPr="007D1B53">
        <w:t> = 11) and right UNC (</w:t>
      </w:r>
      <w:r w:rsidRPr="007D1B53">
        <w:rPr>
          <w:i/>
          <w:iCs/>
        </w:rPr>
        <w:t>n</w:t>
      </w:r>
      <w:r w:rsidRPr="007D1B53">
        <w:t> = 16). Thus, the smallest sample for any tract comparison was </w:t>
      </w:r>
      <w:r w:rsidRPr="007D1B53">
        <w:rPr>
          <w:i/>
          <w:iCs/>
        </w:rPr>
        <w:t>n</w:t>
      </w:r>
      <w:r w:rsidRPr="007D1B53">
        <w:t> = 104, as there was no further missing data for any of the covariates. For completeness, the remaining tracts constructed by TRACULA were also evaluated; however, since they were not of interest to the specific aims of the current study, results are presented in the </w:t>
      </w:r>
      <w:r w:rsidRPr="003E1E6E">
        <w:t>Supplementary Material</w:t>
      </w:r>
      <w:r w:rsidRPr="007D1B53">
        <w:t>.</w:t>
      </w:r>
    </w:p>
    <w:p w14:paraId="68493B80" w14:textId="46AEDC54" w:rsidR="007D1B53" w:rsidRPr="007D1B53" w:rsidRDefault="007D1B53" w:rsidP="003544AA">
      <w:pPr>
        <w:pStyle w:val="NoSpacing"/>
      </w:pPr>
      <w:r w:rsidRPr="003E1E6E">
        <w:rPr>
          <w:noProof/>
        </w:rPr>
        <w:drawing>
          <wp:inline distT="0" distB="0" distL="0" distR="0" wp14:anchorId="2F47BF0E" wp14:editId="6471CD3F">
            <wp:extent cx="3657600" cy="1581912"/>
            <wp:effectExtent l="0" t="0" r="0" b="0"/>
            <wp:docPr id="3" name="Picture 3">
              <a:hlinkClick xmlns:a="http://schemas.openxmlformats.org/drawingml/2006/main" r:id="rId10"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0"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581912"/>
                    </a:xfrm>
                    <a:prstGeom prst="rect">
                      <a:avLst/>
                    </a:prstGeom>
                    <a:noFill/>
                    <a:ln>
                      <a:noFill/>
                    </a:ln>
                  </pic:spPr>
                </pic:pic>
              </a:graphicData>
            </a:graphic>
          </wp:inline>
        </w:drawing>
      </w:r>
    </w:p>
    <w:p w14:paraId="310EB2D8" w14:textId="65DF683D" w:rsidR="007D1B53" w:rsidRDefault="007D1B53" w:rsidP="003544AA">
      <w:pPr>
        <w:pStyle w:val="NoSpacing"/>
      </w:pPr>
      <w:r w:rsidRPr="003E1E6E">
        <w:t>FIGURE 1</w:t>
      </w:r>
      <w:r w:rsidR="003544AA">
        <w:rPr>
          <w:rStyle w:val="Hyperlink"/>
        </w:rPr>
        <w:t xml:space="preserve"> </w:t>
      </w:r>
      <w:r w:rsidRPr="007D1B53">
        <w:t>Tracts of interest as reconstructed in TRACULA for a representative participant. UNC, uncinate fasciculus; CCG, anterior cingulum; CAB, posterior, FMAJOR, forceps major; FMNIOR, forceps minor.</w:t>
      </w:r>
    </w:p>
    <w:p w14:paraId="089B0BB5" w14:textId="77777777" w:rsidR="003544AA" w:rsidRPr="007D1B53" w:rsidRDefault="003544AA" w:rsidP="007D1B53"/>
    <w:p w14:paraId="1BEFD13A" w14:textId="77777777" w:rsidR="007D1B53" w:rsidRPr="007D1B53" w:rsidRDefault="007D1B53" w:rsidP="003544AA">
      <w:pPr>
        <w:pStyle w:val="Heading2"/>
      </w:pPr>
      <w:r w:rsidRPr="007D1B53">
        <w:t>Statistical Analysis</w:t>
      </w:r>
    </w:p>
    <w:p w14:paraId="5A3A5FDB" w14:textId="51F6BD2E" w:rsidR="007D1B53" w:rsidRPr="007D1B53" w:rsidRDefault="007D1B53" w:rsidP="007D1B53">
      <w:r w:rsidRPr="007D1B53">
        <w:t>Fractional anisotropy values were extracted from TRACULA and used in separate general linear models (GLM) for each tract and hemisphere (8 GLMs: left and right uncinate, left and right anterior cingulum, left and right posterior cingulum, forceps major, and forceps minor) using R (</w:t>
      </w:r>
      <w:r w:rsidRPr="003E1E6E">
        <w:t>R Core Team, 2020</w:t>
      </w:r>
      <w:r w:rsidRPr="007D1B53">
        <w:t xml:space="preserve">). A </w:t>
      </w:r>
      <w:proofErr w:type="spellStart"/>
      <w:r w:rsidRPr="007D1B53">
        <w:t>Benjamini</w:t>
      </w:r>
      <w:proofErr w:type="spellEnd"/>
      <w:r w:rsidRPr="007D1B53">
        <w:t>–Hochberg correction was applied to correct for multiple comparisons (α = 0.05, </w:t>
      </w:r>
      <w:proofErr w:type="spellStart"/>
      <w:r w:rsidRPr="003E1E6E">
        <w:t>Benjamini</w:t>
      </w:r>
      <w:proofErr w:type="spellEnd"/>
      <w:r w:rsidRPr="003E1E6E">
        <w:t xml:space="preserve"> and Hochberg, 1995</w:t>
      </w:r>
      <w:r w:rsidRPr="007D1B53">
        <w:t xml:space="preserve">). For each regression, T2 PTSD symptom severity from the CAPS-5 was the outcome variable and T1 FA was the predictor while controlling for additional covariates. Head motion parameters were included as covariates along with sex (dummy coded: 0 = male, 1 = female) and age to account for potential sex and age differences that have been </w:t>
      </w:r>
      <w:r w:rsidRPr="007D1B53">
        <w:lastRenderedPageBreak/>
        <w:t>well documented in the literature (</w:t>
      </w:r>
      <w:r w:rsidRPr="003E1E6E">
        <w:t>Hsu et al., 2008</w:t>
      </w:r>
      <w:r w:rsidRPr="007D1B53">
        <w:t>; </w:t>
      </w:r>
      <w:r w:rsidRPr="003E1E6E">
        <w:t>Lebel and Beaulieu, 2011</w:t>
      </w:r>
      <w:r w:rsidRPr="007D1B53">
        <w:t>; </w:t>
      </w:r>
      <w:r w:rsidRPr="003E1E6E">
        <w:t>Averill et al., 2018</w:t>
      </w:r>
      <w:r w:rsidRPr="007D1B53">
        <w:t>). Prior trauma history (weighted LEC total) was also included as a covariate.</w:t>
      </w:r>
    </w:p>
    <w:p w14:paraId="0C7C40D5" w14:textId="77777777" w:rsidR="007D1B53" w:rsidRPr="007D1B53" w:rsidRDefault="007D1B53" w:rsidP="007D1B53">
      <w:r w:rsidRPr="007D1B53">
        <w:t>Head motion parameters (average rotation and translation) were calculated within TRACULA. Pearson correlations were used to assess relationships between head motion and FA. Average translation at T1 was related to right (</w:t>
      </w:r>
      <w:r w:rsidRPr="007D1B53">
        <w:rPr>
          <w:i/>
          <w:iCs/>
        </w:rPr>
        <w:t>r</w:t>
      </w:r>
      <w:r w:rsidRPr="007D1B53">
        <w:t> = −0.21, </w:t>
      </w:r>
      <w:r w:rsidRPr="007D1B53">
        <w:rPr>
          <w:i/>
          <w:iCs/>
        </w:rPr>
        <w:t>p</w:t>
      </w:r>
      <w:r w:rsidRPr="007D1B53">
        <w:t> = 0.02) and left uncinate FA, </w:t>
      </w:r>
      <w:r w:rsidRPr="007D1B53">
        <w:rPr>
          <w:i/>
          <w:iCs/>
        </w:rPr>
        <w:t>r</w:t>
      </w:r>
      <w:r w:rsidRPr="007D1B53">
        <w:t> = −0.22, </w:t>
      </w:r>
      <w:r w:rsidRPr="007D1B53">
        <w:rPr>
          <w:i/>
          <w:iCs/>
        </w:rPr>
        <w:t>p</w:t>
      </w:r>
      <w:r w:rsidRPr="007D1B53">
        <w:t> = 0.01. In the current study, at T1, males had significantly greater FA than females in the right uncinate (</w:t>
      </w:r>
      <w:r w:rsidRPr="007D1B53">
        <w:rPr>
          <w:i/>
          <w:iCs/>
        </w:rPr>
        <w:t>t</w:t>
      </w:r>
      <w:r w:rsidRPr="007D1B53">
        <w:t> = 2.44, </w:t>
      </w:r>
      <w:r w:rsidRPr="007D1B53">
        <w:rPr>
          <w:i/>
          <w:iCs/>
        </w:rPr>
        <w:t>p</w:t>
      </w:r>
      <w:r w:rsidRPr="007D1B53">
        <w:t> = 0.01) and right anterior cingulum (</w:t>
      </w:r>
      <w:r w:rsidRPr="007D1B53">
        <w:rPr>
          <w:i/>
          <w:iCs/>
        </w:rPr>
        <w:t>t</w:t>
      </w:r>
      <w:r w:rsidRPr="007D1B53">
        <w:t> = 2.26, </w:t>
      </w:r>
      <w:r w:rsidRPr="007D1B53">
        <w:rPr>
          <w:i/>
          <w:iCs/>
        </w:rPr>
        <w:t>p</w:t>
      </w:r>
      <w:r w:rsidRPr="007D1B53">
        <w:t> = 0.02). Females had significantly greater FA in the left posterior cingulum (</w:t>
      </w:r>
      <w:r w:rsidRPr="007D1B53">
        <w:rPr>
          <w:i/>
          <w:iCs/>
        </w:rPr>
        <w:t>t</w:t>
      </w:r>
      <w:r w:rsidRPr="007D1B53">
        <w:t> = −2.00, </w:t>
      </w:r>
      <w:r w:rsidRPr="007D1B53">
        <w:rPr>
          <w:i/>
          <w:iCs/>
        </w:rPr>
        <w:t>p</w:t>
      </w:r>
      <w:r w:rsidRPr="007D1B53">
        <w:t> = 0.04). Bivariate correlations of T1 tract integrity and T1 PCL-5 scores were also examined. While there were no significant correlations between T1 FA and T1 PCL-5 total severity (all </w:t>
      </w:r>
      <w:r w:rsidRPr="007D1B53">
        <w:rPr>
          <w:i/>
          <w:iCs/>
        </w:rPr>
        <w:t>p</w:t>
      </w:r>
      <w:r w:rsidRPr="007D1B53">
        <w:t> &gt; 0.05), T1 PCL-5 scores were included in the regression models to control for baseline PTSD symptoms at the time of the DTI scan.</w:t>
      </w:r>
    </w:p>
    <w:p w14:paraId="15CFF0EA" w14:textId="77777777" w:rsidR="007D1B53" w:rsidRPr="007D1B53" w:rsidRDefault="007D1B53" w:rsidP="007D1B53">
      <w:r w:rsidRPr="007D1B53">
        <w:t>Here is an example of the full GLM with all covariates for the right hemisphere UNC:</w:t>
      </w:r>
    </w:p>
    <w:p w14:paraId="655A0A10" w14:textId="77777777" w:rsidR="007D1B53" w:rsidRPr="007D1B53" w:rsidRDefault="007D1B53" w:rsidP="007D1B53">
      <w:r w:rsidRPr="007D1B53">
        <w:rPr>
          <w:i/>
          <w:iCs/>
        </w:rPr>
        <w:t>CAPS (T2)</w:t>
      </w:r>
      <w:r w:rsidRPr="007D1B53">
        <w:t> </w:t>
      </w:r>
      <w:r w:rsidRPr="007D1B53">
        <w:rPr>
          <w:rFonts w:ascii="Cambria Math" w:hAnsi="Cambria Math" w:cs="Cambria Math"/>
        </w:rPr>
        <w:t>∼</w:t>
      </w:r>
      <w:r w:rsidRPr="007D1B53">
        <w:rPr>
          <w:rFonts w:ascii="Calibri" w:hAnsi="Calibri" w:cs="Calibri"/>
        </w:rPr>
        <w:t> </w:t>
      </w:r>
      <w:r w:rsidRPr="007D1B53">
        <w:rPr>
          <w:i/>
          <w:iCs/>
        </w:rPr>
        <w:t>RH_UNC_FA (T1)</w:t>
      </w:r>
      <w:r w:rsidRPr="007D1B53">
        <w:t> + </w:t>
      </w:r>
      <w:r w:rsidRPr="007D1B53">
        <w:rPr>
          <w:i/>
          <w:iCs/>
        </w:rPr>
        <w:t>head motion (T1)</w:t>
      </w:r>
      <w:r w:rsidRPr="007D1B53">
        <w:t> + </w:t>
      </w:r>
      <w:r w:rsidRPr="007D1B53">
        <w:rPr>
          <w:i/>
          <w:iCs/>
        </w:rPr>
        <w:t>age</w:t>
      </w:r>
      <w:r w:rsidRPr="007D1B53">
        <w:t> + </w:t>
      </w:r>
      <w:r w:rsidRPr="007D1B53">
        <w:rPr>
          <w:i/>
          <w:iCs/>
        </w:rPr>
        <w:t>sex</w:t>
      </w:r>
      <w:r w:rsidRPr="007D1B53">
        <w:t> + </w:t>
      </w:r>
      <w:r w:rsidRPr="007D1B53">
        <w:rPr>
          <w:i/>
          <w:iCs/>
        </w:rPr>
        <w:t>PCL-5 (T1)</w:t>
      </w:r>
      <w:r w:rsidRPr="007D1B53">
        <w:t> + </w:t>
      </w:r>
      <w:r w:rsidRPr="007D1B53">
        <w:rPr>
          <w:i/>
          <w:iCs/>
        </w:rPr>
        <w:t>LEC (T1)</w:t>
      </w:r>
      <w:r w:rsidRPr="007D1B53">
        <w:t> + </w:t>
      </w:r>
      <w:r w:rsidRPr="007D1B53">
        <w:rPr>
          <w:i/>
          <w:iCs/>
        </w:rPr>
        <w:t>DASS Dep (T1).</w:t>
      </w:r>
    </w:p>
    <w:p w14:paraId="3B1BD446" w14:textId="77777777" w:rsidR="00E12E46" w:rsidRDefault="00E12E46" w:rsidP="007D1B53"/>
    <w:p w14:paraId="36B02EBF" w14:textId="14D1439F" w:rsidR="007D1B53" w:rsidRPr="007D1B53" w:rsidRDefault="007D1B53" w:rsidP="00E12E46">
      <w:pPr>
        <w:pStyle w:val="Heading1"/>
      </w:pPr>
      <w:r w:rsidRPr="007D1B53">
        <w:t>Results</w:t>
      </w:r>
    </w:p>
    <w:p w14:paraId="1FFE1C6C" w14:textId="77777777" w:rsidR="007D1B53" w:rsidRPr="007D1B53" w:rsidRDefault="007D1B53" w:rsidP="00E12E46">
      <w:pPr>
        <w:pStyle w:val="Heading2"/>
      </w:pPr>
      <w:r w:rsidRPr="007D1B53">
        <w:t>Bivariate Correlations</w:t>
      </w:r>
    </w:p>
    <w:p w14:paraId="72951633" w14:textId="5A62D5C1" w:rsidR="007D1B53" w:rsidRPr="007D1B53" w:rsidRDefault="007D1B53" w:rsidP="007D1B53">
      <w:r w:rsidRPr="007D1B53">
        <w:t>See </w:t>
      </w:r>
      <w:r w:rsidRPr="003E1E6E">
        <w:t>Figure 2</w:t>
      </w:r>
      <w:r w:rsidRPr="007D1B53">
        <w:t> for a visual representation of all pairwise correlations for all variables of interest. T1 PTSD scores were significantly related with T2 PTSD (</w:t>
      </w:r>
      <w:r w:rsidRPr="007D1B53">
        <w:rPr>
          <w:i/>
          <w:iCs/>
        </w:rPr>
        <w:t>r</w:t>
      </w:r>
      <w:r w:rsidRPr="007D1B53">
        <w:rPr>
          <w:vertAlign w:val="superscript"/>
        </w:rPr>
        <w:t>2</w:t>
      </w:r>
      <w:r w:rsidRPr="007D1B53">
        <w:t> = 0.13, </w:t>
      </w:r>
      <w:r w:rsidRPr="007D1B53">
        <w:rPr>
          <w:i/>
          <w:iCs/>
        </w:rPr>
        <w:t>p</w:t>
      </w:r>
      <w:r w:rsidRPr="007D1B53">
        <w:t> &lt; 0.001). Lifetime trauma exposure was significantly related to T1 (</w:t>
      </w:r>
      <w:r w:rsidRPr="007D1B53">
        <w:rPr>
          <w:i/>
          <w:iCs/>
        </w:rPr>
        <w:t>r</w:t>
      </w:r>
      <w:r w:rsidRPr="007D1B53">
        <w:rPr>
          <w:vertAlign w:val="superscript"/>
        </w:rPr>
        <w:t>2</w:t>
      </w:r>
      <w:r w:rsidRPr="007D1B53">
        <w:t> = 0.09, </w:t>
      </w:r>
      <w:r w:rsidRPr="007D1B53">
        <w:rPr>
          <w:i/>
          <w:iCs/>
        </w:rPr>
        <w:t>p</w:t>
      </w:r>
      <w:r w:rsidRPr="007D1B53">
        <w:t> &lt; 0.001) and T2 PTSD (</w:t>
      </w:r>
      <w:r w:rsidRPr="007D1B53">
        <w:rPr>
          <w:i/>
          <w:iCs/>
        </w:rPr>
        <w:t>r</w:t>
      </w:r>
      <w:r w:rsidRPr="007D1B53">
        <w:rPr>
          <w:vertAlign w:val="superscript"/>
        </w:rPr>
        <w:t>2</w:t>
      </w:r>
      <w:r w:rsidRPr="007D1B53">
        <w:t> = 0.02, </w:t>
      </w:r>
      <w:r w:rsidRPr="007D1B53">
        <w:rPr>
          <w:i/>
          <w:iCs/>
        </w:rPr>
        <w:t>p</w:t>
      </w:r>
      <w:r w:rsidRPr="007D1B53">
        <w:t> = 0.05), and T1 depression (</w:t>
      </w:r>
      <w:r w:rsidRPr="007D1B53">
        <w:rPr>
          <w:i/>
          <w:iCs/>
        </w:rPr>
        <w:t>r</w:t>
      </w:r>
      <w:r w:rsidRPr="007D1B53">
        <w:rPr>
          <w:vertAlign w:val="superscript"/>
        </w:rPr>
        <w:t>2</w:t>
      </w:r>
      <w:r w:rsidRPr="007D1B53">
        <w:t> = 0.05, </w:t>
      </w:r>
      <w:r w:rsidRPr="007D1B53">
        <w:rPr>
          <w:i/>
          <w:iCs/>
        </w:rPr>
        <w:t>p</w:t>
      </w:r>
      <w:r w:rsidRPr="007D1B53">
        <w:t> &lt; 0.01). Age was not significantly related to T2 PTSD (</w:t>
      </w:r>
      <w:r w:rsidRPr="007D1B53">
        <w:rPr>
          <w:i/>
          <w:iCs/>
        </w:rPr>
        <w:t>p</w:t>
      </w:r>
      <w:r w:rsidRPr="007D1B53">
        <w:t>’s &gt; 0.05), and there were no sex differences in T1 or T2 PTSD or T1 depression (all </w:t>
      </w:r>
      <w:r w:rsidRPr="007D1B53">
        <w:rPr>
          <w:i/>
          <w:iCs/>
        </w:rPr>
        <w:t>p</w:t>
      </w:r>
      <w:r w:rsidRPr="007D1B53">
        <w:t>’s &gt; 0.05). Age was negatively related to T1 depression (</w:t>
      </w:r>
      <w:r w:rsidRPr="007D1B53">
        <w:rPr>
          <w:i/>
          <w:iCs/>
        </w:rPr>
        <w:t>r</w:t>
      </w:r>
      <w:r w:rsidRPr="007D1B53">
        <w:rPr>
          <w:vertAlign w:val="superscript"/>
        </w:rPr>
        <w:t>2</w:t>
      </w:r>
      <w:r w:rsidRPr="007D1B53">
        <w:t> = 0.04, </w:t>
      </w:r>
      <w:r w:rsidRPr="007D1B53">
        <w:rPr>
          <w:i/>
          <w:iCs/>
        </w:rPr>
        <w:t>p</w:t>
      </w:r>
      <w:r w:rsidRPr="007D1B53">
        <w:t> &lt; 0.01). Depression and PCL scores at T1 were highly correlated (</w:t>
      </w:r>
      <w:r w:rsidRPr="007D1B53">
        <w:rPr>
          <w:i/>
          <w:iCs/>
        </w:rPr>
        <w:t>r</w:t>
      </w:r>
      <w:r w:rsidRPr="007D1B53">
        <w:rPr>
          <w:vertAlign w:val="superscript"/>
        </w:rPr>
        <w:t>2</w:t>
      </w:r>
      <w:r w:rsidRPr="007D1B53">
        <w:t> = 0.47, </w:t>
      </w:r>
      <w:r w:rsidRPr="007D1B53">
        <w:rPr>
          <w:i/>
          <w:iCs/>
        </w:rPr>
        <w:t>p</w:t>
      </w:r>
      <w:r w:rsidRPr="007D1B53">
        <w:t> &lt; 0.001), and T1 depression and T2 PTSD were moderately correlated (</w:t>
      </w:r>
      <w:r w:rsidRPr="007D1B53">
        <w:rPr>
          <w:i/>
          <w:iCs/>
        </w:rPr>
        <w:t>r</w:t>
      </w:r>
      <w:r w:rsidRPr="007D1B53">
        <w:rPr>
          <w:vertAlign w:val="superscript"/>
        </w:rPr>
        <w:t>2</w:t>
      </w:r>
      <w:r w:rsidRPr="007D1B53">
        <w:t> = 0.13, </w:t>
      </w:r>
      <w:r w:rsidRPr="007D1B53">
        <w:rPr>
          <w:i/>
          <w:iCs/>
        </w:rPr>
        <w:t>p</w:t>
      </w:r>
      <w:r w:rsidRPr="007D1B53">
        <w:t> &lt; 0.001).</w:t>
      </w:r>
    </w:p>
    <w:p w14:paraId="5C81A0DB" w14:textId="0B650192" w:rsidR="007D1B53" w:rsidRPr="003E1E6E" w:rsidRDefault="007D1B53" w:rsidP="00E12E46">
      <w:pPr>
        <w:pStyle w:val="NoSpacing"/>
      </w:pPr>
    </w:p>
    <w:p w14:paraId="7404D4FC" w14:textId="5E55FB59" w:rsidR="007D1B53" w:rsidRPr="003E1E6E" w:rsidRDefault="007D1B53" w:rsidP="00E12E46">
      <w:pPr>
        <w:pStyle w:val="NoSpacing"/>
      </w:pPr>
      <w:r w:rsidRPr="003E1E6E">
        <w:rPr>
          <w:noProof/>
        </w:rPr>
        <w:drawing>
          <wp:inline distT="0" distB="0" distL="0" distR="0" wp14:anchorId="6E793674" wp14:editId="7CDBDC00">
            <wp:extent cx="3657600" cy="3319272"/>
            <wp:effectExtent l="0" t="0" r="0" b="0"/>
            <wp:docPr id="2" name="Picture 2">
              <a:hlinkClick xmlns:a="http://schemas.openxmlformats.org/drawingml/2006/main" r:id="rId12"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2"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319272"/>
                    </a:xfrm>
                    <a:prstGeom prst="rect">
                      <a:avLst/>
                    </a:prstGeom>
                    <a:noFill/>
                    <a:ln>
                      <a:noFill/>
                    </a:ln>
                  </pic:spPr>
                </pic:pic>
              </a:graphicData>
            </a:graphic>
          </wp:inline>
        </w:drawing>
      </w:r>
    </w:p>
    <w:p w14:paraId="6C6CBE5C" w14:textId="3DD40F8A" w:rsidR="007D1B53" w:rsidRPr="007D1B53" w:rsidRDefault="007D1B53" w:rsidP="00E12E46">
      <w:pPr>
        <w:pStyle w:val="NoSpacing"/>
      </w:pPr>
      <w:r w:rsidRPr="003E1E6E">
        <w:lastRenderedPageBreak/>
        <w:t>FIGURE 2</w:t>
      </w:r>
      <w:r w:rsidR="00E12E46">
        <w:rPr>
          <w:rStyle w:val="Hyperlink"/>
        </w:rPr>
        <w:t xml:space="preserve"> </w:t>
      </w:r>
      <w:r w:rsidRPr="007D1B53">
        <w:t>Correlation heatmap of pairwise Pearson correlations between all variables of interest. Warm colors indicate positive correlations and cool colors represent negative correlations. White cells represent non-significant pairwise correlations (</w:t>
      </w:r>
      <w:r w:rsidRPr="007D1B53">
        <w:rPr>
          <w:i/>
          <w:iCs/>
        </w:rPr>
        <w:t>p</w:t>
      </w:r>
      <w:r w:rsidRPr="007D1B53">
        <w:t> &gt; 0.05). T1, 2-weeks post-injury; T2, 6-months post-injury; DASS, depression symptom subscale from DASS; LEC, weighted total LEC; PCL, PTSD Checklist; CAPS, Clinician Administered PTSD Scale; FMAJOR, forceps major; FMINOR, forceps minor; CAB, posterior cingulum; CCG, anterior cingulum; UNC, uncinate fasciculus; LH, left hemisphere; RH, right hemisphere.</w:t>
      </w:r>
    </w:p>
    <w:p w14:paraId="22CFC9DB" w14:textId="77777777" w:rsidR="007D1B53" w:rsidRPr="007D1B53" w:rsidRDefault="007D1B53" w:rsidP="007D1B53">
      <w:r w:rsidRPr="007D1B53">
        <w:t>Men had significantly higher FA than women in the right UNC [</w:t>
      </w:r>
      <w:proofErr w:type="gramStart"/>
      <w:r w:rsidRPr="007D1B53">
        <w:rPr>
          <w:i/>
          <w:iCs/>
        </w:rPr>
        <w:t>t</w:t>
      </w:r>
      <w:r w:rsidRPr="007D1B53">
        <w:t>(</w:t>
      </w:r>
      <w:proofErr w:type="gramEnd"/>
      <w:r w:rsidRPr="007D1B53">
        <w:t>122) = 2.29, </w:t>
      </w:r>
      <w:r w:rsidRPr="007D1B53">
        <w:rPr>
          <w:i/>
          <w:iCs/>
        </w:rPr>
        <w:t>p</w:t>
      </w:r>
      <w:r w:rsidRPr="007D1B53">
        <w:t> = 0.02], right CCG [</w:t>
      </w:r>
      <w:r w:rsidRPr="007D1B53">
        <w:rPr>
          <w:i/>
          <w:iCs/>
        </w:rPr>
        <w:t>t</w:t>
      </w:r>
      <w:r w:rsidRPr="007D1B53">
        <w:t>(142) = 2.54, </w:t>
      </w:r>
      <w:r w:rsidRPr="007D1B53">
        <w:rPr>
          <w:i/>
          <w:iCs/>
        </w:rPr>
        <w:t>p</w:t>
      </w:r>
      <w:r w:rsidRPr="007D1B53">
        <w:t> = 0.01], left CCG [</w:t>
      </w:r>
      <w:r w:rsidRPr="007D1B53">
        <w:rPr>
          <w:i/>
          <w:iCs/>
        </w:rPr>
        <w:t>t</w:t>
      </w:r>
      <w:r w:rsidRPr="007D1B53">
        <w:t>(132) = 2.14, </w:t>
      </w:r>
      <w:r w:rsidRPr="007D1B53">
        <w:rPr>
          <w:i/>
          <w:iCs/>
        </w:rPr>
        <w:t>p</w:t>
      </w:r>
      <w:r w:rsidRPr="007D1B53">
        <w:t> = 0.03], FMINOR [</w:t>
      </w:r>
      <w:r w:rsidRPr="007D1B53">
        <w:rPr>
          <w:i/>
          <w:iCs/>
        </w:rPr>
        <w:t>t</w:t>
      </w:r>
      <w:r w:rsidRPr="007D1B53">
        <w:t>(132) = 2.15, </w:t>
      </w:r>
      <w:r w:rsidRPr="007D1B53">
        <w:rPr>
          <w:i/>
          <w:iCs/>
        </w:rPr>
        <w:t>p</w:t>
      </w:r>
      <w:r w:rsidRPr="007D1B53">
        <w:t> = 0.03]. Age was negatively related to FMINOR (</w:t>
      </w:r>
      <w:r w:rsidRPr="007D1B53">
        <w:rPr>
          <w:i/>
          <w:iCs/>
        </w:rPr>
        <w:t>r</w:t>
      </w:r>
      <w:r w:rsidRPr="007D1B53">
        <w:rPr>
          <w:vertAlign w:val="superscript"/>
        </w:rPr>
        <w:t>2</w:t>
      </w:r>
      <w:r w:rsidRPr="007D1B53">
        <w:t> = 0.02, </w:t>
      </w:r>
      <w:r w:rsidRPr="007D1B53">
        <w:rPr>
          <w:i/>
          <w:iCs/>
        </w:rPr>
        <w:t>p</w:t>
      </w:r>
      <w:r w:rsidRPr="007D1B53">
        <w:t> = 0.04).</w:t>
      </w:r>
    </w:p>
    <w:p w14:paraId="187FA8E8" w14:textId="77777777" w:rsidR="007D1B53" w:rsidRPr="007D1B53" w:rsidRDefault="007D1B53" w:rsidP="00E12E46">
      <w:pPr>
        <w:pStyle w:val="Heading2"/>
      </w:pPr>
      <w:r w:rsidRPr="007D1B53">
        <w:t>Tract Analysis Results</w:t>
      </w:r>
    </w:p>
    <w:p w14:paraId="747F97A8" w14:textId="0F86EB47" w:rsidR="007D1B53" w:rsidRPr="007D1B53" w:rsidRDefault="007D1B53" w:rsidP="007D1B53">
      <w:r w:rsidRPr="007D1B53">
        <w:t>Given the variability in time between index trauma and time of scanning (</w:t>
      </w:r>
      <w:r w:rsidRPr="003E1E6E">
        <w:t>Table 1</w:t>
      </w:r>
      <w:r w:rsidRPr="007D1B53">
        <w:t>), bivariate correlations between T1 FA and days since injury at T1 scanning were evaluated. There were no significant relationships between T1 FA and days since injury at T1 scanning, and thus the variability in T1 FA cannot be attributed to variability in time since trauma.</w:t>
      </w:r>
    </w:p>
    <w:p w14:paraId="5DE9FDE4" w14:textId="77777777" w:rsidR="007D1B53" w:rsidRPr="007D1B53" w:rsidRDefault="007D1B53" w:rsidP="007D1B53">
      <w:r w:rsidRPr="007D1B53">
        <w:t>With the high comorbidity of PTSD and depression in trauma samples, we ran the GLMs including the T1 DASS depression scores as a covariate, however, the results did not differ from if the DASS was excluded. This may stem from the high degree of correlation of depression and PCL-5 scores at T1 as well as moderate correlation of T1 depression and T2 CAPS. Therefore, to avoid multicollinearity and for parsimony, we present the results of the GLMs excluding T1 depression as a covariate below.</w:t>
      </w:r>
    </w:p>
    <w:p w14:paraId="74BE0963" w14:textId="3BAFBD8A" w:rsidR="007D1B53" w:rsidRPr="007D1B53" w:rsidRDefault="007D1B53" w:rsidP="007D1B53">
      <w:r w:rsidRPr="007D1B53">
        <w:t>After correction for multiple comparisons, results of the tract-based analysis showed a marginal negative relationship between anterior cingulum FA at T1 and total CAPS-5 at T2 (adjusted </w:t>
      </w:r>
      <w:r w:rsidRPr="007D1B53">
        <w:rPr>
          <w:i/>
          <w:iCs/>
        </w:rPr>
        <w:t>p</w:t>
      </w:r>
      <w:r w:rsidRPr="007D1B53">
        <w:t> = 0.06), e.g., lower left anterior cingulum FA was related to greater total CAPS-5 symptoms (see </w:t>
      </w:r>
      <w:r w:rsidRPr="003E1E6E">
        <w:t>Figure 3</w:t>
      </w:r>
      <w:r w:rsidRPr="007D1B53">
        <w:t> and </w:t>
      </w:r>
      <w:r w:rsidRPr="003E1E6E">
        <w:t>Table 2</w:t>
      </w:r>
      <w:r w:rsidRPr="007D1B53">
        <w:t xml:space="preserve">). No other tract results survived correction for multiple comparisons using the </w:t>
      </w:r>
      <w:proofErr w:type="spellStart"/>
      <w:r w:rsidRPr="007D1B53">
        <w:t>Benjamini</w:t>
      </w:r>
      <w:proofErr w:type="spellEnd"/>
      <w:r w:rsidRPr="007D1B53">
        <w:t>–Hochberg method (all adjusted </w:t>
      </w:r>
      <w:r w:rsidRPr="007D1B53">
        <w:rPr>
          <w:i/>
          <w:iCs/>
        </w:rPr>
        <w:t>p</w:t>
      </w:r>
      <w:r w:rsidRPr="007D1B53">
        <w:t> &gt; 0.09). Not surprisingly, in all models, T1 PCL-5 symptoms were significantly related to T2 CAPS-5. No other covariates (e.g., age, sex, head motion parameters, T1 LEC) significantly related to T2 CAPS-5.</w:t>
      </w:r>
    </w:p>
    <w:p w14:paraId="397B1AF1" w14:textId="00602C5B" w:rsidR="007D1B53" w:rsidRPr="003E1E6E" w:rsidRDefault="007D1B53" w:rsidP="00E12E46">
      <w:pPr>
        <w:pStyle w:val="NoSpacing"/>
      </w:pPr>
    </w:p>
    <w:p w14:paraId="42C572AE" w14:textId="506F6092" w:rsidR="007D1B53" w:rsidRPr="003E1E6E" w:rsidRDefault="007D1B53" w:rsidP="00E12E46">
      <w:pPr>
        <w:pStyle w:val="NoSpacing"/>
      </w:pPr>
      <w:r w:rsidRPr="003E1E6E">
        <w:rPr>
          <w:noProof/>
        </w:rPr>
        <w:lastRenderedPageBreak/>
        <w:drawing>
          <wp:inline distT="0" distB="0" distL="0" distR="0" wp14:anchorId="3B2AED16" wp14:editId="1993DE58">
            <wp:extent cx="3657600" cy="3611880"/>
            <wp:effectExtent l="0" t="0" r="0" b="7620"/>
            <wp:docPr id="1" name="Picture 1">
              <a:hlinkClick xmlns:a="http://schemas.openxmlformats.org/drawingml/2006/main" r:id="rId14" tgtFrame="&quot;figur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4" tgtFrame="&quot;figure&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611880"/>
                    </a:xfrm>
                    <a:prstGeom prst="rect">
                      <a:avLst/>
                    </a:prstGeom>
                    <a:noFill/>
                    <a:ln>
                      <a:noFill/>
                    </a:ln>
                  </pic:spPr>
                </pic:pic>
              </a:graphicData>
            </a:graphic>
          </wp:inline>
        </w:drawing>
      </w:r>
    </w:p>
    <w:p w14:paraId="04C143B3" w14:textId="6EB066AF" w:rsidR="007D1B53" w:rsidRPr="007D1B53" w:rsidRDefault="007D1B53" w:rsidP="00E12E46">
      <w:pPr>
        <w:pStyle w:val="NoSpacing"/>
      </w:pPr>
      <w:r w:rsidRPr="003E1E6E">
        <w:t>FIGURE 3</w:t>
      </w:r>
      <w:r w:rsidR="00E12E46">
        <w:rPr>
          <w:rStyle w:val="Hyperlink"/>
        </w:rPr>
        <w:t xml:space="preserve"> </w:t>
      </w:r>
      <w:r w:rsidRPr="007D1B53">
        <w:t>Lesser left anterior cingulum FA at T1 is related to greater total PTSD symptoms at T2 (β = –48.13, </w:t>
      </w:r>
      <w:r w:rsidRPr="007D1B53">
        <w:rPr>
          <w:i/>
          <w:iCs/>
        </w:rPr>
        <w:t>p</w:t>
      </w:r>
      <w:r w:rsidRPr="007D1B53">
        <w:t> = 0.003). FA, fractional anisotropy; CAPS, Clinician Administered PTSD Scale; T1, 2-weeks post-trauma; T2, 6-months post-trauma.</w:t>
      </w:r>
    </w:p>
    <w:p w14:paraId="0203498C" w14:textId="77777777" w:rsidR="00E12E46" w:rsidRDefault="00E12E46" w:rsidP="007D1B53"/>
    <w:p w14:paraId="7BE4425B" w14:textId="77777777" w:rsidR="00D22D31" w:rsidRDefault="00D22D31" w:rsidP="00E12E46">
      <w:pPr>
        <w:spacing w:after="0"/>
        <w:sectPr w:rsidR="00D22D31" w:rsidSect="00013176">
          <w:pgSz w:w="12240" w:h="15840"/>
          <w:pgMar w:top="1080" w:right="1080" w:bottom="1080" w:left="1080" w:header="720" w:footer="720" w:gutter="0"/>
          <w:cols w:space="720"/>
          <w:docGrid w:linePitch="360"/>
        </w:sectPr>
      </w:pPr>
    </w:p>
    <w:p w14:paraId="3F046A7B" w14:textId="299EDEFF" w:rsidR="007D1B53" w:rsidRPr="007D1B53" w:rsidRDefault="007D1B53" w:rsidP="00E12E46">
      <w:pPr>
        <w:spacing w:after="0"/>
      </w:pPr>
      <w:r w:rsidRPr="007D1B53">
        <w:lastRenderedPageBreak/>
        <w:t>TABLE 2</w:t>
      </w:r>
      <w:r w:rsidR="00E12E46">
        <w:t xml:space="preserve"> </w:t>
      </w:r>
      <w:r w:rsidRPr="007D1B53">
        <w:t>General linear models with all covariates (T1 DTI predicting T2 total CAPS symptoms).</w:t>
      </w:r>
    </w:p>
    <w:tbl>
      <w:tblPr>
        <w:tblStyle w:val="TableGrid"/>
        <w:tblW w:w="0" w:type="auto"/>
        <w:tblLook w:val="04A0" w:firstRow="1" w:lastRow="0" w:firstColumn="1" w:lastColumn="0" w:noHBand="0" w:noVBand="1"/>
      </w:tblPr>
      <w:tblGrid>
        <w:gridCol w:w="1933"/>
        <w:gridCol w:w="1454"/>
        <w:gridCol w:w="1673"/>
        <w:gridCol w:w="1982"/>
        <w:gridCol w:w="940"/>
        <w:gridCol w:w="1871"/>
        <w:gridCol w:w="1873"/>
        <w:gridCol w:w="940"/>
      </w:tblGrid>
      <w:tr w:rsidR="00D727FC" w:rsidRPr="007D1B53" w14:paraId="789069BE" w14:textId="77777777" w:rsidTr="00255D5A">
        <w:tc>
          <w:tcPr>
            <w:tcW w:w="0" w:type="auto"/>
            <w:hideMark/>
          </w:tcPr>
          <w:p w14:paraId="2775B452" w14:textId="77777777" w:rsidR="00D727FC" w:rsidRPr="007D1B53" w:rsidRDefault="00D727FC" w:rsidP="007D1B53"/>
        </w:tc>
        <w:tc>
          <w:tcPr>
            <w:tcW w:w="0" w:type="auto"/>
            <w:hideMark/>
          </w:tcPr>
          <w:p w14:paraId="699388AD" w14:textId="77777777" w:rsidR="00D727FC" w:rsidRPr="007D1B53" w:rsidRDefault="00D727FC" w:rsidP="007D1B53"/>
        </w:tc>
        <w:tc>
          <w:tcPr>
            <w:tcW w:w="0" w:type="auto"/>
            <w:hideMark/>
          </w:tcPr>
          <w:p w14:paraId="7606BE24" w14:textId="77777777" w:rsidR="00D727FC" w:rsidRPr="007D1B53" w:rsidRDefault="00D727FC" w:rsidP="007D1B53">
            <w:r w:rsidRPr="007D1B53">
              <w:t>Left hemisphere</w:t>
            </w:r>
          </w:p>
        </w:tc>
        <w:tc>
          <w:tcPr>
            <w:tcW w:w="0" w:type="auto"/>
          </w:tcPr>
          <w:p w14:paraId="2A4A0656" w14:textId="69762F70" w:rsidR="00D727FC" w:rsidRPr="007D1B53" w:rsidRDefault="00D727FC" w:rsidP="007D1B53"/>
        </w:tc>
        <w:tc>
          <w:tcPr>
            <w:tcW w:w="0" w:type="auto"/>
          </w:tcPr>
          <w:p w14:paraId="03C4B1C2" w14:textId="3D66C2C0" w:rsidR="00D727FC" w:rsidRPr="007D1B53" w:rsidRDefault="00D727FC" w:rsidP="007D1B53"/>
        </w:tc>
        <w:tc>
          <w:tcPr>
            <w:tcW w:w="0" w:type="auto"/>
            <w:hideMark/>
          </w:tcPr>
          <w:p w14:paraId="5742819D" w14:textId="77777777" w:rsidR="00D727FC" w:rsidRPr="007D1B53" w:rsidRDefault="00D727FC" w:rsidP="007D1B53">
            <w:r w:rsidRPr="007D1B53">
              <w:t>Right hemisphere</w:t>
            </w:r>
          </w:p>
        </w:tc>
        <w:tc>
          <w:tcPr>
            <w:tcW w:w="0" w:type="auto"/>
          </w:tcPr>
          <w:p w14:paraId="7B921422" w14:textId="18357E7F" w:rsidR="00D727FC" w:rsidRPr="007D1B53" w:rsidRDefault="00D727FC" w:rsidP="007D1B53"/>
        </w:tc>
        <w:tc>
          <w:tcPr>
            <w:tcW w:w="0" w:type="auto"/>
          </w:tcPr>
          <w:p w14:paraId="66C3974E" w14:textId="041382EB" w:rsidR="00D727FC" w:rsidRPr="007D1B53" w:rsidRDefault="00D727FC" w:rsidP="007D1B53"/>
        </w:tc>
      </w:tr>
      <w:tr w:rsidR="007D1B53" w:rsidRPr="007D1B53" w14:paraId="4D174376" w14:textId="77777777" w:rsidTr="00E12E46">
        <w:tc>
          <w:tcPr>
            <w:tcW w:w="0" w:type="auto"/>
            <w:hideMark/>
          </w:tcPr>
          <w:p w14:paraId="57359921" w14:textId="77777777" w:rsidR="007D1B53" w:rsidRPr="007D1B53" w:rsidRDefault="007D1B53" w:rsidP="007D1B53"/>
        </w:tc>
        <w:tc>
          <w:tcPr>
            <w:tcW w:w="0" w:type="auto"/>
            <w:hideMark/>
          </w:tcPr>
          <w:p w14:paraId="3E40719D" w14:textId="77777777" w:rsidR="007D1B53" w:rsidRPr="007D1B53" w:rsidRDefault="007D1B53" w:rsidP="007D1B53"/>
        </w:tc>
        <w:tc>
          <w:tcPr>
            <w:tcW w:w="0" w:type="auto"/>
            <w:hideMark/>
          </w:tcPr>
          <w:p w14:paraId="495359B8" w14:textId="77777777" w:rsidR="007D1B53" w:rsidRPr="007D1B53" w:rsidRDefault="007D1B53" w:rsidP="007D1B53">
            <w:r w:rsidRPr="007D1B53">
              <w:t>β</w:t>
            </w:r>
          </w:p>
        </w:tc>
        <w:tc>
          <w:tcPr>
            <w:tcW w:w="0" w:type="auto"/>
            <w:hideMark/>
          </w:tcPr>
          <w:p w14:paraId="1DA5BED7" w14:textId="77777777" w:rsidR="007D1B53" w:rsidRPr="007D1B53" w:rsidRDefault="007D1B53" w:rsidP="007D1B53">
            <w:r w:rsidRPr="007D1B53">
              <w:rPr>
                <w:i/>
                <w:iCs/>
              </w:rPr>
              <w:t>CI</w:t>
            </w:r>
          </w:p>
        </w:tc>
        <w:tc>
          <w:tcPr>
            <w:tcW w:w="0" w:type="auto"/>
            <w:hideMark/>
          </w:tcPr>
          <w:p w14:paraId="7A96ED28" w14:textId="77777777" w:rsidR="007D1B53" w:rsidRPr="007D1B53" w:rsidRDefault="007D1B53" w:rsidP="007D1B53">
            <w:r w:rsidRPr="007D1B53">
              <w:rPr>
                <w:i/>
                <w:iCs/>
              </w:rPr>
              <w:t>p</w:t>
            </w:r>
          </w:p>
        </w:tc>
        <w:tc>
          <w:tcPr>
            <w:tcW w:w="0" w:type="auto"/>
            <w:hideMark/>
          </w:tcPr>
          <w:p w14:paraId="0B151A6F" w14:textId="77777777" w:rsidR="007D1B53" w:rsidRPr="007D1B53" w:rsidRDefault="007D1B53" w:rsidP="007D1B53">
            <w:r w:rsidRPr="007D1B53">
              <w:t>β</w:t>
            </w:r>
          </w:p>
        </w:tc>
        <w:tc>
          <w:tcPr>
            <w:tcW w:w="0" w:type="auto"/>
            <w:hideMark/>
          </w:tcPr>
          <w:p w14:paraId="43A3D463" w14:textId="77777777" w:rsidR="007D1B53" w:rsidRPr="007D1B53" w:rsidRDefault="007D1B53" w:rsidP="007D1B53">
            <w:r w:rsidRPr="007D1B53">
              <w:rPr>
                <w:b/>
                <w:bCs/>
                <w:i/>
                <w:iCs/>
              </w:rPr>
              <w:t>CI</w:t>
            </w:r>
          </w:p>
        </w:tc>
        <w:tc>
          <w:tcPr>
            <w:tcW w:w="0" w:type="auto"/>
            <w:hideMark/>
          </w:tcPr>
          <w:p w14:paraId="7F17BF6A" w14:textId="77777777" w:rsidR="007D1B53" w:rsidRPr="007D1B53" w:rsidRDefault="007D1B53" w:rsidP="007D1B53">
            <w:r w:rsidRPr="007D1B53">
              <w:rPr>
                <w:i/>
                <w:iCs/>
              </w:rPr>
              <w:t>p</w:t>
            </w:r>
          </w:p>
        </w:tc>
      </w:tr>
      <w:tr w:rsidR="007D1B53" w:rsidRPr="007D1B53" w14:paraId="55CC5E14" w14:textId="77777777" w:rsidTr="00E12E46">
        <w:tc>
          <w:tcPr>
            <w:tcW w:w="0" w:type="auto"/>
            <w:hideMark/>
          </w:tcPr>
          <w:p w14:paraId="1083ECBF" w14:textId="77777777" w:rsidR="007D1B53" w:rsidRPr="007D1B53" w:rsidRDefault="007D1B53" w:rsidP="007D1B53">
            <w:r w:rsidRPr="007D1B53">
              <w:t>Uncinate fasciculus</w:t>
            </w:r>
          </w:p>
        </w:tc>
        <w:tc>
          <w:tcPr>
            <w:tcW w:w="0" w:type="auto"/>
            <w:hideMark/>
          </w:tcPr>
          <w:p w14:paraId="301E1DED" w14:textId="77777777" w:rsidR="007D1B53" w:rsidRPr="007D1B53" w:rsidRDefault="007D1B53" w:rsidP="007D1B53">
            <w:r w:rsidRPr="007D1B53">
              <w:t>Intercept</w:t>
            </w:r>
          </w:p>
        </w:tc>
        <w:tc>
          <w:tcPr>
            <w:tcW w:w="0" w:type="auto"/>
            <w:hideMark/>
          </w:tcPr>
          <w:p w14:paraId="0E6ECBF7" w14:textId="77777777" w:rsidR="007D1B53" w:rsidRPr="007D1B53" w:rsidRDefault="007D1B53" w:rsidP="00D22D31">
            <w:pPr>
              <w:jc w:val="right"/>
            </w:pPr>
            <w:r w:rsidRPr="007D1B53">
              <w:t>−11.31</w:t>
            </w:r>
          </w:p>
        </w:tc>
        <w:tc>
          <w:tcPr>
            <w:tcW w:w="0" w:type="auto"/>
            <w:hideMark/>
          </w:tcPr>
          <w:p w14:paraId="4B93856B" w14:textId="77777777" w:rsidR="007D1B53" w:rsidRPr="007D1B53" w:rsidRDefault="007D1B53" w:rsidP="00D22D31">
            <w:pPr>
              <w:jc w:val="right"/>
            </w:pPr>
            <w:r w:rsidRPr="007D1B53">
              <w:t>−30.80 – 8.18</w:t>
            </w:r>
          </w:p>
        </w:tc>
        <w:tc>
          <w:tcPr>
            <w:tcW w:w="0" w:type="auto"/>
            <w:hideMark/>
          </w:tcPr>
          <w:p w14:paraId="757226AB" w14:textId="77777777" w:rsidR="007D1B53" w:rsidRPr="007D1B53" w:rsidRDefault="007D1B53" w:rsidP="00D22D31">
            <w:pPr>
              <w:jc w:val="right"/>
            </w:pPr>
            <w:r w:rsidRPr="007D1B53">
              <w:t>0.25</w:t>
            </w:r>
          </w:p>
        </w:tc>
        <w:tc>
          <w:tcPr>
            <w:tcW w:w="0" w:type="auto"/>
            <w:hideMark/>
          </w:tcPr>
          <w:p w14:paraId="3742754B" w14:textId="77777777" w:rsidR="007D1B53" w:rsidRPr="007D1B53" w:rsidRDefault="007D1B53" w:rsidP="00D22D31">
            <w:pPr>
              <w:jc w:val="right"/>
            </w:pPr>
            <w:r w:rsidRPr="007D1B53">
              <w:t>−4.31</w:t>
            </w:r>
          </w:p>
        </w:tc>
        <w:tc>
          <w:tcPr>
            <w:tcW w:w="0" w:type="auto"/>
            <w:hideMark/>
          </w:tcPr>
          <w:p w14:paraId="0B9A8BCD" w14:textId="77777777" w:rsidR="007D1B53" w:rsidRPr="007D1B53" w:rsidRDefault="007D1B53" w:rsidP="00D22D31">
            <w:pPr>
              <w:jc w:val="right"/>
            </w:pPr>
            <w:r w:rsidRPr="007D1B53">
              <w:t>−28.94 – 20.32</w:t>
            </w:r>
          </w:p>
        </w:tc>
        <w:tc>
          <w:tcPr>
            <w:tcW w:w="0" w:type="auto"/>
            <w:hideMark/>
          </w:tcPr>
          <w:p w14:paraId="42F1EAE0" w14:textId="77777777" w:rsidR="007D1B53" w:rsidRPr="007D1B53" w:rsidRDefault="007D1B53" w:rsidP="00D22D31">
            <w:pPr>
              <w:jc w:val="right"/>
            </w:pPr>
            <w:r w:rsidRPr="007D1B53">
              <w:t>0.73</w:t>
            </w:r>
          </w:p>
        </w:tc>
      </w:tr>
      <w:tr w:rsidR="007D1B53" w:rsidRPr="007D1B53" w14:paraId="703C6263" w14:textId="77777777" w:rsidTr="00E12E46">
        <w:tc>
          <w:tcPr>
            <w:tcW w:w="0" w:type="auto"/>
            <w:hideMark/>
          </w:tcPr>
          <w:p w14:paraId="1C4202C7" w14:textId="77777777" w:rsidR="007D1B53" w:rsidRPr="007D1B53" w:rsidRDefault="007D1B53" w:rsidP="007D1B53"/>
        </w:tc>
        <w:tc>
          <w:tcPr>
            <w:tcW w:w="0" w:type="auto"/>
            <w:hideMark/>
          </w:tcPr>
          <w:p w14:paraId="2B715A25" w14:textId="77777777" w:rsidR="007D1B53" w:rsidRPr="007D1B53" w:rsidRDefault="007D1B53" w:rsidP="007D1B53">
            <w:r w:rsidRPr="007D1B53">
              <w:t>FA</w:t>
            </w:r>
          </w:p>
        </w:tc>
        <w:tc>
          <w:tcPr>
            <w:tcW w:w="0" w:type="auto"/>
            <w:hideMark/>
          </w:tcPr>
          <w:p w14:paraId="369C0CB7" w14:textId="77777777" w:rsidR="007D1B53" w:rsidRPr="007D1B53" w:rsidRDefault="007D1B53" w:rsidP="00D22D31">
            <w:pPr>
              <w:jc w:val="right"/>
            </w:pPr>
            <w:r w:rsidRPr="007D1B53">
              <w:t>42.36</w:t>
            </w:r>
          </w:p>
        </w:tc>
        <w:tc>
          <w:tcPr>
            <w:tcW w:w="0" w:type="auto"/>
            <w:hideMark/>
          </w:tcPr>
          <w:p w14:paraId="1BA0A911" w14:textId="77777777" w:rsidR="007D1B53" w:rsidRPr="007D1B53" w:rsidRDefault="007D1B53" w:rsidP="00D22D31">
            <w:pPr>
              <w:jc w:val="right"/>
            </w:pPr>
            <w:r w:rsidRPr="007D1B53">
              <w:t>3.74 – 80.99</w:t>
            </w:r>
          </w:p>
        </w:tc>
        <w:tc>
          <w:tcPr>
            <w:tcW w:w="0" w:type="auto"/>
            <w:hideMark/>
          </w:tcPr>
          <w:p w14:paraId="7D82A9D1" w14:textId="77777777" w:rsidR="007D1B53" w:rsidRPr="007D1B53" w:rsidRDefault="007D1B53" w:rsidP="00D22D31">
            <w:pPr>
              <w:jc w:val="right"/>
            </w:pPr>
            <w:r w:rsidRPr="007D1B53">
              <w:t>0.03</w:t>
            </w:r>
            <w:r w:rsidRPr="007D1B53">
              <w:rPr>
                <w:vertAlign w:val="superscript"/>
              </w:rPr>
              <w:t>#</w:t>
            </w:r>
          </w:p>
        </w:tc>
        <w:tc>
          <w:tcPr>
            <w:tcW w:w="0" w:type="auto"/>
            <w:hideMark/>
          </w:tcPr>
          <w:p w14:paraId="18B9C36B" w14:textId="77777777" w:rsidR="007D1B53" w:rsidRPr="007D1B53" w:rsidRDefault="007D1B53" w:rsidP="00D22D31">
            <w:pPr>
              <w:jc w:val="right"/>
            </w:pPr>
            <w:r w:rsidRPr="007D1B53">
              <w:t>19.75</w:t>
            </w:r>
          </w:p>
        </w:tc>
        <w:tc>
          <w:tcPr>
            <w:tcW w:w="0" w:type="auto"/>
            <w:hideMark/>
          </w:tcPr>
          <w:p w14:paraId="298AA987" w14:textId="77777777" w:rsidR="007D1B53" w:rsidRPr="007D1B53" w:rsidRDefault="007D1B53" w:rsidP="00D22D31">
            <w:pPr>
              <w:jc w:val="right"/>
            </w:pPr>
            <w:r w:rsidRPr="007D1B53">
              <w:t>−30.15 – 69.64</w:t>
            </w:r>
          </w:p>
        </w:tc>
        <w:tc>
          <w:tcPr>
            <w:tcW w:w="0" w:type="auto"/>
            <w:hideMark/>
          </w:tcPr>
          <w:p w14:paraId="479668B9" w14:textId="77777777" w:rsidR="007D1B53" w:rsidRPr="007D1B53" w:rsidRDefault="007D1B53" w:rsidP="00D22D31">
            <w:pPr>
              <w:jc w:val="right"/>
            </w:pPr>
            <w:r w:rsidRPr="007D1B53">
              <w:t>0.43</w:t>
            </w:r>
          </w:p>
        </w:tc>
      </w:tr>
      <w:tr w:rsidR="007D1B53" w:rsidRPr="007D1B53" w14:paraId="6A4E3020" w14:textId="77777777" w:rsidTr="00E12E46">
        <w:tc>
          <w:tcPr>
            <w:tcW w:w="0" w:type="auto"/>
            <w:hideMark/>
          </w:tcPr>
          <w:p w14:paraId="5797605B" w14:textId="77777777" w:rsidR="007D1B53" w:rsidRPr="007D1B53" w:rsidRDefault="007D1B53" w:rsidP="007D1B53"/>
        </w:tc>
        <w:tc>
          <w:tcPr>
            <w:tcW w:w="0" w:type="auto"/>
            <w:hideMark/>
          </w:tcPr>
          <w:p w14:paraId="65586E94" w14:textId="77777777" w:rsidR="007D1B53" w:rsidRPr="007D1B53" w:rsidRDefault="007D1B53" w:rsidP="007D1B53">
            <w:r w:rsidRPr="007D1B53">
              <w:t>Age</w:t>
            </w:r>
          </w:p>
        </w:tc>
        <w:tc>
          <w:tcPr>
            <w:tcW w:w="0" w:type="auto"/>
            <w:hideMark/>
          </w:tcPr>
          <w:p w14:paraId="0C9716B6" w14:textId="77777777" w:rsidR="007D1B53" w:rsidRPr="007D1B53" w:rsidRDefault="007D1B53" w:rsidP="00D22D31">
            <w:pPr>
              <w:jc w:val="right"/>
            </w:pPr>
            <w:r w:rsidRPr="007D1B53">
              <w:t>−0.08</w:t>
            </w:r>
          </w:p>
        </w:tc>
        <w:tc>
          <w:tcPr>
            <w:tcW w:w="0" w:type="auto"/>
            <w:hideMark/>
          </w:tcPr>
          <w:p w14:paraId="1B4EE9A9" w14:textId="77777777" w:rsidR="007D1B53" w:rsidRPr="007D1B53" w:rsidRDefault="007D1B53" w:rsidP="00D22D31">
            <w:pPr>
              <w:jc w:val="right"/>
            </w:pPr>
            <w:r w:rsidRPr="007D1B53">
              <w:t>−0.26 – 0.10</w:t>
            </w:r>
          </w:p>
        </w:tc>
        <w:tc>
          <w:tcPr>
            <w:tcW w:w="0" w:type="auto"/>
            <w:hideMark/>
          </w:tcPr>
          <w:p w14:paraId="3D66ABF2" w14:textId="77777777" w:rsidR="007D1B53" w:rsidRPr="007D1B53" w:rsidRDefault="007D1B53" w:rsidP="00D22D31">
            <w:pPr>
              <w:jc w:val="right"/>
            </w:pPr>
            <w:r w:rsidRPr="007D1B53">
              <w:t>0.38</w:t>
            </w:r>
          </w:p>
        </w:tc>
        <w:tc>
          <w:tcPr>
            <w:tcW w:w="0" w:type="auto"/>
            <w:hideMark/>
          </w:tcPr>
          <w:p w14:paraId="26DF3B8E" w14:textId="77777777" w:rsidR="007D1B53" w:rsidRPr="007D1B53" w:rsidRDefault="007D1B53" w:rsidP="00D22D31">
            <w:pPr>
              <w:jc w:val="right"/>
            </w:pPr>
            <w:r w:rsidRPr="007D1B53">
              <w:t>−0.07</w:t>
            </w:r>
          </w:p>
        </w:tc>
        <w:tc>
          <w:tcPr>
            <w:tcW w:w="0" w:type="auto"/>
            <w:hideMark/>
          </w:tcPr>
          <w:p w14:paraId="5CFC8BDA" w14:textId="77777777" w:rsidR="007D1B53" w:rsidRPr="007D1B53" w:rsidRDefault="007D1B53" w:rsidP="00D22D31">
            <w:pPr>
              <w:jc w:val="right"/>
            </w:pPr>
            <w:r w:rsidRPr="007D1B53">
              <w:t>−0.26 – 0.11</w:t>
            </w:r>
          </w:p>
        </w:tc>
        <w:tc>
          <w:tcPr>
            <w:tcW w:w="0" w:type="auto"/>
            <w:hideMark/>
          </w:tcPr>
          <w:p w14:paraId="5F8E1F28" w14:textId="77777777" w:rsidR="007D1B53" w:rsidRPr="007D1B53" w:rsidRDefault="007D1B53" w:rsidP="00D22D31">
            <w:pPr>
              <w:jc w:val="right"/>
            </w:pPr>
            <w:r w:rsidRPr="007D1B53">
              <w:t>0.42</w:t>
            </w:r>
          </w:p>
        </w:tc>
      </w:tr>
      <w:tr w:rsidR="007D1B53" w:rsidRPr="007D1B53" w14:paraId="1EAB59C1" w14:textId="77777777" w:rsidTr="00E12E46">
        <w:tc>
          <w:tcPr>
            <w:tcW w:w="0" w:type="auto"/>
            <w:hideMark/>
          </w:tcPr>
          <w:p w14:paraId="5499195C" w14:textId="77777777" w:rsidR="007D1B53" w:rsidRPr="007D1B53" w:rsidRDefault="007D1B53" w:rsidP="007D1B53"/>
        </w:tc>
        <w:tc>
          <w:tcPr>
            <w:tcW w:w="0" w:type="auto"/>
            <w:hideMark/>
          </w:tcPr>
          <w:p w14:paraId="106EC12E" w14:textId="77777777" w:rsidR="007D1B53" w:rsidRPr="007D1B53" w:rsidRDefault="007D1B53" w:rsidP="007D1B53">
            <w:r w:rsidRPr="007D1B53">
              <w:t>Sex</w:t>
            </w:r>
          </w:p>
        </w:tc>
        <w:tc>
          <w:tcPr>
            <w:tcW w:w="0" w:type="auto"/>
            <w:hideMark/>
          </w:tcPr>
          <w:p w14:paraId="03F5C4A0" w14:textId="77777777" w:rsidR="007D1B53" w:rsidRPr="007D1B53" w:rsidRDefault="007D1B53" w:rsidP="00D22D31">
            <w:pPr>
              <w:jc w:val="right"/>
            </w:pPr>
            <w:r w:rsidRPr="007D1B53">
              <w:t>0.64</w:t>
            </w:r>
          </w:p>
        </w:tc>
        <w:tc>
          <w:tcPr>
            <w:tcW w:w="0" w:type="auto"/>
            <w:hideMark/>
          </w:tcPr>
          <w:p w14:paraId="0684E979" w14:textId="77777777" w:rsidR="007D1B53" w:rsidRPr="007D1B53" w:rsidRDefault="007D1B53" w:rsidP="00D22D31">
            <w:pPr>
              <w:jc w:val="right"/>
            </w:pPr>
            <w:r w:rsidRPr="007D1B53">
              <w:t>−3.09 – 4.38</w:t>
            </w:r>
          </w:p>
        </w:tc>
        <w:tc>
          <w:tcPr>
            <w:tcW w:w="0" w:type="auto"/>
            <w:hideMark/>
          </w:tcPr>
          <w:p w14:paraId="33FD750A" w14:textId="77777777" w:rsidR="007D1B53" w:rsidRPr="007D1B53" w:rsidRDefault="007D1B53" w:rsidP="00D22D31">
            <w:pPr>
              <w:jc w:val="right"/>
            </w:pPr>
            <w:r w:rsidRPr="007D1B53">
              <w:t>0.73</w:t>
            </w:r>
          </w:p>
        </w:tc>
        <w:tc>
          <w:tcPr>
            <w:tcW w:w="0" w:type="auto"/>
            <w:hideMark/>
          </w:tcPr>
          <w:p w14:paraId="1D7FCF4F" w14:textId="77777777" w:rsidR="007D1B53" w:rsidRPr="007D1B53" w:rsidRDefault="007D1B53" w:rsidP="00D22D31">
            <w:pPr>
              <w:jc w:val="right"/>
            </w:pPr>
            <w:r w:rsidRPr="007D1B53">
              <w:t>0.31</w:t>
            </w:r>
          </w:p>
        </w:tc>
        <w:tc>
          <w:tcPr>
            <w:tcW w:w="0" w:type="auto"/>
            <w:hideMark/>
          </w:tcPr>
          <w:p w14:paraId="4B40D8E6" w14:textId="77777777" w:rsidR="007D1B53" w:rsidRPr="007D1B53" w:rsidRDefault="007D1B53" w:rsidP="00D22D31">
            <w:pPr>
              <w:jc w:val="right"/>
            </w:pPr>
            <w:r w:rsidRPr="007D1B53">
              <w:t>−3.55 – 4.16</w:t>
            </w:r>
          </w:p>
        </w:tc>
        <w:tc>
          <w:tcPr>
            <w:tcW w:w="0" w:type="auto"/>
            <w:hideMark/>
          </w:tcPr>
          <w:p w14:paraId="11CDC92C" w14:textId="77777777" w:rsidR="007D1B53" w:rsidRPr="007D1B53" w:rsidRDefault="007D1B53" w:rsidP="00D22D31">
            <w:pPr>
              <w:jc w:val="right"/>
            </w:pPr>
            <w:r w:rsidRPr="007D1B53">
              <w:t>0.87</w:t>
            </w:r>
          </w:p>
        </w:tc>
      </w:tr>
      <w:tr w:rsidR="007D1B53" w:rsidRPr="007D1B53" w14:paraId="5193B93E" w14:textId="77777777" w:rsidTr="00E12E46">
        <w:tc>
          <w:tcPr>
            <w:tcW w:w="0" w:type="auto"/>
            <w:hideMark/>
          </w:tcPr>
          <w:p w14:paraId="2E9F0081" w14:textId="77777777" w:rsidR="007D1B53" w:rsidRPr="007D1B53" w:rsidRDefault="007D1B53" w:rsidP="007D1B53"/>
        </w:tc>
        <w:tc>
          <w:tcPr>
            <w:tcW w:w="0" w:type="auto"/>
            <w:hideMark/>
          </w:tcPr>
          <w:p w14:paraId="24E321F7" w14:textId="77777777" w:rsidR="007D1B53" w:rsidRPr="007D1B53" w:rsidRDefault="007D1B53" w:rsidP="007D1B53">
            <w:r w:rsidRPr="007D1B53">
              <w:t>T1 PCL-5</w:t>
            </w:r>
          </w:p>
        </w:tc>
        <w:tc>
          <w:tcPr>
            <w:tcW w:w="0" w:type="auto"/>
            <w:hideMark/>
          </w:tcPr>
          <w:p w14:paraId="389AD70C" w14:textId="77777777" w:rsidR="007D1B53" w:rsidRPr="007D1B53" w:rsidRDefault="007D1B53" w:rsidP="00D22D31">
            <w:pPr>
              <w:jc w:val="right"/>
            </w:pPr>
            <w:r w:rsidRPr="007D1B53">
              <w:t>0.24</w:t>
            </w:r>
          </w:p>
        </w:tc>
        <w:tc>
          <w:tcPr>
            <w:tcW w:w="0" w:type="auto"/>
            <w:hideMark/>
          </w:tcPr>
          <w:p w14:paraId="2738CACB" w14:textId="77777777" w:rsidR="007D1B53" w:rsidRPr="007D1B53" w:rsidRDefault="007D1B53" w:rsidP="00D22D31">
            <w:pPr>
              <w:jc w:val="right"/>
            </w:pPr>
            <w:r w:rsidRPr="007D1B53">
              <w:rPr>
                <w:b/>
                <w:bCs/>
              </w:rPr>
              <w:t>0.13 – 0.35</w:t>
            </w:r>
          </w:p>
        </w:tc>
        <w:tc>
          <w:tcPr>
            <w:tcW w:w="0" w:type="auto"/>
            <w:hideMark/>
          </w:tcPr>
          <w:p w14:paraId="48C882A5" w14:textId="77777777" w:rsidR="007D1B53" w:rsidRPr="007D1B53" w:rsidRDefault="007D1B53" w:rsidP="00D22D31">
            <w:pPr>
              <w:jc w:val="right"/>
            </w:pPr>
            <w:r w:rsidRPr="007D1B53">
              <w:rPr>
                <w:b/>
                <w:bCs/>
              </w:rPr>
              <w:t>&lt;0.001*</w:t>
            </w:r>
          </w:p>
        </w:tc>
        <w:tc>
          <w:tcPr>
            <w:tcW w:w="0" w:type="auto"/>
            <w:hideMark/>
          </w:tcPr>
          <w:p w14:paraId="4F48D6EC" w14:textId="77777777" w:rsidR="007D1B53" w:rsidRPr="007D1B53" w:rsidRDefault="007D1B53" w:rsidP="00D22D31">
            <w:pPr>
              <w:jc w:val="right"/>
            </w:pPr>
            <w:r w:rsidRPr="007D1B53">
              <w:rPr>
                <w:b/>
                <w:bCs/>
              </w:rPr>
              <w:t>0.25</w:t>
            </w:r>
          </w:p>
        </w:tc>
        <w:tc>
          <w:tcPr>
            <w:tcW w:w="0" w:type="auto"/>
            <w:hideMark/>
          </w:tcPr>
          <w:p w14:paraId="3869F38D" w14:textId="77777777" w:rsidR="007D1B53" w:rsidRPr="007D1B53" w:rsidRDefault="007D1B53" w:rsidP="00D22D31">
            <w:pPr>
              <w:jc w:val="right"/>
            </w:pPr>
            <w:r w:rsidRPr="007D1B53">
              <w:rPr>
                <w:b/>
                <w:bCs/>
              </w:rPr>
              <w:t>0.14 – 0.37</w:t>
            </w:r>
          </w:p>
        </w:tc>
        <w:tc>
          <w:tcPr>
            <w:tcW w:w="0" w:type="auto"/>
            <w:hideMark/>
          </w:tcPr>
          <w:p w14:paraId="53B13D91" w14:textId="77777777" w:rsidR="007D1B53" w:rsidRPr="007D1B53" w:rsidRDefault="007D1B53" w:rsidP="00D22D31">
            <w:pPr>
              <w:jc w:val="right"/>
            </w:pPr>
            <w:r w:rsidRPr="007D1B53">
              <w:rPr>
                <w:b/>
                <w:bCs/>
              </w:rPr>
              <w:t>&lt;0.001*</w:t>
            </w:r>
          </w:p>
        </w:tc>
      </w:tr>
      <w:tr w:rsidR="007D1B53" w:rsidRPr="007D1B53" w14:paraId="1D6B784D" w14:textId="77777777" w:rsidTr="00E12E46">
        <w:tc>
          <w:tcPr>
            <w:tcW w:w="0" w:type="auto"/>
            <w:hideMark/>
          </w:tcPr>
          <w:p w14:paraId="2B366A00" w14:textId="77777777" w:rsidR="007D1B53" w:rsidRPr="007D1B53" w:rsidRDefault="007D1B53" w:rsidP="007D1B53"/>
        </w:tc>
        <w:tc>
          <w:tcPr>
            <w:tcW w:w="0" w:type="auto"/>
            <w:hideMark/>
          </w:tcPr>
          <w:p w14:paraId="618D39BF" w14:textId="77777777" w:rsidR="007D1B53" w:rsidRPr="007D1B53" w:rsidRDefault="007D1B53" w:rsidP="007D1B53">
            <w:r w:rsidRPr="007D1B53">
              <w:t>T1 LEC</w:t>
            </w:r>
          </w:p>
        </w:tc>
        <w:tc>
          <w:tcPr>
            <w:tcW w:w="0" w:type="auto"/>
            <w:hideMark/>
          </w:tcPr>
          <w:p w14:paraId="01ED33A0" w14:textId="77777777" w:rsidR="007D1B53" w:rsidRPr="007D1B53" w:rsidRDefault="007D1B53" w:rsidP="00D22D31">
            <w:pPr>
              <w:jc w:val="right"/>
            </w:pPr>
            <w:r w:rsidRPr="007D1B53">
              <w:t>0.05</w:t>
            </w:r>
          </w:p>
        </w:tc>
        <w:tc>
          <w:tcPr>
            <w:tcW w:w="0" w:type="auto"/>
            <w:hideMark/>
          </w:tcPr>
          <w:p w14:paraId="03E22F6F" w14:textId="77777777" w:rsidR="007D1B53" w:rsidRPr="007D1B53" w:rsidRDefault="007D1B53" w:rsidP="00D22D31">
            <w:pPr>
              <w:jc w:val="right"/>
            </w:pPr>
            <w:r w:rsidRPr="007D1B53">
              <w:t>−0.07 – 0.16</w:t>
            </w:r>
          </w:p>
        </w:tc>
        <w:tc>
          <w:tcPr>
            <w:tcW w:w="0" w:type="auto"/>
            <w:hideMark/>
          </w:tcPr>
          <w:p w14:paraId="1742728C" w14:textId="77777777" w:rsidR="007D1B53" w:rsidRPr="007D1B53" w:rsidRDefault="007D1B53" w:rsidP="00D22D31">
            <w:pPr>
              <w:jc w:val="right"/>
            </w:pPr>
            <w:r w:rsidRPr="007D1B53">
              <w:t>0.42</w:t>
            </w:r>
          </w:p>
        </w:tc>
        <w:tc>
          <w:tcPr>
            <w:tcW w:w="0" w:type="auto"/>
            <w:hideMark/>
          </w:tcPr>
          <w:p w14:paraId="6B311853" w14:textId="77777777" w:rsidR="007D1B53" w:rsidRPr="007D1B53" w:rsidRDefault="007D1B53" w:rsidP="00D22D31">
            <w:pPr>
              <w:jc w:val="right"/>
            </w:pPr>
            <w:r w:rsidRPr="007D1B53">
              <w:t>0.02</w:t>
            </w:r>
          </w:p>
        </w:tc>
        <w:tc>
          <w:tcPr>
            <w:tcW w:w="0" w:type="auto"/>
            <w:hideMark/>
          </w:tcPr>
          <w:p w14:paraId="557F10F0" w14:textId="77777777" w:rsidR="007D1B53" w:rsidRPr="007D1B53" w:rsidRDefault="007D1B53" w:rsidP="00D22D31">
            <w:pPr>
              <w:jc w:val="right"/>
            </w:pPr>
            <w:r w:rsidRPr="007D1B53">
              <w:t>−0.10 – 0.14</w:t>
            </w:r>
          </w:p>
        </w:tc>
        <w:tc>
          <w:tcPr>
            <w:tcW w:w="0" w:type="auto"/>
            <w:hideMark/>
          </w:tcPr>
          <w:p w14:paraId="06B9B543" w14:textId="77777777" w:rsidR="007D1B53" w:rsidRPr="007D1B53" w:rsidRDefault="007D1B53" w:rsidP="00D22D31">
            <w:pPr>
              <w:jc w:val="right"/>
            </w:pPr>
            <w:r w:rsidRPr="007D1B53">
              <w:t>0.75</w:t>
            </w:r>
          </w:p>
        </w:tc>
      </w:tr>
      <w:tr w:rsidR="007D1B53" w:rsidRPr="007D1B53" w14:paraId="4B41EB4F" w14:textId="77777777" w:rsidTr="00E12E46">
        <w:tc>
          <w:tcPr>
            <w:tcW w:w="0" w:type="auto"/>
            <w:hideMark/>
          </w:tcPr>
          <w:p w14:paraId="3EF2D4D9" w14:textId="77777777" w:rsidR="007D1B53" w:rsidRPr="007D1B53" w:rsidRDefault="007D1B53" w:rsidP="007D1B53"/>
        </w:tc>
        <w:tc>
          <w:tcPr>
            <w:tcW w:w="0" w:type="auto"/>
            <w:hideMark/>
          </w:tcPr>
          <w:p w14:paraId="04DC6F7D" w14:textId="77777777" w:rsidR="007D1B53" w:rsidRPr="007D1B53" w:rsidRDefault="007D1B53" w:rsidP="007D1B53">
            <w:r w:rsidRPr="007D1B53">
              <w:t>T1 translation</w:t>
            </w:r>
          </w:p>
        </w:tc>
        <w:tc>
          <w:tcPr>
            <w:tcW w:w="0" w:type="auto"/>
            <w:hideMark/>
          </w:tcPr>
          <w:p w14:paraId="17ADBC0B" w14:textId="77777777" w:rsidR="007D1B53" w:rsidRPr="007D1B53" w:rsidRDefault="007D1B53" w:rsidP="00D22D31">
            <w:pPr>
              <w:jc w:val="right"/>
            </w:pPr>
            <w:r w:rsidRPr="007D1B53">
              <w:t>6.17</w:t>
            </w:r>
          </w:p>
        </w:tc>
        <w:tc>
          <w:tcPr>
            <w:tcW w:w="0" w:type="auto"/>
            <w:hideMark/>
          </w:tcPr>
          <w:p w14:paraId="7F13BD38" w14:textId="77777777" w:rsidR="007D1B53" w:rsidRPr="007D1B53" w:rsidRDefault="007D1B53" w:rsidP="00D22D31">
            <w:pPr>
              <w:jc w:val="right"/>
            </w:pPr>
            <w:r w:rsidRPr="007D1B53">
              <w:t>−0.17 – 12.50</w:t>
            </w:r>
          </w:p>
        </w:tc>
        <w:tc>
          <w:tcPr>
            <w:tcW w:w="0" w:type="auto"/>
            <w:hideMark/>
          </w:tcPr>
          <w:p w14:paraId="334F1BA2" w14:textId="77777777" w:rsidR="007D1B53" w:rsidRPr="007D1B53" w:rsidRDefault="007D1B53" w:rsidP="00D22D31">
            <w:pPr>
              <w:jc w:val="right"/>
            </w:pPr>
            <w:r w:rsidRPr="007D1B53">
              <w:t>0.05</w:t>
            </w:r>
          </w:p>
        </w:tc>
        <w:tc>
          <w:tcPr>
            <w:tcW w:w="0" w:type="auto"/>
            <w:hideMark/>
          </w:tcPr>
          <w:p w14:paraId="7CE3ED4A" w14:textId="77777777" w:rsidR="007D1B53" w:rsidRPr="007D1B53" w:rsidRDefault="007D1B53" w:rsidP="00D22D31">
            <w:pPr>
              <w:jc w:val="right"/>
            </w:pPr>
            <w:r w:rsidRPr="007D1B53">
              <w:t>5.22</w:t>
            </w:r>
          </w:p>
        </w:tc>
        <w:tc>
          <w:tcPr>
            <w:tcW w:w="0" w:type="auto"/>
            <w:hideMark/>
          </w:tcPr>
          <w:p w14:paraId="4F132F1C" w14:textId="77777777" w:rsidR="007D1B53" w:rsidRPr="007D1B53" w:rsidRDefault="007D1B53" w:rsidP="00D22D31">
            <w:pPr>
              <w:jc w:val="right"/>
            </w:pPr>
            <w:r w:rsidRPr="007D1B53">
              <w:t>−1.24 – 11.68</w:t>
            </w:r>
          </w:p>
        </w:tc>
        <w:tc>
          <w:tcPr>
            <w:tcW w:w="0" w:type="auto"/>
            <w:hideMark/>
          </w:tcPr>
          <w:p w14:paraId="2E032F7F" w14:textId="77777777" w:rsidR="007D1B53" w:rsidRPr="007D1B53" w:rsidRDefault="007D1B53" w:rsidP="00D22D31">
            <w:pPr>
              <w:jc w:val="right"/>
            </w:pPr>
            <w:r w:rsidRPr="007D1B53">
              <w:t>0.11</w:t>
            </w:r>
          </w:p>
        </w:tc>
      </w:tr>
      <w:tr w:rsidR="007D1B53" w:rsidRPr="007D1B53" w14:paraId="7143596A" w14:textId="77777777" w:rsidTr="00E12E46">
        <w:tc>
          <w:tcPr>
            <w:tcW w:w="0" w:type="auto"/>
            <w:hideMark/>
          </w:tcPr>
          <w:p w14:paraId="3AED1D2D" w14:textId="77777777" w:rsidR="007D1B53" w:rsidRPr="007D1B53" w:rsidRDefault="007D1B53" w:rsidP="007D1B53"/>
        </w:tc>
        <w:tc>
          <w:tcPr>
            <w:tcW w:w="0" w:type="auto"/>
            <w:hideMark/>
          </w:tcPr>
          <w:p w14:paraId="35851B45" w14:textId="77777777" w:rsidR="007D1B53" w:rsidRPr="007D1B53" w:rsidRDefault="007D1B53" w:rsidP="007D1B53">
            <w:r w:rsidRPr="007D1B53">
              <w:t>T1 rotation</w:t>
            </w:r>
          </w:p>
        </w:tc>
        <w:tc>
          <w:tcPr>
            <w:tcW w:w="0" w:type="auto"/>
            <w:hideMark/>
          </w:tcPr>
          <w:p w14:paraId="4E73EA53" w14:textId="77777777" w:rsidR="007D1B53" w:rsidRPr="007D1B53" w:rsidRDefault="007D1B53" w:rsidP="00D22D31">
            <w:pPr>
              <w:jc w:val="right"/>
            </w:pPr>
            <w:r w:rsidRPr="007D1B53">
              <w:t>−1156.31</w:t>
            </w:r>
          </w:p>
        </w:tc>
        <w:tc>
          <w:tcPr>
            <w:tcW w:w="0" w:type="auto"/>
            <w:hideMark/>
          </w:tcPr>
          <w:p w14:paraId="4FF15E33" w14:textId="77777777" w:rsidR="007D1B53" w:rsidRPr="007D1B53" w:rsidRDefault="007D1B53" w:rsidP="00D22D31">
            <w:pPr>
              <w:jc w:val="right"/>
            </w:pPr>
            <w:r w:rsidRPr="007D1B53">
              <w:t>−2073.85 − –238.77</w:t>
            </w:r>
          </w:p>
        </w:tc>
        <w:tc>
          <w:tcPr>
            <w:tcW w:w="0" w:type="auto"/>
            <w:hideMark/>
          </w:tcPr>
          <w:p w14:paraId="79B7A184" w14:textId="77777777" w:rsidR="007D1B53" w:rsidRPr="007D1B53" w:rsidRDefault="007D1B53" w:rsidP="00D22D31">
            <w:pPr>
              <w:jc w:val="right"/>
            </w:pPr>
            <w:r w:rsidRPr="007D1B53">
              <w:t>0.01</w:t>
            </w:r>
            <w:r w:rsidRPr="007D1B53">
              <w:rPr>
                <w:vertAlign w:val="superscript"/>
              </w:rPr>
              <w:t>#</w:t>
            </w:r>
          </w:p>
        </w:tc>
        <w:tc>
          <w:tcPr>
            <w:tcW w:w="0" w:type="auto"/>
            <w:hideMark/>
          </w:tcPr>
          <w:p w14:paraId="14BC40BD" w14:textId="77777777" w:rsidR="007D1B53" w:rsidRPr="007D1B53" w:rsidRDefault="007D1B53" w:rsidP="00D22D31">
            <w:pPr>
              <w:jc w:val="right"/>
            </w:pPr>
            <w:r w:rsidRPr="007D1B53">
              <w:t>−684.20</w:t>
            </w:r>
          </w:p>
        </w:tc>
        <w:tc>
          <w:tcPr>
            <w:tcW w:w="0" w:type="auto"/>
            <w:hideMark/>
          </w:tcPr>
          <w:p w14:paraId="150C48D6" w14:textId="77777777" w:rsidR="007D1B53" w:rsidRPr="007D1B53" w:rsidRDefault="007D1B53" w:rsidP="00D22D31">
            <w:pPr>
              <w:jc w:val="right"/>
            </w:pPr>
            <w:r w:rsidRPr="007D1B53">
              <w:t>−1834.97 – 466.56</w:t>
            </w:r>
          </w:p>
        </w:tc>
        <w:tc>
          <w:tcPr>
            <w:tcW w:w="0" w:type="auto"/>
            <w:hideMark/>
          </w:tcPr>
          <w:p w14:paraId="1352F9BC" w14:textId="77777777" w:rsidR="007D1B53" w:rsidRPr="007D1B53" w:rsidRDefault="007D1B53" w:rsidP="00D22D31">
            <w:pPr>
              <w:jc w:val="right"/>
            </w:pPr>
            <w:r w:rsidRPr="007D1B53">
              <w:t>0.24</w:t>
            </w:r>
          </w:p>
        </w:tc>
      </w:tr>
      <w:tr w:rsidR="007D1B53" w:rsidRPr="007D1B53" w14:paraId="7491CED4" w14:textId="77777777" w:rsidTr="00E12E46">
        <w:tc>
          <w:tcPr>
            <w:tcW w:w="0" w:type="auto"/>
            <w:hideMark/>
          </w:tcPr>
          <w:p w14:paraId="3FCA3995" w14:textId="77777777" w:rsidR="007D1B53" w:rsidRPr="007D1B53" w:rsidRDefault="007D1B53" w:rsidP="007D1B53">
            <w:r w:rsidRPr="007D1B53">
              <w:t>Anterior cingulum</w:t>
            </w:r>
          </w:p>
        </w:tc>
        <w:tc>
          <w:tcPr>
            <w:tcW w:w="0" w:type="auto"/>
            <w:hideMark/>
          </w:tcPr>
          <w:p w14:paraId="4C0FEF8E" w14:textId="77777777" w:rsidR="007D1B53" w:rsidRPr="007D1B53" w:rsidRDefault="007D1B53" w:rsidP="007D1B53">
            <w:r w:rsidRPr="007D1B53">
              <w:t>Intercept</w:t>
            </w:r>
          </w:p>
        </w:tc>
        <w:tc>
          <w:tcPr>
            <w:tcW w:w="0" w:type="auto"/>
            <w:hideMark/>
          </w:tcPr>
          <w:p w14:paraId="1A66000B" w14:textId="77777777" w:rsidR="007D1B53" w:rsidRPr="007D1B53" w:rsidRDefault="007D1B53" w:rsidP="00D22D31">
            <w:pPr>
              <w:jc w:val="right"/>
            </w:pPr>
            <w:r w:rsidRPr="007D1B53">
              <w:t>33.51</w:t>
            </w:r>
          </w:p>
        </w:tc>
        <w:tc>
          <w:tcPr>
            <w:tcW w:w="0" w:type="auto"/>
            <w:hideMark/>
          </w:tcPr>
          <w:p w14:paraId="561C5739" w14:textId="77777777" w:rsidR="007D1B53" w:rsidRPr="007D1B53" w:rsidRDefault="007D1B53" w:rsidP="00D22D31">
            <w:pPr>
              <w:jc w:val="right"/>
            </w:pPr>
            <w:r w:rsidRPr="007D1B53">
              <w:t>8.07 – 58.95</w:t>
            </w:r>
          </w:p>
        </w:tc>
        <w:tc>
          <w:tcPr>
            <w:tcW w:w="0" w:type="auto"/>
            <w:hideMark/>
          </w:tcPr>
          <w:p w14:paraId="184B0C83" w14:textId="77777777" w:rsidR="007D1B53" w:rsidRPr="007D1B53" w:rsidRDefault="007D1B53" w:rsidP="00D22D31">
            <w:pPr>
              <w:jc w:val="right"/>
            </w:pPr>
            <w:r w:rsidRPr="007D1B53">
              <w:t>0.01</w:t>
            </w:r>
          </w:p>
        </w:tc>
        <w:tc>
          <w:tcPr>
            <w:tcW w:w="0" w:type="auto"/>
            <w:hideMark/>
          </w:tcPr>
          <w:p w14:paraId="122BB929" w14:textId="77777777" w:rsidR="007D1B53" w:rsidRPr="007D1B53" w:rsidRDefault="007D1B53" w:rsidP="00D22D31">
            <w:pPr>
              <w:jc w:val="right"/>
            </w:pPr>
            <w:r w:rsidRPr="007D1B53">
              <w:t>23.09</w:t>
            </w:r>
          </w:p>
        </w:tc>
        <w:tc>
          <w:tcPr>
            <w:tcW w:w="0" w:type="auto"/>
            <w:hideMark/>
          </w:tcPr>
          <w:p w14:paraId="326B1CE2" w14:textId="77777777" w:rsidR="007D1B53" w:rsidRPr="007D1B53" w:rsidRDefault="007D1B53" w:rsidP="00D22D31">
            <w:pPr>
              <w:jc w:val="right"/>
            </w:pPr>
            <w:r w:rsidRPr="007D1B53">
              <w:t>−1.27 – 47.45</w:t>
            </w:r>
          </w:p>
        </w:tc>
        <w:tc>
          <w:tcPr>
            <w:tcW w:w="0" w:type="auto"/>
            <w:hideMark/>
          </w:tcPr>
          <w:p w14:paraId="523FCC6A" w14:textId="77777777" w:rsidR="007D1B53" w:rsidRPr="007D1B53" w:rsidRDefault="007D1B53" w:rsidP="00D22D31">
            <w:pPr>
              <w:jc w:val="right"/>
            </w:pPr>
            <w:r w:rsidRPr="007D1B53">
              <w:t>0.06</w:t>
            </w:r>
          </w:p>
        </w:tc>
      </w:tr>
      <w:tr w:rsidR="007D1B53" w:rsidRPr="007D1B53" w14:paraId="232E9292" w14:textId="77777777" w:rsidTr="00E12E46">
        <w:tc>
          <w:tcPr>
            <w:tcW w:w="0" w:type="auto"/>
            <w:hideMark/>
          </w:tcPr>
          <w:p w14:paraId="18B8906E" w14:textId="77777777" w:rsidR="007D1B53" w:rsidRPr="007D1B53" w:rsidRDefault="007D1B53" w:rsidP="007D1B53"/>
        </w:tc>
        <w:tc>
          <w:tcPr>
            <w:tcW w:w="0" w:type="auto"/>
            <w:hideMark/>
          </w:tcPr>
          <w:p w14:paraId="7B8997B6" w14:textId="77777777" w:rsidR="007D1B53" w:rsidRPr="007D1B53" w:rsidRDefault="007D1B53" w:rsidP="007D1B53">
            <w:r w:rsidRPr="007D1B53">
              <w:t>FA</w:t>
            </w:r>
          </w:p>
        </w:tc>
        <w:tc>
          <w:tcPr>
            <w:tcW w:w="0" w:type="auto"/>
            <w:hideMark/>
          </w:tcPr>
          <w:p w14:paraId="688E1375" w14:textId="77777777" w:rsidR="007D1B53" w:rsidRPr="007D1B53" w:rsidRDefault="007D1B53" w:rsidP="00D22D31">
            <w:pPr>
              <w:jc w:val="right"/>
            </w:pPr>
            <w:r w:rsidRPr="007D1B53">
              <w:t>−53.28</w:t>
            </w:r>
          </w:p>
        </w:tc>
        <w:tc>
          <w:tcPr>
            <w:tcW w:w="0" w:type="auto"/>
            <w:hideMark/>
          </w:tcPr>
          <w:p w14:paraId="2D8D508A" w14:textId="77777777" w:rsidR="007D1B53" w:rsidRPr="007D1B53" w:rsidRDefault="007D1B53" w:rsidP="00D22D31">
            <w:pPr>
              <w:jc w:val="right"/>
            </w:pPr>
            <w:r w:rsidRPr="007D1B53">
              <w:t>−94.69 −−11.87</w:t>
            </w:r>
          </w:p>
        </w:tc>
        <w:tc>
          <w:tcPr>
            <w:tcW w:w="0" w:type="auto"/>
            <w:hideMark/>
          </w:tcPr>
          <w:p w14:paraId="21577A3A" w14:textId="77777777" w:rsidR="007D1B53" w:rsidRPr="007D1B53" w:rsidRDefault="007D1B53" w:rsidP="00D22D31">
            <w:pPr>
              <w:jc w:val="right"/>
            </w:pPr>
            <w:r w:rsidRPr="007D1B53">
              <w:t>0.01</w:t>
            </w:r>
            <w:r w:rsidRPr="007D1B53">
              <w:rPr>
                <w:vertAlign w:val="superscript"/>
              </w:rPr>
              <w:t>#</w:t>
            </w:r>
          </w:p>
        </w:tc>
        <w:tc>
          <w:tcPr>
            <w:tcW w:w="0" w:type="auto"/>
            <w:hideMark/>
          </w:tcPr>
          <w:p w14:paraId="33F8D079" w14:textId="77777777" w:rsidR="007D1B53" w:rsidRPr="007D1B53" w:rsidRDefault="007D1B53" w:rsidP="00D22D31">
            <w:pPr>
              <w:jc w:val="right"/>
            </w:pPr>
            <w:r w:rsidRPr="007D1B53">
              <w:t>−35.88</w:t>
            </w:r>
          </w:p>
        </w:tc>
        <w:tc>
          <w:tcPr>
            <w:tcW w:w="0" w:type="auto"/>
            <w:hideMark/>
          </w:tcPr>
          <w:p w14:paraId="6B627DC8" w14:textId="77777777" w:rsidR="007D1B53" w:rsidRPr="007D1B53" w:rsidRDefault="007D1B53" w:rsidP="00D22D31">
            <w:pPr>
              <w:jc w:val="right"/>
            </w:pPr>
            <w:r w:rsidRPr="007D1B53">
              <w:t>−76.90 – 5.14</w:t>
            </w:r>
          </w:p>
        </w:tc>
        <w:tc>
          <w:tcPr>
            <w:tcW w:w="0" w:type="auto"/>
            <w:hideMark/>
          </w:tcPr>
          <w:p w14:paraId="3C805AF7" w14:textId="77777777" w:rsidR="007D1B53" w:rsidRPr="007D1B53" w:rsidRDefault="007D1B53" w:rsidP="00D22D31">
            <w:pPr>
              <w:jc w:val="right"/>
            </w:pPr>
            <w:r w:rsidRPr="007D1B53">
              <w:t>0.08</w:t>
            </w:r>
          </w:p>
        </w:tc>
      </w:tr>
      <w:tr w:rsidR="007D1B53" w:rsidRPr="007D1B53" w14:paraId="763711FB" w14:textId="77777777" w:rsidTr="00E12E46">
        <w:tc>
          <w:tcPr>
            <w:tcW w:w="0" w:type="auto"/>
            <w:hideMark/>
          </w:tcPr>
          <w:p w14:paraId="4CB9A08A" w14:textId="77777777" w:rsidR="007D1B53" w:rsidRPr="007D1B53" w:rsidRDefault="007D1B53" w:rsidP="007D1B53"/>
        </w:tc>
        <w:tc>
          <w:tcPr>
            <w:tcW w:w="0" w:type="auto"/>
            <w:hideMark/>
          </w:tcPr>
          <w:p w14:paraId="08509C23" w14:textId="77777777" w:rsidR="007D1B53" w:rsidRPr="007D1B53" w:rsidRDefault="007D1B53" w:rsidP="007D1B53">
            <w:r w:rsidRPr="007D1B53">
              <w:t>Age</w:t>
            </w:r>
          </w:p>
        </w:tc>
        <w:tc>
          <w:tcPr>
            <w:tcW w:w="0" w:type="auto"/>
            <w:hideMark/>
          </w:tcPr>
          <w:p w14:paraId="1782A191" w14:textId="77777777" w:rsidR="007D1B53" w:rsidRPr="007D1B53" w:rsidRDefault="007D1B53" w:rsidP="00D22D31">
            <w:pPr>
              <w:jc w:val="right"/>
            </w:pPr>
            <w:r w:rsidRPr="007D1B53">
              <w:t>−0.06</w:t>
            </w:r>
          </w:p>
        </w:tc>
        <w:tc>
          <w:tcPr>
            <w:tcW w:w="0" w:type="auto"/>
            <w:hideMark/>
          </w:tcPr>
          <w:p w14:paraId="097CE9A8" w14:textId="77777777" w:rsidR="007D1B53" w:rsidRPr="007D1B53" w:rsidRDefault="007D1B53" w:rsidP="00D22D31">
            <w:pPr>
              <w:jc w:val="right"/>
            </w:pPr>
            <w:r w:rsidRPr="007D1B53">
              <w:t>−0.22 – 0.11</w:t>
            </w:r>
          </w:p>
        </w:tc>
        <w:tc>
          <w:tcPr>
            <w:tcW w:w="0" w:type="auto"/>
            <w:hideMark/>
          </w:tcPr>
          <w:p w14:paraId="181C8B6E" w14:textId="77777777" w:rsidR="007D1B53" w:rsidRPr="007D1B53" w:rsidRDefault="007D1B53" w:rsidP="00D22D31">
            <w:pPr>
              <w:jc w:val="right"/>
            </w:pPr>
            <w:r w:rsidRPr="007D1B53">
              <w:t>0.49</w:t>
            </w:r>
          </w:p>
        </w:tc>
        <w:tc>
          <w:tcPr>
            <w:tcW w:w="0" w:type="auto"/>
            <w:hideMark/>
          </w:tcPr>
          <w:p w14:paraId="1A1DB3AF" w14:textId="77777777" w:rsidR="007D1B53" w:rsidRPr="007D1B53" w:rsidRDefault="007D1B53" w:rsidP="00D22D31">
            <w:pPr>
              <w:jc w:val="right"/>
            </w:pPr>
            <w:r w:rsidRPr="007D1B53">
              <w:t>−0.06</w:t>
            </w:r>
          </w:p>
        </w:tc>
        <w:tc>
          <w:tcPr>
            <w:tcW w:w="0" w:type="auto"/>
            <w:hideMark/>
          </w:tcPr>
          <w:p w14:paraId="00830750" w14:textId="77777777" w:rsidR="007D1B53" w:rsidRPr="007D1B53" w:rsidRDefault="007D1B53" w:rsidP="00D22D31">
            <w:pPr>
              <w:jc w:val="right"/>
            </w:pPr>
            <w:r w:rsidRPr="007D1B53">
              <w:t>−0.23 – 0.10</w:t>
            </w:r>
          </w:p>
        </w:tc>
        <w:tc>
          <w:tcPr>
            <w:tcW w:w="0" w:type="auto"/>
            <w:hideMark/>
          </w:tcPr>
          <w:p w14:paraId="3DBC2729" w14:textId="77777777" w:rsidR="007D1B53" w:rsidRPr="007D1B53" w:rsidRDefault="007D1B53" w:rsidP="00D22D31">
            <w:pPr>
              <w:jc w:val="right"/>
            </w:pPr>
            <w:r w:rsidRPr="007D1B53">
              <w:t>0.46</w:t>
            </w:r>
          </w:p>
        </w:tc>
      </w:tr>
      <w:tr w:rsidR="007D1B53" w:rsidRPr="007D1B53" w14:paraId="5A67936C" w14:textId="77777777" w:rsidTr="00E12E46">
        <w:tc>
          <w:tcPr>
            <w:tcW w:w="0" w:type="auto"/>
            <w:hideMark/>
          </w:tcPr>
          <w:p w14:paraId="39B9B76E" w14:textId="77777777" w:rsidR="007D1B53" w:rsidRPr="007D1B53" w:rsidRDefault="007D1B53" w:rsidP="007D1B53"/>
        </w:tc>
        <w:tc>
          <w:tcPr>
            <w:tcW w:w="0" w:type="auto"/>
            <w:hideMark/>
          </w:tcPr>
          <w:p w14:paraId="24BECA82" w14:textId="77777777" w:rsidR="007D1B53" w:rsidRPr="007D1B53" w:rsidRDefault="007D1B53" w:rsidP="007D1B53">
            <w:r w:rsidRPr="007D1B53">
              <w:t>Sex</w:t>
            </w:r>
          </w:p>
        </w:tc>
        <w:tc>
          <w:tcPr>
            <w:tcW w:w="0" w:type="auto"/>
            <w:hideMark/>
          </w:tcPr>
          <w:p w14:paraId="466BA502" w14:textId="77777777" w:rsidR="007D1B53" w:rsidRPr="007D1B53" w:rsidRDefault="007D1B53" w:rsidP="00D22D31">
            <w:pPr>
              <w:jc w:val="right"/>
            </w:pPr>
            <w:r w:rsidRPr="007D1B53">
              <w:t>−0.99</w:t>
            </w:r>
          </w:p>
        </w:tc>
        <w:tc>
          <w:tcPr>
            <w:tcW w:w="0" w:type="auto"/>
            <w:hideMark/>
          </w:tcPr>
          <w:p w14:paraId="2AA61804" w14:textId="77777777" w:rsidR="007D1B53" w:rsidRPr="007D1B53" w:rsidRDefault="007D1B53" w:rsidP="00D22D31">
            <w:pPr>
              <w:jc w:val="right"/>
            </w:pPr>
            <w:r w:rsidRPr="007D1B53">
              <w:t>−4.52 – 2.54</w:t>
            </w:r>
          </w:p>
        </w:tc>
        <w:tc>
          <w:tcPr>
            <w:tcW w:w="0" w:type="auto"/>
            <w:hideMark/>
          </w:tcPr>
          <w:p w14:paraId="40F42692" w14:textId="77777777" w:rsidR="007D1B53" w:rsidRPr="007D1B53" w:rsidRDefault="007D1B53" w:rsidP="00D22D31">
            <w:pPr>
              <w:jc w:val="right"/>
            </w:pPr>
            <w:r w:rsidRPr="007D1B53">
              <w:t>0.58</w:t>
            </w:r>
          </w:p>
        </w:tc>
        <w:tc>
          <w:tcPr>
            <w:tcW w:w="0" w:type="auto"/>
            <w:hideMark/>
          </w:tcPr>
          <w:p w14:paraId="71789610" w14:textId="77777777" w:rsidR="007D1B53" w:rsidRPr="007D1B53" w:rsidRDefault="007D1B53" w:rsidP="00D22D31">
            <w:pPr>
              <w:jc w:val="right"/>
            </w:pPr>
            <w:r w:rsidRPr="007D1B53">
              <w:t>−0.73</w:t>
            </w:r>
          </w:p>
        </w:tc>
        <w:tc>
          <w:tcPr>
            <w:tcW w:w="0" w:type="auto"/>
            <w:hideMark/>
          </w:tcPr>
          <w:p w14:paraId="3A21DAA6" w14:textId="77777777" w:rsidR="007D1B53" w:rsidRPr="007D1B53" w:rsidRDefault="007D1B53" w:rsidP="00D22D31">
            <w:pPr>
              <w:jc w:val="right"/>
            </w:pPr>
            <w:r w:rsidRPr="007D1B53">
              <w:t>−4.31 – 2.85</w:t>
            </w:r>
          </w:p>
        </w:tc>
        <w:tc>
          <w:tcPr>
            <w:tcW w:w="0" w:type="auto"/>
            <w:hideMark/>
          </w:tcPr>
          <w:p w14:paraId="3FCDEF71" w14:textId="77777777" w:rsidR="007D1B53" w:rsidRPr="007D1B53" w:rsidRDefault="007D1B53" w:rsidP="00D22D31">
            <w:pPr>
              <w:jc w:val="right"/>
            </w:pPr>
            <w:r w:rsidRPr="007D1B53">
              <w:t>0.68</w:t>
            </w:r>
          </w:p>
        </w:tc>
      </w:tr>
      <w:tr w:rsidR="007D1B53" w:rsidRPr="007D1B53" w14:paraId="0C122F11" w14:textId="77777777" w:rsidTr="00E12E46">
        <w:tc>
          <w:tcPr>
            <w:tcW w:w="0" w:type="auto"/>
            <w:hideMark/>
          </w:tcPr>
          <w:p w14:paraId="528F7A1D" w14:textId="77777777" w:rsidR="007D1B53" w:rsidRPr="007D1B53" w:rsidRDefault="007D1B53" w:rsidP="007D1B53"/>
        </w:tc>
        <w:tc>
          <w:tcPr>
            <w:tcW w:w="0" w:type="auto"/>
            <w:hideMark/>
          </w:tcPr>
          <w:p w14:paraId="654C893E" w14:textId="77777777" w:rsidR="007D1B53" w:rsidRPr="007D1B53" w:rsidRDefault="007D1B53" w:rsidP="007D1B53">
            <w:r w:rsidRPr="007D1B53">
              <w:t>T1 PCL-5</w:t>
            </w:r>
          </w:p>
        </w:tc>
        <w:tc>
          <w:tcPr>
            <w:tcW w:w="0" w:type="auto"/>
            <w:hideMark/>
          </w:tcPr>
          <w:p w14:paraId="443A0024" w14:textId="77777777" w:rsidR="007D1B53" w:rsidRPr="007D1B53" w:rsidRDefault="007D1B53" w:rsidP="00D22D31">
            <w:pPr>
              <w:jc w:val="right"/>
            </w:pPr>
            <w:r w:rsidRPr="007D1B53">
              <w:rPr>
                <w:b/>
                <w:bCs/>
              </w:rPr>
              <w:t>0.25</w:t>
            </w:r>
          </w:p>
        </w:tc>
        <w:tc>
          <w:tcPr>
            <w:tcW w:w="0" w:type="auto"/>
            <w:hideMark/>
          </w:tcPr>
          <w:p w14:paraId="00243F25" w14:textId="77777777" w:rsidR="007D1B53" w:rsidRPr="007D1B53" w:rsidRDefault="007D1B53" w:rsidP="00D22D31">
            <w:pPr>
              <w:jc w:val="right"/>
            </w:pPr>
            <w:r w:rsidRPr="007D1B53">
              <w:rPr>
                <w:b/>
                <w:bCs/>
              </w:rPr>
              <w:t>0.14 – 0.36</w:t>
            </w:r>
          </w:p>
        </w:tc>
        <w:tc>
          <w:tcPr>
            <w:tcW w:w="0" w:type="auto"/>
            <w:hideMark/>
          </w:tcPr>
          <w:p w14:paraId="09972EA9" w14:textId="77777777" w:rsidR="007D1B53" w:rsidRPr="007D1B53" w:rsidRDefault="007D1B53" w:rsidP="00D22D31">
            <w:pPr>
              <w:jc w:val="right"/>
            </w:pPr>
            <w:r w:rsidRPr="007D1B53">
              <w:rPr>
                <w:b/>
                <w:bCs/>
              </w:rPr>
              <w:t>&lt;0.001*</w:t>
            </w:r>
          </w:p>
        </w:tc>
        <w:tc>
          <w:tcPr>
            <w:tcW w:w="0" w:type="auto"/>
            <w:hideMark/>
          </w:tcPr>
          <w:p w14:paraId="07E5B010" w14:textId="77777777" w:rsidR="007D1B53" w:rsidRPr="007D1B53" w:rsidRDefault="007D1B53" w:rsidP="00D22D31">
            <w:pPr>
              <w:jc w:val="right"/>
            </w:pPr>
            <w:r w:rsidRPr="007D1B53">
              <w:rPr>
                <w:b/>
                <w:bCs/>
              </w:rPr>
              <w:t>0.24</w:t>
            </w:r>
          </w:p>
        </w:tc>
        <w:tc>
          <w:tcPr>
            <w:tcW w:w="0" w:type="auto"/>
            <w:hideMark/>
          </w:tcPr>
          <w:p w14:paraId="11A00D2E" w14:textId="77777777" w:rsidR="007D1B53" w:rsidRPr="007D1B53" w:rsidRDefault="007D1B53" w:rsidP="00D22D31">
            <w:pPr>
              <w:jc w:val="right"/>
            </w:pPr>
            <w:r w:rsidRPr="007D1B53">
              <w:rPr>
                <w:b/>
                <w:bCs/>
              </w:rPr>
              <w:t>0.13 – 0.35</w:t>
            </w:r>
          </w:p>
        </w:tc>
        <w:tc>
          <w:tcPr>
            <w:tcW w:w="0" w:type="auto"/>
            <w:hideMark/>
          </w:tcPr>
          <w:p w14:paraId="44264AD9" w14:textId="77777777" w:rsidR="007D1B53" w:rsidRPr="007D1B53" w:rsidRDefault="007D1B53" w:rsidP="00D22D31">
            <w:pPr>
              <w:jc w:val="right"/>
            </w:pPr>
            <w:r w:rsidRPr="007D1B53">
              <w:rPr>
                <w:b/>
                <w:bCs/>
              </w:rPr>
              <w:t>&lt;0.001*</w:t>
            </w:r>
          </w:p>
        </w:tc>
      </w:tr>
      <w:tr w:rsidR="007D1B53" w:rsidRPr="007D1B53" w14:paraId="130D54F1" w14:textId="77777777" w:rsidTr="00E12E46">
        <w:tc>
          <w:tcPr>
            <w:tcW w:w="0" w:type="auto"/>
            <w:hideMark/>
          </w:tcPr>
          <w:p w14:paraId="30A4568D" w14:textId="77777777" w:rsidR="007D1B53" w:rsidRPr="007D1B53" w:rsidRDefault="007D1B53" w:rsidP="007D1B53"/>
        </w:tc>
        <w:tc>
          <w:tcPr>
            <w:tcW w:w="0" w:type="auto"/>
            <w:hideMark/>
          </w:tcPr>
          <w:p w14:paraId="2B991B9E" w14:textId="77777777" w:rsidR="007D1B53" w:rsidRPr="007D1B53" w:rsidRDefault="007D1B53" w:rsidP="007D1B53">
            <w:r w:rsidRPr="007D1B53">
              <w:t>T1 LEC</w:t>
            </w:r>
          </w:p>
        </w:tc>
        <w:tc>
          <w:tcPr>
            <w:tcW w:w="0" w:type="auto"/>
            <w:hideMark/>
          </w:tcPr>
          <w:p w14:paraId="2BC53F50" w14:textId="77777777" w:rsidR="007D1B53" w:rsidRPr="007D1B53" w:rsidRDefault="007D1B53" w:rsidP="00D22D31">
            <w:pPr>
              <w:jc w:val="right"/>
            </w:pPr>
            <w:r w:rsidRPr="007D1B53">
              <w:t>0.01</w:t>
            </w:r>
          </w:p>
        </w:tc>
        <w:tc>
          <w:tcPr>
            <w:tcW w:w="0" w:type="auto"/>
            <w:hideMark/>
          </w:tcPr>
          <w:p w14:paraId="491A9B68" w14:textId="77777777" w:rsidR="007D1B53" w:rsidRPr="007D1B53" w:rsidRDefault="007D1B53" w:rsidP="00D22D31">
            <w:pPr>
              <w:jc w:val="right"/>
            </w:pPr>
            <w:r w:rsidRPr="007D1B53">
              <w:t>−0.10 – 0.12</w:t>
            </w:r>
          </w:p>
        </w:tc>
        <w:tc>
          <w:tcPr>
            <w:tcW w:w="0" w:type="auto"/>
            <w:hideMark/>
          </w:tcPr>
          <w:p w14:paraId="1CC8B93A" w14:textId="77777777" w:rsidR="007D1B53" w:rsidRPr="007D1B53" w:rsidRDefault="007D1B53" w:rsidP="00D22D31">
            <w:pPr>
              <w:jc w:val="right"/>
            </w:pPr>
            <w:r w:rsidRPr="007D1B53">
              <w:t>0.87</w:t>
            </w:r>
          </w:p>
        </w:tc>
        <w:tc>
          <w:tcPr>
            <w:tcW w:w="0" w:type="auto"/>
            <w:hideMark/>
          </w:tcPr>
          <w:p w14:paraId="5B76B4BE" w14:textId="77777777" w:rsidR="007D1B53" w:rsidRPr="007D1B53" w:rsidRDefault="007D1B53" w:rsidP="00D22D31">
            <w:pPr>
              <w:jc w:val="right"/>
            </w:pPr>
            <w:r w:rsidRPr="007D1B53">
              <w:t>0.02</w:t>
            </w:r>
          </w:p>
        </w:tc>
        <w:tc>
          <w:tcPr>
            <w:tcW w:w="0" w:type="auto"/>
            <w:hideMark/>
          </w:tcPr>
          <w:p w14:paraId="7400D295" w14:textId="77777777" w:rsidR="007D1B53" w:rsidRPr="007D1B53" w:rsidRDefault="007D1B53" w:rsidP="00D22D31">
            <w:pPr>
              <w:jc w:val="right"/>
            </w:pPr>
            <w:r w:rsidRPr="007D1B53">
              <w:t>−0.09 – 0.13</w:t>
            </w:r>
          </w:p>
        </w:tc>
        <w:tc>
          <w:tcPr>
            <w:tcW w:w="0" w:type="auto"/>
            <w:hideMark/>
          </w:tcPr>
          <w:p w14:paraId="5E9B9E1B" w14:textId="77777777" w:rsidR="007D1B53" w:rsidRPr="007D1B53" w:rsidRDefault="007D1B53" w:rsidP="00D22D31">
            <w:pPr>
              <w:jc w:val="right"/>
            </w:pPr>
            <w:r w:rsidRPr="007D1B53">
              <w:t>0.65</w:t>
            </w:r>
          </w:p>
        </w:tc>
      </w:tr>
      <w:tr w:rsidR="007D1B53" w:rsidRPr="007D1B53" w14:paraId="1E416982" w14:textId="77777777" w:rsidTr="00E12E46">
        <w:tc>
          <w:tcPr>
            <w:tcW w:w="0" w:type="auto"/>
            <w:hideMark/>
          </w:tcPr>
          <w:p w14:paraId="018060F2" w14:textId="77777777" w:rsidR="007D1B53" w:rsidRPr="007D1B53" w:rsidRDefault="007D1B53" w:rsidP="007D1B53"/>
        </w:tc>
        <w:tc>
          <w:tcPr>
            <w:tcW w:w="0" w:type="auto"/>
            <w:hideMark/>
          </w:tcPr>
          <w:p w14:paraId="3513CAA7" w14:textId="77777777" w:rsidR="007D1B53" w:rsidRPr="007D1B53" w:rsidRDefault="007D1B53" w:rsidP="007D1B53">
            <w:r w:rsidRPr="007D1B53">
              <w:t>T1 translation</w:t>
            </w:r>
          </w:p>
        </w:tc>
        <w:tc>
          <w:tcPr>
            <w:tcW w:w="0" w:type="auto"/>
            <w:hideMark/>
          </w:tcPr>
          <w:p w14:paraId="53523EFC" w14:textId="77777777" w:rsidR="007D1B53" w:rsidRPr="007D1B53" w:rsidRDefault="007D1B53" w:rsidP="00D22D31">
            <w:pPr>
              <w:jc w:val="right"/>
            </w:pPr>
            <w:r w:rsidRPr="007D1B53">
              <w:t>4.34</w:t>
            </w:r>
          </w:p>
        </w:tc>
        <w:tc>
          <w:tcPr>
            <w:tcW w:w="0" w:type="auto"/>
            <w:hideMark/>
          </w:tcPr>
          <w:p w14:paraId="1547387B" w14:textId="77777777" w:rsidR="007D1B53" w:rsidRPr="007D1B53" w:rsidRDefault="007D1B53" w:rsidP="00D22D31">
            <w:pPr>
              <w:jc w:val="right"/>
            </w:pPr>
            <w:r w:rsidRPr="007D1B53">
              <w:t>−1.63 – 10.32</w:t>
            </w:r>
          </w:p>
        </w:tc>
        <w:tc>
          <w:tcPr>
            <w:tcW w:w="0" w:type="auto"/>
            <w:hideMark/>
          </w:tcPr>
          <w:p w14:paraId="684E8A44" w14:textId="77777777" w:rsidR="007D1B53" w:rsidRPr="007D1B53" w:rsidRDefault="007D1B53" w:rsidP="00D22D31">
            <w:pPr>
              <w:jc w:val="right"/>
            </w:pPr>
            <w:r w:rsidRPr="007D1B53">
              <w:t>0.15</w:t>
            </w:r>
          </w:p>
        </w:tc>
        <w:tc>
          <w:tcPr>
            <w:tcW w:w="0" w:type="auto"/>
            <w:hideMark/>
          </w:tcPr>
          <w:p w14:paraId="281B4CC3" w14:textId="77777777" w:rsidR="007D1B53" w:rsidRPr="007D1B53" w:rsidRDefault="007D1B53" w:rsidP="00D22D31">
            <w:pPr>
              <w:jc w:val="right"/>
            </w:pPr>
            <w:r w:rsidRPr="007D1B53">
              <w:t>4.93</w:t>
            </w:r>
          </w:p>
        </w:tc>
        <w:tc>
          <w:tcPr>
            <w:tcW w:w="0" w:type="auto"/>
            <w:hideMark/>
          </w:tcPr>
          <w:p w14:paraId="3A5CAA8F" w14:textId="77777777" w:rsidR="007D1B53" w:rsidRPr="007D1B53" w:rsidRDefault="007D1B53" w:rsidP="00D22D31">
            <w:pPr>
              <w:jc w:val="right"/>
            </w:pPr>
            <w:r w:rsidRPr="007D1B53">
              <w:t>−1.11 – 10.98</w:t>
            </w:r>
          </w:p>
        </w:tc>
        <w:tc>
          <w:tcPr>
            <w:tcW w:w="0" w:type="auto"/>
            <w:hideMark/>
          </w:tcPr>
          <w:p w14:paraId="10080200" w14:textId="77777777" w:rsidR="007D1B53" w:rsidRPr="007D1B53" w:rsidRDefault="007D1B53" w:rsidP="00D22D31">
            <w:pPr>
              <w:jc w:val="right"/>
            </w:pPr>
            <w:r w:rsidRPr="007D1B53">
              <w:t>0.11</w:t>
            </w:r>
          </w:p>
        </w:tc>
      </w:tr>
      <w:tr w:rsidR="007D1B53" w:rsidRPr="007D1B53" w14:paraId="5A4DE40C" w14:textId="77777777" w:rsidTr="00E12E46">
        <w:tc>
          <w:tcPr>
            <w:tcW w:w="0" w:type="auto"/>
            <w:hideMark/>
          </w:tcPr>
          <w:p w14:paraId="4E7959D9" w14:textId="77777777" w:rsidR="007D1B53" w:rsidRPr="007D1B53" w:rsidRDefault="007D1B53" w:rsidP="007D1B53"/>
        </w:tc>
        <w:tc>
          <w:tcPr>
            <w:tcW w:w="0" w:type="auto"/>
            <w:hideMark/>
          </w:tcPr>
          <w:p w14:paraId="2078A776" w14:textId="77777777" w:rsidR="007D1B53" w:rsidRPr="007D1B53" w:rsidRDefault="007D1B53" w:rsidP="007D1B53">
            <w:r w:rsidRPr="007D1B53">
              <w:t>T1 rotation</w:t>
            </w:r>
          </w:p>
        </w:tc>
        <w:tc>
          <w:tcPr>
            <w:tcW w:w="0" w:type="auto"/>
            <w:hideMark/>
          </w:tcPr>
          <w:p w14:paraId="4FBD143C" w14:textId="77777777" w:rsidR="007D1B53" w:rsidRPr="007D1B53" w:rsidRDefault="007D1B53" w:rsidP="00D22D31">
            <w:pPr>
              <w:jc w:val="right"/>
            </w:pPr>
            <w:r w:rsidRPr="007D1B53">
              <w:t>−771.95</w:t>
            </w:r>
          </w:p>
        </w:tc>
        <w:tc>
          <w:tcPr>
            <w:tcW w:w="0" w:type="auto"/>
            <w:hideMark/>
          </w:tcPr>
          <w:p w14:paraId="23BE2EBF" w14:textId="77777777" w:rsidR="007D1B53" w:rsidRPr="007D1B53" w:rsidRDefault="007D1B53" w:rsidP="00D22D31">
            <w:pPr>
              <w:jc w:val="right"/>
            </w:pPr>
            <w:r w:rsidRPr="007D1B53">
              <w:t>−1607.28 – 63.37</w:t>
            </w:r>
          </w:p>
        </w:tc>
        <w:tc>
          <w:tcPr>
            <w:tcW w:w="0" w:type="auto"/>
            <w:hideMark/>
          </w:tcPr>
          <w:p w14:paraId="52140CE8" w14:textId="77777777" w:rsidR="007D1B53" w:rsidRPr="007D1B53" w:rsidRDefault="007D1B53" w:rsidP="00D22D31">
            <w:pPr>
              <w:jc w:val="right"/>
            </w:pPr>
            <w:r w:rsidRPr="007D1B53">
              <w:t>0.07</w:t>
            </w:r>
          </w:p>
        </w:tc>
        <w:tc>
          <w:tcPr>
            <w:tcW w:w="0" w:type="auto"/>
            <w:hideMark/>
          </w:tcPr>
          <w:p w14:paraId="664010F9" w14:textId="77777777" w:rsidR="007D1B53" w:rsidRPr="007D1B53" w:rsidRDefault="007D1B53" w:rsidP="00D22D31">
            <w:pPr>
              <w:jc w:val="right"/>
            </w:pPr>
            <w:r w:rsidRPr="007D1B53">
              <w:t>−812.71</w:t>
            </w:r>
          </w:p>
        </w:tc>
        <w:tc>
          <w:tcPr>
            <w:tcW w:w="0" w:type="auto"/>
            <w:hideMark/>
          </w:tcPr>
          <w:p w14:paraId="42D8017D" w14:textId="77777777" w:rsidR="007D1B53" w:rsidRPr="007D1B53" w:rsidRDefault="007D1B53" w:rsidP="00D22D31">
            <w:pPr>
              <w:jc w:val="right"/>
            </w:pPr>
            <w:r w:rsidRPr="007D1B53">
              <w:t>−1659.03 – 33.61</w:t>
            </w:r>
          </w:p>
        </w:tc>
        <w:tc>
          <w:tcPr>
            <w:tcW w:w="0" w:type="auto"/>
            <w:hideMark/>
          </w:tcPr>
          <w:p w14:paraId="73BDFADD" w14:textId="77777777" w:rsidR="007D1B53" w:rsidRPr="007D1B53" w:rsidRDefault="007D1B53" w:rsidP="00D22D31">
            <w:pPr>
              <w:jc w:val="right"/>
            </w:pPr>
            <w:r w:rsidRPr="007D1B53">
              <w:t>0.066</w:t>
            </w:r>
          </w:p>
        </w:tc>
      </w:tr>
      <w:tr w:rsidR="007D1B53" w:rsidRPr="007D1B53" w14:paraId="5E7F02AF" w14:textId="77777777" w:rsidTr="00E12E46">
        <w:tc>
          <w:tcPr>
            <w:tcW w:w="0" w:type="auto"/>
            <w:hideMark/>
          </w:tcPr>
          <w:p w14:paraId="7932929F" w14:textId="77777777" w:rsidR="007D1B53" w:rsidRPr="007D1B53" w:rsidRDefault="007D1B53" w:rsidP="007D1B53">
            <w:r w:rsidRPr="007D1B53">
              <w:t>Posterior cingulum</w:t>
            </w:r>
          </w:p>
        </w:tc>
        <w:tc>
          <w:tcPr>
            <w:tcW w:w="0" w:type="auto"/>
            <w:hideMark/>
          </w:tcPr>
          <w:p w14:paraId="242FDE0A" w14:textId="77777777" w:rsidR="007D1B53" w:rsidRPr="007D1B53" w:rsidRDefault="007D1B53" w:rsidP="007D1B53">
            <w:r w:rsidRPr="007D1B53">
              <w:t>Intercept</w:t>
            </w:r>
          </w:p>
        </w:tc>
        <w:tc>
          <w:tcPr>
            <w:tcW w:w="0" w:type="auto"/>
            <w:hideMark/>
          </w:tcPr>
          <w:p w14:paraId="5B65FE46" w14:textId="77777777" w:rsidR="007D1B53" w:rsidRPr="007D1B53" w:rsidRDefault="007D1B53" w:rsidP="00D22D31">
            <w:pPr>
              <w:jc w:val="right"/>
            </w:pPr>
            <w:r w:rsidRPr="007D1B53">
              <w:t>−5.57</w:t>
            </w:r>
          </w:p>
        </w:tc>
        <w:tc>
          <w:tcPr>
            <w:tcW w:w="0" w:type="auto"/>
            <w:hideMark/>
          </w:tcPr>
          <w:p w14:paraId="72D898B2" w14:textId="77777777" w:rsidR="007D1B53" w:rsidRPr="007D1B53" w:rsidRDefault="007D1B53" w:rsidP="00D22D31">
            <w:pPr>
              <w:jc w:val="right"/>
            </w:pPr>
            <w:r w:rsidRPr="007D1B53">
              <w:t>−27.34 – 16.19</w:t>
            </w:r>
          </w:p>
        </w:tc>
        <w:tc>
          <w:tcPr>
            <w:tcW w:w="0" w:type="auto"/>
            <w:hideMark/>
          </w:tcPr>
          <w:p w14:paraId="7A66D9A0" w14:textId="77777777" w:rsidR="007D1B53" w:rsidRPr="007D1B53" w:rsidRDefault="007D1B53" w:rsidP="00D22D31">
            <w:pPr>
              <w:jc w:val="right"/>
            </w:pPr>
            <w:r w:rsidRPr="007D1B53">
              <w:t>0.61</w:t>
            </w:r>
          </w:p>
        </w:tc>
        <w:tc>
          <w:tcPr>
            <w:tcW w:w="0" w:type="auto"/>
            <w:hideMark/>
          </w:tcPr>
          <w:p w14:paraId="56B7BDCB" w14:textId="77777777" w:rsidR="007D1B53" w:rsidRPr="007D1B53" w:rsidRDefault="007D1B53" w:rsidP="00D22D31">
            <w:pPr>
              <w:jc w:val="right"/>
            </w:pPr>
            <w:r w:rsidRPr="007D1B53">
              <w:t>−3.32</w:t>
            </w:r>
          </w:p>
        </w:tc>
        <w:tc>
          <w:tcPr>
            <w:tcW w:w="0" w:type="auto"/>
            <w:hideMark/>
          </w:tcPr>
          <w:p w14:paraId="61F8F986" w14:textId="77777777" w:rsidR="007D1B53" w:rsidRPr="007D1B53" w:rsidRDefault="007D1B53" w:rsidP="00D22D31">
            <w:pPr>
              <w:jc w:val="right"/>
            </w:pPr>
            <w:r w:rsidRPr="007D1B53">
              <w:t>−28.27 – 21.64</w:t>
            </w:r>
          </w:p>
        </w:tc>
        <w:tc>
          <w:tcPr>
            <w:tcW w:w="0" w:type="auto"/>
            <w:hideMark/>
          </w:tcPr>
          <w:p w14:paraId="27896F49" w14:textId="77777777" w:rsidR="007D1B53" w:rsidRPr="007D1B53" w:rsidRDefault="007D1B53" w:rsidP="00D22D31">
            <w:pPr>
              <w:jc w:val="right"/>
            </w:pPr>
            <w:r w:rsidRPr="007D1B53">
              <w:t>0.79</w:t>
            </w:r>
          </w:p>
        </w:tc>
      </w:tr>
      <w:tr w:rsidR="007D1B53" w:rsidRPr="007D1B53" w14:paraId="31E9F15A" w14:textId="77777777" w:rsidTr="00E12E46">
        <w:tc>
          <w:tcPr>
            <w:tcW w:w="0" w:type="auto"/>
            <w:hideMark/>
          </w:tcPr>
          <w:p w14:paraId="4996D222" w14:textId="77777777" w:rsidR="007D1B53" w:rsidRPr="007D1B53" w:rsidRDefault="007D1B53" w:rsidP="007D1B53"/>
        </w:tc>
        <w:tc>
          <w:tcPr>
            <w:tcW w:w="0" w:type="auto"/>
            <w:hideMark/>
          </w:tcPr>
          <w:p w14:paraId="3A084508" w14:textId="77777777" w:rsidR="007D1B53" w:rsidRPr="007D1B53" w:rsidRDefault="007D1B53" w:rsidP="007D1B53">
            <w:r w:rsidRPr="007D1B53">
              <w:t>FA</w:t>
            </w:r>
          </w:p>
        </w:tc>
        <w:tc>
          <w:tcPr>
            <w:tcW w:w="0" w:type="auto"/>
            <w:hideMark/>
          </w:tcPr>
          <w:p w14:paraId="6A4D2636" w14:textId="77777777" w:rsidR="007D1B53" w:rsidRPr="007D1B53" w:rsidRDefault="007D1B53" w:rsidP="00D22D31">
            <w:pPr>
              <w:jc w:val="right"/>
            </w:pPr>
            <w:r w:rsidRPr="007D1B53">
              <w:t>16.07</w:t>
            </w:r>
          </w:p>
        </w:tc>
        <w:tc>
          <w:tcPr>
            <w:tcW w:w="0" w:type="auto"/>
            <w:hideMark/>
          </w:tcPr>
          <w:p w14:paraId="2CBFCB72" w14:textId="77777777" w:rsidR="007D1B53" w:rsidRPr="007D1B53" w:rsidRDefault="007D1B53" w:rsidP="00D22D31">
            <w:pPr>
              <w:jc w:val="right"/>
            </w:pPr>
            <w:r w:rsidRPr="007D1B53">
              <w:t>−31.67 – 63.81</w:t>
            </w:r>
          </w:p>
        </w:tc>
        <w:tc>
          <w:tcPr>
            <w:tcW w:w="0" w:type="auto"/>
            <w:hideMark/>
          </w:tcPr>
          <w:p w14:paraId="54ECA87C" w14:textId="77777777" w:rsidR="007D1B53" w:rsidRPr="007D1B53" w:rsidRDefault="007D1B53" w:rsidP="00D22D31">
            <w:pPr>
              <w:jc w:val="right"/>
            </w:pPr>
            <w:r w:rsidRPr="007D1B53">
              <w:t>0.51</w:t>
            </w:r>
          </w:p>
        </w:tc>
        <w:tc>
          <w:tcPr>
            <w:tcW w:w="0" w:type="auto"/>
            <w:hideMark/>
          </w:tcPr>
          <w:p w14:paraId="16086F3F" w14:textId="77777777" w:rsidR="007D1B53" w:rsidRPr="007D1B53" w:rsidRDefault="007D1B53" w:rsidP="00D22D31">
            <w:pPr>
              <w:jc w:val="right"/>
            </w:pPr>
            <w:r w:rsidRPr="007D1B53">
              <w:t>16.37</w:t>
            </w:r>
          </w:p>
        </w:tc>
        <w:tc>
          <w:tcPr>
            <w:tcW w:w="0" w:type="auto"/>
            <w:hideMark/>
          </w:tcPr>
          <w:p w14:paraId="5CA08154" w14:textId="77777777" w:rsidR="007D1B53" w:rsidRPr="007D1B53" w:rsidRDefault="007D1B53" w:rsidP="00D22D31">
            <w:pPr>
              <w:jc w:val="right"/>
            </w:pPr>
            <w:r w:rsidRPr="007D1B53">
              <w:t>−34.76 – 67.49</w:t>
            </w:r>
          </w:p>
        </w:tc>
        <w:tc>
          <w:tcPr>
            <w:tcW w:w="0" w:type="auto"/>
            <w:hideMark/>
          </w:tcPr>
          <w:p w14:paraId="148E4B42" w14:textId="77777777" w:rsidR="007D1B53" w:rsidRPr="007D1B53" w:rsidRDefault="007D1B53" w:rsidP="00D22D31">
            <w:pPr>
              <w:jc w:val="right"/>
            </w:pPr>
            <w:r w:rsidRPr="007D1B53">
              <w:t>0.53</w:t>
            </w:r>
          </w:p>
        </w:tc>
      </w:tr>
      <w:tr w:rsidR="007D1B53" w:rsidRPr="007D1B53" w14:paraId="0FDB89DD" w14:textId="77777777" w:rsidTr="00E12E46">
        <w:tc>
          <w:tcPr>
            <w:tcW w:w="0" w:type="auto"/>
            <w:hideMark/>
          </w:tcPr>
          <w:p w14:paraId="76DCE362" w14:textId="77777777" w:rsidR="007D1B53" w:rsidRPr="007D1B53" w:rsidRDefault="007D1B53" w:rsidP="007D1B53"/>
        </w:tc>
        <w:tc>
          <w:tcPr>
            <w:tcW w:w="0" w:type="auto"/>
            <w:hideMark/>
          </w:tcPr>
          <w:p w14:paraId="130C10B4" w14:textId="77777777" w:rsidR="007D1B53" w:rsidRPr="007D1B53" w:rsidRDefault="007D1B53" w:rsidP="007D1B53">
            <w:r w:rsidRPr="007D1B53">
              <w:t>Age</w:t>
            </w:r>
          </w:p>
        </w:tc>
        <w:tc>
          <w:tcPr>
            <w:tcW w:w="0" w:type="auto"/>
            <w:hideMark/>
          </w:tcPr>
          <w:p w14:paraId="50E984A8" w14:textId="77777777" w:rsidR="007D1B53" w:rsidRPr="007D1B53" w:rsidRDefault="007D1B53" w:rsidP="00D22D31">
            <w:pPr>
              <w:jc w:val="right"/>
            </w:pPr>
            <w:r w:rsidRPr="007D1B53">
              <w:t>−0.01</w:t>
            </w:r>
          </w:p>
        </w:tc>
        <w:tc>
          <w:tcPr>
            <w:tcW w:w="0" w:type="auto"/>
            <w:hideMark/>
          </w:tcPr>
          <w:p w14:paraId="299314DF" w14:textId="77777777" w:rsidR="007D1B53" w:rsidRPr="007D1B53" w:rsidRDefault="007D1B53" w:rsidP="00D22D31">
            <w:pPr>
              <w:jc w:val="right"/>
            </w:pPr>
            <w:r w:rsidRPr="007D1B53">
              <w:t>−0.20 – 0.19</w:t>
            </w:r>
          </w:p>
        </w:tc>
        <w:tc>
          <w:tcPr>
            <w:tcW w:w="0" w:type="auto"/>
            <w:hideMark/>
          </w:tcPr>
          <w:p w14:paraId="0A9481D0" w14:textId="77777777" w:rsidR="007D1B53" w:rsidRPr="007D1B53" w:rsidRDefault="007D1B53" w:rsidP="00D22D31">
            <w:pPr>
              <w:jc w:val="right"/>
            </w:pPr>
            <w:r w:rsidRPr="007D1B53">
              <w:t>0.94</w:t>
            </w:r>
          </w:p>
        </w:tc>
        <w:tc>
          <w:tcPr>
            <w:tcW w:w="0" w:type="auto"/>
            <w:hideMark/>
          </w:tcPr>
          <w:p w14:paraId="7E44B105" w14:textId="77777777" w:rsidR="007D1B53" w:rsidRPr="007D1B53" w:rsidRDefault="007D1B53" w:rsidP="00D22D31">
            <w:pPr>
              <w:jc w:val="right"/>
            </w:pPr>
            <w:r w:rsidRPr="007D1B53">
              <w:t>−0.01</w:t>
            </w:r>
          </w:p>
        </w:tc>
        <w:tc>
          <w:tcPr>
            <w:tcW w:w="0" w:type="auto"/>
            <w:hideMark/>
          </w:tcPr>
          <w:p w14:paraId="2C481051" w14:textId="77777777" w:rsidR="007D1B53" w:rsidRPr="007D1B53" w:rsidRDefault="007D1B53" w:rsidP="00D22D31">
            <w:pPr>
              <w:jc w:val="right"/>
            </w:pPr>
            <w:r w:rsidRPr="007D1B53">
              <w:t>−0.23 – 0.22</w:t>
            </w:r>
          </w:p>
        </w:tc>
        <w:tc>
          <w:tcPr>
            <w:tcW w:w="0" w:type="auto"/>
            <w:hideMark/>
          </w:tcPr>
          <w:p w14:paraId="63A6C4DF" w14:textId="77777777" w:rsidR="007D1B53" w:rsidRPr="007D1B53" w:rsidRDefault="007D1B53" w:rsidP="00D22D31">
            <w:pPr>
              <w:jc w:val="right"/>
            </w:pPr>
            <w:r w:rsidRPr="007D1B53">
              <w:t>0.94</w:t>
            </w:r>
          </w:p>
        </w:tc>
      </w:tr>
      <w:tr w:rsidR="007D1B53" w:rsidRPr="007D1B53" w14:paraId="66CE170A" w14:textId="77777777" w:rsidTr="00E12E46">
        <w:tc>
          <w:tcPr>
            <w:tcW w:w="0" w:type="auto"/>
            <w:hideMark/>
          </w:tcPr>
          <w:p w14:paraId="74449782" w14:textId="77777777" w:rsidR="007D1B53" w:rsidRPr="007D1B53" w:rsidRDefault="007D1B53" w:rsidP="007D1B53"/>
        </w:tc>
        <w:tc>
          <w:tcPr>
            <w:tcW w:w="0" w:type="auto"/>
            <w:hideMark/>
          </w:tcPr>
          <w:p w14:paraId="06754739" w14:textId="77777777" w:rsidR="007D1B53" w:rsidRPr="007D1B53" w:rsidRDefault="007D1B53" w:rsidP="007D1B53">
            <w:r w:rsidRPr="007D1B53">
              <w:t>Sex</w:t>
            </w:r>
          </w:p>
        </w:tc>
        <w:tc>
          <w:tcPr>
            <w:tcW w:w="0" w:type="auto"/>
            <w:hideMark/>
          </w:tcPr>
          <w:p w14:paraId="5C3A05E2" w14:textId="77777777" w:rsidR="007D1B53" w:rsidRPr="007D1B53" w:rsidRDefault="007D1B53" w:rsidP="00D22D31">
            <w:pPr>
              <w:jc w:val="right"/>
            </w:pPr>
            <w:r w:rsidRPr="007D1B53">
              <w:t>0.01</w:t>
            </w:r>
          </w:p>
        </w:tc>
        <w:tc>
          <w:tcPr>
            <w:tcW w:w="0" w:type="auto"/>
            <w:hideMark/>
          </w:tcPr>
          <w:p w14:paraId="3900A770" w14:textId="77777777" w:rsidR="007D1B53" w:rsidRPr="007D1B53" w:rsidRDefault="007D1B53" w:rsidP="00D22D31">
            <w:pPr>
              <w:jc w:val="right"/>
            </w:pPr>
            <w:r w:rsidRPr="007D1B53">
              <w:t>−4.07 – 4.10</w:t>
            </w:r>
          </w:p>
        </w:tc>
        <w:tc>
          <w:tcPr>
            <w:tcW w:w="0" w:type="auto"/>
            <w:hideMark/>
          </w:tcPr>
          <w:p w14:paraId="69244296" w14:textId="77777777" w:rsidR="007D1B53" w:rsidRPr="007D1B53" w:rsidRDefault="007D1B53" w:rsidP="00D22D31">
            <w:pPr>
              <w:jc w:val="right"/>
            </w:pPr>
            <w:r w:rsidRPr="007D1B53">
              <w:t>0.99</w:t>
            </w:r>
          </w:p>
        </w:tc>
        <w:tc>
          <w:tcPr>
            <w:tcW w:w="0" w:type="auto"/>
            <w:hideMark/>
          </w:tcPr>
          <w:p w14:paraId="2F1B5899" w14:textId="77777777" w:rsidR="007D1B53" w:rsidRPr="007D1B53" w:rsidRDefault="007D1B53" w:rsidP="00D22D31">
            <w:pPr>
              <w:jc w:val="right"/>
            </w:pPr>
            <w:r w:rsidRPr="007D1B53">
              <w:t>−1.41</w:t>
            </w:r>
          </w:p>
        </w:tc>
        <w:tc>
          <w:tcPr>
            <w:tcW w:w="0" w:type="auto"/>
            <w:hideMark/>
          </w:tcPr>
          <w:p w14:paraId="4722B2D5" w14:textId="77777777" w:rsidR="007D1B53" w:rsidRPr="007D1B53" w:rsidRDefault="007D1B53" w:rsidP="00D22D31">
            <w:pPr>
              <w:jc w:val="right"/>
            </w:pPr>
            <w:r w:rsidRPr="007D1B53">
              <w:t>−6.02 – 3.20</w:t>
            </w:r>
          </w:p>
        </w:tc>
        <w:tc>
          <w:tcPr>
            <w:tcW w:w="0" w:type="auto"/>
            <w:hideMark/>
          </w:tcPr>
          <w:p w14:paraId="193379A3" w14:textId="77777777" w:rsidR="007D1B53" w:rsidRPr="007D1B53" w:rsidRDefault="007D1B53" w:rsidP="00D22D31">
            <w:pPr>
              <w:jc w:val="right"/>
            </w:pPr>
            <w:r w:rsidRPr="007D1B53">
              <w:t>0.55</w:t>
            </w:r>
          </w:p>
        </w:tc>
      </w:tr>
      <w:tr w:rsidR="007D1B53" w:rsidRPr="007D1B53" w14:paraId="5F6F64A8" w14:textId="77777777" w:rsidTr="00E12E46">
        <w:tc>
          <w:tcPr>
            <w:tcW w:w="0" w:type="auto"/>
            <w:hideMark/>
          </w:tcPr>
          <w:p w14:paraId="0B56B6A6" w14:textId="77777777" w:rsidR="007D1B53" w:rsidRPr="007D1B53" w:rsidRDefault="007D1B53" w:rsidP="007D1B53"/>
        </w:tc>
        <w:tc>
          <w:tcPr>
            <w:tcW w:w="0" w:type="auto"/>
            <w:hideMark/>
          </w:tcPr>
          <w:p w14:paraId="18A9B3E2" w14:textId="77777777" w:rsidR="007D1B53" w:rsidRPr="007D1B53" w:rsidRDefault="007D1B53" w:rsidP="007D1B53">
            <w:r w:rsidRPr="007D1B53">
              <w:t>T1 PCL-5</w:t>
            </w:r>
          </w:p>
        </w:tc>
        <w:tc>
          <w:tcPr>
            <w:tcW w:w="0" w:type="auto"/>
            <w:hideMark/>
          </w:tcPr>
          <w:p w14:paraId="416693B5" w14:textId="77777777" w:rsidR="007D1B53" w:rsidRPr="007D1B53" w:rsidRDefault="007D1B53" w:rsidP="00D22D31">
            <w:pPr>
              <w:jc w:val="right"/>
            </w:pPr>
            <w:r w:rsidRPr="007D1B53">
              <w:rPr>
                <w:b/>
                <w:bCs/>
              </w:rPr>
              <w:t>0.24</w:t>
            </w:r>
          </w:p>
        </w:tc>
        <w:tc>
          <w:tcPr>
            <w:tcW w:w="0" w:type="auto"/>
            <w:hideMark/>
          </w:tcPr>
          <w:p w14:paraId="173D5FD9" w14:textId="77777777" w:rsidR="007D1B53" w:rsidRPr="007D1B53" w:rsidRDefault="007D1B53" w:rsidP="00D22D31">
            <w:pPr>
              <w:jc w:val="right"/>
            </w:pPr>
            <w:r w:rsidRPr="007D1B53">
              <w:rPr>
                <w:b/>
                <w:bCs/>
              </w:rPr>
              <w:t>0.12 – 0.37</w:t>
            </w:r>
          </w:p>
        </w:tc>
        <w:tc>
          <w:tcPr>
            <w:tcW w:w="0" w:type="auto"/>
            <w:hideMark/>
          </w:tcPr>
          <w:p w14:paraId="2892BA30" w14:textId="77777777" w:rsidR="007D1B53" w:rsidRPr="007D1B53" w:rsidRDefault="007D1B53" w:rsidP="00D22D31">
            <w:pPr>
              <w:jc w:val="right"/>
            </w:pPr>
            <w:r w:rsidRPr="007D1B53">
              <w:rPr>
                <w:b/>
                <w:bCs/>
              </w:rPr>
              <w:t>&lt;0.001*</w:t>
            </w:r>
          </w:p>
        </w:tc>
        <w:tc>
          <w:tcPr>
            <w:tcW w:w="0" w:type="auto"/>
            <w:hideMark/>
          </w:tcPr>
          <w:p w14:paraId="1FFD7950" w14:textId="77777777" w:rsidR="007D1B53" w:rsidRPr="007D1B53" w:rsidRDefault="007D1B53" w:rsidP="00D22D31">
            <w:pPr>
              <w:jc w:val="right"/>
            </w:pPr>
            <w:r w:rsidRPr="007D1B53">
              <w:rPr>
                <w:b/>
                <w:bCs/>
              </w:rPr>
              <w:t>0.26</w:t>
            </w:r>
          </w:p>
        </w:tc>
        <w:tc>
          <w:tcPr>
            <w:tcW w:w="0" w:type="auto"/>
            <w:hideMark/>
          </w:tcPr>
          <w:p w14:paraId="5A23BC8A" w14:textId="77777777" w:rsidR="007D1B53" w:rsidRPr="007D1B53" w:rsidRDefault="007D1B53" w:rsidP="00D22D31">
            <w:pPr>
              <w:jc w:val="right"/>
            </w:pPr>
            <w:r w:rsidRPr="007D1B53">
              <w:rPr>
                <w:b/>
                <w:bCs/>
              </w:rPr>
              <w:t>0.13 – 0.39</w:t>
            </w:r>
          </w:p>
        </w:tc>
        <w:tc>
          <w:tcPr>
            <w:tcW w:w="0" w:type="auto"/>
            <w:hideMark/>
          </w:tcPr>
          <w:p w14:paraId="2804E91A" w14:textId="77777777" w:rsidR="007D1B53" w:rsidRPr="007D1B53" w:rsidRDefault="007D1B53" w:rsidP="00D22D31">
            <w:pPr>
              <w:jc w:val="right"/>
            </w:pPr>
            <w:r w:rsidRPr="007D1B53">
              <w:rPr>
                <w:b/>
                <w:bCs/>
              </w:rPr>
              <w:t>&lt;0.001*</w:t>
            </w:r>
          </w:p>
        </w:tc>
      </w:tr>
      <w:tr w:rsidR="007D1B53" w:rsidRPr="007D1B53" w14:paraId="23AC9F22" w14:textId="77777777" w:rsidTr="00E12E46">
        <w:tc>
          <w:tcPr>
            <w:tcW w:w="0" w:type="auto"/>
            <w:hideMark/>
          </w:tcPr>
          <w:p w14:paraId="4F75758B" w14:textId="77777777" w:rsidR="007D1B53" w:rsidRPr="007D1B53" w:rsidRDefault="007D1B53" w:rsidP="007D1B53"/>
        </w:tc>
        <w:tc>
          <w:tcPr>
            <w:tcW w:w="0" w:type="auto"/>
            <w:hideMark/>
          </w:tcPr>
          <w:p w14:paraId="682B40A4" w14:textId="77777777" w:rsidR="007D1B53" w:rsidRPr="007D1B53" w:rsidRDefault="007D1B53" w:rsidP="007D1B53">
            <w:r w:rsidRPr="007D1B53">
              <w:t>T1 LEC</w:t>
            </w:r>
          </w:p>
        </w:tc>
        <w:tc>
          <w:tcPr>
            <w:tcW w:w="0" w:type="auto"/>
            <w:hideMark/>
          </w:tcPr>
          <w:p w14:paraId="5E5BCA0A" w14:textId="77777777" w:rsidR="007D1B53" w:rsidRPr="007D1B53" w:rsidRDefault="007D1B53" w:rsidP="00D22D31">
            <w:pPr>
              <w:jc w:val="right"/>
            </w:pPr>
            <w:r w:rsidRPr="007D1B53">
              <w:t>0.08</w:t>
            </w:r>
          </w:p>
        </w:tc>
        <w:tc>
          <w:tcPr>
            <w:tcW w:w="0" w:type="auto"/>
            <w:hideMark/>
          </w:tcPr>
          <w:p w14:paraId="0262C225" w14:textId="77777777" w:rsidR="007D1B53" w:rsidRPr="007D1B53" w:rsidRDefault="007D1B53" w:rsidP="00D22D31">
            <w:pPr>
              <w:jc w:val="right"/>
            </w:pPr>
            <w:r w:rsidRPr="007D1B53">
              <w:t>−0.05 – 0.20</w:t>
            </w:r>
          </w:p>
        </w:tc>
        <w:tc>
          <w:tcPr>
            <w:tcW w:w="0" w:type="auto"/>
            <w:hideMark/>
          </w:tcPr>
          <w:p w14:paraId="21BEB71F" w14:textId="77777777" w:rsidR="007D1B53" w:rsidRPr="007D1B53" w:rsidRDefault="007D1B53" w:rsidP="00D22D31">
            <w:pPr>
              <w:jc w:val="right"/>
            </w:pPr>
            <w:r w:rsidRPr="007D1B53">
              <w:t>0.22</w:t>
            </w:r>
          </w:p>
        </w:tc>
        <w:tc>
          <w:tcPr>
            <w:tcW w:w="0" w:type="auto"/>
            <w:hideMark/>
          </w:tcPr>
          <w:p w14:paraId="2C83E427" w14:textId="77777777" w:rsidR="007D1B53" w:rsidRPr="007D1B53" w:rsidRDefault="007D1B53" w:rsidP="00D22D31">
            <w:pPr>
              <w:jc w:val="right"/>
            </w:pPr>
            <w:r w:rsidRPr="007D1B53">
              <w:t>0.04</w:t>
            </w:r>
          </w:p>
        </w:tc>
        <w:tc>
          <w:tcPr>
            <w:tcW w:w="0" w:type="auto"/>
            <w:hideMark/>
          </w:tcPr>
          <w:p w14:paraId="5AD46603" w14:textId="77777777" w:rsidR="007D1B53" w:rsidRPr="007D1B53" w:rsidRDefault="007D1B53" w:rsidP="00D22D31">
            <w:pPr>
              <w:jc w:val="right"/>
            </w:pPr>
            <w:r w:rsidRPr="007D1B53">
              <w:t>−0.10 – 0.18</w:t>
            </w:r>
          </w:p>
        </w:tc>
        <w:tc>
          <w:tcPr>
            <w:tcW w:w="0" w:type="auto"/>
            <w:hideMark/>
          </w:tcPr>
          <w:p w14:paraId="215A639F" w14:textId="77777777" w:rsidR="007D1B53" w:rsidRPr="007D1B53" w:rsidRDefault="007D1B53" w:rsidP="00D22D31">
            <w:pPr>
              <w:jc w:val="right"/>
            </w:pPr>
            <w:r w:rsidRPr="007D1B53">
              <w:t>0.57</w:t>
            </w:r>
          </w:p>
        </w:tc>
      </w:tr>
      <w:tr w:rsidR="007D1B53" w:rsidRPr="007D1B53" w14:paraId="35094D77" w14:textId="77777777" w:rsidTr="00E12E46">
        <w:tc>
          <w:tcPr>
            <w:tcW w:w="0" w:type="auto"/>
            <w:hideMark/>
          </w:tcPr>
          <w:p w14:paraId="3061A30F" w14:textId="77777777" w:rsidR="007D1B53" w:rsidRPr="007D1B53" w:rsidRDefault="007D1B53" w:rsidP="007D1B53"/>
        </w:tc>
        <w:tc>
          <w:tcPr>
            <w:tcW w:w="0" w:type="auto"/>
            <w:hideMark/>
          </w:tcPr>
          <w:p w14:paraId="2CB949C5" w14:textId="77777777" w:rsidR="007D1B53" w:rsidRPr="007D1B53" w:rsidRDefault="007D1B53" w:rsidP="007D1B53">
            <w:r w:rsidRPr="007D1B53">
              <w:t>T1 translation</w:t>
            </w:r>
          </w:p>
        </w:tc>
        <w:tc>
          <w:tcPr>
            <w:tcW w:w="0" w:type="auto"/>
            <w:hideMark/>
          </w:tcPr>
          <w:p w14:paraId="5B4FE3CE" w14:textId="77777777" w:rsidR="007D1B53" w:rsidRPr="007D1B53" w:rsidRDefault="007D1B53" w:rsidP="00D22D31">
            <w:pPr>
              <w:jc w:val="right"/>
            </w:pPr>
            <w:r w:rsidRPr="007D1B53">
              <w:t>5.55</w:t>
            </w:r>
          </w:p>
        </w:tc>
        <w:tc>
          <w:tcPr>
            <w:tcW w:w="0" w:type="auto"/>
            <w:hideMark/>
          </w:tcPr>
          <w:p w14:paraId="22E33C7D" w14:textId="77777777" w:rsidR="007D1B53" w:rsidRPr="007D1B53" w:rsidRDefault="007D1B53" w:rsidP="00D22D31">
            <w:pPr>
              <w:jc w:val="right"/>
            </w:pPr>
            <w:r w:rsidRPr="007D1B53">
              <w:t>−1.92 – 13.01</w:t>
            </w:r>
          </w:p>
        </w:tc>
        <w:tc>
          <w:tcPr>
            <w:tcW w:w="0" w:type="auto"/>
            <w:hideMark/>
          </w:tcPr>
          <w:p w14:paraId="02945B69" w14:textId="77777777" w:rsidR="007D1B53" w:rsidRPr="007D1B53" w:rsidRDefault="007D1B53" w:rsidP="00D22D31">
            <w:pPr>
              <w:jc w:val="right"/>
            </w:pPr>
            <w:r w:rsidRPr="007D1B53">
              <w:t>0.14</w:t>
            </w:r>
          </w:p>
        </w:tc>
        <w:tc>
          <w:tcPr>
            <w:tcW w:w="0" w:type="auto"/>
            <w:hideMark/>
          </w:tcPr>
          <w:p w14:paraId="10837003" w14:textId="77777777" w:rsidR="007D1B53" w:rsidRPr="007D1B53" w:rsidRDefault="007D1B53" w:rsidP="00D22D31">
            <w:pPr>
              <w:jc w:val="right"/>
            </w:pPr>
            <w:r w:rsidRPr="007D1B53">
              <w:t>6.21</w:t>
            </w:r>
          </w:p>
        </w:tc>
        <w:tc>
          <w:tcPr>
            <w:tcW w:w="0" w:type="auto"/>
            <w:hideMark/>
          </w:tcPr>
          <w:p w14:paraId="1D6CE4A8" w14:textId="77777777" w:rsidR="007D1B53" w:rsidRPr="007D1B53" w:rsidRDefault="007D1B53" w:rsidP="00D22D31">
            <w:pPr>
              <w:jc w:val="right"/>
            </w:pPr>
            <w:r w:rsidRPr="007D1B53">
              <w:t>−1.35 – 13.77</w:t>
            </w:r>
          </w:p>
        </w:tc>
        <w:tc>
          <w:tcPr>
            <w:tcW w:w="0" w:type="auto"/>
            <w:hideMark/>
          </w:tcPr>
          <w:p w14:paraId="758CC909" w14:textId="77777777" w:rsidR="007D1B53" w:rsidRPr="007D1B53" w:rsidRDefault="007D1B53" w:rsidP="00D22D31">
            <w:pPr>
              <w:jc w:val="right"/>
            </w:pPr>
            <w:r w:rsidRPr="007D1B53">
              <w:t>0.11</w:t>
            </w:r>
          </w:p>
        </w:tc>
      </w:tr>
      <w:tr w:rsidR="007D1B53" w:rsidRPr="007D1B53" w14:paraId="7B3C40BE" w14:textId="77777777" w:rsidTr="00E12E46">
        <w:tc>
          <w:tcPr>
            <w:tcW w:w="0" w:type="auto"/>
            <w:hideMark/>
          </w:tcPr>
          <w:p w14:paraId="40ED96FC" w14:textId="77777777" w:rsidR="007D1B53" w:rsidRPr="007D1B53" w:rsidRDefault="007D1B53" w:rsidP="007D1B53"/>
        </w:tc>
        <w:tc>
          <w:tcPr>
            <w:tcW w:w="0" w:type="auto"/>
            <w:hideMark/>
          </w:tcPr>
          <w:p w14:paraId="75C629B2" w14:textId="77777777" w:rsidR="007D1B53" w:rsidRPr="007D1B53" w:rsidRDefault="007D1B53" w:rsidP="007D1B53">
            <w:r w:rsidRPr="007D1B53">
              <w:t>T1 rotation</w:t>
            </w:r>
          </w:p>
        </w:tc>
        <w:tc>
          <w:tcPr>
            <w:tcW w:w="0" w:type="auto"/>
            <w:hideMark/>
          </w:tcPr>
          <w:p w14:paraId="4E3A7DEF" w14:textId="77777777" w:rsidR="007D1B53" w:rsidRPr="007D1B53" w:rsidRDefault="007D1B53" w:rsidP="00D22D31">
            <w:pPr>
              <w:jc w:val="right"/>
            </w:pPr>
            <w:r w:rsidRPr="007D1B53">
              <w:t>−764.99</w:t>
            </w:r>
          </w:p>
        </w:tc>
        <w:tc>
          <w:tcPr>
            <w:tcW w:w="0" w:type="auto"/>
            <w:hideMark/>
          </w:tcPr>
          <w:p w14:paraId="34FE25CC" w14:textId="77777777" w:rsidR="007D1B53" w:rsidRPr="007D1B53" w:rsidRDefault="007D1B53" w:rsidP="00D22D31">
            <w:pPr>
              <w:jc w:val="right"/>
            </w:pPr>
            <w:r w:rsidRPr="007D1B53">
              <w:t>−1991.61 – 461.63</w:t>
            </w:r>
          </w:p>
        </w:tc>
        <w:tc>
          <w:tcPr>
            <w:tcW w:w="0" w:type="auto"/>
            <w:hideMark/>
          </w:tcPr>
          <w:p w14:paraId="14FCD323" w14:textId="77777777" w:rsidR="007D1B53" w:rsidRPr="007D1B53" w:rsidRDefault="007D1B53" w:rsidP="00D22D31">
            <w:pPr>
              <w:jc w:val="right"/>
            </w:pPr>
            <w:r w:rsidRPr="007D1B53">
              <w:t>0.22</w:t>
            </w:r>
          </w:p>
        </w:tc>
        <w:tc>
          <w:tcPr>
            <w:tcW w:w="0" w:type="auto"/>
            <w:hideMark/>
          </w:tcPr>
          <w:p w14:paraId="423C98E4" w14:textId="77777777" w:rsidR="007D1B53" w:rsidRPr="007D1B53" w:rsidRDefault="007D1B53" w:rsidP="00D22D31">
            <w:pPr>
              <w:jc w:val="right"/>
            </w:pPr>
            <w:r w:rsidRPr="007D1B53">
              <w:t>−904.55</w:t>
            </w:r>
          </w:p>
        </w:tc>
        <w:tc>
          <w:tcPr>
            <w:tcW w:w="0" w:type="auto"/>
            <w:hideMark/>
          </w:tcPr>
          <w:p w14:paraId="29C23EFE" w14:textId="77777777" w:rsidR="007D1B53" w:rsidRPr="007D1B53" w:rsidRDefault="007D1B53" w:rsidP="00D22D31">
            <w:pPr>
              <w:jc w:val="right"/>
            </w:pPr>
            <w:r w:rsidRPr="007D1B53">
              <w:t>−2214.89 – 405.79</w:t>
            </w:r>
          </w:p>
        </w:tc>
        <w:tc>
          <w:tcPr>
            <w:tcW w:w="0" w:type="auto"/>
            <w:hideMark/>
          </w:tcPr>
          <w:p w14:paraId="1BF759C9" w14:textId="77777777" w:rsidR="007D1B53" w:rsidRPr="007D1B53" w:rsidRDefault="007D1B53" w:rsidP="00D22D31">
            <w:pPr>
              <w:jc w:val="right"/>
            </w:pPr>
            <w:r w:rsidRPr="007D1B53">
              <w:t>0.17</w:t>
            </w:r>
          </w:p>
        </w:tc>
      </w:tr>
      <w:tr w:rsidR="00190F0A" w:rsidRPr="007D1B53" w14:paraId="5AB6DF11" w14:textId="77777777" w:rsidTr="00190F0A">
        <w:tc>
          <w:tcPr>
            <w:tcW w:w="0" w:type="auto"/>
            <w:hideMark/>
          </w:tcPr>
          <w:p w14:paraId="518CB93A" w14:textId="77777777" w:rsidR="00190F0A" w:rsidRPr="007D1B53" w:rsidRDefault="00190F0A" w:rsidP="00190F0A">
            <w:r w:rsidRPr="007D1B53">
              <w:t>Forceps minor</w:t>
            </w:r>
          </w:p>
        </w:tc>
        <w:tc>
          <w:tcPr>
            <w:tcW w:w="0" w:type="auto"/>
            <w:hideMark/>
          </w:tcPr>
          <w:p w14:paraId="1EAAB7D2" w14:textId="77777777" w:rsidR="00190F0A" w:rsidRPr="007D1B53" w:rsidRDefault="00190F0A" w:rsidP="00190F0A">
            <w:r w:rsidRPr="007D1B53">
              <w:t>Intercept</w:t>
            </w:r>
          </w:p>
        </w:tc>
        <w:tc>
          <w:tcPr>
            <w:tcW w:w="0" w:type="auto"/>
          </w:tcPr>
          <w:p w14:paraId="458F30CC" w14:textId="34D2CEF3" w:rsidR="00190F0A" w:rsidRPr="007D1B53" w:rsidRDefault="00190F0A" w:rsidP="00190F0A">
            <w:pPr>
              <w:jc w:val="right"/>
            </w:pPr>
          </w:p>
        </w:tc>
        <w:tc>
          <w:tcPr>
            <w:tcW w:w="0" w:type="auto"/>
          </w:tcPr>
          <w:p w14:paraId="165AAD49" w14:textId="5638B9F5" w:rsidR="00190F0A" w:rsidRPr="007D1B53" w:rsidRDefault="00190F0A" w:rsidP="00190F0A">
            <w:r w:rsidRPr="007D1B53">
              <w:t>8.99</w:t>
            </w:r>
          </w:p>
        </w:tc>
        <w:tc>
          <w:tcPr>
            <w:tcW w:w="0" w:type="auto"/>
          </w:tcPr>
          <w:p w14:paraId="4C839FE0" w14:textId="027DB423" w:rsidR="00190F0A" w:rsidRPr="007D1B53" w:rsidRDefault="00190F0A" w:rsidP="00190F0A">
            <w:pPr>
              <w:jc w:val="right"/>
            </w:pPr>
          </w:p>
        </w:tc>
        <w:tc>
          <w:tcPr>
            <w:tcW w:w="0" w:type="auto"/>
          </w:tcPr>
          <w:p w14:paraId="2FB693A0" w14:textId="749EDEF5" w:rsidR="00190F0A" w:rsidRPr="007D1B53" w:rsidRDefault="00190F0A" w:rsidP="00190F0A">
            <w:r w:rsidRPr="007D1B53">
              <w:t>−12.93 – 30.90</w:t>
            </w:r>
          </w:p>
        </w:tc>
        <w:tc>
          <w:tcPr>
            <w:tcW w:w="0" w:type="auto"/>
          </w:tcPr>
          <w:p w14:paraId="5A880F87" w14:textId="54277C91" w:rsidR="00190F0A" w:rsidRPr="007D1B53" w:rsidRDefault="00190F0A" w:rsidP="00190F0A"/>
        </w:tc>
        <w:tc>
          <w:tcPr>
            <w:tcW w:w="0" w:type="auto"/>
          </w:tcPr>
          <w:p w14:paraId="0A4A2D41" w14:textId="38644A55" w:rsidR="00190F0A" w:rsidRPr="007D1B53" w:rsidRDefault="00190F0A" w:rsidP="00190F0A">
            <w:r w:rsidRPr="007D1B53">
              <w:t>0.42</w:t>
            </w:r>
          </w:p>
        </w:tc>
      </w:tr>
      <w:tr w:rsidR="00190F0A" w:rsidRPr="007D1B53" w14:paraId="7C849FE3" w14:textId="77777777" w:rsidTr="00190F0A">
        <w:tc>
          <w:tcPr>
            <w:tcW w:w="0" w:type="auto"/>
            <w:hideMark/>
          </w:tcPr>
          <w:p w14:paraId="349881D1" w14:textId="77777777" w:rsidR="00190F0A" w:rsidRPr="007D1B53" w:rsidRDefault="00190F0A" w:rsidP="00190F0A"/>
        </w:tc>
        <w:tc>
          <w:tcPr>
            <w:tcW w:w="0" w:type="auto"/>
            <w:hideMark/>
          </w:tcPr>
          <w:p w14:paraId="59B90551" w14:textId="77777777" w:rsidR="00190F0A" w:rsidRPr="007D1B53" w:rsidRDefault="00190F0A" w:rsidP="00190F0A">
            <w:r w:rsidRPr="007D1B53">
              <w:t>FA</w:t>
            </w:r>
          </w:p>
        </w:tc>
        <w:tc>
          <w:tcPr>
            <w:tcW w:w="0" w:type="auto"/>
          </w:tcPr>
          <w:p w14:paraId="500BA8EF" w14:textId="165A16BF" w:rsidR="00190F0A" w:rsidRPr="007D1B53" w:rsidRDefault="00190F0A" w:rsidP="00190F0A">
            <w:pPr>
              <w:jc w:val="right"/>
            </w:pPr>
          </w:p>
        </w:tc>
        <w:tc>
          <w:tcPr>
            <w:tcW w:w="0" w:type="auto"/>
          </w:tcPr>
          <w:p w14:paraId="2A0DDED3" w14:textId="5942D401" w:rsidR="00190F0A" w:rsidRPr="007D1B53" w:rsidRDefault="00190F0A" w:rsidP="00190F0A">
            <w:r w:rsidRPr="007D1B53">
              <w:t>−9.43</w:t>
            </w:r>
          </w:p>
        </w:tc>
        <w:tc>
          <w:tcPr>
            <w:tcW w:w="0" w:type="auto"/>
          </w:tcPr>
          <w:p w14:paraId="0B31B3DE" w14:textId="2B7447CE" w:rsidR="00190F0A" w:rsidRPr="007D1B53" w:rsidRDefault="00190F0A" w:rsidP="00190F0A">
            <w:pPr>
              <w:jc w:val="right"/>
            </w:pPr>
          </w:p>
        </w:tc>
        <w:tc>
          <w:tcPr>
            <w:tcW w:w="0" w:type="auto"/>
          </w:tcPr>
          <w:p w14:paraId="712A1BCB" w14:textId="0DDC45FB" w:rsidR="00190F0A" w:rsidRPr="007D1B53" w:rsidRDefault="00190F0A" w:rsidP="00190F0A">
            <w:r w:rsidRPr="007D1B53">
              <w:t>−49.51 – 30.66</w:t>
            </w:r>
          </w:p>
        </w:tc>
        <w:tc>
          <w:tcPr>
            <w:tcW w:w="0" w:type="auto"/>
          </w:tcPr>
          <w:p w14:paraId="7B9199FD" w14:textId="09E2A9F6" w:rsidR="00190F0A" w:rsidRPr="007D1B53" w:rsidRDefault="00190F0A" w:rsidP="00190F0A"/>
        </w:tc>
        <w:tc>
          <w:tcPr>
            <w:tcW w:w="0" w:type="auto"/>
          </w:tcPr>
          <w:p w14:paraId="77791E19" w14:textId="7A845F4E" w:rsidR="00190F0A" w:rsidRPr="007D1B53" w:rsidRDefault="00190F0A" w:rsidP="00190F0A">
            <w:r w:rsidRPr="007D1B53">
              <w:t>0.64</w:t>
            </w:r>
          </w:p>
        </w:tc>
      </w:tr>
      <w:tr w:rsidR="00190F0A" w:rsidRPr="007D1B53" w14:paraId="57308B87" w14:textId="77777777" w:rsidTr="00190F0A">
        <w:tc>
          <w:tcPr>
            <w:tcW w:w="0" w:type="auto"/>
            <w:hideMark/>
          </w:tcPr>
          <w:p w14:paraId="06F6BC95" w14:textId="77777777" w:rsidR="00190F0A" w:rsidRPr="007D1B53" w:rsidRDefault="00190F0A" w:rsidP="00190F0A"/>
        </w:tc>
        <w:tc>
          <w:tcPr>
            <w:tcW w:w="0" w:type="auto"/>
            <w:hideMark/>
          </w:tcPr>
          <w:p w14:paraId="42AD5002" w14:textId="77777777" w:rsidR="00190F0A" w:rsidRPr="007D1B53" w:rsidRDefault="00190F0A" w:rsidP="00190F0A">
            <w:r w:rsidRPr="007D1B53">
              <w:t>Age</w:t>
            </w:r>
          </w:p>
        </w:tc>
        <w:tc>
          <w:tcPr>
            <w:tcW w:w="0" w:type="auto"/>
          </w:tcPr>
          <w:p w14:paraId="318D1F4C" w14:textId="19276865" w:rsidR="00190F0A" w:rsidRPr="007D1B53" w:rsidRDefault="00190F0A" w:rsidP="00190F0A">
            <w:pPr>
              <w:jc w:val="right"/>
            </w:pPr>
          </w:p>
        </w:tc>
        <w:tc>
          <w:tcPr>
            <w:tcW w:w="0" w:type="auto"/>
          </w:tcPr>
          <w:p w14:paraId="0DE33931" w14:textId="73CC08B2" w:rsidR="00190F0A" w:rsidRPr="007D1B53" w:rsidRDefault="00190F0A" w:rsidP="00190F0A">
            <w:r w:rsidRPr="007D1B53">
              <w:t>−0.03</w:t>
            </w:r>
          </w:p>
        </w:tc>
        <w:tc>
          <w:tcPr>
            <w:tcW w:w="0" w:type="auto"/>
          </w:tcPr>
          <w:p w14:paraId="383DE76C" w14:textId="26F3804F" w:rsidR="00190F0A" w:rsidRPr="007D1B53" w:rsidRDefault="00190F0A" w:rsidP="00190F0A">
            <w:pPr>
              <w:jc w:val="right"/>
            </w:pPr>
          </w:p>
        </w:tc>
        <w:tc>
          <w:tcPr>
            <w:tcW w:w="0" w:type="auto"/>
          </w:tcPr>
          <w:p w14:paraId="6115C5D2" w14:textId="56757417" w:rsidR="00190F0A" w:rsidRPr="007D1B53" w:rsidRDefault="00190F0A" w:rsidP="00190F0A">
            <w:r w:rsidRPr="007D1B53">
              <w:t>−0.20 – 0.14</w:t>
            </w:r>
          </w:p>
        </w:tc>
        <w:tc>
          <w:tcPr>
            <w:tcW w:w="0" w:type="auto"/>
          </w:tcPr>
          <w:p w14:paraId="53FD27C7" w14:textId="579EE954" w:rsidR="00190F0A" w:rsidRPr="007D1B53" w:rsidRDefault="00190F0A" w:rsidP="00190F0A"/>
        </w:tc>
        <w:tc>
          <w:tcPr>
            <w:tcW w:w="0" w:type="auto"/>
          </w:tcPr>
          <w:p w14:paraId="1B52EBE6" w14:textId="43492C58" w:rsidR="00190F0A" w:rsidRPr="007D1B53" w:rsidRDefault="00190F0A" w:rsidP="00190F0A">
            <w:r w:rsidRPr="007D1B53">
              <w:t>0.75</w:t>
            </w:r>
          </w:p>
        </w:tc>
      </w:tr>
      <w:tr w:rsidR="00190F0A" w:rsidRPr="007D1B53" w14:paraId="56CA5651" w14:textId="77777777" w:rsidTr="00190F0A">
        <w:tc>
          <w:tcPr>
            <w:tcW w:w="0" w:type="auto"/>
            <w:hideMark/>
          </w:tcPr>
          <w:p w14:paraId="7C65A3FD" w14:textId="77777777" w:rsidR="00190F0A" w:rsidRPr="007D1B53" w:rsidRDefault="00190F0A" w:rsidP="00190F0A"/>
        </w:tc>
        <w:tc>
          <w:tcPr>
            <w:tcW w:w="0" w:type="auto"/>
            <w:hideMark/>
          </w:tcPr>
          <w:p w14:paraId="62511AF7" w14:textId="77777777" w:rsidR="00190F0A" w:rsidRPr="007D1B53" w:rsidRDefault="00190F0A" w:rsidP="00190F0A">
            <w:r w:rsidRPr="007D1B53">
              <w:t>Sex</w:t>
            </w:r>
          </w:p>
        </w:tc>
        <w:tc>
          <w:tcPr>
            <w:tcW w:w="0" w:type="auto"/>
          </w:tcPr>
          <w:p w14:paraId="0E9031FF" w14:textId="17DC975A" w:rsidR="00190F0A" w:rsidRPr="007D1B53" w:rsidRDefault="00190F0A" w:rsidP="00190F0A">
            <w:pPr>
              <w:jc w:val="right"/>
            </w:pPr>
          </w:p>
        </w:tc>
        <w:tc>
          <w:tcPr>
            <w:tcW w:w="0" w:type="auto"/>
          </w:tcPr>
          <w:p w14:paraId="5C8471E3" w14:textId="757688CD" w:rsidR="00190F0A" w:rsidRPr="007D1B53" w:rsidRDefault="00190F0A" w:rsidP="00190F0A">
            <w:r w:rsidRPr="007D1B53">
              <w:t>−0.64</w:t>
            </w:r>
          </w:p>
        </w:tc>
        <w:tc>
          <w:tcPr>
            <w:tcW w:w="0" w:type="auto"/>
          </w:tcPr>
          <w:p w14:paraId="21BCA619" w14:textId="668E1257" w:rsidR="00190F0A" w:rsidRPr="007D1B53" w:rsidRDefault="00190F0A" w:rsidP="00190F0A">
            <w:pPr>
              <w:jc w:val="right"/>
            </w:pPr>
          </w:p>
        </w:tc>
        <w:tc>
          <w:tcPr>
            <w:tcW w:w="0" w:type="auto"/>
          </w:tcPr>
          <w:p w14:paraId="6011EA7A" w14:textId="72F38240" w:rsidR="00190F0A" w:rsidRPr="007D1B53" w:rsidRDefault="00190F0A" w:rsidP="00190F0A">
            <w:r w:rsidRPr="007D1B53">
              <w:t>−4.26 – 2.98</w:t>
            </w:r>
          </w:p>
        </w:tc>
        <w:tc>
          <w:tcPr>
            <w:tcW w:w="0" w:type="auto"/>
          </w:tcPr>
          <w:p w14:paraId="762F9A6E" w14:textId="066A26BE" w:rsidR="00190F0A" w:rsidRPr="007D1B53" w:rsidRDefault="00190F0A" w:rsidP="00190F0A"/>
        </w:tc>
        <w:tc>
          <w:tcPr>
            <w:tcW w:w="0" w:type="auto"/>
          </w:tcPr>
          <w:p w14:paraId="2A5D426F" w14:textId="6937134B" w:rsidR="00190F0A" w:rsidRPr="007D1B53" w:rsidRDefault="00190F0A" w:rsidP="00190F0A">
            <w:r w:rsidRPr="007D1B53">
              <w:t>0.73</w:t>
            </w:r>
          </w:p>
        </w:tc>
      </w:tr>
      <w:tr w:rsidR="00190F0A" w:rsidRPr="007D1B53" w14:paraId="2BF9B0B4" w14:textId="77777777" w:rsidTr="00190F0A">
        <w:tc>
          <w:tcPr>
            <w:tcW w:w="0" w:type="auto"/>
            <w:hideMark/>
          </w:tcPr>
          <w:p w14:paraId="2B5E51E5" w14:textId="77777777" w:rsidR="00190F0A" w:rsidRPr="007D1B53" w:rsidRDefault="00190F0A" w:rsidP="00190F0A"/>
        </w:tc>
        <w:tc>
          <w:tcPr>
            <w:tcW w:w="0" w:type="auto"/>
            <w:hideMark/>
          </w:tcPr>
          <w:p w14:paraId="5C788A51" w14:textId="77777777" w:rsidR="00190F0A" w:rsidRPr="007D1B53" w:rsidRDefault="00190F0A" w:rsidP="00190F0A">
            <w:r w:rsidRPr="007D1B53">
              <w:t>T1 PCL-5</w:t>
            </w:r>
          </w:p>
        </w:tc>
        <w:tc>
          <w:tcPr>
            <w:tcW w:w="0" w:type="auto"/>
          </w:tcPr>
          <w:p w14:paraId="64173CFB" w14:textId="5E5E67FD" w:rsidR="00190F0A" w:rsidRPr="007D1B53" w:rsidRDefault="00190F0A" w:rsidP="00190F0A">
            <w:pPr>
              <w:jc w:val="right"/>
            </w:pPr>
          </w:p>
        </w:tc>
        <w:tc>
          <w:tcPr>
            <w:tcW w:w="0" w:type="auto"/>
          </w:tcPr>
          <w:p w14:paraId="175F343F" w14:textId="5F6B0F4A" w:rsidR="00190F0A" w:rsidRPr="007D1B53" w:rsidRDefault="00190F0A" w:rsidP="00190F0A">
            <w:r w:rsidRPr="007D1B53">
              <w:rPr>
                <w:b/>
                <w:bCs/>
              </w:rPr>
              <w:t>0.23</w:t>
            </w:r>
          </w:p>
        </w:tc>
        <w:tc>
          <w:tcPr>
            <w:tcW w:w="0" w:type="auto"/>
          </w:tcPr>
          <w:p w14:paraId="6486E7C7" w14:textId="357BBCBB" w:rsidR="00190F0A" w:rsidRPr="007D1B53" w:rsidRDefault="00190F0A" w:rsidP="00190F0A">
            <w:pPr>
              <w:jc w:val="right"/>
            </w:pPr>
          </w:p>
        </w:tc>
        <w:tc>
          <w:tcPr>
            <w:tcW w:w="0" w:type="auto"/>
          </w:tcPr>
          <w:p w14:paraId="3A64212A" w14:textId="02D8C0AC" w:rsidR="00190F0A" w:rsidRPr="007D1B53" w:rsidRDefault="00190F0A" w:rsidP="00190F0A">
            <w:r w:rsidRPr="007D1B53">
              <w:rPr>
                <w:b/>
                <w:bCs/>
              </w:rPr>
              <w:t>0.12 – 0.34</w:t>
            </w:r>
          </w:p>
        </w:tc>
        <w:tc>
          <w:tcPr>
            <w:tcW w:w="0" w:type="auto"/>
          </w:tcPr>
          <w:p w14:paraId="5DFF0F02" w14:textId="32186D6C" w:rsidR="00190F0A" w:rsidRPr="007D1B53" w:rsidRDefault="00190F0A" w:rsidP="00190F0A"/>
        </w:tc>
        <w:tc>
          <w:tcPr>
            <w:tcW w:w="0" w:type="auto"/>
          </w:tcPr>
          <w:p w14:paraId="2E591EA7" w14:textId="00EC1099" w:rsidR="00190F0A" w:rsidRPr="007D1B53" w:rsidRDefault="00190F0A" w:rsidP="00190F0A">
            <w:r w:rsidRPr="007D1B53">
              <w:rPr>
                <w:b/>
                <w:bCs/>
              </w:rPr>
              <w:t>&lt;0.001*</w:t>
            </w:r>
          </w:p>
        </w:tc>
      </w:tr>
      <w:tr w:rsidR="00190F0A" w:rsidRPr="007D1B53" w14:paraId="39749DFF" w14:textId="77777777" w:rsidTr="00190F0A">
        <w:tc>
          <w:tcPr>
            <w:tcW w:w="0" w:type="auto"/>
            <w:hideMark/>
          </w:tcPr>
          <w:p w14:paraId="24FCC089" w14:textId="77777777" w:rsidR="00190F0A" w:rsidRPr="007D1B53" w:rsidRDefault="00190F0A" w:rsidP="00190F0A"/>
        </w:tc>
        <w:tc>
          <w:tcPr>
            <w:tcW w:w="0" w:type="auto"/>
            <w:hideMark/>
          </w:tcPr>
          <w:p w14:paraId="0F7304C4" w14:textId="77777777" w:rsidR="00190F0A" w:rsidRPr="007D1B53" w:rsidRDefault="00190F0A" w:rsidP="00190F0A">
            <w:r w:rsidRPr="007D1B53">
              <w:t>T1 LEC</w:t>
            </w:r>
          </w:p>
        </w:tc>
        <w:tc>
          <w:tcPr>
            <w:tcW w:w="0" w:type="auto"/>
          </w:tcPr>
          <w:p w14:paraId="02114176" w14:textId="66C82E39" w:rsidR="00190F0A" w:rsidRPr="007D1B53" w:rsidRDefault="00190F0A" w:rsidP="00190F0A">
            <w:pPr>
              <w:jc w:val="right"/>
            </w:pPr>
          </w:p>
        </w:tc>
        <w:tc>
          <w:tcPr>
            <w:tcW w:w="0" w:type="auto"/>
          </w:tcPr>
          <w:p w14:paraId="4A8A8122" w14:textId="29367C9A" w:rsidR="00190F0A" w:rsidRPr="007D1B53" w:rsidRDefault="00190F0A" w:rsidP="00190F0A">
            <w:r w:rsidRPr="007D1B53">
              <w:t>−0.00</w:t>
            </w:r>
          </w:p>
        </w:tc>
        <w:tc>
          <w:tcPr>
            <w:tcW w:w="0" w:type="auto"/>
          </w:tcPr>
          <w:p w14:paraId="332FB3BF" w14:textId="67042B65" w:rsidR="00190F0A" w:rsidRPr="007D1B53" w:rsidRDefault="00190F0A" w:rsidP="00190F0A">
            <w:pPr>
              <w:jc w:val="right"/>
            </w:pPr>
          </w:p>
        </w:tc>
        <w:tc>
          <w:tcPr>
            <w:tcW w:w="0" w:type="auto"/>
          </w:tcPr>
          <w:p w14:paraId="3E88DC74" w14:textId="50643DDB" w:rsidR="00190F0A" w:rsidRPr="007D1B53" w:rsidRDefault="00190F0A" w:rsidP="00190F0A">
            <w:r w:rsidRPr="007D1B53">
              <w:t>−0.11 – 0.11</w:t>
            </w:r>
          </w:p>
        </w:tc>
        <w:tc>
          <w:tcPr>
            <w:tcW w:w="0" w:type="auto"/>
          </w:tcPr>
          <w:p w14:paraId="1E169B0D" w14:textId="6E2A8898" w:rsidR="00190F0A" w:rsidRPr="007D1B53" w:rsidRDefault="00190F0A" w:rsidP="00190F0A"/>
        </w:tc>
        <w:tc>
          <w:tcPr>
            <w:tcW w:w="0" w:type="auto"/>
          </w:tcPr>
          <w:p w14:paraId="237E2596" w14:textId="7B4563B8" w:rsidR="00190F0A" w:rsidRPr="007D1B53" w:rsidRDefault="00190F0A" w:rsidP="00190F0A">
            <w:r w:rsidRPr="007D1B53">
              <w:t>0.99</w:t>
            </w:r>
          </w:p>
        </w:tc>
      </w:tr>
      <w:tr w:rsidR="00190F0A" w:rsidRPr="007D1B53" w14:paraId="002A4C76" w14:textId="77777777" w:rsidTr="00190F0A">
        <w:tc>
          <w:tcPr>
            <w:tcW w:w="0" w:type="auto"/>
            <w:hideMark/>
          </w:tcPr>
          <w:p w14:paraId="49DE0372" w14:textId="77777777" w:rsidR="00190F0A" w:rsidRPr="007D1B53" w:rsidRDefault="00190F0A" w:rsidP="00190F0A"/>
        </w:tc>
        <w:tc>
          <w:tcPr>
            <w:tcW w:w="0" w:type="auto"/>
            <w:hideMark/>
          </w:tcPr>
          <w:p w14:paraId="65371503" w14:textId="77777777" w:rsidR="00190F0A" w:rsidRPr="007D1B53" w:rsidRDefault="00190F0A" w:rsidP="00190F0A">
            <w:r w:rsidRPr="007D1B53">
              <w:t>T1 translation</w:t>
            </w:r>
          </w:p>
        </w:tc>
        <w:tc>
          <w:tcPr>
            <w:tcW w:w="0" w:type="auto"/>
          </w:tcPr>
          <w:p w14:paraId="33F74499" w14:textId="28A22E54" w:rsidR="00190F0A" w:rsidRPr="007D1B53" w:rsidRDefault="00190F0A" w:rsidP="00190F0A">
            <w:pPr>
              <w:jc w:val="right"/>
            </w:pPr>
          </w:p>
        </w:tc>
        <w:tc>
          <w:tcPr>
            <w:tcW w:w="0" w:type="auto"/>
          </w:tcPr>
          <w:p w14:paraId="0D2E03D0" w14:textId="2A56D6F2" w:rsidR="00190F0A" w:rsidRPr="007D1B53" w:rsidRDefault="00190F0A" w:rsidP="00190F0A">
            <w:r w:rsidRPr="007D1B53">
              <w:t>4.49</w:t>
            </w:r>
          </w:p>
        </w:tc>
        <w:tc>
          <w:tcPr>
            <w:tcW w:w="0" w:type="auto"/>
          </w:tcPr>
          <w:p w14:paraId="3632C40E" w14:textId="2601BD40" w:rsidR="00190F0A" w:rsidRPr="007D1B53" w:rsidRDefault="00190F0A" w:rsidP="00190F0A">
            <w:pPr>
              <w:jc w:val="right"/>
            </w:pPr>
          </w:p>
        </w:tc>
        <w:tc>
          <w:tcPr>
            <w:tcW w:w="0" w:type="auto"/>
          </w:tcPr>
          <w:p w14:paraId="3954EF5F" w14:textId="30A5DD51" w:rsidR="00190F0A" w:rsidRPr="007D1B53" w:rsidRDefault="00190F0A" w:rsidP="00190F0A">
            <w:r w:rsidRPr="007D1B53">
              <w:t>−1.72 – 10.71</w:t>
            </w:r>
          </w:p>
        </w:tc>
        <w:tc>
          <w:tcPr>
            <w:tcW w:w="0" w:type="auto"/>
          </w:tcPr>
          <w:p w14:paraId="540C6182" w14:textId="70C7308B" w:rsidR="00190F0A" w:rsidRPr="007D1B53" w:rsidRDefault="00190F0A" w:rsidP="00190F0A"/>
        </w:tc>
        <w:tc>
          <w:tcPr>
            <w:tcW w:w="0" w:type="auto"/>
          </w:tcPr>
          <w:p w14:paraId="0A6FDAD1" w14:textId="300F7525" w:rsidR="00190F0A" w:rsidRPr="007D1B53" w:rsidRDefault="00190F0A" w:rsidP="00190F0A">
            <w:r w:rsidRPr="007D1B53">
              <w:t>0.15</w:t>
            </w:r>
          </w:p>
        </w:tc>
      </w:tr>
      <w:tr w:rsidR="00190F0A" w:rsidRPr="007D1B53" w14:paraId="6C7C33A3" w14:textId="77777777" w:rsidTr="00190F0A">
        <w:tc>
          <w:tcPr>
            <w:tcW w:w="0" w:type="auto"/>
            <w:hideMark/>
          </w:tcPr>
          <w:p w14:paraId="71C3F7BF" w14:textId="77777777" w:rsidR="00190F0A" w:rsidRPr="007D1B53" w:rsidRDefault="00190F0A" w:rsidP="00190F0A"/>
        </w:tc>
        <w:tc>
          <w:tcPr>
            <w:tcW w:w="0" w:type="auto"/>
            <w:hideMark/>
          </w:tcPr>
          <w:p w14:paraId="06045307" w14:textId="77777777" w:rsidR="00190F0A" w:rsidRPr="007D1B53" w:rsidRDefault="00190F0A" w:rsidP="00190F0A">
            <w:r w:rsidRPr="007D1B53">
              <w:t>T1 rotation</w:t>
            </w:r>
          </w:p>
        </w:tc>
        <w:tc>
          <w:tcPr>
            <w:tcW w:w="0" w:type="auto"/>
          </w:tcPr>
          <w:p w14:paraId="758F3A7D" w14:textId="70D81C63" w:rsidR="00190F0A" w:rsidRPr="007D1B53" w:rsidRDefault="00190F0A" w:rsidP="00190F0A">
            <w:pPr>
              <w:jc w:val="right"/>
            </w:pPr>
          </w:p>
        </w:tc>
        <w:tc>
          <w:tcPr>
            <w:tcW w:w="0" w:type="auto"/>
          </w:tcPr>
          <w:p w14:paraId="6EF1DFF9" w14:textId="6080C1D4" w:rsidR="00190F0A" w:rsidRPr="007D1B53" w:rsidRDefault="00190F0A" w:rsidP="00190F0A">
            <w:r w:rsidRPr="007D1B53">
              <w:t>−760.61</w:t>
            </w:r>
          </w:p>
        </w:tc>
        <w:tc>
          <w:tcPr>
            <w:tcW w:w="0" w:type="auto"/>
          </w:tcPr>
          <w:p w14:paraId="2104D49D" w14:textId="2BC607E2" w:rsidR="00190F0A" w:rsidRPr="007D1B53" w:rsidRDefault="00190F0A" w:rsidP="00190F0A">
            <w:pPr>
              <w:jc w:val="right"/>
            </w:pPr>
          </w:p>
        </w:tc>
        <w:tc>
          <w:tcPr>
            <w:tcW w:w="0" w:type="auto"/>
          </w:tcPr>
          <w:p w14:paraId="502A48A5" w14:textId="66284656" w:rsidR="00190F0A" w:rsidRPr="007D1B53" w:rsidRDefault="00190F0A" w:rsidP="00190F0A">
            <w:r w:rsidRPr="007D1B53">
              <w:t>−1618.91 – 97.69</w:t>
            </w:r>
          </w:p>
        </w:tc>
        <w:tc>
          <w:tcPr>
            <w:tcW w:w="0" w:type="auto"/>
          </w:tcPr>
          <w:p w14:paraId="6763B82E" w14:textId="249E321E" w:rsidR="00190F0A" w:rsidRPr="007D1B53" w:rsidRDefault="00190F0A" w:rsidP="00190F0A"/>
        </w:tc>
        <w:tc>
          <w:tcPr>
            <w:tcW w:w="0" w:type="auto"/>
          </w:tcPr>
          <w:p w14:paraId="0131BF15" w14:textId="5C0DCFA7" w:rsidR="00190F0A" w:rsidRPr="007D1B53" w:rsidRDefault="00190F0A" w:rsidP="00190F0A">
            <w:r w:rsidRPr="007D1B53">
              <w:t>0.08</w:t>
            </w:r>
          </w:p>
        </w:tc>
      </w:tr>
      <w:tr w:rsidR="00190F0A" w:rsidRPr="007D1B53" w14:paraId="139E25B8" w14:textId="77777777" w:rsidTr="00190F0A">
        <w:tc>
          <w:tcPr>
            <w:tcW w:w="0" w:type="auto"/>
            <w:hideMark/>
          </w:tcPr>
          <w:p w14:paraId="73D5D818" w14:textId="77777777" w:rsidR="00190F0A" w:rsidRPr="007D1B53" w:rsidRDefault="00190F0A" w:rsidP="00190F0A">
            <w:r w:rsidRPr="007D1B53">
              <w:t>Forceps major</w:t>
            </w:r>
          </w:p>
        </w:tc>
        <w:tc>
          <w:tcPr>
            <w:tcW w:w="0" w:type="auto"/>
            <w:hideMark/>
          </w:tcPr>
          <w:p w14:paraId="6DCFFB0A" w14:textId="77777777" w:rsidR="00190F0A" w:rsidRPr="007D1B53" w:rsidRDefault="00190F0A" w:rsidP="00190F0A">
            <w:r w:rsidRPr="007D1B53">
              <w:t>Intercept</w:t>
            </w:r>
          </w:p>
        </w:tc>
        <w:tc>
          <w:tcPr>
            <w:tcW w:w="0" w:type="auto"/>
          </w:tcPr>
          <w:p w14:paraId="30D70641" w14:textId="2DC5F3EF" w:rsidR="00190F0A" w:rsidRPr="007D1B53" w:rsidRDefault="00190F0A" w:rsidP="00190F0A">
            <w:pPr>
              <w:jc w:val="right"/>
            </w:pPr>
          </w:p>
        </w:tc>
        <w:tc>
          <w:tcPr>
            <w:tcW w:w="0" w:type="auto"/>
          </w:tcPr>
          <w:p w14:paraId="5EDEA53E" w14:textId="4698B988" w:rsidR="00190F0A" w:rsidRPr="007D1B53" w:rsidRDefault="00190F0A" w:rsidP="00190F0A">
            <w:r w:rsidRPr="007D1B53">
              <w:t>−0.52</w:t>
            </w:r>
          </w:p>
        </w:tc>
        <w:tc>
          <w:tcPr>
            <w:tcW w:w="0" w:type="auto"/>
          </w:tcPr>
          <w:p w14:paraId="151B0308" w14:textId="67293574" w:rsidR="00190F0A" w:rsidRPr="007D1B53" w:rsidRDefault="00190F0A" w:rsidP="00190F0A">
            <w:pPr>
              <w:jc w:val="right"/>
            </w:pPr>
          </w:p>
        </w:tc>
        <w:tc>
          <w:tcPr>
            <w:tcW w:w="0" w:type="auto"/>
          </w:tcPr>
          <w:p w14:paraId="1E762A0C" w14:textId="321F503F" w:rsidR="00190F0A" w:rsidRPr="007D1B53" w:rsidRDefault="00190F0A" w:rsidP="00190F0A">
            <w:r w:rsidRPr="007D1B53">
              <w:t>−28.45 – 27.42</w:t>
            </w:r>
          </w:p>
        </w:tc>
        <w:tc>
          <w:tcPr>
            <w:tcW w:w="0" w:type="auto"/>
          </w:tcPr>
          <w:p w14:paraId="7BD6975D" w14:textId="63F578D8" w:rsidR="00190F0A" w:rsidRPr="007D1B53" w:rsidRDefault="00190F0A" w:rsidP="00190F0A"/>
        </w:tc>
        <w:tc>
          <w:tcPr>
            <w:tcW w:w="0" w:type="auto"/>
          </w:tcPr>
          <w:p w14:paraId="3637BEC4" w14:textId="18E410E3" w:rsidR="00190F0A" w:rsidRPr="007D1B53" w:rsidRDefault="00190F0A" w:rsidP="00190F0A">
            <w:r w:rsidRPr="007D1B53">
              <w:t>0.97</w:t>
            </w:r>
          </w:p>
        </w:tc>
      </w:tr>
      <w:tr w:rsidR="0083506D" w:rsidRPr="007D1B53" w14:paraId="2CD44C0F" w14:textId="77777777" w:rsidTr="0083506D">
        <w:tc>
          <w:tcPr>
            <w:tcW w:w="0" w:type="auto"/>
            <w:hideMark/>
          </w:tcPr>
          <w:p w14:paraId="3519C662" w14:textId="77777777" w:rsidR="0083506D" w:rsidRPr="007D1B53" w:rsidRDefault="0083506D" w:rsidP="0083506D"/>
        </w:tc>
        <w:tc>
          <w:tcPr>
            <w:tcW w:w="0" w:type="auto"/>
            <w:hideMark/>
          </w:tcPr>
          <w:p w14:paraId="38DC5C78" w14:textId="77777777" w:rsidR="0083506D" w:rsidRPr="007D1B53" w:rsidRDefault="0083506D" w:rsidP="0083506D">
            <w:r w:rsidRPr="007D1B53">
              <w:t>FA</w:t>
            </w:r>
          </w:p>
        </w:tc>
        <w:tc>
          <w:tcPr>
            <w:tcW w:w="0" w:type="auto"/>
          </w:tcPr>
          <w:p w14:paraId="20EAC54D" w14:textId="5F76A41F" w:rsidR="0083506D" w:rsidRPr="007D1B53" w:rsidRDefault="0083506D" w:rsidP="0083506D">
            <w:pPr>
              <w:jc w:val="right"/>
            </w:pPr>
          </w:p>
        </w:tc>
        <w:tc>
          <w:tcPr>
            <w:tcW w:w="0" w:type="auto"/>
          </w:tcPr>
          <w:p w14:paraId="78D42A47" w14:textId="7C308788" w:rsidR="0083506D" w:rsidRPr="007D1B53" w:rsidRDefault="0083506D" w:rsidP="0083506D">
            <w:r w:rsidRPr="007D1B53">
              <w:t>10.21</w:t>
            </w:r>
          </w:p>
        </w:tc>
        <w:tc>
          <w:tcPr>
            <w:tcW w:w="0" w:type="auto"/>
          </w:tcPr>
          <w:p w14:paraId="61F249A9" w14:textId="3F61C4D3" w:rsidR="0083506D" w:rsidRPr="007D1B53" w:rsidRDefault="0083506D" w:rsidP="0083506D">
            <w:pPr>
              <w:jc w:val="right"/>
            </w:pPr>
          </w:p>
        </w:tc>
        <w:tc>
          <w:tcPr>
            <w:tcW w:w="0" w:type="auto"/>
          </w:tcPr>
          <w:p w14:paraId="7E66D8F4" w14:textId="6B2D273A" w:rsidR="0083506D" w:rsidRPr="007D1B53" w:rsidRDefault="0083506D" w:rsidP="0083506D">
            <w:r w:rsidRPr="007D1B53">
              <w:t>−31.06 – 51.49</w:t>
            </w:r>
          </w:p>
        </w:tc>
        <w:tc>
          <w:tcPr>
            <w:tcW w:w="0" w:type="auto"/>
          </w:tcPr>
          <w:p w14:paraId="1EE942B4" w14:textId="427BB3D6" w:rsidR="0083506D" w:rsidRPr="007D1B53" w:rsidRDefault="0083506D" w:rsidP="0083506D"/>
        </w:tc>
        <w:tc>
          <w:tcPr>
            <w:tcW w:w="0" w:type="auto"/>
          </w:tcPr>
          <w:p w14:paraId="4A9E0FE3" w14:textId="44E96A7B" w:rsidR="0083506D" w:rsidRPr="007D1B53" w:rsidRDefault="0083506D" w:rsidP="0083506D">
            <w:pPr>
              <w:jc w:val="right"/>
            </w:pPr>
            <w:r w:rsidRPr="007D1B53">
              <w:t>0.62</w:t>
            </w:r>
          </w:p>
        </w:tc>
      </w:tr>
      <w:tr w:rsidR="0083506D" w:rsidRPr="007D1B53" w14:paraId="4C77CE0D" w14:textId="77777777" w:rsidTr="0083506D">
        <w:tc>
          <w:tcPr>
            <w:tcW w:w="0" w:type="auto"/>
            <w:hideMark/>
          </w:tcPr>
          <w:p w14:paraId="6776B80F" w14:textId="77777777" w:rsidR="0083506D" w:rsidRPr="007D1B53" w:rsidRDefault="0083506D" w:rsidP="0083506D"/>
        </w:tc>
        <w:tc>
          <w:tcPr>
            <w:tcW w:w="0" w:type="auto"/>
            <w:hideMark/>
          </w:tcPr>
          <w:p w14:paraId="508004C5" w14:textId="77777777" w:rsidR="0083506D" w:rsidRPr="007D1B53" w:rsidRDefault="0083506D" w:rsidP="0083506D">
            <w:r w:rsidRPr="007D1B53">
              <w:t>Age</w:t>
            </w:r>
          </w:p>
        </w:tc>
        <w:tc>
          <w:tcPr>
            <w:tcW w:w="0" w:type="auto"/>
          </w:tcPr>
          <w:p w14:paraId="580849D7" w14:textId="6583265B" w:rsidR="0083506D" w:rsidRPr="007D1B53" w:rsidRDefault="0083506D" w:rsidP="0083506D">
            <w:pPr>
              <w:jc w:val="right"/>
            </w:pPr>
          </w:p>
        </w:tc>
        <w:tc>
          <w:tcPr>
            <w:tcW w:w="0" w:type="auto"/>
          </w:tcPr>
          <w:p w14:paraId="5A43D3EE" w14:textId="6CCC6437" w:rsidR="0083506D" w:rsidRPr="007D1B53" w:rsidRDefault="0083506D" w:rsidP="0083506D">
            <w:r w:rsidRPr="007D1B53">
              <w:t>−0.08</w:t>
            </w:r>
          </w:p>
        </w:tc>
        <w:tc>
          <w:tcPr>
            <w:tcW w:w="0" w:type="auto"/>
          </w:tcPr>
          <w:p w14:paraId="40706166" w14:textId="24C8AC59" w:rsidR="0083506D" w:rsidRPr="007D1B53" w:rsidRDefault="0083506D" w:rsidP="0083506D">
            <w:pPr>
              <w:jc w:val="right"/>
            </w:pPr>
          </w:p>
        </w:tc>
        <w:tc>
          <w:tcPr>
            <w:tcW w:w="0" w:type="auto"/>
          </w:tcPr>
          <w:p w14:paraId="77262D8B" w14:textId="3E46DAD9" w:rsidR="0083506D" w:rsidRPr="007D1B53" w:rsidRDefault="0083506D" w:rsidP="0083506D">
            <w:r w:rsidRPr="007D1B53">
              <w:t>−0.29 – 0.13</w:t>
            </w:r>
          </w:p>
        </w:tc>
        <w:tc>
          <w:tcPr>
            <w:tcW w:w="0" w:type="auto"/>
          </w:tcPr>
          <w:p w14:paraId="4A0FE0C3" w14:textId="1EAEDE6E" w:rsidR="0083506D" w:rsidRPr="007D1B53" w:rsidRDefault="0083506D" w:rsidP="0083506D"/>
        </w:tc>
        <w:tc>
          <w:tcPr>
            <w:tcW w:w="0" w:type="auto"/>
          </w:tcPr>
          <w:p w14:paraId="0EAE36C5" w14:textId="49A6D982" w:rsidR="0083506D" w:rsidRPr="007D1B53" w:rsidRDefault="0083506D" w:rsidP="0083506D">
            <w:pPr>
              <w:jc w:val="right"/>
            </w:pPr>
            <w:r w:rsidRPr="007D1B53">
              <w:t>0.47</w:t>
            </w:r>
          </w:p>
        </w:tc>
      </w:tr>
      <w:tr w:rsidR="0083506D" w:rsidRPr="007D1B53" w14:paraId="4D3CE5C9" w14:textId="77777777" w:rsidTr="0083506D">
        <w:tc>
          <w:tcPr>
            <w:tcW w:w="0" w:type="auto"/>
            <w:hideMark/>
          </w:tcPr>
          <w:p w14:paraId="2B28A230" w14:textId="77777777" w:rsidR="0083506D" w:rsidRPr="007D1B53" w:rsidRDefault="0083506D" w:rsidP="0083506D"/>
        </w:tc>
        <w:tc>
          <w:tcPr>
            <w:tcW w:w="0" w:type="auto"/>
            <w:hideMark/>
          </w:tcPr>
          <w:p w14:paraId="50E2E0A1" w14:textId="77777777" w:rsidR="0083506D" w:rsidRPr="007D1B53" w:rsidRDefault="0083506D" w:rsidP="0083506D">
            <w:r w:rsidRPr="007D1B53">
              <w:t>Sex</w:t>
            </w:r>
          </w:p>
        </w:tc>
        <w:tc>
          <w:tcPr>
            <w:tcW w:w="0" w:type="auto"/>
          </w:tcPr>
          <w:p w14:paraId="3314CACD" w14:textId="7EB36F5E" w:rsidR="0083506D" w:rsidRPr="007D1B53" w:rsidRDefault="0083506D" w:rsidP="0083506D">
            <w:pPr>
              <w:jc w:val="right"/>
            </w:pPr>
          </w:p>
        </w:tc>
        <w:tc>
          <w:tcPr>
            <w:tcW w:w="0" w:type="auto"/>
          </w:tcPr>
          <w:p w14:paraId="2AD06E7C" w14:textId="782D7CE6" w:rsidR="0083506D" w:rsidRPr="007D1B53" w:rsidRDefault="0083506D" w:rsidP="0083506D">
            <w:r w:rsidRPr="007D1B53">
              <w:t>0.27</w:t>
            </w:r>
          </w:p>
        </w:tc>
        <w:tc>
          <w:tcPr>
            <w:tcW w:w="0" w:type="auto"/>
          </w:tcPr>
          <w:p w14:paraId="55C4EA80" w14:textId="208D6617" w:rsidR="0083506D" w:rsidRPr="007D1B53" w:rsidRDefault="0083506D" w:rsidP="0083506D">
            <w:pPr>
              <w:jc w:val="right"/>
            </w:pPr>
          </w:p>
        </w:tc>
        <w:tc>
          <w:tcPr>
            <w:tcW w:w="0" w:type="auto"/>
          </w:tcPr>
          <w:p w14:paraId="192B5767" w14:textId="3F469D8F" w:rsidR="0083506D" w:rsidRPr="007D1B53" w:rsidRDefault="0083506D" w:rsidP="0083506D">
            <w:r w:rsidRPr="007D1B53">
              <w:t>−3.98 – 4.51</w:t>
            </w:r>
          </w:p>
        </w:tc>
        <w:tc>
          <w:tcPr>
            <w:tcW w:w="0" w:type="auto"/>
          </w:tcPr>
          <w:p w14:paraId="5BB0A7AF" w14:textId="12BB19F8" w:rsidR="0083506D" w:rsidRPr="007D1B53" w:rsidRDefault="0083506D" w:rsidP="0083506D"/>
        </w:tc>
        <w:tc>
          <w:tcPr>
            <w:tcW w:w="0" w:type="auto"/>
          </w:tcPr>
          <w:p w14:paraId="2EC4C16B" w14:textId="20F32E7D" w:rsidR="0083506D" w:rsidRPr="007D1B53" w:rsidRDefault="0083506D" w:rsidP="0083506D">
            <w:pPr>
              <w:jc w:val="right"/>
            </w:pPr>
            <w:r w:rsidRPr="007D1B53">
              <w:t>0.90</w:t>
            </w:r>
          </w:p>
        </w:tc>
      </w:tr>
      <w:tr w:rsidR="0083506D" w:rsidRPr="007D1B53" w14:paraId="4E0E2B94" w14:textId="77777777" w:rsidTr="0083506D">
        <w:tc>
          <w:tcPr>
            <w:tcW w:w="0" w:type="auto"/>
            <w:hideMark/>
          </w:tcPr>
          <w:p w14:paraId="34482789" w14:textId="77777777" w:rsidR="0083506D" w:rsidRPr="007D1B53" w:rsidRDefault="0083506D" w:rsidP="0083506D"/>
        </w:tc>
        <w:tc>
          <w:tcPr>
            <w:tcW w:w="0" w:type="auto"/>
            <w:hideMark/>
          </w:tcPr>
          <w:p w14:paraId="4F21929A" w14:textId="77777777" w:rsidR="0083506D" w:rsidRPr="007D1B53" w:rsidRDefault="0083506D" w:rsidP="0083506D">
            <w:r w:rsidRPr="007D1B53">
              <w:t>T1 PCL-5</w:t>
            </w:r>
          </w:p>
        </w:tc>
        <w:tc>
          <w:tcPr>
            <w:tcW w:w="0" w:type="auto"/>
          </w:tcPr>
          <w:p w14:paraId="72EE66BD" w14:textId="44C4527F" w:rsidR="0083506D" w:rsidRPr="007D1B53" w:rsidRDefault="0083506D" w:rsidP="0083506D">
            <w:pPr>
              <w:jc w:val="right"/>
            </w:pPr>
          </w:p>
        </w:tc>
        <w:tc>
          <w:tcPr>
            <w:tcW w:w="0" w:type="auto"/>
          </w:tcPr>
          <w:p w14:paraId="560203FF" w14:textId="041D8B8E" w:rsidR="0083506D" w:rsidRPr="007D1B53" w:rsidRDefault="0083506D" w:rsidP="0083506D">
            <w:r w:rsidRPr="007D1B53">
              <w:rPr>
                <w:b/>
                <w:bCs/>
              </w:rPr>
              <w:t>0.21</w:t>
            </w:r>
          </w:p>
        </w:tc>
        <w:tc>
          <w:tcPr>
            <w:tcW w:w="0" w:type="auto"/>
          </w:tcPr>
          <w:p w14:paraId="2295209B" w14:textId="6B925313" w:rsidR="0083506D" w:rsidRPr="007D1B53" w:rsidRDefault="0083506D" w:rsidP="0083506D">
            <w:pPr>
              <w:jc w:val="right"/>
            </w:pPr>
          </w:p>
        </w:tc>
        <w:tc>
          <w:tcPr>
            <w:tcW w:w="0" w:type="auto"/>
          </w:tcPr>
          <w:p w14:paraId="2660369D" w14:textId="131751EA" w:rsidR="0083506D" w:rsidRPr="007D1B53" w:rsidRDefault="0083506D" w:rsidP="0083506D">
            <w:r w:rsidRPr="007D1B53">
              <w:rPr>
                <w:b/>
                <w:bCs/>
              </w:rPr>
              <w:t>0.08 – 0.33</w:t>
            </w:r>
          </w:p>
        </w:tc>
        <w:tc>
          <w:tcPr>
            <w:tcW w:w="0" w:type="auto"/>
          </w:tcPr>
          <w:p w14:paraId="627257FE" w14:textId="2EDFFF15" w:rsidR="0083506D" w:rsidRPr="007D1B53" w:rsidRDefault="0083506D" w:rsidP="0083506D"/>
        </w:tc>
        <w:tc>
          <w:tcPr>
            <w:tcW w:w="0" w:type="auto"/>
          </w:tcPr>
          <w:p w14:paraId="541BEADE" w14:textId="2C4B3838" w:rsidR="0083506D" w:rsidRPr="007D1B53" w:rsidRDefault="0083506D" w:rsidP="0083506D">
            <w:pPr>
              <w:jc w:val="right"/>
            </w:pPr>
            <w:r w:rsidRPr="007D1B53">
              <w:rPr>
                <w:b/>
                <w:bCs/>
              </w:rPr>
              <w:t>0.002*</w:t>
            </w:r>
          </w:p>
        </w:tc>
      </w:tr>
      <w:tr w:rsidR="0083506D" w:rsidRPr="007D1B53" w14:paraId="6A8CBB2E" w14:textId="77777777" w:rsidTr="0083506D">
        <w:tc>
          <w:tcPr>
            <w:tcW w:w="0" w:type="auto"/>
            <w:hideMark/>
          </w:tcPr>
          <w:p w14:paraId="10AA99F2" w14:textId="77777777" w:rsidR="0083506D" w:rsidRPr="007D1B53" w:rsidRDefault="0083506D" w:rsidP="0083506D"/>
        </w:tc>
        <w:tc>
          <w:tcPr>
            <w:tcW w:w="0" w:type="auto"/>
            <w:hideMark/>
          </w:tcPr>
          <w:p w14:paraId="7BE08FD5" w14:textId="77777777" w:rsidR="0083506D" w:rsidRPr="007D1B53" w:rsidRDefault="0083506D" w:rsidP="0083506D">
            <w:r w:rsidRPr="007D1B53">
              <w:t>T1 LEC</w:t>
            </w:r>
          </w:p>
        </w:tc>
        <w:tc>
          <w:tcPr>
            <w:tcW w:w="0" w:type="auto"/>
          </w:tcPr>
          <w:p w14:paraId="58377652" w14:textId="3A9DBAF6" w:rsidR="0083506D" w:rsidRPr="007D1B53" w:rsidRDefault="0083506D" w:rsidP="0083506D">
            <w:pPr>
              <w:jc w:val="right"/>
            </w:pPr>
          </w:p>
        </w:tc>
        <w:tc>
          <w:tcPr>
            <w:tcW w:w="0" w:type="auto"/>
          </w:tcPr>
          <w:p w14:paraId="70FAE40C" w14:textId="7C7F6DC5" w:rsidR="0083506D" w:rsidRPr="007D1B53" w:rsidRDefault="0083506D" w:rsidP="0083506D">
            <w:r w:rsidRPr="007D1B53">
              <w:t>0.05</w:t>
            </w:r>
          </w:p>
        </w:tc>
        <w:tc>
          <w:tcPr>
            <w:tcW w:w="0" w:type="auto"/>
          </w:tcPr>
          <w:p w14:paraId="2D2E44A8" w14:textId="6789EE1F" w:rsidR="0083506D" w:rsidRPr="007D1B53" w:rsidRDefault="0083506D" w:rsidP="0083506D">
            <w:pPr>
              <w:jc w:val="right"/>
            </w:pPr>
          </w:p>
        </w:tc>
        <w:tc>
          <w:tcPr>
            <w:tcW w:w="0" w:type="auto"/>
          </w:tcPr>
          <w:p w14:paraId="640BA25C" w14:textId="00AE451E" w:rsidR="0083506D" w:rsidRPr="007D1B53" w:rsidRDefault="0083506D" w:rsidP="0083506D">
            <w:r w:rsidRPr="007D1B53">
              <w:t>−0.08 – 0.19</w:t>
            </w:r>
          </w:p>
        </w:tc>
        <w:tc>
          <w:tcPr>
            <w:tcW w:w="0" w:type="auto"/>
          </w:tcPr>
          <w:p w14:paraId="54C2B961" w14:textId="6249A71D" w:rsidR="0083506D" w:rsidRPr="007D1B53" w:rsidRDefault="0083506D" w:rsidP="0083506D"/>
        </w:tc>
        <w:tc>
          <w:tcPr>
            <w:tcW w:w="0" w:type="auto"/>
          </w:tcPr>
          <w:p w14:paraId="2D6082F5" w14:textId="5CB888C5" w:rsidR="0083506D" w:rsidRPr="007D1B53" w:rsidRDefault="0083506D" w:rsidP="0083506D">
            <w:pPr>
              <w:jc w:val="right"/>
            </w:pPr>
            <w:r w:rsidRPr="007D1B53">
              <w:t>0.44</w:t>
            </w:r>
          </w:p>
        </w:tc>
      </w:tr>
      <w:tr w:rsidR="0083506D" w:rsidRPr="007D1B53" w14:paraId="6CEFE0F2" w14:textId="77777777" w:rsidTr="0083506D">
        <w:tc>
          <w:tcPr>
            <w:tcW w:w="0" w:type="auto"/>
            <w:hideMark/>
          </w:tcPr>
          <w:p w14:paraId="33F5CD2C" w14:textId="77777777" w:rsidR="0083506D" w:rsidRPr="007D1B53" w:rsidRDefault="0083506D" w:rsidP="0083506D"/>
        </w:tc>
        <w:tc>
          <w:tcPr>
            <w:tcW w:w="0" w:type="auto"/>
            <w:hideMark/>
          </w:tcPr>
          <w:p w14:paraId="77CCD551" w14:textId="77777777" w:rsidR="0083506D" w:rsidRPr="007D1B53" w:rsidRDefault="0083506D" w:rsidP="0083506D">
            <w:r w:rsidRPr="007D1B53">
              <w:t>T1 translation</w:t>
            </w:r>
          </w:p>
        </w:tc>
        <w:tc>
          <w:tcPr>
            <w:tcW w:w="0" w:type="auto"/>
          </w:tcPr>
          <w:p w14:paraId="45DDE90A" w14:textId="501A4DA0" w:rsidR="0083506D" w:rsidRPr="007D1B53" w:rsidRDefault="0083506D" w:rsidP="0083506D">
            <w:pPr>
              <w:jc w:val="right"/>
            </w:pPr>
          </w:p>
        </w:tc>
        <w:tc>
          <w:tcPr>
            <w:tcW w:w="0" w:type="auto"/>
          </w:tcPr>
          <w:p w14:paraId="08207772" w14:textId="3FA31EB2" w:rsidR="0083506D" w:rsidRPr="007D1B53" w:rsidRDefault="0083506D" w:rsidP="0083506D">
            <w:r w:rsidRPr="007D1B53">
              <w:t>6.07</w:t>
            </w:r>
          </w:p>
        </w:tc>
        <w:tc>
          <w:tcPr>
            <w:tcW w:w="0" w:type="auto"/>
          </w:tcPr>
          <w:p w14:paraId="42A79DC2" w14:textId="3180FC98" w:rsidR="0083506D" w:rsidRPr="007D1B53" w:rsidRDefault="0083506D" w:rsidP="0083506D">
            <w:pPr>
              <w:jc w:val="right"/>
            </w:pPr>
          </w:p>
        </w:tc>
        <w:tc>
          <w:tcPr>
            <w:tcW w:w="0" w:type="auto"/>
          </w:tcPr>
          <w:p w14:paraId="6092FCFF" w14:textId="389E51D6" w:rsidR="0083506D" w:rsidRPr="007D1B53" w:rsidRDefault="0083506D" w:rsidP="0083506D">
            <w:r w:rsidRPr="007D1B53">
              <w:t>−1.08 – 13.23</w:t>
            </w:r>
          </w:p>
        </w:tc>
        <w:tc>
          <w:tcPr>
            <w:tcW w:w="0" w:type="auto"/>
          </w:tcPr>
          <w:p w14:paraId="0A755010" w14:textId="3E9CDF3F" w:rsidR="0083506D" w:rsidRPr="007D1B53" w:rsidRDefault="0083506D" w:rsidP="0083506D"/>
        </w:tc>
        <w:tc>
          <w:tcPr>
            <w:tcW w:w="0" w:type="auto"/>
          </w:tcPr>
          <w:p w14:paraId="02009F67" w14:textId="2E63D1E6" w:rsidR="0083506D" w:rsidRPr="007D1B53" w:rsidRDefault="0083506D" w:rsidP="0083506D">
            <w:pPr>
              <w:jc w:val="right"/>
            </w:pPr>
            <w:r w:rsidRPr="007D1B53">
              <w:t>0.09</w:t>
            </w:r>
          </w:p>
        </w:tc>
      </w:tr>
      <w:tr w:rsidR="0083506D" w:rsidRPr="007D1B53" w14:paraId="642D1F10" w14:textId="77777777" w:rsidTr="0083506D">
        <w:tc>
          <w:tcPr>
            <w:tcW w:w="0" w:type="auto"/>
            <w:hideMark/>
          </w:tcPr>
          <w:p w14:paraId="49959C67" w14:textId="77777777" w:rsidR="0083506D" w:rsidRPr="007D1B53" w:rsidRDefault="0083506D" w:rsidP="0083506D"/>
        </w:tc>
        <w:tc>
          <w:tcPr>
            <w:tcW w:w="0" w:type="auto"/>
            <w:hideMark/>
          </w:tcPr>
          <w:p w14:paraId="0B9DE8F9" w14:textId="77777777" w:rsidR="0083506D" w:rsidRPr="007D1B53" w:rsidRDefault="0083506D" w:rsidP="0083506D">
            <w:r w:rsidRPr="007D1B53">
              <w:t>T1 rotation</w:t>
            </w:r>
          </w:p>
        </w:tc>
        <w:tc>
          <w:tcPr>
            <w:tcW w:w="0" w:type="auto"/>
          </w:tcPr>
          <w:p w14:paraId="6971CE0E" w14:textId="1C20E04C" w:rsidR="0083506D" w:rsidRPr="007D1B53" w:rsidRDefault="0083506D" w:rsidP="0083506D">
            <w:pPr>
              <w:jc w:val="right"/>
            </w:pPr>
          </w:p>
        </w:tc>
        <w:tc>
          <w:tcPr>
            <w:tcW w:w="0" w:type="auto"/>
          </w:tcPr>
          <w:p w14:paraId="43FF4BDC" w14:textId="6FDD5D84" w:rsidR="0083506D" w:rsidRPr="007D1B53" w:rsidRDefault="0083506D" w:rsidP="0083506D">
            <w:r w:rsidRPr="007D1B53">
              <w:t>−1063.73</w:t>
            </w:r>
          </w:p>
        </w:tc>
        <w:tc>
          <w:tcPr>
            <w:tcW w:w="0" w:type="auto"/>
          </w:tcPr>
          <w:p w14:paraId="4ACE8CD0" w14:textId="3C672B2F" w:rsidR="0083506D" w:rsidRPr="007D1B53" w:rsidRDefault="0083506D" w:rsidP="0083506D">
            <w:pPr>
              <w:jc w:val="right"/>
            </w:pPr>
          </w:p>
        </w:tc>
        <w:tc>
          <w:tcPr>
            <w:tcW w:w="0" w:type="auto"/>
          </w:tcPr>
          <w:p w14:paraId="340E01A0" w14:textId="2CB65297" w:rsidR="0083506D" w:rsidRPr="007D1B53" w:rsidRDefault="0083506D" w:rsidP="0083506D">
            <w:r w:rsidRPr="007D1B53">
              <w:t>−2030.91 – −96.55</w:t>
            </w:r>
          </w:p>
        </w:tc>
        <w:tc>
          <w:tcPr>
            <w:tcW w:w="0" w:type="auto"/>
          </w:tcPr>
          <w:p w14:paraId="47C04C2C" w14:textId="232D5A51" w:rsidR="0083506D" w:rsidRPr="007D1B53" w:rsidRDefault="0083506D" w:rsidP="0083506D"/>
        </w:tc>
        <w:tc>
          <w:tcPr>
            <w:tcW w:w="0" w:type="auto"/>
          </w:tcPr>
          <w:p w14:paraId="186134A3" w14:textId="46782059" w:rsidR="0083506D" w:rsidRPr="007D1B53" w:rsidRDefault="0083506D" w:rsidP="0083506D">
            <w:pPr>
              <w:jc w:val="right"/>
            </w:pPr>
            <w:r w:rsidRPr="007D1B53">
              <w:t>0.03</w:t>
            </w:r>
          </w:p>
        </w:tc>
      </w:tr>
    </w:tbl>
    <w:p w14:paraId="4F84825C" w14:textId="77777777" w:rsidR="007D1B53" w:rsidRPr="007D1B53" w:rsidRDefault="007D1B53" w:rsidP="007D1B53">
      <w:r w:rsidRPr="007D1B53">
        <w:rPr>
          <w:i/>
          <w:iCs/>
        </w:rPr>
        <w:t xml:space="preserve">T1, 2-weeks post-trauma; T2, 6-months post-trauma; CAPS, Clinician Administered PTSD Scale; LEC, life events checklist total weighted score; FA, fractional anisotropy. p-values presented are uncorrected, bolded values with * indicates results that survived </w:t>
      </w:r>
      <w:proofErr w:type="spellStart"/>
      <w:r w:rsidRPr="007D1B53">
        <w:rPr>
          <w:i/>
          <w:iCs/>
        </w:rPr>
        <w:t>Benjamini</w:t>
      </w:r>
      <w:proofErr w:type="spellEnd"/>
      <w:r w:rsidRPr="007D1B53">
        <w:rPr>
          <w:i/>
          <w:iCs/>
        </w:rPr>
        <w:t>–Hochberg correction (α = 0.05). </w:t>
      </w:r>
      <w:r w:rsidRPr="007D1B53">
        <w:rPr>
          <w:i/>
          <w:iCs/>
          <w:vertAlign w:val="superscript"/>
        </w:rPr>
        <w:t>#</w:t>
      </w:r>
      <w:r w:rsidRPr="007D1B53">
        <w:rPr>
          <w:i/>
          <w:iCs/>
        </w:rPr>
        <w:t> </w:t>
      </w:r>
      <w:proofErr w:type="gramStart"/>
      <w:r w:rsidRPr="007D1B53">
        <w:rPr>
          <w:i/>
          <w:iCs/>
        </w:rPr>
        <w:t>indicates</w:t>
      </w:r>
      <w:proofErr w:type="gramEnd"/>
      <w:r w:rsidRPr="007D1B53">
        <w:rPr>
          <w:i/>
          <w:iCs/>
        </w:rPr>
        <w:t xml:space="preserve"> marginal results after correction (p adjusted &lt; 0.10).</w:t>
      </w:r>
    </w:p>
    <w:p w14:paraId="7ED2A008" w14:textId="77777777" w:rsidR="00D22D31" w:rsidRDefault="00D22D31" w:rsidP="007D1B53">
      <w:pPr>
        <w:sectPr w:rsidR="00D22D31" w:rsidSect="00D22D31">
          <w:pgSz w:w="15840" w:h="12240" w:orient="landscape"/>
          <w:pgMar w:top="1080" w:right="1080" w:bottom="1080" w:left="1080" w:header="720" w:footer="720" w:gutter="0"/>
          <w:cols w:space="720"/>
          <w:docGrid w:linePitch="360"/>
        </w:sectPr>
      </w:pPr>
    </w:p>
    <w:p w14:paraId="2989E26F" w14:textId="77777777" w:rsidR="007D1B53" w:rsidRPr="007D1B53" w:rsidRDefault="007D1B53" w:rsidP="007D1B53">
      <w:r w:rsidRPr="007D1B53">
        <w:lastRenderedPageBreak/>
        <w:t>As a follow-up, we also ran the GLM’s with head motion as the only covariate (excluding age, sex, and T1 PCL-5, T1 LEC), and the results were identical, indicating the results are robust with and without theoretically relevant covariates. Furthermore, we repeated the whole analysis with the PCL-5 at T2 as the outcome variable rather than CAPS-5, and still the results did not change, though this result was not surprising due to the high correlation of T2 PCL-5 and CAPS-5 in the current sample </w:t>
      </w:r>
      <w:r w:rsidRPr="007D1B53">
        <w:rPr>
          <w:i/>
          <w:iCs/>
        </w:rPr>
        <w:t>r</w:t>
      </w:r>
      <w:r w:rsidRPr="007D1B53">
        <w:t> = 0.51, </w:t>
      </w:r>
      <w:r w:rsidRPr="007D1B53">
        <w:rPr>
          <w:i/>
          <w:iCs/>
        </w:rPr>
        <w:t>p</w:t>
      </w:r>
      <w:r w:rsidRPr="007D1B53">
        <w:t> &lt; 0.001.</w:t>
      </w:r>
    </w:p>
    <w:p w14:paraId="586547EF" w14:textId="77777777" w:rsidR="007D1B53" w:rsidRPr="007D1B53" w:rsidRDefault="007D1B53" w:rsidP="00D22D31">
      <w:pPr>
        <w:pStyle w:val="Heading1"/>
      </w:pPr>
      <w:r w:rsidRPr="007D1B53">
        <w:t>Discussion</w:t>
      </w:r>
    </w:p>
    <w:p w14:paraId="408583E6" w14:textId="77777777" w:rsidR="007D1B53" w:rsidRPr="007D1B53" w:rsidRDefault="007D1B53" w:rsidP="007D1B53">
      <w:r w:rsidRPr="007D1B53">
        <w:t>The current study investigated the relationship of acute white matter integrity post-trauma and chronic PTSD symptoms. Based on previous literature, we expected a negative relationship between the cingulum, CC, and UNC integrity at T1 and overall PTSD symptom severity at T2. Our results partially support these hypotheses, in that lesser integrity of the anterior cingulum at T1 was marginally related to greater total PTSD symptoms at T2. However, there was no relationship between CC or UNC integrity at T1 and PTSD symptoms at T2.</w:t>
      </w:r>
    </w:p>
    <w:p w14:paraId="5D21F3DB" w14:textId="591B5A50" w:rsidR="007D1B53" w:rsidRPr="007D1B53" w:rsidRDefault="007D1B53" w:rsidP="007D1B53">
      <w:r w:rsidRPr="007D1B53">
        <w:t>The marginal results in the current study align with a large body of previous work implicating a negative relationship between integrity of the anterior cingulum and PTSD symptoms (</w:t>
      </w:r>
      <w:r w:rsidRPr="003E1E6E">
        <w:t>Daniels et al., 2013</w:t>
      </w:r>
      <w:r w:rsidRPr="007D1B53">
        <w:t>; </w:t>
      </w:r>
      <w:r w:rsidRPr="003E1E6E">
        <w:t>Jenkins et al., 2016</w:t>
      </w:r>
      <w:r w:rsidRPr="007D1B53">
        <w:t>; </w:t>
      </w:r>
      <w:proofErr w:type="spellStart"/>
      <w:r w:rsidRPr="003E1E6E">
        <w:t>Siehl</w:t>
      </w:r>
      <w:proofErr w:type="spellEnd"/>
      <w:r w:rsidRPr="003E1E6E">
        <w:t xml:space="preserve"> et al., 2018</w:t>
      </w:r>
      <w:r w:rsidRPr="007D1B53">
        <w:t>; </w:t>
      </w:r>
      <w:r w:rsidRPr="003E1E6E">
        <w:t>Ju et al., 2020</w:t>
      </w:r>
      <w:r w:rsidRPr="007D1B53">
        <w:t>), and further show that integrity is related to chronic non-remitting PTSD symptoms following trauma exposure. The anterior cingulum runs the length of the cingulate gyrus connecting medial prefrontal cortices (</w:t>
      </w:r>
      <w:proofErr w:type="spellStart"/>
      <w:r w:rsidRPr="007D1B53">
        <w:t>mPFC</w:t>
      </w:r>
      <w:proofErr w:type="spellEnd"/>
      <w:r w:rsidRPr="007D1B53">
        <w:t xml:space="preserve">) with the posterior cingulate cortex (PCC). The </w:t>
      </w:r>
      <w:proofErr w:type="spellStart"/>
      <w:r w:rsidRPr="007D1B53">
        <w:t>mPFC</w:t>
      </w:r>
      <w:proofErr w:type="spellEnd"/>
      <w:r w:rsidRPr="007D1B53">
        <w:t xml:space="preserve"> coordinates responsivity to salience in an adaptive way, based on previous experiences (</w:t>
      </w:r>
      <w:r w:rsidRPr="003E1E6E">
        <w:t>Euston et al., 2012</w:t>
      </w:r>
      <w:r w:rsidRPr="007D1B53">
        <w:t xml:space="preserve">). The PCC is a critical structure in the default mode network, where it is implicated in </w:t>
      </w:r>
      <w:proofErr w:type="gramStart"/>
      <w:r w:rsidRPr="007D1B53">
        <w:t>internally-focused</w:t>
      </w:r>
      <w:proofErr w:type="gramEnd"/>
      <w:r w:rsidRPr="007D1B53">
        <w:t xml:space="preserve"> thought (</w:t>
      </w:r>
      <w:r w:rsidRPr="003E1E6E">
        <w:t>Leech and Sharp, 2014</w:t>
      </w:r>
      <w:r w:rsidRPr="007D1B53">
        <w:t xml:space="preserve">). Therefore, lesser structural connectivity between the </w:t>
      </w:r>
      <w:proofErr w:type="spellStart"/>
      <w:r w:rsidRPr="007D1B53">
        <w:t>mPFC</w:t>
      </w:r>
      <w:proofErr w:type="spellEnd"/>
      <w:r w:rsidRPr="007D1B53">
        <w:t xml:space="preserve"> and PCC in the acute aftermath of trauma may indicate unregulated and maladaptive activity that over time may result in re-experiencing or intrusive PTSD symptoms (</w:t>
      </w:r>
      <w:proofErr w:type="spellStart"/>
      <w:r w:rsidRPr="003E1E6E">
        <w:t>Siehl</w:t>
      </w:r>
      <w:proofErr w:type="spellEnd"/>
      <w:r w:rsidRPr="003E1E6E">
        <w:t xml:space="preserve"> et al., 2018</w:t>
      </w:r>
      <w:r w:rsidRPr="007D1B53">
        <w:t>). Degradation of this tract may lead to a reduction in top-down control of the prefrontal cortices over the PCC, leaving the PCC unregulated and free to engage in activity that enables symptom development and prevents recovery.</w:t>
      </w:r>
    </w:p>
    <w:p w14:paraId="7A950893" w14:textId="2C9D1539" w:rsidR="007D1B53" w:rsidRPr="007D1B53" w:rsidRDefault="007D1B53" w:rsidP="007D1B53">
      <w:r w:rsidRPr="007D1B53">
        <w:t>Previous work has demonstrated the left and right cingulum have unique microstructural properties that can be detected using DTI (</w:t>
      </w:r>
      <w:r w:rsidRPr="003E1E6E">
        <w:t>Jones et al., 2013</w:t>
      </w:r>
      <w:r w:rsidRPr="007D1B53">
        <w:t>). In addition, a slight bias toward changes within left hemisphere structure and function in relation to PTSD symptomology has been previously reported (</w:t>
      </w:r>
      <w:proofErr w:type="spellStart"/>
      <w:r w:rsidRPr="003E1E6E">
        <w:t>Bremner</w:t>
      </w:r>
      <w:proofErr w:type="spellEnd"/>
      <w:r w:rsidRPr="003E1E6E">
        <w:t>, 2006</w:t>
      </w:r>
      <w:r w:rsidRPr="007D1B53">
        <w:t>). These observations lend support for the current finding that specifically left, but not right, cingulum integrity was marginally related to PTSD symptoms.</w:t>
      </w:r>
    </w:p>
    <w:p w14:paraId="4276DE72" w14:textId="77777777" w:rsidR="007D1B53" w:rsidRPr="007D1B53" w:rsidRDefault="007D1B53" w:rsidP="007D1B53">
      <w:r w:rsidRPr="007D1B53">
        <w:t xml:space="preserve">Though the anterior cingulum finding aligns with the literature, the relationship demonstrated in the current sample was not robust. Further, no other T1 tract integrity, even in the supplemental analysis, demonstrated a relationship with chronic PTSD symptoms. These results were unexpected, but we offer up a few explanations. First, only 18% of participants (13 male and 14 female) met criteria for PTSD diagnosis according to the CAPS-5 at T2. Thus, there may not be sufficient variability in PTSD symptom </w:t>
      </w:r>
      <w:proofErr w:type="gramStart"/>
      <w:r w:rsidRPr="007D1B53">
        <w:t>severity</w:t>
      </w:r>
      <w:proofErr w:type="gramEnd"/>
      <w:r w:rsidRPr="007D1B53">
        <w:t xml:space="preserve"> or this sample may not have severe enough symptoms (</w:t>
      </w:r>
      <w:r w:rsidRPr="007D1B53">
        <w:rPr>
          <w:i/>
          <w:iCs/>
        </w:rPr>
        <w:t>M</w:t>
      </w:r>
      <w:r w:rsidRPr="007D1B53">
        <w:t> = 12.70, </w:t>
      </w:r>
      <w:r w:rsidRPr="007D1B53">
        <w:rPr>
          <w:i/>
          <w:iCs/>
        </w:rPr>
        <w:t>SD</w:t>
      </w:r>
      <w:r w:rsidRPr="007D1B53">
        <w:t> = 11.25) to effectively see differences in white matter. Especially in the acute stages after traumatic injury white matter integrity differences may not be apparent so early after injury. Alternatively, white matter integrity may not be significantly related to subclinical PTSD.</w:t>
      </w:r>
    </w:p>
    <w:p w14:paraId="65409CBE" w14:textId="7E6645B1" w:rsidR="007D1B53" w:rsidRPr="007D1B53" w:rsidRDefault="007D1B53" w:rsidP="007D1B53">
      <w:r w:rsidRPr="007D1B53">
        <w:t>Though our results trended toward </w:t>
      </w:r>
      <w:r w:rsidRPr="007D1B53">
        <w:rPr>
          <w:i/>
          <w:iCs/>
        </w:rPr>
        <w:t>lesser</w:t>
      </w:r>
      <w:r w:rsidRPr="007D1B53">
        <w:t> anterior cingulum related to </w:t>
      </w:r>
      <w:r w:rsidRPr="007D1B53">
        <w:rPr>
          <w:i/>
          <w:iCs/>
        </w:rPr>
        <w:t>greater</w:t>
      </w:r>
      <w:r w:rsidRPr="007D1B53">
        <w:t> PTSD symptom severity, many mixed findings of white matter integrity and symptoms in PTSD have been reported in the literature including other null results. These mixed findings could reflect how tract differences may differentially relate to symptoms based on whether you’re examining them as an acute post-trauma marker of risk or for chronic symptoms (when someone may have had symptoms for years). Most research of white matter integrity in PTSD has been done cross-sectionally, often </w:t>
      </w:r>
      <w:r w:rsidRPr="007D1B53">
        <w:rPr>
          <w:i/>
          <w:iCs/>
        </w:rPr>
        <w:t>after</w:t>
      </w:r>
      <w:r w:rsidRPr="007D1B53">
        <w:t> individuals have been diagnosed with PTSD, and compared across diagnostic groups rather than examining symptom severity as a continuous variable (</w:t>
      </w:r>
      <w:proofErr w:type="spellStart"/>
      <w:r w:rsidRPr="003E1E6E">
        <w:t>Siehl</w:t>
      </w:r>
      <w:proofErr w:type="spellEnd"/>
      <w:r w:rsidRPr="003E1E6E">
        <w:t xml:space="preserve"> et al., 2018</w:t>
      </w:r>
      <w:r w:rsidRPr="007D1B53">
        <w:t>; </w:t>
      </w:r>
      <w:r w:rsidRPr="003E1E6E">
        <w:t xml:space="preserve">Dennis et al., </w:t>
      </w:r>
      <w:r w:rsidRPr="003E1E6E">
        <w:lastRenderedPageBreak/>
        <w:t>2019</w:t>
      </w:r>
      <w:r w:rsidRPr="007D1B53">
        <w:t>; </w:t>
      </w:r>
      <w:r w:rsidRPr="003E1E6E">
        <w:t>Suo et al., 2019</w:t>
      </w:r>
      <w:r w:rsidRPr="007D1B53">
        <w:t>; </w:t>
      </w:r>
      <w:r w:rsidRPr="003E1E6E">
        <w:t>Ju et al., 2020</w:t>
      </w:r>
      <w:r w:rsidRPr="007D1B53">
        <w:t>). The current study extends the literature by examining acute integrity of white matter pathways related to chronic PTSD symptom severity and subclinical symptoms, rather than PTSD diagnosis, a more clinically relevant approach to early treatment intervention targeting specific symptoms in trauma survivors.</w:t>
      </w:r>
    </w:p>
    <w:p w14:paraId="7ACA2359" w14:textId="77777777" w:rsidR="007D1B53" w:rsidRPr="007D1B53" w:rsidRDefault="007D1B53" w:rsidP="007D1B53">
      <w:r w:rsidRPr="007D1B53">
        <w:t xml:space="preserve">It is important to note that patterns or changes in white matter integrity in the acute aftermath of trauma likely do not reflect structural brain changes that result directly from the index trauma. Rather, the integrity at this time point may reflect a general biological vulnerability or the preexisting accumulation of life stress and/or traumatic experiences prior to and in addition to the index trauma. It is near impossible to adequately separate prior trauma and stress from the index trauma or to effectively evaluate the relationship between the index trauma and its effect on the brain. Nonetheless, we believe evaluation of brain structure and function in the acute period after trauma still has predictive utility as it likely reflects biological vulnerability to the effects of trauma, possibly </w:t>
      </w:r>
      <w:proofErr w:type="gramStart"/>
      <w:r w:rsidRPr="007D1B53">
        <w:t>as a result of</w:t>
      </w:r>
      <w:proofErr w:type="gramEnd"/>
      <w:r w:rsidRPr="007D1B53">
        <w:t xml:space="preserve"> stress by providing a baseline measurement to then evaluate changes over time. To clarify these nuances, there is clear need to examine how changes in tract integrity post-trauma may provide better context of risk conference and symptom development </w:t>
      </w:r>
      <w:proofErr w:type="gramStart"/>
      <w:r w:rsidRPr="007D1B53">
        <w:t>through the use of</w:t>
      </w:r>
      <w:proofErr w:type="gramEnd"/>
      <w:r w:rsidRPr="007D1B53">
        <w:t xml:space="preserve"> longitudinal study designs with MRI scans at several time points post-trauma.</w:t>
      </w:r>
    </w:p>
    <w:p w14:paraId="37BB16FA" w14:textId="77777777" w:rsidR="007D1B53" w:rsidRPr="007D1B53" w:rsidRDefault="007D1B53" w:rsidP="00D22D31">
      <w:pPr>
        <w:pStyle w:val="Heading1"/>
      </w:pPr>
      <w:r w:rsidRPr="007D1B53">
        <w:t>Limitations</w:t>
      </w:r>
    </w:p>
    <w:p w14:paraId="1F6D4239" w14:textId="52BA68B1" w:rsidR="007D1B53" w:rsidRPr="007D1B53" w:rsidRDefault="007D1B53" w:rsidP="007D1B53">
      <w:r w:rsidRPr="007D1B53">
        <w:t xml:space="preserve">The current study is not without limitations. The requirement to score at least a three on the Predicting PTSD Questionnaire resulted in this study over-sampling individuals with high PTSD risk. Consequently, the results may not generalize to all traumatically injured samples. Similarly, mechanisms of injury varied across the sample. Various trauma types (i.e., </w:t>
      </w:r>
      <w:proofErr w:type="gramStart"/>
      <w:r w:rsidRPr="007D1B53">
        <w:t>assaultive</w:t>
      </w:r>
      <w:proofErr w:type="gramEnd"/>
      <w:r w:rsidRPr="007D1B53">
        <w:t xml:space="preserve"> or non-assaultive) may confer different likelihoods of trauma-related psychopathology (</w:t>
      </w:r>
      <w:r w:rsidRPr="003E1E6E">
        <w:t>Conrad et al., 2017</w:t>
      </w:r>
      <w:r w:rsidRPr="007D1B53">
        <w:t>; </w:t>
      </w:r>
      <w:r w:rsidRPr="003E1E6E">
        <w:t>Jakob et al., 2017</w:t>
      </w:r>
      <w:r w:rsidRPr="007D1B53">
        <w:t>); however, the sample was underpowered to adequately assess for these differences. In addition, the sample had moderate exposure to previous trauma, measured by the LEC, (</w:t>
      </w:r>
      <w:r w:rsidRPr="007D1B53">
        <w:rPr>
          <w:i/>
          <w:iCs/>
        </w:rPr>
        <w:t>M</w:t>
      </w:r>
      <w:r w:rsidRPr="007D1B53">
        <w:t> = 31.29, </w:t>
      </w:r>
      <w:r w:rsidRPr="007D1B53">
        <w:rPr>
          <w:i/>
          <w:iCs/>
        </w:rPr>
        <w:t>SD</w:t>
      </w:r>
      <w:r w:rsidRPr="007D1B53">
        <w:t> = 15.83) which has been shown to increase risk for PTSD and other psychopathology (</w:t>
      </w:r>
      <w:r w:rsidRPr="003E1E6E">
        <w:t>Karam et al., 2014</w:t>
      </w:r>
      <w:r w:rsidRPr="007D1B53">
        <w:t>; </w:t>
      </w:r>
      <w:r w:rsidRPr="003E1E6E">
        <w:t>Shalev et al., 2019</w:t>
      </w:r>
      <w:r w:rsidRPr="007D1B53">
        <w:t>) and may have confounded measurement of structural integrity and symptomology. Furthermore, self-reported symptomology (i.e., PCL-5) may be confounded by proximity to trauma, particularly at T1. Future research should continue to examine white matter as a predictor of psychopathology in the aftermath of trauma in a larger sample where variability in sample characteristics can be more appropriately accounted. Finally, owing to the sensitive population (e.g., recently injured trauma victims), we experienced loss of data due to head motion, likely a result of individual’s physical conditions making it difficult to lie still during MRI scanning.</w:t>
      </w:r>
    </w:p>
    <w:p w14:paraId="3D925089" w14:textId="77777777" w:rsidR="007D1B53" w:rsidRPr="007D1B53" w:rsidRDefault="007D1B53" w:rsidP="00D22D31">
      <w:pPr>
        <w:pStyle w:val="Heading1"/>
      </w:pPr>
      <w:r w:rsidRPr="007D1B53">
        <w:t>General Conclusion</w:t>
      </w:r>
    </w:p>
    <w:p w14:paraId="31286AB7" w14:textId="77777777" w:rsidR="007D1B53" w:rsidRPr="007D1B53" w:rsidRDefault="007D1B53" w:rsidP="007D1B53">
      <w:r w:rsidRPr="007D1B53">
        <w:t>In a traumatically injured sample with predominantly subclinical PTSD, the current study found no robust relationship between acute white matter integrity and chronic PTSD symptoms. These findings highlight the importance of timing when evaluating brain structure as a predictor of post-trauma outcomes. Despite the null findings, examination of brain structure and function in the acute post-trauma period is a critical for understanding risk of PTSD that may ultimately inform more effective treatments for trauma survivors.</w:t>
      </w:r>
    </w:p>
    <w:p w14:paraId="788BDE6A" w14:textId="77777777" w:rsidR="007D1B53" w:rsidRPr="007D1B53" w:rsidRDefault="007D1B53" w:rsidP="00D22D31">
      <w:pPr>
        <w:pStyle w:val="Heading1"/>
      </w:pPr>
      <w:r w:rsidRPr="007D1B53">
        <w:t>Data Availability Statement</w:t>
      </w:r>
    </w:p>
    <w:p w14:paraId="28E08112" w14:textId="66D7E5CB" w:rsidR="007D1B53" w:rsidRPr="007D1B53" w:rsidRDefault="007D1B53" w:rsidP="007D1B53">
      <w:r w:rsidRPr="007D1B53">
        <w:t xml:space="preserve">The datasets presented in this article are not readily available because we currently do not have IRB approval to share these </w:t>
      </w:r>
      <w:proofErr w:type="gramStart"/>
      <w:r w:rsidRPr="007D1B53">
        <w:t>data, but</w:t>
      </w:r>
      <w:proofErr w:type="gramEnd"/>
      <w:r w:rsidRPr="007D1B53">
        <w:t xml:space="preserve"> are working with them to see our data sharing options. Requests to access the datasets should be directed to CW, </w:t>
      </w:r>
      <w:proofErr w:type="spellStart"/>
      <w:r w:rsidRPr="003E1E6E">
        <w:t>ude.wcm@siewc</w:t>
      </w:r>
      <w:proofErr w:type="spellEnd"/>
      <w:r w:rsidRPr="007D1B53">
        <w:t>.</w:t>
      </w:r>
    </w:p>
    <w:p w14:paraId="50CCF0CB" w14:textId="77777777" w:rsidR="007D1B53" w:rsidRPr="007D1B53" w:rsidRDefault="007D1B53" w:rsidP="00D22D31">
      <w:pPr>
        <w:pStyle w:val="Heading1"/>
      </w:pPr>
      <w:r w:rsidRPr="007D1B53">
        <w:lastRenderedPageBreak/>
        <w:t>Ethics Statement</w:t>
      </w:r>
    </w:p>
    <w:p w14:paraId="613E8C5D" w14:textId="77777777" w:rsidR="007D1B53" w:rsidRPr="007D1B53" w:rsidRDefault="007D1B53" w:rsidP="007D1B53">
      <w:r w:rsidRPr="007D1B53">
        <w:t>The studies involving human participants were reviewed and approved by Medical College of Wisconsin Institutional Review Board. The patients/participants provided their written informed consent to participate in this study.</w:t>
      </w:r>
    </w:p>
    <w:p w14:paraId="69365C68" w14:textId="77777777" w:rsidR="007D1B53" w:rsidRPr="007D1B53" w:rsidRDefault="007D1B53" w:rsidP="00D22D31">
      <w:pPr>
        <w:pStyle w:val="Heading1"/>
      </w:pPr>
      <w:r w:rsidRPr="007D1B53">
        <w:t>Author Contributions</w:t>
      </w:r>
    </w:p>
    <w:p w14:paraId="6583F52B" w14:textId="77777777" w:rsidR="007D1B53" w:rsidRPr="007D1B53" w:rsidRDefault="007D1B53" w:rsidP="007D1B53">
      <w:r w:rsidRPr="007D1B53">
        <w:t>CW, Td-C, and CL contributed to the conception and design of the study. CW organized and analyzed the data and wrote the initial draft. All authors contributed to manuscript revision, read, and approved the submitted work.</w:t>
      </w:r>
    </w:p>
    <w:p w14:paraId="3DEC6C6E" w14:textId="77777777" w:rsidR="007D1B53" w:rsidRPr="007D1B53" w:rsidRDefault="007D1B53" w:rsidP="00D22D31">
      <w:pPr>
        <w:pStyle w:val="Heading1"/>
      </w:pPr>
      <w:r w:rsidRPr="007D1B53">
        <w:t>Conflict of Interest</w:t>
      </w:r>
    </w:p>
    <w:p w14:paraId="320892DA" w14:textId="77777777" w:rsidR="007D1B53" w:rsidRPr="007D1B53" w:rsidRDefault="007D1B53" w:rsidP="007D1B53">
      <w:r w:rsidRPr="007D1B53">
        <w:t>The authors declare that the research was conducted in the absence of any commercial or financial relationships that could be construed as a potential conflict of interest.</w:t>
      </w:r>
    </w:p>
    <w:p w14:paraId="43002A4D" w14:textId="77777777" w:rsidR="007D1B53" w:rsidRPr="007D1B53" w:rsidRDefault="007D1B53" w:rsidP="00D22D31">
      <w:pPr>
        <w:pStyle w:val="Heading1"/>
      </w:pPr>
      <w:r w:rsidRPr="007D1B53">
        <w:t>Publisher’s Note</w:t>
      </w:r>
    </w:p>
    <w:p w14:paraId="78639F71" w14:textId="77777777" w:rsidR="007D1B53" w:rsidRPr="007D1B53" w:rsidRDefault="007D1B53" w:rsidP="007D1B53">
      <w:r w:rsidRPr="007D1B53">
        <w:t xml:space="preserve">All claims expressed in this article are solely those of the authors and do not necessarily represent those of their affiliated organizations, or those of the publisher, the </w:t>
      </w:r>
      <w:proofErr w:type="gramStart"/>
      <w:r w:rsidRPr="007D1B53">
        <w:t>editors</w:t>
      </w:r>
      <w:proofErr w:type="gramEnd"/>
      <w:r w:rsidRPr="007D1B53">
        <w:t xml:space="preserve"> and the reviewers. Any product that may be evaluated in this article, or claim that may be made by its manufacturer, is not </w:t>
      </w:r>
      <w:proofErr w:type="gramStart"/>
      <w:r w:rsidRPr="007D1B53">
        <w:t>guaranteed</w:t>
      </w:r>
      <w:proofErr w:type="gramEnd"/>
      <w:r w:rsidRPr="007D1B53">
        <w:t xml:space="preserve"> or endorsed by the publisher.</w:t>
      </w:r>
    </w:p>
    <w:p w14:paraId="164B248F" w14:textId="77777777" w:rsidR="007D1B53" w:rsidRPr="007D1B53" w:rsidRDefault="007D1B53" w:rsidP="00D22D31">
      <w:pPr>
        <w:pStyle w:val="Heading1"/>
      </w:pPr>
      <w:r w:rsidRPr="007D1B53">
        <w:t>Acknowledgments</w:t>
      </w:r>
    </w:p>
    <w:p w14:paraId="5BC6374C" w14:textId="77777777" w:rsidR="007D1B53" w:rsidRPr="007D1B53" w:rsidRDefault="007D1B53" w:rsidP="007D1B53">
      <w:r w:rsidRPr="007D1B53">
        <w:t xml:space="preserve">We would like to extend a tremendous thanks to the </w:t>
      </w:r>
      <w:proofErr w:type="spellStart"/>
      <w:r w:rsidRPr="007D1B53">
        <w:t>iSTAR</w:t>
      </w:r>
      <w:proofErr w:type="spellEnd"/>
      <w:r w:rsidRPr="007D1B53">
        <w:t xml:space="preserve"> research team, especially Kate </w:t>
      </w:r>
      <w:proofErr w:type="spellStart"/>
      <w:r w:rsidRPr="007D1B53">
        <w:t>Isely</w:t>
      </w:r>
      <w:proofErr w:type="spellEnd"/>
      <w:r w:rsidRPr="007D1B53">
        <w:t xml:space="preserve">, Sarah Damiano, and Maddy </w:t>
      </w:r>
      <w:proofErr w:type="spellStart"/>
      <w:r w:rsidRPr="007D1B53">
        <w:t>Kallenbach</w:t>
      </w:r>
      <w:proofErr w:type="spellEnd"/>
      <w:r w:rsidRPr="007D1B53">
        <w:t>.</w:t>
      </w:r>
    </w:p>
    <w:p w14:paraId="7C194FB8" w14:textId="77777777" w:rsidR="007D1B53" w:rsidRPr="007D1B53" w:rsidRDefault="007D1B53" w:rsidP="00D22D31">
      <w:pPr>
        <w:pStyle w:val="Heading1"/>
      </w:pPr>
      <w:r w:rsidRPr="007D1B53">
        <w:t>Funding</w:t>
      </w:r>
    </w:p>
    <w:p w14:paraId="721443CC" w14:textId="77777777" w:rsidR="007D1B53" w:rsidRPr="007D1B53" w:rsidRDefault="007D1B53" w:rsidP="007D1B53">
      <w:r w:rsidRPr="007D1B53">
        <w:t>Support for the work within this article include a NIH grant R01-M1H106574 (PI: CL) and a Medical College of Wisconsin CTSI Pilot Award (PI: Td-C). EW was supported by the National Center for Advancing Translational Sciences, National Institutes of Health, through Grant Number 2TL1TR001437.</w:t>
      </w:r>
    </w:p>
    <w:p w14:paraId="722CDF85" w14:textId="77777777" w:rsidR="007D1B53" w:rsidRPr="007D1B53" w:rsidRDefault="007D1B53" w:rsidP="00D22D31">
      <w:pPr>
        <w:pStyle w:val="Heading1"/>
      </w:pPr>
      <w:r w:rsidRPr="007D1B53">
        <w:t>Supplementary Material</w:t>
      </w:r>
    </w:p>
    <w:p w14:paraId="3E87DD83" w14:textId="6D402D3B" w:rsidR="007D1B53" w:rsidRPr="007D1B53" w:rsidRDefault="007D1B53" w:rsidP="007D1B53">
      <w:r w:rsidRPr="007D1B53">
        <w:t>The Supplementary Material for this article can be found online at: </w:t>
      </w:r>
      <w:r w:rsidRPr="003E1E6E">
        <w:t>https://www.frontiersin.org/articles/10.3389/fnhum.2021.742198/full#supplementary-material</w:t>
      </w:r>
    </w:p>
    <w:p w14:paraId="7D49CF84" w14:textId="45A8DB52" w:rsidR="007D1B53" w:rsidRPr="007D1B53" w:rsidRDefault="007D1B53" w:rsidP="007D1B53">
      <w:r w:rsidRPr="003E1E6E">
        <w:t xml:space="preserve">Click here for additional data </w:t>
      </w:r>
      <w:proofErr w:type="gramStart"/>
      <w:r w:rsidRPr="003E1E6E">
        <w:t>file.</w:t>
      </w:r>
      <w:r w:rsidRPr="007D1B53">
        <w:rPr>
          <w:vertAlign w:val="superscript"/>
        </w:rPr>
        <w:t>(</w:t>
      </w:r>
      <w:proofErr w:type="gramEnd"/>
      <w:r w:rsidRPr="007D1B53">
        <w:rPr>
          <w:vertAlign w:val="superscript"/>
        </w:rPr>
        <w:t>345K, pdf)</w:t>
      </w:r>
    </w:p>
    <w:p w14:paraId="1F8C3536" w14:textId="77777777" w:rsidR="007D1B53" w:rsidRPr="007D1B53" w:rsidRDefault="007D1B53" w:rsidP="00D22D31">
      <w:pPr>
        <w:pStyle w:val="Heading1"/>
      </w:pPr>
      <w:r w:rsidRPr="007D1B53">
        <w:t>References</w:t>
      </w:r>
    </w:p>
    <w:p w14:paraId="60E21F7F" w14:textId="56472C87" w:rsidR="007D1B53" w:rsidRPr="007D1B53" w:rsidRDefault="007D1B53" w:rsidP="003E1E6E">
      <w:pPr>
        <w:pStyle w:val="NoSpacing"/>
        <w:ind w:left="720" w:hanging="720"/>
      </w:pPr>
      <w:r w:rsidRPr="007D1B53">
        <w:t xml:space="preserve">Abe O., </w:t>
      </w:r>
      <w:proofErr w:type="spellStart"/>
      <w:r w:rsidRPr="007D1B53">
        <w:t>Yamasue</w:t>
      </w:r>
      <w:proofErr w:type="spellEnd"/>
      <w:r w:rsidRPr="007D1B53">
        <w:t xml:space="preserve"> H., Kasai K., Yamada H., Aoki S., Iwanami A., et al. (2006). Voxel-based diffusion tensor analysis reveals aberrant anterior cingulum integrity in posttraumatic stress disorder due to terrorism. </w:t>
      </w:r>
      <w:r w:rsidRPr="007D1B53">
        <w:rPr>
          <w:i/>
          <w:iCs/>
        </w:rPr>
        <w:t>Psychiatry Res.</w:t>
      </w:r>
      <w:r w:rsidRPr="007D1B53">
        <w:t xml:space="preserve"> 146 231–242. 10.1016/j.pscychresns.2006.01.004 </w:t>
      </w:r>
    </w:p>
    <w:p w14:paraId="5DDF44E5" w14:textId="06388B86" w:rsidR="007D1B53" w:rsidRPr="007D1B53" w:rsidRDefault="007D1B53" w:rsidP="003E1E6E">
      <w:pPr>
        <w:pStyle w:val="NoSpacing"/>
        <w:ind w:left="720" w:hanging="720"/>
      </w:pPr>
      <w:proofErr w:type="spellStart"/>
      <w:r w:rsidRPr="007D1B53">
        <w:t>Akiki</w:t>
      </w:r>
      <w:proofErr w:type="spellEnd"/>
      <w:r w:rsidRPr="007D1B53">
        <w:t xml:space="preserve"> T. J., Averill C. L., Abdallah C. G. (2017). A network-based neurobiological model of PTSD: evidence from structural and functional neuroimaging studies. </w:t>
      </w:r>
      <w:proofErr w:type="spellStart"/>
      <w:r w:rsidRPr="007D1B53">
        <w:rPr>
          <w:i/>
          <w:iCs/>
        </w:rPr>
        <w:t>Curr</w:t>
      </w:r>
      <w:proofErr w:type="spellEnd"/>
      <w:r w:rsidRPr="007D1B53">
        <w:rPr>
          <w:i/>
          <w:iCs/>
        </w:rPr>
        <w:t>. Psychiatry Rep.</w:t>
      </w:r>
      <w:r w:rsidRPr="007D1B53">
        <w:t> 19 81–84. 10.1007/s11920-017-0840-4 </w:t>
      </w:r>
    </w:p>
    <w:p w14:paraId="5962E566" w14:textId="4E130DBC" w:rsidR="007D1B53" w:rsidRPr="007D1B53" w:rsidRDefault="007D1B53" w:rsidP="003E1E6E">
      <w:pPr>
        <w:pStyle w:val="NoSpacing"/>
        <w:ind w:left="720" w:hanging="720"/>
      </w:pPr>
      <w:r w:rsidRPr="007D1B53">
        <w:t>Alexander A. L., Lee J. E., Lazar M., Field A. S. (2007). Diffusion tensor imaging of the brain. </w:t>
      </w:r>
      <w:r w:rsidRPr="007D1B53">
        <w:rPr>
          <w:i/>
          <w:iCs/>
        </w:rPr>
        <w:t>Neurotherapeutics</w:t>
      </w:r>
      <w:r w:rsidRPr="007D1B53">
        <w:t> 4 6–329. 10.1016/j.nurt.2007.05.011 </w:t>
      </w:r>
    </w:p>
    <w:p w14:paraId="42075C96" w14:textId="56E0AFF1" w:rsidR="007D1B53" w:rsidRPr="007D1B53" w:rsidRDefault="007D1B53" w:rsidP="003E1E6E">
      <w:pPr>
        <w:pStyle w:val="NoSpacing"/>
        <w:ind w:left="720" w:hanging="720"/>
      </w:pPr>
      <w:r w:rsidRPr="007D1B53">
        <w:lastRenderedPageBreak/>
        <w:t>American Psychiatric Association. (2013). </w:t>
      </w:r>
      <w:r w:rsidRPr="007D1B53">
        <w:rPr>
          <w:i/>
          <w:iCs/>
        </w:rPr>
        <w:t>Diagnostic and Statistical Manual of Mental Disorders, 5th Edition: dSM-5.</w:t>
      </w:r>
      <w:r w:rsidRPr="007D1B53">
        <w:t xml:space="preserve"> United States: American Psychiatric Publishing. 10.1176/appi.books.9780890425596 </w:t>
      </w:r>
    </w:p>
    <w:p w14:paraId="2F77BADD" w14:textId="5BF37C3F" w:rsidR="007D1B53" w:rsidRPr="007D1B53" w:rsidRDefault="007D1B53" w:rsidP="003E1E6E">
      <w:pPr>
        <w:pStyle w:val="NoSpacing"/>
        <w:ind w:left="720" w:hanging="720"/>
      </w:pPr>
      <w:r w:rsidRPr="007D1B53">
        <w:t xml:space="preserve">Averill C. L., Averill L. A., </w:t>
      </w:r>
      <w:proofErr w:type="spellStart"/>
      <w:r w:rsidRPr="007D1B53">
        <w:t>Wrocklage</w:t>
      </w:r>
      <w:proofErr w:type="spellEnd"/>
      <w:r w:rsidRPr="007D1B53">
        <w:t xml:space="preserve"> K. M., Scott J. C., </w:t>
      </w:r>
      <w:proofErr w:type="spellStart"/>
      <w:r w:rsidRPr="007D1B53">
        <w:t>Akiki</w:t>
      </w:r>
      <w:proofErr w:type="spellEnd"/>
      <w:r w:rsidRPr="007D1B53">
        <w:t xml:space="preserve"> T. J., </w:t>
      </w:r>
      <w:proofErr w:type="spellStart"/>
      <w:r w:rsidRPr="007D1B53">
        <w:t>Schweinsburg</w:t>
      </w:r>
      <w:proofErr w:type="spellEnd"/>
      <w:r w:rsidRPr="007D1B53">
        <w:t xml:space="preserve"> B., et al. (2018). Altered white matter diffusivity of the cingulum angular bundle in posttraumatic stress disorder. </w:t>
      </w:r>
      <w:r w:rsidRPr="007D1B53">
        <w:rPr>
          <w:i/>
          <w:iCs/>
        </w:rPr>
        <w:t>Mol. Neuropsychiatry</w:t>
      </w:r>
      <w:r w:rsidRPr="007D1B53">
        <w:t> 4 75–82. 10.1159/000490464 </w:t>
      </w:r>
    </w:p>
    <w:p w14:paraId="1F4877FE" w14:textId="259B14ED" w:rsidR="007D1B53" w:rsidRPr="007D1B53" w:rsidRDefault="007D1B53" w:rsidP="003E1E6E">
      <w:pPr>
        <w:pStyle w:val="NoSpacing"/>
        <w:ind w:left="720" w:hanging="720"/>
      </w:pPr>
      <w:proofErr w:type="spellStart"/>
      <w:r w:rsidRPr="007D1B53">
        <w:t>Benjamini</w:t>
      </w:r>
      <w:proofErr w:type="spellEnd"/>
      <w:r w:rsidRPr="007D1B53">
        <w:t xml:space="preserve"> Y., Hochberg Y. (1995). Controlling the false discovery rate: a practical and powerful approach to multiple testing. </w:t>
      </w:r>
      <w:r w:rsidRPr="007D1B53">
        <w:rPr>
          <w:i/>
          <w:iCs/>
        </w:rPr>
        <w:t>J. R. Stat. Soc. Ser. B</w:t>
      </w:r>
      <w:r w:rsidRPr="007D1B53">
        <w:t> 57 289–300. </w:t>
      </w:r>
    </w:p>
    <w:p w14:paraId="3A301E98" w14:textId="372B2FB3" w:rsidR="007D1B53" w:rsidRPr="007D1B53" w:rsidRDefault="007D1B53" w:rsidP="003E1E6E">
      <w:pPr>
        <w:pStyle w:val="NoSpacing"/>
        <w:ind w:left="720" w:hanging="720"/>
      </w:pPr>
      <w:proofErr w:type="spellStart"/>
      <w:r w:rsidRPr="007D1B53">
        <w:t>Bierer</w:t>
      </w:r>
      <w:proofErr w:type="spellEnd"/>
      <w:r w:rsidRPr="007D1B53">
        <w:t xml:space="preserve"> L. M., Ivanov I., Carpenter D. M., Wong E. W., </w:t>
      </w:r>
      <w:proofErr w:type="spellStart"/>
      <w:r w:rsidRPr="007D1B53">
        <w:t>Golier</w:t>
      </w:r>
      <w:proofErr w:type="spellEnd"/>
      <w:r w:rsidRPr="007D1B53">
        <w:t xml:space="preserve"> J. A., Tang C. Y., et al. (2015). White matter abnormalities in Gulf War veterans with posttraumatic stress disorder: a pilot study. </w:t>
      </w:r>
      <w:proofErr w:type="spellStart"/>
      <w:r w:rsidRPr="007D1B53">
        <w:rPr>
          <w:i/>
          <w:iCs/>
        </w:rPr>
        <w:t>Psychoneuroendocrinology</w:t>
      </w:r>
      <w:proofErr w:type="spellEnd"/>
      <w:r w:rsidRPr="007D1B53">
        <w:t xml:space="preserve"> 51 567–576. 10.1016/j.psyneuen.2014.11.007 </w:t>
      </w:r>
    </w:p>
    <w:p w14:paraId="63128675" w14:textId="3F7D5176" w:rsidR="007D1B53" w:rsidRPr="007D1B53" w:rsidRDefault="007D1B53" w:rsidP="003E1E6E">
      <w:pPr>
        <w:pStyle w:val="NoSpacing"/>
        <w:ind w:left="720" w:hanging="720"/>
      </w:pPr>
      <w:r w:rsidRPr="007D1B53">
        <w:t xml:space="preserve">Bird C. M., Webb E. K., Schramm A. T., Torres L., Larson C., </w:t>
      </w:r>
      <w:proofErr w:type="spellStart"/>
      <w:r w:rsidRPr="007D1B53">
        <w:t>deRoon</w:t>
      </w:r>
      <w:proofErr w:type="spellEnd"/>
      <w:r w:rsidRPr="007D1B53">
        <w:t>-Cassini T. A. (2021). Racial discrimination is associated with acute posttraumatic stress symptoms and predicts future posttraumatic stress disorder symptom severity in trauma-exposed black adults in the United States. </w:t>
      </w:r>
      <w:r w:rsidRPr="007D1B53">
        <w:rPr>
          <w:i/>
          <w:iCs/>
        </w:rPr>
        <w:t>J. Trauma. Stress</w:t>
      </w:r>
      <w:r w:rsidRPr="007D1B53">
        <w:t xml:space="preserve"> 22670. 10.1002/jts.22670 </w:t>
      </w:r>
      <w:proofErr w:type="spellStart"/>
      <w:r w:rsidRPr="007D1B53">
        <w:t>Epub</w:t>
      </w:r>
      <w:proofErr w:type="spellEnd"/>
      <w:r w:rsidRPr="007D1B53">
        <w:t xml:space="preserve"> online ahead of print. </w:t>
      </w:r>
    </w:p>
    <w:p w14:paraId="58BD1D28" w14:textId="3462D25F" w:rsidR="007D1B53" w:rsidRPr="007D1B53" w:rsidRDefault="007D1B53" w:rsidP="003E1E6E">
      <w:pPr>
        <w:pStyle w:val="NoSpacing"/>
        <w:ind w:left="720" w:hanging="720"/>
      </w:pPr>
      <w:r w:rsidRPr="007D1B53">
        <w:t>Blevins C. A., Weathers F. W., Davis M. T., Witte T. K., Domino J. L. (2015). The Posttraumatic Stress Disorder Checklist for DSM-5 (PCL-5): development and initial psychometric evaluation. </w:t>
      </w:r>
      <w:r w:rsidRPr="007D1B53">
        <w:rPr>
          <w:i/>
          <w:iCs/>
        </w:rPr>
        <w:t>J. Trauma. Stress</w:t>
      </w:r>
      <w:r w:rsidRPr="007D1B53">
        <w:t xml:space="preserve"> 28 489–498. 10.1002/jts.22059 </w:t>
      </w:r>
    </w:p>
    <w:p w14:paraId="6A145B86" w14:textId="193E8C62" w:rsidR="007D1B53" w:rsidRPr="007D1B53" w:rsidRDefault="007D1B53" w:rsidP="003E1E6E">
      <w:pPr>
        <w:pStyle w:val="NoSpacing"/>
        <w:ind w:left="720" w:hanging="720"/>
      </w:pPr>
      <w:proofErr w:type="spellStart"/>
      <w:r w:rsidRPr="007D1B53">
        <w:t>Bremner</w:t>
      </w:r>
      <w:proofErr w:type="spellEnd"/>
      <w:r w:rsidRPr="007D1B53">
        <w:t xml:space="preserve"> J. D. (2005). Effects of traumatic stress on brain structure and function: relevance to early responses to trauma. </w:t>
      </w:r>
      <w:r w:rsidRPr="007D1B53">
        <w:rPr>
          <w:i/>
          <w:iCs/>
        </w:rPr>
        <w:t xml:space="preserve">J. Trauma </w:t>
      </w:r>
      <w:proofErr w:type="spellStart"/>
      <w:r w:rsidRPr="007D1B53">
        <w:rPr>
          <w:i/>
          <w:iCs/>
        </w:rPr>
        <w:t>Dissoc</w:t>
      </w:r>
      <w:proofErr w:type="spellEnd"/>
      <w:r w:rsidRPr="007D1B53">
        <w:rPr>
          <w:i/>
          <w:iCs/>
        </w:rPr>
        <w:t>.</w:t>
      </w:r>
      <w:r w:rsidRPr="007D1B53">
        <w:t xml:space="preserve"> 6 51–68. 10.1300/J229v06n02_06 </w:t>
      </w:r>
    </w:p>
    <w:p w14:paraId="2A081546" w14:textId="00F9BBFF" w:rsidR="007D1B53" w:rsidRPr="007D1B53" w:rsidRDefault="007D1B53" w:rsidP="003E1E6E">
      <w:pPr>
        <w:pStyle w:val="NoSpacing"/>
        <w:ind w:left="720" w:hanging="720"/>
      </w:pPr>
      <w:proofErr w:type="spellStart"/>
      <w:r w:rsidRPr="007D1B53">
        <w:t>Bremner</w:t>
      </w:r>
      <w:proofErr w:type="spellEnd"/>
      <w:r w:rsidRPr="007D1B53">
        <w:t xml:space="preserve"> J. D. (2006). Traumatic stress: effects on the brain. </w:t>
      </w:r>
      <w:r w:rsidRPr="007D1B53">
        <w:rPr>
          <w:i/>
          <w:iCs/>
        </w:rPr>
        <w:t xml:space="preserve">Dialog. Clin. </w:t>
      </w:r>
      <w:proofErr w:type="spellStart"/>
      <w:r w:rsidRPr="007D1B53">
        <w:rPr>
          <w:i/>
          <w:iCs/>
        </w:rPr>
        <w:t>Neurosci</w:t>
      </w:r>
      <w:proofErr w:type="spellEnd"/>
      <w:r w:rsidRPr="007D1B53">
        <w:rPr>
          <w:i/>
          <w:iCs/>
        </w:rPr>
        <w:t>.</w:t>
      </w:r>
      <w:r w:rsidRPr="007D1B53">
        <w:t> 8 445–461. </w:t>
      </w:r>
    </w:p>
    <w:p w14:paraId="1324DFFF" w14:textId="5188AE9F" w:rsidR="007D1B53" w:rsidRPr="007D1B53" w:rsidRDefault="007D1B53" w:rsidP="003E1E6E">
      <w:pPr>
        <w:pStyle w:val="NoSpacing"/>
        <w:ind w:left="720" w:hanging="720"/>
      </w:pPr>
      <w:r w:rsidRPr="007D1B53">
        <w:t>Bryant R. A. (2003). Early predictors of posttraumatic stress disorder. </w:t>
      </w:r>
      <w:r w:rsidRPr="007D1B53">
        <w:rPr>
          <w:i/>
          <w:iCs/>
        </w:rPr>
        <w:t>Biol. Psychiatry</w:t>
      </w:r>
      <w:r w:rsidRPr="007D1B53">
        <w:t xml:space="preserve"> 53 789–795. </w:t>
      </w:r>
    </w:p>
    <w:p w14:paraId="08B1EAA5" w14:textId="1AB500A4" w:rsidR="007D1B53" w:rsidRPr="007D1B53" w:rsidRDefault="007D1B53" w:rsidP="003E1E6E">
      <w:pPr>
        <w:pStyle w:val="NoSpacing"/>
        <w:ind w:left="720" w:hanging="720"/>
      </w:pPr>
      <w:proofErr w:type="spellStart"/>
      <w:r w:rsidRPr="007D1B53">
        <w:t>Cloitre</w:t>
      </w:r>
      <w:proofErr w:type="spellEnd"/>
      <w:r w:rsidRPr="007D1B53">
        <w:t xml:space="preserve"> M., Hyland P., Bisson J. I., Brewin C. R., Roberts N. P., </w:t>
      </w:r>
      <w:proofErr w:type="spellStart"/>
      <w:r w:rsidRPr="007D1B53">
        <w:t>Karatzias</w:t>
      </w:r>
      <w:proofErr w:type="spellEnd"/>
      <w:r w:rsidRPr="007D1B53">
        <w:t xml:space="preserve"> T., et al. (2019). ICD-11 posttraumatic stress disorder and complex posttraumatic stress disorder in the United States: </w:t>
      </w:r>
      <w:proofErr w:type="gramStart"/>
      <w:r w:rsidRPr="007D1B53">
        <w:t>a</w:t>
      </w:r>
      <w:proofErr w:type="gramEnd"/>
      <w:r w:rsidRPr="007D1B53">
        <w:t xml:space="preserve"> Population-Based Study. </w:t>
      </w:r>
      <w:r w:rsidRPr="007D1B53">
        <w:rPr>
          <w:i/>
          <w:iCs/>
        </w:rPr>
        <w:t>J. Trauma. Stress</w:t>
      </w:r>
      <w:r w:rsidRPr="007D1B53">
        <w:t xml:space="preserve"> 32 833–842. 10.1002/jts.22454 </w:t>
      </w:r>
    </w:p>
    <w:p w14:paraId="2C83677A" w14:textId="567FC138" w:rsidR="007D1B53" w:rsidRPr="007D1B53" w:rsidRDefault="007D1B53" w:rsidP="003E1E6E">
      <w:pPr>
        <w:pStyle w:val="NoSpacing"/>
        <w:ind w:left="720" w:hanging="720"/>
      </w:pPr>
      <w:r w:rsidRPr="007D1B53">
        <w:t xml:space="preserve">Conrad D., </w:t>
      </w:r>
      <w:proofErr w:type="spellStart"/>
      <w:r w:rsidRPr="007D1B53">
        <w:t>Wilker</w:t>
      </w:r>
      <w:proofErr w:type="spellEnd"/>
      <w:r w:rsidRPr="007D1B53">
        <w:t xml:space="preserve"> S., Pfeiffer A., </w:t>
      </w:r>
      <w:proofErr w:type="spellStart"/>
      <w:r w:rsidRPr="007D1B53">
        <w:t>Lingenfelder</w:t>
      </w:r>
      <w:proofErr w:type="spellEnd"/>
      <w:r w:rsidRPr="007D1B53">
        <w:t xml:space="preserve"> B., </w:t>
      </w:r>
      <w:proofErr w:type="spellStart"/>
      <w:r w:rsidRPr="007D1B53">
        <w:t>Ebalu</w:t>
      </w:r>
      <w:proofErr w:type="spellEnd"/>
      <w:r w:rsidRPr="007D1B53">
        <w:t xml:space="preserve"> T., </w:t>
      </w:r>
      <w:proofErr w:type="spellStart"/>
      <w:r w:rsidRPr="007D1B53">
        <w:t>Lanzinger</w:t>
      </w:r>
      <w:proofErr w:type="spellEnd"/>
      <w:r w:rsidRPr="007D1B53">
        <w:t xml:space="preserve"> H., et al. (2017). Does trauma event type matter in the assessment of traumatic load? </w:t>
      </w:r>
      <w:r w:rsidRPr="007D1B53">
        <w:rPr>
          <w:i/>
          <w:iCs/>
        </w:rPr>
        <w:t xml:space="preserve">Eur. J. </w:t>
      </w:r>
      <w:proofErr w:type="spellStart"/>
      <w:r w:rsidRPr="007D1B53">
        <w:rPr>
          <w:i/>
          <w:iCs/>
        </w:rPr>
        <w:t>Psychotraumatol</w:t>
      </w:r>
      <w:proofErr w:type="spellEnd"/>
      <w:r w:rsidRPr="007D1B53">
        <w:rPr>
          <w:i/>
          <w:iCs/>
        </w:rPr>
        <w:t>.</w:t>
      </w:r>
      <w:r w:rsidRPr="007D1B53">
        <w:t> 8:1344079. 10.1080/20008198.2017.1344079 </w:t>
      </w:r>
    </w:p>
    <w:p w14:paraId="48257B40" w14:textId="2EAFD060" w:rsidR="007D1B53" w:rsidRPr="007D1B53" w:rsidRDefault="007D1B53" w:rsidP="003E1E6E">
      <w:pPr>
        <w:pStyle w:val="NoSpacing"/>
        <w:ind w:left="720" w:hanging="720"/>
      </w:pPr>
      <w:r w:rsidRPr="007D1B53">
        <w:t>R Core Team (2020). </w:t>
      </w:r>
      <w:r w:rsidRPr="007D1B53">
        <w:rPr>
          <w:i/>
          <w:iCs/>
        </w:rPr>
        <w:t>R: a language and environment for statistical computing. R Foundation for Statistical Computing.</w:t>
      </w:r>
      <w:r w:rsidRPr="007D1B53">
        <w:t xml:space="preserve"> Vienna. </w:t>
      </w:r>
      <w:proofErr w:type="spellStart"/>
      <w:r w:rsidRPr="007D1B53">
        <w:t>Availale</w:t>
      </w:r>
      <w:proofErr w:type="spellEnd"/>
      <w:r w:rsidRPr="007D1B53">
        <w:t xml:space="preserve"> online at: </w:t>
      </w:r>
      <w:r w:rsidRPr="00D22D31">
        <w:t>https://www.R-project.org/</w:t>
      </w:r>
      <w:r w:rsidRPr="007D1B53">
        <w:t> (accessed June 2020). </w:t>
      </w:r>
    </w:p>
    <w:p w14:paraId="60F62E79" w14:textId="3796A0B8" w:rsidR="007D1B53" w:rsidRPr="007D1B53" w:rsidRDefault="007D1B53" w:rsidP="003E1E6E">
      <w:pPr>
        <w:pStyle w:val="NoSpacing"/>
        <w:ind w:left="720" w:hanging="720"/>
      </w:pPr>
      <w:r w:rsidRPr="007D1B53">
        <w:t xml:space="preserve">Daniels J. K., </w:t>
      </w:r>
      <w:proofErr w:type="spellStart"/>
      <w:r w:rsidRPr="007D1B53">
        <w:t>Lamke</w:t>
      </w:r>
      <w:proofErr w:type="spellEnd"/>
      <w:r w:rsidRPr="007D1B53">
        <w:t xml:space="preserve"> J. P., </w:t>
      </w:r>
      <w:proofErr w:type="spellStart"/>
      <w:r w:rsidRPr="007D1B53">
        <w:t>Gaebler</w:t>
      </w:r>
      <w:proofErr w:type="spellEnd"/>
      <w:r w:rsidRPr="007D1B53">
        <w:t xml:space="preserve"> M., Walter H., Scheel M. (2013). White matter integrity and its relationship to PTSD and childhood trauma–a systematic review and meta-analysis. </w:t>
      </w:r>
      <w:proofErr w:type="spellStart"/>
      <w:r w:rsidRPr="007D1B53">
        <w:rPr>
          <w:i/>
          <w:iCs/>
        </w:rPr>
        <w:t>Depr</w:t>
      </w:r>
      <w:proofErr w:type="spellEnd"/>
      <w:r w:rsidRPr="007D1B53">
        <w:rPr>
          <w:i/>
          <w:iCs/>
        </w:rPr>
        <w:t xml:space="preserve"> Anxiety</w:t>
      </w:r>
      <w:r w:rsidRPr="007D1B53">
        <w:t xml:space="preserve"> 30 207–216. 10.1002/da.22044 </w:t>
      </w:r>
    </w:p>
    <w:p w14:paraId="5F61CB32" w14:textId="0FF5F6AC" w:rsidR="007D1B53" w:rsidRPr="007D1B53" w:rsidRDefault="007D1B53" w:rsidP="003E1E6E">
      <w:pPr>
        <w:pStyle w:val="NoSpacing"/>
        <w:ind w:left="720" w:hanging="720"/>
      </w:pPr>
      <w:r w:rsidRPr="007D1B53">
        <w:t xml:space="preserve">Dennis E. L., </w:t>
      </w:r>
      <w:proofErr w:type="spellStart"/>
      <w:r w:rsidRPr="007D1B53">
        <w:t>Disner</w:t>
      </w:r>
      <w:proofErr w:type="spellEnd"/>
      <w:r w:rsidRPr="007D1B53">
        <w:t xml:space="preserve"> S. G., </w:t>
      </w:r>
      <w:proofErr w:type="spellStart"/>
      <w:r w:rsidRPr="007D1B53">
        <w:t>Fani</w:t>
      </w:r>
      <w:proofErr w:type="spellEnd"/>
      <w:r w:rsidRPr="007D1B53">
        <w:t xml:space="preserve"> N., </w:t>
      </w:r>
      <w:proofErr w:type="spellStart"/>
      <w:r w:rsidRPr="007D1B53">
        <w:t>Salminen</w:t>
      </w:r>
      <w:proofErr w:type="spellEnd"/>
      <w:r w:rsidRPr="007D1B53">
        <w:t xml:space="preserve"> L. E., Logue M., Clarke E. K., et al. (2019). Altered white matter microstructural organization in posttraumatic stress disorder across 3047 adults: results from the PGC-ENIGMA PTSD consortium. </w:t>
      </w:r>
      <w:r w:rsidRPr="007D1B53">
        <w:rPr>
          <w:i/>
          <w:iCs/>
        </w:rPr>
        <w:t>Mol. Psychiatry</w:t>
      </w:r>
      <w:r w:rsidRPr="007D1B53">
        <w:t> 19 10.1038/s41380-019-0631-x. 10.1038/s41380-019-0631-x </w:t>
      </w:r>
    </w:p>
    <w:p w14:paraId="45BD24F1" w14:textId="46CDA2DB" w:rsidR="007D1B53" w:rsidRPr="007D1B53" w:rsidRDefault="007D1B53" w:rsidP="003E1E6E">
      <w:pPr>
        <w:pStyle w:val="NoSpacing"/>
        <w:ind w:left="720" w:hanging="720"/>
      </w:pPr>
      <w:r w:rsidRPr="007D1B53">
        <w:t>Euston D. R., Gruber A. J., McNaughton B. L. (2012). The role of medial prefrontal cortex in memory and decision making. </w:t>
      </w:r>
      <w:r w:rsidRPr="007D1B53">
        <w:rPr>
          <w:i/>
          <w:iCs/>
        </w:rPr>
        <w:t>Neuron</w:t>
      </w:r>
      <w:r w:rsidRPr="007D1B53">
        <w:t> 76 1057–1070. 10.1016/j.neuron.2012.12.002 </w:t>
      </w:r>
    </w:p>
    <w:p w14:paraId="043EFAFC" w14:textId="1CBD3535" w:rsidR="007D1B53" w:rsidRPr="007D1B53" w:rsidRDefault="007D1B53" w:rsidP="003E1E6E">
      <w:pPr>
        <w:pStyle w:val="NoSpacing"/>
        <w:ind w:left="720" w:hanging="720"/>
      </w:pPr>
      <w:proofErr w:type="spellStart"/>
      <w:r w:rsidRPr="007D1B53">
        <w:t>Fani</w:t>
      </w:r>
      <w:proofErr w:type="spellEnd"/>
      <w:r w:rsidRPr="007D1B53">
        <w:t xml:space="preserve"> N., Clifford Z., Stevens J., </w:t>
      </w:r>
      <w:proofErr w:type="spellStart"/>
      <w:r w:rsidRPr="007D1B53">
        <w:t>Rooij</w:t>
      </w:r>
      <w:proofErr w:type="spellEnd"/>
      <w:r w:rsidRPr="007D1B53">
        <w:t xml:space="preserve"> S., van, Jovanovic T., </w:t>
      </w:r>
      <w:proofErr w:type="spellStart"/>
      <w:r w:rsidRPr="007D1B53">
        <w:t>Rothbaum</w:t>
      </w:r>
      <w:proofErr w:type="spellEnd"/>
      <w:r w:rsidRPr="007D1B53">
        <w:t xml:space="preserve"> B., et al. (2017). White matter biomarkers of risk for posttraumatic anhedonia: a prospective examination. </w:t>
      </w:r>
      <w:r w:rsidRPr="007D1B53">
        <w:rPr>
          <w:i/>
          <w:iCs/>
        </w:rPr>
        <w:t>Neuropsychopharmacology</w:t>
      </w:r>
      <w:r w:rsidRPr="007D1B53">
        <w:t> </w:t>
      </w:r>
      <w:proofErr w:type="gramStart"/>
      <w:r w:rsidRPr="007D1B53">
        <w:t>42:S</w:t>
      </w:r>
      <w:proofErr w:type="gramEnd"/>
      <w:r w:rsidRPr="007D1B53">
        <w:t>484. </w:t>
      </w:r>
    </w:p>
    <w:p w14:paraId="7F2F4952" w14:textId="4AEE39B1" w:rsidR="007D1B53" w:rsidRPr="007D1B53" w:rsidRDefault="007D1B53" w:rsidP="003E1E6E">
      <w:pPr>
        <w:pStyle w:val="NoSpacing"/>
        <w:ind w:left="720" w:hanging="720"/>
      </w:pPr>
      <w:proofErr w:type="spellStart"/>
      <w:r w:rsidRPr="007D1B53">
        <w:t>Fani</w:t>
      </w:r>
      <w:proofErr w:type="spellEnd"/>
      <w:r w:rsidRPr="007D1B53">
        <w:t xml:space="preserve"> N., King T. Z., Brewster R., Srivastava A., Stevens J. S., Glover E. M., et al. (2015). Fear-potentiated startle during extinction is associated with white matter microstructure and functional connectivity. </w:t>
      </w:r>
      <w:r w:rsidRPr="007D1B53">
        <w:rPr>
          <w:i/>
          <w:iCs/>
        </w:rPr>
        <w:t>Cortex</w:t>
      </w:r>
      <w:r w:rsidRPr="007D1B53">
        <w:t> 64 249–259. 10.1016/j.cortex.2014.11.006 </w:t>
      </w:r>
    </w:p>
    <w:p w14:paraId="541CBC55" w14:textId="7C1467ED" w:rsidR="007D1B53" w:rsidRPr="007D1B53" w:rsidRDefault="007D1B53" w:rsidP="003E1E6E">
      <w:pPr>
        <w:pStyle w:val="NoSpacing"/>
        <w:ind w:left="720" w:hanging="720"/>
      </w:pPr>
      <w:proofErr w:type="spellStart"/>
      <w:r w:rsidRPr="007D1B53">
        <w:t>Fani</w:t>
      </w:r>
      <w:proofErr w:type="spellEnd"/>
      <w:r w:rsidRPr="007D1B53">
        <w:t xml:space="preserve"> N., King T. Z., Jovanovic T., Glover E. M., Bradley B., Choi K., et al. (2012). White matter integrity in highly traumatized adults with and without post-traumatic stress disorder. </w:t>
      </w:r>
      <w:r w:rsidRPr="007D1B53">
        <w:rPr>
          <w:i/>
          <w:iCs/>
        </w:rPr>
        <w:t>Neuropsychopharmacology</w:t>
      </w:r>
      <w:r w:rsidRPr="007D1B53">
        <w:t> 37 2740–2746. 10.1038/npp.2012.146 </w:t>
      </w:r>
    </w:p>
    <w:p w14:paraId="6D71F84B" w14:textId="14CBF7A8" w:rsidR="007D1B53" w:rsidRPr="007D1B53" w:rsidRDefault="007D1B53" w:rsidP="003E1E6E">
      <w:pPr>
        <w:pStyle w:val="NoSpacing"/>
        <w:ind w:left="720" w:hanging="720"/>
      </w:pPr>
      <w:proofErr w:type="spellStart"/>
      <w:r w:rsidRPr="007D1B53">
        <w:t>Fischl</w:t>
      </w:r>
      <w:proofErr w:type="spellEnd"/>
      <w:r w:rsidRPr="007D1B53">
        <w:t xml:space="preserve"> B. (2012). </w:t>
      </w:r>
      <w:proofErr w:type="spellStart"/>
      <w:r w:rsidRPr="007D1B53">
        <w:t>FreeSurfer</w:t>
      </w:r>
      <w:proofErr w:type="spellEnd"/>
      <w:r w:rsidRPr="007D1B53">
        <w:t>. </w:t>
      </w:r>
      <w:proofErr w:type="spellStart"/>
      <w:r w:rsidRPr="007D1B53">
        <w:rPr>
          <w:i/>
          <w:iCs/>
        </w:rPr>
        <w:t>NeuroImage</w:t>
      </w:r>
      <w:proofErr w:type="spellEnd"/>
      <w:r w:rsidRPr="007D1B53">
        <w:t> 62 774–781. 10.1016/j.neuroimage.2012.01.021 </w:t>
      </w:r>
    </w:p>
    <w:p w14:paraId="484F5945" w14:textId="2AF92DBC" w:rsidR="007D1B53" w:rsidRPr="007D1B53" w:rsidRDefault="007D1B53" w:rsidP="003E1E6E">
      <w:pPr>
        <w:pStyle w:val="NoSpacing"/>
        <w:ind w:left="720" w:hanging="720"/>
      </w:pPr>
      <w:r w:rsidRPr="007D1B53">
        <w:t>Flory J. D., Yehuda R. (2015). Comorbidity between post-traumatic stress disorder and major depressive disorder: alternative explanations and treatment considerations. </w:t>
      </w:r>
      <w:r w:rsidRPr="007D1B53">
        <w:rPr>
          <w:i/>
          <w:iCs/>
        </w:rPr>
        <w:t xml:space="preserve">Dialogues Clin. </w:t>
      </w:r>
      <w:proofErr w:type="spellStart"/>
      <w:r w:rsidRPr="007D1B53">
        <w:rPr>
          <w:i/>
          <w:iCs/>
        </w:rPr>
        <w:t>Neurosci</w:t>
      </w:r>
      <w:proofErr w:type="spellEnd"/>
      <w:r w:rsidRPr="007D1B53">
        <w:rPr>
          <w:i/>
          <w:iCs/>
        </w:rPr>
        <w:t>.</w:t>
      </w:r>
      <w:r w:rsidRPr="007D1B53">
        <w:t> 17 141–150. </w:t>
      </w:r>
    </w:p>
    <w:p w14:paraId="27208801" w14:textId="6851EC7C" w:rsidR="007D1B53" w:rsidRPr="007D1B53" w:rsidRDefault="007D1B53" w:rsidP="003E1E6E">
      <w:pPr>
        <w:pStyle w:val="NoSpacing"/>
        <w:ind w:left="720" w:hanging="720"/>
      </w:pPr>
      <w:r w:rsidRPr="007D1B53">
        <w:t xml:space="preserve">Gray M. J., </w:t>
      </w:r>
      <w:proofErr w:type="spellStart"/>
      <w:r w:rsidRPr="007D1B53">
        <w:t>Litz</w:t>
      </w:r>
      <w:proofErr w:type="spellEnd"/>
      <w:r w:rsidRPr="007D1B53">
        <w:t xml:space="preserve"> B. T., Hsu J. L., Lombardo T. W. (2004). Psychometric properties of the life events checklist. </w:t>
      </w:r>
      <w:r w:rsidRPr="007D1B53">
        <w:rPr>
          <w:i/>
          <w:iCs/>
        </w:rPr>
        <w:t>Assessment</w:t>
      </w:r>
      <w:r w:rsidRPr="007D1B53">
        <w:t xml:space="preserve"> 11 330–341. 10.1177/L073191104269954 </w:t>
      </w:r>
    </w:p>
    <w:p w14:paraId="260E6355" w14:textId="29C679EB" w:rsidR="007D1B53" w:rsidRPr="007D1B53" w:rsidRDefault="007D1B53" w:rsidP="003E1E6E">
      <w:pPr>
        <w:pStyle w:val="NoSpacing"/>
        <w:ind w:left="720" w:hanging="720"/>
      </w:pPr>
      <w:r w:rsidRPr="007D1B53">
        <w:lastRenderedPageBreak/>
        <w:t xml:space="preserve">Hanson J. L., </w:t>
      </w:r>
      <w:proofErr w:type="spellStart"/>
      <w:r w:rsidRPr="007D1B53">
        <w:t>Knodt</w:t>
      </w:r>
      <w:proofErr w:type="spellEnd"/>
      <w:r w:rsidRPr="007D1B53">
        <w:t xml:space="preserve"> A. R., </w:t>
      </w:r>
      <w:proofErr w:type="spellStart"/>
      <w:r w:rsidRPr="007D1B53">
        <w:t>Brigidi</w:t>
      </w:r>
      <w:proofErr w:type="spellEnd"/>
      <w:r w:rsidRPr="007D1B53">
        <w:t xml:space="preserve"> B. D., Hariri A. R. (2015). Lower structural integrity of the uncinate fasciculus is associated with a history of child maltreatment and future psychological vulnerability to stress. </w:t>
      </w:r>
      <w:r w:rsidRPr="007D1B53">
        <w:rPr>
          <w:i/>
          <w:iCs/>
        </w:rPr>
        <w:t xml:space="preserve">Dev. </w:t>
      </w:r>
      <w:proofErr w:type="spellStart"/>
      <w:r w:rsidRPr="007D1B53">
        <w:rPr>
          <w:i/>
          <w:iCs/>
        </w:rPr>
        <w:t>Psychopathol</w:t>
      </w:r>
      <w:proofErr w:type="spellEnd"/>
      <w:r w:rsidRPr="007D1B53">
        <w:rPr>
          <w:i/>
          <w:iCs/>
        </w:rPr>
        <w:t>.</w:t>
      </w:r>
      <w:r w:rsidRPr="007D1B53">
        <w:t> 27 1611–1619. 10.1017/S0954579415000978 </w:t>
      </w:r>
    </w:p>
    <w:p w14:paraId="11058CF9" w14:textId="0F8F7DD9" w:rsidR="007D1B53" w:rsidRPr="007D1B53" w:rsidRDefault="007D1B53" w:rsidP="003E1E6E">
      <w:pPr>
        <w:pStyle w:val="NoSpacing"/>
        <w:ind w:left="720" w:hanging="720"/>
      </w:pPr>
      <w:r w:rsidRPr="007D1B53">
        <w:t xml:space="preserve">Harnett N. G., III, </w:t>
      </w:r>
      <w:proofErr w:type="spellStart"/>
      <w:r w:rsidRPr="007D1B53">
        <w:t>Ference</w:t>
      </w:r>
      <w:proofErr w:type="spellEnd"/>
      <w:r w:rsidRPr="007D1B53">
        <w:t xml:space="preserve"> E. W., Knight A. J., Knight D. C. (2018). White matter microstructure varies with post-traumatic stress severity following medical trauma. </w:t>
      </w:r>
      <w:r w:rsidRPr="007D1B53">
        <w:rPr>
          <w:i/>
          <w:iCs/>
        </w:rPr>
        <w:t>Brain Imaging Behavior.</w:t>
      </w:r>
      <w:r w:rsidRPr="007D1B53">
        <w:t> 14 1012–1024. 10.1007/s11682-018-9995-9 </w:t>
      </w:r>
    </w:p>
    <w:p w14:paraId="1CFDDED0" w14:textId="4B0618CA" w:rsidR="007D1B53" w:rsidRPr="007D1B53" w:rsidRDefault="007D1B53" w:rsidP="003E1E6E">
      <w:pPr>
        <w:pStyle w:val="NoSpacing"/>
        <w:ind w:left="720" w:hanging="720"/>
      </w:pPr>
      <w:r w:rsidRPr="007D1B53">
        <w:t xml:space="preserve">Harnett N. G., </w:t>
      </w:r>
      <w:proofErr w:type="spellStart"/>
      <w:r w:rsidRPr="007D1B53">
        <w:t>Ference</w:t>
      </w:r>
      <w:proofErr w:type="spellEnd"/>
      <w:r w:rsidRPr="007D1B53">
        <w:t xml:space="preserve"> E. W., Knight A. J., Knight D. C. (2020). White matter microstructure varies with post-traumatic stress severity following medical trauma. </w:t>
      </w:r>
      <w:r w:rsidRPr="007D1B53">
        <w:rPr>
          <w:i/>
          <w:iCs/>
        </w:rPr>
        <w:t>Brain Imaging Behavior.</w:t>
      </w:r>
      <w:r w:rsidRPr="007D1B53">
        <w:t> 14 1012–1024. </w:t>
      </w:r>
    </w:p>
    <w:p w14:paraId="5259876F" w14:textId="55F89A1D" w:rsidR="007D1B53" w:rsidRPr="007D1B53" w:rsidRDefault="007D1B53" w:rsidP="003E1E6E">
      <w:pPr>
        <w:pStyle w:val="NoSpacing"/>
        <w:ind w:left="720" w:hanging="720"/>
      </w:pPr>
      <w:r w:rsidRPr="007D1B53">
        <w:t>Henry J. D., Crawford J. R. (2005). The short-form version of the Depression Anxiety Stress Scales (DASS-21): construct validity and normative data in a large non-clinical sample. </w:t>
      </w:r>
      <w:r w:rsidRPr="007D1B53">
        <w:rPr>
          <w:i/>
          <w:iCs/>
        </w:rPr>
        <w:t>Br. J. Clin. Psychol.</w:t>
      </w:r>
      <w:r w:rsidRPr="007D1B53">
        <w:t xml:space="preserve"> 44 227–239. 10.1348/014466505X29657 </w:t>
      </w:r>
    </w:p>
    <w:p w14:paraId="4FAD9E2A" w14:textId="0B099CAA" w:rsidR="007D1B53" w:rsidRPr="007D1B53" w:rsidRDefault="007D1B53" w:rsidP="003E1E6E">
      <w:pPr>
        <w:pStyle w:val="NoSpacing"/>
        <w:ind w:left="720" w:hanging="720"/>
      </w:pPr>
      <w:r w:rsidRPr="007D1B53">
        <w:t>Hofer S., Frahm J. (2006). Topography of the human corpus callosum revisited–comprehensive fiber tractography using diffusion tensor magnetic resonance imaging. </w:t>
      </w:r>
      <w:proofErr w:type="spellStart"/>
      <w:r w:rsidRPr="007D1B53">
        <w:rPr>
          <w:i/>
          <w:iCs/>
        </w:rPr>
        <w:t>NeuroImage</w:t>
      </w:r>
      <w:proofErr w:type="spellEnd"/>
      <w:r w:rsidRPr="007D1B53">
        <w:t xml:space="preserve"> 32 989–994. </w:t>
      </w:r>
    </w:p>
    <w:p w14:paraId="5299A03A" w14:textId="14D5D7A3" w:rsidR="007D1B53" w:rsidRPr="007D1B53" w:rsidRDefault="007D1B53" w:rsidP="003E1E6E">
      <w:pPr>
        <w:pStyle w:val="NoSpacing"/>
        <w:ind w:left="720" w:hanging="720"/>
      </w:pPr>
      <w:r w:rsidRPr="007D1B53">
        <w:t xml:space="preserve">Hsu J. L., </w:t>
      </w:r>
      <w:proofErr w:type="spellStart"/>
      <w:r w:rsidRPr="007D1B53">
        <w:t>Leemans</w:t>
      </w:r>
      <w:proofErr w:type="spellEnd"/>
      <w:r w:rsidRPr="007D1B53">
        <w:t xml:space="preserve"> A., Bai C. H., Lee C. H., Tsai Y. F., Chiu H. C., et al. (2008). Gender differences and age-related white matter changes of the human brain: a diffusion tensor imaging study. </w:t>
      </w:r>
      <w:proofErr w:type="spellStart"/>
      <w:r w:rsidRPr="007D1B53">
        <w:rPr>
          <w:i/>
          <w:iCs/>
        </w:rPr>
        <w:t>NeuroImage</w:t>
      </w:r>
      <w:proofErr w:type="spellEnd"/>
      <w:r w:rsidRPr="007D1B53">
        <w:t xml:space="preserve"> 39 566–577. </w:t>
      </w:r>
    </w:p>
    <w:p w14:paraId="6AA4AB48" w14:textId="5C559118" w:rsidR="007D1B53" w:rsidRPr="007D1B53" w:rsidRDefault="007D1B53" w:rsidP="003E1E6E">
      <w:pPr>
        <w:pStyle w:val="NoSpacing"/>
        <w:ind w:left="720" w:hanging="720"/>
      </w:pPr>
      <w:r w:rsidRPr="007D1B53">
        <w:t xml:space="preserve">Hu H., Zhou Y., Wang Q., Su S., </w:t>
      </w:r>
      <w:proofErr w:type="spellStart"/>
      <w:r w:rsidRPr="007D1B53">
        <w:t>Qiu</w:t>
      </w:r>
      <w:proofErr w:type="spellEnd"/>
      <w:r w:rsidRPr="007D1B53">
        <w:t xml:space="preserve"> Y., Ge J., et al. (2016). Association of abnormal white matter integrity in the acute phase of motor vehicle accidents with post-traumatic stress disorder. </w:t>
      </w:r>
      <w:r w:rsidRPr="007D1B53">
        <w:rPr>
          <w:i/>
          <w:iCs/>
        </w:rPr>
        <w:t>J. Affect. Dis.</w:t>
      </w:r>
      <w:r w:rsidRPr="007D1B53">
        <w:t xml:space="preserve"> 190 714–722. </w:t>
      </w:r>
    </w:p>
    <w:p w14:paraId="4A4BDDAB" w14:textId="60BBFC07" w:rsidR="007D1B53" w:rsidRPr="007D1B53" w:rsidRDefault="007D1B53" w:rsidP="003E1E6E">
      <w:pPr>
        <w:pStyle w:val="NoSpacing"/>
        <w:ind w:left="720" w:hanging="720"/>
      </w:pPr>
      <w:r w:rsidRPr="007D1B53">
        <w:t xml:space="preserve">Isaac L., Main K. L., Soman S., </w:t>
      </w:r>
      <w:proofErr w:type="spellStart"/>
      <w:r w:rsidRPr="007D1B53">
        <w:t>Gotlib</w:t>
      </w:r>
      <w:proofErr w:type="spellEnd"/>
      <w:r w:rsidRPr="007D1B53">
        <w:t xml:space="preserve"> I. H., </w:t>
      </w:r>
      <w:proofErr w:type="spellStart"/>
      <w:r w:rsidRPr="007D1B53">
        <w:t>Furst</w:t>
      </w:r>
      <w:proofErr w:type="spellEnd"/>
      <w:r w:rsidRPr="007D1B53">
        <w:t xml:space="preserve"> A. J., Kinoshita L. M., et al. (2015). The impact of depression on veterans with PTSD and traumatic brain injury: a diffusion tensor imaging study. </w:t>
      </w:r>
      <w:r w:rsidRPr="007D1B53">
        <w:rPr>
          <w:i/>
          <w:iCs/>
        </w:rPr>
        <w:t>Biol. Psychol.</w:t>
      </w:r>
      <w:r w:rsidRPr="007D1B53">
        <w:t xml:space="preserve"> 105 20–28. 10.1016/j.biopsycho.2014.12.011 </w:t>
      </w:r>
    </w:p>
    <w:p w14:paraId="5B83D444" w14:textId="6F745EAE" w:rsidR="007D1B53" w:rsidRPr="007D1B53" w:rsidRDefault="007D1B53" w:rsidP="003E1E6E">
      <w:pPr>
        <w:pStyle w:val="NoSpacing"/>
        <w:ind w:left="720" w:hanging="720"/>
      </w:pPr>
      <w:proofErr w:type="spellStart"/>
      <w:r w:rsidRPr="007D1B53">
        <w:t>Jackowski</w:t>
      </w:r>
      <w:proofErr w:type="spellEnd"/>
      <w:r w:rsidRPr="007D1B53">
        <w:t xml:space="preserve"> A. P., Douglas-</w:t>
      </w:r>
      <w:proofErr w:type="spellStart"/>
      <w:r w:rsidRPr="007D1B53">
        <w:t>Palumberi</w:t>
      </w:r>
      <w:proofErr w:type="spellEnd"/>
      <w:r w:rsidRPr="007D1B53">
        <w:t xml:space="preserve"> H., </w:t>
      </w:r>
      <w:proofErr w:type="spellStart"/>
      <w:r w:rsidRPr="007D1B53">
        <w:t>Jackowski</w:t>
      </w:r>
      <w:proofErr w:type="spellEnd"/>
      <w:r w:rsidRPr="007D1B53">
        <w:t xml:space="preserve"> M., Win L., Schultz R. T., </w:t>
      </w:r>
      <w:proofErr w:type="spellStart"/>
      <w:r w:rsidRPr="007D1B53">
        <w:t>Staib</w:t>
      </w:r>
      <w:proofErr w:type="spellEnd"/>
      <w:r w:rsidRPr="007D1B53">
        <w:t xml:space="preserve"> L. W., et al. (2008). Corpus callosum in maltreated children with posttraumatic stress disorder: a diffusion tensor imaging study. </w:t>
      </w:r>
      <w:r w:rsidRPr="007D1B53">
        <w:rPr>
          <w:i/>
          <w:iCs/>
        </w:rPr>
        <w:t>Psychiatry Res.</w:t>
      </w:r>
      <w:r w:rsidRPr="007D1B53">
        <w:t> 162 256–261. 10.1016/j.pscychresns.2007.08.006 </w:t>
      </w:r>
    </w:p>
    <w:p w14:paraId="6B732B2A" w14:textId="084E14DD" w:rsidR="007D1B53" w:rsidRPr="007D1B53" w:rsidRDefault="007D1B53" w:rsidP="003E1E6E">
      <w:pPr>
        <w:pStyle w:val="NoSpacing"/>
        <w:ind w:left="720" w:hanging="720"/>
      </w:pPr>
      <w:r w:rsidRPr="007D1B53">
        <w:t xml:space="preserve">Jakob J. M. D., Lamp K., Rauch S. A. M., Smith E. R., Buchholz K. R. (2017). The impact of trauma type or number of traumatic events on </w:t>
      </w:r>
      <w:proofErr w:type="spellStart"/>
      <w:r w:rsidRPr="007D1B53">
        <w:t>ptsd</w:t>
      </w:r>
      <w:proofErr w:type="spellEnd"/>
      <w:r w:rsidRPr="007D1B53">
        <w:t xml:space="preserve"> diagnosis and symptom severity in treatment seeking veterans. </w:t>
      </w:r>
      <w:r w:rsidRPr="007D1B53">
        <w:rPr>
          <w:i/>
          <w:iCs/>
        </w:rPr>
        <w:t xml:space="preserve">J. Nervous </w:t>
      </w:r>
      <w:proofErr w:type="spellStart"/>
      <w:r w:rsidRPr="007D1B53">
        <w:rPr>
          <w:i/>
          <w:iCs/>
        </w:rPr>
        <w:t>Ment</w:t>
      </w:r>
      <w:proofErr w:type="spellEnd"/>
      <w:r w:rsidRPr="007D1B53">
        <w:rPr>
          <w:i/>
          <w:iCs/>
        </w:rPr>
        <w:t>. Dis.</w:t>
      </w:r>
      <w:r w:rsidRPr="007D1B53">
        <w:t xml:space="preserve"> 205 83–86. 10.1097/NMD.0000000000000581 </w:t>
      </w:r>
    </w:p>
    <w:p w14:paraId="3C4BCAC4" w14:textId="1EFB84AB" w:rsidR="007D1B53" w:rsidRPr="007D1B53" w:rsidRDefault="007D1B53" w:rsidP="003E1E6E">
      <w:pPr>
        <w:pStyle w:val="NoSpacing"/>
        <w:ind w:left="720" w:hanging="720"/>
      </w:pPr>
      <w:r w:rsidRPr="007D1B53">
        <w:t xml:space="preserve">Jenkins L. M., Barba A., Campbell M., Lamar M., Shankman S. A., </w:t>
      </w:r>
      <w:proofErr w:type="spellStart"/>
      <w:r w:rsidRPr="007D1B53">
        <w:t>Leow</w:t>
      </w:r>
      <w:proofErr w:type="spellEnd"/>
      <w:r w:rsidRPr="007D1B53">
        <w:t xml:space="preserve"> A. D., et al. (2016). Shared white matter alterations across emotional disorders: a voxel-based meta-analysis of fractional anisotropy. </w:t>
      </w:r>
      <w:r w:rsidRPr="007D1B53">
        <w:rPr>
          <w:i/>
          <w:iCs/>
        </w:rPr>
        <w:t>Neuroimage Clin.</w:t>
      </w:r>
      <w:r w:rsidRPr="007D1B53">
        <w:t> 12 1022–1034. 10.1016/j.nicl.2016.09.001 </w:t>
      </w:r>
    </w:p>
    <w:p w14:paraId="42AE993E" w14:textId="22CA53E3" w:rsidR="007D1B53" w:rsidRPr="007D1B53" w:rsidRDefault="007D1B53" w:rsidP="003E1E6E">
      <w:pPr>
        <w:pStyle w:val="NoSpacing"/>
        <w:ind w:left="720" w:hanging="720"/>
      </w:pPr>
      <w:r w:rsidRPr="007D1B53">
        <w:t xml:space="preserve">Jones D. K., Christiansen K. F., Chapman R. J., </w:t>
      </w:r>
      <w:proofErr w:type="spellStart"/>
      <w:r w:rsidRPr="007D1B53">
        <w:t>Aggleton</w:t>
      </w:r>
      <w:proofErr w:type="spellEnd"/>
      <w:r w:rsidRPr="007D1B53">
        <w:t xml:space="preserve"> J. P. (2013). Distinct subdivisions of the cingulum bundle revealed by diffusion MRI </w:t>
      </w:r>
      <w:proofErr w:type="spellStart"/>
      <w:r w:rsidRPr="007D1B53">
        <w:t>fibre</w:t>
      </w:r>
      <w:proofErr w:type="spellEnd"/>
      <w:r w:rsidRPr="007D1B53">
        <w:t xml:space="preserve"> tracking: implications for neuropsychological investigations. </w:t>
      </w:r>
      <w:proofErr w:type="spellStart"/>
      <w:r w:rsidRPr="007D1B53">
        <w:rPr>
          <w:i/>
          <w:iCs/>
        </w:rPr>
        <w:t>Neuropsychologia</w:t>
      </w:r>
      <w:proofErr w:type="spellEnd"/>
      <w:r w:rsidRPr="007D1B53">
        <w:t> 51 67–78. 10.1016/j.neuropsychologia.2012.11.018 </w:t>
      </w:r>
    </w:p>
    <w:p w14:paraId="3F39C9C6" w14:textId="3DAE6461" w:rsidR="007D1B53" w:rsidRPr="007D1B53" w:rsidRDefault="007D1B53" w:rsidP="003E1E6E">
      <w:pPr>
        <w:pStyle w:val="NoSpacing"/>
        <w:ind w:left="720" w:hanging="720"/>
      </w:pPr>
      <w:r w:rsidRPr="007D1B53">
        <w:t>Jovanovic T., Ressler K. J. (2010). How the neurocircuitry and genetics of fear inhibition may inform our understanding of PTSD. </w:t>
      </w:r>
      <w:r w:rsidRPr="007D1B53">
        <w:rPr>
          <w:i/>
          <w:iCs/>
        </w:rPr>
        <w:t>Am. J. Psychiatry</w:t>
      </w:r>
      <w:r w:rsidRPr="007D1B53">
        <w:t> 167 648–662. 10.1176/appi.ajp.2009 </w:t>
      </w:r>
    </w:p>
    <w:p w14:paraId="26FE7A23" w14:textId="60803945" w:rsidR="007D1B53" w:rsidRPr="007D1B53" w:rsidRDefault="007D1B53" w:rsidP="003E1E6E">
      <w:pPr>
        <w:pStyle w:val="NoSpacing"/>
        <w:ind w:left="720" w:hanging="720"/>
      </w:pPr>
      <w:r w:rsidRPr="007D1B53">
        <w:t xml:space="preserve">Ju Y., </w:t>
      </w:r>
      <w:proofErr w:type="spellStart"/>
      <w:r w:rsidRPr="007D1B53">
        <w:t>Ou</w:t>
      </w:r>
      <w:proofErr w:type="spellEnd"/>
      <w:r w:rsidRPr="007D1B53">
        <w:t xml:space="preserve"> W., Su J., Averill C. L., Liu J., Wang M., et al. (2020). White matter microstructural alterations in posttraumatic stress disorder: an ROI and </w:t>
      </w:r>
      <w:proofErr w:type="gramStart"/>
      <w:r w:rsidRPr="007D1B53">
        <w:t>whole-brain</w:t>
      </w:r>
      <w:proofErr w:type="gramEnd"/>
      <w:r w:rsidRPr="007D1B53">
        <w:t xml:space="preserve"> based meta-analysis. </w:t>
      </w:r>
      <w:r w:rsidRPr="007D1B53">
        <w:rPr>
          <w:i/>
          <w:iCs/>
        </w:rPr>
        <w:t>J. Affect. Dis.</w:t>
      </w:r>
      <w:r w:rsidRPr="007D1B53">
        <w:t xml:space="preserve"> 266 655–670. </w:t>
      </w:r>
    </w:p>
    <w:p w14:paraId="0BA055F4" w14:textId="6A39C2BA" w:rsidR="007D1B53" w:rsidRPr="007D1B53" w:rsidRDefault="007D1B53" w:rsidP="003E1E6E">
      <w:pPr>
        <w:pStyle w:val="NoSpacing"/>
        <w:ind w:left="720" w:hanging="720"/>
      </w:pPr>
      <w:r w:rsidRPr="007D1B53">
        <w:t xml:space="preserve">Karam E. G., Friedman M. J., Hill E. D., Kessler R. C., McLaughlin K. A., </w:t>
      </w:r>
      <w:proofErr w:type="spellStart"/>
      <w:r w:rsidRPr="007D1B53">
        <w:t>Petukhova</w:t>
      </w:r>
      <w:proofErr w:type="spellEnd"/>
      <w:r w:rsidRPr="007D1B53">
        <w:t xml:space="preserve"> M., et al. (2014). Cumulative traumas and risk thresholds: 12-month PTSD in the World Mental Health (WMH) surveys. </w:t>
      </w:r>
      <w:proofErr w:type="spellStart"/>
      <w:r w:rsidRPr="007D1B53">
        <w:rPr>
          <w:i/>
          <w:iCs/>
        </w:rPr>
        <w:t>Depr</w:t>
      </w:r>
      <w:proofErr w:type="spellEnd"/>
      <w:r w:rsidRPr="007D1B53">
        <w:rPr>
          <w:i/>
          <w:iCs/>
        </w:rPr>
        <w:t>. Anxiety</w:t>
      </w:r>
      <w:r w:rsidRPr="007D1B53">
        <w:t> 31 130–142. 10.1002/da </w:t>
      </w:r>
    </w:p>
    <w:p w14:paraId="210E1ED3" w14:textId="263BE124" w:rsidR="007D1B53" w:rsidRPr="007D1B53" w:rsidRDefault="007D1B53" w:rsidP="003E1E6E">
      <w:pPr>
        <w:pStyle w:val="NoSpacing"/>
        <w:ind w:left="720" w:hanging="720"/>
      </w:pPr>
      <w:r w:rsidRPr="007D1B53">
        <w:t xml:space="preserve">Karl A., Schaefer M., Malta L. S., </w:t>
      </w:r>
      <w:proofErr w:type="spellStart"/>
      <w:r w:rsidRPr="007D1B53">
        <w:t>Dorfel</w:t>
      </w:r>
      <w:proofErr w:type="spellEnd"/>
      <w:r w:rsidRPr="007D1B53">
        <w:t xml:space="preserve"> D., </w:t>
      </w:r>
      <w:proofErr w:type="spellStart"/>
      <w:r w:rsidRPr="007D1B53">
        <w:t>Rohleder</w:t>
      </w:r>
      <w:proofErr w:type="spellEnd"/>
      <w:r w:rsidRPr="007D1B53">
        <w:t xml:space="preserve"> N., Werner A. (2006). A meta-analysis of structural brain abnormalities in PTSD. </w:t>
      </w:r>
      <w:proofErr w:type="spellStart"/>
      <w:r w:rsidRPr="007D1B53">
        <w:rPr>
          <w:i/>
          <w:iCs/>
        </w:rPr>
        <w:t>Neurosci</w:t>
      </w:r>
      <w:proofErr w:type="spellEnd"/>
      <w:r w:rsidRPr="007D1B53">
        <w:rPr>
          <w:i/>
          <w:iCs/>
        </w:rPr>
        <w:t xml:space="preserve">. </w:t>
      </w:r>
      <w:proofErr w:type="spellStart"/>
      <w:r w:rsidRPr="007D1B53">
        <w:rPr>
          <w:i/>
          <w:iCs/>
        </w:rPr>
        <w:t>Biobehav</w:t>
      </w:r>
      <w:proofErr w:type="spellEnd"/>
      <w:r w:rsidRPr="007D1B53">
        <w:rPr>
          <w:i/>
          <w:iCs/>
        </w:rPr>
        <w:t>. Rev.</w:t>
      </w:r>
      <w:r w:rsidRPr="007D1B53">
        <w:t xml:space="preserve"> 30 1004–1031. </w:t>
      </w:r>
    </w:p>
    <w:p w14:paraId="35C14C6F" w14:textId="06A7C546" w:rsidR="007D1B53" w:rsidRPr="007D1B53" w:rsidRDefault="007D1B53" w:rsidP="003E1E6E">
      <w:pPr>
        <w:pStyle w:val="NoSpacing"/>
        <w:ind w:left="720" w:hanging="720"/>
      </w:pPr>
      <w:proofErr w:type="spellStart"/>
      <w:r w:rsidRPr="007D1B53">
        <w:t>Kennis</w:t>
      </w:r>
      <w:proofErr w:type="spellEnd"/>
      <w:r w:rsidRPr="007D1B53">
        <w:t xml:space="preserve"> M., </w:t>
      </w:r>
      <w:proofErr w:type="spellStart"/>
      <w:r w:rsidRPr="007D1B53">
        <w:t>Rooij</w:t>
      </w:r>
      <w:proofErr w:type="spellEnd"/>
      <w:r w:rsidRPr="007D1B53">
        <w:t xml:space="preserve"> S. J., van do P. M. T., Fox A. S., </w:t>
      </w:r>
      <w:proofErr w:type="spellStart"/>
      <w:r w:rsidRPr="007D1B53">
        <w:t>Rademaker</w:t>
      </w:r>
      <w:proofErr w:type="spellEnd"/>
      <w:r w:rsidRPr="007D1B53">
        <w:t xml:space="preserve"> A. R., Kahn R. S., et al. (2015). Treatment outcome-related white matter differences in veterans with posttraumatic stress disorder. </w:t>
      </w:r>
      <w:r w:rsidRPr="007D1B53">
        <w:rPr>
          <w:i/>
          <w:iCs/>
        </w:rPr>
        <w:t>Neuropsychopharmacology</w:t>
      </w:r>
      <w:r w:rsidRPr="007D1B53">
        <w:t> 40 2434–2442. 10.1038/npp.2015.94 </w:t>
      </w:r>
    </w:p>
    <w:p w14:paraId="539E189D" w14:textId="62122DA6" w:rsidR="007D1B53" w:rsidRPr="007D1B53" w:rsidRDefault="007D1B53" w:rsidP="003E1E6E">
      <w:pPr>
        <w:pStyle w:val="NoSpacing"/>
        <w:ind w:left="720" w:hanging="720"/>
      </w:pPr>
      <w:r w:rsidRPr="007D1B53">
        <w:t xml:space="preserve">Kilpatrick D. G., Resnick H. S., </w:t>
      </w:r>
      <w:proofErr w:type="spellStart"/>
      <w:r w:rsidRPr="007D1B53">
        <w:t>Milanak</w:t>
      </w:r>
      <w:proofErr w:type="spellEnd"/>
      <w:r w:rsidRPr="007D1B53">
        <w:t xml:space="preserve"> M. E., Miller M. W., Keyes K. M., Friedman M. J. (2013). National estimates of exposure to traumatic events and PTSD prevalence using DSM-IV and DSM-5 criteria. </w:t>
      </w:r>
      <w:r w:rsidRPr="007D1B53">
        <w:rPr>
          <w:i/>
          <w:iCs/>
        </w:rPr>
        <w:t>J. Trauma. Stress</w:t>
      </w:r>
      <w:r w:rsidRPr="007D1B53">
        <w:t> 26 537–547. 10.1002/jts.21848 </w:t>
      </w:r>
    </w:p>
    <w:p w14:paraId="73231427" w14:textId="6A95A8C9" w:rsidR="007D1B53" w:rsidRPr="007D1B53" w:rsidRDefault="007D1B53" w:rsidP="003E1E6E">
      <w:pPr>
        <w:pStyle w:val="NoSpacing"/>
        <w:ind w:left="720" w:hanging="720"/>
      </w:pPr>
      <w:r w:rsidRPr="007D1B53">
        <w:t xml:space="preserve">Koch S. B. J., </w:t>
      </w:r>
      <w:proofErr w:type="spellStart"/>
      <w:r w:rsidRPr="007D1B53">
        <w:t>Zuiden</w:t>
      </w:r>
      <w:proofErr w:type="spellEnd"/>
      <w:r w:rsidRPr="007D1B53">
        <w:t xml:space="preserve"> M., van, </w:t>
      </w:r>
      <w:proofErr w:type="spellStart"/>
      <w:r w:rsidRPr="007D1B53">
        <w:t>Nawijn</w:t>
      </w:r>
      <w:proofErr w:type="spellEnd"/>
      <w:r w:rsidRPr="007D1B53">
        <w:t xml:space="preserve"> L., </w:t>
      </w:r>
      <w:proofErr w:type="spellStart"/>
      <w:r w:rsidRPr="007D1B53">
        <w:t>Frijling</w:t>
      </w:r>
      <w:proofErr w:type="spellEnd"/>
      <w:r w:rsidRPr="007D1B53">
        <w:t xml:space="preserve"> J. L., </w:t>
      </w:r>
      <w:proofErr w:type="spellStart"/>
      <w:r w:rsidRPr="007D1B53">
        <w:t>Veltman</w:t>
      </w:r>
      <w:proofErr w:type="spellEnd"/>
      <w:r w:rsidRPr="007D1B53">
        <w:t xml:space="preserve"> D. J., </w:t>
      </w:r>
      <w:proofErr w:type="spellStart"/>
      <w:r w:rsidRPr="007D1B53">
        <w:t>Olff</w:t>
      </w:r>
      <w:proofErr w:type="spellEnd"/>
      <w:r w:rsidRPr="007D1B53">
        <w:t xml:space="preserve"> M. (2017). Decreased uncinate fasciculus tract integrity in male and female patients with PTSD: a diffusion tensor imaging study. </w:t>
      </w:r>
      <w:r w:rsidRPr="007D1B53">
        <w:rPr>
          <w:i/>
          <w:iCs/>
        </w:rPr>
        <w:t xml:space="preserve">J. Psychiatry </w:t>
      </w:r>
      <w:proofErr w:type="spellStart"/>
      <w:r w:rsidRPr="007D1B53">
        <w:rPr>
          <w:i/>
          <w:iCs/>
        </w:rPr>
        <w:t>Neurosci</w:t>
      </w:r>
      <w:proofErr w:type="spellEnd"/>
      <w:r w:rsidRPr="007D1B53">
        <w:rPr>
          <w:i/>
          <w:iCs/>
        </w:rPr>
        <w:t>?</w:t>
      </w:r>
      <w:r w:rsidRPr="007D1B53">
        <w:t> 42 331–342. </w:t>
      </w:r>
    </w:p>
    <w:p w14:paraId="23C90332" w14:textId="345F144C" w:rsidR="007D1B53" w:rsidRPr="007D1B53" w:rsidRDefault="007D1B53" w:rsidP="003E1E6E">
      <w:pPr>
        <w:pStyle w:val="NoSpacing"/>
        <w:ind w:left="720" w:hanging="720"/>
      </w:pPr>
      <w:r w:rsidRPr="007D1B53">
        <w:lastRenderedPageBreak/>
        <w:t>Lebel C., Beaulieu C. (2011). Longitudinal development of human brain wiring continues from childhood into adulthood. </w:t>
      </w:r>
      <w:r w:rsidRPr="007D1B53">
        <w:rPr>
          <w:i/>
          <w:iCs/>
        </w:rPr>
        <w:t xml:space="preserve">J. </w:t>
      </w:r>
      <w:proofErr w:type="spellStart"/>
      <w:r w:rsidRPr="007D1B53">
        <w:rPr>
          <w:i/>
          <w:iCs/>
        </w:rPr>
        <w:t>Neurosci</w:t>
      </w:r>
      <w:proofErr w:type="spellEnd"/>
      <w:r w:rsidRPr="007D1B53">
        <w:rPr>
          <w:i/>
          <w:iCs/>
        </w:rPr>
        <w:t>.</w:t>
      </w:r>
      <w:r w:rsidRPr="007D1B53">
        <w:t> 31 10937–10947. 10.1523/JNEUROSCI.5302-10.2011 </w:t>
      </w:r>
    </w:p>
    <w:p w14:paraId="718C65B6" w14:textId="5EE1BB7F" w:rsidR="007D1B53" w:rsidRPr="007D1B53" w:rsidRDefault="007D1B53" w:rsidP="003E1E6E">
      <w:pPr>
        <w:pStyle w:val="NoSpacing"/>
        <w:ind w:left="720" w:hanging="720"/>
      </w:pPr>
      <w:r w:rsidRPr="007D1B53">
        <w:t>Leech R., Sharp D. J. (2014). The role of the posterior cingulate cortex in cognition and disease. </w:t>
      </w:r>
      <w:r w:rsidRPr="007D1B53">
        <w:rPr>
          <w:i/>
          <w:iCs/>
        </w:rPr>
        <w:t>Brain</w:t>
      </w:r>
      <w:r w:rsidRPr="007D1B53">
        <w:t> 137 12–32. 10.1093/brain/awt162 </w:t>
      </w:r>
    </w:p>
    <w:p w14:paraId="3226DB13" w14:textId="25613222" w:rsidR="007D1B53" w:rsidRPr="007D1B53" w:rsidRDefault="007D1B53" w:rsidP="003E1E6E">
      <w:pPr>
        <w:pStyle w:val="NoSpacing"/>
        <w:ind w:left="720" w:hanging="720"/>
      </w:pPr>
      <w:r w:rsidRPr="007D1B53">
        <w:t>Li L., Lei D., Li L., Huang X., Suo X., Xiao F., et al. (2016). White matter abnormalities in post-traumatic stress disorder following a specific traumatic event. </w:t>
      </w:r>
      <w:proofErr w:type="spellStart"/>
      <w:r w:rsidRPr="007D1B53">
        <w:rPr>
          <w:i/>
          <w:iCs/>
        </w:rPr>
        <w:t>EBiomedicine</w:t>
      </w:r>
      <w:proofErr w:type="spellEnd"/>
      <w:r w:rsidRPr="007D1B53">
        <w:t> 4 176–183. 10.1016/j.ebiom.2016.01.012 </w:t>
      </w:r>
    </w:p>
    <w:p w14:paraId="17AF275F" w14:textId="4627CC5C" w:rsidR="007D1B53" w:rsidRPr="007D1B53" w:rsidRDefault="007D1B53" w:rsidP="003E1E6E">
      <w:pPr>
        <w:pStyle w:val="NoSpacing"/>
        <w:ind w:left="720" w:hanging="720"/>
      </w:pPr>
      <w:r w:rsidRPr="007D1B53">
        <w:t>Lovibond P. F., Lovibond S. H. (1995). The structure of negative emotional states: comparison of the Depression Anxiety Stress Scales (DASS) with the Beck Depression and Anxiety Inventories. </w:t>
      </w:r>
      <w:r w:rsidRPr="007D1B53">
        <w:rPr>
          <w:i/>
          <w:iCs/>
        </w:rPr>
        <w:t xml:space="preserve">Behavior. Res. </w:t>
      </w:r>
      <w:proofErr w:type="spellStart"/>
      <w:r w:rsidRPr="007D1B53">
        <w:rPr>
          <w:i/>
          <w:iCs/>
        </w:rPr>
        <w:t>Ther</w:t>
      </w:r>
      <w:proofErr w:type="spellEnd"/>
      <w:r w:rsidRPr="007D1B53">
        <w:rPr>
          <w:i/>
          <w:iCs/>
        </w:rPr>
        <w:t>.</w:t>
      </w:r>
      <w:r w:rsidRPr="007D1B53">
        <w:t xml:space="preserve"> 33 335–343. </w:t>
      </w:r>
    </w:p>
    <w:p w14:paraId="35861538" w14:textId="59196CAE" w:rsidR="007D1B53" w:rsidRPr="007D1B53" w:rsidRDefault="007D1B53" w:rsidP="003E1E6E">
      <w:pPr>
        <w:pStyle w:val="NoSpacing"/>
        <w:ind w:left="720" w:hanging="720"/>
      </w:pPr>
      <w:r w:rsidRPr="007D1B53">
        <w:t>Lovibond S. H., Lovibond P. F. (1995). </w:t>
      </w:r>
      <w:r w:rsidRPr="007D1B53">
        <w:rPr>
          <w:i/>
          <w:iCs/>
        </w:rPr>
        <w:t>Manual for the Depression Anxiety &amp; Stress Scales</w:t>
      </w:r>
      <w:r w:rsidRPr="007D1B53">
        <w:t xml:space="preserve">, 2nd </w:t>
      </w:r>
      <w:proofErr w:type="spellStart"/>
      <w:r w:rsidRPr="007D1B53">
        <w:t>Edn</w:t>
      </w:r>
      <w:proofErr w:type="spellEnd"/>
      <w:r w:rsidRPr="007D1B53">
        <w:t>. United States: Psychology Foundation. </w:t>
      </w:r>
    </w:p>
    <w:p w14:paraId="73E8D78A" w14:textId="26080EA0" w:rsidR="007D1B53" w:rsidRPr="007D1B53" w:rsidRDefault="007D1B53" w:rsidP="003E1E6E">
      <w:pPr>
        <w:pStyle w:val="NoSpacing"/>
        <w:ind w:left="720" w:hanging="720"/>
      </w:pPr>
      <w:r w:rsidRPr="007D1B53">
        <w:t xml:space="preserve">Mahan A. L., Ressler K. J. (2012). Fear conditioning, synaptic </w:t>
      </w:r>
      <w:proofErr w:type="gramStart"/>
      <w:r w:rsidRPr="007D1B53">
        <w:t>plasticity</w:t>
      </w:r>
      <w:proofErr w:type="gramEnd"/>
      <w:r w:rsidRPr="007D1B53">
        <w:t xml:space="preserve"> and the amygdala: implications for posttraumatic stress disorder. </w:t>
      </w:r>
      <w:r w:rsidRPr="007D1B53">
        <w:rPr>
          <w:i/>
          <w:iCs/>
        </w:rPr>
        <w:t xml:space="preserve">Trends </w:t>
      </w:r>
      <w:proofErr w:type="spellStart"/>
      <w:r w:rsidRPr="007D1B53">
        <w:rPr>
          <w:i/>
          <w:iCs/>
        </w:rPr>
        <w:t>Neurosci</w:t>
      </w:r>
      <w:proofErr w:type="spellEnd"/>
      <w:r w:rsidRPr="007D1B53">
        <w:rPr>
          <w:i/>
          <w:iCs/>
        </w:rPr>
        <w:t>.</w:t>
      </w:r>
      <w:r w:rsidRPr="007D1B53">
        <w:t> 35 24–35. 10.1016/j.tins.2011.06.007 </w:t>
      </w:r>
    </w:p>
    <w:p w14:paraId="46A1ACF0" w14:textId="4379B653" w:rsidR="007D1B53" w:rsidRPr="007D1B53" w:rsidRDefault="007D1B53" w:rsidP="003E1E6E">
      <w:pPr>
        <w:pStyle w:val="NoSpacing"/>
        <w:ind w:left="720" w:hanging="720"/>
      </w:pPr>
      <w:r w:rsidRPr="007D1B53">
        <w:t xml:space="preserve">Mori S., </w:t>
      </w:r>
      <w:proofErr w:type="spellStart"/>
      <w:r w:rsidRPr="007D1B53">
        <w:t>Tournier</w:t>
      </w:r>
      <w:proofErr w:type="spellEnd"/>
      <w:r w:rsidRPr="007D1B53">
        <w:t xml:space="preserve"> J. D. (2014). </w:t>
      </w:r>
      <w:r w:rsidRPr="007D1B53">
        <w:rPr>
          <w:i/>
          <w:iCs/>
        </w:rPr>
        <w:t>Introduction to Diffusion Tensor Imaging and Higher Order Models</w:t>
      </w:r>
      <w:r w:rsidRPr="007D1B53">
        <w:t xml:space="preserve">, 2nd </w:t>
      </w:r>
      <w:proofErr w:type="spellStart"/>
      <w:r w:rsidRPr="007D1B53">
        <w:t>Edn</w:t>
      </w:r>
      <w:proofErr w:type="spellEnd"/>
      <w:r w:rsidRPr="007D1B53">
        <w:t>. United States: Academic Press. </w:t>
      </w:r>
    </w:p>
    <w:p w14:paraId="43744AEE" w14:textId="2334FC10" w:rsidR="007D1B53" w:rsidRPr="007D1B53" w:rsidRDefault="007D1B53" w:rsidP="003E1E6E">
      <w:pPr>
        <w:pStyle w:val="NoSpacing"/>
        <w:ind w:left="720" w:hanging="720"/>
      </w:pPr>
      <w:r w:rsidRPr="007D1B53">
        <w:t xml:space="preserve">Olson I. R., Von Der Heide R. J., </w:t>
      </w:r>
      <w:proofErr w:type="spellStart"/>
      <w:r w:rsidRPr="007D1B53">
        <w:t>Alm</w:t>
      </w:r>
      <w:proofErr w:type="spellEnd"/>
      <w:r w:rsidRPr="007D1B53">
        <w:t xml:space="preserve"> K. H., Vyas G. (2015). Development of the uncinate fasciculus: implications for theory and developmental disorders. </w:t>
      </w:r>
      <w:r w:rsidRPr="007D1B53">
        <w:rPr>
          <w:i/>
          <w:iCs/>
        </w:rPr>
        <w:t xml:space="preserve">Dev. </w:t>
      </w:r>
      <w:proofErr w:type="spellStart"/>
      <w:r w:rsidRPr="007D1B53">
        <w:rPr>
          <w:i/>
          <w:iCs/>
        </w:rPr>
        <w:t>Cogn</w:t>
      </w:r>
      <w:proofErr w:type="spellEnd"/>
      <w:r w:rsidRPr="007D1B53">
        <w:rPr>
          <w:i/>
          <w:iCs/>
        </w:rPr>
        <w:t xml:space="preserve">. </w:t>
      </w:r>
      <w:proofErr w:type="spellStart"/>
      <w:r w:rsidRPr="007D1B53">
        <w:rPr>
          <w:i/>
          <w:iCs/>
        </w:rPr>
        <w:t>Neurosci</w:t>
      </w:r>
      <w:proofErr w:type="spellEnd"/>
      <w:r w:rsidRPr="007D1B53">
        <w:rPr>
          <w:i/>
          <w:iCs/>
        </w:rPr>
        <w:t>.</w:t>
      </w:r>
      <w:r w:rsidRPr="007D1B53">
        <w:t> 14 50–61. 10.1016/j.dcn.2015.06.003 </w:t>
      </w:r>
    </w:p>
    <w:p w14:paraId="5F6B5AD6" w14:textId="5CDC006C" w:rsidR="007D1B53" w:rsidRPr="007D1B53" w:rsidRDefault="007D1B53" w:rsidP="003E1E6E">
      <w:pPr>
        <w:pStyle w:val="NoSpacing"/>
        <w:ind w:left="720" w:hanging="720"/>
      </w:pPr>
      <w:r w:rsidRPr="007D1B53">
        <w:t xml:space="preserve">Pitman R. K., </w:t>
      </w:r>
      <w:proofErr w:type="spellStart"/>
      <w:r w:rsidRPr="007D1B53">
        <w:t>Rasmusson</w:t>
      </w:r>
      <w:proofErr w:type="spellEnd"/>
      <w:r w:rsidRPr="007D1B53">
        <w:t xml:space="preserve"> A. M., </w:t>
      </w:r>
      <w:proofErr w:type="spellStart"/>
      <w:r w:rsidRPr="007D1B53">
        <w:t>Koenen</w:t>
      </w:r>
      <w:proofErr w:type="spellEnd"/>
      <w:r w:rsidRPr="007D1B53">
        <w:t xml:space="preserve"> K. C., Shin L. M., Orr S. P., Gilbertson M. W., et al. (2012). Biological studies of posttraumatic stress disorder. </w:t>
      </w:r>
      <w:r w:rsidRPr="007D1B53">
        <w:rPr>
          <w:i/>
          <w:iCs/>
        </w:rPr>
        <w:t xml:space="preserve">Nat. Rev. </w:t>
      </w:r>
      <w:proofErr w:type="spellStart"/>
      <w:r w:rsidRPr="007D1B53">
        <w:rPr>
          <w:i/>
          <w:iCs/>
        </w:rPr>
        <w:t>Neurosci</w:t>
      </w:r>
      <w:proofErr w:type="spellEnd"/>
      <w:r w:rsidRPr="007D1B53">
        <w:rPr>
          <w:i/>
          <w:iCs/>
        </w:rPr>
        <w:t>.</w:t>
      </w:r>
      <w:r w:rsidRPr="007D1B53">
        <w:t> 13 769–787. 10.1038/nrn3339 </w:t>
      </w:r>
    </w:p>
    <w:p w14:paraId="34889D6F" w14:textId="71969898" w:rsidR="007D1B53" w:rsidRPr="007D1B53" w:rsidRDefault="007D1B53" w:rsidP="003E1E6E">
      <w:pPr>
        <w:pStyle w:val="NoSpacing"/>
        <w:ind w:left="720" w:hanging="720"/>
      </w:pPr>
      <w:proofErr w:type="spellStart"/>
      <w:r w:rsidRPr="007D1B53">
        <w:t>Reuveni</w:t>
      </w:r>
      <w:proofErr w:type="spellEnd"/>
      <w:r w:rsidRPr="007D1B53">
        <w:t xml:space="preserve"> I., Bonne O., </w:t>
      </w:r>
      <w:proofErr w:type="spellStart"/>
      <w:r w:rsidRPr="007D1B53">
        <w:t>Giesser</w:t>
      </w:r>
      <w:proofErr w:type="spellEnd"/>
      <w:r w:rsidRPr="007D1B53">
        <w:t xml:space="preserve"> R., </w:t>
      </w:r>
      <w:proofErr w:type="spellStart"/>
      <w:r w:rsidRPr="007D1B53">
        <w:t>Shragai</w:t>
      </w:r>
      <w:proofErr w:type="spellEnd"/>
      <w:r w:rsidRPr="007D1B53">
        <w:t xml:space="preserve"> T., </w:t>
      </w:r>
      <w:proofErr w:type="spellStart"/>
      <w:r w:rsidRPr="007D1B53">
        <w:t>Lazarovits</w:t>
      </w:r>
      <w:proofErr w:type="spellEnd"/>
      <w:r w:rsidRPr="007D1B53">
        <w:t xml:space="preserve"> G., Isserles M., et al. (2016). Anatomical and functional connectivity in the default mode network of post-traumatic stress disorder patients after civilian and military-related trauma. </w:t>
      </w:r>
      <w:r w:rsidRPr="007D1B53">
        <w:rPr>
          <w:i/>
          <w:iCs/>
        </w:rPr>
        <w:t>Hum. Brain Map.</w:t>
      </w:r>
      <w:r w:rsidRPr="007D1B53">
        <w:t> 37 589–599. 10.1002/hbm.23051 </w:t>
      </w:r>
    </w:p>
    <w:p w14:paraId="780C6F0E" w14:textId="26674B9C" w:rsidR="007D1B53" w:rsidRPr="007D1B53" w:rsidRDefault="007D1B53" w:rsidP="003E1E6E">
      <w:pPr>
        <w:pStyle w:val="NoSpacing"/>
        <w:ind w:left="720" w:hanging="720"/>
      </w:pPr>
      <w:proofErr w:type="spellStart"/>
      <w:r w:rsidRPr="007D1B53">
        <w:t>Rothbaum</w:t>
      </w:r>
      <w:proofErr w:type="spellEnd"/>
      <w:r w:rsidRPr="007D1B53">
        <w:t xml:space="preserve"> B. O., Kearns M. C., Reiser E., Davis J. S., Kerley K. A., </w:t>
      </w:r>
      <w:proofErr w:type="spellStart"/>
      <w:r w:rsidRPr="007D1B53">
        <w:t>Rothbaum</w:t>
      </w:r>
      <w:proofErr w:type="spellEnd"/>
      <w:r w:rsidRPr="007D1B53">
        <w:t xml:space="preserve"> A. O., et al. (2014). Early intervention following trauma may mitigate genetic risk for PTSD in civilians: a pilot prospective emergency department study. </w:t>
      </w:r>
      <w:r w:rsidRPr="007D1B53">
        <w:rPr>
          <w:i/>
          <w:iCs/>
        </w:rPr>
        <w:t>J. Clin. Psychiatry</w:t>
      </w:r>
      <w:r w:rsidRPr="007D1B53">
        <w:t> 75 1380–1387. 10.4088/JCP.13m08715 </w:t>
      </w:r>
    </w:p>
    <w:p w14:paraId="100D7416" w14:textId="1881A580" w:rsidR="007D1B53" w:rsidRPr="007D1B53" w:rsidRDefault="007D1B53" w:rsidP="003E1E6E">
      <w:pPr>
        <w:pStyle w:val="NoSpacing"/>
        <w:ind w:left="720" w:hanging="720"/>
      </w:pPr>
      <w:proofErr w:type="spellStart"/>
      <w:r w:rsidRPr="007D1B53">
        <w:t>Rytwinski</w:t>
      </w:r>
      <w:proofErr w:type="spellEnd"/>
      <w:r w:rsidRPr="007D1B53">
        <w:t xml:space="preserve"> N. K., Scur M. D., </w:t>
      </w:r>
      <w:proofErr w:type="spellStart"/>
      <w:r w:rsidRPr="007D1B53">
        <w:t>Feeny</w:t>
      </w:r>
      <w:proofErr w:type="spellEnd"/>
      <w:r w:rsidRPr="007D1B53">
        <w:t xml:space="preserve"> N. C., </w:t>
      </w:r>
      <w:proofErr w:type="spellStart"/>
      <w:r w:rsidRPr="007D1B53">
        <w:t>Youngstrom</w:t>
      </w:r>
      <w:proofErr w:type="spellEnd"/>
      <w:r w:rsidRPr="007D1B53">
        <w:t xml:space="preserve"> E. A. (2013). The co-occurrence of major depressive disorder among individuals with posttraumatic stress disorder: a meta-analysis. </w:t>
      </w:r>
      <w:r w:rsidRPr="007D1B53">
        <w:rPr>
          <w:i/>
          <w:iCs/>
        </w:rPr>
        <w:t xml:space="preserve">J. </w:t>
      </w:r>
      <w:proofErr w:type="spellStart"/>
      <w:r w:rsidRPr="007D1B53">
        <w:rPr>
          <w:i/>
          <w:iCs/>
        </w:rPr>
        <w:t>Traumat</w:t>
      </w:r>
      <w:proofErr w:type="spellEnd"/>
      <w:r w:rsidRPr="007D1B53">
        <w:rPr>
          <w:i/>
          <w:iCs/>
        </w:rPr>
        <w:t>. Stress</w:t>
      </w:r>
      <w:r w:rsidRPr="007D1B53">
        <w:t xml:space="preserve"> 26 299–309. 10.1002/jts.21814 </w:t>
      </w:r>
    </w:p>
    <w:p w14:paraId="6F2B172D" w14:textId="37B83F85" w:rsidR="007D1B53" w:rsidRPr="007D1B53" w:rsidRDefault="007D1B53" w:rsidP="003E1E6E">
      <w:pPr>
        <w:pStyle w:val="NoSpacing"/>
        <w:ind w:left="720" w:hanging="720"/>
      </w:pPr>
      <w:r w:rsidRPr="007D1B53">
        <w:t xml:space="preserve">Saar-Ashkenazy R., </w:t>
      </w:r>
      <w:proofErr w:type="spellStart"/>
      <w:r w:rsidRPr="007D1B53">
        <w:t>Veksler</w:t>
      </w:r>
      <w:proofErr w:type="spellEnd"/>
      <w:r w:rsidRPr="007D1B53">
        <w:t xml:space="preserve"> R., </w:t>
      </w:r>
      <w:proofErr w:type="spellStart"/>
      <w:r w:rsidRPr="007D1B53">
        <w:t>Guez</w:t>
      </w:r>
      <w:proofErr w:type="spellEnd"/>
      <w:r w:rsidRPr="007D1B53">
        <w:t xml:space="preserve"> J., Jacob Y., </w:t>
      </w:r>
      <w:proofErr w:type="spellStart"/>
      <w:r w:rsidRPr="007D1B53">
        <w:t>Shelef</w:t>
      </w:r>
      <w:proofErr w:type="spellEnd"/>
      <w:r w:rsidRPr="007D1B53">
        <w:t xml:space="preserve"> I., Shalev H., et al. (2016). Breakdown of inter-hemispheric connectivity is associated with posttraumatic symptomatology and memory impairment. </w:t>
      </w:r>
      <w:proofErr w:type="spellStart"/>
      <w:r w:rsidRPr="007D1B53">
        <w:rPr>
          <w:i/>
          <w:iCs/>
        </w:rPr>
        <w:t>PLoS</w:t>
      </w:r>
      <w:proofErr w:type="spellEnd"/>
      <w:r w:rsidRPr="007D1B53">
        <w:rPr>
          <w:i/>
          <w:iCs/>
        </w:rPr>
        <w:t xml:space="preserve"> One</w:t>
      </w:r>
      <w:r w:rsidRPr="007D1B53">
        <w:t> </w:t>
      </w:r>
      <w:proofErr w:type="gramStart"/>
      <w:r w:rsidRPr="007D1B53">
        <w:t>11:e</w:t>
      </w:r>
      <w:proofErr w:type="gramEnd"/>
      <w:r w:rsidRPr="007D1B53">
        <w:t>0144766. 10.1371/journal.pone.0144766 </w:t>
      </w:r>
    </w:p>
    <w:p w14:paraId="63251979" w14:textId="7CCE5749" w:rsidR="007D1B53" w:rsidRPr="007D1B53" w:rsidRDefault="007D1B53" w:rsidP="003E1E6E">
      <w:pPr>
        <w:pStyle w:val="NoSpacing"/>
        <w:ind w:left="720" w:hanging="720"/>
      </w:pPr>
      <w:proofErr w:type="spellStart"/>
      <w:r w:rsidRPr="007D1B53">
        <w:t>Sanjuan</w:t>
      </w:r>
      <w:proofErr w:type="spellEnd"/>
      <w:r w:rsidRPr="007D1B53">
        <w:t xml:space="preserve"> P. M., </w:t>
      </w:r>
      <w:proofErr w:type="spellStart"/>
      <w:r w:rsidRPr="007D1B53">
        <w:t>Thoma</w:t>
      </w:r>
      <w:proofErr w:type="spellEnd"/>
      <w:r w:rsidRPr="007D1B53">
        <w:t xml:space="preserve"> R., Claus E. D., Mays N., </w:t>
      </w:r>
      <w:proofErr w:type="spellStart"/>
      <w:r w:rsidRPr="007D1B53">
        <w:t>Caprihan</w:t>
      </w:r>
      <w:proofErr w:type="spellEnd"/>
      <w:r w:rsidRPr="007D1B53">
        <w:t xml:space="preserve"> A. (2013). Reduced white matter integrity in the cingulum and anterior corona radiata in posttraumatic stress disorder in male combat veterans: a diffusion tensor imaging study. </w:t>
      </w:r>
      <w:r w:rsidRPr="007D1B53">
        <w:rPr>
          <w:i/>
          <w:iCs/>
        </w:rPr>
        <w:t>Psychiatry Res.</w:t>
      </w:r>
      <w:r w:rsidRPr="007D1B53">
        <w:t> 214 260–268. 10.1016/j.pscychresns.2013.09.002 </w:t>
      </w:r>
    </w:p>
    <w:p w14:paraId="214F282D" w14:textId="46839023" w:rsidR="007D1B53" w:rsidRPr="007D1B53" w:rsidRDefault="007D1B53" w:rsidP="003E1E6E">
      <w:pPr>
        <w:pStyle w:val="NoSpacing"/>
        <w:ind w:left="720" w:hanging="720"/>
      </w:pPr>
      <w:proofErr w:type="spellStart"/>
      <w:r w:rsidRPr="007D1B53">
        <w:t>Schmahmann</w:t>
      </w:r>
      <w:proofErr w:type="spellEnd"/>
      <w:r w:rsidRPr="007D1B53">
        <w:t xml:space="preserve"> J. D., Pandya D. N., Wang R., Dai G., </w:t>
      </w:r>
      <w:proofErr w:type="spellStart"/>
      <w:r w:rsidRPr="007D1B53">
        <w:t>D’Arceuil</w:t>
      </w:r>
      <w:proofErr w:type="spellEnd"/>
      <w:r w:rsidRPr="007D1B53">
        <w:t xml:space="preserve"> H. E., de </w:t>
      </w:r>
      <w:proofErr w:type="spellStart"/>
      <w:r w:rsidRPr="007D1B53">
        <w:t>Crespigny</w:t>
      </w:r>
      <w:proofErr w:type="spellEnd"/>
      <w:r w:rsidRPr="007D1B53">
        <w:t xml:space="preserve"> A. J., et al. (2007). Association </w:t>
      </w:r>
      <w:proofErr w:type="spellStart"/>
      <w:r w:rsidRPr="007D1B53">
        <w:t>fibre</w:t>
      </w:r>
      <w:proofErr w:type="spellEnd"/>
      <w:r w:rsidRPr="007D1B53">
        <w:t xml:space="preserve"> pathways of the brain: parallel observations from diffusion spectrum imaging and autoradiography. </w:t>
      </w:r>
      <w:r w:rsidRPr="007D1B53">
        <w:rPr>
          <w:i/>
          <w:iCs/>
        </w:rPr>
        <w:t>Brain</w:t>
      </w:r>
      <w:r w:rsidRPr="007D1B53">
        <w:t xml:space="preserve"> 130 630–653. 10.1093/brain/awl359 </w:t>
      </w:r>
    </w:p>
    <w:p w14:paraId="74C50B6E" w14:textId="77D16E23" w:rsidR="007D1B53" w:rsidRPr="007D1B53" w:rsidRDefault="007D1B53" w:rsidP="003E1E6E">
      <w:pPr>
        <w:pStyle w:val="NoSpacing"/>
        <w:ind w:left="720" w:hanging="720"/>
      </w:pPr>
      <w:r w:rsidRPr="007D1B53">
        <w:t xml:space="preserve">Shalev A. Y., </w:t>
      </w:r>
      <w:proofErr w:type="spellStart"/>
      <w:r w:rsidRPr="007D1B53">
        <w:t>Gevonden</w:t>
      </w:r>
      <w:proofErr w:type="spellEnd"/>
      <w:r w:rsidRPr="007D1B53">
        <w:t xml:space="preserve"> M., </w:t>
      </w:r>
      <w:proofErr w:type="spellStart"/>
      <w:r w:rsidRPr="007D1B53">
        <w:t>Ratanatharathorn</w:t>
      </w:r>
      <w:proofErr w:type="spellEnd"/>
      <w:r w:rsidRPr="007D1B53">
        <w:t xml:space="preserve"> A., Laska E., Mei W. F., van der Q. W., et al. (2019). Estimating the risk of PTSD in recent trauma survivors: results of the International Consortium to Predict PTSD (ICPP). </w:t>
      </w:r>
      <w:r w:rsidRPr="007D1B53">
        <w:rPr>
          <w:i/>
          <w:iCs/>
        </w:rPr>
        <w:t>World Psychiatry</w:t>
      </w:r>
      <w:r w:rsidRPr="007D1B53">
        <w:t> 18 77–87. 10.1002/wps.20608 </w:t>
      </w:r>
    </w:p>
    <w:p w14:paraId="465466EF" w14:textId="06880C67" w:rsidR="007D1B53" w:rsidRPr="007D1B53" w:rsidRDefault="007D1B53" w:rsidP="003E1E6E">
      <w:pPr>
        <w:pStyle w:val="NoSpacing"/>
        <w:ind w:left="720" w:hanging="720"/>
      </w:pPr>
      <w:proofErr w:type="spellStart"/>
      <w:r w:rsidRPr="007D1B53">
        <w:t>Siehl</w:t>
      </w:r>
      <w:proofErr w:type="spellEnd"/>
      <w:r w:rsidRPr="007D1B53">
        <w:t xml:space="preserve"> S., King J. A., Burgess N., </w:t>
      </w:r>
      <w:proofErr w:type="spellStart"/>
      <w:r w:rsidRPr="007D1B53">
        <w:t>Flor</w:t>
      </w:r>
      <w:proofErr w:type="spellEnd"/>
      <w:r w:rsidRPr="007D1B53">
        <w:t xml:space="preserve"> H., </w:t>
      </w:r>
      <w:proofErr w:type="spellStart"/>
      <w:r w:rsidRPr="007D1B53">
        <w:t>Nees</w:t>
      </w:r>
      <w:proofErr w:type="spellEnd"/>
      <w:r w:rsidRPr="007D1B53">
        <w:t xml:space="preserve"> F. (2018). Structural white matter changes in adults and children with posttraumatic stress disorder: a systematic review and meta-analysis. </w:t>
      </w:r>
      <w:proofErr w:type="spellStart"/>
      <w:r w:rsidRPr="007D1B53">
        <w:rPr>
          <w:i/>
          <w:iCs/>
        </w:rPr>
        <w:t>NeuroImage</w:t>
      </w:r>
      <w:proofErr w:type="spellEnd"/>
      <w:r w:rsidRPr="007D1B53">
        <w:rPr>
          <w:i/>
          <w:iCs/>
        </w:rPr>
        <w:t xml:space="preserve"> Clin.</w:t>
      </w:r>
      <w:r w:rsidRPr="007D1B53">
        <w:t> 19 581–598. 10.1016/j.nicl.2018.05.013 </w:t>
      </w:r>
    </w:p>
    <w:p w14:paraId="2EFDAEED" w14:textId="61363E69" w:rsidR="007D1B53" w:rsidRPr="007D1B53" w:rsidRDefault="007D1B53" w:rsidP="003E1E6E">
      <w:pPr>
        <w:pStyle w:val="NoSpacing"/>
        <w:ind w:left="720" w:hanging="720"/>
      </w:pPr>
      <w:proofErr w:type="spellStart"/>
      <w:r w:rsidRPr="007D1B53">
        <w:t>Sternbach</w:t>
      </w:r>
      <w:proofErr w:type="spellEnd"/>
      <w:r w:rsidRPr="007D1B53">
        <w:t xml:space="preserve"> G. L. (2000). The Glasgow coma scale. </w:t>
      </w:r>
      <w:r w:rsidRPr="007D1B53">
        <w:rPr>
          <w:i/>
          <w:iCs/>
        </w:rPr>
        <w:t xml:space="preserve">J. </w:t>
      </w:r>
      <w:proofErr w:type="spellStart"/>
      <w:r w:rsidRPr="007D1B53">
        <w:rPr>
          <w:i/>
          <w:iCs/>
        </w:rPr>
        <w:t>Emerg</w:t>
      </w:r>
      <w:proofErr w:type="spellEnd"/>
      <w:r w:rsidRPr="007D1B53">
        <w:rPr>
          <w:i/>
          <w:iCs/>
        </w:rPr>
        <w:t>. Med.</w:t>
      </w:r>
      <w:r w:rsidRPr="007D1B53">
        <w:t xml:space="preserve"> 19 67–71. 10.1016/s0736-4679(00)00182-7 </w:t>
      </w:r>
    </w:p>
    <w:p w14:paraId="552C743E" w14:textId="0B5B73D2" w:rsidR="007D1B53" w:rsidRPr="007D1B53" w:rsidRDefault="007D1B53" w:rsidP="003E1E6E">
      <w:pPr>
        <w:pStyle w:val="NoSpacing"/>
        <w:ind w:left="720" w:hanging="720"/>
      </w:pPr>
      <w:r w:rsidRPr="007D1B53">
        <w:t>Sun Y. W., Hu H., Wang Y., Ding W. N., Chen X., Wan J. Q., et al. (2015). Inter-hemispheric functional and anatomical connectivity abnormalities in traffic accident-induced PTSD: a study combining fMRI and DTI. </w:t>
      </w:r>
      <w:r w:rsidRPr="007D1B53">
        <w:rPr>
          <w:i/>
          <w:iCs/>
        </w:rPr>
        <w:t xml:space="preserve">J. Affect. </w:t>
      </w:r>
      <w:proofErr w:type="spellStart"/>
      <w:r w:rsidRPr="007D1B53">
        <w:rPr>
          <w:i/>
          <w:iCs/>
        </w:rPr>
        <w:t>Disord</w:t>
      </w:r>
      <w:proofErr w:type="spellEnd"/>
      <w:r w:rsidRPr="007D1B53">
        <w:rPr>
          <w:i/>
          <w:iCs/>
        </w:rPr>
        <w:t>.</w:t>
      </w:r>
      <w:r w:rsidRPr="007D1B53">
        <w:t xml:space="preserve"> 188 80–88. 10.1016/j.jad.2015.08.021 </w:t>
      </w:r>
    </w:p>
    <w:p w14:paraId="25744691" w14:textId="43024550" w:rsidR="007D1B53" w:rsidRPr="007D1B53" w:rsidRDefault="007D1B53" w:rsidP="003E1E6E">
      <w:pPr>
        <w:pStyle w:val="NoSpacing"/>
        <w:ind w:left="720" w:hanging="720"/>
      </w:pPr>
      <w:r w:rsidRPr="007D1B53">
        <w:t xml:space="preserve">Suo X., Lei D., Li W., Chen F., </w:t>
      </w:r>
      <w:proofErr w:type="spellStart"/>
      <w:r w:rsidRPr="007D1B53">
        <w:t>Niu</w:t>
      </w:r>
      <w:proofErr w:type="spellEnd"/>
      <w:r w:rsidRPr="007D1B53">
        <w:t xml:space="preserve"> R., </w:t>
      </w:r>
      <w:proofErr w:type="spellStart"/>
      <w:r w:rsidRPr="007D1B53">
        <w:t>Kuang</w:t>
      </w:r>
      <w:proofErr w:type="spellEnd"/>
      <w:r w:rsidRPr="007D1B53">
        <w:t xml:space="preserve"> W., et al. (2019). Large-scale white matter network reorganization in posttraumatic stress disorder. </w:t>
      </w:r>
      <w:r w:rsidRPr="007D1B53">
        <w:rPr>
          <w:i/>
          <w:iCs/>
        </w:rPr>
        <w:t>Hum. Brain Map.</w:t>
      </w:r>
      <w:r w:rsidRPr="007D1B53">
        <w:t> 40 4801–4812. 10.1002/hbm.24738 </w:t>
      </w:r>
    </w:p>
    <w:p w14:paraId="78C3EC8F" w14:textId="443B3E70" w:rsidR="007D1B53" w:rsidRPr="007D1B53" w:rsidRDefault="007D1B53" w:rsidP="003E1E6E">
      <w:pPr>
        <w:pStyle w:val="NoSpacing"/>
        <w:ind w:left="720" w:hanging="720"/>
      </w:pPr>
      <w:r w:rsidRPr="007D1B53">
        <w:lastRenderedPageBreak/>
        <w:t xml:space="preserve">Teasdale G., Maas A., Lecky F., Manley G., </w:t>
      </w:r>
      <w:proofErr w:type="spellStart"/>
      <w:r w:rsidRPr="007D1B53">
        <w:t>Stocchetti</w:t>
      </w:r>
      <w:proofErr w:type="spellEnd"/>
      <w:r w:rsidRPr="007D1B53">
        <w:t xml:space="preserve"> N., Murray G. (2014). The Glasgow Coma Scale at 40 years: standing the test of time. </w:t>
      </w:r>
      <w:r w:rsidRPr="007D1B53">
        <w:rPr>
          <w:i/>
          <w:iCs/>
        </w:rPr>
        <w:t>Lancet Neurology</w:t>
      </w:r>
      <w:r w:rsidRPr="007D1B53">
        <w:t xml:space="preserve"> 13 844–854. 10.1016/S1474-4422(14)70120-6 </w:t>
      </w:r>
    </w:p>
    <w:p w14:paraId="0F571985" w14:textId="2E02851F" w:rsidR="007D1B53" w:rsidRPr="007D1B53" w:rsidRDefault="007D1B53" w:rsidP="003E1E6E">
      <w:pPr>
        <w:pStyle w:val="NoSpacing"/>
        <w:ind w:left="720" w:hanging="720"/>
      </w:pPr>
      <w:r w:rsidRPr="007D1B53">
        <w:t>U.S. Department of Affairs (2017). </w:t>
      </w:r>
      <w:r w:rsidRPr="007D1B53">
        <w:rPr>
          <w:i/>
          <w:iCs/>
        </w:rPr>
        <w:t>Using the PTSD Checklist for DSM-V (PCL). National Center for PTSD.</w:t>
      </w:r>
      <w:r w:rsidRPr="007D1B53">
        <w:t> Available online at: </w:t>
      </w:r>
      <w:r w:rsidRPr="00094EAF">
        <w:t>https://www.ptsd.va.gov/professional/assessment/documents/using-PCL5.pdf</w:t>
      </w:r>
      <w:r w:rsidRPr="007D1B53">
        <w:t> (accessed May 2020). </w:t>
      </w:r>
    </w:p>
    <w:p w14:paraId="1B7AC8A1" w14:textId="2065F356" w:rsidR="007D1B53" w:rsidRPr="007D1B53" w:rsidRDefault="007D1B53" w:rsidP="003E1E6E">
      <w:pPr>
        <w:pStyle w:val="NoSpacing"/>
        <w:ind w:left="720" w:hanging="720"/>
      </w:pPr>
      <w:r w:rsidRPr="007D1B53">
        <w:t xml:space="preserve">Von Der Heide R. J., Skipper L. M., </w:t>
      </w:r>
      <w:proofErr w:type="spellStart"/>
      <w:r w:rsidRPr="007D1B53">
        <w:t>Klobusicky</w:t>
      </w:r>
      <w:proofErr w:type="spellEnd"/>
      <w:r w:rsidRPr="007D1B53">
        <w:t xml:space="preserve"> E., Olson I. R. (2013). Dissecting the uncinate fasciculus: disorders, </w:t>
      </w:r>
      <w:proofErr w:type="gramStart"/>
      <w:r w:rsidRPr="007D1B53">
        <w:t>controversies</w:t>
      </w:r>
      <w:proofErr w:type="gramEnd"/>
      <w:r w:rsidRPr="007D1B53">
        <w:t xml:space="preserve"> and a hypothesis. </w:t>
      </w:r>
      <w:r w:rsidRPr="007D1B53">
        <w:rPr>
          <w:i/>
          <w:iCs/>
        </w:rPr>
        <w:t>Brain</w:t>
      </w:r>
      <w:r w:rsidRPr="007D1B53">
        <w:t> 136 1692–1707. 10.1093/brain/awt094 </w:t>
      </w:r>
    </w:p>
    <w:p w14:paraId="506F7CA3" w14:textId="0CA3DDD1" w:rsidR="007D1B53" w:rsidRPr="007D1B53" w:rsidRDefault="007D1B53" w:rsidP="003E1E6E">
      <w:pPr>
        <w:pStyle w:val="NoSpacing"/>
        <w:ind w:left="720" w:hanging="720"/>
      </w:pPr>
      <w:r w:rsidRPr="007D1B53">
        <w:t xml:space="preserve">Weathers F. W., Blake D. D., </w:t>
      </w:r>
      <w:proofErr w:type="spellStart"/>
      <w:r w:rsidRPr="007D1B53">
        <w:t>Schnurr</w:t>
      </w:r>
      <w:proofErr w:type="spellEnd"/>
      <w:r w:rsidRPr="007D1B53">
        <w:t xml:space="preserve"> P. P., </w:t>
      </w:r>
      <w:proofErr w:type="spellStart"/>
      <w:r w:rsidRPr="007D1B53">
        <w:t>Kaloupeck</w:t>
      </w:r>
      <w:proofErr w:type="spellEnd"/>
      <w:r w:rsidRPr="007D1B53">
        <w:t xml:space="preserve"> D. G., Marx B. P., Keane T. M. (2013). </w:t>
      </w:r>
      <w:r w:rsidRPr="007D1B53">
        <w:rPr>
          <w:i/>
          <w:iCs/>
        </w:rPr>
        <w:t>The Clinician-Administered PTSD Scale for DSM-5 (CAPS-5).</w:t>
      </w:r>
      <w:r w:rsidRPr="007D1B53">
        <w:t> Available Online at: </w:t>
      </w:r>
      <w:r w:rsidRPr="00094EAF">
        <w:t>www.ptsd.va.gov</w:t>
      </w:r>
      <w:r w:rsidRPr="007D1B53">
        <w:t> (accessed May 2020). </w:t>
      </w:r>
    </w:p>
    <w:p w14:paraId="600D633D" w14:textId="09789B2F" w:rsidR="007D1B53" w:rsidRPr="007D1B53" w:rsidRDefault="007D1B53" w:rsidP="003E1E6E">
      <w:pPr>
        <w:pStyle w:val="NoSpacing"/>
        <w:ind w:left="720" w:hanging="720"/>
      </w:pPr>
      <w:r w:rsidRPr="007D1B53">
        <w:t>Webb E. K., Weis C. N., Huggins A. A., Fitzgerald J. M., Bennett K. P., Bird C. M., et al. (2021a). Neural impact of neighborhood socioeconomic disadvantage in traumatically injured adults. </w:t>
      </w:r>
      <w:proofErr w:type="spellStart"/>
      <w:r w:rsidRPr="007D1B53">
        <w:rPr>
          <w:i/>
          <w:iCs/>
        </w:rPr>
        <w:t>Neurobiol</w:t>
      </w:r>
      <w:proofErr w:type="spellEnd"/>
      <w:r w:rsidRPr="007D1B53">
        <w:rPr>
          <w:i/>
          <w:iCs/>
        </w:rPr>
        <w:t>. Stress</w:t>
      </w:r>
      <w:r w:rsidRPr="007D1B53">
        <w:t> 15:100385. 10.1016/j.ynstr.2021.100385 </w:t>
      </w:r>
    </w:p>
    <w:p w14:paraId="7CA4F5D2" w14:textId="2E3A5C23" w:rsidR="007D1B53" w:rsidRPr="007D1B53" w:rsidRDefault="007D1B53" w:rsidP="003E1E6E">
      <w:pPr>
        <w:pStyle w:val="NoSpacing"/>
        <w:ind w:left="720" w:hanging="720"/>
      </w:pPr>
      <w:r w:rsidRPr="007D1B53">
        <w:t xml:space="preserve">Webb E. K., Weis C. N., Huggins A. A., </w:t>
      </w:r>
      <w:proofErr w:type="spellStart"/>
      <w:r w:rsidRPr="007D1B53">
        <w:t>Parisi</w:t>
      </w:r>
      <w:proofErr w:type="spellEnd"/>
      <w:r w:rsidRPr="007D1B53">
        <w:t xml:space="preserve"> E. A., Bennett K. P., </w:t>
      </w:r>
      <w:proofErr w:type="spellStart"/>
      <w:r w:rsidRPr="007D1B53">
        <w:t>Miskovich</w:t>
      </w:r>
      <w:proofErr w:type="spellEnd"/>
      <w:r w:rsidRPr="007D1B53">
        <w:t xml:space="preserve"> T., et al. (2021b). Neighborhood disadvantage is associated with stable deficits in neurocognitive functioning in </w:t>
      </w:r>
      <w:proofErr w:type="gramStart"/>
      <w:r w:rsidRPr="007D1B53">
        <w:t>traumatically-injured</w:t>
      </w:r>
      <w:proofErr w:type="gramEnd"/>
      <w:r w:rsidRPr="007D1B53">
        <w:t xml:space="preserve"> adults. </w:t>
      </w:r>
      <w:r w:rsidRPr="007D1B53">
        <w:rPr>
          <w:i/>
          <w:iCs/>
        </w:rPr>
        <w:t>Health Place</w:t>
      </w:r>
      <w:r w:rsidRPr="007D1B53">
        <w:t> 67:102493. 10.1016/j.healthplace.2020.102493 </w:t>
      </w:r>
    </w:p>
    <w:p w14:paraId="5F77713F" w14:textId="6A4154F1" w:rsidR="007D1B53" w:rsidRPr="007D1B53" w:rsidRDefault="007D1B53" w:rsidP="003E1E6E">
      <w:pPr>
        <w:pStyle w:val="NoSpacing"/>
        <w:ind w:left="720" w:hanging="720"/>
      </w:pPr>
      <w:r w:rsidRPr="007D1B53">
        <w:t xml:space="preserve">Weis C. N., Belleau E. L., Pedersen W. S., </w:t>
      </w:r>
      <w:proofErr w:type="spellStart"/>
      <w:r w:rsidRPr="007D1B53">
        <w:t>Miskovich</w:t>
      </w:r>
      <w:proofErr w:type="spellEnd"/>
      <w:r w:rsidRPr="007D1B53">
        <w:t xml:space="preserve"> T. A., Larson C. L. (2018). Structural connectivity of the posterior cingulum is related to reexperiencing symptoms in posttraumatic stress disorder. </w:t>
      </w:r>
      <w:r w:rsidRPr="007D1B53">
        <w:rPr>
          <w:i/>
          <w:iCs/>
        </w:rPr>
        <w:t>Chronic Stress</w:t>
      </w:r>
      <w:r w:rsidRPr="007D1B53">
        <w:t> 2:2470547018807134. 10.1177/2470547018807134 </w:t>
      </w:r>
    </w:p>
    <w:p w14:paraId="044076C0" w14:textId="74862C5F" w:rsidR="007D1B53" w:rsidRPr="007D1B53" w:rsidRDefault="007D1B53" w:rsidP="003E1E6E">
      <w:pPr>
        <w:pStyle w:val="NoSpacing"/>
        <w:ind w:left="720" w:hanging="720"/>
      </w:pPr>
      <w:r w:rsidRPr="007D1B53">
        <w:t xml:space="preserve">Weis C. N., Webb E. K., Damiano S., Larson C. L., </w:t>
      </w:r>
      <w:proofErr w:type="spellStart"/>
      <w:r w:rsidRPr="007D1B53">
        <w:t>deRoon</w:t>
      </w:r>
      <w:proofErr w:type="spellEnd"/>
      <w:r w:rsidRPr="007D1B53">
        <w:t>-Cassini T. A. (2021a). Scoring the Life Events Checklist: comparison of three scoring methods. </w:t>
      </w:r>
      <w:r w:rsidRPr="007D1B53">
        <w:rPr>
          <w:i/>
          <w:iCs/>
        </w:rPr>
        <w:t>Psychol. Trauma.</w:t>
      </w:r>
      <w:r w:rsidRPr="007D1B53">
        <w:t xml:space="preserve"> 10.1037/tra0001049 </w:t>
      </w:r>
      <w:proofErr w:type="spellStart"/>
      <w:r w:rsidRPr="007D1B53">
        <w:t>Epub</w:t>
      </w:r>
      <w:proofErr w:type="spellEnd"/>
      <w:r w:rsidRPr="007D1B53">
        <w:t xml:space="preserve"> online ahead of print. </w:t>
      </w:r>
    </w:p>
    <w:p w14:paraId="381856B4" w14:textId="0199F5F3" w:rsidR="007D1B53" w:rsidRPr="007D1B53" w:rsidRDefault="007D1B53" w:rsidP="003E1E6E">
      <w:pPr>
        <w:pStyle w:val="NoSpacing"/>
        <w:ind w:left="720" w:hanging="720"/>
      </w:pPr>
      <w:r w:rsidRPr="007D1B53">
        <w:t xml:space="preserve">Weis C. N., Webb E. K., Huggins A. A., </w:t>
      </w:r>
      <w:proofErr w:type="spellStart"/>
      <w:r w:rsidRPr="007D1B53">
        <w:t>Kallenbach</w:t>
      </w:r>
      <w:proofErr w:type="spellEnd"/>
      <w:r w:rsidRPr="007D1B53">
        <w:t xml:space="preserve"> M., </w:t>
      </w:r>
      <w:proofErr w:type="spellStart"/>
      <w:r w:rsidRPr="007D1B53">
        <w:t>Miskovich</w:t>
      </w:r>
      <w:proofErr w:type="spellEnd"/>
      <w:r w:rsidRPr="007D1B53">
        <w:t xml:space="preserve"> T. A., Fitzgerald J. M., et al. (2021b). Stability of hippocampal subfield volumes after trauma and relationship to development of PTSD symptoms. </w:t>
      </w:r>
      <w:proofErr w:type="spellStart"/>
      <w:r w:rsidRPr="007D1B53">
        <w:rPr>
          <w:i/>
          <w:iCs/>
        </w:rPr>
        <w:t>NeuroImage</w:t>
      </w:r>
      <w:proofErr w:type="spellEnd"/>
      <w:r w:rsidRPr="007D1B53">
        <w:t> 236:118076. 10.1016/j.neuroimage.2021.118076 </w:t>
      </w:r>
    </w:p>
    <w:p w14:paraId="18C2FEA6" w14:textId="504B21EC" w:rsidR="007D1B53" w:rsidRPr="007D1B53" w:rsidRDefault="007D1B53" w:rsidP="003E1E6E">
      <w:pPr>
        <w:pStyle w:val="NoSpacing"/>
        <w:ind w:left="720" w:hanging="720"/>
      </w:pPr>
      <w:proofErr w:type="spellStart"/>
      <w:r w:rsidRPr="007D1B53">
        <w:t>Yendiki</w:t>
      </w:r>
      <w:proofErr w:type="spellEnd"/>
      <w:r w:rsidRPr="007D1B53">
        <w:t xml:space="preserve"> A., </w:t>
      </w:r>
      <w:proofErr w:type="spellStart"/>
      <w:r w:rsidRPr="007D1B53">
        <w:t>Panneck</w:t>
      </w:r>
      <w:proofErr w:type="spellEnd"/>
      <w:r w:rsidRPr="007D1B53">
        <w:t xml:space="preserve"> P., Srinivasan P., Stevens A., </w:t>
      </w:r>
      <w:proofErr w:type="spellStart"/>
      <w:r w:rsidRPr="007D1B53">
        <w:t>Zollei</w:t>
      </w:r>
      <w:proofErr w:type="spellEnd"/>
      <w:r w:rsidRPr="007D1B53">
        <w:t xml:space="preserve"> L., </w:t>
      </w:r>
      <w:proofErr w:type="spellStart"/>
      <w:r w:rsidRPr="007D1B53">
        <w:t>Augustinack</w:t>
      </w:r>
      <w:proofErr w:type="spellEnd"/>
      <w:r w:rsidRPr="007D1B53">
        <w:t xml:space="preserve"> J., et al. (2011). Automated probabilistic reconstruction of white-matter pathways in health and disease using an atlas of the underlying anatomy. </w:t>
      </w:r>
      <w:r w:rsidRPr="007D1B53">
        <w:rPr>
          <w:i/>
          <w:iCs/>
        </w:rPr>
        <w:t xml:space="preserve">Front. </w:t>
      </w:r>
      <w:proofErr w:type="spellStart"/>
      <w:r w:rsidRPr="007D1B53">
        <w:rPr>
          <w:i/>
          <w:iCs/>
        </w:rPr>
        <w:t>Neuroinform</w:t>
      </w:r>
      <w:proofErr w:type="spellEnd"/>
      <w:r w:rsidRPr="007D1B53">
        <w:rPr>
          <w:i/>
          <w:iCs/>
        </w:rPr>
        <w:t>.</w:t>
      </w:r>
      <w:r w:rsidRPr="007D1B53">
        <w:t> 5:23. 10.3389/fninf.2011.00023 </w:t>
      </w:r>
    </w:p>
    <w:p w14:paraId="3C010A86" w14:textId="3F3052B9" w:rsidR="007D1B53" w:rsidRPr="007D1B53" w:rsidRDefault="007D1B53" w:rsidP="003E1E6E">
      <w:pPr>
        <w:pStyle w:val="NoSpacing"/>
        <w:ind w:left="720" w:hanging="720"/>
      </w:pPr>
      <w:r w:rsidRPr="007D1B53">
        <w:t>Zhang L., Li W., Shu N., Zheng H., Zhang Z., Zhang Y., et al. (2012). Increased white matter integrity of posterior cingulate gyrus in the evolution of post-traumatic stress disorder. </w:t>
      </w:r>
      <w:r w:rsidRPr="00094EAF">
        <w:rPr>
          <w:i/>
          <w:iCs/>
        </w:rPr>
        <w:t xml:space="preserve">Acta </w:t>
      </w:r>
      <w:proofErr w:type="spellStart"/>
      <w:r w:rsidRPr="00094EAF">
        <w:rPr>
          <w:i/>
          <w:iCs/>
        </w:rPr>
        <w:t>Neuropsychiatr</w:t>
      </w:r>
      <w:proofErr w:type="spellEnd"/>
      <w:r w:rsidRPr="00094EAF">
        <w:rPr>
          <w:i/>
          <w:iCs/>
        </w:rPr>
        <w:t>.</w:t>
      </w:r>
      <w:r w:rsidRPr="007D1B53">
        <w:t> 24 34–42. 10.1111/j.1601-5215.</w:t>
      </w:r>
      <w:proofErr w:type="gramStart"/>
      <w:r w:rsidRPr="007D1B53">
        <w:t>2011.00580.x</w:t>
      </w:r>
      <w:proofErr w:type="gramEnd"/>
      <w:r w:rsidRPr="007D1B53">
        <w:t xml:space="preserve"> </w:t>
      </w:r>
    </w:p>
    <w:p w14:paraId="01655B61" w14:textId="77777777" w:rsidR="007D1B53" w:rsidRPr="000976FB" w:rsidRDefault="007D1B53" w:rsidP="000976FB"/>
    <w:sectPr w:rsidR="007D1B53" w:rsidRPr="000976FB" w:rsidSect="00D22D3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3365FD"/>
    <w:multiLevelType w:val="multilevel"/>
    <w:tmpl w:val="ACCC8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2"/>
  </w:num>
  <w:num w:numId="6">
    <w:abstractNumId w:val="17"/>
  </w:num>
  <w:num w:numId="7">
    <w:abstractNumId w:val="1"/>
  </w:num>
  <w:num w:numId="8">
    <w:abstractNumId w:val="11"/>
  </w:num>
  <w:num w:numId="9">
    <w:abstractNumId w:val="8"/>
  </w:num>
  <w:num w:numId="10">
    <w:abstractNumId w:val="3"/>
  </w:num>
  <w:num w:numId="11">
    <w:abstractNumId w:val="14"/>
  </w:num>
  <w:num w:numId="12">
    <w:abstractNumId w:val="18"/>
  </w:num>
  <w:num w:numId="13">
    <w:abstractNumId w:val="9"/>
  </w:num>
  <w:num w:numId="14">
    <w:abstractNumId w:val="6"/>
  </w:num>
  <w:num w:numId="15">
    <w:abstractNumId w:val="15"/>
  </w:num>
  <w:num w:numId="16">
    <w:abstractNumId w:val="7"/>
  </w:num>
  <w:num w:numId="17">
    <w:abstractNumId w:val="5"/>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OJu2AHFNPEzL2exuFnYWm1AvZQdNdK6zYV9PWAxLk8B94254/JZWa/x6MYpazOkbW1bGXngLbu+FJKPKqz81MQ==" w:salt="92XQKon+K50cvSwzztItg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4EAF"/>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0F0A"/>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6E28"/>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611"/>
    <w:rsid w:val="00314FCD"/>
    <w:rsid w:val="00321876"/>
    <w:rsid w:val="00324290"/>
    <w:rsid w:val="00331737"/>
    <w:rsid w:val="003323F7"/>
    <w:rsid w:val="0033243D"/>
    <w:rsid w:val="0033652E"/>
    <w:rsid w:val="00340617"/>
    <w:rsid w:val="00340B13"/>
    <w:rsid w:val="00340CDB"/>
    <w:rsid w:val="003427C6"/>
    <w:rsid w:val="00343472"/>
    <w:rsid w:val="003455AA"/>
    <w:rsid w:val="00347634"/>
    <w:rsid w:val="00351E90"/>
    <w:rsid w:val="003544AA"/>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1E6E"/>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851"/>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973C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5F1"/>
    <w:rsid w:val="00776E56"/>
    <w:rsid w:val="00781619"/>
    <w:rsid w:val="0079146B"/>
    <w:rsid w:val="00791DD5"/>
    <w:rsid w:val="00796875"/>
    <w:rsid w:val="0079756E"/>
    <w:rsid w:val="007A1233"/>
    <w:rsid w:val="007A258F"/>
    <w:rsid w:val="007A3B3A"/>
    <w:rsid w:val="007B0BBA"/>
    <w:rsid w:val="007C16F7"/>
    <w:rsid w:val="007C679F"/>
    <w:rsid w:val="007D1B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506D"/>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BD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4B28"/>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2D3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27FC"/>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42FD"/>
    <w:rsid w:val="00DB5077"/>
    <w:rsid w:val="00DB5097"/>
    <w:rsid w:val="00DC4F7C"/>
    <w:rsid w:val="00DC7134"/>
    <w:rsid w:val="00DC7C2C"/>
    <w:rsid w:val="00DD2256"/>
    <w:rsid w:val="00DD4B55"/>
    <w:rsid w:val="00DD5871"/>
    <w:rsid w:val="00DE2F66"/>
    <w:rsid w:val="00DE3037"/>
    <w:rsid w:val="00DE4173"/>
    <w:rsid w:val="00DE4592"/>
    <w:rsid w:val="00DF6125"/>
    <w:rsid w:val="00E12E46"/>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0E8"/>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CC0"/>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876"/>
  </w:style>
  <w:style w:type="paragraph" w:styleId="Heading1">
    <w:name w:val="heading 1"/>
    <w:basedOn w:val="Normal"/>
    <w:next w:val="Normal"/>
    <w:link w:val="Heading1Char"/>
    <w:uiPriority w:val="9"/>
    <w:qFormat/>
    <w:rsid w:val="0032187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2187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2187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2187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2187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21876"/>
    <w:pPr>
      <w:keepNext/>
      <w:keepLines/>
      <w:spacing w:before="40" w:after="0"/>
      <w:outlineLvl w:val="5"/>
    </w:pPr>
  </w:style>
  <w:style w:type="paragraph" w:styleId="Heading7">
    <w:name w:val="heading 7"/>
    <w:basedOn w:val="Normal"/>
    <w:next w:val="Normal"/>
    <w:link w:val="Heading7Char"/>
    <w:uiPriority w:val="9"/>
    <w:semiHidden/>
    <w:unhideWhenUsed/>
    <w:qFormat/>
    <w:rsid w:val="0032187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2187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2187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87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2187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2187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21876"/>
    <w:rPr>
      <w:i/>
      <w:iCs/>
    </w:rPr>
  </w:style>
  <w:style w:type="character" w:customStyle="1" w:styleId="Heading5Char">
    <w:name w:val="Heading 5 Char"/>
    <w:basedOn w:val="DefaultParagraphFont"/>
    <w:link w:val="Heading5"/>
    <w:uiPriority w:val="9"/>
    <w:semiHidden/>
    <w:rsid w:val="00321876"/>
    <w:rPr>
      <w:color w:val="404040" w:themeColor="text1" w:themeTint="BF"/>
    </w:rPr>
  </w:style>
  <w:style w:type="character" w:customStyle="1" w:styleId="Heading6Char">
    <w:name w:val="Heading 6 Char"/>
    <w:basedOn w:val="DefaultParagraphFont"/>
    <w:link w:val="Heading6"/>
    <w:uiPriority w:val="9"/>
    <w:semiHidden/>
    <w:rsid w:val="00321876"/>
  </w:style>
  <w:style w:type="character" w:customStyle="1" w:styleId="Heading7Char">
    <w:name w:val="Heading 7 Char"/>
    <w:basedOn w:val="DefaultParagraphFont"/>
    <w:link w:val="Heading7"/>
    <w:uiPriority w:val="9"/>
    <w:semiHidden/>
    <w:rsid w:val="0032187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21876"/>
    <w:rPr>
      <w:color w:val="262626" w:themeColor="text1" w:themeTint="D9"/>
      <w:sz w:val="21"/>
      <w:szCs w:val="21"/>
    </w:rPr>
  </w:style>
  <w:style w:type="character" w:customStyle="1" w:styleId="Heading9Char">
    <w:name w:val="Heading 9 Char"/>
    <w:basedOn w:val="DefaultParagraphFont"/>
    <w:link w:val="Heading9"/>
    <w:uiPriority w:val="9"/>
    <w:semiHidden/>
    <w:rsid w:val="0032187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2187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2187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2187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2187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21876"/>
    <w:rPr>
      <w:color w:val="5A5A5A" w:themeColor="text1" w:themeTint="A5"/>
      <w:spacing w:val="15"/>
    </w:rPr>
  </w:style>
  <w:style w:type="character" w:styleId="Strong">
    <w:name w:val="Strong"/>
    <w:basedOn w:val="DefaultParagraphFont"/>
    <w:uiPriority w:val="22"/>
    <w:qFormat/>
    <w:rsid w:val="00321876"/>
    <w:rPr>
      <w:b/>
      <w:bCs/>
      <w:color w:val="auto"/>
    </w:rPr>
  </w:style>
  <w:style w:type="character" w:styleId="Emphasis">
    <w:name w:val="Emphasis"/>
    <w:basedOn w:val="DefaultParagraphFont"/>
    <w:uiPriority w:val="20"/>
    <w:qFormat/>
    <w:rsid w:val="00321876"/>
    <w:rPr>
      <w:i/>
      <w:iCs/>
      <w:color w:val="auto"/>
    </w:rPr>
  </w:style>
  <w:style w:type="paragraph" w:styleId="NoSpacing">
    <w:name w:val="No Spacing"/>
    <w:uiPriority w:val="1"/>
    <w:qFormat/>
    <w:rsid w:val="0032187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2187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21876"/>
    <w:rPr>
      <w:i/>
      <w:iCs/>
      <w:color w:val="404040" w:themeColor="text1" w:themeTint="BF"/>
    </w:rPr>
  </w:style>
  <w:style w:type="paragraph" w:styleId="IntenseQuote">
    <w:name w:val="Intense Quote"/>
    <w:basedOn w:val="Normal"/>
    <w:next w:val="Normal"/>
    <w:link w:val="IntenseQuoteChar"/>
    <w:uiPriority w:val="30"/>
    <w:qFormat/>
    <w:rsid w:val="0032187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21876"/>
    <w:rPr>
      <w:i/>
      <w:iCs/>
      <w:color w:val="404040" w:themeColor="text1" w:themeTint="BF"/>
    </w:rPr>
  </w:style>
  <w:style w:type="character" w:styleId="SubtleEmphasis">
    <w:name w:val="Subtle Emphasis"/>
    <w:basedOn w:val="DefaultParagraphFont"/>
    <w:uiPriority w:val="19"/>
    <w:qFormat/>
    <w:rsid w:val="00321876"/>
    <w:rPr>
      <w:i/>
      <w:iCs/>
      <w:color w:val="404040" w:themeColor="text1" w:themeTint="BF"/>
    </w:rPr>
  </w:style>
  <w:style w:type="character" w:styleId="IntenseEmphasis">
    <w:name w:val="Intense Emphasis"/>
    <w:basedOn w:val="DefaultParagraphFont"/>
    <w:uiPriority w:val="21"/>
    <w:qFormat/>
    <w:rsid w:val="00321876"/>
    <w:rPr>
      <w:b/>
      <w:bCs/>
      <w:i/>
      <w:iCs/>
      <w:color w:val="auto"/>
    </w:rPr>
  </w:style>
  <w:style w:type="character" w:styleId="SubtleReference">
    <w:name w:val="Subtle Reference"/>
    <w:basedOn w:val="DefaultParagraphFont"/>
    <w:uiPriority w:val="31"/>
    <w:qFormat/>
    <w:rsid w:val="00321876"/>
    <w:rPr>
      <w:smallCaps/>
      <w:color w:val="404040" w:themeColor="text1" w:themeTint="BF"/>
    </w:rPr>
  </w:style>
  <w:style w:type="character" w:styleId="IntenseReference">
    <w:name w:val="Intense Reference"/>
    <w:basedOn w:val="DefaultParagraphFont"/>
    <w:uiPriority w:val="32"/>
    <w:qFormat/>
    <w:rsid w:val="00321876"/>
    <w:rPr>
      <w:b/>
      <w:bCs/>
      <w:smallCaps/>
      <w:color w:val="404040" w:themeColor="text1" w:themeTint="BF"/>
      <w:spacing w:val="5"/>
    </w:rPr>
  </w:style>
  <w:style w:type="character" w:styleId="BookTitle">
    <w:name w:val="Book Title"/>
    <w:basedOn w:val="DefaultParagraphFont"/>
    <w:uiPriority w:val="33"/>
    <w:qFormat/>
    <w:rsid w:val="00321876"/>
    <w:rPr>
      <w:b/>
      <w:bCs/>
      <w:i/>
      <w:iCs/>
      <w:spacing w:val="5"/>
    </w:rPr>
  </w:style>
  <w:style w:type="paragraph" w:styleId="TOCHeading">
    <w:name w:val="TOC Heading"/>
    <w:basedOn w:val="Heading1"/>
    <w:next w:val="Normal"/>
    <w:uiPriority w:val="39"/>
    <w:semiHidden/>
    <w:unhideWhenUsed/>
    <w:qFormat/>
    <w:rsid w:val="0032187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7D1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7D1B53"/>
  </w:style>
  <w:style w:type="character" w:customStyle="1" w:styleId="mixed-citation">
    <w:name w:val="mixed-citation"/>
    <w:basedOn w:val="DefaultParagraphFont"/>
    <w:rsid w:val="007D1B53"/>
  </w:style>
  <w:style w:type="character" w:customStyle="1" w:styleId="ref-title">
    <w:name w:val="ref-title"/>
    <w:basedOn w:val="DefaultParagraphFont"/>
    <w:rsid w:val="007D1B53"/>
  </w:style>
  <w:style w:type="character" w:customStyle="1" w:styleId="ref-journal">
    <w:name w:val="ref-journal"/>
    <w:basedOn w:val="DefaultParagraphFont"/>
    <w:rsid w:val="007D1B53"/>
  </w:style>
  <w:style w:type="character" w:customStyle="1" w:styleId="ref-vol">
    <w:name w:val="ref-vol"/>
    <w:basedOn w:val="DefaultParagraphFont"/>
    <w:rsid w:val="007D1B53"/>
  </w:style>
  <w:style w:type="character" w:customStyle="1" w:styleId="nowrap">
    <w:name w:val="nowrap"/>
    <w:basedOn w:val="DefaultParagraphFont"/>
    <w:rsid w:val="007D1B53"/>
  </w:style>
  <w:style w:type="character" w:customStyle="1" w:styleId="ref-iss">
    <w:name w:val="ref-iss"/>
    <w:basedOn w:val="DefaultParagraphFont"/>
    <w:rsid w:val="007D1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007267">
      <w:bodyDiv w:val="1"/>
      <w:marLeft w:val="0"/>
      <w:marRight w:val="0"/>
      <w:marTop w:val="0"/>
      <w:marBottom w:val="0"/>
      <w:divBdr>
        <w:top w:val="none" w:sz="0" w:space="0" w:color="auto"/>
        <w:left w:val="none" w:sz="0" w:space="0" w:color="auto"/>
        <w:bottom w:val="none" w:sz="0" w:space="0" w:color="auto"/>
        <w:right w:val="none" w:sz="0" w:space="0" w:color="auto"/>
      </w:divBdr>
      <w:divsChild>
        <w:div w:id="1076899587">
          <w:marLeft w:val="0"/>
          <w:marRight w:val="0"/>
          <w:marTop w:val="400"/>
          <w:marBottom w:val="400"/>
          <w:divBdr>
            <w:top w:val="none" w:sz="0" w:space="0" w:color="auto"/>
            <w:left w:val="none" w:sz="0" w:space="0" w:color="auto"/>
            <w:bottom w:val="none" w:sz="0" w:space="0" w:color="auto"/>
            <w:right w:val="none" w:sz="0" w:space="0" w:color="auto"/>
          </w:divBdr>
          <w:divsChild>
            <w:div w:id="2042900139">
              <w:marLeft w:val="0"/>
              <w:marRight w:val="0"/>
              <w:marTop w:val="0"/>
              <w:marBottom w:val="0"/>
              <w:divBdr>
                <w:top w:val="none" w:sz="0" w:space="0" w:color="auto"/>
                <w:left w:val="none" w:sz="0" w:space="0" w:color="auto"/>
                <w:bottom w:val="none" w:sz="0" w:space="0" w:color="auto"/>
                <w:right w:val="none" w:sz="0" w:space="0" w:color="auto"/>
              </w:divBdr>
            </w:div>
            <w:div w:id="1696808556">
              <w:marLeft w:val="0"/>
              <w:marRight w:val="0"/>
              <w:marTop w:val="400"/>
              <w:marBottom w:val="400"/>
              <w:divBdr>
                <w:top w:val="none" w:sz="0" w:space="0" w:color="auto"/>
                <w:left w:val="none" w:sz="0" w:space="0" w:color="auto"/>
                <w:bottom w:val="none" w:sz="0" w:space="0" w:color="auto"/>
                <w:right w:val="none" w:sz="0" w:space="0" w:color="auto"/>
              </w:divBdr>
            </w:div>
          </w:divsChild>
        </w:div>
        <w:div w:id="643703285">
          <w:marLeft w:val="0"/>
          <w:marRight w:val="0"/>
          <w:marTop w:val="400"/>
          <w:marBottom w:val="400"/>
          <w:divBdr>
            <w:top w:val="none" w:sz="0" w:space="0" w:color="auto"/>
            <w:left w:val="none" w:sz="0" w:space="0" w:color="auto"/>
            <w:bottom w:val="none" w:sz="0" w:space="0" w:color="auto"/>
            <w:right w:val="none" w:sz="0" w:space="0" w:color="auto"/>
          </w:divBdr>
        </w:div>
        <w:div w:id="746659682">
          <w:marLeft w:val="0"/>
          <w:marRight w:val="0"/>
          <w:marTop w:val="400"/>
          <w:marBottom w:val="400"/>
          <w:divBdr>
            <w:top w:val="none" w:sz="0" w:space="0" w:color="auto"/>
            <w:left w:val="none" w:sz="0" w:space="0" w:color="auto"/>
            <w:bottom w:val="none" w:sz="0" w:space="0" w:color="auto"/>
            <w:right w:val="none" w:sz="0" w:space="0" w:color="auto"/>
          </w:divBdr>
          <w:divsChild>
            <w:div w:id="1112241417">
              <w:marLeft w:val="0"/>
              <w:marRight w:val="0"/>
              <w:marTop w:val="400"/>
              <w:marBottom w:val="400"/>
              <w:divBdr>
                <w:top w:val="none" w:sz="0" w:space="0" w:color="auto"/>
                <w:left w:val="none" w:sz="0" w:space="0" w:color="auto"/>
                <w:bottom w:val="none" w:sz="0" w:space="0" w:color="auto"/>
                <w:right w:val="none" w:sz="0" w:space="0" w:color="auto"/>
              </w:divBdr>
            </w:div>
            <w:div w:id="1017465327">
              <w:marLeft w:val="0"/>
              <w:marRight w:val="0"/>
              <w:marTop w:val="400"/>
              <w:marBottom w:val="400"/>
              <w:divBdr>
                <w:top w:val="none" w:sz="0" w:space="0" w:color="auto"/>
                <w:left w:val="none" w:sz="0" w:space="0" w:color="auto"/>
                <w:bottom w:val="none" w:sz="0" w:space="0" w:color="auto"/>
                <w:right w:val="none" w:sz="0" w:space="0" w:color="auto"/>
              </w:divBdr>
              <w:divsChild>
                <w:div w:id="1228224004">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224071496">
                      <w:marLeft w:val="0"/>
                      <w:marRight w:val="0"/>
                      <w:marTop w:val="200"/>
                      <w:marBottom w:val="200"/>
                      <w:divBdr>
                        <w:top w:val="none" w:sz="0" w:space="0" w:color="auto"/>
                        <w:left w:val="none" w:sz="0" w:space="0" w:color="auto"/>
                        <w:bottom w:val="none" w:sz="0" w:space="0" w:color="auto"/>
                        <w:right w:val="none" w:sz="0" w:space="0" w:color="auto"/>
                      </w:divBdr>
                    </w:div>
                    <w:div w:id="283848159">
                      <w:marLeft w:val="0"/>
                      <w:marRight w:val="0"/>
                      <w:marTop w:val="0"/>
                      <w:marBottom w:val="0"/>
                      <w:divBdr>
                        <w:top w:val="none" w:sz="0" w:space="0" w:color="auto"/>
                        <w:left w:val="none" w:sz="0" w:space="0" w:color="auto"/>
                        <w:bottom w:val="none" w:sz="0" w:space="0" w:color="auto"/>
                        <w:right w:val="none" w:sz="0" w:space="0" w:color="auto"/>
                      </w:divBdr>
                    </w:div>
                    <w:div w:id="1681276872">
                      <w:marLeft w:val="200"/>
                      <w:marRight w:val="200"/>
                      <w:marTop w:val="200"/>
                      <w:marBottom w:val="200"/>
                      <w:divBdr>
                        <w:top w:val="none" w:sz="0" w:space="0" w:color="auto"/>
                        <w:left w:val="none" w:sz="0" w:space="0" w:color="auto"/>
                        <w:bottom w:val="none" w:sz="0" w:space="0" w:color="auto"/>
                        <w:right w:val="none" w:sz="0" w:space="0" w:color="auto"/>
                      </w:divBdr>
                    </w:div>
                    <w:div w:id="1608730190">
                      <w:marLeft w:val="0"/>
                      <w:marRight w:val="0"/>
                      <w:marTop w:val="200"/>
                      <w:marBottom w:val="0"/>
                      <w:divBdr>
                        <w:top w:val="none" w:sz="0" w:space="0" w:color="auto"/>
                        <w:left w:val="none" w:sz="0" w:space="0" w:color="auto"/>
                        <w:bottom w:val="none" w:sz="0" w:space="0" w:color="auto"/>
                        <w:right w:val="none" w:sz="0" w:space="0" w:color="auto"/>
                      </w:divBdr>
                      <w:divsChild>
                        <w:div w:id="186701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737176">
              <w:marLeft w:val="0"/>
              <w:marRight w:val="0"/>
              <w:marTop w:val="400"/>
              <w:marBottom w:val="400"/>
              <w:divBdr>
                <w:top w:val="none" w:sz="0" w:space="0" w:color="auto"/>
                <w:left w:val="none" w:sz="0" w:space="0" w:color="auto"/>
                <w:bottom w:val="none" w:sz="0" w:space="0" w:color="auto"/>
                <w:right w:val="none" w:sz="0" w:space="0" w:color="auto"/>
              </w:divBdr>
              <w:divsChild>
                <w:div w:id="1855461593">
                  <w:marLeft w:val="0"/>
                  <w:marRight w:val="0"/>
                  <w:marTop w:val="400"/>
                  <w:marBottom w:val="400"/>
                  <w:divBdr>
                    <w:top w:val="none" w:sz="0" w:space="0" w:color="auto"/>
                    <w:left w:val="none" w:sz="0" w:space="0" w:color="auto"/>
                    <w:bottom w:val="none" w:sz="0" w:space="0" w:color="auto"/>
                    <w:right w:val="none" w:sz="0" w:space="0" w:color="auto"/>
                  </w:divBdr>
                </w:div>
                <w:div w:id="1434938957">
                  <w:marLeft w:val="0"/>
                  <w:marRight w:val="0"/>
                  <w:marTop w:val="400"/>
                  <w:marBottom w:val="400"/>
                  <w:divBdr>
                    <w:top w:val="none" w:sz="0" w:space="0" w:color="auto"/>
                    <w:left w:val="none" w:sz="0" w:space="0" w:color="auto"/>
                    <w:bottom w:val="none" w:sz="0" w:space="0" w:color="auto"/>
                    <w:right w:val="none" w:sz="0" w:space="0" w:color="auto"/>
                  </w:divBdr>
                </w:div>
              </w:divsChild>
            </w:div>
            <w:div w:id="472672788">
              <w:marLeft w:val="0"/>
              <w:marRight w:val="0"/>
              <w:marTop w:val="400"/>
              <w:marBottom w:val="400"/>
              <w:divBdr>
                <w:top w:val="none" w:sz="0" w:space="0" w:color="auto"/>
                <w:left w:val="none" w:sz="0" w:space="0" w:color="auto"/>
                <w:bottom w:val="none" w:sz="0" w:space="0" w:color="auto"/>
                <w:right w:val="none" w:sz="0" w:space="0" w:color="auto"/>
              </w:divBdr>
            </w:div>
            <w:div w:id="1269049628">
              <w:marLeft w:val="0"/>
              <w:marRight w:val="0"/>
              <w:marTop w:val="400"/>
              <w:marBottom w:val="400"/>
              <w:divBdr>
                <w:top w:val="none" w:sz="0" w:space="0" w:color="auto"/>
                <w:left w:val="none" w:sz="0" w:space="0" w:color="auto"/>
                <w:bottom w:val="none" w:sz="0" w:space="0" w:color="auto"/>
                <w:right w:val="none" w:sz="0" w:space="0" w:color="auto"/>
              </w:divBdr>
              <w:divsChild>
                <w:div w:id="1426805724">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634527271">
                      <w:marLeft w:val="0"/>
                      <w:marRight w:val="0"/>
                      <w:marTop w:val="200"/>
                      <w:marBottom w:val="0"/>
                      <w:divBdr>
                        <w:top w:val="none" w:sz="0" w:space="0" w:color="auto"/>
                        <w:left w:val="none" w:sz="0" w:space="0" w:color="auto"/>
                        <w:bottom w:val="none" w:sz="0" w:space="0" w:color="auto"/>
                        <w:right w:val="none" w:sz="0" w:space="0" w:color="auto"/>
                      </w:divBdr>
                      <w:divsChild>
                        <w:div w:id="663823631">
                          <w:marLeft w:val="0"/>
                          <w:marRight w:val="0"/>
                          <w:marTop w:val="0"/>
                          <w:marBottom w:val="0"/>
                          <w:divBdr>
                            <w:top w:val="none" w:sz="0" w:space="0" w:color="auto"/>
                            <w:left w:val="none" w:sz="0" w:space="0" w:color="auto"/>
                            <w:bottom w:val="none" w:sz="0" w:space="0" w:color="auto"/>
                            <w:right w:val="none" w:sz="0" w:space="0" w:color="auto"/>
                          </w:divBdr>
                        </w:div>
                        <w:div w:id="1372073885">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848955537">
              <w:marLeft w:val="0"/>
              <w:marRight w:val="0"/>
              <w:marTop w:val="400"/>
              <w:marBottom w:val="400"/>
              <w:divBdr>
                <w:top w:val="none" w:sz="0" w:space="0" w:color="auto"/>
                <w:left w:val="none" w:sz="0" w:space="0" w:color="auto"/>
                <w:bottom w:val="none" w:sz="0" w:space="0" w:color="auto"/>
                <w:right w:val="none" w:sz="0" w:space="0" w:color="auto"/>
              </w:divBdr>
            </w:div>
          </w:divsChild>
        </w:div>
        <w:div w:id="1415316209">
          <w:marLeft w:val="0"/>
          <w:marRight w:val="0"/>
          <w:marTop w:val="400"/>
          <w:marBottom w:val="400"/>
          <w:divBdr>
            <w:top w:val="none" w:sz="0" w:space="0" w:color="auto"/>
            <w:left w:val="none" w:sz="0" w:space="0" w:color="auto"/>
            <w:bottom w:val="none" w:sz="0" w:space="0" w:color="auto"/>
            <w:right w:val="none" w:sz="0" w:space="0" w:color="auto"/>
          </w:divBdr>
          <w:divsChild>
            <w:div w:id="1593271102">
              <w:marLeft w:val="0"/>
              <w:marRight w:val="0"/>
              <w:marTop w:val="400"/>
              <w:marBottom w:val="400"/>
              <w:divBdr>
                <w:top w:val="none" w:sz="0" w:space="0" w:color="auto"/>
                <w:left w:val="none" w:sz="0" w:space="0" w:color="auto"/>
                <w:bottom w:val="none" w:sz="0" w:space="0" w:color="auto"/>
                <w:right w:val="none" w:sz="0" w:space="0" w:color="auto"/>
              </w:divBdr>
              <w:divsChild>
                <w:div w:id="153648349">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667294559">
                      <w:marLeft w:val="0"/>
                      <w:marRight w:val="0"/>
                      <w:marTop w:val="200"/>
                      <w:marBottom w:val="0"/>
                      <w:divBdr>
                        <w:top w:val="none" w:sz="0" w:space="0" w:color="auto"/>
                        <w:left w:val="none" w:sz="0" w:space="0" w:color="auto"/>
                        <w:bottom w:val="none" w:sz="0" w:space="0" w:color="auto"/>
                        <w:right w:val="none" w:sz="0" w:space="0" w:color="auto"/>
                      </w:divBdr>
                      <w:divsChild>
                        <w:div w:id="685865464">
                          <w:marLeft w:val="0"/>
                          <w:marRight w:val="0"/>
                          <w:marTop w:val="0"/>
                          <w:marBottom w:val="0"/>
                          <w:divBdr>
                            <w:top w:val="none" w:sz="0" w:space="0" w:color="auto"/>
                            <w:left w:val="none" w:sz="0" w:space="0" w:color="auto"/>
                            <w:bottom w:val="none" w:sz="0" w:space="0" w:color="auto"/>
                            <w:right w:val="none" w:sz="0" w:space="0" w:color="auto"/>
                          </w:divBdr>
                        </w:div>
                        <w:div w:id="1034573844">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 w:id="1132332121">
              <w:marLeft w:val="0"/>
              <w:marRight w:val="0"/>
              <w:marTop w:val="400"/>
              <w:marBottom w:val="400"/>
              <w:divBdr>
                <w:top w:val="none" w:sz="0" w:space="0" w:color="auto"/>
                <w:left w:val="none" w:sz="0" w:space="0" w:color="auto"/>
                <w:bottom w:val="none" w:sz="0" w:space="0" w:color="auto"/>
                <w:right w:val="none" w:sz="0" w:space="0" w:color="auto"/>
              </w:divBdr>
              <w:divsChild>
                <w:div w:id="2040085137">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363217017">
                      <w:marLeft w:val="0"/>
                      <w:marRight w:val="0"/>
                      <w:marTop w:val="200"/>
                      <w:marBottom w:val="0"/>
                      <w:divBdr>
                        <w:top w:val="none" w:sz="0" w:space="0" w:color="auto"/>
                        <w:left w:val="none" w:sz="0" w:space="0" w:color="auto"/>
                        <w:bottom w:val="none" w:sz="0" w:space="0" w:color="auto"/>
                        <w:right w:val="none" w:sz="0" w:space="0" w:color="auto"/>
                      </w:divBdr>
                      <w:divsChild>
                        <w:div w:id="2042044820">
                          <w:marLeft w:val="0"/>
                          <w:marRight w:val="0"/>
                          <w:marTop w:val="0"/>
                          <w:marBottom w:val="0"/>
                          <w:divBdr>
                            <w:top w:val="none" w:sz="0" w:space="0" w:color="auto"/>
                            <w:left w:val="none" w:sz="0" w:space="0" w:color="auto"/>
                            <w:bottom w:val="none" w:sz="0" w:space="0" w:color="auto"/>
                            <w:right w:val="none" w:sz="0" w:space="0" w:color="auto"/>
                          </w:divBdr>
                        </w:div>
                        <w:div w:id="1263345303">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 w:id="1939945808">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1846556223">
                      <w:marLeft w:val="0"/>
                      <w:marRight w:val="0"/>
                      <w:marTop w:val="200"/>
                      <w:marBottom w:val="200"/>
                      <w:divBdr>
                        <w:top w:val="none" w:sz="0" w:space="0" w:color="auto"/>
                        <w:left w:val="none" w:sz="0" w:space="0" w:color="auto"/>
                        <w:bottom w:val="none" w:sz="0" w:space="0" w:color="auto"/>
                        <w:right w:val="none" w:sz="0" w:space="0" w:color="auto"/>
                      </w:divBdr>
                    </w:div>
                    <w:div w:id="411633214">
                      <w:marLeft w:val="0"/>
                      <w:marRight w:val="0"/>
                      <w:marTop w:val="0"/>
                      <w:marBottom w:val="0"/>
                      <w:divBdr>
                        <w:top w:val="none" w:sz="0" w:space="0" w:color="auto"/>
                        <w:left w:val="none" w:sz="0" w:space="0" w:color="auto"/>
                        <w:bottom w:val="none" w:sz="0" w:space="0" w:color="auto"/>
                        <w:right w:val="none" w:sz="0" w:space="0" w:color="auto"/>
                      </w:divBdr>
                    </w:div>
                    <w:div w:id="1918786595">
                      <w:marLeft w:val="200"/>
                      <w:marRight w:val="200"/>
                      <w:marTop w:val="200"/>
                      <w:marBottom w:val="200"/>
                      <w:divBdr>
                        <w:top w:val="none" w:sz="0" w:space="0" w:color="auto"/>
                        <w:left w:val="none" w:sz="0" w:space="0" w:color="auto"/>
                        <w:bottom w:val="none" w:sz="0" w:space="0" w:color="auto"/>
                        <w:right w:val="none" w:sz="0" w:space="0" w:color="auto"/>
                      </w:divBdr>
                    </w:div>
                    <w:div w:id="472865458">
                      <w:marLeft w:val="0"/>
                      <w:marRight w:val="0"/>
                      <w:marTop w:val="200"/>
                      <w:marBottom w:val="0"/>
                      <w:divBdr>
                        <w:top w:val="none" w:sz="0" w:space="0" w:color="auto"/>
                        <w:left w:val="none" w:sz="0" w:space="0" w:color="auto"/>
                        <w:bottom w:val="none" w:sz="0" w:space="0" w:color="auto"/>
                        <w:right w:val="none" w:sz="0" w:space="0" w:color="auto"/>
                      </w:divBdr>
                      <w:divsChild>
                        <w:div w:id="101117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512696">
          <w:marLeft w:val="0"/>
          <w:marRight w:val="0"/>
          <w:marTop w:val="400"/>
          <w:marBottom w:val="400"/>
          <w:divBdr>
            <w:top w:val="none" w:sz="0" w:space="0" w:color="auto"/>
            <w:left w:val="none" w:sz="0" w:space="0" w:color="auto"/>
            <w:bottom w:val="none" w:sz="0" w:space="0" w:color="auto"/>
            <w:right w:val="none" w:sz="0" w:space="0" w:color="auto"/>
          </w:divBdr>
          <w:divsChild>
            <w:div w:id="1317493933">
              <w:marLeft w:val="0"/>
              <w:marRight w:val="0"/>
              <w:marTop w:val="400"/>
              <w:marBottom w:val="400"/>
              <w:divBdr>
                <w:top w:val="none" w:sz="0" w:space="0" w:color="auto"/>
                <w:left w:val="none" w:sz="0" w:space="0" w:color="auto"/>
                <w:bottom w:val="none" w:sz="0" w:space="0" w:color="auto"/>
                <w:right w:val="none" w:sz="0" w:space="0" w:color="auto"/>
              </w:divBdr>
            </w:div>
            <w:div w:id="114761411">
              <w:marLeft w:val="0"/>
              <w:marRight w:val="0"/>
              <w:marTop w:val="400"/>
              <w:marBottom w:val="400"/>
              <w:divBdr>
                <w:top w:val="none" w:sz="0" w:space="0" w:color="auto"/>
                <w:left w:val="none" w:sz="0" w:space="0" w:color="auto"/>
                <w:bottom w:val="none" w:sz="0" w:space="0" w:color="auto"/>
                <w:right w:val="none" w:sz="0" w:space="0" w:color="auto"/>
              </w:divBdr>
            </w:div>
          </w:divsChild>
        </w:div>
        <w:div w:id="1961449063">
          <w:marLeft w:val="0"/>
          <w:marRight w:val="0"/>
          <w:marTop w:val="400"/>
          <w:marBottom w:val="400"/>
          <w:divBdr>
            <w:top w:val="none" w:sz="0" w:space="0" w:color="auto"/>
            <w:left w:val="none" w:sz="0" w:space="0" w:color="auto"/>
            <w:bottom w:val="none" w:sz="0" w:space="0" w:color="auto"/>
            <w:right w:val="none" w:sz="0" w:space="0" w:color="auto"/>
          </w:divBdr>
        </w:div>
        <w:div w:id="1488476743">
          <w:marLeft w:val="0"/>
          <w:marRight w:val="0"/>
          <w:marTop w:val="400"/>
          <w:marBottom w:val="400"/>
          <w:divBdr>
            <w:top w:val="none" w:sz="0" w:space="0" w:color="auto"/>
            <w:left w:val="none" w:sz="0" w:space="0" w:color="auto"/>
            <w:bottom w:val="none" w:sz="0" w:space="0" w:color="auto"/>
            <w:right w:val="none" w:sz="0" w:space="0" w:color="auto"/>
          </w:divBdr>
        </w:div>
        <w:div w:id="1967542468">
          <w:marLeft w:val="0"/>
          <w:marRight w:val="0"/>
          <w:marTop w:val="400"/>
          <w:marBottom w:val="400"/>
          <w:divBdr>
            <w:top w:val="none" w:sz="0" w:space="0" w:color="auto"/>
            <w:left w:val="none" w:sz="0" w:space="0" w:color="auto"/>
            <w:bottom w:val="none" w:sz="0" w:space="0" w:color="auto"/>
            <w:right w:val="none" w:sz="0" w:space="0" w:color="auto"/>
          </w:divBdr>
        </w:div>
        <w:div w:id="556091338">
          <w:marLeft w:val="0"/>
          <w:marRight w:val="0"/>
          <w:marTop w:val="400"/>
          <w:marBottom w:val="400"/>
          <w:divBdr>
            <w:top w:val="none" w:sz="0" w:space="0" w:color="auto"/>
            <w:left w:val="none" w:sz="0" w:space="0" w:color="auto"/>
            <w:bottom w:val="none" w:sz="0" w:space="0" w:color="auto"/>
            <w:right w:val="none" w:sz="0" w:space="0" w:color="auto"/>
          </w:divBdr>
        </w:div>
        <w:div w:id="823468598">
          <w:marLeft w:val="0"/>
          <w:marRight w:val="0"/>
          <w:marTop w:val="400"/>
          <w:marBottom w:val="400"/>
          <w:divBdr>
            <w:top w:val="none" w:sz="0" w:space="0" w:color="auto"/>
            <w:left w:val="none" w:sz="0" w:space="0" w:color="auto"/>
            <w:bottom w:val="none" w:sz="0" w:space="0" w:color="auto"/>
            <w:right w:val="none" w:sz="0" w:space="0" w:color="auto"/>
          </w:divBdr>
        </w:div>
        <w:div w:id="851994101">
          <w:marLeft w:val="0"/>
          <w:marRight w:val="0"/>
          <w:marTop w:val="400"/>
          <w:marBottom w:val="400"/>
          <w:divBdr>
            <w:top w:val="none" w:sz="0" w:space="0" w:color="auto"/>
            <w:left w:val="none" w:sz="0" w:space="0" w:color="auto"/>
            <w:bottom w:val="none" w:sz="0" w:space="0" w:color="auto"/>
            <w:right w:val="none" w:sz="0" w:space="0" w:color="auto"/>
          </w:divBdr>
          <w:divsChild>
            <w:div w:id="309017902">
              <w:marLeft w:val="0"/>
              <w:marRight w:val="0"/>
              <w:marTop w:val="400"/>
              <w:marBottom w:val="400"/>
              <w:divBdr>
                <w:top w:val="none" w:sz="0" w:space="0" w:color="auto"/>
                <w:left w:val="none" w:sz="0" w:space="0" w:color="auto"/>
                <w:bottom w:val="none" w:sz="0" w:space="0" w:color="auto"/>
                <w:right w:val="none" w:sz="0" w:space="0" w:color="auto"/>
              </w:divBdr>
            </w:div>
          </w:divsChild>
        </w:div>
        <w:div w:id="291908467">
          <w:marLeft w:val="0"/>
          <w:marRight w:val="0"/>
          <w:marTop w:val="0"/>
          <w:marBottom w:val="0"/>
          <w:divBdr>
            <w:top w:val="none" w:sz="0" w:space="0" w:color="auto"/>
            <w:left w:val="none" w:sz="0" w:space="0" w:color="auto"/>
            <w:bottom w:val="none" w:sz="0" w:space="0" w:color="auto"/>
            <w:right w:val="none" w:sz="0" w:space="0" w:color="auto"/>
          </w:divBdr>
        </w:div>
        <w:div w:id="1732535241">
          <w:marLeft w:val="0"/>
          <w:marRight w:val="0"/>
          <w:marTop w:val="0"/>
          <w:marBottom w:val="0"/>
          <w:divBdr>
            <w:top w:val="none" w:sz="0" w:space="0" w:color="auto"/>
            <w:left w:val="none" w:sz="0" w:space="0" w:color="auto"/>
            <w:bottom w:val="none" w:sz="0" w:space="0" w:color="auto"/>
            <w:right w:val="none" w:sz="0" w:space="0" w:color="auto"/>
          </w:divBdr>
          <w:divsChild>
            <w:div w:id="1883786471">
              <w:marLeft w:val="0"/>
              <w:marRight w:val="0"/>
              <w:marTop w:val="400"/>
              <w:marBottom w:val="400"/>
              <w:divBdr>
                <w:top w:val="single" w:sz="6" w:space="20" w:color="EAC3AF"/>
                <w:left w:val="single" w:sz="6" w:space="20" w:color="EAC3AF"/>
                <w:bottom w:val="single" w:sz="6" w:space="20" w:color="EAC3AF"/>
                <w:right w:val="single" w:sz="6" w:space="20" w:color="EAC3AF"/>
              </w:divBdr>
              <w:divsChild>
                <w:div w:id="202362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362680">
          <w:marLeft w:val="0"/>
          <w:marRight w:val="0"/>
          <w:marTop w:val="400"/>
          <w:marBottom w:val="400"/>
          <w:divBdr>
            <w:top w:val="none" w:sz="0" w:space="0" w:color="auto"/>
            <w:left w:val="none" w:sz="0" w:space="0" w:color="auto"/>
            <w:bottom w:val="none" w:sz="0" w:space="0" w:color="auto"/>
            <w:right w:val="none" w:sz="0" w:space="0" w:color="auto"/>
          </w:divBdr>
          <w:divsChild>
            <w:div w:id="349600976">
              <w:marLeft w:val="0"/>
              <w:marRight w:val="0"/>
              <w:marTop w:val="400"/>
              <w:marBottom w:val="400"/>
              <w:divBdr>
                <w:top w:val="none" w:sz="0" w:space="0" w:color="auto"/>
                <w:left w:val="none" w:sz="0" w:space="0" w:color="auto"/>
                <w:bottom w:val="none" w:sz="0" w:space="0" w:color="auto"/>
                <w:right w:val="none" w:sz="0" w:space="0" w:color="auto"/>
              </w:divBdr>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07012627">
      <w:bodyDiv w:val="1"/>
      <w:marLeft w:val="0"/>
      <w:marRight w:val="0"/>
      <w:marTop w:val="0"/>
      <w:marBottom w:val="0"/>
      <w:divBdr>
        <w:top w:val="none" w:sz="0" w:space="0" w:color="auto"/>
        <w:left w:val="none" w:sz="0" w:space="0" w:color="auto"/>
        <w:bottom w:val="none" w:sz="0" w:space="0" w:color="auto"/>
        <w:right w:val="none" w:sz="0" w:space="0" w:color="auto"/>
      </w:divBdr>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nhum.2021.742198" TargetMode="Externa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cbi.nlm.nih.gov/pmc/articles/PMC8511512/figure/F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ncbi.nlm.nih.gov/core/lw/2.0/html/tileshop_pmc/tileshop_pmc_inline.html?title=Click%20on%20image%20to%20zoom&amp;p=PMC3&amp;id=8511512_fnhum-15-742198-g001.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cbi.nlm.nih.gov/pmc/articles/PMC8511512/figure/F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8446</Words>
  <Characters>48144</Characters>
  <Application>Microsoft Office Word</Application>
  <DocSecurity>8</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2022-04-01T20:16:00Z</dcterms:created>
  <dcterms:modified xsi:type="dcterms:W3CDTF">2022-04-05T13:47:00Z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