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3CFB6CE5" w:rsidR="00A765A5" w:rsidRPr="00A765A5" w:rsidRDefault="00DF1E6A"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Psychology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4D4FA626" w:rsidR="00A765A5" w:rsidRPr="00A765A5" w:rsidRDefault="00590C2D" w:rsidP="002E6397">
      <w:pPr>
        <w:rPr>
          <w:rFonts w:ascii="Calibri" w:eastAsia="MS Mincho" w:hAnsi="Calibri" w:cs="Calibri"/>
          <w:b/>
          <w:bCs/>
          <w:sz w:val="24"/>
          <w:szCs w:val="24"/>
        </w:rPr>
      </w:pPr>
      <w:proofErr w:type="spellStart"/>
      <w:r>
        <w:rPr>
          <w:rFonts w:ascii="Calibri" w:eastAsia="MS Mincho" w:hAnsi="Calibri" w:cs="Calibri"/>
          <w:i/>
          <w:sz w:val="24"/>
          <w:szCs w:val="24"/>
          <w:lang w:val="fr-FR"/>
        </w:rPr>
        <w:t>Frontiers</w:t>
      </w:r>
      <w:proofErr w:type="spellEnd"/>
      <w:r>
        <w:rPr>
          <w:rFonts w:ascii="Calibri" w:eastAsia="MS Mincho" w:hAnsi="Calibri" w:cs="Calibri"/>
          <w:i/>
          <w:sz w:val="24"/>
          <w:szCs w:val="24"/>
          <w:lang w:val="fr-FR"/>
        </w:rPr>
        <w:t xml:space="preserve"> in Neuroscience</w:t>
      </w:r>
      <w:r w:rsidR="00A765A5" w:rsidRPr="00A765A5">
        <w:rPr>
          <w:rFonts w:ascii="Calibri" w:eastAsia="MS Mincho" w:hAnsi="Calibri" w:cs="Calibri"/>
          <w:sz w:val="24"/>
          <w:szCs w:val="24"/>
          <w:lang w:val="fr-FR"/>
        </w:rPr>
        <w:t xml:space="preserve">, Vol. </w:t>
      </w:r>
      <w:r w:rsidR="009D0F9A">
        <w:rPr>
          <w:rFonts w:ascii="Calibri" w:eastAsia="MS Mincho" w:hAnsi="Calibri" w:cs="Calibri"/>
          <w:sz w:val="24"/>
          <w:szCs w:val="24"/>
          <w:lang w:val="fr-FR"/>
        </w:rPr>
        <w:t>16</w:t>
      </w:r>
      <w:r w:rsidR="00A765A5" w:rsidRPr="00A765A5">
        <w:rPr>
          <w:rFonts w:ascii="Calibri" w:eastAsia="MS Mincho" w:hAnsi="Calibri" w:cs="Calibri"/>
          <w:sz w:val="24"/>
          <w:szCs w:val="24"/>
          <w:lang w:val="fr-FR"/>
        </w:rPr>
        <w:t xml:space="preserve"> (</w:t>
      </w:r>
      <w:r w:rsidR="009D0F9A">
        <w:rPr>
          <w:rFonts w:ascii="Calibri" w:eastAsia="MS Mincho" w:hAnsi="Calibri" w:cs="Calibri"/>
          <w:sz w:val="24"/>
          <w:szCs w:val="24"/>
          <w:lang w:val="fr-FR"/>
        </w:rPr>
        <w:t>May 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9D0F9A">
        <w:rPr>
          <w:rFonts w:ascii="Calibri" w:eastAsia="MS Mincho" w:hAnsi="Calibri" w:cs="Calibri"/>
          <w:sz w:val="24"/>
          <w:szCs w:val="24"/>
          <w:lang w:val="fr-FR"/>
        </w:rPr>
        <w:t xml:space="preserve">article </w:t>
      </w:r>
      <w:r w:rsidR="00146C9B">
        <w:rPr>
          <w:rFonts w:ascii="Calibri" w:eastAsia="MS Mincho" w:hAnsi="Calibri" w:cs="Calibri"/>
          <w:sz w:val="24"/>
          <w:szCs w:val="24"/>
          <w:lang w:val="fr-FR"/>
        </w:rPr>
        <w:t>834816</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442231" w:rsidRPr="00442231">
        <w:rPr>
          <w:rFonts w:ascii="Calibri" w:eastAsia="MS Mincho" w:hAnsi="Calibri" w:cs="Calibri"/>
          <w:sz w:val="24"/>
          <w:szCs w:val="24"/>
        </w:rPr>
        <w:t>2022 Won, Nielson and Smith.</w:t>
      </w:r>
      <w:r w:rsidR="00A765A5" w:rsidRPr="00A765A5">
        <w:rPr>
          <w:rFonts w:ascii="Calibri" w:eastAsia="MS Mincho" w:hAnsi="Calibri" w:cs="Calibri"/>
          <w:sz w:val="24"/>
          <w:szCs w:val="24"/>
        </w:rPr>
        <w:t xml:space="preserve"> </w:t>
      </w:r>
      <w:r w:rsidR="00442231">
        <w:rPr>
          <w:rFonts w:ascii="Calibri" w:eastAsia="MS Mincho" w:hAnsi="Calibri" w:cs="Calibri"/>
          <w:sz w:val="24"/>
          <w:szCs w:val="24"/>
        </w:rPr>
        <w:t>P</w:t>
      </w:r>
      <w:r w:rsidR="00A765A5" w:rsidRPr="00A765A5">
        <w:rPr>
          <w:rFonts w:ascii="Calibri" w:eastAsia="MS Mincho" w:hAnsi="Calibri" w:cs="Calibri"/>
          <w:sz w:val="24"/>
          <w:szCs w:val="24"/>
        </w:rPr>
        <w:t xml:space="preserve">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2E6397" w:rsidRPr="002E6397">
        <w:rPr>
          <w:rFonts w:ascii="Calibri" w:eastAsia="MS Mincho" w:hAnsi="Calibri" w:cs="Calibri"/>
          <w:sz w:val="24"/>
          <w:szCs w:val="24"/>
        </w:rPr>
        <w:t>This is an open-access article distributed</w:t>
      </w:r>
      <w:r w:rsidR="002E6397">
        <w:rPr>
          <w:rFonts w:ascii="Calibri" w:eastAsia="MS Mincho" w:hAnsi="Calibri" w:cs="Calibri"/>
          <w:sz w:val="24"/>
          <w:szCs w:val="24"/>
        </w:rPr>
        <w:t xml:space="preserve"> </w:t>
      </w:r>
      <w:r w:rsidR="002E6397" w:rsidRPr="002E6397">
        <w:rPr>
          <w:rFonts w:ascii="Calibri" w:eastAsia="MS Mincho" w:hAnsi="Calibri" w:cs="Calibri"/>
          <w:sz w:val="24"/>
          <w:szCs w:val="24"/>
        </w:rPr>
        <w:t xml:space="preserve">under the terms of the Creative Commons Attribution License (CC BY). The use, </w:t>
      </w:r>
      <w:r w:rsidR="002E6397" w:rsidRPr="002E6397">
        <w:rPr>
          <w:rFonts w:ascii="Calibri" w:eastAsia="MS Mincho" w:hAnsi="Calibri" w:cs="Calibri"/>
          <w:sz w:val="24"/>
          <w:szCs w:val="24"/>
        </w:rPr>
        <w:t>distribution or</w:t>
      </w:r>
      <w:r w:rsidR="002E6397" w:rsidRPr="002E6397">
        <w:rPr>
          <w:rFonts w:ascii="Calibri" w:eastAsia="MS Mincho" w:hAnsi="Calibri" w:cs="Calibri"/>
          <w:sz w:val="24"/>
          <w:szCs w:val="24"/>
        </w:rPr>
        <w:t xml:space="preserve"> </w:t>
      </w:r>
      <w:r w:rsidR="002E6397" w:rsidRPr="002E6397">
        <w:rPr>
          <w:rFonts w:ascii="Calibri" w:eastAsia="MS Mincho" w:hAnsi="Calibri" w:cs="Calibri"/>
          <w:sz w:val="24"/>
          <w:szCs w:val="24"/>
        </w:rPr>
        <w:t>reproduction in other forums is</w:t>
      </w:r>
      <w:r w:rsidR="002E6397" w:rsidRPr="002E6397">
        <w:rPr>
          <w:rFonts w:ascii="Calibri" w:eastAsia="MS Mincho" w:hAnsi="Calibri" w:cs="Calibri"/>
          <w:sz w:val="24"/>
          <w:szCs w:val="24"/>
        </w:rPr>
        <w:t xml:space="preserve"> permitted, provided the original author(s) and the copyright owner(s) are credited and that the original publication </w:t>
      </w:r>
      <w:r w:rsidR="002E6397" w:rsidRPr="002E6397">
        <w:rPr>
          <w:rFonts w:ascii="Calibri" w:eastAsia="MS Mincho" w:hAnsi="Calibri" w:cs="Calibri"/>
          <w:sz w:val="24"/>
          <w:szCs w:val="24"/>
        </w:rPr>
        <w:t>in this</w:t>
      </w:r>
      <w:r w:rsidR="002E6397" w:rsidRPr="002E6397">
        <w:rPr>
          <w:rFonts w:ascii="Calibri" w:eastAsia="MS Mincho" w:hAnsi="Calibri" w:cs="Calibri"/>
          <w:sz w:val="24"/>
          <w:szCs w:val="24"/>
        </w:rPr>
        <w:t xml:space="preserve"> journal is cited, in accordance with accepted academic practice. </w:t>
      </w:r>
      <w:r w:rsidR="002E6397" w:rsidRPr="002E6397">
        <w:rPr>
          <w:rFonts w:ascii="Calibri" w:eastAsia="MS Mincho" w:hAnsi="Calibri" w:cs="Calibri"/>
          <w:sz w:val="24"/>
          <w:szCs w:val="24"/>
        </w:rPr>
        <w:t>No use</w:t>
      </w:r>
      <w:r w:rsidR="002E6397" w:rsidRPr="002E6397">
        <w:rPr>
          <w:rFonts w:ascii="Calibri" w:eastAsia="MS Mincho" w:hAnsi="Calibri" w:cs="Calibri"/>
          <w:sz w:val="24"/>
          <w:szCs w:val="24"/>
        </w:rPr>
        <w:t>, distribution or reproduction is permitted which does not comply with these terms.</w:t>
      </w:r>
      <w:r w:rsidR="00A765A5" w:rsidRPr="00A765A5">
        <w:rPr>
          <w:rFonts w:ascii="Calibri" w:eastAsia="MS Mincho" w:hAnsi="Calibri" w:cs="Calibri"/>
          <w:b/>
          <w:bCs/>
          <w:sz w:val="24"/>
          <w:szCs w:val="24"/>
        </w:rPr>
        <w:t xml:space="preserve"> </w:t>
      </w:r>
      <w:bookmarkEnd w:id="1"/>
    </w:p>
    <w:p w14:paraId="61F54F16" w14:textId="0BD04F9E" w:rsidR="003D33E1" w:rsidRDefault="003D33E1" w:rsidP="00DF1E6A">
      <w:pPr>
        <w:pStyle w:val="Title"/>
      </w:pPr>
      <w:r w:rsidRPr="003D33E1">
        <w:t xml:space="preserve">Subjective Well-Being and Bilateral Anterior Insula Functional Connectivity After Exercise Intervention in Older Adults </w:t>
      </w:r>
      <w:r w:rsidR="00DF1E6A" w:rsidRPr="003D33E1">
        <w:t>with</w:t>
      </w:r>
      <w:r w:rsidRPr="003D33E1">
        <w:t xml:space="preserve"> Mild Cognitive Impairment</w:t>
      </w:r>
    </w:p>
    <w:p w14:paraId="62606932" w14:textId="77777777" w:rsidR="00DF1E6A" w:rsidRPr="00DF1E6A" w:rsidRDefault="00DF1E6A" w:rsidP="00DF1E6A"/>
    <w:p w14:paraId="3CC3327A" w14:textId="5BC43513" w:rsidR="00DF1E6A" w:rsidRPr="00DF1E6A" w:rsidRDefault="00495350" w:rsidP="00DF1E6A">
      <w:pPr>
        <w:pStyle w:val="NoSpacing"/>
        <w:rPr>
          <w:sz w:val="32"/>
          <w:szCs w:val="32"/>
        </w:rPr>
      </w:pPr>
      <w:proofErr w:type="spellStart"/>
      <w:r w:rsidRPr="00DF1E6A">
        <w:rPr>
          <w:sz w:val="32"/>
          <w:szCs w:val="32"/>
        </w:rPr>
        <w:t>Junyeon</w:t>
      </w:r>
      <w:proofErr w:type="spellEnd"/>
      <w:r w:rsidRPr="00DF1E6A">
        <w:rPr>
          <w:sz w:val="32"/>
          <w:szCs w:val="32"/>
        </w:rPr>
        <w:t xml:space="preserve"> Won</w:t>
      </w:r>
    </w:p>
    <w:p w14:paraId="356C3D9E" w14:textId="3935621A" w:rsidR="00DF1E6A" w:rsidRPr="00DF1E6A" w:rsidRDefault="00DF1E6A" w:rsidP="00DF1E6A">
      <w:pPr>
        <w:pStyle w:val="NoSpacing"/>
        <w:rPr>
          <w:sz w:val="24"/>
          <w:szCs w:val="24"/>
        </w:rPr>
      </w:pPr>
      <w:r w:rsidRPr="00DF1E6A">
        <w:rPr>
          <w:sz w:val="24"/>
          <w:szCs w:val="24"/>
        </w:rPr>
        <w:t>Department of Kinesiology, University of Maryland, College Park, MD</w:t>
      </w:r>
    </w:p>
    <w:p w14:paraId="3F088140" w14:textId="1F782D96" w:rsidR="00DF1E6A" w:rsidRPr="00DF1E6A" w:rsidRDefault="00495350" w:rsidP="00DF1E6A">
      <w:pPr>
        <w:pStyle w:val="NoSpacing"/>
        <w:rPr>
          <w:sz w:val="32"/>
          <w:szCs w:val="32"/>
        </w:rPr>
      </w:pPr>
      <w:r w:rsidRPr="00DF1E6A">
        <w:rPr>
          <w:sz w:val="32"/>
          <w:szCs w:val="32"/>
        </w:rPr>
        <w:t>Kristy A. Nielson</w:t>
      </w:r>
    </w:p>
    <w:p w14:paraId="25743662" w14:textId="759B87E3" w:rsidR="00DF1E6A" w:rsidRPr="00DF1E6A" w:rsidRDefault="00DF1E6A" w:rsidP="00DF1E6A">
      <w:pPr>
        <w:pStyle w:val="NoSpacing"/>
        <w:rPr>
          <w:sz w:val="24"/>
          <w:szCs w:val="24"/>
        </w:rPr>
      </w:pPr>
      <w:r w:rsidRPr="00DF1E6A">
        <w:rPr>
          <w:sz w:val="24"/>
          <w:szCs w:val="24"/>
        </w:rPr>
        <w:t>Department of Psychology, Marquette University, Milwaukee, WI</w:t>
      </w:r>
    </w:p>
    <w:p w14:paraId="76571EBF" w14:textId="15803A6E" w:rsidR="00DF1E6A" w:rsidRPr="00DF1E6A" w:rsidRDefault="00DF1E6A" w:rsidP="00DF1E6A">
      <w:pPr>
        <w:pStyle w:val="NoSpacing"/>
        <w:rPr>
          <w:sz w:val="24"/>
          <w:szCs w:val="24"/>
        </w:rPr>
      </w:pPr>
      <w:r w:rsidRPr="00DF1E6A">
        <w:rPr>
          <w:sz w:val="24"/>
          <w:szCs w:val="24"/>
        </w:rPr>
        <w:t>Department of Neurology, Medical College of Wisconsin, Milwaukee, WI</w:t>
      </w:r>
    </w:p>
    <w:p w14:paraId="69BB9645" w14:textId="26C03441" w:rsidR="00495350" w:rsidRPr="00DF1E6A" w:rsidRDefault="00495350" w:rsidP="00DF1E6A">
      <w:pPr>
        <w:pStyle w:val="NoSpacing"/>
        <w:rPr>
          <w:sz w:val="32"/>
          <w:szCs w:val="32"/>
        </w:rPr>
      </w:pPr>
      <w:r w:rsidRPr="00DF1E6A">
        <w:rPr>
          <w:sz w:val="32"/>
          <w:szCs w:val="32"/>
        </w:rPr>
        <w:t>J. Carson Smith</w:t>
      </w:r>
    </w:p>
    <w:p w14:paraId="5C80C3E2" w14:textId="136813EA" w:rsidR="00495350" w:rsidRPr="00DF1E6A" w:rsidRDefault="00495350" w:rsidP="00DF1E6A">
      <w:pPr>
        <w:pStyle w:val="NoSpacing"/>
        <w:rPr>
          <w:sz w:val="24"/>
          <w:szCs w:val="24"/>
        </w:rPr>
      </w:pPr>
      <w:r w:rsidRPr="00DF1E6A">
        <w:rPr>
          <w:sz w:val="24"/>
          <w:szCs w:val="24"/>
        </w:rPr>
        <w:t>Department of Kinesiology, University of Maryland, College Park, MD</w:t>
      </w:r>
    </w:p>
    <w:p w14:paraId="571129B9" w14:textId="45DFF3F4" w:rsidR="003925DC" w:rsidRPr="00DF1E6A" w:rsidRDefault="00495350" w:rsidP="00DF1E6A">
      <w:pPr>
        <w:pStyle w:val="NoSpacing"/>
        <w:rPr>
          <w:sz w:val="24"/>
          <w:szCs w:val="24"/>
        </w:rPr>
      </w:pPr>
      <w:r w:rsidRPr="00DF1E6A">
        <w:rPr>
          <w:sz w:val="24"/>
          <w:szCs w:val="24"/>
        </w:rPr>
        <w:t>Program in Neuroscience and Cognitive Science, University of Maryland, College Park, MD</w:t>
      </w:r>
    </w:p>
    <w:p w14:paraId="353DE471" w14:textId="77777777" w:rsidR="00DF1E6A" w:rsidRDefault="00DF1E6A" w:rsidP="003D33E1"/>
    <w:p w14:paraId="2CBD87D2" w14:textId="77777777" w:rsidR="00DF1E6A" w:rsidRDefault="00DF1E6A" w:rsidP="00DF1E6A">
      <w:pPr>
        <w:pStyle w:val="Heading1"/>
      </w:pPr>
      <w:r>
        <w:t>Abstract</w:t>
      </w:r>
    </w:p>
    <w:p w14:paraId="23B7121B" w14:textId="0ABA6B92" w:rsidR="003D33E1" w:rsidRPr="003D33E1" w:rsidRDefault="003D33E1" w:rsidP="003D33E1">
      <w:r w:rsidRPr="003D33E1">
        <w:t xml:space="preserve">While it is well known that exercise training is associated with improvement in subjective well-being among older adults, it is unclear if individuals with cognitive impairment experience the same effects </w:t>
      </w:r>
      <w:r w:rsidRPr="003D33E1">
        <w:lastRenderedPageBreak/>
        <w:t>elicited by exercise on subjective well-being. We further explored whether the bilateral anterior insula network may be an underlying neural mechanism for the exercise training-related improvements in subjective well-being. We investigated the effects of exercise training on subjective well-being in older adults (78.4 ± 7.1 years) with mild cognitive impairment (MCI; </w:t>
      </w:r>
      <w:r w:rsidRPr="003D33E1">
        <w:rPr>
          <w:i/>
          <w:iCs/>
        </w:rPr>
        <w:t>n</w:t>
      </w:r>
      <w:r w:rsidRPr="003D33E1">
        <w:t> = 14) and a cognitively normal (CN; </w:t>
      </w:r>
      <w:r w:rsidRPr="003D33E1">
        <w:rPr>
          <w:i/>
          <w:iCs/>
        </w:rPr>
        <w:t>n</w:t>
      </w:r>
      <w:r w:rsidRPr="003D33E1">
        <w:t> = 14) control group. We specifically assessed the relationship between changes in subjective well-being and changes in functional connectivity (FC) with the bilateral anterior insula from before to after exercise training. Cardiorespiratory fitness, subjective well-being, and resting-state fMRI were measured before and after a 12-week moderate-intensity walking intervention. A seed-based correlation analysis was conducted using the bilateral anterior insula as </w:t>
      </w:r>
      <w:r w:rsidRPr="003D33E1">
        <w:rPr>
          <w:i/>
          <w:iCs/>
        </w:rPr>
        <w:t>a priori</w:t>
      </w:r>
      <w:r w:rsidRPr="003D33E1">
        <w:t> seed regions of interest. The associations between bilateral anterior insula FC with other brain regions and subjective well-being were computed before and after exercise training, respectively, and the statistical difference between the correlations (before vs after exercise training) was evaluated. There was a significant Group (MCI vs CN) × Time (before vs after exercise training) interaction for subjective well-being, such that while those with MCI demonstrated significantly increased subjective well-being after exercise training, no changes in subjective well-being were observed in CN. Participants with MCI also showed an exercise training-related increase in the bilateral anterior insula FC. While there was no significant correlation between subjective well-being and bilateral anterior insula FC before exercise training, a positive association between subjective well-being and bilateral anterior insula FC was found in the MCI group after exercise training. Our findings indicate that 12 weeks of exercise training may enhance subjective well-being in older adults diagnosed with MCI and, further, suggest that increased bilateral anterior insula FC with other cortical regions may reflect neural network plasticity associated with exercise training-related improvements in subjective well-being.</w:t>
      </w:r>
    </w:p>
    <w:p w14:paraId="413E5F9D" w14:textId="77777777" w:rsidR="003D33E1" w:rsidRPr="003D33E1" w:rsidRDefault="003D33E1" w:rsidP="00DF1E6A">
      <w:pPr>
        <w:pStyle w:val="Heading1"/>
      </w:pPr>
      <w:bookmarkStart w:id="2" w:name="h2"/>
      <w:bookmarkEnd w:id="2"/>
      <w:r w:rsidRPr="003D33E1">
        <w:t>Introduction</w:t>
      </w:r>
    </w:p>
    <w:p w14:paraId="10E6E0A8" w14:textId="0A24AA90" w:rsidR="003D33E1" w:rsidRPr="003D33E1" w:rsidRDefault="003D33E1" w:rsidP="003D33E1">
      <w:r w:rsidRPr="003D33E1">
        <w:t>Sixteen million American older adults (i.e., approximately 10–20% of the older adult population ≥ 65 years old) are currently living with mild cognitive impairment (MCI) (</w:t>
      </w:r>
      <w:proofErr w:type="spellStart"/>
      <w:r w:rsidRPr="00590C2D">
        <w:t>Langa</w:t>
      </w:r>
      <w:proofErr w:type="spellEnd"/>
      <w:r w:rsidRPr="00590C2D">
        <w:t xml:space="preserve"> and Levine, 2014</w:t>
      </w:r>
      <w:r w:rsidRPr="003D33E1">
        <w:t>). MCI is presumed to be a prodromal stage of dementia (</w:t>
      </w:r>
      <w:proofErr w:type="spellStart"/>
      <w:r w:rsidRPr="00590C2D">
        <w:t>Bruscoli</w:t>
      </w:r>
      <w:proofErr w:type="spellEnd"/>
      <w:r w:rsidRPr="00590C2D">
        <w:t xml:space="preserve"> and </w:t>
      </w:r>
      <w:proofErr w:type="spellStart"/>
      <w:r w:rsidRPr="00590C2D">
        <w:t>Lovestone</w:t>
      </w:r>
      <w:proofErr w:type="spellEnd"/>
      <w:r w:rsidRPr="00590C2D">
        <w:t>, 2004</w:t>
      </w:r>
      <w:r w:rsidRPr="003D33E1">
        <w:t>), typically characterized by gradual declines in cognition and ability to complete independent activities of daily living (</w:t>
      </w:r>
      <w:r w:rsidRPr="00590C2D">
        <w:t>Petersen, 2000</w:t>
      </w:r>
      <w:r w:rsidRPr="003D33E1">
        <w:t xml:space="preserve">). Individuals with MCI can be amnestic, exclusively exhibiting memory impairment, but they typically demonstrate dysfunction in multiple cognitive domains ranging </w:t>
      </w:r>
      <w:proofErr w:type="gramStart"/>
      <w:r w:rsidRPr="003D33E1">
        <w:t>from language, attention, and executive dysfunction,</w:t>
      </w:r>
      <w:proofErr w:type="gramEnd"/>
      <w:r w:rsidRPr="003D33E1">
        <w:t xml:space="preserve"> to memory impairment and combinations of these impairments (</w:t>
      </w:r>
      <w:r w:rsidRPr="00590C2D">
        <w:t>Saunders and Summers, 2010</w:t>
      </w:r>
      <w:r w:rsidRPr="003D33E1">
        <w:t>; </w:t>
      </w:r>
      <w:proofErr w:type="spellStart"/>
      <w:r w:rsidRPr="00590C2D">
        <w:t>Broadhouse</w:t>
      </w:r>
      <w:proofErr w:type="spellEnd"/>
      <w:r w:rsidRPr="00590C2D">
        <w:t xml:space="preserve"> et al., 2019</w:t>
      </w:r>
      <w:r w:rsidRPr="003D33E1">
        <w:t>; </w:t>
      </w:r>
      <w:r w:rsidRPr="00590C2D">
        <w:t>Ding et al., 2019</w:t>
      </w:r>
      <w:r w:rsidRPr="003D33E1">
        <w:t>; </w:t>
      </w:r>
      <w:r w:rsidRPr="00590C2D">
        <w:t>Won et al., 2021a</w:t>
      </w:r>
      <w:r w:rsidRPr="003D33E1">
        <w:t>). Individuals with MCI often also exhibit elevated neuropsychiatric symptoms (</w:t>
      </w:r>
      <w:proofErr w:type="spellStart"/>
      <w:r w:rsidRPr="00590C2D">
        <w:t>Apostolova</w:t>
      </w:r>
      <w:proofErr w:type="spellEnd"/>
      <w:r w:rsidRPr="00590C2D">
        <w:t xml:space="preserve"> and Cummings, 2008</w:t>
      </w:r>
      <w:r w:rsidRPr="003D33E1">
        <w:t>), which have been associated with their progressive losses of cognition and independence (</w:t>
      </w:r>
      <w:r w:rsidRPr="00590C2D">
        <w:t>Albert et al., 1999</w:t>
      </w:r>
      <w:r w:rsidRPr="003D33E1">
        <w:t>; </w:t>
      </w:r>
      <w:r w:rsidRPr="00590C2D">
        <w:t>Ogawa et al., 2017</w:t>
      </w:r>
      <w:r w:rsidRPr="003D33E1">
        <w:t>). Specifically, progressive cognitive impairment has been shown to significantly impact subjective well-being (</w:t>
      </w:r>
      <w:r w:rsidRPr="00590C2D">
        <w:t>Dos Santos et al., 2018</w:t>
      </w:r>
      <w:r w:rsidRPr="003D33E1">
        <w:t>), a psychological construct that reflects one’s cognitive evaluation of their life satisfaction and affective evaluation of their happiness (</w:t>
      </w:r>
      <w:r w:rsidRPr="00590C2D">
        <w:t>Diener, 2000</w:t>
      </w:r>
      <w:r w:rsidRPr="003D33E1">
        <w:t>). Subjective well-being is one of the key elements of successful aging (</w:t>
      </w:r>
      <w:r w:rsidRPr="00590C2D">
        <w:t xml:space="preserve">Depp and </w:t>
      </w:r>
      <w:proofErr w:type="spellStart"/>
      <w:r w:rsidRPr="00590C2D">
        <w:t>Jeste</w:t>
      </w:r>
      <w:proofErr w:type="spellEnd"/>
      <w:r w:rsidRPr="00590C2D">
        <w:t>, 2006</w:t>
      </w:r>
      <w:r w:rsidRPr="003D33E1">
        <w:t>), because low subjective well-being is a strong predictor of adverse health outcomes and death in older adults (</w:t>
      </w:r>
      <w:proofErr w:type="spellStart"/>
      <w:r w:rsidRPr="00590C2D">
        <w:t>Bilotta</w:t>
      </w:r>
      <w:proofErr w:type="spellEnd"/>
      <w:r w:rsidRPr="00590C2D">
        <w:t xml:space="preserve"> et al., 2011</w:t>
      </w:r>
      <w:r w:rsidRPr="003D33E1">
        <w:t>). Prior investigations in people with MCI have reported that impaired cognitive performance was associated with higher levels of negative affect (</w:t>
      </w:r>
      <w:r w:rsidRPr="00590C2D">
        <w:t>Rosenberg et al., 2013</w:t>
      </w:r>
      <w:r w:rsidRPr="003D33E1">
        <w:t>; </w:t>
      </w:r>
      <w:r w:rsidRPr="00590C2D">
        <w:t>Gates et al., 2014</w:t>
      </w:r>
      <w:r w:rsidRPr="003D33E1">
        <w:t>) and poorer psychological well-being compared to cognitively intact elders (</w:t>
      </w:r>
      <w:proofErr w:type="spellStart"/>
      <w:r w:rsidRPr="00590C2D">
        <w:t>Muangpaisan</w:t>
      </w:r>
      <w:proofErr w:type="spellEnd"/>
      <w:r w:rsidRPr="00590C2D">
        <w:t xml:space="preserve"> et al., 2008</w:t>
      </w:r>
      <w:r w:rsidRPr="003D33E1">
        <w:t>). Therefore, identifying effective interventions that can enhance subjective well-being is an important unmet need for individuals diagnosed with MCI.</w:t>
      </w:r>
    </w:p>
    <w:p w14:paraId="04453F9D" w14:textId="4014496A" w:rsidR="003D33E1" w:rsidRPr="003D33E1" w:rsidRDefault="003D33E1" w:rsidP="003D33E1">
      <w:r w:rsidRPr="003D33E1">
        <w:t>Exercise training has well-established positive effects on cardiovascular, muscular, and metabolic health (</w:t>
      </w:r>
      <w:proofErr w:type="spellStart"/>
      <w:r w:rsidRPr="00590C2D">
        <w:t>Gries</w:t>
      </w:r>
      <w:proofErr w:type="spellEnd"/>
      <w:r w:rsidRPr="00590C2D">
        <w:t xml:space="preserve"> et al., 2018</w:t>
      </w:r>
      <w:r w:rsidRPr="003D33E1">
        <w:t>). Emerging evidence further suggests the salutary effects of exercise training on mental health and subjective well-being. For example, prior meta-analyses reported higher positive affect and life satisfaction (</w:t>
      </w:r>
      <w:r w:rsidRPr="00590C2D">
        <w:t>Wiese et al., 2018</w:t>
      </w:r>
      <w:r w:rsidRPr="003D33E1">
        <w:t>), self-efficacy (</w:t>
      </w:r>
      <w:proofErr w:type="spellStart"/>
      <w:r w:rsidRPr="00590C2D">
        <w:t>Netz</w:t>
      </w:r>
      <w:proofErr w:type="spellEnd"/>
      <w:r w:rsidRPr="00590C2D">
        <w:t xml:space="preserve"> et al., 2005</w:t>
      </w:r>
      <w:r w:rsidRPr="003D33E1">
        <w:t>), and happiness (</w:t>
      </w:r>
      <w:r w:rsidRPr="00590C2D">
        <w:t>Zhang and Chen, 2019</w:t>
      </w:r>
      <w:r w:rsidRPr="003D33E1">
        <w:t>) in those engaging in greater leisure time physical activity. Longitudinal and interventional studies also report that regular participation in exercise is associated with higher levels of subjective well-being and positive affect, as well as fewer symptoms of depression and anxiety in older adults (</w:t>
      </w:r>
      <w:r w:rsidRPr="00590C2D">
        <w:t>Camacho et al., 1991</w:t>
      </w:r>
      <w:r w:rsidRPr="003D33E1">
        <w:t>; </w:t>
      </w:r>
      <w:r w:rsidRPr="00590C2D">
        <w:t>De Moor et al., 2008</w:t>
      </w:r>
      <w:r w:rsidRPr="003D33E1">
        <w:t>; </w:t>
      </w:r>
      <w:r w:rsidRPr="00590C2D">
        <w:t>Reed and Buck, 2009</w:t>
      </w:r>
      <w:r w:rsidRPr="003D33E1">
        <w:t>). Despite this body of evidence, the effects elicited by exercise training on subjective well-being in MCI individuals are not well-understood. To mitigate this gap in the literature, we investigated the effects of a 12-week walking exercise training intervention on subjective well-being in older adults with MCI. We also tested the effects of exercise training on cognitively normal older adults (CN) as a control group. Older adults with MCI demonstrate poorer subjective well-being compared to those with intact cognition (</w:t>
      </w:r>
      <w:proofErr w:type="spellStart"/>
      <w:r w:rsidRPr="00590C2D">
        <w:t>Muangpaisan</w:t>
      </w:r>
      <w:proofErr w:type="spellEnd"/>
      <w:r w:rsidRPr="00590C2D">
        <w:t xml:space="preserve"> et al., 2008</w:t>
      </w:r>
      <w:r w:rsidRPr="003D33E1">
        <w:t>) and previous work suggests that effects induced by exercise training on cognitive and brain functions were greater in those with MCI than those with intact cognition (</w:t>
      </w:r>
      <w:proofErr w:type="spellStart"/>
      <w:r w:rsidRPr="00590C2D">
        <w:t>Dannhauser</w:t>
      </w:r>
      <w:proofErr w:type="spellEnd"/>
      <w:r w:rsidRPr="00590C2D">
        <w:t xml:space="preserve"> et al., 2005</w:t>
      </w:r>
      <w:r w:rsidRPr="003D33E1">
        <w:t>; </w:t>
      </w:r>
      <w:proofErr w:type="spellStart"/>
      <w:r w:rsidRPr="00590C2D">
        <w:t>Maquet</w:t>
      </w:r>
      <w:proofErr w:type="spellEnd"/>
      <w:r w:rsidRPr="00590C2D">
        <w:t xml:space="preserve"> et al., 2010</w:t>
      </w:r>
      <w:r w:rsidRPr="003D33E1">
        <w:t>; </w:t>
      </w:r>
      <w:r w:rsidRPr="00590C2D">
        <w:t>Won et al., 2021a</w:t>
      </w:r>
      <w:r w:rsidRPr="003D33E1">
        <w:t>). Therefore, we hypothesized that both MCI and CN groups would demonstrate improved subjective well-being in response to exercise training, but the effects of exercise training on subjective well-being would be greater in those with MCI than those in the CN group.</w:t>
      </w:r>
    </w:p>
    <w:p w14:paraId="6FA60E73" w14:textId="1398AFA9" w:rsidR="003D33E1" w:rsidRPr="003D33E1" w:rsidRDefault="003D33E1" w:rsidP="003D33E1">
      <w:r w:rsidRPr="003D33E1">
        <w:t>Importantly, the neural foundations of subjective well-being related to ET are unknown. Thus, we sought to address this gap in the literature in healthy older adults and older adults diagnosed with MCI by examining ET-related changes in functional connectivity (FC) within a brain network known to be associated with subjective well-being. Resting-state FC analysis assesses the patterns of functional interaction between remotely located brain regions (</w:t>
      </w:r>
      <w:proofErr w:type="spellStart"/>
      <w:r w:rsidRPr="00590C2D">
        <w:t>Damoiseaux</w:t>
      </w:r>
      <w:proofErr w:type="spellEnd"/>
      <w:r w:rsidRPr="00590C2D">
        <w:t xml:space="preserve"> et al., 2006</w:t>
      </w:r>
      <w:r w:rsidRPr="003D33E1">
        <w:t>) by using the coherence of functional magnetic resonance imaging (fMRI) blood oxygenation level-dependent (BOLD) measures (</w:t>
      </w:r>
      <w:r w:rsidRPr="00590C2D">
        <w:t>Fox et al., 2005</w:t>
      </w:r>
      <w:r w:rsidRPr="003D33E1">
        <w:t>). The cingulo-opercular network (i.e., the “salience” network) is one of the key brain networks that detect incoming stimuli, segregate relevant stimuli to guide biobehavioral responses (</w:t>
      </w:r>
      <w:r w:rsidRPr="00590C2D">
        <w:t>Menon and Uddin, 2010</w:t>
      </w:r>
      <w:r w:rsidRPr="003D33E1">
        <w:t>), and mediate attention shifts between endogenous and exogenous events (</w:t>
      </w:r>
      <w:r w:rsidRPr="00590C2D">
        <w:t>Menon, 2010</w:t>
      </w:r>
      <w:r w:rsidRPr="003D33E1">
        <w:t>). Importantly, the cingulo-opercular network plays a crucial role in affective processing (</w:t>
      </w:r>
      <w:r w:rsidRPr="00590C2D">
        <w:t>Menon and Uddin, 2010</w:t>
      </w:r>
      <w:r w:rsidRPr="003D33E1">
        <w:t>) and social well-being (</w:t>
      </w:r>
      <w:r w:rsidRPr="00590C2D">
        <w:t>Kong et al., 2016</w:t>
      </w:r>
      <w:r w:rsidRPr="003D33E1">
        <w:t>). The bilateral anterior insula and dorsal anterior cingulate cortex are primarily anchored within the cingulo-opercular network, with subcortical nodes including the putamen, ventral striatum, and hypothalamus (</w:t>
      </w:r>
      <w:r w:rsidRPr="00590C2D">
        <w:t>Seeley et al., 2007</w:t>
      </w:r>
      <w:r w:rsidRPr="003D33E1">
        <w:t>; </w:t>
      </w:r>
      <w:r w:rsidRPr="00590C2D">
        <w:t>Sridharan et al., 2008</w:t>
      </w:r>
      <w:r w:rsidRPr="003D33E1">
        <w:t xml:space="preserve">). Among the key brain regions within the cingulo-opercular network, the bilateral anterior insula is linked to </w:t>
      </w:r>
      <w:proofErr w:type="spellStart"/>
      <w:r w:rsidRPr="003D33E1">
        <w:t>interoception</w:t>
      </w:r>
      <w:proofErr w:type="spellEnd"/>
      <w:r w:rsidRPr="003D33E1">
        <w:t>, understanding others’ feelings (i.e., emotional awareness), and social well-being (</w:t>
      </w:r>
      <w:r w:rsidRPr="00590C2D">
        <w:t>Singer et al., 2009</w:t>
      </w:r>
      <w:r w:rsidRPr="003D33E1">
        <w:t>). Indeed, a significant negative correlation has been reported between FC between the left anterior insula and regions within the default mode network and subjective well-being in older adults (</w:t>
      </w:r>
      <w:r w:rsidRPr="00590C2D">
        <w:t>Li et al., 2020</w:t>
      </w:r>
      <w:r w:rsidRPr="003D33E1">
        <w:t>). Moreover, the anterior insula is responsive to cardiovascular regulation and blood pressure control through afferent feedback, which provides a potential physiological link between exercise and adaptations within the cingulo-opercular network (</w:t>
      </w:r>
      <w:proofErr w:type="spellStart"/>
      <w:r w:rsidRPr="00590C2D">
        <w:t>Kimmerly</w:t>
      </w:r>
      <w:proofErr w:type="spellEnd"/>
      <w:r w:rsidRPr="00590C2D">
        <w:t xml:space="preserve"> et al., 2005</w:t>
      </w:r>
      <w:r w:rsidRPr="003D33E1">
        <w:t>). Thus, the anterior insula may provide critical neural influence on the effects of exercise training on subjective well-being.</w:t>
      </w:r>
    </w:p>
    <w:p w14:paraId="50853641" w14:textId="6AEBBA90" w:rsidR="003D33E1" w:rsidRPr="003D33E1" w:rsidRDefault="003D33E1" w:rsidP="003D33E1">
      <w:r w:rsidRPr="003D33E1">
        <w:t>Despite the converging evidence, little is known about the association between anterior insula connectivity and subjective well-being after exercise training. This is particularly important and unstudied in individuals at risk for subjective well-being decline, such as older adults diagnosed with MCI. To address this knowledge gap, the second purpose of this study was to compare the association between the anterior insula FC and subjective well-being before and after the ET intervention. Based on separate pieces of evidence showing both increased intra-salience network connectivity (one of the primary seeds included anterior insula) (</w:t>
      </w:r>
      <w:r w:rsidRPr="00590C2D">
        <w:t>Voss et al., 2019</w:t>
      </w:r>
      <w:r w:rsidRPr="003D33E1">
        <w:t>) and enhanced subjective well-being (</w:t>
      </w:r>
      <w:r w:rsidRPr="00590C2D">
        <w:t>Reed and Buck, 2009</w:t>
      </w:r>
      <w:r w:rsidRPr="003D33E1">
        <w:t>) after ET, we hypothesized there would be a positive association between subjective well-being and anterior insula FC, and furthermore, that this correlation would be greater after ET compared to before ET. We further hypothesized that the correlation between anterior insula FC and subjective well-being would be greater after ET in MCI compared to CN.</w:t>
      </w:r>
    </w:p>
    <w:p w14:paraId="217F4BC8" w14:textId="77777777" w:rsidR="003D33E1" w:rsidRPr="003D33E1" w:rsidRDefault="003D33E1" w:rsidP="00DF1E6A">
      <w:pPr>
        <w:pStyle w:val="Heading1"/>
      </w:pPr>
      <w:bookmarkStart w:id="3" w:name="h3"/>
      <w:bookmarkEnd w:id="3"/>
      <w:r w:rsidRPr="003D33E1">
        <w:t>Materials and Methods</w:t>
      </w:r>
    </w:p>
    <w:p w14:paraId="2B8B0E46" w14:textId="77777777" w:rsidR="003D33E1" w:rsidRPr="003D33E1" w:rsidRDefault="003D33E1" w:rsidP="00F17829">
      <w:pPr>
        <w:pStyle w:val="Heading2"/>
      </w:pPr>
      <w:r w:rsidRPr="003D33E1">
        <w:t>Participants</w:t>
      </w:r>
    </w:p>
    <w:p w14:paraId="10AF6C5F" w14:textId="2EF7CEE5" w:rsidR="003D33E1" w:rsidRPr="003D33E1" w:rsidRDefault="003D33E1" w:rsidP="003D33E1">
      <w:r w:rsidRPr="003D33E1">
        <w:t>Our prior investigation reported detailed information about the recruitment, eligibility screening, enrollment, and withdrawals (</w:t>
      </w:r>
      <w:r w:rsidRPr="00590C2D">
        <w:t>Smith et al., 2013</w:t>
      </w:r>
      <w:r w:rsidRPr="003D33E1">
        <w:t>). Briefly, local newspaper advertisements, in-person informational sessions at local retirement communities, and physician referrals were used to recruit participants. We used a structured telephone interview to evaluate preliminary eligibility, including exclusionary health conditions and magnetic resonance imaging (MRI) contraindications for interested individuals. Final eligibility to participate in the present study was determined after participants underwent the informed consent process followed by a neurological assessment (see section “Cognitive Status Evaluation”). The present study was approved by the Institutional Review Board of the Medical College of Wisconsin according to the Helsinki Declaration, and written informed consent was obtained from all participants. Of 407 older adults who responded to study recruitment and advertisements, 92 signed informed consent and underwent neurological examination, 39 started the exercise program, and 35 individuals completed the entire study protocol (17 MCI and 18 CN; ages 60–88). Researchers responsible for data collection sessions were blinded to the participant groupings. All testing sessions occurred within approximately 3–5 days before and after the intervention period.</w:t>
      </w:r>
    </w:p>
    <w:p w14:paraId="34DD434B" w14:textId="77777777" w:rsidR="003D33E1" w:rsidRPr="003D33E1" w:rsidRDefault="003D33E1" w:rsidP="00F17829">
      <w:pPr>
        <w:pStyle w:val="Heading2"/>
      </w:pPr>
      <w:r w:rsidRPr="003D33E1">
        <w:t>Inclusion and Exclusion Criteria</w:t>
      </w:r>
    </w:p>
    <w:p w14:paraId="276B525D" w14:textId="6B50FBB3" w:rsidR="003D33E1" w:rsidRPr="003D33E1" w:rsidRDefault="003D33E1" w:rsidP="003D33E1">
      <w:r w:rsidRPr="003D33E1">
        <w:t>Physically inactive older individuals (i.e., self-rated participation in moderate-intensity physical activity less than 3 days/week in the prior 6 months) were included in the present study. A detailed description about the eligibility criteria and recruitment was previously reported (</w:t>
      </w:r>
      <w:r w:rsidRPr="00590C2D">
        <w:t>Smith et al., 2013</w:t>
      </w:r>
      <w:r w:rsidRPr="003D33E1">
        <w:t>). Briefly, individuals who reported any of the following were considered ineligible: (1) current or history of neurological or cerebrovascular conditions (e.g., Parkinson’s disease, Huntington’s disease, multiple sclerosis, epilepsy, carotid artery disease, or brain tumor); (2) history of cardiovascular disease or brain injury (e.g., stroke and ischemic attack); (3) MRI contraindications (e.g., metal implants, pacemakers, and claustrophobia); (4) untreated Axis I psychiatric disturbance meeting DSM-IV Axis I criteria, severe depressive symptoms, and substance abuse; (5) &gt;15 score on the 30-item Geriatric Depression Scale (</w:t>
      </w:r>
      <w:proofErr w:type="spellStart"/>
      <w:r w:rsidRPr="00590C2D">
        <w:t>Yesavage</w:t>
      </w:r>
      <w:proofErr w:type="spellEnd"/>
      <w:r w:rsidRPr="00590C2D">
        <w:t>, 1988</w:t>
      </w:r>
      <w:r w:rsidRPr="003D33E1">
        <w:t>); (6) impairments in independent activities of daily living (</w:t>
      </w:r>
      <w:r w:rsidRPr="00590C2D">
        <w:t>Lawton and Brody, 1969</w:t>
      </w:r>
      <w:r w:rsidRPr="003D33E1">
        <w:t>); or (7) left-handedness [i.e., &lt;50 of laterality quotient (</w:t>
      </w:r>
      <w:r w:rsidRPr="00590C2D">
        <w:t>Oldfield, 1971</w:t>
      </w:r>
      <w:r w:rsidRPr="003D33E1">
        <w:t>)].</w:t>
      </w:r>
    </w:p>
    <w:p w14:paraId="5B438383" w14:textId="77777777" w:rsidR="003D33E1" w:rsidRPr="003D33E1" w:rsidRDefault="003D33E1" w:rsidP="00F17829">
      <w:pPr>
        <w:pStyle w:val="Heading2"/>
      </w:pPr>
      <w:r w:rsidRPr="003D33E1">
        <w:t>Cognitive Status Evaluation</w:t>
      </w:r>
    </w:p>
    <w:p w14:paraId="48192E9A" w14:textId="6B3F88D9" w:rsidR="003D33E1" w:rsidRPr="003D33E1" w:rsidRDefault="003D33E1" w:rsidP="003D33E1">
      <w:r w:rsidRPr="003D33E1">
        <w:t>A team of clinical investigators made determinations for each participant’s cognitive status using the core clinical criteria for the diagnosis of MCI by the National Institute of Aging-Alzheimer’s Association criteria for diagnosis of MCI (</w:t>
      </w:r>
      <w:r w:rsidRPr="00590C2D">
        <w:t>Albert et al., 2011</w:t>
      </w:r>
      <w:r w:rsidRPr="003D33E1">
        <w:t>). The following criteria were utilized to determine the presence of MCI: (1) subjective cognition-related concerns; (2) impaired cognition in more than one cognitive domain; (3) preserved activities of daily living; and (4) absence of dementia. A neurologist evaluated all individuals with probable MCI to exclude other possible causes of cognitive decline (e.g., current clinical depression, history of head trauma, or neurological disease) and to confirm intact activities of daily living and the absence of dementia.</w:t>
      </w:r>
    </w:p>
    <w:p w14:paraId="091DA703" w14:textId="77777777" w:rsidR="003D33E1" w:rsidRPr="003D33E1" w:rsidRDefault="003D33E1" w:rsidP="00F17829">
      <w:pPr>
        <w:pStyle w:val="Heading2"/>
      </w:pPr>
      <w:r w:rsidRPr="003D33E1">
        <w:t>Subjective Well-Being Assessment</w:t>
      </w:r>
    </w:p>
    <w:p w14:paraId="519CC221" w14:textId="06C049EF" w:rsidR="003D33E1" w:rsidRPr="003D33E1" w:rsidRDefault="003D33E1" w:rsidP="003D33E1">
      <w:r w:rsidRPr="003D33E1">
        <w:t>Subjective well-being was assessed using the satisfaction with life scale. The satisfaction with life scale is a short five-item unidimensional measure designed to assess psychometric properties related to satisfaction with life (</w:t>
      </w:r>
      <w:proofErr w:type="spellStart"/>
      <w:r w:rsidRPr="00590C2D">
        <w:t>Pavot</w:t>
      </w:r>
      <w:proofErr w:type="spellEnd"/>
      <w:r w:rsidRPr="00590C2D">
        <w:t xml:space="preserve"> et al., 1991</w:t>
      </w:r>
      <w:r w:rsidRPr="003D33E1">
        <w:t>). The satisfaction with life scale has been used to measure the life satisfaction component of subjective well-being, reflecting the subjective quality of life and mental health, and it has been predictive of future behaviors such as suicide attempts (</w:t>
      </w:r>
      <w:proofErr w:type="spellStart"/>
      <w:r w:rsidRPr="00590C2D">
        <w:t>Pavot</w:t>
      </w:r>
      <w:proofErr w:type="spellEnd"/>
      <w:r w:rsidRPr="00590C2D">
        <w:t xml:space="preserve"> and Diener, 2009</w:t>
      </w:r>
      <w:r w:rsidRPr="003D33E1">
        <w:t xml:space="preserve">). The satisfaction with life scale consists of five statements: “In most ways my life is close to my ideal,” “The conditions of my life are excellent,” “I am satisfied with my life,” “So </w:t>
      </w:r>
      <w:proofErr w:type="gramStart"/>
      <w:r w:rsidRPr="003D33E1">
        <w:t>far</w:t>
      </w:r>
      <w:proofErr w:type="gramEnd"/>
      <w:r w:rsidRPr="003D33E1">
        <w:t xml:space="preserve"> I have gotten the important things I want in life,” and “If I could live my life over, I would change almost nothing.” Participants were instructed to indicate their agreement with each item using the scale from 1 (strongly disagree) to 7 (strongly agree). Total scores were calculated across all five statements. Total scores between 5 and 9 indicate extreme dissatisfaction with life, 20 is considered neutral, and scores between 31 and 35 indicate extreme satisfaction with life. The satisfaction with life scale has high internal consistency (Cronbach’s alpha 0.79–0.89) and good test-retest correlations (Cronbach’s alpha 0.80–0.87) (</w:t>
      </w:r>
      <w:proofErr w:type="spellStart"/>
      <w:r w:rsidRPr="00590C2D">
        <w:t>Pavot</w:t>
      </w:r>
      <w:proofErr w:type="spellEnd"/>
      <w:r w:rsidRPr="00590C2D">
        <w:t xml:space="preserve"> and Diener, 2008</w:t>
      </w:r>
      <w:r w:rsidRPr="003D33E1">
        <w:t>).</w:t>
      </w:r>
    </w:p>
    <w:p w14:paraId="05D053FE" w14:textId="77777777" w:rsidR="003D33E1" w:rsidRPr="003D33E1" w:rsidRDefault="003D33E1" w:rsidP="00F17829">
      <w:pPr>
        <w:pStyle w:val="Heading2"/>
      </w:pPr>
      <w:r w:rsidRPr="003D33E1">
        <w:t>Cardiorespiratory Fitness Test</w:t>
      </w:r>
    </w:p>
    <w:p w14:paraId="2432EF3F" w14:textId="4709CCD5" w:rsidR="003D33E1" w:rsidRPr="003D33E1" w:rsidRDefault="003D33E1" w:rsidP="003D33E1">
      <w:r w:rsidRPr="003D33E1">
        <w:t xml:space="preserve">Participants completed a modified submaximal stress test to assess aerobic fitness before and after the 12-week walking exercise intervention. A modified </w:t>
      </w:r>
      <w:proofErr w:type="spellStart"/>
      <w:r w:rsidRPr="003D33E1">
        <w:t>Balke</w:t>
      </w:r>
      <w:proofErr w:type="spellEnd"/>
      <w:r w:rsidRPr="003D33E1">
        <w:t>-Ware protocol (initial exercise speed = 3.2 km/h at 0° grade and grade increase 1°/min) was used on a General Electric (GE) motorized treadmill (Milwaukee, WI, United States). We assessed breath-by-breath measures (expressed as a 15-s average) of ventilation, rate of oxygen (O</w:t>
      </w:r>
      <w:r w:rsidRPr="003D33E1">
        <w:rPr>
          <w:vertAlign w:val="subscript"/>
        </w:rPr>
        <w:t>2</w:t>
      </w:r>
      <w:r w:rsidRPr="003D33E1">
        <w:t>) consumption, rate of carbon dioxide (CO</w:t>
      </w:r>
      <w:r w:rsidRPr="003D33E1">
        <w:rPr>
          <w:vertAlign w:val="subscript"/>
        </w:rPr>
        <w:t>2</w:t>
      </w:r>
      <w:r w:rsidRPr="003D33E1">
        <w:t>) production, and the respiratory exchange ratio (RER; CO</w:t>
      </w:r>
      <w:r w:rsidRPr="003D33E1">
        <w:rPr>
          <w:vertAlign w:val="subscript"/>
        </w:rPr>
        <w:t>2</w:t>
      </w:r>
      <w:r w:rsidRPr="003D33E1">
        <w:t> production/O</w:t>
      </w:r>
      <w:r w:rsidRPr="003D33E1">
        <w:rPr>
          <w:vertAlign w:val="subscript"/>
        </w:rPr>
        <w:t>2</w:t>
      </w:r>
      <w:r w:rsidRPr="003D33E1">
        <w:t> consumption) using a calibrated metabolic measurement system (Parvo Medics, Salt Lake City, UT, United States). The ratings of perceived exertion (RPE) scale (</w:t>
      </w:r>
      <w:r w:rsidRPr="00590C2D">
        <w:t>Borg, 1998</w:t>
      </w:r>
      <w:r w:rsidRPr="003D33E1">
        <w:t xml:space="preserve">) </w:t>
      </w:r>
      <w:proofErr w:type="gramStart"/>
      <w:r w:rsidRPr="003D33E1">
        <w:t>was</w:t>
      </w:r>
      <w:proofErr w:type="gramEnd"/>
      <w:r w:rsidRPr="003D33E1">
        <w:t xml:space="preserve"> used each minute to monitor perceived exertion during the test. Heart rate (HR) and blood pressure were assessed every 2 min during the test. Heart rate reserve (HRR) was determined based on age-predicted maximal heart rate and resting heart rate measured while seated prior to the exercise test. The test was terminated upon any of the following criteria: (1) reaching 85% of the participant’s maximal HRR; (2) participant’s request to stop the test; or (3) observation of absolute exercise contraindications (e.g., raise in diastolic blood pressure &gt; 110 mmHg). We used linear extrapolation to estimate peak oxygen uptake (V̇O</w:t>
      </w:r>
      <w:r w:rsidRPr="003D33E1">
        <w:rPr>
          <w:vertAlign w:val="subscript"/>
        </w:rPr>
        <w:t>2peak</w:t>
      </w:r>
      <w:r w:rsidRPr="003D33E1">
        <w:t>), a measure of cardiorespiratory fitness, and at age-predicted maximal heart rate.</w:t>
      </w:r>
    </w:p>
    <w:p w14:paraId="511111A9" w14:textId="77777777" w:rsidR="003D33E1" w:rsidRPr="003D33E1" w:rsidRDefault="003D33E1" w:rsidP="00F17829">
      <w:pPr>
        <w:pStyle w:val="Heading2"/>
      </w:pPr>
      <w:r w:rsidRPr="003D33E1">
        <w:t>Neuropsychological Test Battery</w:t>
      </w:r>
    </w:p>
    <w:p w14:paraId="16DF6F11" w14:textId="68825058" w:rsidR="003D33E1" w:rsidRPr="003D33E1" w:rsidRDefault="003D33E1" w:rsidP="003D33E1">
      <w:r w:rsidRPr="003D33E1">
        <w:t>All participants were assessed with a comprehensive neuropsychological battery before and after the exercise intervention. The neuropsychological test battery evaluated several aspects of cognition including episodic memory, executive function, and processing speed, and a full report can be found in our previous study (</w:t>
      </w:r>
      <w:r w:rsidRPr="00590C2D">
        <w:t>Smith et al., 2013</w:t>
      </w:r>
      <w:r w:rsidRPr="003D33E1">
        <w:t>). The neuropsychological battery was conducted followed by the cardiorespiratory fitness test, and then an MRI scan on a different day. The battery included the Geriatric Depression Scale (</w:t>
      </w:r>
      <w:proofErr w:type="spellStart"/>
      <w:r w:rsidRPr="00590C2D">
        <w:t>Yesavage</w:t>
      </w:r>
      <w:proofErr w:type="spellEnd"/>
      <w:r w:rsidRPr="00590C2D">
        <w:t>, 1988</w:t>
      </w:r>
      <w:r w:rsidRPr="003D33E1">
        <w:t>), the Mattis Dementia Rating Scale-2 (</w:t>
      </w:r>
      <w:proofErr w:type="spellStart"/>
      <w:r w:rsidRPr="00590C2D">
        <w:t>Jurica</w:t>
      </w:r>
      <w:proofErr w:type="spellEnd"/>
      <w:r w:rsidRPr="00590C2D">
        <w:t xml:space="preserve"> et al., 2001</w:t>
      </w:r>
      <w:r w:rsidRPr="003D33E1">
        <w:t>), the Rey Auditory Verbal Learning Test (</w:t>
      </w:r>
      <w:r w:rsidRPr="00590C2D">
        <w:t>Rey, 1958</w:t>
      </w:r>
      <w:r w:rsidRPr="003D33E1">
        <w:t>), the Logical Memory Test from the Wechsler Memory Scale-III (</w:t>
      </w:r>
      <w:r w:rsidRPr="00590C2D">
        <w:t>Wechsler, 1997</w:t>
      </w:r>
      <w:r w:rsidRPr="003D33E1">
        <w:t>), the Controlled Oral Word Association Test (COWAT) (</w:t>
      </w:r>
      <w:r w:rsidRPr="00590C2D">
        <w:t>Ruff et al., 1996</w:t>
      </w:r>
      <w:r w:rsidRPr="003D33E1">
        <w:t>), a semantic fluency test (</w:t>
      </w:r>
      <w:r w:rsidRPr="00590C2D">
        <w:t>Tombaugh et al., 1999</w:t>
      </w:r>
      <w:r w:rsidRPr="003D33E1">
        <w:t>), and the Clock Drawing Test (</w:t>
      </w:r>
      <w:proofErr w:type="spellStart"/>
      <w:r w:rsidRPr="00590C2D">
        <w:t>Cosentino</w:t>
      </w:r>
      <w:proofErr w:type="spellEnd"/>
      <w:r w:rsidRPr="00590C2D">
        <w:t xml:space="preserve"> et al., 2004</w:t>
      </w:r>
      <w:r w:rsidRPr="003D33E1">
        <w:t>).</w:t>
      </w:r>
    </w:p>
    <w:p w14:paraId="14B49D85" w14:textId="77777777" w:rsidR="003D33E1" w:rsidRPr="003D33E1" w:rsidRDefault="003D33E1" w:rsidP="00F17829">
      <w:pPr>
        <w:pStyle w:val="Heading2"/>
      </w:pPr>
      <w:r w:rsidRPr="003D33E1">
        <w:t>Walking Exercise Intervention</w:t>
      </w:r>
    </w:p>
    <w:p w14:paraId="700BAF96" w14:textId="1C904919" w:rsidR="003D33E1" w:rsidRPr="003D33E1" w:rsidRDefault="003D33E1" w:rsidP="003D33E1">
      <w:r w:rsidRPr="003D33E1">
        <w:t xml:space="preserve">A 12-week treadmill walking intervention was administered to the study participants. All exercise sessions were administered under the supervision of a certified personal trainer or exercise physiologist. Each exercise session was conducted with no more than two participants. The duration of each exercise session was a total of 50 min including a 30-min exercise session, and 10-min warm-up and cool-down sessions. Each exercise session was administered 4 times/week in local recreation centers. With the goal of achieving a moderate intensity during each session, an HR monitor (Polar Electro, </w:t>
      </w:r>
      <w:proofErr w:type="spellStart"/>
      <w:r w:rsidRPr="003D33E1">
        <w:t>Kempele</w:t>
      </w:r>
      <w:proofErr w:type="spellEnd"/>
      <w:r w:rsidRPr="003D33E1">
        <w:t>, Finland) and the RPE scale (</w:t>
      </w:r>
      <w:r w:rsidRPr="00590C2D">
        <w:t>Borg, 1998</w:t>
      </w:r>
      <w:r w:rsidRPr="003D33E1">
        <w:t>) were used during the intervention to monitor exercise intensity. The exercise session intensity, session duration, and weekly frequency were gradually increased during the first 4 weeks until the participants were walking 30 min per session and the exercise intensity was targeted at 50–60% of HRR during the remaining weeks (i.e., 5–12 weeks). During the first, second, third, and fourth weeks, the participants exercised 2, 3, 3, and 4 times per week at a lower intensity, respectively, and then completed four sessions per week at the target intensity during weeks 5–12 (a total of 44 sessions). The treadmill speed and grade were tailored for each participant in each session using their HR and RPE based on individual baseline exercise capacity. The walking exercise session began with a 10-min warm-up and ended with a 10-min cool-down that consisted of light walking and flexibility exercise. Compliance with the intervention protocol was measured as the proportion of sessions attended. Participants were instructed to not participate in any other forms of structured physical activity during the intervention period.</w:t>
      </w:r>
    </w:p>
    <w:p w14:paraId="0B5BF725" w14:textId="77777777" w:rsidR="003D33E1" w:rsidRPr="003D33E1" w:rsidRDefault="003D33E1" w:rsidP="00F17829">
      <w:pPr>
        <w:pStyle w:val="Heading2"/>
      </w:pPr>
      <w:r w:rsidRPr="003D33E1">
        <w:t>Magnetic Resonance Imaging Acquisition</w:t>
      </w:r>
    </w:p>
    <w:p w14:paraId="6224FE69" w14:textId="77777777" w:rsidR="003D33E1" w:rsidRPr="003D33E1" w:rsidRDefault="003D33E1" w:rsidP="003D33E1">
      <w:r w:rsidRPr="003D33E1">
        <w:t xml:space="preserve">All MRI data were acquired on a 3.0 Tesla GE (Waukesha, WI, United States) MR scanner. A high-resolution T1-weighted anatomical image was acquired for co-registration with the following sequence parameters: 3D Spoiled Gradient Recalled at steady-state protocol (SPGR), field of view (FOV) = 240 mm, voxel size = 0.94 × 0.94 × 1.00 mm, number of excitations (NEX) = 1, slice thickness = 1 mm, repetition time (TR) = 9.6 </w:t>
      </w:r>
      <w:proofErr w:type="spellStart"/>
      <w:r w:rsidRPr="003D33E1">
        <w:t>ms</w:t>
      </w:r>
      <w:proofErr w:type="spellEnd"/>
      <w:r w:rsidRPr="003D33E1">
        <w:t xml:space="preserve">, echo time (TE) = 3.9 </w:t>
      </w:r>
      <w:proofErr w:type="spellStart"/>
      <w:r w:rsidRPr="003D33E1">
        <w:t>ms</w:t>
      </w:r>
      <w:proofErr w:type="spellEnd"/>
      <w:r w:rsidRPr="003D33E1">
        <w:t xml:space="preserve">, inversion recovery preparation time = 450 </w:t>
      </w:r>
      <w:proofErr w:type="spellStart"/>
      <w:r w:rsidRPr="003D33E1">
        <w:t>ms</w:t>
      </w:r>
      <w:proofErr w:type="spellEnd"/>
      <w:r w:rsidRPr="003D33E1">
        <w:t xml:space="preserve">, flip angle = 12°, resolution = 256 × 224, and sequence duration = 6 min. The resting-state BOLD data were acquired using the following sequence parameters: gradient echo planar images, 4.0 mm isotropic voxels, FOV = 240 mm, NEX = 1 mm, slice thickness = 1.0 mm, TR/TE = 2,000/25 </w:t>
      </w:r>
      <w:proofErr w:type="spellStart"/>
      <w:r w:rsidRPr="003D33E1">
        <w:t>ms</w:t>
      </w:r>
      <w:proofErr w:type="spellEnd"/>
      <w:r w:rsidRPr="003D33E1">
        <w:t>, axial slices = 36, flip angle = 77°, resolution = 64 × 64, and sequence duration = 6 min. During the resting-state scan, participants were instructed to stay still and to keep their eyes on a fixation cross projected on the screen.</w:t>
      </w:r>
    </w:p>
    <w:p w14:paraId="4040F649" w14:textId="77777777" w:rsidR="003D33E1" w:rsidRPr="003D33E1" w:rsidRDefault="003D33E1" w:rsidP="00F17829">
      <w:pPr>
        <w:pStyle w:val="Heading2"/>
      </w:pPr>
      <w:r w:rsidRPr="003D33E1">
        <w:t>Structural and Functional Magnetic Resonance Imaging Data Processing</w:t>
      </w:r>
    </w:p>
    <w:p w14:paraId="173516D4" w14:textId="0F8B4966" w:rsidR="003D33E1" w:rsidRPr="003D33E1" w:rsidRDefault="003D33E1" w:rsidP="003D33E1">
      <w:r w:rsidRPr="003D33E1">
        <w:t xml:space="preserve">Using </w:t>
      </w:r>
      <w:proofErr w:type="spellStart"/>
      <w:r w:rsidRPr="003D33E1">
        <w:t>FreeSurfer’s</w:t>
      </w:r>
      <w:proofErr w:type="spellEnd"/>
      <w:r w:rsidRPr="003D33E1">
        <w:t xml:space="preserve"> (version 5.3.0) automated processing stream (recon-all), the T1-weighted anatomical volumes were processed to generate cortical and subcortical reconstructions based on tissue-specific intensities and atlas probabilities (</w:t>
      </w:r>
      <w:proofErr w:type="spellStart"/>
      <w:r w:rsidRPr="00590C2D">
        <w:t>Fischl</w:t>
      </w:r>
      <w:proofErr w:type="spellEnd"/>
      <w:r w:rsidRPr="00590C2D">
        <w:t>, 2012</w:t>
      </w:r>
      <w:r w:rsidRPr="003D33E1">
        <w:t xml:space="preserve">). The resulting inhomogeneity </w:t>
      </w:r>
      <w:proofErr w:type="gramStart"/>
      <w:r w:rsidRPr="003D33E1">
        <w:t>corrected</w:t>
      </w:r>
      <w:proofErr w:type="gramEnd"/>
      <w:r w:rsidRPr="003D33E1">
        <w:t xml:space="preserve"> and skull stripped T1-weighted anatomical image was used for the subsequent analyses. To minimize magnetization disequilibrium, Analysis of Functional </w:t>
      </w:r>
      <w:proofErr w:type="spellStart"/>
      <w:r w:rsidRPr="003D33E1">
        <w:t>NeuroImage’s</w:t>
      </w:r>
      <w:proofErr w:type="spellEnd"/>
      <w:r w:rsidRPr="003D33E1">
        <w:t xml:space="preserve"> (</w:t>
      </w:r>
      <w:r w:rsidRPr="00590C2D">
        <w:t>Cox, 1996</w:t>
      </w:r>
      <w:r w:rsidRPr="003D33E1">
        <w:t>) (AFNI, v.17.2.10) 3dTcat function was used to remove the first three volumes of the functional image time-series. The truncated time-series were then realigned using Slice-Oriented Motion Correction (SLOMOCO) using both in- and out-of-plane motion parameters to correct for misalignment between consecutive slices (</w:t>
      </w:r>
      <w:r w:rsidRPr="00590C2D">
        <w:t>Beall and Lowe, 2014</w:t>
      </w:r>
      <w:r w:rsidRPr="003D33E1">
        <w:t xml:space="preserve">). Next, using AFNI’s </w:t>
      </w:r>
      <w:proofErr w:type="spellStart"/>
      <w:r w:rsidRPr="003D33E1">
        <w:t>align_epi_anat</w:t>
      </w:r>
      <w:proofErr w:type="spellEnd"/>
      <w:r w:rsidRPr="003D33E1">
        <w:t xml:space="preserve"> function, the motion-corrected functional volumes were co-registered to </w:t>
      </w:r>
      <w:proofErr w:type="spellStart"/>
      <w:r w:rsidRPr="003D33E1">
        <w:t>FreeSurfer</w:t>
      </w:r>
      <w:proofErr w:type="spellEnd"/>
      <w:r w:rsidRPr="003D33E1">
        <w:t xml:space="preserve">-rendered anatomical images and were visually inspected for proper alignment and no further correction was administered. The co-registered time-series were subsequently submitted to AFNI’s single-subject preprocessing stream (proc.py). Volumes with outlier fraction threshold (&gt;10%) were removed from the time-series to attenuate the spurious effects of head motion. AFNI’s 3dDespike and 3dTshift functions were used to de-spike the remaining volumes to reduce high-intensity transients within the BOLD signal and to time-shift to the beginning of the TR, respectively. Next, using AFNI’s non-linear transformation (3dQwarp) function, the anatomical </w:t>
      </w:r>
      <w:proofErr w:type="gramStart"/>
      <w:r w:rsidRPr="003D33E1">
        <w:t>image</w:t>
      </w:r>
      <w:proofErr w:type="gramEnd"/>
      <w:r w:rsidRPr="003D33E1">
        <w:t xml:space="preserve"> and anatomical followers (</w:t>
      </w:r>
      <w:proofErr w:type="spellStart"/>
      <w:r w:rsidRPr="003D33E1">
        <w:t>FreeSurfer</w:t>
      </w:r>
      <w:proofErr w:type="spellEnd"/>
      <w:r w:rsidRPr="003D33E1">
        <w:t>-processed gray matter, white matter, and ventricular segmentations) were warped to 2 mm MNI standard space (AFNI’s MNI152_T1_2009c template). Using the artifact correction method ANATICOR (which anatomically models signals), nuisance physiological artifacts (e.g., motion derivatives and signals from ventricles and white matter) were removed to further exclude local and global artifacts (</w:t>
      </w:r>
      <w:r w:rsidRPr="00590C2D">
        <w:t>Jo et al., 2013</w:t>
      </w:r>
      <w:r w:rsidRPr="003D33E1">
        <w:t>). There was no statistical difference in the percentage of removed TRs between the before (0.88 ± 0.28%) and after exercise training scans (0.98 ± 0.35%) (</w:t>
      </w:r>
      <w:r w:rsidRPr="003D33E1">
        <w:rPr>
          <w:i/>
          <w:iCs/>
        </w:rPr>
        <w:t>p</w:t>
      </w:r>
      <w:r w:rsidRPr="003D33E1">
        <w:t> = 0.062; paired </w:t>
      </w:r>
      <w:r w:rsidRPr="003D33E1">
        <w:rPr>
          <w:i/>
          <w:iCs/>
        </w:rPr>
        <w:t>t</w:t>
      </w:r>
      <w:r w:rsidRPr="003D33E1">
        <w:t>-test). We also did not find significant differences in motion between groups (</w:t>
      </w:r>
      <w:r w:rsidRPr="003D33E1">
        <w:rPr>
          <w:i/>
          <w:iCs/>
        </w:rPr>
        <w:t>p</w:t>
      </w:r>
      <w:r w:rsidRPr="003D33E1">
        <w:t> = 0.142; MCI group before exercise training: 1.00 ± 0.03% after exercise training 1.00 ± 0.04%; CN group before exercise training 0.07 ± 0.01% after exercise training 0.09 ± 0.02%; repeated-measures ANOVA), and there was not a significant Time × Group interaction (</w:t>
      </w:r>
      <w:r w:rsidRPr="003D33E1">
        <w:rPr>
          <w:i/>
          <w:iCs/>
        </w:rPr>
        <w:t>p</w:t>
      </w:r>
      <w:r w:rsidRPr="003D33E1">
        <w:t> = 0.077; repeated-measures ANOVA) on removed TRs. Thus, the effects of head movement were not included as a covariate in the fMRI data analysis.</w:t>
      </w:r>
    </w:p>
    <w:p w14:paraId="6AB9815B" w14:textId="77777777" w:rsidR="003D33E1" w:rsidRPr="003D33E1" w:rsidRDefault="003D33E1" w:rsidP="00F17829">
      <w:pPr>
        <w:pStyle w:val="Heading2"/>
      </w:pPr>
      <w:r w:rsidRPr="003D33E1">
        <w:t>Functional Connectivity Analysis</w:t>
      </w:r>
    </w:p>
    <w:p w14:paraId="69A45EB1" w14:textId="58D14315" w:rsidR="003D33E1" w:rsidRPr="003D33E1" w:rsidRDefault="003D33E1" w:rsidP="003D33E1">
      <w:r w:rsidRPr="003D33E1">
        <w:t>A seed-based correlation analysis was used to assess the anterior insula functional connectivity and thus, the bilateral anterior insula were selected as </w:t>
      </w:r>
      <w:r w:rsidRPr="003D33E1">
        <w:rPr>
          <w:i/>
          <w:iCs/>
        </w:rPr>
        <w:t>a priori</w:t>
      </w:r>
      <w:r w:rsidRPr="003D33E1">
        <w:t xml:space="preserve"> seed regions of interest. To accomplish this, left and right anterior insula masks [anterior segment of the circular insular from the </w:t>
      </w:r>
      <w:proofErr w:type="spellStart"/>
      <w:r w:rsidRPr="003D33E1">
        <w:t>Destrieux</w:t>
      </w:r>
      <w:proofErr w:type="spellEnd"/>
      <w:r w:rsidRPr="003D33E1">
        <w:t xml:space="preserve"> cortical atlas, which is based on a parcellation scheme using the division of the cortex into </w:t>
      </w:r>
      <w:proofErr w:type="spellStart"/>
      <w:r w:rsidRPr="003D33E1">
        <w:t>gyral</w:t>
      </w:r>
      <w:proofErr w:type="spellEnd"/>
      <w:r w:rsidRPr="003D33E1">
        <w:t xml:space="preserve"> and sulcal regions (</w:t>
      </w:r>
      <w:proofErr w:type="spellStart"/>
      <w:r w:rsidRPr="00590C2D">
        <w:t>Destrieux</w:t>
      </w:r>
      <w:proofErr w:type="spellEnd"/>
      <w:r w:rsidRPr="00590C2D">
        <w:t xml:space="preserve"> et al., 2010</w:t>
      </w:r>
      <w:r w:rsidRPr="003D33E1">
        <w:t xml:space="preserve">)] were extracted from each participant’s </w:t>
      </w:r>
      <w:proofErr w:type="spellStart"/>
      <w:r w:rsidRPr="003D33E1">
        <w:t>Freesurfer</w:t>
      </w:r>
      <w:proofErr w:type="spellEnd"/>
      <w:r w:rsidRPr="003D33E1">
        <w:t>-processed cortical parcellation anatomical follower that was warped to the standard MNI space (</w:t>
      </w:r>
      <w:r w:rsidRPr="00590C2D">
        <w:t>Figure 1</w:t>
      </w:r>
      <w:r w:rsidRPr="003D33E1">
        <w:t>). Using AFNI’s 3dcalc function, the bilateral insula masks were merged. The final segmentations for each seed were visually inspected for quality assurance. No further correction was administered. The average signal time series from the bilateral insula were then extracted from the seed regions and cross-correlated with all voxels in the brain to isolate an FC brain map. These maps were created for each participant and each experimental time point (e.g., before and after ET). Finally, correlation coefficients were standardized for group-level analysis using a Fisher’s </w:t>
      </w:r>
      <w:r w:rsidRPr="003D33E1">
        <w:rPr>
          <w:i/>
          <w:iCs/>
        </w:rPr>
        <w:t>r</w:t>
      </w:r>
      <w:r w:rsidRPr="003D33E1">
        <w:t>-to-</w:t>
      </w:r>
      <w:r w:rsidRPr="003D33E1">
        <w:rPr>
          <w:i/>
          <w:iCs/>
        </w:rPr>
        <w:t>z</w:t>
      </w:r>
      <w:r w:rsidRPr="003D33E1">
        <w:t> transformation (</w:t>
      </w:r>
      <w:r w:rsidRPr="00590C2D">
        <w:t>Fisher, 1915</w:t>
      </w:r>
      <w:r w:rsidRPr="003D33E1">
        <w:t>).</w:t>
      </w:r>
    </w:p>
    <w:p w14:paraId="40726976" w14:textId="2ABB8142" w:rsidR="003D33E1" w:rsidRPr="003D33E1" w:rsidRDefault="003D33E1" w:rsidP="00F17829">
      <w:pPr>
        <w:pStyle w:val="NoSpacing"/>
      </w:pPr>
      <w:bookmarkStart w:id="4" w:name="figure1"/>
      <w:r w:rsidRPr="003D33E1">
        <w:rPr>
          <w:noProof/>
        </w:rPr>
        <w:drawing>
          <wp:inline distT="0" distB="0" distL="0" distR="0" wp14:anchorId="54BF2536" wp14:editId="4B48E425">
            <wp:extent cx="3657600" cy="4352544"/>
            <wp:effectExtent l="0" t="0" r="0" b="0"/>
            <wp:docPr id="8" name="Picture 8" descr="www.frontiersin.or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 descr="www.frontiersin.org">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4352544"/>
                    </a:xfrm>
                    <a:prstGeom prst="rect">
                      <a:avLst/>
                    </a:prstGeom>
                    <a:noFill/>
                    <a:ln>
                      <a:noFill/>
                    </a:ln>
                  </pic:spPr>
                </pic:pic>
              </a:graphicData>
            </a:graphic>
          </wp:inline>
        </w:drawing>
      </w:r>
      <w:bookmarkEnd w:id="4"/>
    </w:p>
    <w:p w14:paraId="0044BA13" w14:textId="77777777" w:rsidR="003D33E1" w:rsidRPr="003D33E1" w:rsidRDefault="003D33E1" w:rsidP="00F17829">
      <w:pPr>
        <w:pStyle w:val="NoSpacing"/>
      </w:pPr>
      <w:r w:rsidRPr="003D33E1">
        <w:t>FIGURE 1. An axial view of the anterior insula seed regions. The seed masks are exhibited on a representative subject’s structural image.</w:t>
      </w:r>
    </w:p>
    <w:p w14:paraId="57FAE14E" w14:textId="77777777" w:rsidR="00F17829" w:rsidRDefault="00F17829" w:rsidP="003D33E1"/>
    <w:p w14:paraId="67A31516" w14:textId="7D379277" w:rsidR="003D33E1" w:rsidRPr="003D33E1" w:rsidRDefault="003D33E1" w:rsidP="00F17829">
      <w:pPr>
        <w:pStyle w:val="Heading2"/>
      </w:pPr>
      <w:r w:rsidRPr="003D33E1">
        <w:t>Gray Matter Voxel-Wise Group Analysis</w:t>
      </w:r>
    </w:p>
    <w:p w14:paraId="766CD0F2" w14:textId="77777777" w:rsidR="003D33E1" w:rsidRPr="003D33E1" w:rsidRDefault="003D33E1" w:rsidP="003D33E1">
      <w:r w:rsidRPr="003D33E1">
        <w:t xml:space="preserve">Based on </w:t>
      </w:r>
      <w:proofErr w:type="spellStart"/>
      <w:r w:rsidRPr="003D33E1">
        <w:t>FreeSurfer</w:t>
      </w:r>
      <w:proofErr w:type="spellEnd"/>
      <w:r w:rsidRPr="003D33E1">
        <w:t xml:space="preserve"> segmentation, the whole-brain gray matter mask in which white matter and ventricles are excluded was created for each participant. By combining the gray matter mask across participants using AFNI’s 3dcalc function, a group-level mask was created. Subject-level </w:t>
      </w:r>
      <w:r w:rsidRPr="003D33E1">
        <w:rPr>
          <w:i/>
          <w:iCs/>
        </w:rPr>
        <w:t>z</w:t>
      </w:r>
      <w:r w:rsidRPr="003D33E1">
        <w:t>-scored correlation maps were submitted to AFNI’s linear mixed-effects model (3dLME) to investigate (1) changes in the bilateral anterior insula FC from before to after ET (i.e., main effects of Time) across participants; (2) differences between groups (MCI vs CN before exercise training and after exercise training); and (3) Group (MCI vs CN) × Time (before vs after ET) interaction. AFNI’s cluster-size threshold computation program (3dClustSim) was used to control the whole brain family-wise error rate (FWER) at </w:t>
      </w:r>
      <w:r w:rsidRPr="003D33E1">
        <w:rPr>
          <w:i/>
          <w:iCs/>
        </w:rPr>
        <w:t>p</w:t>
      </w:r>
      <w:r w:rsidRPr="003D33E1">
        <w:t> &lt; 0.05 based on a voxel-wise probability threshold of </w:t>
      </w:r>
      <w:r w:rsidRPr="003D33E1">
        <w:rPr>
          <w:i/>
          <w:iCs/>
        </w:rPr>
        <w:t>p</w:t>
      </w:r>
      <w:r w:rsidRPr="003D33E1">
        <w:t> &lt; 0.001 and minimum cluster size of </w:t>
      </w:r>
      <w:r w:rsidRPr="003D33E1">
        <w:rPr>
          <w:i/>
          <w:iCs/>
        </w:rPr>
        <w:t>k</w:t>
      </w:r>
      <w:r w:rsidRPr="003D33E1">
        <w:t> ≥ 41 (328 mm</w:t>
      </w:r>
      <w:r w:rsidRPr="003D33E1">
        <w:rPr>
          <w:vertAlign w:val="superscript"/>
        </w:rPr>
        <w:t>3</w:t>
      </w:r>
      <w:r w:rsidRPr="003D33E1">
        <w:t>).</w:t>
      </w:r>
    </w:p>
    <w:p w14:paraId="4798C7FA" w14:textId="77777777" w:rsidR="003D33E1" w:rsidRPr="003D33E1" w:rsidRDefault="003D33E1" w:rsidP="00F17829">
      <w:pPr>
        <w:pStyle w:val="Heading2"/>
      </w:pPr>
      <w:r w:rsidRPr="003D33E1">
        <w:t>Statistical Analysis</w:t>
      </w:r>
    </w:p>
    <w:p w14:paraId="4B3CA998" w14:textId="4249144C" w:rsidR="003D33E1" w:rsidRPr="003D33E1" w:rsidRDefault="003D33E1" w:rsidP="003D33E1">
      <w:r w:rsidRPr="003D33E1">
        <w:t>We first determined normality using the Shapiro–Wilk test. The baseline demographic differences between groups (MCI vs CN) were evaluated using independent sample </w:t>
      </w:r>
      <w:r w:rsidRPr="003D33E1">
        <w:rPr>
          <w:i/>
          <w:iCs/>
        </w:rPr>
        <w:t>t</w:t>
      </w:r>
      <w:r w:rsidRPr="003D33E1">
        <w:t>-tests (or Wilcoxon signed-rank tests for non-parametric data) or Fisher’s exact test for discrete data [e.g., number of female participants or apolipoprotein E epsilon-4 allele (APOE-ε4) carrier]. Normality of satisfaction with life scale and the geriatric depression scale (GDS) were also computed using the Shapiro–Wilk test. We used repeated-measures ANOVA to test the main effects of Time (i.e., before vs after ET), Group (i.e., MCI vs CN), and Group × Time interaction on the satisfaction with life scale score and GDS. We also tested the main effects of Time within each group. The association between the satisfaction with life scale score and anterior insula FC was subsequently investigated before and after ET, respectively. To accomplish this, partial correlation analysis was used. Prior to this test, we conducted bivariate correlation tests to evaluate relationships between age and variables of interest (satisfaction with life scale and bilateral anterior insula FC). There were no significant correlations between age and variables of interest (</w:t>
      </w:r>
      <w:r w:rsidRPr="003D33E1">
        <w:rPr>
          <w:i/>
          <w:iCs/>
        </w:rPr>
        <w:t>p</w:t>
      </w:r>
      <w:r w:rsidRPr="003D33E1">
        <w:t> ≥ 0.199). We did not find significant correlations between sex and variables of interest (</w:t>
      </w:r>
      <w:r w:rsidRPr="003D33E1">
        <w:rPr>
          <w:i/>
          <w:iCs/>
        </w:rPr>
        <w:t>p</w:t>
      </w:r>
      <w:r w:rsidRPr="003D33E1">
        <w:t> ≥ 0.104). Furthermore, there were no significant correlations between motion metric and variables of interest (</w:t>
      </w:r>
      <w:r w:rsidRPr="003D33E1">
        <w:rPr>
          <w:i/>
          <w:iCs/>
        </w:rPr>
        <w:t>p</w:t>
      </w:r>
      <w:r w:rsidRPr="003D33E1">
        <w:t> ≥ 0.497). Therefore, the correlation analyses were unadjusted. After computing the correlation between satisfaction with life scale score and anterior insula FC before and after ET, respectively, the statistical difference between correlation (i.e., before ET: satisfaction with life scale-bilateral anterior insula FC vs after ET: satisfaction with life scale-bilateral anterior insula FC) was computed. The “</w:t>
      </w:r>
      <w:proofErr w:type="spellStart"/>
      <w:r w:rsidRPr="003D33E1">
        <w:t>cocor</w:t>
      </w:r>
      <w:proofErr w:type="spellEnd"/>
      <w:r w:rsidRPr="003D33E1">
        <w:t>” (a comprehensive solution for the statistical comparison of correlations model) package within R software (</w:t>
      </w:r>
      <w:proofErr w:type="spellStart"/>
      <w:r w:rsidRPr="00590C2D">
        <w:t>Diedenhofen</w:t>
      </w:r>
      <w:proofErr w:type="spellEnd"/>
      <w:r w:rsidRPr="00590C2D">
        <w:t xml:space="preserve"> and </w:t>
      </w:r>
      <w:proofErr w:type="spellStart"/>
      <w:r w:rsidRPr="00590C2D">
        <w:t>Musch</w:t>
      </w:r>
      <w:proofErr w:type="spellEnd"/>
      <w:r w:rsidRPr="00590C2D">
        <w:t>, 2015</w:t>
      </w:r>
      <w:r w:rsidRPr="003D33E1">
        <w:t>) was used to assess the statistical difference between the satisfaction with life scale-bilateral anterior insula FC correlation as a function of Time. All other statistical tests were performed using SPSS (v. 26.0, IBM, Armonk, NY, United States). Statistical significance was determined at alpha = 0.05 for all tests.</w:t>
      </w:r>
    </w:p>
    <w:p w14:paraId="71431C02" w14:textId="77777777" w:rsidR="003D33E1" w:rsidRPr="003D33E1" w:rsidRDefault="003D33E1" w:rsidP="00F17829">
      <w:pPr>
        <w:pStyle w:val="Heading1"/>
      </w:pPr>
      <w:bookmarkStart w:id="5" w:name="h4"/>
      <w:bookmarkEnd w:id="5"/>
      <w:r w:rsidRPr="003D33E1">
        <w:t>Results</w:t>
      </w:r>
    </w:p>
    <w:p w14:paraId="3696793B" w14:textId="77777777" w:rsidR="003D33E1" w:rsidRPr="003D33E1" w:rsidRDefault="003D33E1" w:rsidP="00F17829">
      <w:pPr>
        <w:pStyle w:val="Heading2"/>
      </w:pPr>
      <w:r w:rsidRPr="003D33E1">
        <w:t>Demographic Characteristics</w:t>
      </w:r>
    </w:p>
    <w:p w14:paraId="45B593B1" w14:textId="7600AD08" w:rsidR="003D33E1" w:rsidRPr="003D33E1" w:rsidRDefault="003D33E1" w:rsidP="003D33E1">
      <w:r w:rsidRPr="003D33E1">
        <w:t>Of the 35 participants, 7 individuals (3 MCI and 4 CN) were excluded from analysis due to missing satisfaction with life scale data. The remaining 28 participants were included in the final analyses (14 MCI and 14 CN). Data were missing for some participants for V̇O</w:t>
      </w:r>
      <w:r w:rsidRPr="003D33E1">
        <w:rPr>
          <w:vertAlign w:val="subscript"/>
        </w:rPr>
        <w:t>2peak</w:t>
      </w:r>
      <w:r w:rsidRPr="003D33E1">
        <w:t> (1 CN, 2 MCI), and GDS (2 CN, 1 MCI); these participants are included in all analyses not involving these variables. The demographic data for the 28 participants are shown in </w:t>
      </w:r>
      <w:r w:rsidRPr="00590C2D">
        <w:t>Table 1</w:t>
      </w:r>
      <w:r w:rsidRPr="003D33E1">
        <w:t>. Participants had an average age of 78.4 years and education of 15.7 years. 78.5% were women and there were 10 APOE-ε4 carriers. There were no significant differences between the MCI and CN groups in the baseline demographic characteristics including age, sex, education, number of APOE-ε4 carriers, V̇O</w:t>
      </w:r>
      <w:r w:rsidRPr="003D33E1">
        <w:rPr>
          <w:vertAlign w:val="subscript"/>
        </w:rPr>
        <w:t>2peak</w:t>
      </w:r>
      <w:r w:rsidRPr="003D33E1">
        <w:t>, and Lawton Instrumental Activities of Daily Living (</w:t>
      </w:r>
      <w:r w:rsidRPr="00590C2D">
        <w:t>Table 1</w:t>
      </w:r>
      <w:r w:rsidRPr="003D33E1">
        <w:t>).</w:t>
      </w:r>
    </w:p>
    <w:p w14:paraId="3E6478AF" w14:textId="77777777" w:rsidR="003D33E1" w:rsidRDefault="003D33E1" w:rsidP="00BF32C3">
      <w:pPr>
        <w:spacing w:after="0"/>
      </w:pPr>
      <w:r w:rsidRPr="003D33E1">
        <w:t>TABLE 1. Demographic information for study participants.</w:t>
      </w:r>
    </w:p>
    <w:tbl>
      <w:tblPr>
        <w:tblStyle w:val="TableGrid"/>
        <w:tblW w:w="0" w:type="auto"/>
        <w:tblLook w:val="04A0" w:firstRow="1" w:lastRow="0" w:firstColumn="1" w:lastColumn="0" w:noHBand="0" w:noVBand="1"/>
      </w:tblPr>
      <w:tblGrid>
        <w:gridCol w:w="2978"/>
        <w:gridCol w:w="2056"/>
        <w:gridCol w:w="1296"/>
        <w:gridCol w:w="1405"/>
        <w:gridCol w:w="1615"/>
      </w:tblGrid>
      <w:tr w:rsidR="00BF32C3" w:rsidRPr="00D57DA2" w14:paraId="4808AA2C" w14:textId="77777777" w:rsidTr="00336541">
        <w:tc>
          <w:tcPr>
            <w:tcW w:w="0" w:type="auto"/>
          </w:tcPr>
          <w:p w14:paraId="2DDB40F1" w14:textId="77777777" w:rsidR="00BF32C3" w:rsidRPr="00D57DA2" w:rsidRDefault="00BF32C3" w:rsidP="00D57DA2">
            <w:pPr>
              <w:pStyle w:val="NoSpacing"/>
              <w:rPr>
                <w:rFonts w:cstheme="minorHAnsi"/>
                <w:b/>
                <w:bCs/>
              </w:rPr>
            </w:pPr>
          </w:p>
        </w:tc>
        <w:tc>
          <w:tcPr>
            <w:tcW w:w="0" w:type="auto"/>
          </w:tcPr>
          <w:p w14:paraId="4F572854" w14:textId="1FED4A99" w:rsidR="00BF32C3" w:rsidRPr="00D57DA2" w:rsidRDefault="008C19C0" w:rsidP="00D57DA2">
            <w:pPr>
              <w:pStyle w:val="NoSpacing"/>
              <w:rPr>
                <w:rFonts w:cstheme="minorHAnsi"/>
                <w:b/>
                <w:bCs/>
              </w:rPr>
            </w:pPr>
            <w:r w:rsidRPr="00D57DA2">
              <w:rPr>
                <w:rFonts w:cstheme="minorHAnsi"/>
                <w:b/>
                <w:bCs/>
              </w:rPr>
              <w:t>Total sample (n = 28)</w:t>
            </w:r>
          </w:p>
        </w:tc>
        <w:tc>
          <w:tcPr>
            <w:tcW w:w="0" w:type="auto"/>
          </w:tcPr>
          <w:p w14:paraId="5DB302FE" w14:textId="5E93ACDE" w:rsidR="00BF32C3" w:rsidRPr="00D57DA2" w:rsidRDefault="008C19C0" w:rsidP="00D57DA2">
            <w:pPr>
              <w:pStyle w:val="NoSpacing"/>
              <w:rPr>
                <w:rFonts w:cstheme="minorHAnsi"/>
                <w:b/>
                <w:bCs/>
              </w:rPr>
            </w:pPr>
            <w:r w:rsidRPr="00D57DA2">
              <w:rPr>
                <w:rFonts w:cstheme="minorHAnsi"/>
                <w:b/>
                <w:bCs/>
              </w:rPr>
              <w:t>MCI (n = 14)</w:t>
            </w:r>
          </w:p>
        </w:tc>
        <w:tc>
          <w:tcPr>
            <w:tcW w:w="1405" w:type="dxa"/>
          </w:tcPr>
          <w:p w14:paraId="3786BA5E" w14:textId="576CA8D3" w:rsidR="00BF32C3" w:rsidRPr="00D57DA2" w:rsidRDefault="008C19C0" w:rsidP="00D57DA2">
            <w:pPr>
              <w:pStyle w:val="NoSpacing"/>
              <w:rPr>
                <w:rFonts w:cstheme="minorHAnsi"/>
                <w:b/>
                <w:bCs/>
              </w:rPr>
            </w:pPr>
            <w:r w:rsidRPr="00D57DA2">
              <w:rPr>
                <w:rFonts w:cstheme="minorHAnsi"/>
                <w:b/>
                <w:bCs/>
              </w:rPr>
              <w:t>CN (n = 14)</w:t>
            </w:r>
          </w:p>
        </w:tc>
        <w:tc>
          <w:tcPr>
            <w:tcW w:w="1615" w:type="dxa"/>
          </w:tcPr>
          <w:p w14:paraId="46A877CC" w14:textId="471EDCD3" w:rsidR="00BF32C3" w:rsidRPr="00D57DA2" w:rsidRDefault="008C19C0" w:rsidP="00D57DA2">
            <w:pPr>
              <w:pStyle w:val="NoSpacing"/>
              <w:rPr>
                <w:rFonts w:cstheme="minorHAnsi"/>
                <w:b/>
                <w:bCs/>
              </w:rPr>
            </w:pPr>
            <w:r w:rsidRPr="00D57DA2">
              <w:rPr>
                <w:rFonts w:cstheme="minorHAnsi"/>
                <w:b/>
                <w:bCs/>
              </w:rPr>
              <w:t>Group differences</w:t>
            </w:r>
          </w:p>
        </w:tc>
      </w:tr>
      <w:tr w:rsidR="00BF32C3" w:rsidRPr="00D57DA2" w14:paraId="490C0C9E" w14:textId="77777777" w:rsidTr="00336541">
        <w:tc>
          <w:tcPr>
            <w:tcW w:w="0" w:type="auto"/>
          </w:tcPr>
          <w:p w14:paraId="0F752464" w14:textId="77777777" w:rsidR="00BF32C3" w:rsidRPr="00D57DA2" w:rsidRDefault="00BF32C3" w:rsidP="00D57DA2">
            <w:pPr>
              <w:pStyle w:val="NoSpacing"/>
              <w:rPr>
                <w:rFonts w:cstheme="minorHAnsi"/>
                <w:b/>
                <w:bCs/>
              </w:rPr>
            </w:pPr>
          </w:p>
        </w:tc>
        <w:tc>
          <w:tcPr>
            <w:tcW w:w="0" w:type="auto"/>
          </w:tcPr>
          <w:p w14:paraId="1C01D1F8" w14:textId="707E7400" w:rsidR="00BF32C3" w:rsidRPr="00D57DA2" w:rsidRDefault="00517489" w:rsidP="00D57DA2">
            <w:pPr>
              <w:pStyle w:val="NoSpacing"/>
              <w:rPr>
                <w:rFonts w:cstheme="minorHAnsi"/>
                <w:b/>
                <w:bCs/>
              </w:rPr>
            </w:pPr>
            <w:bookmarkStart w:id="6" w:name="Results"/>
            <w:bookmarkStart w:id="7" w:name="Demographic_Characteristics"/>
            <w:bookmarkStart w:id="8" w:name="Aerobic_Fitness,_Subjective_Well-Being,_"/>
            <w:bookmarkStart w:id="9" w:name="Voxel-Wise_Bilateral_Anterior_Insula_Fun"/>
            <w:bookmarkStart w:id="10" w:name="_bookmark1"/>
            <w:bookmarkStart w:id="11" w:name="_bookmark0"/>
            <w:bookmarkEnd w:id="6"/>
            <w:bookmarkEnd w:id="7"/>
            <w:bookmarkEnd w:id="8"/>
            <w:bookmarkEnd w:id="9"/>
            <w:bookmarkEnd w:id="10"/>
            <w:bookmarkEnd w:id="11"/>
            <w:r w:rsidRPr="00D57DA2">
              <w:rPr>
                <w:rFonts w:cstheme="minorHAnsi"/>
                <w:b/>
                <w:bCs/>
              </w:rPr>
              <w:t>Mean ± SD</w:t>
            </w:r>
          </w:p>
        </w:tc>
        <w:tc>
          <w:tcPr>
            <w:tcW w:w="0" w:type="auto"/>
          </w:tcPr>
          <w:p w14:paraId="0CE0CF12" w14:textId="5FDB2985" w:rsidR="00BF32C3" w:rsidRPr="00D57DA2" w:rsidRDefault="00517489" w:rsidP="00D57DA2">
            <w:pPr>
              <w:pStyle w:val="NoSpacing"/>
              <w:rPr>
                <w:rFonts w:cstheme="minorHAnsi"/>
                <w:b/>
                <w:bCs/>
              </w:rPr>
            </w:pPr>
            <w:r w:rsidRPr="00D57DA2">
              <w:rPr>
                <w:rFonts w:cstheme="minorHAnsi"/>
                <w:b/>
                <w:bCs/>
              </w:rPr>
              <w:t>Mean ± SD</w:t>
            </w:r>
          </w:p>
        </w:tc>
        <w:tc>
          <w:tcPr>
            <w:tcW w:w="1405" w:type="dxa"/>
          </w:tcPr>
          <w:p w14:paraId="27748CF4" w14:textId="67D1F85D" w:rsidR="00BF32C3" w:rsidRPr="00D57DA2" w:rsidRDefault="00517489" w:rsidP="00D57DA2">
            <w:pPr>
              <w:pStyle w:val="NoSpacing"/>
              <w:rPr>
                <w:rFonts w:cstheme="minorHAnsi"/>
                <w:b/>
                <w:bCs/>
              </w:rPr>
            </w:pPr>
            <w:r w:rsidRPr="00D57DA2">
              <w:rPr>
                <w:rFonts w:cstheme="minorHAnsi"/>
                <w:b/>
                <w:bCs/>
              </w:rPr>
              <w:t>Mean ± SD</w:t>
            </w:r>
          </w:p>
        </w:tc>
        <w:tc>
          <w:tcPr>
            <w:tcW w:w="1615" w:type="dxa"/>
          </w:tcPr>
          <w:p w14:paraId="3D5034F2" w14:textId="1A0FA18D" w:rsidR="00BF32C3" w:rsidRPr="00D57DA2" w:rsidRDefault="00517489" w:rsidP="00D57DA2">
            <w:pPr>
              <w:pStyle w:val="NoSpacing"/>
              <w:rPr>
                <w:rFonts w:cstheme="minorHAnsi"/>
                <w:b/>
                <w:bCs/>
              </w:rPr>
            </w:pPr>
            <w:r w:rsidRPr="00D57DA2">
              <w:rPr>
                <w:rFonts w:cstheme="minorHAnsi"/>
                <w:b/>
                <w:bCs/>
              </w:rPr>
              <w:t>p-value</w:t>
            </w:r>
          </w:p>
        </w:tc>
      </w:tr>
      <w:tr w:rsidR="00BF32C3" w:rsidRPr="00D57DA2" w14:paraId="020A8667" w14:textId="77777777" w:rsidTr="00336541">
        <w:tc>
          <w:tcPr>
            <w:tcW w:w="0" w:type="auto"/>
          </w:tcPr>
          <w:p w14:paraId="6E4CE808" w14:textId="31097FBC" w:rsidR="00BF32C3" w:rsidRPr="00D57DA2" w:rsidRDefault="00B20E92" w:rsidP="00D57DA2">
            <w:pPr>
              <w:pStyle w:val="NoSpacing"/>
              <w:rPr>
                <w:rFonts w:cstheme="minorHAnsi"/>
                <w:b/>
                <w:bCs/>
              </w:rPr>
            </w:pPr>
            <w:r w:rsidRPr="00D57DA2">
              <w:rPr>
                <w:rFonts w:cstheme="minorHAnsi"/>
                <w:b/>
                <w:bCs/>
              </w:rPr>
              <w:t>Demographics</w:t>
            </w:r>
          </w:p>
        </w:tc>
        <w:tc>
          <w:tcPr>
            <w:tcW w:w="0" w:type="auto"/>
          </w:tcPr>
          <w:p w14:paraId="176E648F" w14:textId="77777777" w:rsidR="00BF32C3" w:rsidRPr="00D57DA2" w:rsidRDefault="00BF32C3" w:rsidP="00D57DA2">
            <w:pPr>
              <w:pStyle w:val="NoSpacing"/>
              <w:rPr>
                <w:rFonts w:cstheme="minorHAnsi"/>
                <w:b/>
                <w:bCs/>
              </w:rPr>
            </w:pPr>
          </w:p>
        </w:tc>
        <w:tc>
          <w:tcPr>
            <w:tcW w:w="0" w:type="auto"/>
          </w:tcPr>
          <w:p w14:paraId="011479ED" w14:textId="77777777" w:rsidR="00BF32C3" w:rsidRPr="00D57DA2" w:rsidRDefault="00BF32C3" w:rsidP="00D57DA2">
            <w:pPr>
              <w:pStyle w:val="NoSpacing"/>
              <w:rPr>
                <w:rFonts w:cstheme="minorHAnsi"/>
                <w:b/>
                <w:bCs/>
              </w:rPr>
            </w:pPr>
          </w:p>
        </w:tc>
        <w:tc>
          <w:tcPr>
            <w:tcW w:w="1405" w:type="dxa"/>
          </w:tcPr>
          <w:p w14:paraId="09962083" w14:textId="77777777" w:rsidR="00BF32C3" w:rsidRPr="00D57DA2" w:rsidRDefault="00BF32C3" w:rsidP="00D57DA2">
            <w:pPr>
              <w:pStyle w:val="NoSpacing"/>
              <w:rPr>
                <w:rFonts w:cstheme="minorHAnsi"/>
                <w:b/>
                <w:bCs/>
              </w:rPr>
            </w:pPr>
          </w:p>
        </w:tc>
        <w:tc>
          <w:tcPr>
            <w:tcW w:w="1615" w:type="dxa"/>
          </w:tcPr>
          <w:p w14:paraId="5F6A09E5" w14:textId="77777777" w:rsidR="00BF32C3" w:rsidRPr="00D57DA2" w:rsidRDefault="00BF32C3" w:rsidP="00D57DA2">
            <w:pPr>
              <w:pStyle w:val="NoSpacing"/>
              <w:rPr>
                <w:rFonts w:cstheme="minorHAnsi"/>
                <w:b/>
                <w:bCs/>
              </w:rPr>
            </w:pPr>
          </w:p>
        </w:tc>
      </w:tr>
      <w:tr w:rsidR="00BF32C3" w:rsidRPr="00D57DA2" w14:paraId="304FFDD2" w14:textId="77777777" w:rsidTr="00336541">
        <w:tc>
          <w:tcPr>
            <w:tcW w:w="0" w:type="auto"/>
          </w:tcPr>
          <w:p w14:paraId="68D2BDEF" w14:textId="123C3B1E" w:rsidR="00BF32C3" w:rsidRPr="00D57DA2" w:rsidRDefault="00B20E92" w:rsidP="00D57DA2">
            <w:pPr>
              <w:pStyle w:val="NoSpacing"/>
              <w:rPr>
                <w:rFonts w:cstheme="minorHAnsi"/>
              </w:rPr>
            </w:pPr>
            <w:r w:rsidRPr="00D57DA2">
              <w:rPr>
                <w:rFonts w:cstheme="minorHAnsi"/>
              </w:rPr>
              <w:t xml:space="preserve">Age (years) </w:t>
            </w:r>
          </w:p>
        </w:tc>
        <w:tc>
          <w:tcPr>
            <w:tcW w:w="0" w:type="auto"/>
          </w:tcPr>
          <w:p w14:paraId="77CD7395" w14:textId="2BB4BB00" w:rsidR="00BF32C3" w:rsidRPr="00D57DA2" w:rsidRDefault="00B51623" w:rsidP="00D57DA2">
            <w:pPr>
              <w:pStyle w:val="NoSpacing"/>
              <w:rPr>
                <w:rFonts w:cstheme="minorHAnsi"/>
              </w:rPr>
            </w:pPr>
            <w:r w:rsidRPr="00D57DA2">
              <w:rPr>
                <w:rFonts w:cstheme="minorHAnsi"/>
              </w:rPr>
              <w:t>78.4 ± 7.1</w:t>
            </w:r>
          </w:p>
        </w:tc>
        <w:tc>
          <w:tcPr>
            <w:tcW w:w="0" w:type="auto"/>
          </w:tcPr>
          <w:p w14:paraId="1FD81258" w14:textId="33DF9B42" w:rsidR="00BF32C3" w:rsidRPr="00D57DA2" w:rsidRDefault="00B51623" w:rsidP="00D57DA2">
            <w:pPr>
              <w:pStyle w:val="NoSpacing"/>
              <w:rPr>
                <w:rFonts w:cstheme="minorHAnsi"/>
              </w:rPr>
            </w:pPr>
            <w:r w:rsidRPr="00D57DA2">
              <w:rPr>
                <w:rFonts w:cstheme="minorHAnsi"/>
              </w:rPr>
              <w:t>80.8 ± 5.8</w:t>
            </w:r>
          </w:p>
        </w:tc>
        <w:tc>
          <w:tcPr>
            <w:tcW w:w="1405" w:type="dxa"/>
          </w:tcPr>
          <w:p w14:paraId="3F446D25" w14:textId="399592EA" w:rsidR="00BF32C3" w:rsidRPr="00D57DA2" w:rsidRDefault="00B51623" w:rsidP="00D57DA2">
            <w:pPr>
              <w:pStyle w:val="NoSpacing"/>
              <w:rPr>
                <w:rFonts w:cstheme="minorHAnsi"/>
              </w:rPr>
            </w:pPr>
            <w:r w:rsidRPr="00D57DA2">
              <w:rPr>
                <w:rFonts w:cstheme="minorHAnsi"/>
              </w:rPr>
              <w:t>76.0 ± 7.6</w:t>
            </w:r>
          </w:p>
        </w:tc>
        <w:tc>
          <w:tcPr>
            <w:tcW w:w="1615" w:type="dxa"/>
          </w:tcPr>
          <w:p w14:paraId="3F1C009B" w14:textId="1858529C" w:rsidR="00BF32C3" w:rsidRPr="00D57DA2" w:rsidRDefault="00B51623" w:rsidP="00D57DA2">
            <w:pPr>
              <w:pStyle w:val="NoSpacing"/>
              <w:rPr>
                <w:rFonts w:cstheme="minorHAnsi"/>
              </w:rPr>
            </w:pPr>
            <w:r w:rsidRPr="00D57DA2">
              <w:rPr>
                <w:rFonts w:cstheme="minorHAnsi"/>
              </w:rPr>
              <w:t>0.074</w:t>
            </w:r>
          </w:p>
        </w:tc>
      </w:tr>
      <w:tr w:rsidR="00BF32C3" w:rsidRPr="00D57DA2" w14:paraId="6D9A31ED" w14:textId="77777777" w:rsidTr="00336541">
        <w:tc>
          <w:tcPr>
            <w:tcW w:w="0" w:type="auto"/>
          </w:tcPr>
          <w:p w14:paraId="07C92E05" w14:textId="7D968314" w:rsidR="00BF32C3" w:rsidRPr="00D57DA2" w:rsidRDefault="009071D6" w:rsidP="00D57DA2">
            <w:pPr>
              <w:pStyle w:val="NoSpacing"/>
              <w:rPr>
                <w:rFonts w:cstheme="minorHAnsi"/>
              </w:rPr>
            </w:pPr>
            <w:r w:rsidRPr="00D57DA2">
              <w:rPr>
                <w:rFonts w:cstheme="minorHAnsi"/>
              </w:rPr>
              <w:t xml:space="preserve">Female (n, %) </w:t>
            </w:r>
          </w:p>
        </w:tc>
        <w:tc>
          <w:tcPr>
            <w:tcW w:w="0" w:type="auto"/>
          </w:tcPr>
          <w:p w14:paraId="4BF7294B" w14:textId="122F9FE9" w:rsidR="00BF32C3" w:rsidRPr="00D57DA2" w:rsidRDefault="00B51623" w:rsidP="00D57DA2">
            <w:pPr>
              <w:pStyle w:val="NoSpacing"/>
              <w:rPr>
                <w:rFonts w:cstheme="minorHAnsi"/>
              </w:rPr>
            </w:pPr>
            <w:r w:rsidRPr="00D57DA2">
              <w:rPr>
                <w:rFonts w:cstheme="minorHAnsi"/>
              </w:rPr>
              <w:t>22 (78.5%)</w:t>
            </w:r>
          </w:p>
        </w:tc>
        <w:tc>
          <w:tcPr>
            <w:tcW w:w="0" w:type="auto"/>
          </w:tcPr>
          <w:p w14:paraId="63F7F3EB" w14:textId="5797AF06" w:rsidR="00BF32C3" w:rsidRPr="00D57DA2" w:rsidRDefault="00B51623" w:rsidP="00D57DA2">
            <w:pPr>
              <w:pStyle w:val="NoSpacing"/>
              <w:rPr>
                <w:rFonts w:cstheme="minorHAnsi"/>
              </w:rPr>
            </w:pPr>
            <w:r w:rsidRPr="00D57DA2">
              <w:rPr>
                <w:rFonts w:cstheme="minorHAnsi"/>
              </w:rPr>
              <w:t>9 (64.2%)</w:t>
            </w:r>
          </w:p>
        </w:tc>
        <w:tc>
          <w:tcPr>
            <w:tcW w:w="1405" w:type="dxa"/>
          </w:tcPr>
          <w:p w14:paraId="3A5557C3" w14:textId="7E630521" w:rsidR="00BF32C3" w:rsidRPr="00D57DA2" w:rsidRDefault="00B51623" w:rsidP="00D57DA2">
            <w:pPr>
              <w:pStyle w:val="NoSpacing"/>
              <w:rPr>
                <w:rFonts w:cstheme="minorHAnsi"/>
              </w:rPr>
            </w:pPr>
            <w:r w:rsidRPr="00D57DA2">
              <w:rPr>
                <w:rFonts w:cstheme="minorHAnsi"/>
              </w:rPr>
              <w:t>13 (92.8%)</w:t>
            </w:r>
          </w:p>
        </w:tc>
        <w:tc>
          <w:tcPr>
            <w:tcW w:w="1615" w:type="dxa"/>
          </w:tcPr>
          <w:p w14:paraId="7714A210" w14:textId="30126041" w:rsidR="00BF32C3" w:rsidRPr="00D57DA2" w:rsidRDefault="00B51623" w:rsidP="00D57DA2">
            <w:pPr>
              <w:pStyle w:val="NoSpacing"/>
              <w:rPr>
                <w:rFonts w:cstheme="minorHAnsi"/>
              </w:rPr>
            </w:pPr>
            <w:r w:rsidRPr="00D57DA2">
              <w:rPr>
                <w:rFonts w:cstheme="minorHAnsi"/>
              </w:rPr>
              <w:t>0.065</w:t>
            </w:r>
            <w:r w:rsidRPr="00B51623">
              <w:rPr>
                <w:rFonts w:cstheme="minorHAnsi"/>
                <w:vertAlign w:val="subscript"/>
              </w:rPr>
              <w:t>F</w:t>
            </w:r>
          </w:p>
        </w:tc>
      </w:tr>
      <w:tr w:rsidR="00BF32C3" w:rsidRPr="00D57DA2" w14:paraId="11C765BF" w14:textId="77777777" w:rsidTr="00336541">
        <w:tc>
          <w:tcPr>
            <w:tcW w:w="0" w:type="auto"/>
          </w:tcPr>
          <w:p w14:paraId="4F7A4383" w14:textId="7672502C" w:rsidR="00BF32C3" w:rsidRPr="00D57DA2" w:rsidRDefault="009071D6" w:rsidP="00D57DA2">
            <w:pPr>
              <w:pStyle w:val="NoSpacing"/>
              <w:rPr>
                <w:rFonts w:cstheme="minorHAnsi"/>
              </w:rPr>
            </w:pPr>
            <w:r w:rsidRPr="00D57DA2">
              <w:rPr>
                <w:rFonts w:cstheme="minorHAnsi"/>
              </w:rPr>
              <w:t xml:space="preserve">Education (years) </w:t>
            </w:r>
          </w:p>
        </w:tc>
        <w:tc>
          <w:tcPr>
            <w:tcW w:w="0" w:type="auto"/>
          </w:tcPr>
          <w:p w14:paraId="207CE085" w14:textId="1A7AB201" w:rsidR="00BF32C3" w:rsidRPr="00D57DA2" w:rsidRDefault="00B51623" w:rsidP="00D57DA2">
            <w:pPr>
              <w:pStyle w:val="NoSpacing"/>
              <w:rPr>
                <w:rFonts w:cstheme="minorHAnsi"/>
              </w:rPr>
            </w:pPr>
            <w:r w:rsidRPr="00D57DA2">
              <w:rPr>
                <w:rFonts w:cstheme="minorHAnsi"/>
              </w:rPr>
              <w:t>15.7 ± 2.2</w:t>
            </w:r>
          </w:p>
        </w:tc>
        <w:tc>
          <w:tcPr>
            <w:tcW w:w="0" w:type="auto"/>
          </w:tcPr>
          <w:p w14:paraId="71BDFF51" w14:textId="7894BAE5" w:rsidR="00BF32C3" w:rsidRPr="00D57DA2" w:rsidRDefault="00B51623" w:rsidP="00D57DA2">
            <w:pPr>
              <w:pStyle w:val="NoSpacing"/>
              <w:rPr>
                <w:rFonts w:cstheme="minorHAnsi"/>
              </w:rPr>
            </w:pPr>
            <w:r w:rsidRPr="00D57DA2">
              <w:rPr>
                <w:rFonts w:cstheme="minorHAnsi"/>
              </w:rPr>
              <w:t>15.0 ± 2.2</w:t>
            </w:r>
          </w:p>
        </w:tc>
        <w:tc>
          <w:tcPr>
            <w:tcW w:w="1405" w:type="dxa"/>
          </w:tcPr>
          <w:p w14:paraId="20F8BEB0" w14:textId="626332ED" w:rsidR="00BF32C3" w:rsidRPr="00D57DA2" w:rsidRDefault="00B51623" w:rsidP="00D57DA2">
            <w:pPr>
              <w:pStyle w:val="NoSpacing"/>
              <w:rPr>
                <w:rFonts w:cstheme="minorHAnsi"/>
              </w:rPr>
            </w:pPr>
            <w:r w:rsidRPr="00D57DA2">
              <w:rPr>
                <w:rFonts w:cstheme="minorHAnsi"/>
              </w:rPr>
              <w:t>16.4 ± 2.1</w:t>
            </w:r>
          </w:p>
        </w:tc>
        <w:tc>
          <w:tcPr>
            <w:tcW w:w="1615" w:type="dxa"/>
          </w:tcPr>
          <w:p w14:paraId="01B82DF3" w14:textId="12DEA19C" w:rsidR="00BF32C3" w:rsidRPr="00D57DA2" w:rsidRDefault="00B51623" w:rsidP="00D57DA2">
            <w:pPr>
              <w:pStyle w:val="NoSpacing"/>
              <w:rPr>
                <w:rFonts w:cstheme="minorHAnsi"/>
              </w:rPr>
            </w:pPr>
            <w:r w:rsidRPr="00D57DA2">
              <w:rPr>
                <w:rFonts w:cstheme="minorHAnsi"/>
              </w:rPr>
              <w:t>0.097</w:t>
            </w:r>
          </w:p>
        </w:tc>
      </w:tr>
      <w:tr w:rsidR="00BF32C3" w:rsidRPr="00D57DA2" w14:paraId="468B5450" w14:textId="77777777" w:rsidTr="00336541">
        <w:tc>
          <w:tcPr>
            <w:tcW w:w="0" w:type="auto"/>
          </w:tcPr>
          <w:p w14:paraId="29971925" w14:textId="3A362D14" w:rsidR="00BF32C3" w:rsidRPr="00D57DA2" w:rsidRDefault="00780E41" w:rsidP="00D57DA2">
            <w:pPr>
              <w:pStyle w:val="NoSpacing"/>
              <w:rPr>
                <w:rFonts w:cstheme="minorHAnsi"/>
              </w:rPr>
            </w:pPr>
            <w:r w:rsidRPr="00D57DA2">
              <w:rPr>
                <w:rFonts w:cstheme="minorHAnsi"/>
              </w:rPr>
              <w:t xml:space="preserve">APOE-ε4 carriers (n, %) </w:t>
            </w:r>
          </w:p>
        </w:tc>
        <w:tc>
          <w:tcPr>
            <w:tcW w:w="0" w:type="auto"/>
          </w:tcPr>
          <w:p w14:paraId="24AC793C" w14:textId="4B6C2F2F" w:rsidR="00BF32C3" w:rsidRPr="00D57DA2" w:rsidRDefault="00B51623" w:rsidP="00D57DA2">
            <w:pPr>
              <w:pStyle w:val="NoSpacing"/>
              <w:rPr>
                <w:rFonts w:cstheme="minorHAnsi"/>
              </w:rPr>
            </w:pPr>
            <w:r w:rsidRPr="00D57DA2">
              <w:rPr>
                <w:rFonts w:cstheme="minorHAnsi"/>
              </w:rPr>
              <w:t>10 (35.7%)</w:t>
            </w:r>
          </w:p>
        </w:tc>
        <w:tc>
          <w:tcPr>
            <w:tcW w:w="0" w:type="auto"/>
          </w:tcPr>
          <w:p w14:paraId="07B3AFA4" w14:textId="41F7CC3C" w:rsidR="00BF32C3" w:rsidRPr="00D57DA2" w:rsidRDefault="00B51623" w:rsidP="00D57DA2">
            <w:pPr>
              <w:pStyle w:val="NoSpacing"/>
              <w:rPr>
                <w:rFonts w:cstheme="minorHAnsi"/>
              </w:rPr>
            </w:pPr>
            <w:r w:rsidRPr="00D57DA2">
              <w:rPr>
                <w:rFonts w:cstheme="minorHAnsi"/>
              </w:rPr>
              <w:t>5 (35.7%)</w:t>
            </w:r>
          </w:p>
        </w:tc>
        <w:tc>
          <w:tcPr>
            <w:tcW w:w="1405" w:type="dxa"/>
          </w:tcPr>
          <w:p w14:paraId="1365ECF0" w14:textId="4B8BA2C4" w:rsidR="00BF32C3" w:rsidRPr="00D57DA2" w:rsidRDefault="00B51623" w:rsidP="00D57DA2">
            <w:pPr>
              <w:pStyle w:val="NoSpacing"/>
              <w:rPr>
                <w:rFonts w:cstheme="minorHAnsi"/>
              </w:rPr>
            </w:pPr>
            <w:r w:rsidRPr="00D57DA2">
              <w:rPr>
                <w:rFonts w:cstheme="minorHAnsi"/>
              </w:rPr>
              <w:t>5 (35.7%)</w:t>
            </w:r>
          </w:p>
        </w:tc>
        <w:tc>
          <w:tcPr>
            <w:tcW w:w="1615" w:type="dxa"/>
          </w:tcPr>
          <w:p w14:paraId="483F7C2B" w14:textId="32D59452" w:rsidR="00BF32C3" w:rsidRPr="00D57DA2" w:rsidRDefault="00B51623" w:rsidP="00D57DA2">
            <w:pPr>
              <w:pStyle w:val="NoSpacing"/>
              <w:rPr>
                <w:rFonts w:cstheme="minorHAnsi"/>
              </w:rPr>
            </w:pPr>
            <w:r w:rsidRPr="00D57DA2">
              <w:rPr>
                <w:rFonts w:cstheme="minorHAnsi"/>
              </w:rPr>
              <w:t>1.000</w:t>
            </w:r>
            <w:r w:rsidRPr="00B51623">
              <w:rPr>
                <w:rFonts w:cstheme="minorHAnsi"/>
                <w:vertAlign w:val="subscript"/>
              </w:rPr>
              <w:t>F</w:t>
            </w:r>
          </w:p>
        </w:tc>
      </w:tr>
      <w:tr w:rsidR="00BF32C3" w:rsidRPr="00D57DA2" w14:paraId="0D64EC49" w14:textId="77777777" w:rsidTr="00336541">
        <w:tc>
          <w:tcPr>
            <w:tcW w:w="0" w:type="auto"/>
          </w:tcPr>
          <w:p w14:paraId="6A2E60F8" w14:textId="4FA41D11" w:rsidR="00BF32C3" w:rsidRPr="00173DF7" w:rsidRDefault="00780E41" w:rsidP="00D57DA2">
            <w:pPr>
              <w:pStyle w:val="NoSpacing"/>
              <w:rPr>
                <w:rFonts w:cstheme="minorHAnsi"/>
                <w:b/>
                <w:bCs/>
              </w:rPr>
            </w:pPr>
            <w:r w:rsidRPr="00173DF7">
              <w:rPr>
                <w:rFonts w:cstheme="minorHAnsi"/>
                <w:b/>
                <w:bCs/>
              </w:rPr>
              <w:t>Cardiorespiratory fitness</w:t>
            </w:r>
          </w:p>
        </w:tc>
        <w:tc>
          <w:tcPr>
            <w:tcW w:w="0" w:type="auto"/>
          </w:tcPr>
          <w:p w14:paraId="104AF71E" w14:textId="77777777" w:rsidR="00BF32C3" w:rsidRPr="00D57DA2" w:rsidRDefault="00BF32C3" w:rsidP="00D57DA2">
            <w:pPr>
              <w:pStyle w:val="NoSpacing"/>
              <w:rPr>
                <w:rFonts w:cstheme="minorHAnsi"/>
              </w:rPr>
            </w:pPr>
          </w:p>
        </w:tc>
        <w:tc>
          <w:tcPr>
            <w:tcW w:w="0" w:type="auto"/>
          </w:tcPr>
          <w:p w14:paraId="26F6F864" w14:textId="77777777" w:rsidR="00BF32C3" w:rsidRPr="00D57DA2" w:rsidRDefault="00BF32C3" w:rsidP="00D57DA2">
            <w:pPr>
              <w:pStyle w:val="NoSpacing"/>
              <w:rPr>
                <w:rFonts w:cstheme="minorHAnsi"/>
              </w:rPr>
            </w:pPr>
          </w:p>
        </w:tc>
        <w:tc>
          <w:tcPr>
            <w:tcW w:w="1405" w:type="dxa"/>
          </w:tcPr>
          <w:p w14:paraId="6BA3DA89" w14:textId="77777777" w:rsidR="00BF32C3" w:rsidRPr="00D57DA2" w:rsidRDefault="00BF32C3" w:rsidP="00D57DA2">
            <w:pPr>
              <w:pStyle w:val="NoSpacing"/>
              <w:rPr>
                <w:rFonts w:cstheme="minorHAnsi"/>
              </w:rPr>
            </w:pPr>
          </w:p>
        </w:tc>
        <w:tc>
          <w:tcPr>
            <w:tcW w:w="1615" w:type="dxa"/>
          </w:tcPr>
          <w:p w14:paraId="08039B2E" w14:textId="77777777" w:rsidR="00BF32C3" w:rsidRPr="00D57DA2" w:rsidRDefault="00BF32C3" w:rsidP="00D57DA2">
            <w:pPr>
              <w:pStyle w:val="NoSpacing"/>
              <w:rPr>
                <w:rFonts w:cstheme="minorHAnsi"/>
              </w:rPr>
            </w:pPr>
          </w:p>
        </w:tc>
      </w:tr>
      <w:tr w:rsidR="00BF32C3" w:rsidRPr="00D57DA2" w14:paraId="0743F6A5" w14:textId="77777777" w:rsidTr="00336541">
        <w:tc>
          <w:tcPr>
            <w:tcW w:w="0" w:type="auto"/>
          </w:tcPr>
          <w:p w14:paraId="73C96550" w14:textId="7C8582C2" w:rsidR="00BF32C3" w:rsidRPr="00D57DA2" w:rsidRDefault="00780E41" w:rsidP="00D57DA2">
            <w:pPr>
              <w:pStyle w:val="NoSpacing"/>
              <w:rPr>
                <w:rFonts w:cstheme="minorHAnsi"/>
              </w:rPr>
            </w:pPr>
            <w:r w:rsidRPr="00D57DA2">
              <w:rPr>
                <w:rFonts w:cstheme="minorHAnsi"/>
              </w:rPr>
              <w:t xml:space="preserve">Baseline V˙ O2peak (ml/kg/min) </w:t>
            </w:r>
          </w:p>
        </w:tc>
        <w:tc>
          <w:tcPr>
            <w:tcW w:w="0" w:type="auto"/>
          </w:tcPr>
          <w:p w14:paraId="1040A221" w14:textId="28F659DE" w:rsidR="00BF32C3" w:rsidRPr="00D57DA2" w:rsidRDefault="00173DF7" w:rsidP="00D57DA2">
            <w:pPr>
              <w:pStyle w:val="NoSpacing"/>
              <w:rPr>
                <w:rFonts w:cstheme="minorHAnsi"/>
              </w:rPr>
            </w:pPr>
            <w:r w:rsidRPr="00D57DA2">
              <w:rPr>
                <w:rFonts w:cstheme="minorHAnsi"/>
              </w:rPr>
              <w:t>18.8 ± 4.4</w:t>
            </w:r>
          </w:p>
        </w:tc>
        <w:tc>
          <w:tcPr>
            <w:tcW w:w="0" w:type="auto"/>
          </w:tcPr>
          <w:p w14:paraId="1A988D67" w14:textId="5DD31D17" w:rsidR="00BF32C3" w:rsidRPr="00D57DA2" w:rsidRDefault="00173DF7" w:rsidP="00D57DA2">
            <w:pPr>
              <w:pStyle w:val="NoSpacing"/>
              <w:rPr>
                <w:rFonts w:cstheme="minorHAnsi"/>
              </w:rPr>
            </w:pPr>
            <w:r w:rsidRPr="00D57DA2">
              <w:rPr>
                <w:rFonts w:cstheme="minorHAnsi"/>
              </w:rPr>
              <w:t>18.0 ± 3.7</w:t>
            </w:r>
          </w:p>
        </w:tc>
        <w:tc>
          <w:tcPr>
            <w:tcW w:w="1405" w:type="dxa"/>
          </w:tcPr>
          <w:p w14:paraId="697571D8" w14:textId="4D199F04" w:rsidR="00BF32C3" w:rsidRPr="00D57DA2" w:rsidRDefault="00173DF7" w:rsidP="00D57DA2">
            <w:pPr>
              <w:pStyle w:val="NoSpacing"/>
              <w:rPr>
                <w:rFonts w:cstheme="minorHAnsi"/>
              </w:rPr>
            </w:pPr>
            <w:r w:rsidRPr="00D57DA2">
              <w:rPr>
                <w:rFonts w:cstheme="minorHAnsi"/>
              </w:rPr>
              <w:t>19.7 ± 5.0</w:t>
            </w:r>
          </w:p>
        </w:tc>
        <w:tc>
          <w:tcPr>
            <w:tcW w:w="1615" w:type="dxa"/>
          </w:tcPr>
          <w:p w14:paraId="599D6BF8" w14:textId="33C362D4" w:rsidR="00BF32C3" w:rsidRPr="00D57DA2" w:rsidRDefault="00173DF7" w:rsidP="00D57DA2">
            <w:pPr>
              <w:pStyle w:val="NoSpacing"/>
              <w:rPr>
                <w:rFonts w:cstheme="minorHAnsi"/>
              </w:rPr>
            </w:pPr>
            <w:r w:rsidRPr="00D57DA2">
              <w:rPr>
                <w:rFonts w:cstheme="minorHAnsi"/>
              </w:rPr>
              <w:t>0.321</w:t>
            </w:r>
          </w:p>
        </w:tc>
      </w:tr>
      <w:tr w:rsidR="00BF32C3" w:rsidRPr="00D57DA2" w14:paraId="44993440" w14:textId="77777777" w:rsidTr="00336541">
        <w:tc>
          <w:tcPr>
            <w:tcW w:w="0" w:type="auto"/>
          </w:tcPr>
          <w:p w14:paraId="5559BA7B" w14:textId="054FE3ED" w:rsidR="00BF32C3" w:rsidRPr="00173DF7" w:rsidRDefault="00EC2AF7" w:rsidP="00D57DA2">
            <w:pPr>
              <w:pStyle w:val="NoSpacing"/>
              <w:rPr>
                <w:rFonts w:cstheme="minorHAnsi"/>
                <w:b/>
                <w:bCs/>
              </w:rPr>
            </w:pPr>
            <w:r w:rsidRPr="00173DF7">
              <w:rPr>
                <w:rFonts w:cstheme="minorHAnsi"/>
                <w:b/>
                <w:bCs/>
              </w:rPr>
              <w:t>Activities of daily living</w:t>
            </w:r>
          </w:p>
        </w:tc>
        <w:tc>
          <w:tcPr>
            <w:tcW w:w="0" w:type="auto"/>
          </w:tcPr>
          <w:p w14:paraId="6E53F6C5" w14:textId="77777777" w:rsidR="00BF32C3" w:rsidRPr="00D57DA2" w:rsidRDefault="00BF32C3" w:rsidP="00D57DA2">
            <w:pPr>
              <w:pStyle w:val="NoSpacing"/>
              <w:rPr>
                <w:rFonts w:cstheme="minorHAnsi"/>
              </w:rPr>
            </w:pPr>
          </w:p>
        </w:tc>
        <w:tc>
          <w:tcPr>
            <w:tcW w:w="0" w:type="auto"/>
          </w:tcPr>
          <w:p w14:paraId="262EC799" w14:textId="77777777" w:rsidR="00BF32C3" w:rsidRPr="00D57DA2" w:rsidRDefault="00BF32C3" w:rsidP="00D57DA2">
            <w:pPr>
              <w:pStyle w:val="NoSpacing"/>
              <w:rPr>
                <w:rFonts w:cstheme="minorHAnsi"/>
              </w:rPr>
            </w:pPr>
          </w:p>
        </w:tc>
        <w:tc>
          <w:tcPr>
            <w:tcW w:w="1405" w:type="dxa"/>
          </w:tcPr>
          <w:p w14:paraId="6BABFEF0" w14:textId="77777777" w:rsidR="00BF32C3" w:rsidRPr="00D57DA2" w:rsidRDefault="00BF32C3" w:rsidP="00D57DA2">
            <w:pPr>
              <w:pStyle w:val="NoSpacing"/>
              <w:rPr>
                <w:rFonts w:cstheme="minorHAnsi"/>
              </w:rPr>
            </w:pPr>
          </w:p>
        </w:tc>
        <w:tc>
          <w:tcPr>
            <w:tcW w:w="1615" w:type="dxa"/>
          </w:tcPr>
          <w:p w14:paraId="40602C88" w14:textId="77777777" w:rsidR="00BF32C3" w:rsidRPr="00D57DA2" w:rsidRDefault="00BF32C3" w:rsidP="00D57DA2">
            <w:pPr>
              <w:pStyle w:val="NoSpacing"/>
              <w:rPr>
                <w:rFonts w:cstheme="minorHAnsi"/>
              </w:rPr>
            </w:pPr>
          </w:p>
        </w:tc>
      </w:tr>
      <w:tr w:rsidR="00BF32C3" w:rsidRPr="00D57DA2" w14:paraId="08299739" w14:textId="77777777" w:rsidTr="00336541">
        <w:tc>
          <w:tcPr>
            <w:tcW w:w="0" w:type="auto"/>
          </w:tcPr>
          <w:p w14:paraId="447642BB" w14:textId="18E3D466" w:rsidR="00BF32C3" w:rsidRPr="00D57DA2" w:rsidRDefault="00EC2AF7" w:rsidP="00D57DA2">
            <w:pPr>
              <w:pStyle w:val="NoSpacing"/>
              <w:rPr>
                <w:rFonts w:cstheme="minorHAnsi"/>
              </w:rPr>
            </w:pPr>
            <w:r w:rsidRPr="00D57DA2">
              <w:rPr>
                <w:rFonts w:cstheme="minorHAnsi"/>
              </w:rPr>
              <w:t xml:space="preserve">Baseline Lawton ADL </w:t>
            </w:r>
          </w:p>
        </w:tc>
        <w:tc>
          <w:tcPr>
            <w:tcW w:w="0" w:type="auto"/>
          </w:tcPr>
          <w:p w14:paraId="07EAE4B7" w14:textId="775804CC" w:rsidR="00BF32C3" w:rsidRPr="00D57DA2" w:rsidRDefault="006A0F3A" w:rsidP="00D57DA2">
            <w:pPr>
              <w:pStyle w:val="NoSpacing"/>
              <w:rPr>
                <w:rFonts w:cstheme="minorHAnsi"/>
              </w:rPr>
            </w:pPr>
            <w:r w:rsidRPr="00D57DA2">
              <w:rPr>
                <w:rFonts w:cstheme="minorHAnsi"/>
              </w:rPr>
              <w:t>4.8 ± 0.3</w:t>
            </w:r>
          </w:p>
        </w:tc>
        <w:tc>
          <w:tcPr>
            <w:tcW w:w="0" w:type="auto"/>
          </w:tcPr>
          <w:p w14:paraId="5954FFB8" w14:textId="64C8E6B2" w:rsidR="00BF32C3" w:rsidRPr="00D57DA2" w:rsidRDefault="006A0F3A" w:rsidP="00D57DA2">
            <w:pPr>
              <w:pStyle w:val="NoSpacing"/>
              <w:rPr>
                <w:rFonts w:cstheme="minorHAnsi"/>
              </w:rPr>
            </w:pPr>
            <w:r w:rsidRPr="00D57DA2">
              <w:rPr>
                <w:rFonts w:cstheme="minorHAnsi"/>
              </w:rPr>
              <w:t>4.8 ± 0.3</w:t>
            </w:r>
          </w:p>
        </w:tc>
        <w:tc>
          <w:tcPr>
            <w:tcW w:w="1405" w:type="dxa"/>
          </w:tcPr>
          <w:p w14:paraId="2CE31B60" w14:textId="0916C8CC" w:rsidR="00BF32C3" w:rsidRPr="00D57DA2" w:rsidRDefault="00173DF7" w:rsidP="00D57DA2">
            <w:pPr>
              <w:pStyle w:val="NoSpacing"/>
              <w:rPr>
                <w:rFonts w:cstheme="minorHAnsi"/>
              </w:rPr>
            </w:pPr>
            <w:r w:rsidRPr="00D57DA2">
              <w:rPr>
                <w:rFonts w:cstheme="minorHAnsi"/>
              </w:rPr>
              <w:t>4.7 ± 0.4</w:t>
            </w:r>
          </w:p>
        </w:tc>
        <w:tc>
          <w:tcPr>
            <w:tcW w:w="1615" w:type="dxa"/>
          </w:tcPr>
          <w:p w14:paraId="1F9DEA13" w14:textId="01AD54BE" w:rsidR="00BF32C3" w:rsidRPr="00D57DA2" w:rsidRDefault="00173DF7" w:rsidP="00D57DA2">
            <w:pPr>
              <w:pStyle w:val="NoSpacing"/>
              <w:rPr>
                <w:rFonts w:cstheme="minorHAnsi"/>
              </w:rPr>
            </w:pPr>
            <w:r w:rsidRPr="00D57DA2">
              <w:rPr>
                <w:rFonts w:cstheme="minorHAnsi"/>
              </w:rPr>
              <w:t>0.636</w:t>
            </w:r>
          </w:p>
        </w:tc>
      </w:tr>
    </w:tbl>
    <w:p w14:paraId="5FDBFB0A" w14:textId="401CF9D6" w:rsidR="00EC2AF7" w:rsidRPr="00EC2AF7" w:rsidRDefault="00EC2AF7" w:rsidP="006A0F3A">
      <w:pPr>
        <w:pStyle w:val="NoSpacing"/>
      </w:pPr>
      <w:r w:rsidRPr="00EC2AF7">
        <w:t xml:space="preserve">MCI, mild cognitive impairment; CN, normal cognition </w:t>
      </w:r>
      <w:proofErr w:type="spellStart"/>
      <w:proofErr w:type="gramStart"/>
      <w:r w:rsidRPr="00EC2AF7">
        <w:t>control;</w:t>
      </w:r>
      <w:r w:rsidRPr="00EC2AF7">
        <w:rPr>
          <w:vertAlign w:val="subscript"/>
        </w:rPr>
        <w:t>F</w:t>
      </w:r>
      <w:proofErr w:type="spellEnd"/>
      <w:proofErr w:type="gramEnd"/>
      <w:r w:rsidRPr="00EC2AF7">
        <w:t xml:space="preserve"> , Fisher’s Exact Test; APOE-ε4, apolipoprotein E epsilon 4 allele; </w:t>
      </w:r>
      <m:oMath>
        <m:sSub>
          <m:sSubPr>
            <m:ctrlPr>
              <w:rPr>
                <w:rFonts w:ascii="Cambria Math" w:hAnsi="Cambria Math"/>
                <w:iCs/>
              </w:rPr>
            </m:ctrlPr>
          </m:sSubPr>
          <m:e>
            <m:acc>
              <m:accPr>
                <m:chr m:val="̇"/>
                <m:ctrlPr>
                  <w:rPr>
                    <w:rFonts w:ascii="Cambria Math" w:hAnsi="Cambria Math"/>
                    <w:iCs/>
                  </w:rPr>
                </m:ctrlPr>
              </m:accPr>
              <m:e>
                <m:r>
                  <m:rPr>
                    <m:sty m:val="p"/>
                  </m:rPr>
                  <w:rPr>
                    <w:rFonts w:ascii="Cambria Math" w:hAnsi="Cambria Math"/>
                  </w:rPr>
                  <m:t>V</m:t>
                </m:r>
              </m:e>
            </m:acc>
            <m:r>
              <m:rPr>
                <m:sty m:val="p"/>
              </m:rPr>
              <w:rPr>
                <w:rFonts w:ascii="Cambria Math" w:hAnsi="Cambria Math"/>
              </w:rPr>
              <m:t>O</m:t>
            </m:r>
          </m:e>
          <m:sub>
            <m:r>
              <m:rPr>
                <m:sty m:val="p"/>
              </m:rPr>
              <w:rPr>
                <w:rFonts w:ascii="Cambria Math" w:hAnsi="Cambria Math"/>
                <w:vertAlign w:val="subscript"/>
              </w:rPr>
              <m:t>2peak</m:t>
            </m:r>
          </m:sub>
        </m:sSub>
      </m:oMath>
      <w:r w:rsidRPr="00EC2AF7">
        <w:t>, peak rate of oxygen consumption;</w:t>
      </w:r>
      <w:r>
        <w:t xml:space="preserve"> </w:t>
      </w:r>
      <w:r w:rsidRPr="00EC2AF7">
        <w:t>DRS-2, Mattis dementia rating scale-2; ADL, activities of daily living.</w:t>
      </w:r>
    </w:p>
    <w:p w14:paraId="38977432" w14:textId="77777777" w:rsidR="00F17829" w:rsidRDefault="00F17829" w:rsidP="003D33E1"/>
    <w:p w14:paraId="2F769456" w14:textId="77777777" w:rsidR="003D33E1" w:rsidRPr="003D33E1" w:rsidRDefault="003D33E1" w:rsidP="00F17829">
      <w:pPr>
        <w:pStyle w:val="Heading2"/>
      </w:pPr>
      <w:r w:rsidRPr="003D33E1">
        <w:t>Aerobic Fitness, Subjective Well-Being, Geriatric Depression Scale, and Cognitive Function</w:t>
      </w:r>
    </w:p>
    <w:p w14:paraId="73257B02" w14:textId="3EE772E7" w:rsidR="003D33E1" w:rsidRPr="003D33E1" w:rsidRDefault="003D33E1" w:rsidP="003D33E1">
      <w:r w:rsidRPr="003D33E1">
        <w:t>There was a significant increase in V̇O</w:t>
      </w:r>
      <w:r w:rsidRPr="003D33E1">
        <w:rPr>
          <w:vertAlign w:val="subscript"/>
        </w:rPr>
        <w:t>2peak</w:t>
      </w:r>
      <w:r w:rsidRPr="003D33E1">
        <w:t> from before to after ET in both groups (missing data: 1 CN, 2 MCI) [</w:t>
      </w:r>
      <w:proofErr w:type="gramStart"/>
      <w:r w:rsidRPr="003D33E1">
        <w:rPr>
          <w:i/>
          <w:iCs/>
        </w:rPr>
        <w:t>F</w:t>
      </w:r>
      <w:r w:rsidRPr="003D33E1">
        <w:rPr>
          <w:vertAlign w:val="subscript"/>
        </w:rPr>
        <w:t>(</w:t>
      </w:r>
      <w:proofErr w:type="gramEnd"/>
      <w:r w:rsidRPr="003D33E1">
        <w:rPr>
          <w:vertAlign w:val="subscript"/>
        </w:rPr>
        <w:t>1,23)</w:t>
      </w:r>
      <w:r w:rsidRPr="003D33E1">
        <w:t> = 5.887, </w:t>
      </w:r>
      <w:r w:rsidRPr="003D33E1">
        <w:rPr>
          <w:i/>
          <w:iCs/>
        </w:rPr>
        <w:t>p</w:t>
      </w:r>
      <w:r w:rsidRPr="003D33E1">
        <w:t> = 0.023, η</w:t>
      </w:r>
      <w:r w:rsidRPr="003D33E1">
        <w:rPr>
          <w:vertAlign w:val="superscript"/>
        </w:rPr>
        <w:t>2</w:t>
      </w:r>
      <w:r w:rsidRPr="003D33E1">
        <w:rPr>
          <w:vertAlign w:val="subscript"/>
        </w:rPr>
        <w:t>p</w:t>
      </w:r>
      <w:r w:rsidRPr="003D33E1">
        <w:t> = 0.204]. There was a significant Group × Time [</w:t>
      </w:r>
      <w:proofErr w:type="gramStart"/>
      <w:r w:rsidRPr="003D33E1">
        <w:rPr>
          <w:i/>
          <w:iCs/>
        </w:rPr>
        <w:t>F</w:t>
      </w:r>
      <w:r w:rsidRPr="003D33E1">
        <w:rPr>
          <w:vertAlign w:val="subscript"/>
        </w:rPr>
        <w:t>(</w:t>
      </w:r>
      <w:proofErr w:type="gramEnd"/>
      <w:r w:rsidRPr="003D33E1">
        <w:rPr>
          <w:vertAlign w:val="subscript"/>
        </w:rPr>
        <w:t>1,26)</w:t>
      </w:r>
      <w:r w:rsidRPr="003D33E1">
        <w:t> = 4.770, </w:t>
      </w:r>
      <w:r w:rsidRPr="003D33E1">
        <w:rPr>
          <w:i/>
          <w:iCs/>
        </w:rPr>
        <w:t>p</w:t>
      </w:r>
      <w:r w:rsidRPr="003D33E1">
        <w:t> = 0.038, η</w:t>
      </w:r>
      <w:r w:rsidRPr="003D33E1">
        <w:rPr>
          <w:vertAlign w:val="superscript"/>
        </w:rPr>
        <w:t>2</w:t>
      </w:r>
      <w:r w:rsidRPr="003D33E1">
        <w:rPr>
          <w:vertAlign w:val="subscript"/>
        </w:rPr>
        <w:t>p</w:t>
      </w:r>
      <w:r w:rsidRPr="003D33E1">
        <w:t> = 0.155] for satisfaction with life scale data (see </w:t>
      </w:r>
      <w:r w:rsidRPr="00590C2D">
        <w:t>Figure 2</w:t>
      </w:r>
      <w:r w:rsidRPr="003D33E1">
        <w:t>), such that subjective well-being significantly increased in participants with MCI (</w:t>
      </w:r>
      <w:r w:rsidRPr="003D33E1">
        <w:rPr>
          <w:i/>
          <w:iCs/>
        </w:rPr>
        <w:t>p</w:t>
      </w:r>
      <w:r w:rsidRPr="003D33E1">
        <w:t> = 0.003), but no subjective well-being change occurred in the CN group after ET (</w:t>
      </w:r>
      <w:r w:rsidRPr="003D33E1">
        <w:rPr>
          <w:i/>
          <w:iCs/>
        </w:rPr>
        <w:t>p</w:t>
      </w:r>
      <w:r w:rsidRPr="003D33E1">
        <w:t> = 0.382). Yet, no main effects of Time [</w:t>
      </w:r>
      <w:proofErr w:type="gramStart"/>
      <w:r w:rsidRPr="003D33E1">
        <w:rPr>
          <w:i/>
          <w:iCs/>
        </w:rPr>
        <w:t>F</w:t>
      </w:r>
      <w:r w:rsidRPr="003D33E1">
        <w:rPr>
          <w:vertAlign w:val="subscript"/>
        </w:rPr>
        <w:t>(</w:t>
      </w:r>
      <w:proofErr w:type="gramEnd"/>
      <w:r w:rsidRPr="003D33E1">
        <w:rPr>
          <w:vertAlign w:val="subscript"/>
        </w:rPr>
        <w:t>1,26)</w:t>
      </w:r>
      <w:r w:rsidRPr="003D33E1">
        <w:t> = 0.266, </w:t>
      </w:r>
      <w:r w:rsidRPr="003D33E1">
        <w:rPr>
          <w:i/>
          <w:iCs/>
        </w:rPr>
        <w:t>p</w:t>
      </w:r>
      <w:r w:rsidRPr="003D33E1">
        <w:t> = 0.610, η</w:t>
      </w:r>
      <w:r w:rsidRPr="003D33E1">
        <w:rPr>
          <w:vertAlign w:val="superscript"/>
        </w:rPr>
        <w:t>2</w:t>
      </w:r>
      <w:r w:rsidRPr="003D33E1">
        <w:rPr>
          <w:vertAlign w:val="subscript"/>
        </w:rPr>
        <w:t>p</w:t>
      </w:r>
      <w:r w:rsidRPr="003D33E1">
        <w:t> = 0.010] and Group [</w:t>
      </w:r>
      <w:r w:rsidRPr="003D33E1">
        <w:rPr>
          <w:i/>
          <w:iCs/>
        </w:rPr>
        <w:t>F</w:t>
      </w:r>
      <w:r w:rsidRPr="003D33E1">
        <w:rPr>
          <w:vertAlign w:val="subscript"/>
        </w:rPr>
        <w:t>(1,27)</w:t>
      </w:r>
      <w:r w:rsidRPr="003D33E1">
        <w:t> = 0.324, </w:t>
      </w:r>
      <w:r w:rsidRPr="003D33E1">
        <w:rPr>
          <w:i/>
          <w:iCs/>
        </w:rPr>
        <w:t>p</w:t>
      </w:r>
      <w:r w:rsidRPr="003D33E1">
        <w:t> = 0.574, η</w:t>
      </w:r>
      <w:r w:rsidRPr="003D33E1">
        <w:rPr>
          <w:vertAlign w:val="superscript"/>
        </w:rPr>
        <w:t>2</w:t>
      </w:r>
      <w:r w:rsidRPr="003D33E1">
        <w:rPr>
          <w:vertAlign w:val="subscript"/>
        </w:rPr>
        <w:t>p</w:t>
      </w:r>
      <w:r w:rsidRPr="003D33E1">
        <w:t> = 0.012] were found in satisfaction with life scale. While there was a significant main effect of Group for the GDS [</w:t>
      </w:r>
      <w:proofErr w:type="gramStart"/>
      <w:r w:rsidRPr="003D33E1">
        <w:rPr>
          <w:i/>
          <w:iCs/>
        </w:rPr>
        <w:t>F</w:t>
      </w:r>
      <w:r w:rsidRPr="003D33E1">
        <w:rPr>
          <w:vertAlign w:val="subscript"/>
        </w:rPr>
        <w:t>(</w:t>
      </w:r>
      <w:proofErr w:type="gramEnd"/>
      <w:r w:rsidRPr="003D33E1">
        <w:rPr>
          <w:vertAlign w:val="subscript"/>
        </w:rPr>
        <w:t>1,23)</w:t>
      </w:r>
      <w:r w:rsidRPr="003D33E1">
        <w:t> = 7.247, </w:t>
      </w:r>
      <w:r w:rsidRPr="003D33E1">
        <w:rPr>
          <w:i/>
          <w:iCs/>
        </w:rPr>
        <w:t>p</w:t>
      </w:r>
      <w:r w:rsidRPr="003D33E1">
        <w:t> = 0.013, η</w:t>
      </w:r>
      <w:r w:rsidRPr="003D33E1">
        <w:rPr>
          <w:vertAlign w:val="superscript"/>
        </w:rPr>
        <w:t>2</w:t>
      </w:r>
      <w:r w:rsidRPr="003D33E1">
        <w:rPr>
          <w:vertAlign w:val="subscript"/>
        </w:rPr>
        <w:t>p</w:t>
      </w:r>
      <w:r w:rsidRPr="003D33E1">
        <w:t> = 0.240] indicating higher depression scores in the MCI, there were no significant effects of Time [</w:t>
      </w:r>
      <w:r w:rsidRPr="003D33E1">
        <w:rPr>
          <w:i/>
          <w:iCs/>
        </w:rPr>
        <w:t>F</w:t>
      </w:r>
      <w:r w:rsidRPr="003D33E1">
        <w:rPr>
          <w:vertAlign w:val="subscript"/>
        </w:rPr>
        <w:t>(1,23)</w:t>
      </w:r>
      <w:r w:rsidRPr="003D33E1">
        <w:t> = 0.015, </w:t>
      </w:r>
      <w:r w:rsidRPr="003D33E1">
        <w:rPr>
          <w:i/>
          <w:iCs/>
        </w:rPr>
        <w:t>p</w:t>
      </w:r>
      <w:r w:rsidRPr="003D33E1">
        <w:t> = 0.904, η</w:t>
      </w:r>
      <w:r w:rsidRPr="003D33E1">
        <w:rPr>
          <w:vertAlign w:val="superscript"/>
        </w:rPr>
        <w:t>2</w:t>
      </w:r>
      <w:r w:rsidRPr="003D33E1">
        <w:rPr>
          <w:vertAlign w:val="subscript"/>
        </w:rPr>
        <w:t>p</w:t>
      </w:r>
      <w:r w:rsidRPr="003D33E1">
        <w:t> = 0.001] or Group × Time [</w:t>
      </w:r>
      <w:r w:rsidRPr="003D33E1">
        <w:rPr>
          <w:i/>
          <w:iCs/>
        </w:rPr>
        <w:t>F</w:t>
      </w:r>
      <w:r w:rsidRPr="003D33E1">
        <w:rPr>
          <w:vertAlign w:val="subscript"/>
        </w:rPr>
        <w:t>(1,23)</w:t>
      </w:r>
      <w:r w:rsidRPr="003D33E1">
        <w:t> = 0.567, </w:t>
      </w:r>
      <w:r w:rsidRPr="003D33E1">
        <w:rPr>
          <w:i/>
          <w:iCs/>
        </w:rPr>
        <w:t>p</w:t>
      </w:r>
      <w:r w:rsidRPr="003D33E1">
        <w:t> = 0.459, η</w:t>
      </w:r>
      <w:r w:rsidRPr="003D33E1">
        <w:rPr>
          <w:vertAlign w:val="superscript"/>
        </w:rPr>
        <w:t>2</w:t>
      </w:r>
      <w:r w:rsidRPr="003D33E1">
        <w:rPr>
          <w:vertAlign w:val="subscript"/>
        </w:rPr>
        <w:t>p</w:t>
      </w:r>
      <w:r w:rsidRPr="003D33E1">
        <w:t> = 0.024] (missing data 2 CN, 1 MCI). There were group differences (CN &gt; MCI), as well as significant Time main effects and one Time by Group interaction effect on multiple cognitive tasks. See </w:t>
      </w:r>
      <w:r w:rsidRPr="00590C2D">
        <w:t>Table 2</w:t>
      </w:r>
      <w:r w:rsidRPr="003D33E1">
        <w:t> for details.</w:t>
      </w:r>
    </w:p>
    <w:p w14:paraId="41F6E64B" w14:textId="2E01E275" w:rsidR="003D33E1" w:rsidRPr="003D33E1" w:rsidRDefault="003D33E1" w:rsidP="003D33E1">
      <w:bookmarkStart w:id="12" w:name="figure2"/>
      <w:r w:rsidRPr="003D33E1">
        <w:rPr>
          <w:noProof/>
        </w:rPr>
        <w:drawing>
          <wp:inline distT="0" distB="0" distL="0" distR="0" wp14:anchorId="53CD72AE" wp14:editId="761A010D">
            <wp:extent cx="2743200" cy="2093976"/>
            <wp:effectExtent l="0" t="0" r="0" b="1905"/>
            <wp:docPr id="6" name="Picture 6" descr="www.frontiersin.or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 descr="www.frontiersin.org">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bookmarkEnd w:id="12"/>
    </w:p>
    <w:p w14:paraId="1C5D701F" w14:textId="39659478" w:rsidR="003D33E1" w:rsidRPr="003D33E1" w:rsidRDefault="003D33E1" w:rsidP="003D33E1">
      <w:r w:rsidRPr="003D33E1">
        <w:t>FIGURE 2. Individuals with MCI had lower subjective well-being at baseline but demonstrated increased subjective well-being after exercise training (*</w:t>
      </w:r>
      <w:r w:rsidRPr="003D33E1">
        <w:rPr>
          <w:i/>
          <w:iCs/>
        </w:rPr>
        <w:t>p</w:t>
      </w:r>
      <w:r w:rsidRPr="003D33E1">
        <w:t> = 0.003). There was no change in subjective well-being in CN after exercise training. </w:t>
      </w:r>
      <w:r w:rsidRPr="003D33E1">
        <w:rPr>
          <w:i/>
          <w:iCs/>
        </w:rPr>
        <w:t>p-</w:t>
      </w:r>
      <w:r w:rsidRPr="003D33E1">
        <w:t>values above bar graphs indicate the Group × Time interaction.</w:t>
      </w:r>
    </w:p>
    <w:p w14:paraId="0F4D6858" w14:textId="77777777" w:rsidR="00B022FA" w:rsidRDefault="00B022FA" w:rsidP="003D33E1">
      <w:pPr>
        <w:sectPr w:rsidR="00B022FA">
          <w:pgSz w:w="12240" w:h="15840"/>
          <w:pgMar w:top="1440" w:right="1440" w:bottom="1440" w:left="1440" w:header="720" w:footer="720" w:gutter="0"/>
          <w:cols w:space="720"/>
          <w:docGrid w:linePitch="360"/>
        </w:sectPr>
      </w:pPr>
    </w:p>
    <w:p w14:paraId="47A30E5B" w14:textId="77777777" w:rsidR="003D33E1" w:rsidRDefault="003D33E1" w:rsidP="00B022FA">
      <w:pPr>
        <w:spacing w:after="0"/>
      </w:pPr>
      <w:r w:rsidRPr="003D33E1">
        <w:t>TABLE 2. Cardiorespiratory fitness, life satisfaction, GDS, and cognitive function data for study participants.</w:t>
      </w:r>
    </w:p>
    <w:tbl>
      <w:tblPr>
        <w:tblStyle w:val="TableGrid"/>
        <w:tblW w:w="0" w:type="auto"/>
        <w:tblLook w:val="04A0" w:firstRow="1" w:lastRow="0" w:firstColumn="1" w:lastColumn="0" w:noHBand="0" w:noVBand="1"/>
      </w:tblPr>
      <w:tblGrid>
        <w:gridCol w:w="3145"/>
        <w:gridCol w:w="1080"/>
        <w:gridCol w:w="899"/>
        <w:gridCol w:w="898"/>
        <w:gridCol w:w="1029"/>
        <w:gridCol w:w="1060"/>
        <w:gridCol w:w="1029"/>
        <w:gridCol w:w="1307"/>
        <w:gridCol w:w="1196"/>
        <w:gridCol w:w="1307"/>
      </w:tblGrid>
      <w:tr w:rsidR="00D52EE2" w:rsidRPr="00F33B64" w14:paraId="53E286C4" w14:textId="77777777" w:rsidTr="007C198D">
        <w:tc>
          <w:tcPr>
            <w:tcW w:w="3145" w:type="dxa"/>
          </w:tcPr>
          <w:p w14:paraId="1661B3A3" w14:textId="77777777" w:rsidR="003947F3" w:rsidRPr="00F33B64" w:rsidRDefault="003947F3" w:rsidP="00F33B64">
            <w:pPr>
              <w:pStyle w:val="NoSpacing"/>
              <w:rPr>
                <w:rFonts w:cstheme="minorHAnsi"/>
              </w:rPr>
            </w:pPr>
          </w:p>
        </w:tc>
        <w:tc>
          <w:tcPr>
            <w:tcW w:w="1080" w:type="dxa"/>
          </w:tcPr>
          <w:p w14:paraId="3D35382D" w14:textId="4EC302DA" w:rsidR="003947F3" w:rsidRPr="00F33B64" w:rsidRDefault="00C43637" w:rsidP="00F33B64">
            <w:pPr>
              <w:pStyle w:val="NoSpacing"/>
              <w:rPr>
                <w:rFonts w:cstheme="minorHAnsi"/>
              </w:rPr>
            </w:pPr>
            <w:r w:rsidRPr="00F33B64">
              <w:rPr>
                <w:rFonts w:cstheme="minorHAnsi"/>
              </w:rPr>
              <w:t>Total Sample (n = 28)</w:t>
            </w:r>
          </w:p>
        </w:tc>
        <w:tc>
          <w:tcPr>
            <w:tcW w:w="899" w:type="dxa"/>
          </w:tcPr>
          <w:p w14:paraId="3DB8E685" w14:textId="77777777" w:rsidR="003947F3" w:rsidRPr="00F33B64" w:rsidRDefault="003947F3" w:rsidP="00F33B64">
            <w:pPr>
              <w:pStyle w:val="NoSpacing"/>
              <w:rPr>
                <w:rFonts w:cstheme="minorHAnsi"/>
              </w:rPr>
            </w:pPr>
          </w:p>
        </w:tc>
        <w:tc>
          <w:tcPr>
            <w:tcW w:w="898" w:type="dxa"/>
          </w:tcPr>
          <w:p w14:paraId="797063CA" w14:textId="51E5B0C7" w:rsidR="003947F3" w:rsidRPr="00F33B64" w:rsidRDefault="00E21C14" w:rsidP="00F33B64">
            <w:pPr>
              <w:pStyle w:val="NoSpacing"/>
              <w:rPr>
                <w:rFonts w:cstheme="minorHAnsi"/>
              </w:rPr>
            </w:pPr>
            <w:r w:rsidRPr="00F33B64">
              <w:rPr>
                <w:rFonts w:cstheme="minorHAnsi"/>
              </w:rPr>
              <w:t>MCI (n = 14)</w:t>
            </w:r>
          </w:p>
        </w:tc>
        <w:tc>
          <w:tcPr>
            <w:tcW w:w="0" w:type="auto"/>
          </w:tcPr>
          <w:p w14:paraId="67B136AA" w14:textId="77777777" w:rsidR="003947F3" w:rsidRPr="00F33B64" w:rsidRDefault="003947F3" w:rsidP="00F33B64">
            <w:pPr>
              <w:pStyle w:val="NoSpacing"/>
              <w:rPr>
                <w:rFonts w:cstheme="minorHAnsi"/>
              </w:rPr>
            </w:pPr>
          </w:p>
        </w:tc>
        <w:tc>
          <w:tcPr>
            <w:tcW w:w="0" w:type="auto"/>
          </w:tcPr>
          <w:p w14:paraId="148B0262" w14:textId="71B9EFAF" w:rsidR="003947F3" w:rsidRPr="00F33B64" w:rsidRDefault="00E21C14" w:rsidP="00F33B64">
            <w:pPr>
              <w:pStyle w:val="NoSpacing"/>
              <w:rPr>
                <w:rFonts w:cstheme="minorHAnsi"/>
              </w:rPr>
            </w:pPr>
            <w:r w:rsidRPr="00F33B64">
              <w:rPr>
                <w:rFonts w:cstheme="minorHAnsi"/>
              </w:rPr>
              <w:t>CN (n = 14)</w:t>
            </w:r>
          </w:p>
        </w:tc>
        <w:tc>
          <w:tcPr>
            <w:tcW w:w="0" w:type="auto"/>
          </w:tcPr>
          <w:p w14:paraId="33E72F49" w14:textId="77777777" w:rsidR="003947F3" w:rsidRPr="00F33B64" w:rsidRDefault="003947F3" w:rsidP="00F33B64">
            <w:pPr>
              <w:pStyle w:val="NoSpacing"/>
              <w:rPr>
                <w:rFonts w:cstheme="minorHAnsi"/>
              </w:rPr>
            </w:pPr>
          </w:p>
        </w:tc>
        <w:tc>
          <w:tcPr>
            <w:tcW w:w="0" w:type="auto"/>
          </w:tcPr>
          <w:p w14:paraId="470DDA83" w14:textId="2EF09ABF" w:rsidR="003947F3" w:rsidRPr="00F33B64" w:rsidRDefault="00E21C14" w:rsidP="00F33B64">
            <w:pPr>
              <w:pStyle w:val="NoSpacing"/>
              <w:rPr>
                <w:rFonts w:cstheme="minorHAnsi"/>
              </w:rPr>
            </w:pPr>
            <w:r w:rsidRPr="00F33B64">
              <w:rPr>
                <w:rFonts w:cstheme="minorHAnsi"/>
              </w:rPr>
              <w:t>Time</w:t>
            </w:r>
          </w:p>
        </w:tc>
        <w:tc>
          <w:tcPr>
            <w:tcW w:w="0" w:type="auto"/>
          </w:tcPr>
          <w:p w14:paraId="7984A901" w14:textId="360C6C3C" w:rsidR="003947F3" w:rsidRPr="00F33B64" w:rsidRDefault="00E21C14" w:rsidP="00F33B64">
            <w:pPr>
              <w:pStyle w:val="NoSpacing"/>
              <w:rPr>
                <w:rFonts w:cstheme="minorHAnsi"/>
              </w:rPr>
            </w:pPr>
            <w:r w:rsidRPr="00F33B64">
              <w:rPr>
                <w:rFonts w:cstheme="minorHAnsi"/>
              </w:rPr>
              <w:t>Group</w:t>
            </w:r>
          </w:p>
        </w:tc>
        <w:tc>
          <w:tcPr>
            <w:tcW w:w="0" w:type="auto"/>
          </w:tcPr>
          <w:p w14:paraId="71548E43" w14:textId="4FF64878" w:rsidR="003947F3" w:rsidRPr="00F33B64" w:rsidRDefault="00E21C14" w:rsidP="00F33B64">
            <w:pPr>
              <w:pStyle w:val="NoSpacing"/>
              <w:rPr>
                <w:rFonts w:cstheme="minorHAnsi"/>
              </w:rPr>
            </w:pPr>
            <w:r w:rsidRPr="00F33B64">
              <w:rPr>
                <w:rFonts w:cstheme="minorHAnsi"/>
              </w:rPr>
              <w:t>Group _ Time</w:t>
            </w:r>
          </w:p>
        </w:tc>
      </w:tr>
      <w:tr w:rsidR="00D52EE2" w:rsidRPr="00F33B64" w14:paraId="273BBC4F" w14:textId="77777777" w:rsidTr="007C198D">
        <w:tc>
          <w:tcPr>
            <w:tcW w:w="3145" w:type="dxa"/>
          </w:tcPr>
          <w:p w14:paraId="3458F2BB" w14:textId="77777777" w:rsidR="00086B71" w:rsidRPr="00F33B64" w:rsidRDefault="00086B71" w:rsidP="00F33B64">
            <w:pPr>
              <w:pStyle w:val="NoSpacing"/>
              <w:rPr>
                <w:rFonts w:cstheme="minorHAnsi"/>
              </w:rPr>
            </w:pPr>
          </w:p>
        </w:tc>
        <w:tc>
          <w:tcPr>
            <w:tcW w:w="1080" w:type="dxa"/>
          </w:tcPr>
          <w:p w14:paraId="5364CE7E" w14:textId="1ED7568A" w:rsidR="00086B71" w:rsidRPr="00F33B64" w:rsidRDefault="00086B71" w:rsidP="00F33B64">
            <w:pPr>
              <w:pStyle w:val="NoSpacing"/>
              <w:rPr>
                <w:rFonts w:cstheme="minorHAnsi"/>
              </w:rPr>
            </w:pPr>
            <w:r w:rsidRPr="00F33B64">
              <w:rPr>
                <w:rFonts w:cstheme="minorHAnsi"/>
              </w:rPr>
              <w:t>Before</w:t>
            </w:r>
          </w:p>
        </w:tc>
        <w:tc>
          <w:tcPr>
            <w:tcW w:w="899" w:type="dxa"/>
          </w:tcPr>
          <w:p w14:paraId="5D529A74" w14:textId="1E322E84" w:rsidR="00086B71" w:rsidRPr="00F33B64" w:rsidRDefault="00086B71" w:rsidP="00F33B64">
            <w:pPr>
              <w:pStyle w:val="NoSpacing"/>
              <w:rPr>
                <w:rFonts w:cstheme="minorHAnsi"/>
              </w:rPr>
            </w:pPr>
            <w:r w:rsidRPr="00F33B64">
              <w:rPr>
                <w:rFonts w:cstheme="minorHAnsi"/>
              </w:rPr>
              <w:t>After</w:t>
            </w:r>
          </w:p>
        </w:tc>
        <w:tc>
          <w:tcPr>
            <w:tcW w:w="898" w:type="dxa"/>
          </w:tcPr>
          <w:p w14:paraId="44FC3672" w14:textId="2FAECA9D" w:rsidR="00086B71" w:rsidRPr="00F33B64" w:rsidRDefault="00086B71" w:rsidP="00F33B64">
            <w:pPr>
              <w:pStyle w:val="NoSpacing"/>
              <w:rPr>
                <w:rFonts w:cstheme="minorHAnsi"/>
              </w:rPr>
            </w:pPr>
            <w:r w:rsidRPr="00F33B64">
              <w:rPr>
                <w:rFonts w:cstheme="minorHAnsi"/>
              </w:rPr>
              <w:t>Before</w:t>
            </w:r>
          </w:p>
        </w:tc>
        <w:tc>
          <w:tcPr>
            <w:tcW w:w="0" w:type="auto"/>
          </w:tcPr>
          <w:p w14:paraId="1AC1993F" w14:textId="5F9FA62D" w:rsidR="00086B71" w:rsidRPr="00F33B64" w:rsidRDefault="00086B71" w:rsidP="00F33B64">
            <w:pPr>
              <w:pStyle w:val="NoSpacing"/>
              <w:rPr>
                <w:rFonts w:cstheme="minorHAnsi"/>
              </w:rPr>
            </w:pPr>
            <w:r w:rsidRPr="00F33B64">
              <w:rPr>
                <w:rFonts w:cstheme="minorHAnsi"/>
              </w:rPr>
              <w:t>After</w:t>
            </w:r>
          </w:p>
        </w:tc>
        <w:tc>
          <w:tcPr>
            <w:tcW w:w="0" w:type="auto"/>
          </w:tcPr>
          <w:p w14:paraId="1020B399" w14:textId="6A037BFA" w:rsidR="00086B71" w:rsidRPr="00F33B64" w:rsidRDefault="00086B71" w:rsidP="00F33B64">
            <w:pPr>
              <w:pStyle w:val="NoSpacing"/>
              <w:rPr>
                <w:rFonts w:cstheme="minorHAnsi"/>
              </w:rPr>
            </w:pPr>
            <w:r w:rsidRPr="00F33B64">
              <w:rPr>
                <w:rFonts w:cstheme="minorHAnsi"/>
              </w:rPr>
              <w:t>Before</w:t>
            </w:r>
          </w:p>
        </w:tc>
        <w:tc>
          <w:tcPr>
            <w:tcW w:w="0" w:type="auto"/>
          </w:tcPr>
          <w:p w14:paraId="5196A06A" w14:textId="22B8268D" w:rsidR="00086B71" w:rsidRPr="00F33B64" w:rsidRDefault="00086B71" w:rsidP="00F33B64">
            <w:pPr>
              <w:pStyle w:val="NoSpacing"/>
              <w:rPr>
                <w:rFonts w:cstheme="minorHAnsi"/>
              </w:rPr>
            </w:pPr>
            <w:r w:rsidRPr="00F33B64">
              <w:rPr>
                <w:rFonts w:cstheme="minorHAnsi"/>
              </w:rPr>
              <w:t>After</w:t>
            </w:r>
          </w:p>
        </w:tc>
        <w:tc>
          <w:tcPr>
            <w:tcW w:w="0" w:type="auto"/>
          </w:tcPr>
          <w:p w14:paraId="1A94E651" w14:textId="77777777" w:rsidR="00086B71" w:rsidRPr="00F33B64" w:rsidRDefault="00086B71" w:rsidP="00F33B64">
            <w:pPr>
              <w:pStyle w:val="NoSpacing"/>
              <w:rPr>
                <w:rFonts w:cstheme="minorHAnsi"/>
              </w:rPr>
            </w:pPr>
          </w:p>
        </w:tc>
        <w:tc>
          <w:tcPr>
            <w:tcW w:w="0" w:type="auto"/>
          </w:tcPr>
          <w:p w14:paraId="5D5462CD" w14:textId="77777777" w:rsidR="00086B71" w:rsidRPr="00F33B64" w:rsidRDefault="00086B71" w:rsidP="00F33B64">
            <w:pPr>
              <w:pStyle w:val="NoSpacing"/>
              <w:rPr>
                <w:rFonts w:cstheme="minorHAnsi"/>
              </w:rPr>
            </w:pPr>
          </w:p>
        </w:tc>
        <w:tc>
          <w:tcPr>
            <w:tcW w:w="0" w:type="auto"/>
          </w:tcPr>
          <w:p w14:paraId="095F4737" w14:textId="77777777" w:rsidR="00086B71" w:rsidRPr="00F33B64" w:rsidRDefault="00086B71" w:rsidP="00F33B64">
            <w:pPr>
              <w:pStyle w:val="NoSpacing"/>
              <w:rPr>
                <w:rFonts w:cstheme="minorHAnsi"/>
              </w:rPr>
            </w:pPr>
          </w:p>
        </w:tc>
      </w:tr>
      <w:tr w:rsidR="00D52EE2" w:rsidRPr="00F33B64" w14:paraId="4BF1581F" w14:textId="77777777" w:rsidTr="007C198D">
        <w:tc>
          <w:tcPr>
            <w:tcW w:w="3145" w:type="dxa"/>
          </w:tcPr>
          <w:p w14:paraId="39B3E66F" w14:textId="77777777" w:rsidR="004124F8" w:rsidRPr="00F33B64" w:rsidRDefault="004124F8" w:rsidP="00F33B64">
            <w:pPr>
              <w:pStyle w:val="NoSpacing"/>
              <w:rPr>
                <w:rFonts w:cstheme="minorHAnsi"/>
              </w:rPr>
            </w:pPr>
          </w:p>
        </w:tc>
        <w:tc>
          <w:tcPr>
            <w:tcW w:w="1080" w:type="dxa"/>
          </w:tcPr>
          <w:p w14:paraId="459C11F5" w14:textId="1DCCE8AB" w:rsidR="004124F8" w:rsidRPr="00F33B64" w:rsidRDefault="004124F8" w:rsidP="00F33B64">
            <w:pPr>
              <w:pStyle w:val="NoSpacing"/>
              <w:rPr>
                <w:rFonts w:cstheme="minorHAnsi"/>
              </w:rPr>
            </w:pPr>
            <w:r w:rsidRPr="00F33B64">
              <w:rPr>
                <w:rFonts w:cstheme="minorHAnsi"/>
              </w:rPr>
              <w:t xml:space="preserve">Mean </w:t>
            </w:r>
            <w:r w:rsidRPr="00F33B64">
              <w:rPr>
                <w:rFonts w:cstheme="minorHAnsi"/>
              </w:rPr>
              <w:t>±</w:t>
            </w:r>
            <w:r w:rsidRPr="00F33B64">
              <w:rPr>
                <w:rFonts w:cstheme="minorHAnsi"/>
              </w:rPr>
              <w:t xml:space="preserve"> SD</w:t>
            </w:r>
          </w:p>
        </w:tc>
        <w:tc>
          <w:tcPr>
            <w:tcW w:w="899" w:type="dxa"/>
          </w:tcPr>
          <w:p w14:paraId="0F69B17C" w14:textId="7E73C1FB" w:rsidR="004124F8" w:rsidRPr="00F33B64" w:rsidRDefault="004124F8" w:rsidP="00F33B64">
            <w:pPr>
              <w:pStyle w:val="NoSpacing"/>
              <w:rPr>
                <w:rFonts w:cstheme="minorHAnsi"/>
              </w:rPr>
            </w:pPr>
            <w:r w:rsidRPr="00F33B64">
              <w:rPr>
                <w:rFonts w:cstheme="minorHAnsi"/>
              </w:rPr>
              <w:t>Mean ± SD</w:t>
            </w:r>
          </w:p>
        </w:tc>
        <w:tc>
          <w:tcPr>
            <w:tcW w:w="898" w:type="dxa"/>
          </w:tcPr>
          <w:p w14:paraId="64CA8E7A" w14:textId="39E5B54B" w:rsidR="004124F8" w:rsidRPr="00F33B64" w:rsidRDefault="004124F8" w:rsidP="00F33B64">
            <w:pPr>
              <w:pStyle w:val="NoSpacing"/>
              <w:rPr>
                <w:rFonts w:cstheme="minorHAnsi"/>
              </w:rPr>
            </w:pPr>
            <w:r w:rsidRPr="00F33B64">
              <w:rPr>
                <w:rFonts w:cstheme="minorHAnsi"/>
              </w:rPr>
              <w:t>Mean ± SD</w:t>
            </w:r>
          </w:p>
        </w:tc>
        <w:tc>
          <w:tcPr>
            <w:tcW w:w="0" w:type="auto"/>
          </w:tcPr>
          <w:p w14:paraId="49C8D382" w14:textId="3C68C282" w:rsidR="004124F8" w:rsidRPr="00F33B64" w:rsidRDefault="004124F8" w:rsidP="00F33B64">
            <w:pPr>
              <w:pStyle w:val="NoSpacing"/>
              <w:rPr>
                <w:rFonts w:cstheme="minorHAnsi"/>
              </w:rPr>
            </w:pPr>
            <w:r w:rsidRPr="00F33B64">
              <w:rPr>
                <w:rFonts w:cstheme="minorHAnsi"/>
              </w:rPr>
              <w:t>Mean ± SD</w:t>
            </w:r>
          </w:p>
        </w:tc>
        <w:tc>
          <w:tcPr>
            <w:tcW w:w="0" w:type="auto"/>
          </w:tcPr>
          <w:p w14:paraId="3866FF5D" w14:textId="19FABAEA" w:rsidR="004124F8" w:rsidRPr="00F33B64" w:rsidRDefault="004124F8" w:rsidP="00F33B64">
            <w:pPr>
              <w:pStyle w:val="NoSpacing"/>
              <w:rPr>
                <w:rFonts w:cstheme="minorHAnsi"/>
              </w:rPr>
            </w:pPr>
            <w:r w:rsidRPr="00F33B64">
              <w:rPr>
                <w:rFonts w:cstheme="minorHAnsi"/>
              </w:rPr>
              <w:t>Mean ± SD</w:t>
            </w:r>
          </w:p>
        </w:tc>
        <w:tc>
          <w:tcPr>
            <w:tcW w:w="0" w:type="auto"/>
          </w:tcPr>
          <w:p w14:paraId="625F6428" w14:textId="42E153A3" w:rsidR="004124F8" w:rsidRPr="00F33B64" w:rsidRDefault="004124F8" w:rsidP="00F33B64">
            <w:pPr>
              <w:pStyle w:val="NoSpacing"/>
              <w:rPr>
                <w:rFonts w:cstheme="minorHAnsi"/>
              </w:rPr>
            </w:pPr>
            <w:r w:rsidRPr="00F33B64">
              <w:rPr>
                <w:rFonts w:cstheme="minorHAnsi"/>
              </w:rPr>
              <w:t>Mean ± SD</w:t>
            </w:r>
          </w:p>
        </w:tc>
        <w:tc>
          <w:tcPr>
            <w:tcW w:w="0" w:type="auto"/>
          </w:tcPr>
          <w:p w14:paraId="0092366A" w14:textId="46DAD021" w:rsidR="004124F8" w:rsidRPr="00F33B64" w:rsidRDefault="004124F8" w:rsidP="00F33B64">
            <w:pPr>
              <w:pStyle w:val="NoSpacing"/>
              <w:rPr>
                <w:rFonts w:cstheme="minorHAnsi"/>
              </w:rPr>
            </w:pPr>
            <w:bookmarkStart w:id="13" w:name="Associations Between Subjective Well-Bei"/>
            <w:bookmarkEnd w:id="13"/>
            <w:r w:rsidRPr="00F33B64">
              <w:rPr>
                <w:rFonts w:cstheme="minorHAnsi"/>
                <w:i/>
                <w:iCs/>
              </w:rPr>
              <w:t>p</w:t>
            </w:r>
            <w:r w:rsidRPr="00F33B64">
              <w:rPr>
                <w:rFonts w:cstheme="minorHAnsi"/>
              </w:rPr>
              <w:t xml:space="preserve">-value </w:t>
            </w:r>
            <m:oMath>
              <m:r>
                <m:rPr>
                  <m:sty m:val="p"/>
                </m:rPr>
                <w:rPr>
                  <w:rFonts w:ascii="Cambria Math" w:hAnsi="Cambria Math" w:cstheme="minorHAnsi"/>
                </w:rPr>
                <m:t>(</m:t>
              </m:r>
              <m:sSubSup>
                <m:sSubSupPr>
                  <m:ctrlPr>
                    <w:rPr>
                      <w:rFonts w:ascii="Cambria Math" w:hAnsi="Cambria Math" w:cstheme="minorHAnsi"/>
                      <w:iCs/>
                    </w:rPr>
                  </m:ctrlPr>
                </m:sSubSupPr>
                <m:e>
                  <m:r>
                    <m:rPr>
                      <m:sty m:val="p"/>
                    </m:rPr>
                    <w:rPr>
                      <w:rFonts w:ascii="Cambria Math" w:hAnsi="Cambria Math" w:cstheme="minorHAnsi"/>
                    </w:rPr>
                    <m:t>η</m:t>
                  </m:r>
                </m:e>
                <m:sub>
                  <m:r>
                    <m:rPr>
                      <m:sty m:val="p"/>
                    </m:rPr>
                    <w:rPr>
                      <w:rFonts w:ascii="Cambria Math" w:hAnsi="Cambria Math" w:cstheme="minorHAnsi"/>
                      <w:vertAlign w:val="subscript"/>
                    </w:rPr>
                    <m:t>p</m:t>
                  </m:r>
                </m:sub>
                <m:sup>
                  <m:r>
                    <m:rPr>
                      <m:sty m:val="p"/>
                    </m:rPr>
                    <w:rPr>
                      <w:rFonts w:ascii="Cambria Math" w:hAnsi="Cambria Math" w:cstheme="minorHAnsi"/>
                      <w:vertAlign w:val="superscript"/>
                    </w:rPr>
                    <m:t>2</m:t>
                  </m:r>
                </m:sup>
              </m:sSubSup>
              <m:r>
                <m:rPr>
                  <m:sty m:val="p"/>
                </m:rPr>
                <w:rPr>
                  <w:rFonts w:ascii="Cambria Math" w:hAnsi="Cambria Math" w:cstheme="minorHAnsi"/>
                </w:rPr>
                <m:t>)</m:t>
              </m:r>
            </m:oMath>
          </w:p>
        </w:tc>
        <w:tc>
          <w:tcPr>
            <w:tcW w:w="0" w:type="auto"/>
          </w:tcPr>
          <w:p w14:paraId="043E38DC" w14:textId="58786104" w:rsidR="004124F8" w:rsidRPr="00F33B64" w:rsidRDefault="004124F8" w:rsidP="00F33B64">
            <w:pPr>
              <w:pStyle w:val="NoSpacing"/>
              <w:rPr>
                <w:rFonts w:cstheme="minorHAnsi"/>
              </w:rPr>
            </w:pPr>
            <w:r w:rsidRPr="00F33B64">
              <w:rPr>
                <w:rFonts w:cstheme="minorHAnsi"/>
                <w:i/>
                <w:iCs/>
              </w:rPr>
              <w:t>p</w:t>
            </w:r>
            <w:r w:rsidRPr="00F33B64">
              <w:rPr>
                <w:rFonts w:cstheme="minorHAnsi"/>
              </w:rPr>
              <w:t xml:space="preserve">-value </w:t>
            </w:r>
            <m:oMath>
              <m:r>
                <m:rPr>
                  <m:sty m:val="p"/>
                </m:rPr>
                <w:rPr>
                  <w:rFonts w:ascii="Cambria Math" w:hAnsi="Cambria Math" w:cstheme="minorHAnsi"/>
                </w:rPr>
                <m:t>(</m:t>
              </m:r>
              <m:sSubSup>
                <m:sSubSupPr>
                  <m:ctrlPr>
                    <w:rPr>
                      <w:rFonts w:ascii="Cambria Math" w:hAnsi="Cambria Math" w:cstheme="minorHAnsi"/>
                      <w:iCs/>
                    </w:rPr>
                  </m:ctrlPr>
                </m:sSubSupPr>
                <m:e>
                  <m:r>
                    <m:rPr>
                      <m:sty m:val="p"/>
                    </m:rPr>
                    <w:rPr>
                      <w:rFonts w:ascii="Cambria Math" w:hAnsi="Cambria Math" w:cstheme="minorHAnsi"/>
                    </w:rPr>
                    <m:t>η</m:t>
                  </m:r>
                </m:e>
                <m:sub>
                  <m:r>
                    <m:rPr>
                      <m:sty m:val="p"/>
                    </m:rPr>
                    <w:rPr>
                      <w:rFonts w:ascii="Cambria Math" w:hAnsi="Cambria Math" w:cstheme="minorHAnsi"/>
                      <w:vertAlign w:val="subscript"/>
                    </w:rPr>
                    <m:t>p</m:t>
                  </m:r>
                </m:sub>
                <m:sup>
                  <m:r>
                    <m:rPr>
                      <m:sty m:val="p"/>
                    </m:rPr>
                    <w:rPr>
                      <w:rFonts w:ascii="Cambria Math" w:hAnsi="Cambria Math" w:cstheme="minorHAnsi"/>
                      <w:vertAlign w:val="superscript"/>
                    </w:rPr>
                    <m:t>2</m:t>
                  </m:r>
                </m:sup>
              </m:sSubSup>
              <m:r>
                <m:rPr>
                  <m:sty m:val="p"/>
                </m:rPr>
                <w:rPr>
                  <w:rFonts w:ascii="Cambria Math" w:hAnsi="Cambria Math" w:cstheme="minorHAnsi"/>
                </w:rPr>
                <m:t>)</m:t>
              </m:r>
            </m:oMath>
          </w:p>
        </w:tc>
        <w:tc>
          <w:tcPr>
            <w:tcW w:w="0" w:type="auto"/>
          </w:tcPr>
          <w:p w14:paraId="6217F3D0" w14:textId="1D2EBBE9" w:rsidR="004124F8" w:rsidRPr="00F33B64" w:rsidRDefault="004124F8" w:rsidP="00F33B64">
            <w:pPr>
              <w:pStyle w:val="NoSpacing"/>
              <w:rPr>
                <w:rFonts w:cstheme="minorHAnsi"/>
              </w:rPr>
            </w:pPr>
            <w:r w:rsidRPr="00F33B64">
              <w:rPr>
                <w:rFonts w:cstheme="minorHAnsi"/>
                <w:i/>
                <w:iCs/>
              </w:rPr>
              <w:t>p</w:t>
            </w:r>
            <w:r w:rsidRPr="00F33B64">
              <w:rPr>
                <w:rFonts w:cstheme="minorHAnsi"/>
              </w:rPr>
              <w:t xml:space="preserve">-value </w:t>
            </w:r>
            <m:oMath>
              <m:r>
                <m:rPr>
                  <m:sty m:val="p"/>
                </m:rPr>
                <w:rPr>
                  <w:rFonts w:ascii="Cambria Math" w:hAnsi="Cambria Math" w:cstheme="minorHAnsi"/>
                </w:rPr>
                <m:t>(</m:t>
              </m:r>
              <m:sSubSup>
                <m:sSubSupPr>
                  <m:ctrlPr>
                    <w:rPr>
                      <w:rFonts w:ascii="Cambria Math" w:hAnsi="Cambria Math" w:cstheme="minorHAnsi"/>
                      <w:iCs/>
                    </w:rPr>
                  </m:ctrlPr>
                </m:sSubSupPr>
                <m:e>
                  <m:r>
                    <m:rPr>
                      <m:sty m:val="p"/>
                    </m:rPr>
                    <w:rPr>
                      <w:rFonts w:ascii="Cambria Math" w:hAnsi="Cambria Math" w:cstheme="minorHAnsi"/>
                    </w:rPr>
                    <m:t>η</m:t>
                  </m:r>
                </m:e>
                <m:sub>
                  <m:r>
                    <m:rPr>
                      <m:sty m:val="p"/>
                    </m:rPr>
                    <w:rPr>
                      <w:rFonts w:ascii="Cambria Math" w:hAnsi="Cambria Math" w:cstheme="minorHAnsi"/>
                      <w:vertAlign w:val="subscript"/>
                    </w:rPr>
                    <m:t>p</m:t>
                  </m:r>
                </m:sub>
                <m:sup>
                  <m:r>
                    <m:rPr>
                      <m:sty m:val="p"/>
                    </m:rPr>
                    <w:rPr>
                      <w:rFonts w:ascii="Cambria Math" w:hAnsi="Cambria Math" w:cstheme="minorHAnsi"/>
                      <w:vertAlign w:val="superscript"/>
                    </w:rPr>
                    <m:t>2</m:t>
                  </m:r>
                </m:sup>
              </m:sSubSup>
              <m:r>
                <m:rPr>
                  <m:sty m:val="p"/>
                </m:rPr>
                <w:rPr>
                  <w:rFonts w:ascii="Cambria Math" w:hAnsi="Cambria Math" w:cstheme="minorHAnsi"/>
                </w:rPr>
                <m:t>)</m:t>
              </m:r>
            </m:oMath>
          </w:p>
        </w:tc>
      </w:tr>
      <w:tr w:rsidR="00D52EE2" w:rsidRPr="00F33B64" w14:paraId="24A60B8B" w14:textId="77777777" w:rsidTr="007C198D">
        <w:tc>
          <w:tcPr>
            <w:tcW w:w="3145" w:type="dxa"/>
          </w:tcPr>
          <w:p w14:paraId="04CE8AE3" w14:textId="325AC3FC" w:rsidR="003947F3" w:rsidRPr="00F33B64" w:rsidRDefault="0050287F" w:rsidP="00F33B64">
            <w:pPr>
              <w:pStyle w:val="NoSpacing"/>
              <w:rPr>
                <w:rFonts w:cstheme="minorHAnsi"/>
                <w:b/>
                <w:bCs/>
              </w:rPr>
            </w:pPr>
            <w:r w:rsidRPr="00F33B64">
              <w:rPr>
                <w:rFonts w:cstheme="minorHAnsi"/>
                <w:b/>
                <w:bCs/>
              </w:rPr>
              <w:t>Cardiorespiratory</w:t>
            </w:r>
            <w:r w:rsidRPr="00F33B64">
              <w:rPr>
                <w:rFonts w:cstheme="minorHAnsi"/>
                <w:b/>
                <w:bCs/>
              </w:rPr>
              <w:t xml:space="preserve"> </w:t>
            </w:r>
            <w:r w:rsidRPr="00F33B64">
              <w:rPr>
                <w:rFonts w:cstheme="minorHAnsi"/>
                <w:b/>
                <w:bCs/>
              </w:rPr>
              <w:t>fitness</w:t>
            </w:r>
          </w:p>
        </w:tc>
        <w:tc>
          <w:tcPr>
            <w:tcW w:w="1080" w:type="dxa"/>
          </w:tcPr>
          <w:p w14:paraId="02B2CFFB" w14:textId="77777777" w:rsidR="003947F3" w:rsidRPr="00F33B64" w:rsidRDefault="003947F3" w:rsidP="00F33B64">
            <w:pPr>
              <w:pStyle w:val="NoSpacing"/>
              <w:rPr>
                <w:rFonts w:cstheme="minorHAnsi"/>
                <w:b/>
                <w:bCs/>
              </w:rPr>
            </w:pPr>
          </w:p>
        </w:tc>
        <w:tc>
          <w:tcPr>
            <w:tcW w:w="899" w:type="dxa"/>
          </w:tcPr>
          <w:p w14:paraId="20E1756D" w14:textId="77777777" w:rsidR="003947F3" w:rsidRPr="00F33B64" w:rsidRDefault="003947F3" w:rsidP="00F33B64">
            <w:pPr>
              <w:pStyle w:val="NoSpacing"/>
              <w:rPr>
                <w:rFonts w:cstheme="minorHAnsi"/>
                <w:b/>
                <w:bCs/>
              </w:rPr>
            </w:pPr>
          </w:p>
        </w:tc>
        <w:tc>
          <w:tcPr>
            <w:tcW w:w="898" w:type="dxa"/>
          </w:tcPr>
          <w:p w14:paraId="046294A5" w14:textId="77777777" w:rsidR="003947F3" w:rsidRPr="00F33B64" w:rsidRDefault="003947F3" w:rsidP="00F33B64">
            <w:pPr>
              <w:pStyle w:val="NoSpacing"/>
              <w:rPr>
                <w:rFonts w:cstheme="minorHAnsi"/>
                <w:b/>
                <w:bCs/>
              </w:rPr>
            </w:pPr>
          </w:p>
        </w:tc>
        <w:tc>
          <w:tcPr>
            <w:tcW w:w="0" w:type="auto"/>
          </w:tcPr>
          <w:p w14:paraId="54ED3157" w14:textId="77777777" w:rsidR="003947F3" w:rsidRPr="00F33B64" w:rsidRDefault="003947F3" w:rsidP="00F33B64">
            <w:pPr>
              <w:pStyle w:val="NoSpacing"/>
              <w:rPr>
                <w:rFonts w:cstheme="minorHAnsi"/>
                <w:b/>
                <w:bCs/>
              </w:rPr>
            </w:pPr>
          </w:p>
        </w:tc>
        <w:tc>
          <w:tcPr>
            <w:tcW w:w="0" w:type="auto"/>
          </w:tcPr>
          <w:p w14:paraId="2A8AC7AD" w14:textId="77777777" w:rsidR="003947F3" w:rsidRPr="00F33B64" w:rsidRDefault="003947F3" w:rsidP="00F33B64">
            <w:pPr>
              <w:pStyle w:val="NoSpacing"/>
              <w:rPr>
                <w:rFonts w:cstheme="minorHAnsi"/>
                <w:b/>
                <w:bCs/>
              </w:rPr>
            </w:pPr>
          </w:p>
        </w:tc>
        <w:tc>
          <w:tcPr>
            <w:tcW w:w="0" w:type="auto"/>
          </w:tcPr>
          <w:p w14:paraId="291AEEFF" w14:textId="77777777" w:rsidR="003947F3" w:rsidRPr="00F33B64" w:rsidRDefault="003947F3" w:rsidP="00F33B64">
            <w:pPr>
              <w:pStyle w:val="NoSpacing"/>
              <w:rPr>
                <w:rFonts w:cstheme="minorHAnsi"/>
                <w:b/>
                <w:bCs/>
              </w:rPr>
            </w:pPr>
          </w:p>
        </w:tc>
        <w:tc>
          <w:tcPr>
            <w:tcW w:w="0" w:type="auto"/>
          </w:tcPr>
          <w:p w14:paraId="094F7A7E" w14:textId="77777777" w:rsidR="003947F3" w:rsidRPr="00F33B64" w:rsidRDefault="003947F3" w:rsidP="00F33B64">
            <w:pPr>
              <w:pStyle w:val="NoSpacing"/>
              <w:rPr>
                <w:rFonts w:cstheme="minorHAnsi"/>
                <w:b/>
                <w:bCs/>
              </w:rPr>
            </w:pPr>
          </w:p>
        </w:tc>
        <w:tc>
          <w:tcPr>
            <w:tcW w:w="0" w:type="auto"/>
          </w:tcPr>
          <w:p w14:paraId="491ADCAF" w14:textId="77777777" w:rsidR="003947F3" w:rsidRPr="00F33B64" w:rsidRDefault="003947F3" w:rsidP="00F33B64">
            <w:pPr>
              <w:pStyle w:val="NoSpacing"/>
              <w:rPr>
                <w:rFonts w:cstheme="minorHAnsi"/>
                <w:b/>
                <w:bCs/>
              </w:rPr>
            </w:pPr>
          </w:p>
        </w:tc>
        <w:tc>
          <w:tcPr>
            <w:tcW w:w="0" w:type="auto"/>
          </w:tcPr>
          <w:p w14:paraId="26910629" w14:textId="77777777" w:rsidR="003947F3" w:rsidRPr="00F33B64" w:rsidRDefault="003947F3" w:rsidP="00F33B64">
            <w:pPr>
              <w:pStyle w:val="NoSpacing"/>
              <w:rPr>
                <w:rFonts w:cstheme="minorHAnsi"/>
                <w:b/>
                <w:bCs/>
              </w:rPr>
            </w:pPr>
          </w:p>
        </w:tc>
      </w:tr>
      <w:tr w:rsidR="00D52EE2" w:rsidRPr="00F33B64" w14:paraId="0D5306FA" w14:textId="77777777" w:rsidTr="007C198D">
        <w:tc>
          <w:tcPr>
            <w:tcW w:w="3145" w:type="dxa"/>
          </w:tcPr>
          <w:p w14:paraId="11159343" w14:textId="4A8469C8" w:rsidR="003947F3" w:rsidRPr="00F33B64" w:rsidRDefault="00306DE9" w:rsidP="00F33B64">
            <w:pPr>
              <w:pStyle w:val="NoSpacing"/>
              <w:rPr>
                <w:rFonts w:cstheme="minorHAnsi"/>
              </w:rPr>
            </w:pPr>
            <w:r w:rsidRPr="00F33B64">
              <w:rPr>
                <w:rFonts w:cstheme="minorHAnsi"/>
              </w:rPr>
              <w:t xml:space="preserve">V˙ O2peak (ml/kg/min) </w:t>
            </w:r>
          </w:p>
        </w:tc>
        <w:tc>
          <w:tcPr>
            <w:tcW w:w="1080" w:type="dxa"/>
          </w:tcPr>
          <w:p w14:paraId="03BF3AEC" w14:textId="54DAFB77" w:rsidR="003947F3" w:rsidRPr="00F33B64" w:rsidRDefault="00D52EE2" w:rsidP="00F33B64">
            <w:pPr>
              <w:pStyle w:val="NoSpacing"/>
              <w:rPr>
                <w:rFonts w:cstheme="minorHAnsi"/>
              </w:rPr>
            </w:pPr>
            <w:r w:rsidRPr="00F33B64">
              <w:rPr>
                <w:rFonts w:cstheme="minorHAnsi"/>
              </w:rPr>
              <w:t xml:space="preserve">18.8 </w:t>
            </w:r>
            <w:r>
              <w:rPr>
                <w:rFonts w:cstheme="minorHAnsi"/>
              </w:rPr>
              <w:t>±</w:t>
            </w:r>
            <w:r w:rsidRPr="00F33B64">
              <w:rPr>
                <w:rFonts w:cstheme="minorHAnsi"/>
              </w:rPr>
              <w:t xml:space="preserve"> 4.4</w:t>
            </w:r>
          </w:p>
        </w:tc>
        <w:tc>
          <w:tcPr>
            <w:tcW w:w="899" w:type="dxa"/>
          </w:tcPr>
          <w:p w14:paraId="5A443172" w14:textId="596459C8" w:rsidR="003947F3" w:rsidRPr="00F33B64" w:rsidRDefault="00D52EE2" w:rsidP="00F33B64">
            <w:pPr>
              <w:pStyle w:val="NoSpacing"/>
              <w:rPr>
                <w:rFonts w:cstheme="minorHAnsi"/>
              </w:rPr>
            </w:pPr>
            <w:r w:rsidRPr="00F33B64">
              <w:rPr>
                <w:rFonts w:cstheme="minorHAnsi"/>
              </w:rPr>
              <w:t xml:space="preserve">20.5 </w:t>
            </w:r>
            <w:r>
              <w:rPr>
                <w:rFonts w:cstheme="minorHAnsi"/>
              </w:rPr>
              <w:t>±</w:t>
            </w:r>
            <w:r w:rsidRPr="00F33B64">
              <w:rPr>
                <w:rFonts w:cstheme="minorHAnsi"/>
              </w:rPr>
              <w:t xml:space="preserve"> 3.7</w:t>
            </w:r>
          </w:p>
        </w:tc>
        <w:tc>
          <w:tcPr>
            <w:tcW w:w="898" w:type="dxa"/>
          </w:tcPr>
          <w:p w14:paraId="0529C7B9" w14:textId="68594C5B" w:rsidR="003947F3" w:rsidRPr="00F33B64" w:rsidRDefault="00D52EE2" w:rsidP="00F33B64">
            <w:pPr>
              <w:pStyle w:val="NoSpacing"/>
              <w:rPr>
                <w:rFonts w:cstheme="minorHAnsi"/>
              </w:rPr>
            </w:pPr>
            <w:r w:rsidRPr="00F33B64">
              <w:rPr>
                <w:rFonts w:cstheme="minorHAnsi"/>
              </w:rPr>
              <w:t xml:space="preserve">18.4 </w:t>
            </w:r>
            <w:r>
              <w:rPr>
                <w:rFonts w:cstheme="minorHAnsi"/>
              </w:rPr>
              <w:t>±</w:t>
            </w:r>
            <w:r w:rsidRPr="00F33B64">
              <w:rPr>
                <w:rFonts w:cstheme="minorHAnsi"/>
              </w:rPr>
              <w:t xml:space="preserve"> 3.8</w:t>
            </w:r>
          </w:p>
        </w:tc>
        <w:tc>
          <w:tcPr>
            <w:tcW w:w="0" w:type="auto"/>
          </w:tcPr>
          <w:p w14:paraId="2EDFA780" w14:textId="26760FA9" w:rsidR="003947F3" w:rsidRPr="00F33B64" w:rsidRDefault="00D52EE2" w:rsidP="00F33B64">
            <w:pPr>
              <w:pStyle w:val="NoSpacing"/>
              <w:rPr>
                <w:rFonts w:cstheme="minorHAnsi"/>
              </w:rPr>
            </w:pPr>
            <w:r w:rsidRPr="00F33B64">
              <w:rPr>
                <w:rFonts w:cstheme="minorHAnsi"/>
              </w:rPr>
              <w:t xml:space="preserve">20.6 </w:t>
            </w:r>
            <w:r>
              <w:rPr>
                <w:rFonts w:cstheme="minorHAnsi"/>
              </w:rPr>
              <w:t>±</w:t>
            </w:r>
            <w:r w:rsidRPr="00F33B64">
              <w:rPr>
                <w:rFonts w:cstheme="minorHAnsi"/>
              </w:rPr>
              <w:t xml:space="preserve"> 3.2</w:t>
            </w:r>
          </w:p>
        </w:tc>
        <w:tc>
          <w:tcPr>
            <w:tcW w:w="0" w:type="auto"/>
          </w:tcPr>
          <w:p w14:paraId="5529A22E" w14:textId="514413C2" w:rsidR="003947F3" w:rsidRPr="00F33B64" w:rsidRDefault="00D52EE2" w:rsidP="00F33B64">
            <w:pPr>
              <w:pStyle w:val="NoSpacing"/>
              <w:rPr>
                <w:rFonts w:cstheme="minorHAnsi"/>
              </w:rPr>
            </w:pPr>
            <w:r w:rsidRPr="00F33B64">
              <w:rPr>
                <w:rFonts w:cstheme="minorHAnsi"/>
              </w:rPr>
              <w:t xml:space="preserve">19.7 </w:t>
            </w:r>
            <w:r>
              <w:rPr>
                <w:rFonts w:cstheme="minorHAnsi"/>
              </w:rPr>
              <w:t>±</w:t>
            </w:r>
            <w:r w:rsidRPr="00F33B64">
              <w:rPr>
                <w:rFonts w:cstheme="minorHAnsi"/>
              </w:rPr>
              <w:t xml:space="preserve"> 5.0</w:t>
            </w:r>
          </w:p>
        </w:tc>
        <w:tc>
          <w:tcPr>
            <w:tcW w:w="0" w:type="auto"/>
          </w:tcPr>
          <w:p w14:paraId="393F9FE5" w14:textId="264AEA99" w:rsidR="003947F3" w:rsidRPr="00F33B64" w:rsidRDefault="00D52EE2" w:rsidP="00F33B64">
            <w:pPr>
              <w:pStyle w:val="NoSpacing"/>
              <w:rPr>
                <w:rFonts w:cstheme="minorHAnsi"/>
              </w:rPr>
            </w:pPr>
            <w:r w:rsidRPr="00F33B64">
              <w:rPr>
                <w:rFonts w:cstheme="minorHAnsi"/>
              </w:rPr>
              <w:t xml:space="preserve">20.7 </w:t>
            </w:r>
            <w:r>
              <w:rPr>
                <w:rFonts w:cstheme="minorHAnsi"/>
              </w:rPr>
              <w:t>±</w:t>
            </w:r>
            <w:r w:rsidRPr="00F33B64">
              <w:rPr>
                <w:rFonts w:cstheme="minorHAnsi"/>
              </w:rPr>
              <w:t xml:space="preserve"> 4.2</w:t>
            </w:r>
          </w:p>
        </w:tc>
        <w:tc>
          <w:tcPr>
            <w:tcW w:w="0" w:type="auto"/>
          </w:tcPr>
          <w:p w14:paraId="58E5DE38" w14:textId="4C4261EF" w:rsidR="003947F3" w:rsidRPr="00F33B64" w:rsidRDefault="00D52EE2" w:rsidP="00F33B64">
            <w:pPr>
              <w:pStyle w:val="NoSpacing"/>
              <w:rPr>
                <w:rFonts w:cstheme="minorHAnsi"/>
              </w:rPr>
            </w:pPr>
            <w:r w:rsidRPr="00F33B64">
              <w:rPr>
                <w:rFonts w:cstheme="minorHAnsi"/>
              </w:rPr>
              <w:t>0.023 (0.203)</w:t>
            </w:r>
          </w:p>
        </w:tc>
        <w:tc>
          <w:tcPr>
            <w:tcW w:w="0" w:type="auto"/>
          </w:tcPr>
          <w:p w14:paraId="058AF5DF" w14:textId="426B66C1" w:rsidR="003947F3" w:rsidRPr="00F33B64" w:rsidRDefault="00F33B64" w:rsidP="00F33B64">
            <w:pPr>
              <w:pStyle w:val="NoSpacing"/>
              <w:rPr>
                <w:rFonts w:cstheme="minorHAnsi"/>
              </w:rPr>
            </w:pPr>
            <w:r w:rsidRPr="00F33B64">
              <w:rPr>
                <w:rFonts w:cstheme="minorHAnsi"/>
              </w:rPr>
              <w:t>0.649 (0.009)</w:t>
            </w:r>
          </w:p>
        </w:tc>
        <w:tc>
          <w:tcPr>
            <w:tcW w:w="0" w:type="auto"/>
          </w:tcPr>
          <w:p w14:paraId="3F07123A" w14:textId="38DCD970" w:rsidR="003947F3" w:rsidRPr="00F33B64" w:rsidRDefault="00F33B64" w:rsidP="00F33B64">
            <w:pPr>
              <w:pStyle w:val="NoSpacing"/>
              <w:rPr>
                <w:rFonts w:cstheme="minorHAnsi"/>
              </w:rPr>
            </w:pPr>
            <w:r w:rsidRPr="00F33B64">
              <w:rPr>
                <w:rFonts w:cstheme="minorHAnsi"/>
              </w:rPr>
              <w:t>0.334 (0.040)</w:t>
            </w:r>
          </w:p>
        </w:tc>
      </w:tr>
      <w:tr w:rsidR="00D52EE2" w:rsidRPr="00F33B64" w14:paraId="5362D662" w14:textId="77777777" w:rsidTr="007C198D">
        <w:tc>
          <w:tcPr>
            <w:tcW w:w="3145" w:type="dxa"/>
          </w:tcPr>
          <w:p w14:paraId="453F585F" w14:textId="6621ECB3" w:rsidR="003947F3" w:rsidRPr="00F33B64" w:rsidRDefault="009D28D8" w:rsidP="00F33B64">
            <w:pPr>
              <w:pStyle w:val="NoSpacing"/>
              <w:rPr>
                <w:rFonts w:cstheme="minorHAnsi"/>
                <w:b/>
                <w:bCs/>
              </w:rPr>
            </w:pPr>
            <w:r w:rsidRPr="00F33B64">
              <w:rPr>
                <w:rFonts w:cstheme="minorHAnsi"/>
                <w:b/>
                <w:bCs/>
              </w:rPr>
              <w:t>Subjective</w:t>
            </w:r>
            <w:r w:rsidRPr="00F33B64">
              <w:rPr>
                <w:rFonts w:cstheme="minorHAnsi"/>
                <w:b/>
                <w:bCs/>
              </w:rPr>
              <w:t xml:space="preserve"> </w:t>
            </w:r>
            <w:r w:rsidRPr="00F33B64">
              <w:rPr>
                <w:rFonts w:cstheme="minorHAnsi"/>
                <w:b/>
                <w:bCs/>
              </w:rPr>
              <w:t>well-being</w:t>
            </w:r>
          </w:p>
        </w:tc>
        <w:tc>
          <w:tcPr>
            <w:tcW w:w="1080" w:type="dxa"/>
          </w:tcPr>
          <w:p w14:paraId="2A2E0D27" w14:textId="77777777" w:rsidR="003947F3" w:rsidRPr="00F33B64" w:rsidRDefault="003947F3" w:rsidP="00F33B64">
            <w:pPr>
              <w:pStyle w:val="NoSpacing"/>
              <w:rPr>
                <w:rFonts w:cstheme="minorHAnsi"/>
                <w:b/>
                <w:bCs/>
              </w:rPr>
            </w:pPr>
          </w:p>
        </w:tc>
        <w:tc>
          <w:tcPr>
            <w:tcW w:w="899" w:type="dxa"/>
          </w:tcPr>
          <w:p w14:paraId="43BB6670" w14:textId="77777777" w:rsidR="003947F3" w:rsidRPr="00F33B64" w:rsidRDefault="003947F3" w:rsidP="00F33B64">
            <w:pPr>
              <w:pStyle w:val="NoSpacing"/>
              <w:rPr>
                <w:rFonts w:cstheme="minorHAnsi"/>
                <w:b/>
                <w:bCs/>
              </w:rPr>
            </w:pPr>
          </w:p>
        </w:tc>
        <w:tc>
          <w:tcPr>
            <w:tcW w:w="898" w:type="dxa"/>
          </w:tcPr>
          <w:p w14:paraId="0755A54B" w14:textId="77777777" w:rsidR="003947F3" w:rsidRPr="00F33B64" w:rsidRDefault="003947F3" w:rsidP="00F33B64">
            <w:pPr>
              <w:pStyle w:val="NoSpacing"/>
              <w:rPr>
                <w:rFonts w:cstheme="minorHAnsi"/>
                <w:b/>
                <w:bCs/>
              </w:rPr>
            </w:pPr>
          </w:p>
        </w:tc>
        <w:tc>
          <w:tcPr>
            <w:tcW w:w="0" w:type="auto"/>
          </w:tcPr>
          <w:p w14:paraId="7BB2D01C" w14:textId="77777777" w:rsidR="003947F3" w:rsidRPr="00F33B64" w:rsidRDefault="003947F3" w:rsidP="00F33B64">
            <w:pPr>
              <w:pStyle w:val="NoSpacing"/>
              <w:rPr>
                <w:rFonts w:cstheme="minorHAnsi"/>
                <w:b/>
                <w:bCs/>
              </w:rPr>
            </w:pPr>
          </w:p>
        </w:tc>
        <w:tc>
          <w:tcPr>
            <w:tcW w:w="0" w:type="auto"/>
          </w:tcPr>
          <w:p w14:paraId="15E6C646" w14:textId="77777777" w:rsidR="003947F3" w:rsidRPr="00F33B64" w:rsidRDefault="003947F3" w:rsidP="00F33B64">
            <w:pPr>
              <w:pStyle w:val="NoSpacing"/>
              <w:rPr>
                <w:rFonts w:cstheme="minorHAnsi"/>
                <w:b/>
                <w:bCs/>
              </w:rPr>
            </w:pPr>
          </w:p>
        </w:tc>
        <w:tc>
          <w:tcPr>
            <w:tcW w:w="0" w:type="auto"/>
          </w:tcPr>
          <w:p w14:paraId="515127E5" w14:textId="77777777" w:rsidR="003947F3" w:rsidRPr="00F33B64" w:rsidRDefault="003947F3" w:rsidP="00F33B64">
            <w:pPr>
              <w:pStyle w:val="NoSpacing"/>
              <w:rPr>
                <w:rFonts w:cstheme="minorHAnsi"/>
                <w:b/>
                <w:bCs/>
              </w:rPr>
            </w:pPr>
          </w:p>
        </w:tc>
        <w:tc>
          <w:tcPr>
            <w:tcW w:w="0" w:type="auto"/>
          </w:tcPr>
          <w:p w14:paraId="31746C6F" w14:textId="77777777" w:rsidR="003947F3" w:rsidRPr="00F33B64" w:rsidRDefault="003947F3" w:rsidP="00F33B64">
            <w:pPr>
              <w:pStyle w:val="NoSpacing"/>
              <w:rPr>
                <w:rFonts w:cstheme="minorHAnsi"/>
                <w:b/>
                <w:bCs/>
              </w:rPr>
            </w:pPr>
          </w:p>
        </w:tc>
        <w:tc>
          <w:tcPr>
            <w:tcW w:w="0" w:type="auto"/>
          </w:tcPr>
          <w:p w14:paraId="5A70BBE9" w14:textId="77777777" w:rsidR="003947F3" w:rsidRPr="00F33B64" w:rsidRDefault="003947F3" w:rsidP="00F33B64">
            <w:pPr>
              <w:pStyle w:val="NoSpacing"/>
              <w:rPr>
                <w:rFonts w:cstheme="minorHAnsi"/>
                <w:b/>
                <w:bCs/>
              </w:rPr>
            </w:pPr>
          </w:p>
        </w:tc>
        <w:tc>
          <w:tcPr>
            <w:tcW w:w="0" w:type="auto"/>
          </w:tcPr>
          <w:p w14:paraId="31E5AE77" w14:textId="77777777" w:rsidR="003947F3" w:rsidRPr="00F33B64" w:rsidRDefault="003947F3" w:rsidP="00F33B64">
            <w:pPr>
              <w:pStyle w:val="NoSpacing"/>
              <w:rPr>
                <w:rFonts w:cstheme="minorHAnsi"/>
                <w:b/>
                <w:bCs/>
              </w:rPr>
            </w:pPr>
          </w:p>
        </w:tc>
      </w:tr>
      <w:tr w:rsidR="00D52EE2" w:rsidRPr="00F33B64" w14:paraId="0E5BA283" w14:textId="77777777" w:rsidTr="007C198D">
        <w:tc>
          <w:tcPr>
            <w:tcW w:w="3145" w:type="dxa"/>
          </w:tcPr>
          <w:p w14:paraId="0CDAF102" w14:textId="47161C95" w:rsidR="009D28D8" w:rsidRPr="00F33B64" w:rsidRDefault="009D28D8" w:rsidP="00F33B64">
            <w:pPr>
              <w:pStyle w:val="NoSpacing"/>
              <w:rPr>
                <w:rFonts w:cstheme="minorHAnsi"/>
              </w:rPr>
            </w:pPr>
            <w:r w:rsidRPr="00F33B64">
              <w:rPr>
                <w:rFonts w:cstheme="minorHAnsi"/>
              </w:rPr>
              <w:t>Life satisfaction</w:t>
            </w:r>
            <w:r w:rsidR="00D52EE2">
              <w:rPr>
                <w:rFonts w:cstheme="minorHAnsi"/>
              </w:rPr>
              <w:t xml:space="preserve"> </w:t>
            </w:r>
            <w:r w:rsidRPr="00F33B64">
              <w:rPr>
                <w:rFonts w:cstheme="minorHAnsi"/>
              </w:rPr>
              <w:t>scale</w:t>
            </w:r>
          </w:p>
          <w:p w14:paraId="11C74E90" w14:textId="23B8C97A" w:rsidR="003947F3" w:rsidRPr="00F33B64" w:rsidRDefault="003947F3" w:rsidP="00F33B64">
            <w:pPr>
              <w:pStyle w:val="NoSpacing"/>
              <w:rPr>
                <w:rFonts w:cstheme="minorHAnsi"/>
              </w:rPr>
            </w:pPr>
          </w:p>
        </w:tc>
        <w:tc>
          <w:tcPr>
            <w:tcW w:w="1080" w:type="dxa"/>
          </w:tcPr>
          <w:p w14:paraId="261D9F70" w14:textId="03160CCA" w:rsidR="003947F3" w:rsidRPr="00F33B64" w:rsidRDefault="00D52EE2" w:rsidP="00F33B64">
            <w:pPr>
              <w:pStyle w:val="NoSpacing"/>
              <w:rPr>
                <w:rFonts w:cstheme="minorHAnsi"/>
              </w:rPr>
            </w:pPr>
            <w:r w:rsidRPr="00F33B64">
              <w:rPr>
                <w:rFonts w:cstheme="minorHAnsi"/>
              </w:rPr>
              <w:t xml:space="preserve">26.1 </w:t>
            </w:r>
            <w:r>
              <w:rPr>
                <w:rFonts w:cstheme="minorHAnsi"/>
              </w:rPr>
              <w:t>±</w:t>
            </w:r>
            <w:r w:rsidRPr="00F33B64">
              <w:rPr>
                <w:rFonts w:cstheme="minorHAnsi"/>
              </w:rPr>
              <w:t xml:space="preserve"> 6.0</w:t>
            </w:r>
          </w:p>
        </w:tc>
        <w:tc>
          <w:tcPr>
            <w:tcW w:w="899" w:type="dxa"/>
          </w:tcPr>
          <w:p w14:paraId="597A5D35" w14:textId="22189DD0" w:rsidR="003947F3" w:rsidRPr="00F33B64" w:rsidRDefault="00D52EE2" w:rsidP="00F33B64">
            <w:pPr>
              <w:pStyle w:val="NoSpacing"/>
              <w:rPr>
                <w:rFonts w:cstheme="minorHAnsi"/>
              </w:rPr>
            </w:pPr>
            <w:r w:rsidRPr="00F33B64">
              <w:rPr>
                <w:rFonts w:cstheme="minorHAnsi"/>
              </w:rPr>
              <w:t xml:space="preserve">26.6 </w:t>
            </w:r>
            <w:r>
              <w:rPr>
                <w:rFonts w:cstheme="minorHAnsi"/>
              </w:rPr>
              <w:t>±</w:t>
            </w:r>
            <w:r w:rsidRPr="00F33B64">
              <w:rPr>
                <w:rFonts w:cstheme="minorHAnsi"/>
              </w:rPr>
              <w:t xml:space="preserve"> 5.3</w:t>
            </w:r>
          </w:p>
        </w:tc>
        <w:tc>
          <w:tcPr>
            <w:tcW w:w="898" w:type="dxa"/>
          </w:tcPr>
          <w:p w14:paraId="4656AC12" w14:textId="301F267F" w:rsidR="003947F3" w:rsidRPr="00F33B64" w:rsidRDefault="00D52EE2" w:rsidP="00F33B64">
            <w:pPr>
              <w:pStyle w:val="NoSpacing"/>
              <w:rPr>
                <w:rFonts w:cstheme="minorHAnsi"/>
              </w:rPr>
            </w:pPr>
            <w:r w:rsidRPr="00F33B64">
              <w:rPr>
                <w:rFonts w:cstheme="minorHAnsi"/>
              </w:rPr>
              <w:t xml:space="preserve">24.6 </w:t>
            </w:r>
            <w:r>
              <w:rPr>
                <w:rFonts w:cstheme="minorHAnsi"/>
              </w:rPr>
              <w:t>±</w:t>
            </w:r>
            <w:r w:rsidRPr="00F33B64">
              <w:rPr>
                <w:rFonts w:cstheme="minorHAnsi"/>
              </w:rPr>
              <w:t xml:space="preserve"> 5.7</w:t>
            </w:r>
          </w:p>
        </w:tc>
        <w:tc>
          <w:tcPr>
            <w:tcW w:w="0" w:type="auto"/>
          </w:tcPr>
          <w:p w14:paraId="06140503" w14:textId="27E12C91" w:rsidR="003947F3" w:rsidRPr="00F33B64" w:rsidRDefault="00D52EE2" w:rsidP="00F33B64">
            <w:pPr>
              <w:pStyle w:val="NoSpacing"/>
              <w:rPr>
                <w:rFonts w:cstheme="minorHAnsi"/>
              </w:rPr>
            </w:pPr>
            <w:r w:rsidRPr="00F33B64">
              <w:rPr>
                <w:rFonts w:cstheme="minorHAnsi"/>
              </w:rPr>
              <w:t xml:space="preserve">27.0 </w:t>
            </w:r>
            <w:r>
              <w:rPr>
                <w:rFonts w:cstheme="minorHAnsi"/>
              </w:rPr>
              <w:t>±</w:t>
            </w:r>
            <w:r w:rsidRPr="00F33B64">
              <w:rPr>
                <w:rFonts w:cstheme="minorHAnsi"/>
              </w:rPr>
              <w:t xml:space="preserve"> 4.2</w:t>
            </w:r>
          </w:p>
        </w:tc>
        <w:tc>
          <w:tcPr>
            <w:tcW w:w="0" w:type="auto"/>
          </w:tcPr>
          <w:p w14:paraId="4910E8BB" w14:textId="202E144F" w:rsidR="003947F3" w:rsidRPr="00F33B64" w:rsidRDefault="00D52EE2" w:rsidP="00F33B64">
            <w:pPr>
              <w:pStyle w:val="NoSpacing"/>
              <w:rPr>
                <w:rFonts w:cstheme="minorHAnsi"/>
              </w:rPr>
            </w:pPr>
            <w:r w:rsidRPr="00F33B64">
              <w:rPr>
                <w:rFonts w:cstheme="minorHAnsi"/>
              </w:rPr>
              <w:t xml:space="preserve">27.7 </w:t>
            </w:r>
            <w:r>
              <w:rPr>
                <w:rFonts w:cstheme="minorHAnsi"/>
              </w:rPr>
              <w:t>±</w:t>
            </w:r>
            <w:r w:rsidRPr="00F33B64">
              <w:rPr>
                <w:rFonts w:cstheme="minorHAnsi"/>
              </w:rPr>
              <w:t xml:space="preserve"> 6.1</w:t>
            </w:r>
          </w:p>
        </w:tc>
        <w:tc>
          <w:tcPr>
            <w:tcW w:w="0" w:type="auto"/>
          </w:tcPr>
          <w:p w14:paraId="28BD20F5" w14:textId="27E57C50" w:rsidR="003947F3" w:rsidRPr="00F33B64" w:rsidRDefault="00D52EE2" w:rsidP="00F33B64">
            <w:pPr>
              <w:pStyle w:val="NoSpacing"/>
              <w:rPr>
                <w:rFonts w:cstheme="minorHAnsi"/>
              </w:rPr>
            </w:pPr>
            <w:r w:rsidRPr="00F33B64">
              <w:rPr>
                <w:rFonts w:cstheme="minorHAnsi"/>
              </w:rPr>
              <w:t xml:space="preserve">26.2 </w:t>
            </w:r>
            <w:r>
              <w:rPr>
                <w:rFonts w:cstheme="minorHAnsi"/>
              </w:rPr>
              <w:t>±</w:t>
            </w:r>
            <w:r w:rsidRPr="00F33B64">
              <w:rPr>
                <w:rFonts w:cstheme="minorHAnsi"/>
              </w:rPr>
              <w:t xml:space="preserve"> 6.3</w:t>
            </w:r>
          </w:p>
        </w:tc>
        <w:tc>
          <w:tcPr>
            <w:tcW w:w="0" w:type="auto"/>
          </w:tcPr>
          <w:p w14:paraId="7AA6145E" w14:textId="2E569ABF" w:rsidR="003947F3" w:rsidRPr="00F33B64" w:rsidRDefault="00D52EE2" w:rsidP="00F33B64">
            <w:pPr>
              <w:pStyle w:val="NoSpacing"/>
              <w:rPr>
                <w:rFonts w:cstheme="minorHAnsi"/>
              </w:rPr>
            </w:pPr>
            <w:r w:rsidRPr="00F33B64">
              <w:rPr>
                <w:rFonts w:cstheme="minorHAnsi"/>
              </w:rPr>
              <w:t>0.610 (0.010)</w:t>
            </w:r>
          </w:p>
        </w:tc>
        <w:tc>
          <w:tcPr>
            <w:tcW w:w="0" w:type="auto"/>
          </w:tcPr>
          <w:p w14:paraId="50685149" w14:textId="59BE2C79" w:rsidR="003947F3" w:rsidRPr="00F33B64" w:rsidRDefault="00D52EE2" w:rsidP="00F33B64">
            <w:pPr>
              <w:pStyle w:val="NoSpacing"/>
              <w:rPr>
                <w:rFonts w:cstheme="minorHAnsi"/>
              </w:rPr>
            </w:pPr>
            <w:r w:rsidRPr="00F33B64">
              <w:rPr>
                <w:rFonts w:cstheme="minorHAnsi"/>
              </w:rPr>
              <w:t>0.574 (0.012)</w:t>
            </w:r>
          </w:p>
        </w:tc>
        <w:tc>
          <w:tcPr>
            <w:tcW w:w="0" w:type="auto"/>
          </w:tcPr>
          <w:p w14:paraId="4D03302A" w14:textId="38B54AB1" w:rsidR="003947F3" w:rsidRPr="00F33B64" w:rsidRDefault="00D52EE2" w:rsidP="00F33B64">
            <w:pPr>
              <w:pStyle w:val="NoSpacing"/>
              <w:rPr>
                <w:rFonts w:cstheme="minorHAnsi"/>
              </w:rPr>
            </w:pPr>
            <w:r w:rsidRPr="00F33B64">
              <w:rPr>
                <w:rFonts w:cstheme="minorHAnsi"/>
              </w:rPr>
              <w:t>0.038 (0.155)</w:t>
            </w:r>
          </w:p>
        </w:tc>
      </w:tr>
      <w:tr w:rsidR="00D52EE2" w:rsidRPr="00F33B64" w14:paraId="39119709" w14:textId="77777777" w:rsidTr="007C198D">
        <w:tc>
          <w:tcPr>
            <w:tcW w:w="3145" w:type="dxa"/>
          </w:tcPr>
          <w:p w14:paraId="6C763A9A" w14:textId="34CA44C8" w:rsidR="003947F3" w:rsidRPr="00F33B64" w:rsidRDefault="009D28D8" w:rsidP="00F33B64">
            <w:pPr>
              <w:pStyle w:val="NoSpacing"/>
              <w:rPr>
                <w:rFonts w:cstheme="minorHAnsi"/>
                <w:b/>
                <w:bCs/>
              </w:rPr>
            </w:pPr>
            <w:r w:rsidRPr="00F33B64">
              <w:rPr>
                <w:rFonts w:cstheme="minorHAnsi"/>
                <w:b/>
                <w:bCs/>
              </w:rPr>
              <w:t>Depression</w:t>
            </w:r>
          </w:p>
        </w:tc>
        <w:tc>
          <w:tcPr>
            <w:tcW w:w="1080" w:type="dxa"/>
          </w:tcPr>
          <w:p w14:paraId="0EB31CEF" w14:textId="77777777" w:rsidR="003947F3" w:rsidRPr="00F33B64" w:rsidRDefault="003947F3" w:rsidP="00F33B64">
            <w:pPr>
              <w:pStyle w:val="NoSpacing"/>
              <w:rPr>
                <w:rFonts w:cstheme="minorHAnsi"/>
                <w:b/>
                <w:bCs/>
              </w:rPr>
            </w:pPr>
          </w:p>
        </w:tc>
        <w:tc>
          <w:tcPr>
            <w:tcW w:w="899" w:type="dxa"/>
          </w:tcPr>
          <w:p w14:paraId="0869C163" w14:textId="77777777" w:rsidR="003947F3" w:rsidRPr="00F33B64" w:rsidRDefault="003947F3" w:rsidP="00F33B64">
            <w:pPr>
              <w:pStyle w:val="NoSpacing"/>
              <w:rPr>
                <w:rFonts w:cstheme="minorHAnsi"/>
                <w:b/>
                <w:bCs/>
              </w:rPr>
            </w:pPr>
          </w:p>
        </w:tc>
        <w:tc>
          <w:tcPr>
            <w:tcW w:w="898" w:type="dxa"/>
          </w:tcPr>
          <w:p w14:paraId="5C2CAE28" w14:textId="77777777" w:rsidR="003947F3" w:rsidRPr="00F33B64" w:rsidRDefault="003947F3" w:rsidP="00F33B64">
            <w:pPr>
              <w:pStyle w:val="NoSpacing"/>
              <w:rPr>
                <w:rFonts w:cstheme="minorHAnsi"/>
                <w:b/>
                <w:bCs/>
              </w:rPr>
            </w:pPr>
          </w:p>
        </w:tc>
        <w:tc>
          <w:tcPr>
            <w:tcW w:w="0" w:type="auto"/>
          </w:tcPr>
          <w:p w14:paraId="39222167" w14:textId="77777777" w:rsidR="003947F3" w:rsidRPr="00F33B64" w:rsidRDefault="003947F3" w:rsidP="00F33B64">
            <w:pPr>
              <w:pStyle w:val="NoSpacing"/>
              <w:rPr>
                <w:rFonts w:cstheme="minorHAnsi"/>
                <w:b/>
                <w:bCs/>
              </w:rPr>
            </w:pPr>
          </w:p>
        </w:tc>
        <w:tc>
          <w:tcPr>
            <w:tcW w:w="0" w:type="auto"/>
          </w:tcPr>
          <w:p w14:paraId="6D684355" w14:textId="77777777" w:rsidR="003947F3" w:rsidRPr="00F33B64" w:rsidRDefault="003947F3" w:rsidP="00F33B64">
            <w:pPr>
              <w:pStyle w:val="NoSpacing"/>
              <w:rPr>
                <w:rFonts w:cstheme="minorHAnsi"/>
                <w:b/>
                <w:bCs/>
              </w:rPr>
            </w:pPr>
          </w:p>
        </w:tc>
        <w:tc>
          <w:tcPr>
            <w:tcW w:w="0" w:type="auto"/>
          </w:tcPr>
          <w:p w14:paraId="53EC08B1" w14:textId="77777777" w:rsidR="003947F3" w:rsidRPr="00F33B64" w:rsidRDefault="003947F3" w:rsidP="00F33B64">
            <w:pPr>
              <w:pStyle w:val="NoSpacing"/>
              <w:rPr>
                <w:rFonts w:cstheme="minorHAnsi"/>
                <w:b/>
                <w:bCs/>
              </w:rPr>
            </w:pPr>
          </w:p>
        </w:tc>
        <w:tc>
          <w:tcPr>
            <w:tcW w:w="0" w:type="auto"/>
          </w:tcPr>
          <w:p w14:paraId="21164F09" w14:textId="77777777" w:rsidR="003947F3" w:rsidRPr="00F33B64" w:rsidRDefault="003947F3" w:rsidP="00F33B64">
            <w:pPr>
              <w:pStyle w:val="NoSpacing"/>
              <w:rPr>
                <w:rFonts w:cstheme="minorHAnsi"/>
                <w:b/>
                <w:bCs/>
              </w:rPr>
            </w:pPr>
          </w:p>
        </w:tc>
        <w:tc>
          <w:tcPr>
            <w:tcW w:w="0" w:type="auto"/>
          </w:tcPr>
          <w:p w14:paraId="6FE2D2D9" w14:textId="77777777" w:rsidR="003947F3" w:rsidRPr="00F33B64" w:rsidRDefault="003947F3" w:rsidP="00F33B64">
            <w:pPr>
              <w:pStyle w:val="NoSpacing"/>
              <w:rPr>
                <w:rFonts w:cstheme="minorHAnsi"/>
                <w:b/>
                <w:bCs/>
              </w:rPr>
            </w:pPr>
          </w:p>
        </w:tc>
        <w:tc>
          <w:tcPr>
            <w:tcW w:w="0" w:type="auto"/>
          </w:tcPr>
          <w:p w14:paraId="6BBFD314" w14:textId="77777777" w:rsidR="003947F3" w:rsidRPr="00F33B64" w:rsidRDefault="003947F3" w:rsidP="00F33B64">
            <w:pPr>
              <w:pStyle w:val="NoSpacing"/>
              <w:rPr>
                <w:rFonts w:cstheme="minorHAnsi"/>
                <w:b/>
                <w:bCs/>
              </w:rPr>
            </w:pPr>
          </w:p>
        </w:tc>
      </w:tr>
      <w:tr w:rsidR="00D52EE2" w:rsidRPr="00F33B64" w14:paraId="3B636144" w14:textId="77777777" w:rsidTr="007C198D">
        <w:tc>
          <w:tcPr>
            <w:tcW w:w="3145" w:type="dxa"/>
          </w:tcPr>
          <w:p w14:paraId="72DBF5FB" w14:textId="361A4672" w:rsidR="003947F3" w:rsidRPr="00F33B64" w:rsidRDefault="009D28D8" w:rsidP="00F33B64">
            <w:pPr>
              <w:pStyle w:val="NoSpacing"/>
              <w:rPr>
                <w:rFonts w:cstheme="minorHAnsi"/>
              </w:rPr>
            </w:pPr>
            <w:r w:rsidRPr="00F33B64">
              <w:rPr>
                <w:rFonts w:cstheme="minorHAnsi"/>
              </w:rPr>
              <w:t xml:space="preserve">GDS </w:t>
            </w:r>
          </w:p>
        </w:tc>
        <w:tc>
          <w:tcPr>
            <w:tcW w:w="1080" w:type="dxa"/>
          </w:tcPr>
          <w:p w14:paraId="7B78837C" w14:textId="3CEA5D8A" w:rsidR="003947F3" w:rsidRPr="00F33B64" w:rsidRDefault="007C198D" w:rsidP="00F33B64">
            <w:pPr>
              <w:pStyle w:val="NoSpacing"/>
              <w:rPr>
                <w:rFonts w:cstheme="minorHAnsi"/>
              </w:rPr>
            </w:pPr>
            <w:r w:rsidRPr="00F33B64">
              <w:rPr>
                <w:rFonts w:cstheme="minorHAnsi"/>
              </w:rPr>
              <w:t xml:space="preserve">4.8 </w:t>
            </w:r>
            <w:r>
              <w:rPr>
                <w:rFonts w:cstheme="minorHAnsi"/>
              </w:rPr>
              <w:t>±</w:t>
            </w:r>
            <w:r w:rsidRPr="00F33B64">
              <w:rPr>
                <w:rFonts w:cstheme="minorHAnsi"/>
              </w:rPr>
              <w:t xml:space="preserve"> 3.1</w:t>
            </w:r>
          </w:p>
        </w:tc>
        <w:tc>
          <w:tcPr>
            <w:tcW w:w="899" w:type="dxa"/>
          </w:tcPr>
          <w:p w14:paraId="59591C10" w14:textId="471BEFD3" w:rsidR="003947F3" w:rsidRPr="00F33B64" w:rsidRDefault="007C198D" w:rsidP="00F33B64">
            <w:pPr>
              <w:pStyle w:val="NoSpacing"/>
              <w:rPr>
                <w:rFonts w:cstheme="minorHAnsi"/>
              </w:rPr>
            </w:pPr>
            <w:r w:rsidRPr="00F33B64">
              <w:rPr>
                <w:rFonts w:cstheme="minorHAnsi"/>
              </w:rPr>
              <w:t xml:space="preserve">4.6 </w:t>
            </w:r>
            <w:r>
              <w:rPr>
                <w:rFonts w:cstheme="minorHAnsi"/>
              </w:rPr>
              <w:t>±</w:t>
            </w:r>
            <w:r w:rsidRPr="00F33B64">
              <w:rPr>
                <w:rFonts w:cstheme="minorHAnsi"/>
              </w:rPr>
              <w:t xml:space="preserve"> 3.3</w:t>
            </w:r>
          </w:p>
        </w:tc>
        <w:tc>
          <w:tcPr>
            <w:tcW w:w="898" w:type="dxa"/>
          </w:tcPr>
          <w:p w14:paraId="4A9680EE" w14:textId="43B2BAC1" w:rsidR="003947F3" w:rsidRPr="00F33B64" w:rsidRDefault="007C198D" w:rsidP="00F33B64">
            <w:pPr>
              <w:pStyle w:val="NoSpacing"/>
              <w:rPr>
                <w:rFonts w:cstheme="minorHAnsi"/>
              </w:rPr>
            </w:pPr>
            <w:r w:rsidRPr="00F33B64">
              <w:rPr>
                <w:rFonts w:cstheme="minorHAnsi"/>
              </w:rPr>
              <w:t xml:space="preserve">6.4 </w:t>
            </w:r>
            <w:r>
              <w:rPr>
                <w:rFonts w:cstheme="minorHAnsi"/>
              </w:rPr>
              <w:t>±</w:t>
            </w:r>
            <w:r w:rsidRPr="00F33B64">
              <w:rPr>
                <w:rFonts w:cstheme="minorHAnsi"/>
              </w:rPr>
              <w:t xml:space="preserve"> 3.6</w:t>
            </w:r>
          </w:p>
        </w:tc>
        <w:tc>
          <w:tcPr>
            <w:tcW w:w="0" w:type="auto"/>
          </w:tcPr>
          <w:p w14:paraId="0ADD129D" w14:textId="543CDDE2" w:rsidR="003947F3" w:rsidRPr="00F33B64" w:rsidRDefault="007C198D" w:rsidP="00F33B64">
            <w:pPr>
              <w:pStyle w:val="NoSpacing"/>
              <w:rPr>
                <w:rFonts w:cstheme="minorHAnsi"/>
              </w:rPr>
            </w:pPr>
            <w:r w:rsidRPr="00F33B64">
              <w:rPr>
                <w:rFonts w:cstheme="minorHAnsi"/>
              </w:rPr>
              <w:t xml:space="preserve">5.7 </w:t>
            </w:r>
            <w:r>
              <w:rPr>
                <w:rFonts w:cstheme="minorHAnsi"/>
              </w:rPr>
              <w:t>±</w:t>
            </w:r>
            <w:r w:rsidRPr="00F33B64">
              <w:rPr>
                <w:rFonts w:cstheme="minorHAnsi"/>
              </w:rPr>
              <w:t xml:space="preserve"> 2.7</w:t>
            </w:r>
          </w:p>
        </w:tc>
        <w:tc>
          <w:tcPr>
            <w:tcW w:w="0" w:type="auto"/>
          </w:tcPr>
          <w:p w14:paraId="5E1FD6F1" w14:textId="6D38D121" w:rsidR="003947F3" w:rsidRPr="00F33B64" w:rsidRDefault="007C198D" w:rsidP="00F33B64">
            <w:pPr>
              <w:pStyle w:val="NoSpacing"/>
              <w:rPr>
                <w:rFonts w:cstheme="minorHAnsi"/>
              </w:rPr>
            </w:pPr>
            <w:r w:rsidRPr="00F33B64">
              <w:rPr>
                <w:rFonts w:cstheme="minorHAnsi"/>
              </w:rPr>
              <w:t xml:space="preserve">3.4 </w:t>
            </w:r>
            <w:r>
              <w:rPr>
                <w:rFonts w:cstheme="minorHAnsi"/>
              </w:rPr>
              <w:t>±</w:t>
            </w:r>
            <w:r w:rsidRPr="00F33B64">
              <w:rPr>
                <w:rFonts w:cstheme="minorHAnsi"/>
              </w:rPr>
              <w:t xml:space="preserve"> 1.3</w:t>
            </w:r>
          </w:p>
        </w:tc>
        <w:tc>
          <w:tcPr>
            <w:tcW w:w="0" w:type="auto"/>
          </w:tcPr>
          <w:p w14:paraId="0685C774" w14:textId="661A508D" w:rsidR="003947F3" w:rsidRPr="00F33B64" w:rsidRDefault="007C198D" w:rsidP="00F33B64">
            <w:pPr>
              <w:pStyle w:val="NoSpacing"/>
              <w:rPr>
                <w:rFonts w:cstheme="minorHAnsi"/>
              </w:rPr>
            </w:pPr>
            <w:r w:rsidRPr="00F33B64">
              <w:rPr>
                <w:rFonts w:cstheme="minorHAnsi"/>
              </w:rPr>
              <w:t xml:space="preserve">3.9 </w:t>
            </w:r>
            <w:r>
              <w:rPr>
                <w:rFonts w:cstheme="minorHAnsi"/>
              </w:rPr>
              <w:t>±</w:t>
            </w:r>
            <w:r w:rsidRPr="00F33B64">
              <w:rPr>
                <w:rFonts w:cstheme="minorHAnsi"/>
              </w:rPr>
              <w:t xml:space="preserve"> 3.6</w:t>
            </w:r>
          </w:p>
        </w:tc>
        <w:tc>
          <w:tcPr>
            <w:tcW w:w="0" w:type="auto"/>
          </w:tcPr>
          <w:p w14:paraId="55414FD5" w14:textId="40591888" w:rsidR="003947F3" w:rsidRPr="00F33B64" w:rsidRDefault="007C198D" w:rsidP="00F33B64">
            <w:pPr>
              <w:pStyle w:val="NoSpacing"/>
              <w:rPr>
                <w:rFonts w:cstheme="minorHAnsi"/>
              </w:rPr>
            </w:pPr>
            <w:r w:rsidRPr="00F33B64">
              <w:rPr>
                <w:rFonts w:cstheme="minorHAnsi"/>
              </w:rPr>
              <w:t>0.904 (0.0006)</w:t>
            </w:r>
          </w:p>
        </w:tc>
        <w:tc>
          <w:tcPr>
            <w:tcW w:w="0" w:type="auto"/>
          </w:tcPr>
          <w:p w14:paraId="45A07C0A" w14:textId="2653AE56" w:rsidR="003947F3" w:rsidRPr="00F33B64" w:rsidRDefault="007C198D" w:rsidP="00F33B64">
            <w:pPr>
              <w:pStyle w:val="NoSpacing"/>
              <w:rPr>
                <w:rFonts w:cstheme="minorHAnsi"/>
              </w:rPr>
            </w:pPr>
            <w:r w:rsidRPr="00F33B64">
              <w:rPr>
                <w:rFonts w:cstheme="minorHAnsi"/>
              </w:rPr>
              <w:t>0.013 (0.239)</w:t>
            </w:r>
          </w:p>
        </w:tc>
        <w:tc>
          <w:tcPr>
            <w:tcW w:w="0" w:type="auto"/>
          </w:tcPr>
          <w:p w14:paraId="38C3676C" w14:textId="5506DD3B" w:rsidR="003947F3" w:rsidRPr="00F33B64" w:rsidRDefault="007C198D" w:rsidP="00F33B64">
            <w:pPr>
              <w:pStyle w:val="NoSpacing"/>
              <w:rPr>
                <w:rFonts w:cstheme="minorHAnsi"/>
              </w:rPr>
            </w:pPr>
            <w:r w:rsidRPr="00F33B64">
              <w:rPr>
                <w:rFonts w:cstheme="minorHAnsi"/>
              </w:rPr>
              <w:t>0.459 (0.024)</w:t>
            </w:r>
          </w:p>
        </w:tc>
      </w:tr>
      <w:tr w:rsidR="00D52EE2" w:rsidRPr="00F33B64" w14:paraId="78F31E33" w14:textId="77777777" w:rsidTr="007C198D">
        <w:tc>
          <w:tcPr>
            <w:tcW w:w="3145" w:type="dxa"/>
          </w:tcPr>
          <w:p w14:paraId="6E974F08" w14:textId="70BFC940" w:rsidR="003947F3" w:rsidRPr="00F33B64" w:rsidRDefault="009D28D8" w:rsidP="00F33B64">
            <w:pPr>
              <w:pStyle w:val="NoSpacing"/>
              <w:rPr>
                <w:rFonts w:cstheme="minorHAnsi"/>
                <w:b/>
                <w:bCs/>
              </w:rPr>
            </w:pPr>
            <w:r w:rsidRPr="00F33B64">
              <w:rPr>
                <w:rFonts w:cstheme="minorHAnsi"/>
                <w:b/>
                <w:bCs/>
              </w:rPr>
              <w:t>Cognitive</w:t>
            </w:r>
            <w:r w:rsidRPr="00F33B64">
              <w:rPr>
                <w:rFonts w:cstheme="minorHAnsi"/>
                <w:b/>
                <w:bCs/>
              </w:rPr>
              <w:t xml:space="preserve"> </w:t>
            </w:r>
            <w:r w:rsidRPr="00F33B64">
              <w:rPr>
                <w:rFonts w:cstheme="minorHAnsi"/>
                <w:b/>
                <w:bCs/>
              </w:rPr>
              <w:t>function</w:t>
            </w:r>
          </w:p>
        </w:tc>
        <w:tc>
          <w:tcPr>
            <w:tcW w:w="1080" w:type="dxa"/>
          </w:tcPr>
          <w:p w14:paraId="3DBFE43C" w14:textId="77777777" w:rsidR="003947F3" w:rsidRPr="00F33B64" w:rsidRDefault="003947F3" w:rsidP="00F33B64">
            <w:pPr>
              <w:pStyle w:val="NoSpacing"/>
              <w:rPr>
                <w:rFonts w:cstheme="minorHAnsi"/>
                <w:b/>
                <w:bCs/>
              </w:rPr>
            </w:pPr>
          </w:p>
        </w:tc>
        <w:tc>
          <w:tcPr>
            <w:tcW w:w="899" w:type="dxa"/>
          </w:tcPr>
          <w:p w14:paraId="05A3B53B" w14:textId="77777777" w:rsidR="003947F3" w:rsidRPr="00F33B64" w:rsidRDefault="003947F3" w:rsidP="00F33B64">
            <w:pPr>
              <w:pStyle w:val="NoSpacing"/>
              <w:rPr>
                <w:rFonts w:cstheme="minorHAnsi"/>
                <w:b/>
                <w:bCs/>
              </w:rPr>
            </w:pPr>
          </w:p>
        </w:tc>
        <w:tc>
          <w:tcPr>
            <w:tcW w:w="898" w:type="dxa"/>
          </w:tcPr>
          <w:p w14:paraId="746C4D55" w14:textId="77777777" w:rsidR="003947F3" w:rsidRPr="00F33B64" w:rsidRDefault="003947F3" w:rsidP="00F33B64">
            <w:pPr>
              <w:pStyle w:val="NoSpacing"/>
              <w:rPr>
                <w:rFonts w:cstheme="minorHAnsi"/>
                <w:b/>
                <w:bCs/>
              </w:rPr>
            </w:pPr>
          </w:p>
        </w:tc>
        <w:tc>
          <w:tcPr>
            <w:tcW w:w="0" w:type="auto"/>
          </w:tcPr>
          <w:p w14:paraId="79DF98DB" w14:textId="77777777" w:rsidR="003947F3" w:rsidRPr="00F33B64" w:rsidRDefault="003947F3" w:rsidP="00F33B64">
            <w:pPr>
              <w:pStyle w:val="NoSpacing"/>
              <w:rPr>
                <w:rFonts w:cstheme="minorHAnsi"/>
                <w:b/>
                <w:bCs/>
              </w:rPr>
            </w:pPr>
          </w:p>
        </w:tc>
        <w:tc>
          <w:tcPr>
            <w:tcW w:w="0" w:type="auto"/>
          </w:tcPr>
          <w:p w14:paraId="11F807D1" w14:textId="77777777" w:rsidR="003947F3" w:rsidRPr="00F33B64" w:rsidRDefault="003947F3" w:rsidP="00F33B64">
            <w:pPr>
              <w:pStyle w:val="NoSpacing"/>
              <w:rPr>
                <w:rFonts w:cstheme="minorHAnsi"/>
                <w:b/>
                <w:bCs/>
              </w:rPr>
            </w:pPr>
          </w:p>
        </w:tc>
        <w:tc>
          <w:tcPr>
            <w:tcW w:w="0" w:type="auto"/>
          </w:tcPr>
          <w:p w14:paraId="735092F2" w14:textId="77777777" w:rsidR="003947F3" w:rsidRPr="00F33B64" w:rsidRDefault="003947F3" w:rsidP="00F33B64">
            <w:pPr>
              <w:pStyle w:val="NoSpacing"/>
              <w:rPr>
                <w:rFonts w:cstheme="minorHAnsi"/>
                <w:b/>
                <w:bCs/>
              </w:rPr>
            </w:pPr>
          </w:p>
        </w:tc>
        <w:tc>
          <w:tcPr>
            <w:tcW w:w="0" w:type="auto"/>
          </w:tcPr>
          <w:p w14:paraId="75224CB1" w14:textId="77777777" w:rsidR="003947F3" w:rsidRPr="00F33B64" w:rsidRDefault="003947F3" w:rsidP="00F33B64">
            <w:pPr>
              <w:pStyle w:val="NoSpacing"/>
              <w:rPr>
                <w:rFonts w:cstheme="minorHAnsi"/>
                <w:b/>
                <w:bCs/>
              </w:rPr>
            </w:pPr>
          </w:p>
        </w:tc>
        <w:tc>
          <w:tcPr>
            <w:tcW w:w="0" w:type="auto"/>
          </w:tcPr>
          <w:p w14:paraId="3FE50907" w14:textId="77777777" w:rsidR="003947F3" w:rsidRPr="00F33B64" w:rsidRDefault="003947F3" w:rsidP="00F33B64">
            <w:pPr>
              <w:pStyle w:val="NoSpacing"/>
              <w:rPr>
                <w:rFonts w:cstheme="minorHAnsi"/>
                <w:b/>
                <w:bCs/>
              </w:rPr>
            </w:pPr>
          </w:p>
        </w:tc>
        <w:tc>
          <w:tcPr>
            <w:tcW w:w="0" w:type="auto"/>
          </w:tcPr>
          <w:p w14:paraId="50982C95" w14:textId="77777777" w:rsidR="003947F3" w:rsidRPr="00F33B64" w:rsidRDefault="003947F3" w:rsidP="00F33B64">
            <w:pPr>
              <w:pStyle w:val="NoSpacing"/>
              <w:rPr>
                <w:rFonts w:cstheme="minorHAnsi"/>
                <w:b/>
                <w:bCs/>
              </w:rPr>
            </w:pPr>
          </w:p>
        </w:tc>
      </w:tr>
      <w:tr w:rsidR="00D52EE2" w:rsidRPr="00F33B64" w14:paraId="028779DD" w14:textId="77777777" w:rsidTr="007C198D">
        <w:tc>
          <w:tcPr>
            <w:tcW w:w="3145" w:type="dxa"/>
          </w:tcPr>
          <w:p w14:paraId="21DA9512" w14:textId="1FBDFFFC" w:rsidR="003947F3" w:rsidRPr="00F33B64" w:rsidRDefault="00F26750" w:rsidP="00F33B64">
            <w:pPr>
              <w:pStyle w:val="NoSpacing"/>
              <w:rPr>
                <w:rFonts w:cstheme="minorHAnsi"/>
              </w:rPr>
            </w:pPr>
            <w:r w:rsidRPr="00F33B64">
              <w:rPr>
                <w:rFonts w:cstheme="minorHAnsi"/>
              </w:rPr>
              <w:t xml:space="preserve">DRS-2 total </w:t>
            </w:r>
          </w:p>
        </w:tc>
        <w:tc>
          <w:tcPr>
            <w:tcW w:w="1080" w:type="dxa"/>
          </w:tcPr>
          <w:p w14:paraId="5995A7D5" w14:textId="57122CE7" w:rsidR="003947F3" w:rsidRPr="00F33B64" w:rsidRDefault="007C198D" w:rsidP="00F33B64">
            <w:pPr>
              <w:pStyle w:val="NoSpacing"/>
              <w:rPr>
                <w:rFonts w:cstheme="minorHAnsi"/>
              </w:rPr>
            </w:pPr>
            <w:r w:rsidRPr="00F33B64">
              <w:rPr>
                <w:rFonts w:cstheme="minorHAnsi"/>
              </w:rPr>
              <w:t xml:space="preserve">35.7 </w:t>
            </w:r>
            <w:r>
              <w:rPr>
                <w:rFonts w:cstheme="minorHAnsi"/>
              </w:rPr>
              <w:t>±</w:t>
            </w:r>
            <w:r w:rsidRPr="00F33B64">
              <w:rPr>
                <w:rFonts w:cstheme="minorHAnsi"/>
              </w:rPr>
              <w:t xml:space="preserve"> 1.3</w:t>
            </w:r>
          </w:p>
        </w:tc>
        <w:tc>
          <w:tcPr>
            <w:tcW w:w="899" w:type="dxa"/>
          </w:tcPr>
          <w:p w14:paraId="5D547D7B" w14:textId="45287140" w:rsidR="003947F3" w:rsidRPr="00F33B64" w:rsidRDefault="007C198D" w:rsidP="00F33B64">
            <w:pPr>
              <w:pStyle w:val="NoSpacing"/>
              <w:rPr>
                <w:rFonts w:cstheme="minorHAnsi"/>
              </w:rPr>
            </w:pPr>
            <w:r w:rsidRPr="00F33B64">
              <w:rPr>
                <w:rFonts w:cstheme="minorHAnsi"/>
              </w:rPr>
              <w:t xml:space="preserve">35.9 </w:t>
            </w:r>
            <w:r>
              <w:rPr>
                <w:rFonts w:cstheme="minorHAnsi"/>
              </w:rPr>
              <w:t>±</w:t>
            </w:r>
            <w:r w:rsidRPr="00F33B64">
              <w:rPr>
                <w:rFonts w:cstheme="minorHAnsi"/>
              </w:rPr>
              <w:t xml:space="preserve"> 1.2</w:t>
            </w:r>
          </w:p>
        </w:tc>
        <w:tc>
          <w:tcPr>
            <w:tcW w:w="898" w:type="dxa"/>
          </w:tcPr>
          <w:p w14:paraId="0D5EAF21" w14:textId="7BDBA074" w:rsidR="003947F3" w:rsidRPr="00F33B64" w:rsidRDefault="007C198D" w:rsidP="00F33B64">
            <w:pPr>
              <w:pStyle w:val="NoSpacing"/>
              <w:rPr>
                <w:rFonts w:cstheme="minorHAnsi"/>
              </w:rPr>
            </w:pPr>
            <w:r w:rsidRPr="00F33B64">
              <w:rPr>
                <w:rFonts w:cstheme="minorHAnsi"/>
              </w:rPr>
              <w:t xml:space="preserve">35.3 </w:t>
            </w:r>
            <w:r>
              <w:rPr>
                <w:rFonts w:cstheme="minorHAnsi"/>
              </w:rPr>
              <w:t>±</w:t>
            </w:r>
            <w:r w:rsidRPr="00F33B64">
              <w:rPr>
                <w:rFonts w:cstheme="minorHAnsi"/>
              </w:rPr>
              <w:t xml:space="preserve"> 1.7</w:t>
            </w:r>
          </w:p>
        </w:tc>
        <w:tc>
          <w:tcPr>
            <w:tcW w:w="0" w:type="auto"/>
          </w:tcPr>
          <w:p w14:paraId="0471377E" w14:textId="3EB813A6" w:rsidR="003947F3" w:rsidRPr="00F33B64" w:rsidRDefault="007C198D" w:rsidP="00F33B64">
            <w:pPr>
              <w:pStyle w:val="NoSpacing"/>
              <w:rPr>
                <w:rFonts w:cstheme="minorHAnsi"/>
              </w:rPr>
            </w:pPr>
            <w:r w:rsidRPr="00F33B64">
              <w:rPr>
                <w:rFonts w:cstheme="minorHAnsi"/>
              </w:rPr>
              <w:t xml:space="preserve">35.8 </w:t>
            </w:r>
            <w:r>
              <w:rPr>
                <w:rFonts w:cstheme="minorHAnsi"/>
              </w:rPr>
              <w:t>±</w:t>
            </w:r>
            <w:r w:rsidRPr="00F33B64">
              <w:rPr>
                <w:rFonts w:cstheme="minorHAnsi"/>
              </w:rPr>
              <w:t xml:space="preserve"> 1.0</w:t>
            </w:r>
          </w:p>
        </w:tc>
        <w:tc>
          <w:tcPr>
            <w:tcW w:w="0" w:type="auto"/>
          </w:tcPr>
          <w:p w14:paraId="066AA096" w14:textId="6373BBA5" w:rsidR="003947F3" w:rsidRPr="00F33B64" w:rsidRDefault="007C198D" w:rsidP="00F33B64">
            <w:pPr>
              <w:pStyle w:val="NoSpacing"/>
              <w:rPr>
                <w:rFonts w:cstheme="minorHAnsi"/>
              </w:rPr>
            </w:pPr>
            <w:r w:rsidRPr="00F33B64">
              <w:rPr>
                <w:rFonts w:cstheme="minorHAnsi"/>
              </w:rPr>
              <w:t xml:space="preserve">36.2 </w:t>
            </w:r>
            <w:r>
              <w:rPr>
                <w:rFonts w:cstheme="minorHAnsi"/>
              </w:rPr>
              <w:t>±</w:t>
            </w:r>
            <w:r w:rsidRPr="00F33B64">
              <w:rPr>
                <w:rFonts w:cstheme="minorHAnsi"/>
              </w:rPr>
              <w:t xml:space="preserve"> 0.8</w:t>
            </w:r>
          </w:p>
        </w:tc>
        <w:tc>
          <w:tcPr>
            <w:tcW w:w="0" w:type="auto"/>
          </w:tcPr>
          <w:p w14:paraId="439F5CBB" w14:textId="3E8A2ADA" w:rsidR="003947F3" w:rsidRPr="00F33B64" w:rsidRDefault="007C198D" w:rsidP="00F33B64">
            <w:pPr>
              <w:pStyle w:val="NoSpacing"/>
              <w:rPr>
                <w:rFonts w:cstheme="minorHAnsi"/>
              </w:rPr>
            </w:pPr>
            <w:r w:rsidRPr="00F33B64">
              <w:rPr>
                <w:rFonts w:cstheme="minorHAnsi"/>
              </w:rPr>
              <w:t xml:space="preserve">36.0 </w:t>
            </w:r>
            <w:r>
              <w:rPr>
                <w:rFonts w:cstheme="minorHAnsi"/>
              </w:rPr>
              <w:t>±</w:t>
            </w:r>
            <w:r w:rsidRPr="00F33B64">
              <w:rPr>
                <w:rFonts w:cstheme="minorHAnsi"/>
              </w:rPr>
              <w:t xml:space="preserve"> 1.4</w:t>
            </w:r>
          </w:p>
        </w:tc>
        <w:tc>
          <w:tcPr>
            <w:tcW w:w="0" w:type="auto"/>
          </w:tcPr>
          <w:p w14:paraId="53B53B4A" w14:textId="0EE2AEF1" w:rsidR="003947F3" w:rsidRPr="00F33B64" w:rsidRDefault="007C198D" w:rsidP="00F33B64">
            <w:pPr>
              <w:pStyle w:val="NoSpacing"/>
              <w:rPr>
                <w:rFonts w:cstheme="minorHAnsi"/>
              </w:rPr>
            </w:pPr>
            <w:r w:rsidRPr="00F33B64">
              <w:rPr>
                <w:rFonts w:cstheme="minorHAnsi"/>
              </w:rPr>
              <w:t>0.583 (0.012)</w:t>
            </w:r>
          </w:p>
        </w:tc>
        <w:tc>
          <w:tcPr>
            <w:tcW w:w="0" w:type="auto"/>
          </w:tcPr>
          <w:p w14:paraId="6AB0590D" w14:textId="5D9A4B11" w:rsidR="003947F3" w:rsidRPr="00F33B64" w:rsidRDefault="007C198D" w:rsidP="00F33B64">
            <w:pPr>
              <w:pStyle w:val="NoSpacing"/>
              <w:rPr>
                <w:rFonts w:cstheme="minorHAnsi"/>
              </w:rPr>
            </w:pPr>
            <w:r w:rsidRPr="00F33B64">
              <w:rPr>
                <w:rFonts w:cstheme="minorHAnsi"/>
              </w:rPr>
              <w:t>0.171 (0.071)</w:t>
            </w:r>
          </w:p>
        </w:tc>
        <w:tc>
          <w:tcPr>
            <w:tcW w:w="0" w:type="auto"/>
          </w:tcPr>
          <w:p w14:paraId="0A553964" w14:textId="31C7B4C1" w:rsidR="003947F3" w:rsidRPr="00F33B64" w:rsidRDefault="007C198D" w:rsidP="00F33B64">
            <w:pPr>
              <w:pStyle w:val="NoSpacing"/>
              <w:rPr>
                <w:rFonts w:cstheme="minorHAnsi"/>
              </w:rPr>
            </w:pPr>
            <w:r w:rsidRPr="00F33B64">
              <w:rPr>
                <w:rFonts w:cstheme="minorHAnsi"/>
              </w:rPr>
              <w:t>0.327 (0.037)</w:t>
            </w:r>
          </w:p>
        </w:tc>
      </w:tr>
      <w:tr w:rsidR="00D52EE2" w:rsidRPr="00F33B64" w14:paraId="0383E1A6" w14:textId="77777777" w:rsidTr="007C198D">
        <w:tc>
          <w:tcPr>
            <w:tcW w:w="3145" w:type="dxa"/>
          </w:tcPr>
          <w:p w14:paraId="225AC02B" w14:textId="761EEB9D" w:rsidR="003947F3" w:rsidRPr="00F33B64" w:rsidRDefault="00F26750" w:rsidP="00F33B64">
            <w:pPr>
              <w:pStyle w:val="NoSpacing"/>
              <w:rPr>
                <w:rFonts w:cstheme="minorHAnsi"/>
              </w:rPr>
            </w:pPr>
            <w:r w:rsidRPr="00F33B64">
              <w:rPr>
                <w:rFonts w:cstheme="minorHAnsi"/>
              </w:rPr>
              <w:t xml:space="preserve">RAVLT trial 1–5 </w:t>
            </w:r>
          </w:p>
        </w:tc>
        <w:tc>
          <w:tcPr>
            <w:tcW w:w="1080" w:type="dxa"/>
          </w:tcPr>
          <w:p w14:paraId="0E8B03E6" w14:textId="25D3E6C2" w:rsidR="003947F3" w:rsidRPr="00F33B64" w:rsidRDefault="007C198D" w:rsidP="00F33B64">
            <w:pPr>
              <w:pStyle w:val="NoSpacing"/>
              <w:rPr>
                <w:rFonts w:cstheme="minorHAnsi"/>
              </w:rPr>
            </w:pPr>
            <w:r w:rsidRPr="00F33B64">
              <w:rPr>
                <w:rFonts w:cstheme="minorHAnsi"/>
              </w:rPr>
              <w:t xml:space="preserve">43.4 </w:t>
            </w:r>
            <w:r>
              <w:rPr>
                <w:rFonts w:cstheme="minorHAnsi"/>
              </w:rPr>
              <w:t>±</w:t>
            </w:r>
            <w:r w:rsidRPr="00F33B64">
              <w:rPr>
                <w:rFonts w:cstheme="minorHAnsi"/>
              </w:rPr>
              <w:t xml:space="preserve"> 13.7</w:t>
            </w:r>
          </w:p>
        </w:tc>
        <w:tc>
          <w:tcPr>
            <w:tcW w:w="899" w:type="dxa"/>
          </w:tcPr>
          <w:p w14:paraId="0621439C" w14:textId="5742DB1C" w:rsidR="003947F3" w:rsidRPr="00F33B64" w:rsidRDefault="007C198D" w:rsidP="00F33B64">
            <w:pPr>
              <w:pStyle w:val="NoSpacing"/>
              <w:rPr>
                <w:rFonts w:cstheme="minorHAnsi"/>
              </w:rPr>
            </w:pPr>
            <w:r w:rsidRPr="00F33B64">
              <w:rPr>
                <w:rFonts w:cstheme="minorHAnsi"/>
              </w:rPr>
              <w:t xml:space="preserve">45.4 </w:t>
            </w:r>
            <w:r>
              <w:rPr>
                <w:rFonts w:cstheme="minorHAnsi"/>
              </w:rPr>
              <w:t>±</w:t>
            </w:r>
            <w:r w:rsidRPr="00F33B64">
              <w:rPr>
                <w:rFonts w:cstheme="minorHAnsi"/>
              </w:rPr>
              <w:t xml:space="preserve"> 14.6</w:t>
            </w:r>
          </w:p>
        </w:tc>
        <w:tc>
          <w:tcPr>
            <w:tcW w:w="898" w:type="dxa"/>
          </w:tcPr>
          <w:p w14:paraId="452B5BDD" w14:textId="17AEBF4E" w:rsidR="003947F3" w:rsidRPr="00F33B64" w:rsidRDefault="007C198D" w:rsidP="00F33B64">
            <w:pPr>
              <w:pStyle w:val="NoSpacing"/>
              <w:rPr>
                <w:rFonts w:cstheme="minorHAnsi"/>
              </w:rPr>
            </w:pPr>
            <w:r w:rsidRPr="00F33B64">
              <w:rPr>
                <w:rFonts w:cstheme="minorHAnsi"/>
              </w:rPr>
              <w:t xml:space="preserve">37.2 </w:t>
            </w:r>
            <w:r>
              <w:rPr>
                <w:rFonts w:cstheme="minorHAnsi"/>
              </w:rPr>
              <w:t>±</w:t>
            </w:r>
            <w:r w:rsidRPr="00F33B64">
              <w:rPr>
                <w:rFonts w:cstheme="minorHAnsi"/>
              </w:rPr>
              <w:t xml:space="preserve"> 13.7</w:t>
            </w:r>
          </w:p>
        </w:tc>
        <w:tc>
          <w:tcPr>
            <w:tcW w:w="0" w:type="auto"/>
          </w:tcPr>
          <w:p w14:paraId="2B6FFCDC" w14:textId="580BA048" w:rsidR="003947F3" w:rsidRPr="00F33B64" w:rsidRDefault="007C198D" w:rsidP="00F33B64">
            <w:pPr>
              <w:pStyle w:val="NoSpacing"/>
              <w:rPr>
                <w:rFonts w:cstheme="minorHAnsi"/>
              </w:rPr>
            </w:pPr>
            <w:r w:rsidRPr="00F33B64">
              <w:rPr>
                <w:rFonts w:cstheme="minorHAnsi"/>
              </w:rPr>
              <w:t xml:space="preserve">39.6 </w:t>
            </w:r>
            <w:r>
              <w:rPr>
                <w:rFonts w:cstheme="minorHAnsi"/>
              </w:rPr>
              <w:t>±</w:t>
            </w:r>
            <w:r w:rsidRPr="00F33B64">
              <w:rPr>
                <w:rFonts w:cstheme="minorHAnsi"/>
              </w:rPr>
              <w:t xml:space="preserve"> 15.8</w:t>
            </w:r>
          </w:p>
        </w:tc>
        <w:tc>
          <w:tcPr>
            <w:tcW w:w="0" w:type="auto"/>
          </w:tcPr>
          <w:p w14:paraId="02445A05" w14:textId="551DE7F5" w:rsidR="003947F3" w:rsidRPr="00F33B64" w:rsidRDefault="007C198D" w:rsidP="00F33B64">
            <w:pPr>
              <w:pStyle w:val="NoSpacing"/>
              <w:rPr>
                <w:rFonts w:cstheme="minorHAnsi"/>
              </w:rPr>
            </w:pPr>
            <w:r w:rsidRPr="00F33B64">
              <w:rPr>
                <w:rFonts w:cstheme="minorHAnsi"/>
              </w:rPr>
              <w:t xml:space="preserve">50.1 </w:t>
            </w:r>
            <w:r>
              <w:rPr>
                <w:rFonts w:cstheme="minorHAnsi"/>
              </w:rPr>
              <w:t>±</w:t>
            </w:r>
            <w:r w:rsidRPr="00F33B64">
              <w:rPr>
                <w:rFonts w:cstheme="minorHAnsi"/>
              </w:rPr>
              <w:t xml:space="preserve"> 10.3</w:t>
            </w:r>
          </w:p>
        </w:tc>
        <w:tc>
          <w:tcPr>
            <w:tcW w:w="0" w:type="auto"/>
          </w:tcPr>
          <w:p w14:paraId="133E19FB" w14:textId="186CAADA" w:rsidR="003947F3" w:rsidRPr="00F33B64" w:rsidRDefault="007C198D" w:rsidP="00F33B64">
            <w:pPr>
              <w:pStyle w:val="NoSpacing"/>
              <w:rPr>
                <w:rFonts w:cstheme="minorHAnsi"/>
              </w:rPr>
            </w:pPr>
            <w:r w:rsidRPr="00F33B64">
              <w:rPr>
                <w:rFonts w:cstheme="minorHAnsi"/>
              </w:rPr>
              <w:t xml:space="preserve">51.7 </w:t>
            </w:r>
            <w:r>
              <w:rPr>
                <w:rFonts w:cstheme="minorHAnsi"/>
              </w:rPr>
              <w:t>±</w:t>
            </w:r>
            <w:r w:rsidRPr="00F33B64">
              <w:rPr>
                <w:rFonts w:cstheme="minorHAnsi"/>
              </w:rPr>
              <w:t xml:space="preserve"> 10.4</w:t>
            </w:r>
          </w:p>
        </w:tc>
        <w:tc>
          <w:tcPr>
            <w:tcW w:w="0" w:type="auto"/>
          </w:tcPr>
          <w:p w14:paraId="50777373" w14:textId="645993A7" w:rsidR="003947F3" w:rsidRPr="00F33B64" w:rsidRDefault="007C198D" w:rsidP="00F33B64">
            <w:pPr>
              <w:pStyle w:val="NoSpacing"/>
              <w:rPr>
                <w:rFonts w:cstheme="minorHAnsi"/>
              </w:rPr>
            </w:pPr>
            <w:r w:rsidRPr="00F33B64">
              <w:rPr>
                <w:rFonts w:cstheme="minorHAnsi"/>
              </w:rPr>
              <w:t>0.221 (0.059)</w:t>
            </w:r>
          </w:p>
        </w:tc>
        <w:tc>
          <w:tcPr>
            <w:tcW w:w="0" w:type="auto"/>
          </w:tcPr>
          <w:p w14:paraId="1194D547" w14:textId="6997681A" w:rsidR="003947F3" w:rsidRPr="00F33B64" w:rsidRDefault="007C198D" w:rsidP="00F33B64">
            <w:pPr>
              <w:pStyle w:val="NoSpacing"/>
              <w:rPr>
                <w:rFonts w:cstheme="minorHAnsi"/>
              </w:rPr>
            </w:pPr>
            <w:r w:rsidRPr="00F33B64">
              <w:rPr>
                <w:rFonts w:cstheme="minorHAnsi"/>
              </w:rPr>
              <w:t>0.013 (0.221)</w:t>
            </w:r>
          </w:p>
        </w:tc>
        <w:tc>
          <w:tcPr>
            <w:tcW w:w="0" w:type="auto"/>
          </w:tcPr>
          <w:p w14:paraId="15C6B7BF" w14:textId="15E97218" w:rsidR="003947F3" w:rsidRPr="00F33B64" w:rsidRDefault="007C198D" w:rsidP="00F33B64">
            <w:pPr>
              <w:pStyle w:val="NoSpacing"/>
              <w:rPr>
                <w:rFonts w:cstheme="minorHAnsi"/>
              </w:rPr>
            </w:pPr>
            <w:r w:rsidRPr="00F33B64">
              <w:rPr>
                <w:rFonts w:cstheme="minorHAnsi"/>
              </w:rPr>
              <w:t>0.803 (0.003)</w:t>
            </w:r>
          </w:p>
        </w:tc>
      </w:tr>
      <w:tr w:rsidR="00D52EE2" w:rsidRPr="00F33B64" w14:paraId="1B75ECDA" w14:textId="77777777" w:rsidTr="007C198D">
        <w:tc>
          <w:tcPr>
            <w:tcW w:w="3145" w:type="dxa"/>
          </w:tcPr>
          <w:p w14:paraId="0EAB270F" w14:textId="16CA0456" w:rsidR="00F26750" w:rsidRPr="00F33B64" w:rsidRDefault="00F26750" w:rsidP="00F33B64">
            <w:pPr>
              <w:pStyle w:val="NoSpacing"/>
              <w:rPr>
                <w:rFonts w:cstheme="minorHAnsi"/>
              </w:rPr>
            </w:pPr>
            <w:r w:rsidRPr="00F33B64">
              <w:rPr>
                <w:rFonts w:cstheme="minorHAnsi"/>
              </w:rPr>
              <w:t>RAVLT immediate</w:t>
            </w:r>
            <w:r w:rsidR="007C198D">
              <w:rPr>
                <w:rFonts w:cstheme="minorHAnsi"/>
              </w:rPr>
              <w:t xml:space="preserve"> </w:t>
            </w:r>
            <w:r w:rsidRPr="00F33B64">
              <w:rPr>
                <w:rFonts w:cstheme="minorHAnsi"/>
              </w:rPr>
              <w:t>recall</w:t>
            </w:r>
          </w:p>
          <w:p w14:paraId="757446D0" w14:textId="4F5C5446" w:rsidR="003947F3" w:rsidRPr="00F33B64" w:rsidRDefault="003947F3" w:rsidP="00F33B64">
            <w:pPr>
              <w:pStyle w:val="NoSpacing"/>
              <w:rPr>
                <w:rFonts w:cstheme="minorHAnsi"/>
              </w:rPr>
            </w:pPr>
          </w:p>
        </w:tc>
        <w:tc>
          <w:tcPr>
            <w:tcW w:w="1080" w:type="dxa"/>
          </w:tcPr>
          <w:p w14:paraId="08CD8B88" w14:textId="2419D2CE" w:rsidR="003947F3" w:rsidRPr="00F33B64" w:rsidRDefault="007C198D" w:rsidP="00F33B64">
            <w:pPr>
              <w:pStyle w:val="NoSpacing"/>
              <w:rPr>
                <w:rFonts w:cstheme="minorHAnsi"/>
              </w:rPr>
            </w:pPr>
            <w:r w:rsidRPr="00F33B64">
              <w:rPr>
                <w:rFonts w:cstheme="minorHAnsi"/>
              </w:rPr>
              <w:t xml:space="preserve">8.6 </w:t>
            </w:r>
            <w:r>
              <w:rPr>
                <w:rFonts w:cstheme="minorHAnsi"/>
              </w:rPr>
              <w:t>±</w:t>
            </w:r>
            <w:r w:rsidRPr="00F33B64">
              <w:rPr>
                <w:rFonts w:cstheme="minorHAnsi"/>
              </w:rPr>
              <w:t xml:space="preserve"> 4.3</w:t>
            </w:r>
          </w:p>
        </w:tc>
        <w:tc>
          <w:tcPr>
            <w:tcW w:w="899" w:type="dxa"/>
          </w:tcPr>
          <w:p w14:paraId="506E9E85" w14:textId="0F00750E" w:rsidR="003947F3" w:rsidRPr="00F33B64" w:rsidRDefault="007C198D" w:rsidP="00F33B64">
            <w:pPr>
              <w:pStyle w:val="NoSpacing"/>
              <w:rPr>
                <w:rFonts w:cstheme="minorHAnsi"/>
              </w:rPr>
            </w:pPr>
            <w:r w:rsidRPr="00F33B64">
              <w:rPr>
                <w:rFonts w:cstheme="minorHAnsi"/>
              </w:rPr>
              <w:t xml:space="preserve">9.1 </w:t>
            </w:r>
            <w:r>
              <w:rPr>
                <w:rFonts w:cstheme="minorHAnsi"/>
              </w:rPr>
              <w:t>±</w:t>
            </w:r>
            <w:r w:rsidRPr="00F33B64">
              <w:rPr>
                <w:rFonts w:cstheme="minorHAnsi"/>
              </w:rPr>
              <w:t xml:space="preserve"> 4.2</w:t>
            </w:r>
          </w:p>
        </w:tc>
        <w:tc>
          <w:tcPr>
            <w:tcW w:w="898" w:type="dxa"/>
          </w:tcPr>
          <w:p w14:paraId="3EC44469" w14:textId="20037F30" w:rsidR="003947F3" w:rsidRPr="00F33B64" w:rsidRDefault="007C198D" w:rsidP="00F33B64">
            <w:pPr>
              <w:pStyle w:val="NoSpacing"/>
              <w:rPr>
                <w:rFonts w:cstheme="minorHAnsi"/>
              </w:rPr>
            </w:pPr>
            <w:r w:rsidRPr="00F33B64">
              <w:rPr>
                <w:rFonts w:cstheme="minorHAnsi"/>
              </w:rPr>
              <w:t xml:space="preserve">6.5 </w:t>
            </w:r>
            <w:r>
              <w:rPr>
                <w:rFonts w:cstheme="minorHAnsi"/>
              </w:rPr>
              <w:t>±</w:t>
            </w:r>
            <w:r w:rsidRPr="00F33B64">
              <w:rPr>
                <w:rFonts w:cstheme="minorHAnsi"/>
              </w:rPr>
              <w:t xml:space="preserve"> 4.1</w:t>
            </w:r>
          </w:p>
        </w:tc>
        <w:tc>
          <w:tcPr>
            <w:tcW w:w="0" w:type="auto"/>
          </w:tcPr>
          <w:p w14:paraId="0A813FCC" w14:textId="61EED1C0" w:rsidR="003947F3" w:rsidRPr="00F33B64" w:rsidRDefault="007C198D" w:rsidP="00F33B64">
            <w:pPr>
              <w:pStyle w:val="NoSpacing"/>
              <w:rPr>
                <w:rFonts w:cstheme="minorHAnsi"/>
              </w:rPr>
            </w:pPr>
            <w:r w:rsidRPr="00F33B64">
              <w:rPr>
                <w:rFonts w:cstheme="minorHAnsi"/>
              </w:rPr>
              <w:t xml:space="preserve">7.2 </w:t>
            </w:r>
            <w:r>
              <w:rPr>
                <w:rFonts w:cstheme="minorHAnsi"/>
              </w:rPr>
              <w:t>±</w:t>
            </w:r>
            <w:r w:rsidRPr="00F33B64">
              <w:rPr>
                <w:rFonts w:cstheme="minorHAnsi"/>
              </w:rPr>
              <w:t xml:space="preserve"> 4.7</w:t>
            </w:r>
          </w:p>
        </w:tc>
        <w:tc>
          <w:tcPr>
            <w:tcW w:w="0" w:type="auto"/>
          </w:tcPr>
          <w:p w14:paraId="1B792BCF" w14:textId="0CF9CD45" w:rsidR="003947F3" w:rsidRPr="00F33B64" w:rsidRDefault="007C198D" w:rsidP="00F33B64">
            <w:pPr>
              <w:pStyle w:val="NoSpacing"/>
              <w:rPr>
                <w:rFonts w:cstheme="minorHAnsi"/>
              </w:rPr>
            </w:pPr>
            <w:r w:rsidRPr="00F33B64">
              <w:rPr>
                <w:rFonts w:cstheme="minorHAnsi"/>
              </w:rPr>
              <w:t xml:space="preserve">10.9 </w:t>
            </w:r>
            <w:r>
              <w:rPr>
                <w:rFonts w:cstheme="minorHAnsi"/>
              </w:rPr>
              <w:t>±</w:t>
            </w:r>
            <w:r w:rsidRPr="00F33B64">
              <w:rPr>
                <w:rFonts w:cstheme="minorHAnsi"/>
              </w:rPr>
              <w:t xml:space="preserve"> 3.5</w:t>
            </w:r>
          </w:p>
        </w:tc>
        <w:tc>
          <w:tcPr>
            <w:tcW w:w="0" w:type="auto"/>
          </w:tcPr>
          <w:p w14:paraId="12926E9B" w14:textId="6FCCE6A9" w:rsidR="003947F3" w:rsidRPr="00F33B64" w:rsidRDefault="007C198D" w:rsidP="00F33B64">
            <w:pPr>
              <w:pStyle w:val="NoSpacing"/>
              <w:rPr>
                <w:rFonts w:cstheme="minorHAnsi"/>
              </w:rPr>
            </w:pPr>
            <w:r w:rsidRPr="00F33B64">
              <w:rPr>
                <w:rFonts w:cstheme="minorHAnsi"/>
              </w:rPr>
              <w:t xml:space="preserve">11.1 </w:t>
            </w:r>
            <w:r>
              <w:rPr>
                <w:rFonts w:cstheme="minorHAnsi"/>
              </w:rPr>
              <w:t>±</w:t>
            </w:r>
            <w:r w:rsidRPr="00F33B64">
              <w:rPr>
                <w:rFonts w:cstheme="minorHAnsi"/>
              </w:rPr>
              <w:t xml:space="preserve"> 2.3</w:t>
            </w:r>
          </w:p>
        </w:tc>
        <w:tc>
          <w:tcPr>
            <w:tcW w:w="0" w:type="auto"/>
          </w:tcPr>
          <w:p w14:paraId="16A9F1F3" w14:textId="5081ED56" w:rsidR="003947F3" w:rsidRPr="00F33B64" w:rsidRDefault="007C198D" w:rsidP="00F33B64">
            <w:pPr>
              <w:pStyle w:val="NoSpacing"/>
              <w:rPr>
                <w:rFonts w:cstheme="minorHAnsi"/>
              </w:rPr>
            </w:pPr>
            <w:r w:rsidRPr="00F33B64">
              <w:rPr>
                <w:rFonts w:cstheme="minorHAnsi"/>
              </w:rPr>
              <w:t>0.234 (0.056)</w:t>
            </w:r>
          </w:p>
        </w:tc>
        <w:tc>
          <w:tcPr>
            <w:tcW w:w="0" w:type="auto"/>
          </w:tcPr>
          <w:p w14:paraId="10B3AF41" w14:textId="2A30A0BF" w:rsidR="003947F3" w:rsidRPr="00F33B64" w:rsidRDefault="007C198D" w:rsidP="00F33B64">
            <w:pPr>
              <w:pStyle w:val="NoSpacing"/>
              <w:rPr>
                <w:rFonts w:cstheme="minorHAnsi"/>
              </w:rPr>
            </w:pPr>
            <w:r w:rsidRPr="00F33B64">
              <w:rPr>
                <w:rFonts w:cstheme="minorHAnsi"/>
              </w:rPr>
              <w:t>0.008 (0.251)</w:t>
            </w:r>
          </w:p>
        </w:tc>
        <w:tc>
          <w:tcPr>
            <w:tcW w:w="0" w:type="auto"/>
          </w:tcPr>
          <w:p w14:paraId="5856F806" w14:textId="583D52C0" w:rsidR="003947F3" w:rsidRPr="00F33B64" w:rsidRDefault="007C198D" w:rsidP="00F33B64">
            <w:pPr>
              <w:pStyle w:val="NoSpacing"/>
              <w:rPr>
                <w:rFonts w:cstheme="minorHAnsi"/>
              </w:rPr>
            </w:pPr>
            <w:r w:rsidRPr="00F33B64">
              <w:rPr>
                <w:rFonts w:cstheme="minorHAnsi"/>
              </w:rPr>
              <w:t>0.538 (0.015)</w:t>
            </w:r>
          </w:p>
        </w:tc>
      </w:tr>
      <w:tr w:rsidR="00D52EE2" w:rsidRPr="00F33B64" w14:paraId="79404331" w14:textId="77777777" w:rsidTr="007C198D">
        <w:tc>
          <w:tcPr>
            <w:tcW w:w="3145" w:type="dxa"/>
          </w:tcPr>
          <w:p w14:paraId="160C258A" w14:textId="05AC8ABB" w:rsidR="003947F3" w:rsidRPr="00F33B64" w:rsidRDefault="00F26750" w:rsidP="00F33B64">
            <w:pPr>
              <w:pStyle w:val="NoSpacing"/>
              <w:rPr>
                <w:rFonts w:cstheme="minorHAnsi"/>
              </w:rPr>
            </w:pPr>
            <w:r w:rsidRPr="00F33B64">
              <w:rPr>
                <w:rFonts w:cstheme="minorHAnsi"/>
              </w:rPr>
              <w:t>RAVLT delayed</w:t>
            </w:r>
            <w:r w:rsidR="007C198D">
              <w:rPr>
                <w:rFonts w:cstheme="minorHAnsi"/>
              </w:rPr>
              <w:t xml:space="preserve"> </w:t>
            </w:r>
            <w:r w:rsidRPr="00F33B64">
              <w:rPr>
                <w:rFonts w:cstheme="minorHAnsi"/>
              </w:rPr>
              <w:t>recall</w:t>
            </w:r>
          </w:p>
        </w:tc>
        <w:tc>
          <w:tcPr>
            <w:tcW w:w="1080" w:type="dxa"/>
          </w:tcPr>
          <w:p w14:paraId="6B08D767" w14:textId="5273A233" w:rsidR="003947F3" w:rsidRPr="00F33B64" w:rsidRDefault="007C198D" w:rsidP="00F33B64">
            <w:pPr>
              <w:pStyle w:val="NoSpacing"/>
              <w:rPr>
                <w:rFonts w:cstheme="minorHAnsi"/>
              </w:rPr>
            </w:pPr>
            <w:r w:rsidRPr="00F33B64">
              <w:rPr>
                <w:rFonts w:cstheme="minorHAnsi"/>
              </w:rPr>
              <w:t xml:space="preserve">8.3 </w:t>
            </w:r>
            <w:r>
              <w:rPr>
                <w:rFonts w:cstheme="minorHAnsi"/>
              </w:rPr>
              <w:t>±</w:t>
            </w:r>
            <w:r w:rsidRPr="00F33B64">
              <w:rPr>
                <w:rFonts w:cstheme="minorHAnsi"/>
              </w:rPr>
              <w:t xml:space="preserve"> 4.6</w:t>
            </w:r>
          </w:p>
        </w:tc>
        <w:tc>
          <w:tcPr>
            <w:tcW w:w="899" w:type="dxa"/>
          </w:tcPr>
          <w:p w14:paraId="4D3C7411" w14:textId="3BF53754" w:rsidR="003947F3" w:rsidRPr="00F33B64" w:rsidRDefault="007C198D" w:rsidP="00F33B64">
            <w:pPr>
              <w:pStyle w:val="NoSpacing"/>
              <w:rPr>
                <w:rFonts w:cstheme="minorHAnsi"/>
              </w:rPr>
            </w:pPr>
            <w:r w:rsidRPr="00F33B64">
              <w:rPr>
                <w:rFonts w:cstheme="minorHAnsi"/>
              </w:rPr>
              <w:t xml:space="preserve">8.8 </w:t>
            </w:r>
            <w:r>
              <w:rPr>
                <w:rFonts w:cstheme="minorHAnsi"/>
              </w:rPr>
              <w:t>±</w:t>
            </w:r>
            <w:r w:rsidRPr="00F33B64">
              <w:rPr>
                <w:rFonts w:cstheme="minorHAnsi"/>
              </w:rPr>
              <w:t xml:space="preserve"> 4.5</w:t>
            </w:r>
          </w:p>
        </w:tc>
        <w:tc>
          <w:tcPr>
            <w:tcW w:w="898" w:type="dxa"/>
          </w:tcPr>
          <w:p w14:paraId="233D8E83" w14:textId="4F4C0CD3" w:rsidR="003947F3" w:rsidRPr="00F33B64" w:rsidRDefault="007C198D" w:rsidP="00F33B64">
            <w:pPr>
              <w:pStyle w:val="NoSpacing"/>
              <w:rPr>
                <w:rFonts w:cstheme="minorHAnsi"/>
              </w:rPr>
            </w:pPr>
            <w:r w:rsidRPr="00F33B64">
              <w:rPr>
                <w:rFonts w:cstheme="minorHAnsi"/>
              </w:rPr>
              <w:t xml:space="preserve">6.3 </w:t>
            </w:r>
            <w:r>
              <w:rPr>
                <w:rFonts w:cstheme="minorHAnsi"/>
              </w:rPr>
              <w:t>±</w:t>
            </w:r>
            <w:r w:rsidRPr="00F33B64">
              <w:rPr>
                <w:rFonts w:cstheme="minorHAnsi"/>
              </w:rPr>
              <w:t xml:space="preserve"> 4.5</w:t>
            </w:r>
          </w:p>
        </w:tc>
        <w:tc>
          <w:tcPr>
            <w:tcW w:w="0" w:type="auto"/>
          </w:tcPr>
          <w:p w14:paraId="0B91055E" w14:textId="04E416D3" w:rsidR="003947F3" w:rsidRPr="00F33B64" w:rsidRDefault="007C198D" w:rsidP="00F33B64">
            <w:pPr>
              <w:pStyle w:val="NoSpacing"/>
              <w:rPr>
                <w:rFonts w:cstheme="minorHAnsi"/>
              </w:rPr>
            </w:pPr>
            <w:r w:rsidRPr="00F33B64">
              <w:rPr>
                <w:rFonts w:cstheme="minorHAnsi"/>
              </w:rPr>
              <w:t xml:space="preserve">6.7 </w:t>
            </w:r>
            <w:r>
              <w:rPr>
                <w:rFonts w:cstheme="minorHAnsi"/>
              </w:rPr>
              <w:t>±</w:t>
            </w:r>
            <w:r w:rsidRPr="00F33B64">
              <w:rPr>
                <w:rFonts w:cstheme="minorHAnsi"/>
              </w:rPr>
              <w:t xml:space="preserve"> 4.8</w:t>
            </w:r>
          </w:p>
        </w:tc>
        <w:tc>
          <w:tcPr>
            <w:tcW w:w="0" w:type="auto"/>
          </w:tcPr>
          <w:p w14:paraId="5587AF74" w14:textId="4C75555F" w:rsidR="003947F3" w:rsidRPr="00F33B64" w:rsidRDefault="007C198D" w:rsidP="00F33B64">
            <w:pPr>
              <w:pStyle w:val="NoSpacing"/>
              <w:rPr>
                <w:rFonts w:cstheme="minorHAnsi"/>
              </w:rPr>
            </w:pPr>
            <w:r w:rsidRPr="00F33B64">
              <w:rPr>
                <w:rFonts w:cstheme="minorHAnsi"/>
              </w:rPr>
              <w:t xml:space="preserve">10.5 </w:t>
            </w:r>
            <w:r>
              <w:rPr>
                <w:rFonts w:cstheme="minorHAnsi"/>
              </w:rPr>
              <w:t>±</w:t>
            </w:r>
            <w:r w:rsidRPr="00F33B64">
              <w:rPr>
                <w:rFonts w:cstheme="minorHAnsi"/>
              </w:rPr>
              <w:t xml:space="preserve"> 3.9</w:t>
            </w:r>
          </w:p>
        </w:tc>
        <w:tc>
          <w:tcPr>
            <w:tcW w:w="0" w:type="auto"/>
          </w:tcPr>
          <w:p w14:paraId="5162D9D8" w14:textId="3AF6738D" w:rsidR="003947F3" w:rsidRPr="00F33B64" w:rsidRDefault="007C198D" w:rsidP="00F33B64">
            <w:pPr>
              <w:pStyle w:val="NoSpacing"/>
              <w:rPr>
                <w:rFonts w:cstheme="minorHAnsi"/>
              </w:rPr>
            </w:pPr>
            <w:r w:rsidRPr="00F33B64">
              <w:rPr>
                <w:rFonts w:cstheme="minorHAnsi"/>
              </w:rPr>
              <w:t xml:space="preserve">11.1 </w:t>
            </w:r>
            <w:r>
              <w:rPr>
                <w:rFonts w:cstheme="minorHAnsi"/>
              </w:rPr>
              <w:t>±</w:t>
            </w:r>
            <w:r w:rsidRPr="00F33B64">
              <w:rPr>
                <w:rFonts w:cstheme="minorHAnsi"/>
              </w:rPr>
              <w:t xml:space="preserve"> 3.1</w:t>
            </w:r>
          </w:p>
        </w:tc>
        <w:tc>
          <w:tcPr>
            <w:tcW w:w="0" w:type="auto"/>
          </w:tcPr>
          <w:p w14:paraId="584C121A" w14:textId="4C3AD495" w:rsidR="003947F3" w:rsidRPr="00F33B64" w:rsidRDefault="007C198D" w:rsidP="00F33B64">
            <w:pPr>
              <w:pStyle w:val="NoSpacing"/>
              <w:rPr>
                <w:rFonts w:cstheme="minorHAnsi"/>
              </w:rPr>
            </w:pPr>
            <w:r w:rsidRPr="00F33B64">
              <w:rPr>
                <w:rFonts w:cstheme="minorHAnsi"/>
              </w:rPr>
              <w:t>0.407 (0.028)</w:t>
            </w:r>
          </w:p>
        </w:tc>
        <w:tc>
          <w:tcPr>
            <w:tcW w:w="0" w:type="auto"/>
          </w:tcPr>
          <w:p w14:paraId="795F5917" w14:textId="1E99953D" w:rsidR="003947F3" w:rsidRPr="00F33B64" w:rsidRDefault="007C198D" w:rsidP="00F33B64">
            <w:pPr>
              <w:pStyle w:val="NoSpacing"/>
              <w:rPr>
                <w:rFonts w:cstheme="minorHAnsi"/>
              </w:rPr>
            </w:pPr>
            <w:r w:rsidRPr="00F33B64">
              <w:rPr>
                <w:rFonts w:cstheme="minorHAnsi"/>
              </w:rPr>
              <w:t>0.008 (0.249)</w:t>
            </w:r>
          </w:p>
        </w:tc>
        <w:tc>
          <w:tcPr>
            <w:tcW w:w="0" w:type="auto"/>
          </w:tcPr>
          <w:p w14:paraId="59E9CBE7" w14:textId="5884AE60" w:rsidR="003947F3" w:rsidRPr="00F33B64" w:rsidRDefault="007C198D" w:rsidP="00F33B64">
            <w:pPr>
              <w:pStyle w:val="NoSpacing"/>
              <w:rPr>
                <w:rFonts w:cstheme="minorHAnsi"/>
              </w:rPr>
            </w:pPr>
            <w:r w:rsidRPr="00F33B64">
              <w:rPr>
                <w:rFonts w:cstheme="minorHAnsi"/>
              </w:rPr>
              <w:t>0.825 (0.002)</w:t>
            </w:r>
          </w:p>
        </w:tc>
      </w:tr>
      <w:tr w:rsidR="00D52EE2" w:rsidRPr="00F33B64" w14:paraId="5CF73E0E" w14:textId="77777777" w:rsidTr="007C198D">
        <w:tc>
          <w:tcPr>
            <w:tcW w:w="3145" w:type="dxa"/>
          </w:tcPr>
          <w:p w14:paraId="315EACAE" w14:textId="3B6D2BFA" w:rsidR="003947F3" w:rsidRPr="00F33B64" w:rsidRDefault="00F26750" w:rsidP="00F33B64">
            <w:pPr>
              <w:pStyle w:val="NoSpacing"/>
              <w:rPr>
                <w:rFonts w:cstheme="minorHAnsi"/>
              </w:rPr>
            </w:pPr>
            <w:r w:rsidRPr="00F33B64">
              <w:rPr>
                <w:rFonts w:cstheme="minorHAnsi"/>
              </w:rPr>
              <w:t>LM immediate</w:t>
            </w:r>
            <w:r w:rsidR="007C198D">
              <w:rPr>
                <w:rFonts w:cstheme="minorHAnsi"/>
              </w:rPr>
              <w:t xml:space="preserve"> </w:t>
            </w:r>
            <w:r w:rsidRPr="00F33B64">
              <w:rPr>
                <w:rFonts w:cstheme="minorHAnsi"/>
              </w:rPr>
              <w:t>recall</w:t>
            </w:r>
          </w:p>
        </w:tc>
        <w:tc>
          <w:tcPr>
            <w:tcW w:w="1080" w:type="dxa"/>
          </w:tcPr>
          <w:p w14:paraId="18136F0C" w14:textId="7EC99F56" w:rsidR="003947F3" w:rsidRPr="00F33B64" w:rsidRDefault="007C198D" w:rsidP="00F33B64">
            <w:pPr>
              <w:pStyle w:val="NoSpacing"/>
              <w:rPr>
                <w:rFonts w:cstheme="minorHAnsi"/>
              </w:rPr>
            </w:pPr>
            <w:r w:rsidRPr="00F33B64">
              <w:rPr>
                <w:rFonts w:cstheme="minorHAnsi"/>
              </w:rPr>
              <w:t xml:space="preserve">36.1 </w:t>
            </w:r>
            <w:r>
              <w:rPr>
                <w:rFonts w:cstheme="minorHAnsi"/>
              </w:rPr>
              <w:t>±</w:t>
            </w:r>
            <w:r w:rsidRPr="00F33B64">
              <w:rPr>
                <w:rFonts w:cstheme="minorHAnsi"/>
              </w:rPr>
              <w:t xml:space="preserve"> 13.3</w:t>
            </w:r>
          </w:p>
        </w:tc>
        <w:tc>
          <w:tcPr>
            <w:tcW w:w="899" w:type="dxa"/>
          </w:tcPr>
          <w:p w14:paraId="3C97DF0D" w14:textId="484B6CBE" w:rsidR="003947F3" w:rsidRPr="00F33B64" w:rsidRDefault="007C198D" w:rsidP="00F33B64">
            <w:pPr>
              <w:pStyle w:val="NoSpacing"/>
              <w:rPr>
                <w:rFonts w:cstheme="minorHAnsi"/>
              </w:rPr>
            </w:pPr>
            <w:r w:rsidRPr="00F33B64">
              <w:rPr>
                <w:rFonts w:cstheme="minorHAnsi"/>
              </w:rPr>
              <w:t xml:space="preserve">39.6 </w:t>
            </w:r>
            <w:r>
              <w:rPr>
                <w:rFonts w:cstheme="minorHAnsi"/>
              </w:rPr>
              <w:t>±</w:t>
            </w:r>
            <w:r w:rsidRPr="00F33B64">
              <w:rPr>
                <w:rFonts w:cstheme="minorHAnsi"/>
              </w:rPr>
              <w:t xml:space="preserve"> 13.5</w:t>
            </w:r>
          </w:p>
        </w:tc>
        <w:tc>
          <w:tcPr>
            <w:tcW w:w="898" w:type="dxa"/>
          </w:tcPr>
          <w:p w14:paraId="2954B856" w14:textId="24208E4A" w:rsidR="003947F3" w:rsidRPr="00F33B64" w:rsidRDefault="007C198D" w:rsidP="00F33B64">
            <w:pPr>
              <w:pStyle w:val="NoSpacing"/>
              <w:rPr>
                <w:rFonts w:cstheme="minorHAnsi"/>
              </w:rPr>
            </w:pPr>
            <w:r w:rsidRPr="00F33B64">
              <w:rPr>
                <w:rFonts w:cstheme="minorHAnsi"/>
              </w:rPr>
              <w:t xml:space="preserve">29.0 </w:t>
            </w:r>
            <w:r>
              <w:rPr>
                <w:rFonts w:cstheme="minorHAnsi"/>
              </w:rPr>
              <w:t>±</w:t>
            </w:r>
            <w:r w:rsidRPr="00F33B64">
              <w:rPr>
                <w:rFonts w:cstheme="minorHAnsi"/>
              </w:rPr>
              <w:t xml:space="preserve"> 13.6</w:t>
            </w:r>
          </w:p>
        </w:tc>
        <w:tc>
          <w:tcPr>
            <w:tcW w:w="0" w:type="auto"/>
          </w:tcPr>
          <w:p w14:paraId="32308114" w14:textId="66945006" w:rsidR="003947F3" w:rsidRPr="00F33B64" w:rsidRDefault="007C198D" w:rsidP="00F33B64">
            <w:pPr>
              <w:pStyle w:val="NoSpacing"/>
              <w:rPr>
                <w:rFonts w:cstheme="minorHAnsi"/>
              </w:rPr>
            </w:pPr>
            <w:r w:rsidRPr="00F33B64">
              <w:rPr>
                <w:rFonts w:cstheme="minorHAnsi"/>
              </w:rPr>
              <w:t xml:space="preserve">33.3 </w:t>
            </w:r>
            <w:r>
              <w:rPr>
                <w:rFonts w:cstheme="minorHAnsi"/>
              </w:rPr>
              <w:t>±</w:t>
            </w:r>
            <w:r w:rsidRPr="00F33B64">
              <w:rPr>
                <w:rFonts w:cstheme="minorHAnsi"/>
              </w:rPr>
              <w:t xml:space="preserve"> 16.4</w:t>
            </w:r>
          </w:p>
        </w:tc>
        <w:tc>
          <w:tcPr>
            <w:tcW w:w="0" w:type="auto"/>
          </w:tcPr>
          <w:p w14:paraId="09D49AD6" w14:textId="300214F7" w:rsidR="003947F3" w:rsidRPr="00F33B64" w:rsidRDefault="007C198D" w:rsidP="00F33B64">
            <w:pPr>
              <w:pStyle w:val="NoSpacing"/>
              <w:rPr>
                <w:rFonts w:cstheme="minorHAnsi"/>
              </w:rPr>
            </w:pPr>
            <w:r w:rsidRPr="00F33B64">
              <w:rPr>
                <w:rFonts w:cstheme="minorHAnsi"/>
              </w:rPr>
              <w:t xml:space="preserve">43.5 </w:t>
            </w:r>
            <w:r>
              <w:rPr>
                <w:rFonts w:cstheme="minorHAnsi"/>
              </w:rPr>
              <w:t>±</w:t>
            </w:r>
            <w:r w:rsidRPr="00F33B64">
              <w:rPr>
                <w:rFonts w:cstheme="minorHAnsi"/>
              </w:rPr>
              <w:t xml:space="preserve"> 7.7</w:t>
            </w:r>
          </w:p>
        </w:tc>
        <w:tc>
          <w:tcPr>
            <w:tcW w:w="0" w:type="auto"/>
          </w:tcPr>
          <w:p w14:paraId="3C44AA8E" w14:textId="0B1D9620" w:rsidR="003947F3" w:rsidRPr="00F33B64" w:rsidRDefault="007C198D" w:rsidP="00F33B64">
            <w:pPr>
              <w:pStyle w:val="NoSpacing"/>
              <w:rPr>
                <w:rFonts w:cstheme="minorHAnsi"/>
              </w:rPr>
            </w:pPr>
            <w:r w:rsidRPr="00F33B64">
              <w:rPr>
                <w:rFonts w:cstheme="minorHAnsi"/>
              </w:rPr>
              <w:t xml:space="preserve">46.1 </w:t>
            </w:r>
            <w:r>
              <w:rPr>
                <w:rFonts w:cstheme="minorHAnsi"/>
              </w:rPr>
              <w:t>±</w:t>
            </w:r>
            <w:r w:rsidRPr="00F33B64">
              <w:rPr>
                <w:rFonts w:cstheme="minorHAnsi"/>
              </w:rPr>
              <w:t xml:space="preserve"> 4.1</w:t>
            </w:r>
          </w:p>
        </w:tc>
        <w:tc>
          <w:tcPr>
            <w:tcW w:w="0" w:type="auto"/>
          </w:tcPr>
          <w:p w14:paraId="314FE6DF" w14:textId="2384B29A" w:rsidR="003947F3" w:rsidRPr="00F33B64" w:rsidRDefault="007C198D" w:rsidP="00F33B64">
            <w:pPr>
              <w:pStyle w:val="NoSpacing"/>
              <w:rPr>
                <w:rFonts w:cstheme="minorHAnsi"/>
              </w:rPr>
            </w:pPr>
            <w:r w:rsidRPr="00F33B64">
              <w:rPr>
                <w:rFonts w:cstheme="minorHAnsi"/>
              </w:rPr>
              <w:t>0.007 (0.259)</w:t>
            </w:r>
          </w:p>
        </w:tc>
        <w:tc>
          <w:tcPr>
            <w:tcW w:w="0" w:type="auto"/>
          </w:tcPr>
          <w:p w14:paraId="6158D852" w14:textId="118E84F2" w:rsidR="003947F3" w:rsidRPr="00F33B64" w:rsidRDefault="007C198D" w:rsidP="00F33B64">
            <w:pPr>
              <w:pStyle w:val="NoSpacing"/>
              <w:rPr>
                <w:rFonts w:cstheme="minorHAnsi"/>
              </w:rPr>
            </w:pPr>
            <w:r w:rsidRPr="00F33B64">
              <w:rPr>
                <w:rFonts w:cstheme="minorHAnsi"/>
              </w:rPr>
              <w:t>0.004 (0.283)</w:t>
            </w:r>
          </w:p>
        </w:tc>
        <w:tc>
          <w:tcPr>
            <w:tcW w:w="0" w:type="auto"/>
          </w:tcPr>
          <w:p w14:paraId="286F9D6E" w14:textId="5CEFAD47" w:rsidR="003947F3" w:rsidRPr="00F33B64" w:rsidRDefault="007C198D" w:rsidP="00F33B64">
            <w:pPr>
              <w:pStyle w:val="NoSpacing"/>
              <w:rPr>
                <w:rFonts w:cstheme="minorHAnsi"/>
              </w:rPr>
            </w:pPr>
            <w:r w:rsidRPr="00F33B64">
              <w:rPr>
                <w:rFonts w:cstheme="minorHAnsi"/>
              </w:rPr>
              <w:t>0.330 (0.038)</w:t>
            </w:r>
          </w:p>
        </w:tc>
      </w:tr>
      <w:tr w:rsidR="00D52EE2" w:rsidRPr="00F33B64" w14:paraId="395962A0" w14:textId="77777777" w:rsidTr="007C198D">
        <w:tc>
          <w:tcPr>
            <w:tcW w:w="3145" w:type="dxa"/>
          </w:tcPr>
          <w:p w14:paraId="141488AA" w14:textId="554B2A1C" w:rsidR="003947F3" w:rsidRPr="00F33B64" w:rsidRDefault="005701DF" w:rsidP="00F33B64">
            <w:pPr>
              <w:pStyle w:val="NoSpacing"/>
              <w:rPr>
                <w:rFonts w:cstheme="minorHAnsi"/>
              </w:rPr>
            </w:pPr>
            <w:r w:rsidRPr="00F33B64">
              <w:rPr>
                <w:rFonts w:cstheme="minorHAnsi"/>
              </w:rPr>
              <w:t xml:space="preserve">LM delayed recall </w:t>
            </w:r>
          </w:p>
        </w:tc>
        <w:tc>
          <w:tcPr>
            <w:tcW w:w="1080" w:type="dxa"/>
          </w:tcPr>
          <w:p w14:paraId="72CB929C" w14:textId="3F9B4578" w:rsidR="003947F3" w:rsidRPr="00F33B64" w:rsidRDefault="007C198D" w:rsidP="00F33B64">
            <w:pPr>
              <w:pStyle w:val="NoSpacing"/>
              <w:rPr>
                <w:rFonts w:cstheme="minorHAnsi"/>
              </w:rPr>
            </w:pPr>
            <w:r w:rsidRPr="00F33B64">
              <w:rPr>
                <w:rFonts w:cstheme="minorHAnsi"/>
              </w:rPr>
              <w:t xml:space="preserve">22.2 </w:t>
            </w:r>
            <w:r>
              <w:rPr>
                <w:rFonts w:cstheme="minorHAnsi"/>
              </w:rPr>
              <w:t>±</w:t>
            </w:r>
            <w:r w:rsidRPr="00F33B64">
              <w:rPr>
                <w:rFonts w:cstheme="minorHAnsi"/>
              </w:rPr>
              <w:t xml:space="preserve"> 10.0</w:t>
            </w:r>
          </w:p>
        </w:tc>
        <w:tc>
          <w:tcPr>
            <w:tcW w:w="899" w:type="dxa"/>
          </w:tcPr>
          <w:p w14:paraId="06C45500" w14:textId="2781EF7B" w:rsidR="003947F3" w:rsidRPr="00F33B64" w:rsidRDefault="007C198D" w:rsidP="00F33B64">
            <w:pPr>
              <w:pStyle w:val="NoSpacing"/>
              <w:rPr>
                <w:rFonts w:cstheme="minorHAnsi"/>
              </w:rPr>
            </w:pPr>
            <w:r w:rsidRPr="00F33B64">
              <w:rPr>
                <w:rFonts w:cstheme="minorHAnsi"/>
              </w:rPr>
              <w:t xml:space="preserve">24.3 </w:t>
            </w:r>
            <w:r>
              <w:rPr>
                <w:rFonts w:cstheme="minorHAnsi"/>
              </w:rPr>
              <w:t>±</w:t>
            </w:r>
            <w:r w:rsidRPr="00F33B64">
              <w:rPr>
                <w:rFonts w:cstheme="minorHAnsi"/>
              </w:rPr>
              <w:t xml:space="preserve"> 10.3</w:t>
            </w:r>
          </w:p>
        </w:tc>
        <w:tc>
          <w:tcPr>
            <w:tcW w:w="898" w:type="dxa"/>
          </w:tcPr>
          <w:p w14:paraId="34FD8AE3" w14:textId="7F7362E0" w:rsidR="003947F3" w:rsidRPr="00F33B64" w:rsidRDefault="007C198D" w:rsidP="00F33B64">
            <w:pPr>
              <w:pStyle w:val="NoSpacing"/>
              <w:rPr>
                <w:rFonts w:cstheme="minorHAnsi"/>
              </w:rPr>
            </w:pPr>
            <w:r w:rsidRPr="00F33B64">
              <w:rPr>
                <w:rFonts w:cstheme="minorHAnsi"/>
              </w:rPr>
              <w:t xml:space="preserve">17.4 </w:t>
            </w:r>
            <w:r>
              <w:rPr>
                <w:rFonts w:cstheme="minorHAnsi"/>
              </w:rPr>
              <w:t>±</w:t>
            </w:r>
            <w:r w:rsidRPr="00F33B64">
              <w:rPr>
                <w:rFonts w:cstheme="minorHAnsi"/>
              </w:rPr>
              <w:t xml:space="preserve"> 10.5</w:t>
            </w:r>
          </w:p>
        </w:tc>
        <w:tc>
          <w:tcPr>
            <w:tcW w:w="0" w:type="auto"/>
          </w:tcPr>
          <w:p w14:paraId="7DC5EE8B" w14:textId="1AFAE140" w:rsidR="003947F3" w:rsidRPr="00F33B64" w:rsidRDefault="007C198D" w:rsidP="00F33B64">
            <w:pPr>
              <w:pStyle w:val="NoSpacing"/>
              <w:rPr>
                <w:rFonts w:cstheme="minorHAnsi"/>
              </w:rPr>
            </w:pPr>
            <w:r w:rsidRPr="00F33B64">
              <w:rPr>
                <w:rFonts w:cstheme="minorHAnsi"/>
              </w:rPr>
              <w:t xml:space="preserve">19.4 </w:t>
            </w:r>
            <w:r>
              <w:rPr>
                <w:rFonts w:cstheme="minorHAnsi"/>
              </w:rPr>
              <w:t>±</w:t>
            </w:r>
            <w:r w:rsidRPr="00F33B64">
              <w:rPr>
                <w:rFonts w:cstheme="minorHAnsi"/>
              </w:rPr>
              <w:t xml:space="preserve"> 11.2</w:t>
            </w:r>
          </w:p>
        </w:tc>
        <w:tc>
          <w:tcPr>
            <w:tcW w:w="0" w:type="auto"/>
          </w:tcPr>
          <w:p w14:paraId="2D5D40A9" w14:textId="5B9F96DB" w:rsidR="003947F3" w:rsidRPr="00F33B64" w:rsidRDefault="007C198D" w:rsidP="00F33B64">
            <w:pPr>
              <w:pStyle w:val="NoSpacing"/>
              <w:rPr>
                <w:rFonts w:cstheme="minorHAnsi"/>
              </w:rPr>
            </w:pPr>
            <w:r w:rsidRPr="00F33B64">
              <w:rPr>
                <w:rFonts w:cstheme="minorHAnsi"/>
              </w:rPr>
              <w:t xml:space="preserve">27.4 </w:t>
            </w:r>
            <w:r>
              <w:rPr>
                <w:rFonts w:cstheme="minorHAnsi"/>
              </w:rPr>
              <w:t>±</w:t>
            </w:r>
            <w:r w:rsidRPr="00F33B64">
              <w:rPr>
                <w:rFonts w:cstheme="minorHAnsi"/>
              </w:rPr>
              <w:t xml:space="preserve"> 6.3</w:t>
            </w:r>
          </w:p>
        </w:tc>
        <w:tc>
          <w:tcPr>
            <w:tcW w:w="0" w:type="auto"/>
          </w:tcPr>
          <w:p w14:paraId="6D86581A" w14:textId="66053B60" w:rsidR="003947F3" w:rsidRPr="00F33B64" w:rsidRDefault="007C198D" w:rsidP="00F33B64">
            <w:pPr>
              <w:pStyle w:val="NoSpacing"/>
              <w:rPr>
                <w:rFonts w:cstheme="minorHAnsi"/>
              </w:rPr>
            </w:pPr>
            <w:r w:rsidRPr="00F33B64">
              <w:rPr>
                <w:rFonts w:cstheme="minorHAnsi"/>
              </w:rPr>
              <w:t xml:space="preserve">29.6 </w:t>
            </w:r>
            <w:r>
              <w:rPr>
                <w:rFonts w:cstheme="minorHAnsi"/>
              </w:rPr>
              <w:t>±</w:t>
            </w:r>
            <w:r w:rsidRPr="00F33B64">
              <w:rPr>
                <w:rFonts w:cstheme="minorHAnsi"/>
              </w:rPr>
              <w:t xml:space="preserve"> 6.1</w:t>
            </w:r>
          </w:p>
        </w:tc>
        <w:tc>
          <w:tcPr>
            <w:tcW w:w="0" w:type="auto"/>
          </w:tcPr>
          <w:p w14:paraId="55EECCF0" w14:textId="4F32667E" w:rsidR="003947F3" w:rsidRPr="00F33B64" w:rsidRDefault="007C198D" w:rsidP="00F33B64">
            <w:pPr>
              <w:pStyle w:val="NoSpacing"/>
              <w:rPr>
                <w:rFonts w:cstheme="minorHAnsi"/>
              </w:rPr>
            </w:pPr>
            <w:r w:rsidRPr="00F33B64">
              <w:rPr>
                <w:rFonts w:cstheme="minorHAnsi"/>
              </w:rPr>
              <w:t>0.061 (0.134)</w:t>
            </w:r>
          </w:p>
        </w:tc>
        <w:tc>
          <w:tcPr>
            <w:tcW w:w="0" w:type="auto"/>
          </w:tcPr>
          <w:p w14:paraId="4538F7D1" w14:textId="6225CFBF" w:rsidR="003947F3" w:rsidRPr="00F33B64" w:rsidRDefault="007C198D" w:rsidP="00F33B64">
            <w:pPr>
              <w:pStyle w:val="NoSpacing"/>
              <w:rPr>
                <w:rFonts w:cstheme="minorHAnsi"/>
              </w:rPr>
            </w:pPr>
            <w:r w:rsidRPr="00F33B64">
              <w:rPr>
                <w:rFonts w:cstheme="minorHAnsi"/>
              </w:rPr>
              <w:t>0.005 (0.274)</w:t>
            </w:r>
          </w:p>
        </w:tc>
        <w:tc>
          <w:tcPr>
            <w:tcW w:w="0" w:type="auto"/>
          </w:tcPr>
          <w:p w14:paraId="3587E498" w14:textId="4C07BE90" w:rsidR="003947F3" w:rsidRPr="00F33B64" w:rsidRDefault="007C198D" w:rsidP="00F33B64">
            <w:pPr>
              <w:pStyle w:val="NoSpacing"/>
              <w:rPr>
                <w:rFonts w:cstheme="minorHAnsi"/>
              </w:rPr>
            </w:pPr>
            <w:r w:rsidRPr="00F33B64">
              <w:rPr>
                <w:rFonts w:cstheme="minorHAnsi"/>
              </w:rPr>
              <w:t>0.934 (0.0002)</w:t>
            </w:r>
          </w:p>
        </w:tc>
      </w:tr>
      <w:tr w:rsidR="00D52EE2" w:rsidRPr="00F33B64" w14:paraId="6F7FD915" w14:textId="77777777" w:rsidTr="007C198D">
        <w:tc>
          <w:tcPr>
            <w:tcW w:w="3145" w:type="dxa"/>
          </w:tcPr>
          <w:p w14:paraId="352971F0" w14:textId="357CA955" w:rsidR="003947F3" w:rsidRPr="00F33B64" w:rsidRDefault="005701DF" w:rsidP="00F33B64">
            <w:pPr>
              <w:pStyle w:val="NoSpacing"/>
              <w:rPr>
                <w:rFonts w:cstheme="minorHAnsi"/>
              </w:rPr>
            </w:pPr>
            <w:r w:rsidRPr="00F33B64">
              <w:rPr>
                <w:rFonts w:cstheme="minorHAnsi"/>
              </w:rPr>
              <w:t xml:space="preserve">COWAT </w:t>
            </w:r>
          </w:p>
        </w:tc>
        <w:tc>
          <w:tcPr>
            <w:tcW w:w="1080" w:type="dxa"/>
          </w:tcPr>
          <w:p w14:paraId="1204C78D" w14:textId="0A7900BE" w:rsidR="003947F3" w:rsidRPr="00F33B64" w:rsidRDefault="007C198D" w:rsidP="00F33B64">
            <w:pPr>
              <w:pStyle w:val="NoSpacing"/>
              <w:rPr>
                <w:rFonts w:cstheme="minorHAnsi"/>
              </w:rPr>
            </w:pPr>
            <w:r w:rsidRPr="00F33B64">
              <w:rPr>
                <w:rFonts w:cstheme="minorHAnsi"/>
              </w:rPr>
              <w:t xml:space="preserve">38.4 </w:t>
            </w:r>
            <w:r>
              <w:rPr>
                <w:rFonts w:cstheme="minorHAnsi"/>
              </w:rPr>
              <w:t>±</w:t>
            </w:r>
            <w:r w:rsidRPr="00F33B64">
              <w:rPr>
                <w:rFonts w:cstheme="minorHAnsi"/>
              </w:rPr>
              <w:t xml:space="preserve"> 11.1</w:t>
            </w:r>
          </w:p>
        </w:tc>
        <w:tc>
          <w:tcPr>
            <w:tcW w:w="899" w:type="dxa"/>
          </w:tcPr>
          <w:p w14:paraId="5C682B03" w14:textId="78171C83" w:rsidR="003947F3" w:rsidRPr="00F33B64" w:rsidRDefault="007C198D" w:rsidP="00F33B64">
            <w:pPr>
              <w:pStyle w:val="NoSpacing"/>
              <w:rPr>
                <w:rFonts w:cstheme="minorHAnsi"/>
              </w:rPr>
            </w:pPr>
            <w:r w:rsidRPr="00F33B64">
              <w:rPr>
                <w:rFonts w:cstheme="minorHAnsi"/>
              </w:rPr>
              <w:t xml:space="preserve">41.9 </w:t>
            </w:r>
            <w:r>
              <w:rPr>
                <w:rFonts w:cstheme="minorHAnsi"/>
              </w:rPr>
              <w:t>±</w:t>
            </w:r>
            <w:r w:rsidRPr="00F33B64">
              <w:rPr>
                <w:rFonts w:cstheme="minorHAnsi"/>
              </w:rPr>
              <w:t xml:space="preserve"> 12.2</w:t>
            </w:r>
          </w:p>
        </w:tc>
        <w:tc>
          <w:tcPr>
            <w:tcW w:w="898" w:type="dxa"/>
          </w:tcPr>
          <w:p w14:paraId="2346F42C" w14:textId="725C3928" w:rsidR="003947F3" w:rsidRPr="00F33B64" w:rsidRDefault="007C198D" w:rsidP="00F33B64">
            <w:pPr>
              <w:pStyle w:val="NoSpacing"/>
              <w:rPr>
                <w:rFonts w:cstheme="minorHAnsi"/>
              </w:rPr>
            </w:pPr>
            <w:r w:rsidRPr="00F33B64">
              <w:rPr>
                <w:rFonts w:cstheme="minorHAnsi"/>
              </w:rPr>
              <w:t xml:space="preserve">34.9 </w:t>
            </w:r>
            <w:r>
              <w:rPr>
                <w:rFonts w:cstheme="minorHAnsi"/>
              </w:rPr>
              <w:t>±</w:t>
            </w:r>
            <w:r w:rsidRPr="00F33B64">
              <w:rPr>
                <w:rFonts w:cstheme="minorHAnsi"/>
              </w:rPr>
              <w:t xml:space="preserve"> 11.8</w:t>
            </w:r>
          </w:p>
        </w:tc>
        <w:tc>
          <w:tcPr>
            <w:tcW w:w="0" w:type="auto"/>
          </w:tcPr>
          <w:p w14:paraId="74120CE7" w14:textId="13A5A35E" w:rsidR="003947F3" w:rsidRPr="00F33B64" w:rsidRDefault="007C198D" w:rsidP="00F33B64">
            <w:pPr>
              <w:pStyle w:val="NoSpacing"/>
              <w:rPr>
                <w:rFonts w:cstheme="minorHAnsi"/>
              </w:rPr>
            </w:pPr>
            <w:r w:rsidRPr="00F33B64">
              <w:rPr>
                <w:rFonts w:cstheme="minorHAnsi"/>
              </w:rPr>
              <w:t xml:space="preserve">41.6 </w:t>
            </w:r>
            <w:r>
              <w:rPr>
                <w:rFonts w:cstheme="minorHAnsi"/>
              </w:rPr>
              <w:t>±</w:t>
            </w:r>
            <w:r w:rsidRPr="00F33B64">
              <w:rPr>
                <w:rFonts w:cstheme="minorHAnsi"/>
              </w:rPr>
              <w:t xml:space="preserve"> 13.8</w:t>
            </w:r>
          </w:p>
        </w:tc>
        <w:tc>
          <w:tcPr>
            <w:tcW w:w="0" w:type="auto"/>
          </w:tcPr>
          <w:p w14:paraId="738600B6" w14:textId="5674C0EA" w:rsidR="003947F3" w:rsidRPr="00F33B64" w:rsidRDefault="007C198D" w:rsidP="00F33B64">
            <w:pPr>
              <w:pStyle w:val="NoSpacing"/>
              <w:rPr>
                <w:rFonts w:cstheme="minorHAnsi"/>
              </w:rPr>
            </w:pPr>
            <w:r w:rsidRPr="00F33B64">
              <w:rPr>
                <w:rFonts w:cstheme="minorHAnsi"/>
              </w:rPr>
              <w:t xml:space="preserve">41.6 </w:t>
            </w:r>
            <w:r>
              <w:rPr>
                <w:rFonts w:cstheme="minorHAnsi"/>
              </w:rPr>
              <w:t>±</w:t>
            </w:r>
            <w:r w:rsidRPr="00F33B64">
              <w:rPr>
                <w:rFonts w:cstheme="minorHAnsi"/>
              </w:rPr>
              <w:t xml:space="preserve"> 9.8</w:t>
            </w:r>
          </w:p>
        </w:tc>
        <w:tc>
          <w:tcPr>
            <w:tcW w:w="0" w:type="auto"/>
          </w:tcPr>
          <w:p w14:paraId="76D63DA0" w14:textId="6410738B" w:rsidR="003947F3" w:rsidRPr="00F33B64" w:rsidRDefault="007C198D" w:rsidP="00F33B64">
            <w:pPr>
              <w:pStyle w:val="NoSpacing"/>
              <w:rPr>
                <w:rFonts w:cstheme="minorHAnsi"/>
              </w:rPr>
            </w:pPr>
            <w:r w:rsidRPr="00F33B64">
              <w:rPr>
                <w:rFonts w:cstheme="minorHAnsi"/>
              </w:rPr>
              <w:t xml:space="preserve">42.2 </w:t>
            </w:r>
            <w:r>
              <w:rPr>
                <w:rFonts w:cstheme="minorHAnsi"/>
              </w:rPr>
              <w:t>±</w:t>
            </w:r>
            <w:r w:rsidRPr="00F33B64">
              <w:rPr>
                <w:rFonts w:cstheme="minorHAnsi"/>
              </w:rPr>
              <w:t xml:space="preserve"> 11.0</w:t>
            </w:r>
          </w:p>
        </w:tc>
        <w:tc>
          <w:tcPr>
            <w:tcW w:w="0" w:type="auto"/>
          </w:tcPr>
          <w:p w14:paraId="1407188A" w14:textId="78D235EA" w:rsidR="003947F3" w:rsidRPr="00F33B64" w:rsidRDefault="007C198D" w:rsidP="00F33B64">
            <w:pPr>
              <w:pStyle w:val="NoSpacing"/>
              <w:rPr>
                <w:rFonts w:cstheme="minorHAnsi"/>
              </w:rPr>
            </w:pPr>
            <w:r w:rsidRPr="00F33B64">
              <w:rPr>
                <w:rFonts w:cstheme="minorHAnsi"/>
              </w:rPr>
              <w:t>0.014 (0.234)</w:t>
            </w:r>
          </w:p>
        </w:tc>
        <w:tc>
          <w:tcPr>
            <w:tcW w:w="0" w:type="auto"/>
          </w:tcPr>
          <w:p w14:paraId="6F4531E2" w14:textId="09909BE3" w:rsidR="003947F3" w:rsidRPr="00F33B64" w:rsidRDefault="007C198D" w:rsidP="00F33B64">
            <w:pPr>
              <w:pStyle w:val="NoSpacing"/>
              <w:rPr>
                <w:rFonts w:cstheme="minorHAnsi"/>
              </w:rPr>
            </w:pPr>
            <w:r w:rsidRPr="00F33B64">
              <w:rPr>
                <w:rFonts w:cstheme="minorHAnsi"/>
              </w:rPr>
              <w:t>0.425 (0.028)</w:t>
            </w:r>
          </w:p>
        </w:tc>
        <w:tc>
          <w:tcPr>
            <w:tcW w:w="0" w:type="auto"/>
          </w:tcPr>
          <w:p w14:paraId="4C979D71" w14:textId="474DCB68" w:rsidR="003947F3" w:rsidRPr="00F33B64" w:rsidRDefault="007C198D" w:rsidP="00F33B64">
            <w:pPr>
              <w:pStyle w:val="NoSpacing"/>
              <w:rPr>
                <w:rFonts w:cstheme="minorHAnsi"/>
              </w:rPr>
            </w:pPr>
            <w:r w:rsidRPr="00F33B64">
              <w:rPr>
                <w:rFonts w:cstheme="minorHAnsi"/>
              </w:rPr>
              <w:t>0.037 (0.175)</w:t>
            </w:r>
          </w:p>
        </w:tc>
      </w:tr>
      <w:tr w:rsidR="007C198D" w:rsidRPr="00F33B64" w14:paraId="45E80BD9" w14:textId="77777777" w:rsidTr="007C198D">
        <w:tc>
          <w:tcPr>
            <w:tcW w:w="3145" w:type="dxa"/>
          </w:tcPr>
          <w:p w14:paraId="00BB3E75" w14:textId="71516FBC" w:rsidR="00F26750" w:rsidRPr="00F33B64" w:rsidRDefault="005701DF" w:rsidP="00F33B64">
            <w:pPr>
              <w:pStyle w:val="NoSpacing"/>
              <w:rPr>
                <w:rFonts w:cstheme="minorHAnsi"/>
              </w:rPr>
            </w:pPr>
            <w:r w:rsidRPr="00F33B64">
              <w:rPr>
                <w:rFonts w:cstheme="minorHAnsi"/>
              </w:rPr>
              <w:t xml:space="preserve">Semantic fluency </w:t>
            </w:r>
          </w:p>
        </w:tc>
        <w:tc>
          <w:tcPr>
            <w:tcW w:w="1080" w:type="dxa"/>
          </w:tcPr>
          <w:p w14:paraId="2A57C1E8" w14:textId="5C3880B2" w:rsidR="00F26750" w:rsidRPr="00F33B64" w:rsidRDefault="007C198D" w:rsidP="00F33B64">
            <w:pPr>
              <w:pStyle w:val="NoSpacing"/>
              <w:rPr>
                <w:rFonts w:cstheme="minorHAnsi"/>
              </w:rPr>
            </w:pPr>
            <w:r w:rsidRPr="00F33B64">
              <w:rPr>
                <w:rFonts w:cstheme="minorHAnsi"/>
              </w:rPr>
              <w:t xml:space="preserve">17.3 </w:t>
            </w:r>
            <w:r>
              <w:rPr>
                <w:rFonts w:cstheme="minorHAnsi"/>
              </w:rPr>
              <w:t>±</w:t>
            </w:r>
            <w:r w:rsidRPr="00F33B64">
              <w:rPr>
                <w:rFonts w:cstheme="minorHAnsi"/>
              </w:rPr>
              <w:t xml:space="preserve"> 6.8</w:t>
            </w:r>
          </w:p>
        </w:tc>
        <w:tc>
          <w:tcPr>
            <w:tcW w:w="899" w:type="dxa"/>
          </w:tcPr>
          <w:p w14:paraId="03B6ABFD" w14:textId="2D43542F" w:rsidR="00F26750" w:rsidRPr="00F33B64" w:rsidRDefault="007C198D" w:rsidP="00F33B64">
            <w:pPr>
              <w:pStyle w:val="NoSpacing"/>
              <w:rPr>
                <w:rFonts w:cstheme="minorHAnsi"/>
              </w:rPr>
            </w:pPr>
            <w:r w:rsidRPr="00F33B64">
              <w:rPr>
                <w:rFonts w:cstheme="minorHAnsi"/>
              </w:rPr>
              <w:t xml:space="preserve">17.6 </w:t>
            </w:r>
            <w:r>
              <w:rPr>
                <w:rFonts w:cstheme="minorHAnsi"/>
              </w:rPr>
              <w:t>±</w:t>
            </w:r>
            <w:r w:rsidRPr="00F33B64">
              <w:rPr>
                <w:rFonts w:cstheme="minorHAnsi"/>
              </w:rPr>
              <w:t xml:space="preserve"> 8.1</w:t>
            </w:r>
          </w:p>
        </w:tc>
        <w:tc>
          <w:tcPr>
            <w:tcW w:w="898" w:type="dxa"/>
          </w:tcPr>
          <w:p w14:paraId="11F0CB90" w14:textId="387C38E4" w:rsidR="00F26750" w:rsidRPr="00F33B64" w:rsidRDefault="007C198D" w:rsidP="00F33B64">
            <w:pPr>
              <w:pStyle w:val="NoSpacing"/>
              <w:rPr>
                <w:rFonts w:cstheme="minorHAnsi"/>
              </w:rPr>
            </w:pPr>
            <w:r w:rsidRPr="00F33B64">
              <w:rPr>
                <w:rFonts w:cstheme="minorHAnsi"/>
              </w:rPr>
              <w:t xml:space="preserve">14.2 </w:t>
            </w:r>
            <w:r>
              <w:rPr>
                <w:rFonts w:cstheme="minorHAnsi"/>
              </w:rPr>
              <w:t>±</w:t>
            </w:r>
            <w:r w:rsidRPr="00F33B64">
              <w:rPr>
                <w:rFonts w:cstheme="minorHAnsi"/>
              </w:rPr>
              <w:t xml:space="preserve"> 7.4</w:t>
            </w:r>
          </w:p>
        </w:tc>
        <w:tc>
          <w:tcPr>
            <w:tcW w:w="0" w:type="auto"/>
          </w:tcPr>
          <w:p w14:paraId="5DBE0972" w14:textId="060D2ACA" w:rsidR="00F26750" w:rsidRPr="00F33B64" w:rsidRDefault="007C198D" w:rsidP="00F33B64">
            <w:pPr>
              <w:pStyle w:val="NoSpacing"/>
              <w:rPr>
                <w:rFonts w:cstheme="minorHAnsi"/>
              </w:rPr>
            </w:pPr>
            <w:r w:rsidRPr="00F33B64">
              <w:rPr>
                <w:rFonts w:cstheme="minorHAnsi"/>
              </w:rPr>
              <w:t xml:space="preserve">13.7 </w:t>
            </w:r>
            <w:r>
              <w:rPr>
                <w:rFonts w:cstheme="minorHAnsi"/>
              </w:rPr>
              <w:t>±</w:t>
            </w:r>
            <w:r w:rsidRPr="00F33B64">
              <w:rPr>
                <w:rFonts w:cstheme="minorHAnsi"/>
              </w:rPr>
              <w:t xml:space="preserve"> 8.8</w:t>
            </w:r>
          </w:p>
        </w:tc>
        <w:tc>
          <w:tcPr>
            <w:tcW w:w="0" w:type="auto"/>
          </w:tcPr>
          <w:p w14:paraId="5E7D5076" w14:textId="529447A6" w:rsidR="00F26750" w:rsidRPr="00F33B64" w:rsidRDefault="007C198D" w:rsidP="00F33B64">
            <w:pPr>
              <w:pStyle w:val="NoSpacing"/>
              <w:rPr>
                <w:rFonts w:cstheme="minorHAnsi"/>
              </w:rPr>
            </w:pPr>
            <w:r w:rsidRPr="00F33B64">
              <w:rPr>
                <w:rFonts w:cstheme="minorHAnsi"/>
              </w:rPr>
              <w:t xml:space="preserve">20.4 </w:t>
            </w:r>
            <w:r>
              <w:rPr>
                <w:rFonts w:cstheme="minorHAnsi"/>
              </w:rPr>
              <w:t>±</w:t>
            </w:r>
            <w:r w:rsidRPr="00F33B64">
              <w:rPr>
                <w:rFonts w:cstheme="minorHAnsi"/>
              </w:rPr>
              <w:t xml:space="preserve"> 4.5</w:t>
            </w:r>
          </w:p>
        </w:tc>
        <w:tc>
          <w:tcPr>
            <w:tcW w:w="0" w:type="auto"/>
          </w:tcPr>
          <w:p w14:paraId="0884B28F" w14:textId="5A42E4B8" w:rsidR="00F26750" w:rsidRPr="00F33B64" w:rsidRDefault="007C198D" w:rsidP="00F33B64">
            <w:pPr>
              <w:pStyle w:val="NoSpacing"/>
              <w:rPr>
                <w:rFonts w:cstheme="minorHAnsi"/>
              </w:rPr>
            </w:pPr>
            <w:r w:rsidRPr="00F33B64">
              <w:rPr>
                <w:rFonts w:cstheme="minorHAnsi"/>
              </w:rPr>
              <w:t xml:space="preserve">21.4 </w:t>
            </w:r>
            <w:r>
              <w:rPr>
                <w:rFonts w:cstheme="minorHAnsi"/>
              </w:rPr>
              <w:t>±</w:t>
            </w:r>
            <w:r w:rsidRPr="00F33B64">
              <w:rPr>
                <w:rFonts w:cstheme="minorHAnsi"/>
              </w:rPr>
              <w:t xml:space="preserve"> 5.2</w:t>
            </w:r>
          </w:p>
        </w:tc>
        <w:tc>
          <w:tcPr>
            <w:tcW w:w="0" w:type="auto"/>
          </w:tcPr>
          <w:p w14:paraId="65C2DCCE" w14:textId="2D59D865" w:rsidR="00F26750" w:rsidRPr="00F33B64" w:rsidRDefault="007C198D" w:rsidP="00F33B64">
            <w:pPr>
              <w:pStyle w:val="NoSpacing"/>
              <w:rPr>
                <w:rFonts w:cstheme="minorHAnsi"/>
              </w:rPr>
            </w:pPr>
            <w:r w:rsidRPr="00F33B64">
              <w:rPr>
                <w:rFonts w:cstheme="minorHAnsi"/>
              </w:rPr>
              <w:t>0.765 (0.004)</w:t>
            </w:r>
          </w:p>
        </w:tc>
        <w:tc>
          <w:tcPr>
            <w:tcW w:w="0" w:type="auto"/>
          </w:tcPr>
          <w:p w14:paraId="7F9DC843" w14:textId="6E4BB2E5" w:rsidR="00F26750" w:rsidRPr="00F33B64" w:rsidRDefault="007C198D" w:rsidP="00F33B64">
            <w:pPr>
              <w:pStyle w:val="NoSpacing"/>
              <w:rPr>
                <w:rFonts w:cstheme="minorHAnsi"/>
              </w:rPr>
            </w:pPr>
            <w:r w:rsidRPr="00F33B64">
              <w:rPr>
                <w:rFonts w:cstheme="minorHAnsi"/>
              </w:rPr>
              <w:t>0.007 (0.247)</w:t>
            </w:r>
          </w:p>
        </w:tc>
        <w:tc>
          <w:tcPr>
            <w:tcW w:w="0" w:type="auto"/>
          </w:tcPr>
          <w:p w14:paraId="6318B517" w14:textId="0F5244E0" w:rsidR="00F26750" w:rsidRPr="00F33B64" w:rsidRDefault="007C198D" w:rsidP="00F33B64">
            <w:pPr>
              <w:pStyle w:val="NoSpacing"/>
              <w:rPr>
                <w:rFonts w:cstheme="minorHAnsi"/>
              </w:rPr>
            </w:pPr>
            <w:r w:rsidRPr="00F33B64">
              <w:rPr>
                <w:rFonts w:cstheme="minorHAnsi"/>
              </w:rPr>
              <w:t>0.456 (0.022)</w:t>
            </w:r>
          </w:p>
        </w:tc>
      </w:tr>
      <w:tr w:rsidR="00D52EE2" w:rsidRPr="00F33B64" w14:paraId="7FBFECB5" w14:textId="77777777" w:rsidTr="007C198D">
        <w:tc>
          <w:tcPr>
            <w:tcW w:w="3145" w:type="dxa"/>
          </w:tcPr>
          <w:p w14:paraId="16B7DD16" w14:textId="6E431EDF" w:rsidR="003947F3" w:rsidRPr="00F33B64" w:rsidRDefault="005701DF" w:rsidP="00F33B64">
            <w:pPr>
              <w:pStyle w:val="NoSpacing"/>
              <w:rPr>
                <w:rFonts w:cstheme="minorHAnsi"/>
              </w:rPr>
            </w:pPr>
            <w:r w:rsidRPr="00F33B64">
              <w:rPr>
                <w:rFonts w:cstheme="minorHAnsi"/>
              </w:rPr>
              <w:t xml:space="preserve">Clock drawing </w:t>
            </w:r>
          </w:p>
        </w:tc>
        <w:tc>
          <w:tcPr>
            <w:tcW w:w="1080" w:type="dxa"/>
          </w:tcPr>
          <w:p w14:paraId="26A9628B" w14:textId="4EE9D3F8" w:rsidR="003947F3" w:rsidRPr="00F33B64" w:rsidRDefault="007C198D" w:rsidP="00F33B64">
            <w:pPr>
              <w:pStyle w:val="NoSpacing"/>
              <w:rPr>
                <w:rFonts w:cstheme="minorHAnsi"/>
              </w:rPr>
            </w:pPr>
            <w:r w:rsidRPr="00F33B64">
              <w:rPr>
                <w:rFonts w:cstheme="minorHAnsi"/>
              </w:rPr>
              <w:t xml:space="preserve">2.0 </w:t>
            </w:r>
            <w:r>
              <w:rPr>
                <w:rFonts w:cstheme="minorHAnsi"/>
              </w:rPr>
              <w:t>±</w:t>
            </w:r>
            <w:r w:rsidRPr="00F33B64">
              <w:rPr>
                <w:rFonts w:cstheme="minorHAnsi"/>
              </w:rPr>
              <w:t xml:space="preserve"> 1.1</w:t>
            </w:r>
          </w:p>
        </w:tc>
        <w:tc>
          <w:tcPr>
            <w:tcW w:w="899" w:type="dxa"/>
          </w:tcPr>
          <w:p w14:paraId="4B364843" w14:textId="5F3D7540" w:rsidR="003947F3" w:rsidRPr="00F33B64" w:rsidRDefault="007C198D" w:rsidP="00F33B64">
            <w:pPr>
              <w:pStyle w:val="NoSpacing"/>
              <w:rPr>
                <w:rFonts w:cstheme="minorHAnsi"/>
              </w:rPr>
            </w:pPr>
            <w:r w:rsidRPr="00F33B64">
              <w:rPr>
                <w:rFonts w:cstheme="minorHAnsi"/>
              </w:rPr>
              <w:t xml:space="preserve">1.7 </w:t>
            </w:r>
            <w:r>
              <w:rPr>
                <w:rFonts w:cstheme="minorHAnsi"/>
              </w:rPr>
              <w:t>±</w:t>
            </w:r>
            <w:r w:rsidRPr="00F33B64">
              <w:rPr>
                <w:rFonts w:cstheme="minorHAnsi"/>
              </w:rPr>
              <w:t xml:space="preserve"> 0.8</w:t>
            </w:r>
          </w:p>
        </w:tc>
        <w:tc>
          <w:tcPr>
            <w:tcW w:w="898" w:type="dxa"/>
          </w:tcPr>
          <w:p w14:paraId="7C7EFD0A" w14:textId="144C5597" w:rsidR="003947F3" w:rsidRPr="00F33B64" w:rsidRDefault="007C198D" w:rsidP="00F33B64">
            <w:pPr>
              <w:pStyle w:val="NoSpacing"/>
              <w:rPr>
                <w:rFonts w:cstheme="minorHAnsi"/>
              </w:rPr>
            </w:pPr>
            <w:r w:rsidRPr="00F33B64">
              <w:rPr>
                <w:rFonts w:cstheme="minorHAnsi"/>
              </w:rPr>
              <w:t xml:space="preserve">2.5 </w:t>
            </w:r>
            <w:r>
              <w:rPr>
                <w:rFonts w:cstheme="minorHAnsi"/>
              </w:rPr>
              <w:t>±</w:t>
            </w:r>
            <w:r w:rsidRPr="00F33B64">
              <w:rPr>
                <w:rFonts w:cstheme="minorHAnsi"/>
              </w:rPr>
              <w:t xml:space="preserve"> 1.0</w:t>
            </w:r>
          </w:p>
        </w:tc>
        <w:tc>
          <w:tcPr>
            <w:tcW w:w="0" w:type="auto"/>
          </w:tcPr>
          <w:p w14:paraId="2EBE6C82" w14:textId="065254D8" w:rsidR="003947F3" w:rsidRPr="00F33B64" w:rsidRDefault="007C198D" w:rsidP="00F33B64">
            <w:pPr>
              <w:pStyle w:val="NoSpacing"/>
              <w:rPr>
                <w:rFonts w:cstheme="minorHAnsi"/>
              </w:rPr>
            </w:pPr>
            <w:r w:rsidRPr="00F33B64">
              <w:rPr>
                <w:rFonts w:cstheme="minorHAnsi"/>
              </w:rPr>
              <w:t xml:space="preserve">2.1 </w:t>
            </w:r>
            <w:r>
              <w:rPr>
                <w:rFonts w:cstheme="minorHAnsi"/>
              </w:rPr>
              <w:t>±</w:t>
            </w:r>
            <w:r w:rsidRPr="00F33B64">
              <w:rPr>
                <w:rFonts w:cstheme="minorHAnsi"/>
              </w:rPr>
              <w:t xml:space="preserve"> 0.8</w:t>
            </w:r>
          </w:p>
        </w:tc>
        <w:tc>
          <w:tcPr>
            <w:tcW w:w="0" w:type="auto"/>
          </w:tcPr>
          <w:p w14:paraId="5A558513" w14:textId="61242DE3" w:rsidR="003947F3" w:rsidRPr="00F33B64" w:rsidRDefault="007C198D" w:rsidP="00F33B64">
            <w:pPr>
              <w:pStyle w:val="NoSpacing"/>
              <w:rPr>
                <w:rFonts w:cstheme="minorHAnsi"/>
              </w:rPr>
            </w:pPr>
            <w:r w:rsidRPr="00F33B64">
              <w:rPr>
                <w:rFonts w:cstheme="minorHAnsi"/>
              </w:rPr>
              <w:t xml:space="preserve">1.5 </w:t>
            </w:r>
            <w:r>
              <w:rPr>
                <w:rFonts w:cstheme="minorHAnsi"/>
              </w:rPr>
              <w:t>±</w:t>
            </w:r>
            <w:r w:rsidRPr="00F33B64">
              <w:rPr>
                <w:rFonts w:cstheme="minorHAnsi"/>
              </w:rPr>
              <w:t xml:space="preserve"> 1.0</w:t>
            </w:r>
          </w:p>
        </w:tc>
        <w:tc>
          <w:tcPr>
            <w:tcW w:w="0" w:type="auto"/>
          </w:tcPr>
          <w:p w14:paraId="1DDF1F8B" w14:textId="656FF164" w:rsidR="003947F3" w:rsidRPr="00F33B64" w:rsidRDefault="007C198D" w:rsidP="00F33B64">
            <w:pPr>
              <w:pStyle w:val="NoSpacing"/>
              <w:rPr>
                <w:rFonts w:cstheme="minorHAnsi"/>
              </w:rPr>
            </w:pPr>
            <w:r w:rsidRPr="00F33B64">
              <w:rPr>
                <w:rFonts w:cstheme="minorHAnsi"/>
              </w:rPr>
              <w:t xml:space="preserve">1.2 </w:t>
            </w:r>
            <w:r>
              <w:rPr>
                <w:rFonts w:cstheme="minorHAnsi"/>
              </w:rPr>
              <w:t>±</w:t>
            </w:r>
            <w:r w:rsidRPr="00F33B64">
              <w:rPr>
                <w:rFonts w:cstheme="minorHAnsi"/>
              </w:rPr>
              <w:t xml:space="preserve"> 0.7</w:t>
            </w:r>
          </w:p>
        </w:tc>
        <w:tc>
          <w:tcPr>
            <w:tcW w:w="0" w:type="auto"/>
          </w:tcPr>
          <w:p w14:paraId="13C9D1B8" w14:textId="763FBDE9" w:rsidR="003947F3" w:rsidRPr="00F33B64" w:rsidRDefault="007C198D" w:rsidP="00F33B64">
            <w:pPr>
              <w:pStyle w:val="NoSpacing"/>
              <w:rPr>
                <w:rFonts w:cstheme="minorHAnsi"/>
              </w:rPr>
            </w:pPr>
            <w:r w:rsidRPr="00F33B64">
              <w:rPr>
                <w:rFonts w:cstheme="minorHAnsi"/>
              </w:rPr>
              <w:t>0.050 (0.140)</w:t>
            </w:r>
          </w:p>
        </w:tc>
        <w:tc>
          <w:tcPr>
            <w:tcW w:w="0" w:type="auto"/>
          </w:tcPr>
          <w:p w14:paraId="407F387D" w14:textId="45F5BE12" w:rsidR="003947F3" w:rsidRPr="00F33B64" w:rsidRDefault="007C198D" w:rsidP="00F33B64">
            <w:pPr>
              <w:pStyle w:val="NoSpacing"/>
              <w:rPr>
                <w:rFonts w:cstheme="minorHAnsi"/>
              </w:rPr>
            </w:pPr>
            <w:r w:rsidRPr="00F33B64">
              <w:rPr>
                <w:rFonts w:cstheme="minorHAnsi"/>
              </w:rPr>
              <w:t>0.005 (0.262)</w:t>
            </w:r>
          </w:p>
        </w:tc>
        <w:tc>
          <w:tcPr>
            <w:tcW w:w="0" w:type="auto"/>
          </w:tcPr>
          <w:p w14:paraId="6BA6F989" w14:textId="5800B252" w:rsidR="003947F3" w:rsidRPr="00F33B64" w:rsidRDefault="007C198D" w:rsidP="00F33B64">
            <w:pPr>
              <w:pStyle w:val="NoSpacing"/>
              <w:rPr>
                <w:rFonts w:cstheme="minorHAnsi"/>
              </w:rPr>
            </w:pPr>
            <w:r w:rsidRPr="00F33B64">
              <w:rPr>
                <w:rFonts w:cstheme="minorHAnsi"/>
              </w:rPr>
              <w:t>0.499 (0.018)</w:t>
            </w:r>
          </w:p>
        </w:tc>
      </w:tr>
    </w:tbl>
    <w:p w14:paraId="6749B69F" w14:textId="5B81BC59" w:rsidR="00395D79" w:rsidRPr="00395D79" w:rsidRDefault="00395D79" w:rsidP="00395D79">
      <w:pPr>
        <w:pStyle w:val="NoSpacing"/>
      </w:pPr>
      <w:r w:rsidRPr="00395D79">
        <w:t xml:space="preserve">MCI, Mild cognitive impairment; CN, normal cognition control; </w:t>
      </w:r>
      <m:oMath>
        <m:sSub>
          <m:sSubPr>
            <m:ctrlPr>
              <w:rPr>
                <w:rFonts w:ascii="Cambria Math" w:hAnsi="Cambria Math"/>
                <w:iCs/>
              </w:rPr>
            </m:ctrlPr>
          </m:sSubPr>
          <m:e>
            <m:acc>
              <m:accPr>
                <m:chr m:val="̇"/>
                <m:ctrlPr>
                  <w:rPr>
                    <w:rFonts w:ascii="Cambria Math" w:hAnsi="Cambria Math"/>
                    <w:iCs/>
                  </w:rPr>
                </m:ctrlPr>
              </m:accPr>
              <m:e>
                <m:r>
                  <m:rPr>
                    <m:sty m:val="p"/>
                  </m:rPr>
                  <w:rPr>
                    <w:rFonts w:ascii="Cambria Math" w:hAnsi="Cambria Math"/>
                  </w:rPr>
                  <m:t>V</m:t>
                </m:r>
              </m:e>
            </m:acc>
            <m:r>
              <m:rPr>
                <m:sty m:val="p"/>
              </m:rPr>
              <w:rPr>
                <w:rFonts w:ascii="Cambria Math" w:hAnsi="Cambria Math"/>
              </w:rPr>
              <m:t>O</m:t>
            </m:r>
          </m:e>
          <m:sub>
            <m:r>
              <m:rPr>
                <m:sty m:val="p"/>
              </m:rPr>
              <w:rPr>
                <w:rFonts w:ascii="Cambria Math" w:hAnsi="Cambria Math"/>
                <w:vertAlign w:val="subscript"/>
              </w:rPr>
              <m:t>2peak</m:t>
            </m:r>
          </m:sub>
        </m:sSub>
      </m:oMath>
      <w:r w:rsidRPr="00395D79">
        <w:t>, peak rate of oxygen consumption; GDS, geria</w:t>
      </w:r>
      <w:proofErr w:type="spellStart"/>
      <w:r w:rsidRPr="00395D79">
        <w:t>tric</w:t>
      </w:r>
      <w:proofErr w:type="spellEnd"/>
      <w:r w:rsidRPr="00395D79">
        <w:t xml:space="preserve"> depression scale; DRS-2, Mattis dementia rating scale-2; RAVLT T1-5, Rey auditory verbal learning test; LM, logical memory task; COWAT, controlled oral word association test; p-values and effect size </w:t>
      </w:r>
      <m:oMath>
        <m:d>
          <m:dPr>
            <m:ctrlPr>
              <w:rPr>
                <w:rFonts w:ascii="Cambria Math" w:hAnsi="Cambria Math" w:cstheme="minorHAnsi"/>
                <w:iCs/>
              </w:rPr>
            </m:ctrlPr>
          </m:dPr>
          <m:e>
            <m:sSubSup>
              <m:sSubSupPr>
                <m:ctrlPr>
                  <w:rPr>
                    <w:rFonts w:ascii="Cambria Math" w:hAnsi="Cambria Math" w:cstheme="minorHAnsi"/>
                    <w:iCs/>
                  </w:rPr>
                </m:ctrlPr>
              </m:sSubSupPr>
              <m:e>
                <m:r>
                  <m:rPr>
                    <m:sty m:val="p"/>
                  </m:rPr>
                  <w:rPr>
                    <w:rFonts w:ascii="Cambria Math" w:hAnsi="Cambria Math" w:cstheme="minorHAnsi"/>
                  </w:rPr>
                  <m:t>η</m:t>
                </m:r>
              </m:e>
              <m:sub>
                <m:r>
                  <m:rPr>
                    <m:sty m:val="p"/>
                  </m:rPr>
                  <w:rPr>
                    <w:rFonts w:ascii="Cambria Math" w:hAnsi="Cambria Math" w:cstheme="minorHAnsi"/>
                    <w:vertAlign w:val="subscript"/>
                  </w:rPr>
                  <m:t>p</m:t>
                </m:r>
              </m:sub>
              <m:sup>
                <m:r>
                  <m:rPr>
                    <m:sty m:val="p"/>
                  </m:rPr>
                  <w:rPr>
                    <w:rFonts w:ascii="Cambria Math" w:hAnsi="Cambria Math" w:cstheme="minorHAnsi"/>
                    <w:vertAlign w:val="superscript"/>
                  </w:rPr>
                  <m:t>2</m:t>
                </m:r>
              </m:sup>
            </m:sSubSup>
          </m:e>
        </m:d>
      </m:oMath>
      <w:r w:rsidRPr="00395D79">
        <w:t xml:space="preserve"> reflect the Time, Group, and Group × Time effects from repeated-measures ANOVA. Bold indicates p &lt;</w:t>
      </w:r>
      <w:r w:rsidR="00FE06FA">
        <w:t xml:space="preserve"> </w:t>
      </w:r>
      <w:r w:rsidR="00F33B64">
        <w:t>0.05.</w:t>
      </w:r>
    </w:p>
    <w:p w14:paraId="0142280A" w14:textId="77777777" w:rsidR="000A7051" w:rsidRDefault="000A7051" w:rsidP="003D33E1"/>
    <w:p w14:paraId="35F1C21B" w14:textId="77777777" w:rsidR="000A7051" w:rsidRPr="003D33E1" w:rsidRDefault="000A7051" w:rsidP="003D33E1"/>
    <w:p w14:paraId="7A21C590" w14:textId="77777777" w:rsidR="007C198D" w:rsidRDefault="007C198D" w:rsidP="005F151E">
      <w:pPr>
        <w:pStyle w:val="Heading2"/>
        <w:sectPr w:rsidR="007C198D" w:rsidSect="00B022FA">
          <w:pgSz w:w="15840" w:h="12240" w:orient="landscape"/>
          <w:pgMar w:top="1440" w:right="1440" w:bottom="1440" w:left="1440" w:header="720" w:footer="720" w:gutter="0"/>
          <w:cols w:space="720"/>
          <w:docGrid w:linePitch="360"/>
        </w:sectPr>
      </w:pPr>
    </w:p>
    <w:p w14:paraId="556AA2A2" w14:textId="77777777" w:rsidR="003D33E1" w:rsidRPr="003D33E1" w:rsidRDefault="003D33E1" w:rsidP="005F151E">
      <w:pPr>
        <w:pStyle w:val="Heading2"/>
      </w:pPr>
      <w:r w:rsidRPr="003D33E1">
        <w:t>Voxel-Wise Bilateral Anterior Insula Functional Connectivity</w:t>
      </w:r>
    </w:p>
    <w:p w14:paraId="76EDF811" w14:textId="3D0DCFFF" w:rsidR="003D33E1" w:rsidRPr="003D33E1" w:rsidRDefault="003D33E1" w:rsidP="003D33E1">
      <w:r w:rsidRPr="003D33E1">
        <w:t>We detected no significant main effects of Time, Group, and Group × Time interaction effects on the bilateral anterior insula FC. Also, there were no significant baseline differences in FC between groups. However, significant increase in FC between the bilateral anterior insula and clusters within left superior parietal lobule, inferior right precentral gyrus, and precuneus [MNI −33 −69 43 (LPI), BA 7, 19, 1,128 mm</w:t>
      </w:r>
      <w:r w:rsidRPr="003D33E1">
        <w:rPr>
          <w:vertAlign w:val="superscript"/>
        </w:rPr>
        <w:t>3</w:t>
      </w:r>
      <w:r w:rsidRPr="003D33E1">
        <w:t>] was found in the MCI group (</w:t>
      </w:r>
      <w:r w:rsidRPr="00590C2D">
        <w:t>Figure 3</w:t>
      </w:r>
      <w:r w:rsidRPr="003D33E1">
        <w:t>; Panel A). There was also a significantly increased connectivity between the bilateral anterior insula and bilateral precuneus [MNI 3 −63 41 (LPI), BA 7, 352 mm</w:t>
      </w:r>
      <w:r w:rsidRPr="003D33E1">
        <w:rPr>
          <w:vertAlign w:val="superscript"/>
        </w:rPr>
        <w:t>3</w:t>
      </w:r>
      <w:r w:rsidRPr="003D33E1">
        <w:t>] in individuals with MCI (</w:t>
      </w:r>
      <w:r w:rsidRPr="00590C2D">
        <w:t>Figure 3</w:t>
      </w:r>
      <w:r w:rsidRPr="003D33E1">
        <w:t>; Panel B). In the CN group, there was decreased FC after exercise training compared to before exercise training between bilateral insula clusters and clusters within the right middle occipital gyrus and cuneus [MNI 31 −77 9 (LPI), 616 mm</w:t>
      </w:r>
      <w:r w:rsidRPr="003D33E1">
        <w:rPr>
          <w:vertAlign w:val="superscript"/>
        </w:rPr>
        <w:t>3</w:t>
      </w:r>
      <w:r w:rsidRPr="003D33E1">
        <w:t>] (</w:t>
      </w:r>
      <w:r w:rsidRPr="00590C2D">
        <w:t>Figure 4</w:t>
      </w:r>
      <w:r w:rsidRPr="003D33E1">
        <w:t>; Panel A) with the left lingual gyrus and cuneus [MNI −13 −79 −15 (LPI), BA 18, 344 mm</w:t>
      </w:r>
      <w:r w:rsidRPr="003D33E1">
        <w:rPr>
          <w:vertAlign w:val="superscript"/>
        </w:rPr>
        <w:t>3</w:t>
      </w:r>
      <w:r w:rsidRPr="003D33E1">
        <w:t>] (</w:t>
      </w:r>
      <w:r w:rsidRPr="00590C2D">
        <w:t>Figure 4</w:t>
      </w:r>
      <w:r w:rsidRPr="003D33E1">
        <w:t>; Panel B). Finally, while there were no significant group differences at the baseline, individuals with MCI, compared to their CN counterparts, demonstrated a greater FC between the bilateral anterior insula and clusters within the superior parietal lobule and inferior parietal lobule [MNI −35 −67 43 (LPI), BA 7, 424 mm</w:t>
      </w:r>
      <w:r w:rsidRPr="003D33E1">
        <w:rPr>
          <w:vertAlign w:val="superscript"/>
        </w:rPr>
        <w:t>3</w:t>
      </w:r>
      <w:r w:rsidRPr="003D33E1">
        <w:t>] after ET (</w:t>
      </w:r>
      <w:r w:rsidRPr="00590C2D">
        <w:t>Figure 5</w:t>
      </w:r>
      <w:r w:rsidRPr="003D33E1">
        <w:t>).</w:t>
      </w:r>
    </w:p>
    <w:p w14:paraId="543194BF" w14:textId="2416EE77" w:rsidR="003D33E1" w:rsidRPr="003D33E1" w:rsidRDefault="003D33E1" w:rsidP="007C198D">
      <w:pPr>
        <w:pStyle w:val="NoSpacing"/>
      </w:pPr>
      <w:bookmarkStart w:id="14" w:name="figure3"/>
      <w:r w:rsidRPr="003D33E1">
        <w:rPr>
          <w:noProof/>
        </w:rPr>
        <w:drawing>
          <wp:inline distT="0" distB="0" distL="0" distR="0" wp14:anchorId="47CDB467" wp14:editId="6AA252E5">
            <wp:extent cx="2743200" cy="3364992"/>
            <wp:effectExtent l="0" t="0" r="0" b="6985"/>
            <wp:docPr id="4" name="Picture 4" descr="www.frontiersin.org">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 descr="www.frontiersin.org">
                      <a:hlinkClick r:id="rId14" tgtFrame="&quot;_blank&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3364992"/>
                    </a:xfrm>
                    <a:prstGeom prst="rect">
                      <a:avLst/>
                    </a:prstGeom>
                    <a:noFill/>
                    <a:ln>
                      <a:noFill/>
                    </a:ln>
                  </pic:spPr>
                </pic:pic>
              </a:graphicData>
            </a:graphic>
          </wp:inline>
        </w:drawing>
      </w:r>
      <w:bookmarkEnd w:id="14"/>
    </w:p>
    <w:p w14:paraId="0D2451D6" w14:textId="77777777" w:rsidR="003D33E1" w:rsidRPr="003D33E1" w:rsidRDefault="003D33E1" w:rsidP="007C198D">
      <w:pPr>
        <w:pStyle w:val="NoSpacing"/>
      </w:pPr>
      <w:r w:rsidRPr="003D33E1">
        <w:t>FIGURE 3. Increases in functional connectivity between the anterior insula and </w:t>
      </w:r>
      <w:r w:rsidRPr="003D33E1">
        <w:rPr>
          <w:b/>
          <w:bCs/>
        </w:rPr>
        <w:t>(A)</w:t>
      </w:r>
      <w:r w:rsidRPr="003D33E1">
        <w:t> left superior parietal lobe, inferior parietal lobe, and </w:t>
      </w:r>
      <w:r w:rsidRPr="003D33E1">
        <w:rPr>
          <w:b/>
          <w:bCs/>
        </w:rPr>
        <w:t>(B)</w:t>
      </w:r>
      <w:r w:rsidRPr="003D33E1">
        <w:t> bilateral precuneus were found after exercise training in MCI individuals. Adjacent bar graphs indicate the connectivity between the anterior insula and respective regions (±SEM) before and after exercise training. 95% CI above bar graphs indicates 95% confidence interval in the difference from before to after exercise training.</w:t>
      </w:r>
    </w:p>
    <w:p w14:paraId="2E663159" w14:textId="39A54C41" w:rsidR="003D33E1" w:rsidRPr="003D33E1" w:rsidRDefault="003D33E1" w:rsidP="007C198D">
      <w:pPr>
        <w:pStyle w:val="NoSpacing"/>
      </w:pPr>
      <w:bookmarkStart w:id="15" w:name="figure4"/>
      <w:r w:rsidRPr="003D33E1">
        <w:rPr>
          <w:noProof/>
        </w:rPr>
        <w:drawing>
          <wp:inline distT="0" distB="0" distL="0" distR="0" wp14:anchorId="398EA7CA" wp14:editId="705316E5">
            <wp:extent cx="2743200" cy="3538728"/>
            <wp:effectExtent l="0" t="0" r="0" b="5080"/>
            <wp:docPr id="3" name="Picture 3" descr="www.frontiersin.or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4" descr="www.frontiersin.org">
                      <a:hlinkClick r:id="rId16" tgtFrame="&quot;_blank&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3538728"/>
                    </a:xfrm>
                    <a:prstGeom prst="rect">
                      <a:avLst/>
                    </a:prstGeom>
                    <a:noFill/>
                    <a:ln>
                      <a:noFill/>
                    </a:ln>
                  </pic:spPr>
                </pic:pic>
              </a:graphicData>
            </a:graphic>
          </wp:inline>
        </w:drawing>
      </w:r>
      <w:bookmarkEnd w:id="15"/>
    </w:p>
    <w:p w14:paraId="217FE57F" w14:textId="77777777" w:rsidR="003D33E1" w:rsidRPr="003D33E1" w:rsidRDefault="003D33E1" w:rsidP="007C198D">
      <w:pPr>
        <w:pStyle w:val="NoSpacing"/>
      </w:pPr>
      <w:r w:rsidRPr="003D33E1">
        <w:t>FIGURE 4. Decreases in functional connectivity between the anterior insula and </w:t>
      </w:r>
      <w:r w:rsidRPr="003D33E1">
        <w:rPr>
          <w:b/>
          <w:bCs/>
        </w:rPr>
        <w:t>(A)</w:t>
      </w:r>
      <w:r w:rsidRPr="003D33E1">
        <w:t> right middle occipital gyrus and cuneus, and </w:t>
      </w:r>
      <w:r w:rsidRPr="003D33E1">
        <w:rPr>
          <w:b/>
          <w:bCs/>
        </w:rPr>
        <w:t>(B)</w:t>
      </w:r>
      <w:r w:rsidRPr="003D33E1">
        <w:t> left lingula gyrus and cuneus were found after exercise training in CN individuals. Adjacent bar graphs indicate the connectivity between the anterior insula and respective regions (± SEM) for before and after exercise training. 95% CI above bar graphs indicates 95% confidence interval in the difference from before to after exercise training.</w:t>
      </w:r>
    </w:p>
    <w:p w14:paraId="42251AF9" w14:textId="2B1912BF" w:rsidR="003D33E1" w:rsidRPr="003D33E1" w:rsidRDefault="003D33E1" w:rsidP="007C198D">
      <w:pPr>
        <w:pStyle w:val="NoSpacing"/>
      </w:pPr>
      <w:bookmarkStart w:id="16" w:name="figure5"/>
      <w:r w:rsidRPr="003D33E1">
        <w:rPr>
          <w:noProof/>
        </w:rPr>
        <w:drawing>
          <wp:inline distT="0" distB="0" distL="0" distR="0" wp14:anchorId="30C7B817" wp14:editId="26C5DB7C">
            <wp:extent cx="3657600" cy="2176272"/>
            <wp:effectExtent l="0" t="0" r="0" b="0"/>
            <wp:docPr id="2" name="Picture 2" descr="www.frontiersin.or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5" descr="www.frontiersin.org">
                      <a:hlinkClick r:id="rId18" tgtFrame="&quot;_blank&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57600" cy="2176272"/>
                    </a:xfrm>
                    <a:prstGeom prst="rect">
                      <a:avLst/>
                    </a:prstGeom>
                    <a:noFill/>
                    <a:ln>
                      <a:noFill/>
                    </a:ln>
                  </pic:spPr>
                </pic:pic>
              </a:graphicData>
            </a:graphic>
          </wp:inline>
        </w:drawing>
      </w:r>
      <w:bookmarkEnd w:id="16"/>
    </w:p>
    <w:p w14:paraId="24888D63" w14:textId="77777777" w:rsidR="003D33E1" w:rsidRDefault="003D33E1" w:rsidP="007C198D">
      <w:pPr>
        <w:pStyle w:val="NoSpacing"/>
      </w:pPr>
      <w:r w:rsidRPr="003D33E1">
        <w:t>FIGURE 5. Greater functional connectivity between the anterior insula and left superior parietal lobule and inferior parietal lobule were found after exercise training in individuals with MCI compared to individuals with CN. Adjacent bar graphs indicate the connectivity between the anterior insula and respective regions (±SEM) for after exercise training. 95% CI above bar graphs indicate 95% confidence interval in the group difference (CN vs MCI).</w:t>
      </w:r>
    </w:p>
    <w:p w14:paraId="04E52DF5" w14:textId="77777777" w:rsidR="007C198D" w:rsidRPr="003D33E1" w:rsidRDefault="007C198D" w:rsidP="003D33E1"/>
    <w:p w14:paraId="25A4DB05" w14:textId="77777777" w:rsidR="003D33E1" w:rsidRPr="003D33E1" w:rsidRDefault="003D33E1" w:rsidP="00B6729F">
      <w:pPr>
        <w:pStyle w:val="Heading2"/>
      </w:pPr>
      <w:r w:rsidRPr="003D33E1">
        <w:t>Associations Between Subjective Well-Being and Bilateral Anterior Insula Functional Connectivity</w:t>
      </w:r>
    </w:p>
    <w:p w14:paraId="4073104E" w14:textId="6B0E4316" w:rsidR="003D33E1" w:rsidRPr="003D33E1" w:rsidRDefault="003D33E1" w:rsidP="003D33E1">
      <w:r w:rsidRPr="003D33E1">
        <w:t>As a significant change in subjective well-being was only found in the MCI group (Before ET: 24.6 ± 5.7, After ET: 27.0 ± 4.2; </w:t>
      </w:r>
      <w:r w:rsidRPr="003D33E1">
        <w:rPr>
          <w:i/>
          <w:iCs/>
        </w:rPr>
        <w:t>p</w:t>
      </w:r>
      <w:r w:rsidRPr="003D33E1">
        <w:t> = 0.003), the association between subjective well-being and bilateral anterior insula FC was only assessed in the MCI group. To examine the association between subjective well-being and bilateral anterior insula FC, average </w:t>
      </w:r>
      <w:r w:rsidRPr="003D33E1">
        <w:rPr>
          <w:i/>
          <w:iCs/>
        </w:rPr>
        <w:t>z</w:t>
      </w:r>
      <w:r w:rsidRPr="003D33E1">
        <w:t>-scored connectivity within the regions shown in </w:t>
      </w:r>
      <w:r w:rsidRPr="00590C2D">
        <w:t>Figure 3</w:t>
      </w:r>
      <w:r w:rsidRPr="003D33E1">
        <w:t> was extracted from subject-level correlation maps. First, there were no significant correlations between subjective well-being and bilateral anterior insula FC with left SPL, IPL, and precuneus both before [</w:t>
      </w:r>
      <w:r w:rsidRPr="003D33E1">
        <w:rPr>
          <w:i/>
          <w:iCs/>
        </w:rPr>
        <w:t>R</w:t>
      </w:r>
      <w:r w:rsidRPr="003D33E1">
        <w:t> = 0.123</w:t>
      </w:r>
      <w:r w:rsidRPr="003D33E1">
        <w:rPr>
          <w:i/>
          <w:iCs/>
        </w:rPr>
        <w:t>, R</w:t>
      </w:r>
      <w:r w:rsidRPr="003D33E1">
        <w:rPr>
          <w:i/>
          <w:iCs/>
          <w:vertAlign w:val="superscript"/>
        </w:rPr>
        <w:t>2</w:t>
      </w:r>
      <w:r w:rsidRPr="003D33E1">
        <w:t> = 0.015, </w:t>
      </w:r>
      <w:r w:rsidRPr="003D33E1">
        <w:rPr>
          <w:i/>
          <w:iCs/>
        </w:rPr>
        <w:t>p</w:t>
      </w:r>
      <w:r w:rsidRPr="003D33E1">
        <w:t> = 0.675] and after ET [</w:t>
      </w:r>
      <w:r w:rsidRPr="003D33E1">
        <w:rPr>
          <w:i/>
          <w:iCs/>
        </w:rPr>
        <w:t>R</w:t>
      </w:r>
      <w:r w:rsidRPr="003D33E1">
        <w:t> = 0.007</w:t>
      </w:r>
      <w:r w:rsidRPr="003D33E1">
        <w:rPr>
          <w:i/>
          <w:iCs/>
        </w:rPr>
        <w:t>, R</w:t>
      </w:r>
      <w:r w:rsidRPr="003D33E1">
        <w:rPr>
          <w:i/>
          <w:iCs/>
          <w:vertAlign w:val="superscript"/>
        </w:rPr>
        <w:t>2</w:t>
      </w:r>
      <w:r w:rsidRPr="003D33E1">
        <w:t> = 0.00005, </w:t>
      </w:r>
      <w:r w:rsidRPr="003D33E1">
        <w:rPr>
          <w:i/>
          <w:iCs/>
        </w:rPr>
        <w:t>p</w:t>
      </w:r>
      <w:r w:rsidRPr="003D33E1">
        <w:t> = 0.980]. While there was no significant correlation between the subjective well-being and bilateral anterior insula FC with bilateral precuneus before ET [</w:t>
      </w:r>
      <w:r w:rsidRPr="003D33E1">
        <w:rPr>
          <w:i/>
          <w:iCs/>
        </w:rPr>
        <w:t>R</w:t>
      </w:r>
      <w:r w:rsidRPr="003D33E1">
        <w:t> = 0.347</w:t>
      </w:r>
      <w:r w:rsidRPr="003D33E1">
        <w:rPr>
          <w:i/>
          <w:iCs/>
        </w:rPr>
        <w:t>, R</w:t>
      </w:r>
      <w:r w:rsidRPr="003D33E1">
        <w:rPr>
          <w:i/>
          <w:iCs/>
          <w:vertAlign w:val="superscript"/>
        </w:rPr>
        <w:t>2</w:t>
      </w:r>
      <w:r w:rsidRPr="003D33E1">
        <w:t> = 0.121, </w:t>
      </w:r>
      <w:r w:rsidRPr="003D33E1">
        <w:rPr>
          <w:i/>
          <w:iCs/>
        </w:rPr>
        <w:t>p</w:t>
      </w:r>
      <w:r w:rsidRPr="003D33E1">
        <w:t> = 0.222] (</w:t>
      </w:r>
      <w:r w:rsidRPr="00590C2D">
        <w:t>Figure 6</w:t>
      </w:r>
      <w:r w:rsidRPr="003D33E1">
        <w:t>; Panel A), a significantly positive correlation was observed after ET [</w:t>
      </w:r>
      <w:r w:rsidRPr="003D33E1">
        <w:rPr>
          <w:i/>
          <w:iCs/>
        </w:rPr>
        <w:t>R</w:t>
      </w:r>
      <w:r w:rsidRPr="003D33E1">
        <w:t> = 0.685</w:t>
      </w:r>
      <w:r w:rsidRPr="003D33E1">
        <w:rPr>
          <w:i/>
          <w:iCs/>
        </w:rPr>
        <w:t>, R</w:t>
      </w:r>
      <w:r w:rsidRPr="003D33E1">
        <w:rPr>
          <w:i/>
          <w:iCs/>
          <w:vertAlign w:val="superscript"/>
        </w:rPr>
        <w:t>2</w:t>
      </w:r>
      <w:r w:rsidRPr="003D33E1">
        <w:t> = 0.470, </w:t>
      </w:r>
      <w:r w:rsidRPr="003D33E1">
        <w:rPr>
          <w:i/>
          <w:iCs/>
        </w:rPr>
        <w:t>p</w:t>
      </w:r>
      <w:r w:rsidRPr="003D33E1">
        <w:t> = 0.006] (</w:t>
      </w:r>
      <w:r w:rsidRPr="00590C2D">
        <w:t>Figure 6</w:t>
      </w:r>
      <w:r w:rsidRPr="003D33E1">
        <w:t>; Panel B). Therefore, correlations between subjective well-being and bilateral anterior insula-bilateral precuneus FC were used for the subsequent analysis. Lastly, we compared the statistical difference in the correlations between subjective well-being and bilateral anterior insula-bilateral precuneus FC before and after ET. Results revealed that there was a significant difference between the correlations (</w:t>
      </w:r>
      <w:r w:rsidRPr="003D33E1">
        <w:rPr>
          <w:i/>
          <w:iCs/>
        </w:rPr>
        <w:t>Z</w:t>
      </w:r>
      <w:r w:rsidRPr="003D33E1">
        <w:t> = −4.862, </w:t>
      </w:r>
      <w:r w:rsidRPr="003D33E1">
        <w:rPr>
          <w:i/>
          <w:iCs/>
        </w:rPr>
        <w:t>p</w:t>
      </w:r>
      <w:r w:rsidRPr="003D33E1">
        <w:t> &lt; 0.001), suggesting that the correlation between subjective well-being and bilateral anterior insula-bilateral precuneus FC became significantly different after ET compared to before ET in participants with MCI.</w:t>
      </w:r>
    </w:p>
    <w:p w14:paraId="13371251" w14:textId="7D0C121F" w:rsidR="003D33E1" w:rsidRPr="003D33E1" w:rsidRDefault="003D33E1" w:rsidP="00B6729F">
      <w:pPr>
        <w:pStyle w:val="NoSpacing"/>
      </w:pPr>
      <w:bookmarkStart w:id="17" w:name="figure6"/>
      <w:r w:rsidRPr="003D33E1">
        <w:rPr>
          <w:noProof/>
        </w:rPr>
        <w:drawing>
          <wp:inline distT="0" distB="0" distL="0" distR="0" wp14:anchorId="78EE1DAC" wp14:editId="7A772169">
            <wp:extent cx="2743200" cy="4809744"/>
            <wp:effectExtent l="0" t="0" r="0" b="0"/>
            <wp:docPr id="1" name="Picture 1" descr="www.frontiersin.org">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6" descr="www.frontiersin.org">
                      <a:hlinkClick r:id="rId20" tgtFrame="&quot;_blank&quo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4809744"/>
                    </a:xfrm>
                    <a:prstGeom prst="rect">
                      <a:avLst/>
                    </a:prstGeom>
                    <a:noFill/>
                    <a:ln>
                      <a:noFill/>
                    </a:ln>
                  </pic:spPr>
                </pic:pic>
              </a:graphicData>
            </a:graphic>
          </wp:inline>
        </w:drawing>
      </w:r>
      <w:bookmarkEnd w:id="17"/>
    </w:p>
    <w:p w14:paraId="42C674FC" w14:textId="77777777" w:rsidR="003D33E1" w:rsidRDefault="003D33E1" w:rsidP="00B6729F">
      <w:pPr>
        <w:pStyle w:val="NoSpacing"/>
      </w:pPr>
      <w:r w:rsidRPr="003D33E1">
        <w:t>FIGURE 6. No significant associations between anterior insula-FC and life satisfaction scale in MCI individuals before (Panel </w:t>
      </w:r>
      <w:r w:rsidRPr="003D33E1">
        <w:rPr>
          <w:b/>
          <w:bCs/>
        </w:rPr>
        <w:t>A</w:t>
      </w:r>
      <w:r w:rsidRPr="003D33E1">
        <w:t>) and significantly positive association after exercise training (Panel </w:t>
      </w:r>
      <w:r w:rsidRPr="003D33E1">
        <w:rPr>
          <w:b/>
          <w:bCs/>
        </w:rPr>
        <w:t>B</w:t>
      </w:r>
      <w:r w:rsidRPr="003D33E1">
        <w:t>). The </w:t>
      </w:r>
      <w:r w:rsidRPr="003D33E1">
        <w:rPr>
          <w:i/>
          <w:iCs/>
        </w:rPr>
        <w:t>r</w:t>
      </w:r>
      <w:r w:rsidRPr="003D33E1">
        <w:t>, </w:t>
      </w:r>
      <w:r w:rsidRPr="003D33E1">
        <w:rPr>
          <w:i/>
          <w:iCs/>
        </w:rPr>
        <w:t>r</w:t>
      </w:r>
      <w:r w:rsidRPr="003D33E1">
        <w:rPr>
          <w:vertAlign w:val="superscript"/>
        </w:rPr>
        <w:t>2</w:t>
      </w:r>
      <w:r w:rsidRPr="003D33E1">
        <w:t>, </w:t>
      </w:r>
      <w:r w:rsidRPr="003D33E1">
        <w:rPr>
          <w:i/>
          <w:iCs/>
        </w:rPr>
        <w:t>p</w:t>
      </w:r>
      <w:r w:rsidRPr="003D33E1">
        <w:t>-value, and 95% confidence interval reflect the correlation of anterior insula-FC and life satisfaction and dotted curves indicate 95% confidence interval around the regression line.</w:t>
      </w:r>
    </w:p>
    <w:p w14:paraId="717B071C" w14:textId="77777777" w:rsidR="00B6729F" w:rsidRPr="003D33E1" w:rsidRDefault="00B6729F" w:rsidP="003D33E1"/>
    <w:p w14:paraId="5282ACEE" w14:textId="77777777" w:rsidR="003D33E1" w:rsidRPr="003D33E1" w:rsidRDefault="003D33E1" w:rsidP="00B6729F">
      <w:pPr>
        <w:pStyle w:val="Heading1"/>
      </w:pPr>
      <w:bookmarkStart w:id="18" w:name="h5"/>
      <w:bookmarkEnd w:id="18"/>
      <w:r w:rsidRPr="003D33E1">
        <w:t>Discussion</w:t>
      </w:r>
    </w:p>
    <w:p w14:paraId="7A3107F0" w14:textId="77777777" w:rsidR="003D33E1" w:rsidRPr="003D33E1" w:rsidRDefault="003D33E1" w:rsidP="003D33E1">
      <w:r w:rsidRPr="003D33E1">
        <w:t>The present study investigated the effects of a 12-week walking intervention on subjective well-being and bilateral anterior insula FC in older adults with MCI and normal cognition. The walking exercise intervention resulted in an approximately 10% increase in cardiorespiratory fitness (V̇O</w:t>
      </w:r>
      <w:r w:rsidRPr="003D33E1">
        <w:rPr>
          <w:vertAlign w:val="subscript"/>
        </w:rPr>
        <w:t>2peak</w:t>
      </w:r>
      <w:r w:rsidRPr="003D33E1">
        <w:t>) across participants. Those with MCI had lower subjective well-being at baseline, which increased to equal that of the CN group over the 12 weeks; CN older adults maintained subjective well-being over the 12 weeks. Moreover, opposite patterns of anterior insula FC were found between the groups after ET, such that there was an ET-induced increase in the FC between the bilateral anterior insula and other brain regions in MCI, but there was decreased FC between the bilateral anterior insula and other brain regions in the CN group. Finally, in the MCI group, we observed a positive association between anterior insula FC with the bilateral precuneus and subjective well-being after exercise training; an association that was not observed before ET.</w:t>
      </w:r>
    </w:p>
    <w:p w14:paraId="460A8E74" w14:textId="6700805F" w:rsidR="003D33E1" w:rsidRPr="003D33E1" w:rsidRDefault="003D33E1" w:rsidP="003D33E1">
      <w:r w:rsidRPr="003D33E1">
        <w:t>Previous aging literature suggests enhanced subjective well-being in older adults after exercise training. For example, a 4-month physical activity program consisting of aerobic, strength, and balance training demonstrated enhanced subjective well-being in older adults (67–85 years old) (</w:t>
      </w:r>
      <w:proofErr w:type="spellStart"/>
      <w:r w:rsidRPr="00590C2D">
        <w:t>Delle</w:t>
      </w:r>
      <w:proofErr w:type="spellEnd"/>
      <w:r w:rsidRPr="00590C2D">
        <w:t xml:space="preserve"> </w:t>
      </w:r>
      <w:proofErr w:type="spellStart"/>
      <w:r w:rsidRPr="00590C2D">
        <w:t>Fave</w:t>
      </w:r>
      <w:proofErr w:type="spellEnd"/>
      <w:r w:rsidRPr="00590C2D">
        <w:t xml:space="preserve"> et al., 2018</w:t>
      </w:r>
      <w:r w:rsidRPr="003D33E1">
        <w:t>). According to </w:t>
      </w:r>
      <w:r w:rsidRPr="00590C2D">
        <w:t>Mihalko and McAuley (1996)</w:t>
      </w:r>
      <w:r w:rsidRPr="003D33E1">
        <w:t>, older adults (83 years) who completed an 8-week upper-body high-intensity strength training demonstrated significantly greater increases in muscular strength and corresponding increase in levels of subjective well-being (</w:t>
      </w:r>
      <w:r w:rsidRPr="00590C2D">
        <w:t>Mihalko and McAuley, 1996</w:t>
      </w:r>
      <w:r w:rsidRPr="003D33E1">
        <w:t>). Similarly, there was a significantly improved subjective well-being following a 32-week aerobic exercise and light stretching intervention compared to a health education control condition in older adults (65 years) (</w:t>
      </w:r>
      <w:r w:rsidRPr="00590C2D">
        <w:t>McMurdo and Burnett, 1992</w:t>
      </w:r>
      <w:r w:rsidRPr="003D33E1">
        <w:t>). Lastly, </w:t>
      </w:r>
      <w:r w:rsidRPr="00590C2D">
        <w:t>Brawley et al. (2000)</w:t>
      </w:r>
      <w:r w:rsidRPr="003D33E1">
        <w:t> found significantly enhanced subjective well-being in response to a 12-week aerobic exercise program (</w:t>
      </w:r>
      <w:r w:rsidRPr="00590C2D">
        <w:t>Brawley et al., 2000</w:t>
      </w:r>
      <w:r w:rsidRPr="003D33E1">
        <w:t>). The present results extend the existing body of literature by suggesting the salutary effects of exercise training on subjective well-being also occur in older adults who live with cognitive decline.</w:t>
      </w:r>
    </w:p>
    <w:p w14:paraId="1E07D32E" w14:textId="18E2D0B5" w:rsidR="003D33E1" w:rsidRPr="003D33E1" w:rsidRDefault="003D33E1" w:rsidP="003D33E1">
      <w:r w:rsidRPr="003D33E1">
        <w:t>Previous investigations consistently reported a lower subjective well-being in people with MCI compared to CN older adults (</w:t>
      </w:r>
      <w:r w:rsidRPr="00590C2D">
        <w:t>St. John and Montgomery, 2010</w:t>
      </w:r>
      <w:r w:rsidRPr="003D33E1">
        <w:t>; </w:t>
      </w:r>
      <w:r w:rsidRPr="00590C2D">
        <w:t>Dos Santos et al., 2018</w:t>
      </w:r>
      <w:r w:rsidRPr="003D33E1">
        <w:t>). Although it was not statistically significant, we observed a trend toward lower baseline subjective well-being in the MCI group compared to the CN group (MCI 24.6 ± 5.7 vs CN 27.7 ± 6.1; </w:t>
      </w:r>
      <w:r w:rsidRPr="003D33E1">
        <w:rPr>
          <w:i/>
          <w:iCs/>
        </w:rPr>
        <w:t>p</w:t>
      </w:r>
      <w:r w:rsidRPr="003D33E1">
        <w:t> = 0.183). One possible factor driving the lack of ET-related changes in subjective well-being among the CN group could be a relatively high baseline subjective well-being. That is, the CN group had higher subjective well-being than the MCI group at baseline, indicating a possible ceiling effect that would not permit increased scores in the CN group but would allow greater opportunity for the participants with MCI to experience ET-related enhancement in subjective well-being. Indeed, exercise is likely to elicit greater effects on aspects of health-related quality of life among individuals experiencing age/pathology-related decline in brain function (</w:t>
      </w:r>
      <w:proofErr w:type="spellStart"/>
      <w:r w:rsidRPr="00590C2D">
        <w:t>Rippe</w:t>
      </w:r>
      <w:proofErr w:type="spellEnd"/>
      <w:r w:rsidRPr="00590C2D">
        <w:t>, 2019</w:t>
      </w:r>
      <w:r w:rsidRPr="003D33E1">
        <w:t>). It is also important to note that our exercise intervention brought the subjective well-being of participants with MCI up to the level of the CN older adults at the end of the study. Nevertheless, this must be interpreted with caution due to the small sample size in the present study and the lack of expected change in the CN group. Therefore, the possible differential effects of ET on subjective well-being based on cognitive status in older adults should be further clarified in the future using a larger sample.</w:t>
      </w:r>
    </w:p>
    <w:p w14:paraId="2D3D59CA" w14:textId="13E5CCEB" w:rsidR="003D33E1" w:rsidRPr="003D33E1" w:rsidRDefault="003D33E1" w:rsidP="003D33E1">
      <w:r w:rsidRPr="003D33E1">
        <w:t>A novel finding of the present study was that ET resulted in increased connectivity between a hub of the cingulo-opercular network and regions of the parietal cortex among participants with MCI. In support of the increased anterior insula FC in the present study, 6-month aerobic exercise training, in addition to regular intake of nutritional supplement, led to increased anterior insula FC compared to the baseline in older adults (64.6 years) (</w:t>
      </w:r>
      <w:r w:rsidRPr="00590C2D">
        <w:t>Voss et al., 2019</w:t>
      </w:r>
      <w:r w:rsidRPr="003D33E1">
        <w:t>). Furthermore, in older adults with MCI, a 24-week aerobic exercise training intervention was associated with changes in regional glucose metabolism within the areas of the cingulo-opercular network, possibly reflecting improved function and neuroplasticity within the network (</w:t>
      </w:r>
      <w:r w:rsidRPr="00590C2D">
        <w:t>Porto et al., 2018</w:t>
      </w:r>
      <w:r w:rsidRPr="003D33E1">
        <w:t>). It has been suggested that regular participation in exercise promotes elevated functional connectivity between brain regions in the aging brain (</w:t>
      </w:r>
      <w:r w:rsidRPr="00590C2D">
        <w:t>Voss et al., 2010</w:t>
      </w:r>
      <w:r w:rsidRPr="003D33E1">
        <w:t>). Indeed, the exercise training-induced increase in FC among those with MCI is consistent with our past work that demonstrated increased default-mode network (DMN) (</w:t>
      </w:r>
      <w:proofErr w:type="spellStart"/>
      <w:r w:rsidRPr="00590C2D">
        <w:t>Chirles</w:t>
      </w:r>
      <w:proofErr w:type="spellEnd"/>
      <w:r w:rsidRPr="00590C2D">
        <w:t xml:space="preserve"> et al., 2017</w:t>
      </w:r>
      <w:r w:rsidRPr="003D33E1">
        <w:t>), cerebellar network (</w:t>
      </w:r>
      <w:r w:rsidRPr="00590C2D">
        <w:t>Won et al., 2021a</w:t>
      </w:r>
      <w:r w:rsidRPr="003D33E1">
        <w:t>), and hippocampal FC (</w:t>
      </w:r>
      <w:r w:rsidRPr="00590C2D">
        <w:t>Won et al., 2021b</w:t>
      </w:r>
      <w:r w:rsidRPr="003D33E1">
        <w:t>) in response to exercise training. Hence, our results show that exercise training-related increased network connectivity aligns well with the prior exercise neuroimaging evidence in participants with MCI.</w:t>
      </w:r>
    </w:p>
    <w:p w14:paraId="25AA5833" w14:textId="3558B3C7" w:rsidR="003D33E1" w:rsidRPr="003D33E1" w:rsidRDefault="003D33E1" w:rsidP="003D33E1">
      <w:r w:rsidRPr="003D33E1">
        <w:t>Notably, the correlation between the anterior insula-precuneus connectivity and subjective well-being became significantly positive after ET in the MCI group. The relationship between anterior insula FC and subjective well-being presented in this study is supported by the work of </w:t>
      </w:r>
      <w:r w:rsidRPr="00590C2D">
        <w:t>Li et al. (2020)</w:t>
      </w:r>
      <w:r w:rsidRPr="003D33E1">
        <w:t> who reported an association between lower dorsal anterior insula FC and higher subjective well-being in older adults (70.6 years) (</w:t>
      </w:r>
      <w:r w:rsidRPr="00590C2D">
        <w:t>Li et al., 2020</w:t>
      </w:r>
      <w:r w:rsidRPr="003D33E1">
        <w:t>). </w:t>
      </w:r>
      <w:r w:rsidRPr="00590C2D">
        <w:t>Li et al. (2020)</w:t>
      </w:r>
      <w:r w:rsidRPr="003D33E1">
        <w:t> demonstrated that the brain regions that were functionally connected to the dorsal anterior insula were centered on core hubs of the default-mode network (DMN) regions, including the anterior medial prefrontal cortex and inferior parietal lobe. Although the direction of the association between the bilateral anterior insula FC and subjective well-being was opposite, presumably due to ET effects, we also observed that the relationship between the bilateral anterior insula functional network and subjective well-being was specific to the core hub region of the DMN (i.e., precuneus) (</w:t>
      </w:r>
      <w:r w:rsidRPr="00590C2D">
        <w:t>Buckner et al., 2008</w:t>
      </w:r>
      <w:r w:rsidRPr="003D33E1">
        <w:t>). The precuneus is a crucial region for integrating different types of information from other brain regions, and greater right precuneus volume has been associated with a greater subjective happiness score (</w:t>
      </w:r>
      <w:r w:rsidRPr="00590C2D">
        <w:t>Sato et al., 2015</w:t>
      </w:r>
      <w:r w:rsidRPr="003D33E1">
        <w:t>). In support, there is evidence for greater precuneus gray matter volume to be associated with greater satisfaction with life (</w:t>
      </w:r>
      <w:r w:rsidRPr="00590C2D">
        <w:t>Kong et al., 2015</w:t>
      </w:r>
      <w:r w:rsidRPr="003D33E1">
        <w:t>) and higher subjective happiness (</w:t>
      </w:r>
      <w:r w:rsidRPr="00590C2D">
        <w:t>Sato et al., 2015</w:t>
      </w:r>
      <w:r w:rsidRPr="003D33E1">
        <w:t>). Consistent with the role of the precuneus, the insula, seed region for the present study, is one of the most frequently reported regions that is essential for processing emotional awareness and subjective feelings including subjective well-being (</w:t>
      </w:r>
      <w:r w:rsidRPr="00590C2D">
        <w:t>Craig, 2002</w:t>
      </w:r>
      <w:r w:rsidRPr="003D33E1">
        <w:t>). Neuroimaging studies suggest that insula activation is linked to remembering happy events (</w:t>
      </w:r>
      <w:proofErr w:type="spellStart"/>
      <w:r w:rsidRPr="00590C2D">
        <w:t>Suardi</w:t>
      </w:r>
      <w:proofErr w:type="spellEnd"/>
      <w:r w:rsidRPr="00590C2D">
        <w:t xml:space="preserve"> et al., 2016</w:t>
      </w:r>
      <w:r w:rsidRPr="003D33E1">
        <w:t>), emotional and affective process (</w:t>
      </w:r>
      <w:r w:rsidRPr="00590C2D">
        <w:t>Uddin, 2015</w:t>
      </w:r>
      <w:r w:rsidRPr="003D33E1">
        <w:t>), and is positively correlated with ratings of subjective well-being (</w:t>
      </w:r>
      <w:r w:rsidRPr="00590C2D">
        <w:t>Rutledge et al., 2014</w:t>
      </w:r>
      <w:r w:rsidRPr="003D33E1">
        <w:t>). Moreover, larger insular cortex volume is associated with greater psychological well-being (</w:t>
      </w:r>
      <w:r w:rsidRPr="00590C2D">
        <w:t>Lewis et al., 2014</w:t>
      </w:r>
      <w:r w:rsidRPr="003D33E1">
        <w:t>). This line of evidence corroborates our finding that increased connectivity between the insula and precuneus may constitute a unique neural basis for improved subjective well-being after exercise training in older adults diagnosed with MCI.</w:t>
      </w:r>
    </w:p>
    <w:p w14:paraId="130670C0" w14:textId="77777777" w:rsidR="003D33E1" w:rsidRPr="003D33E1" w:rsidRDefault="003D33E1" w:rsidP="00B6729F">
      <w:pPr>
        <w:pStyle w:val="Heading2"/>
      </w:pPr>
      <w:r w:rsidRPr="003D33E1">
        <w:t>Potential Mechanisms</w:t>
      </w:r>
    </w:p>
    <w:p w14:paraId="79202F84" w14:textId="2F570B02" w:rsidR="003D33E1" w:rsidRPr="003D33E1" w:rsidRDefault="003D33E1" w:rsidP="003D33E1">
      <w:r w:rsidRPr="003D33E1">
        <w:t>Although the neurophysiological mechanisms underpinning the ET-related increase in FC among individuals with MCI are not completely understood, consistent exercise is associated with increased skeletal muscle capillarization and enhanced mitochondrial function in the brain (</w:t>
      </w:r>
      <w:proofErr w:type="spellStart"/>
      <w:r w:rsidRPr="00590C2D">
        <w:t>Kayes</w:t>
      </w:r>
      <w:proofErr w:type="spellEnd"/>
      <w:r w:rsidRPr="00590C2D">
        <w:t xml:space="preserve"> and Hatfield, 2019</w:t>
      </w:r>
      <w:r w:rsidRPr="003D33E1">
        <w:t>). This ET-induced enhancement in mitochondrial function and mitochondrial density in the brain is instrumental for long-term potentiation (</w:t>
      </w:r>
      <w:proofErr w:type="spellStart"/>
      <w:r w:rsidRPr="00590C2D">
        <w:t>Bettio</w:t>
      </w:r>
      <w:proofErr w:type="spellEnd"/>
      <w:r w:rsidRPr="00590C2D">
        <w:t xml:space="preserve"> et al., 2019</w:t>
      </w:r>
      <w:r w:rsidRPr="003D33E1">
        <w:t>) and synaptogenesis (</w:t>
      </w:r>
      <w:proofErr w:type="spellStart"/>
      <w:r w:rsidRPr="00590C2D">
        <w:t>Steib</w:t>
      </w:r>
      <w:proofErr w:type="spellEnd"/>
      <w:r w:rsidRPr="00590C2D">
        <w:t xml:space="preserve"> et al., 2014</w:t>
      </w:r>
      <w:r w:rsidRPr="003D33E1">
        <w:t>). This neural adaptation to exercise training may promote neuronal signaling, proliferation of new neurons into brain networks, and, in turn, strengthen functional network integrity (</w:t>
      </w:r>
      <w:r w:rsidRPr="00590C2D">
        <w:t>Voss et al., 2016</w:t>
      </w:r>
      <w:r w:rsidRPr="003D33E1">
        <w:t>; </w:t>
      </w:r>
      <w:r w:rsidRPr="00590C2D">
        <w:t>Won et al., 2021c</w:t>
      </w:r>
      <w:r w:rsidRPr="003D33E1">
        <w:t>). For individuals diagnosed with MCI, who may have reached a critical threshold for age- and pathology-related neural changes (</w:t>
      </w:r>
      <w:proofErr w:type="spellStart"/>
      <w:r w:rsidRPr="00590C2D">
        <w:t>Barulli</w:t>
      </w:r>
      <w:proofErr w:type="spellEnd"/>
      <w:r w:rsidRPr="00590C2D">
        <w:t xml:space="preserve"> and Stern, 2013</w:t>
      </w:r>
      <w:r w:rsidRPr="003D33E1">
        <w:t>), exercise training-related adaptations may facilitate a stronger “neural scaffolding,” presumably through an adaptive compensatory response (i.e., recruitment of additional neural resources) (</w:t>
      </w:r>
      <w:r w:rsidRPr="00590C2D">
        <w:t>Reuter-Lorenz and Park, 2014</w:t>
      </w:r>
      <w:r w:rsidRPr="003D33E1">
        <w:t>; </w:t>
      </w:r>
      <w:r w:rsidRPr="00590C2D">
        <w:t>Won et al., 2019</w:t>
      </w:r>
      <w:r w:rsidRPr="003D33E1">
        <w:t>; </w:t>
      </w:r>
      <w:r w:rsidRPr="00590C2D">
        <w:t>Won et al., 2020</w:t>
      </w:r>
      <w:r w:rsidRPr="003D33E1">
        <w:t>). Although the need to mount a compensatory response in old age is frequently associated with cognitive decline, extensive neural compensation in the aging brain has also been shown to support sustained effective brain function (</w:t>
      </w:r>
      <w:r w:rsidRPr="00590C2D">
        <w:t>Rao et al., 2015</w:t>
      </w:r>
      <w:r w:rsidRPr="003D33E1">
        <w:t>). Therefore, increased anterior insula FC may reflect beneficial compensatory responses induced by exercise training in individuals with MCI, which was also supported by its positive correlation with subjective well-being. Conversely, there was a decrease in anterior insula FC in response to exercise training in cognitively intact older adults in the present study. In our previous investigation using the same participants, there was an exercise training-elicited increase in default mode network FC in the participants with MCI, and a decrease in default mode network FC in the CN group (</w:t>
      </w:r>
      <w:proofErr w:type="spellStart"/>
      <w:r w:rsidRPr="00590C2D">
        <w:t>Chirles</w:t>
      </w:r>
      <w:proofErr w:type="spellEnd"/>
      <w:r w:rsidRPr="00590C2D">
        <w:t xml:space="preserve"> et al., 2017</w:t>
      </w:r>
      <w:r w:rsidRPr="003D33E1">
        <w:t>). Thus, both the current and previous study (</w:t>
      </w:r>
      <w:proofErr w:type="spellStart"/>
      <w:r w:rsidRPr="00590C2D">
        <w:t>Chirles</w:t>
      </w:r>
      <w:proofErr w:type="spellEnd"/>
      <w:r w:rsidRPr="00590C2D">
        <w:t xml:space="preserve"> et al., 2017</w:t>
      </w:r>
      <w:r w:rsidRPr="003D33E1">
        <w:t>) suggest that exercise training may result in differential responses on the functional networks of the brain depending on cognitive status in older individuals. Decreased FC after exercise training in cognitively intact older adults may be associated with increased neural reserve (or efficiency) of the functional network or a shift in allocation of resources or attentional focus (</w:t>
      </w:r>
      <w:r w:rsidRPr="00590C2D">
        <w:t>Smith et al., 2013</w:t>
      </w:r>
      <w:r w:rsidRPr="003D33E1">
        <w:t>). However, this hypothesis remains speculative and should be further investigated.</w:t>
      </w:r>
    </w:p>
    <w:p w14:paraId="62CBDCE1" w14:textId="5323B15F" w:rsidR="003D33E1" w:rsidRPr="003D33E1" w:rsidRDefault="003D33E1" w:rsidP="003D33E1">
      <w:r w:rsidRPr="003D33E1">
        <w:t>Another possible mechanism involves changes in cerebrovascular reactivity, especially due to the location of the anterior insula and middle cerebral artery. The main arterial source for the insula is the M2 segment of the middle cerebral artery (</w:t>
      </w:r>
      <w:proofErr w:type="spellStart"/>
      <w:r w:rsidRPr="00590C2D">
        <w:t>Türe</w:t>
      </w:r>
      <w:proofErr w:type="spellEnd"/>
      <w:r w:rsidRPr="00590C2D">
        <w:t xml:space="preserve"> et al., 2000</w:t>
      </w:r>
      <w:r w:rsidRPr="003D33E1">
        <w:t>), which has been shown to increase cerebrovascular reactivity in response to exercise training (</w:t>
      </w:r>
      <w:r w:rsidRPr="00590C2D">
        <w:t>Murrell et al., 2013</w:t>
      </w:r>
      <w:r w:rsidRPr="003D33E1">
        <w:t>). We were not able to measure cerebrovascular reactivity in our study. However, our previous report using the same cohort found that exercise training-related reductions in cerebral blood flow within the left insula region were associated with improved verbal fluency performance (</w:t>
      </w:r>
      <w:proofErr w:type="spellStart"/>
      <w:r w:rsidRPr="00590C2D">
        <w:t>Alfini</w:t>
      </w:r>
      <w:proofErr w:type="spellEnd"/>
      <w:r w:rsidRPr="00590C2D">
        <w:t xml:space="preserve"> et al., 2019</w:t>
      </w:r>
      <w:r w:rsidRPr="003D33E1">
        <w:t>), which supports the speculation that changes in cerebrovascular reactivity may be associated with changes in the anterior insula FC after exercise training. Future studies need to clarify the association between cerebrovascular reactivity and functional connectivity to better understand the underlying mechanism of change induced by long-term exercise.</w:t>
      </w:r>
    </w:p>
    <w:p w14:paraId="41E57C61" w14:textId="77777777" w:rsidR="003D33E1" w:rsidRPr="003D33E1" w:rsidRDefault="003D33E1" w:rsidP="00B6729F">
      <w:pPr>
        <w:pStyle w:val="Heading2"/>
      </w:pPr>
      <w:r w:rsidRPr="003D33E1">
        <w:t>Strengths and Limitations</w:t>
      </w:r>
    </w:p>
    <w:p w14:paraId="1BE16A82" w14:textId="77777777" w:rsidR="003D33E1" w:rsidRPr="003D33E1" w:rsidRDefault="003D33E1" w:rsidP="003D33E1">
      <w:r w:rsidRPr="003D33E1">
        <w:t xml:space="preserve">A major strength of the present study was the well-attended (compliance rate of </w:t>
      </w:r>
      <w:r w:rsidRPr="003D33E1">
        <w:rPr>
          <w:rFonts w:ascii="Cambria Math" w:hAnsi="Cambria Math" w:cs="Cambria Math"/>
        </w:rPr>
        <w:t>∼</w:t>
      </w:r>
      <w:r w:rsidRPr="003D33E1">
        <w:t>96%) and well-supervised intervention, which may have driven the increase in cardiorespiratory fitness after ET (10.5% increase in V</w:t>
      </w:r>
      <w:r w:rsidRPr="003D33E1">
        <w:rPr>
          <w:rFonts w:ascii="Calibri" w:hAnsi="Calibri" w:cs="Calibri"/>
        </w:rPr>
        <w:t>̇</w:t>
      </w:r>
      <w:r w:rsidRPr="003D33E1">
        <w:t>O</w:t>
      </w:r>
      <w:r w:rsidRPr="003D33E1">
        <w:rPr>
          <w:vertAlign w:val="subscript"/>
        </w:rPr>
        <w:t>2peak</w:t>
      </w:r>
      <w:r w:rsidRPr="003D33E1">
        <w:t>). Furthermore, the psychological benefits of ET were examined in older adults with an objective diagnosis of MCI, who have been understudied. Despite these strengths, the present study should be interpreted with caution until it is replicated in a larger randomized controlled trial due to the lack of a non-exercise (or active) control group. Next, we used a relatively short intervention (i.e., 12 weeks); thus, we may have missed potential effects that could manifest after a longer exercise intervention (e.g., 6–12 months). Nevertheless, the present study suggests that ET-related effects on subjective well-being and anterior insula FC may emerge within 3 months. Thus, it may be useful for longer interventions to document the time course of these effects in addition to measurements before and after the intervention. In addition, the present study employed a relatively small sample (</w:t>
      </w:r>
      <w:r w:rsidRPr="003D33E1">
        <w:rPr>
          <w:i/>
          <w:iCs/>
        </w:rPr>
        <w:t>n</w:t>
      </w:r>
      <w:r w:rsidRPr="003D33E1">
        <w:t> = 28) with homogeneous demographic characteristics [e.g., predominantly women (78%) and highly educated (average of 15 years)]. Therefore, our results may not be generalizable to the entire older adult population. An important additional direction for future research is to recruit a larger sample with diverse fitness levels to further assess the effects of exercise training on subjective well-being in individuals with MCI. Lastly, the ceiling effect may have occurred in the subject well-being scale for the CN group, which may have impeded capturing the intervention effect in CN older adults.</w:t>
      </w:r>
    </w:p>
    <w:p w14:paraId="31BFCBD4" w14:textId="77777777" w:rsidR="003D33E1" w:rsidRPr="003D33E1" w:rsidRDefault="003D33E1" w:rsidP="00B6729F">
      <w:pPr>
        <w:pStyle w:val="Heading1"/>
      </w:pPr>
      <w:bookmarkStart w:id="19" w:name="h6"/>
      <w:bookmarkEnd w:id="19"/>
      <w:r w:rsidRPr="003D33E1">
        <w:t>Conclusion</w:t>
      </w:r>
    </w:p>
    <w:p w14:paraId="25FB4C40" w14:textId="5676CB05" w:rsidR="003D33E1" w:rsidRPr="003D33E1" w:rsidRDefault="003D33E1" w:rsidP="003D33E1">
      <w:r w:rsidRPr="003D33E1">
        <w:t>In conclusion, a 12-week walking intervention improved subjective well-being in older adults with impaired cognition, which occurred independently of changes in cognitive function. Hence, the present study suggests that improvement in subjective well-being after exercise training may be an independent construct from cognition in older adults with MCI. Our results also suggest that the increase in FC between the anterior insula and precuneus may be an important neural basis for the ET-induced enhancements in subjective well-being among older adults diagnosed with MCI. Consistent with our previous studies using the same MCI cohort that showed the ET-related effects were evident in the insula (</w:t>
      </w:r>
      <w:proofErr w:type="spellStart"/>
      <w:r w:rsidRPr="00590C2D">
        <w:t>Chirles</w:t>
      </w:r>
      <w:proofErr w:type="spellEnd"/>
      <w:r w:rsidRPr="00590C2D">
        <w:t xml:space="preserve"> et al., 2017</w:t>
      </w:r>
      <w:r w:rsidRPr="003D33E1">
        <w:t>; </w:t>
      </w:r>
      <w:proofErr w:type="spellStart"/>
      <w:r w:rsidRPr="00590C2D">
        <w:t>Alfini</w:t>
      </w:r>
      <w:proofErr w:type="spellEnd"/>
      <w:r w:rsidRPr="00590C2D">
        <w:t xml:space="preserve"> et al., 2019</w:t>
      </w:r>
      <w:r w:rsidRPr="003D33E1">
        <w:t>; </w:t>
      </w:r>
      <w:r w:rsidRPr="00590C2D">
        <w:t>Callow et al., 2021</w:t>
      </w:r>
      <w:r w:rsidRPr="003D33E1">
        <w:t>), our work collectively suggests that the insula is a brain region that is particularly impacted by ET in individuals with MCI. While most MCI studies have focused on improvement in cognitive function, the present study extends the existing literature by suggesting that the neuroprotective effects induced by exercise may be extended to the psychological well-being of older adults with MCI. Older adults with MCI typically demonstrate lower subjective well-being compared to their cognitively normal counterparts, which could be a strong predictor of adverse health outcomes and death. The present study, therefore, conveys an important public health message that a lifestyle intervention as simple as moderate-intensity walking may result in neural network plasticity that is related to improved quality of life in older adults facing possible progression to AD.</w:t>
      </w:r>
    </w:p>
    <w:p w14:paraId="34A8EA9F" w14:textId="77777777" w:rsidR="003D33E1" w:rsidRPr="003D33E1" w:rsidRDefault="003D33E1" w:rsidP="00B6729F">
      <w:pPr>
        <w:pStyle w:val="Heading1"/>
      </w:pPr>
      <w:bookmarkStart w:id="20" w:name="h7"/>
      <w:bookmarkEnd w:id="20"/>
      <w:r w:rsidRPr="003D33E1">
        <w:t>Data Availability Statement</w:t>
      </w:r>
    </w:p>
    <w:p w14:paraId="4F3DB884" w14:textId="77777777" w:rsidR="003D33E1" w:rsidRPr="003D33E1" w:rsidRDefault="003D33E1" w:rsidP="003D33E1">
      <w:r w:rsidRPr="003D33E1">
        <w:t>The raw data supporting the conclusions of this article will be made available by the authors, without undue reservation.</w:t>
      </w:r>
    </w:p>
    <w:p w14:paraId="0DDC893B" w14:textId="77777777" w:rsidR="003D33E1" w:rsidRPr="003D33E1" w:rsidRDefault="003D33E1" w:rsidP="00B6729F">
      <w:pPr>
        <w:pStyle w:val="Heading1"/>
      </w:pPr>
      <w:bookmarkStart w:id="21" w:name="h8"/>
      <w:bookmarkEnd w:id="21"/>
      <w:r w:rsidRPr="003D33E1">
        <w:t>Ethics Statement</w:t>
      </w:r>
    </w:p>
    <w:p w14:paraId="608957C6" w14:textId="77777777" w:rsidR="003D33E1" w:rsidRPr="003D33E1" w:rsidRDefault="003D33E1" w:rsidP="003D33E1">
      <w:r w:rsidRPr="003D33E1">
        <w:t>The studies involving human participants were reviewed and approved by the Medical College of Wisconsin. The patients/participants provided their written informed consent to participate in this study.</w:t>
      </w:r>
    </w:p>
    <w:p w14:paraId="0FF941BE" w14:textId="77777777" w:rsidR="003D33E1" w:rsidRPr="003D33E1" w:rsidRDefault="003D33E1" w:rsidP="00B6729F">
      <w:pPr>
        <w:pStyle w:val="Heading1"/>
      </w:pPr>
      <w:bookmarkStart w:id="22" w:name="h9"/>
      <w:bookmarkEnd w:id="22"/>
      <w:r w:rsidRPr="003D33E1">
        <w:t>Author Contributions</w:t>
      </w:r>
    </w:p>
    <w:p w14:paraId="685BBE55" w14:textId="77777777" w:rsidR="003D33E1" w:rsidRPr="003D33E1" w:rsidRDefault="003D33E1" w:rsidP="003D33E1">
      <w:r w:rsidRPr="003D33E1">
        <w:t>JW and JS developed the study idea and collectively developed the analytic strategy. JS and KN developed the overall study protocol and collected data. JW processed and analyzed imaging data, drafted the manuscript, and created the figures. All authors interpreted the data, edited the manuscript, reviewed, revised, and approved the final manuscript.</w:t>
      </w:r>
    </w:p>
    <w:p w14:paraId="22A1B872" w14:textId="77777777" w:rsidR="003D33E1" w:rsidRPr="003D33E1" w:rsidRDefault="003D33E1" w:rsidP="00B6729F">
      <w:pPr>
        <w:pStyle w:val="Heading1"/>
      </w:pPr>
      <w:bookmarkStart w:id="23" w:name="fun1"/>
      <w:bookmarkEnd w:id="23"/>
      <w:r w:rsidRPr="003D33E1">
        <w:t>Funding</w:t>
      </w:r>
    </w:p>
    <w:p w14:paraId="312DA0AB" w14:textId="77777777" w:rsidR="003D33E1" w:rsidRPr="003D33E1" w:rsidRDefault="003D33E1" w:rsidP="003D33E1">
      <w:r w:rsidRPr="003D33E1">
        <w:t>This study was supported by the University of Wisconsin-Milwaukee Graduate School Research Growth Initiative, the National Center for Advancing Translational Sciences, and NIH grant numbers 8UL1TR000055 and 8KL2TR000056.</w:t>
      </w:r>
    </w:p>
    <w:p w14:paraId="3E797CE3" w14:textId="77777777" w:rsidR="003D33E1" w:rsidRPr="003D33E1" w:rsidRDefault="003D33E1" w:rsidP="00B6729F">
      <w:pPr>
        <w:pStyle w:val="Heading1"/>
      </w:pPr>
      <w:bookmarkStart w:id="24" w:name="audiscl1"/>
      <w:bookmarkEnd w:id="24"/>
      <w:r w:rsidRPr="003D33E1">
        <w:t>Author Disclaimer</w:t>
      </w:r>
    </w:p>
    <w:p w14:paraId="55B8F637" w14:textId="77777777" w:rsidR="003D33E1" w:rsidRPr="003D33E1" w:rsidRDefault="003D33E1" w:rsidP="003D33E1">
      <w:r w:rsidRPr="003D33E1">
        <w:t>The content is solely the responsibility of the authors and does not necessarily represent the official views of the NIH.</w:t>
      </w:r>
    </w:p>
    <w:p w14:paraId="33CA8F72" w14:textId="77777777" w:rsidR="003D33E1" w:rsidRPr="003D33E1" w:rsidRDefault="003D33E1" w:rsidP="00B6729F">
      <w:pPr>
        <w:pStyle w:val="Heading1"/>
      </w:pPr>
      <w:bookmarkStart w:id="25" w:name="conf1"/>
      <w:bookmarkEnd w:id="25"/>
      <w:r w:rsidRPr="003D33E1">
        <w:t>Conflict of Interest</w:t>
      </w:r>
    </w:p>
    <w:p w14:paraId="7CEDDEBA" w14:textId="77777777" w:rsidR="003D33E1" w:rsidRPr="003D33E1" w:rsidRDefault="003D33E1" w:rsidP="003D33E1">
      <w:r w:rsidRPr="003D33E1">
        <w:t>The authors declare that the research was conducted in the absence of any commercial or financial relationships that could be construed as a potential conflict of interest.</w:t>
      </w:r>
    </w:p>
    <w:p w14:paraId="4C868F5D" w14:textId="77777777" w:rsidR="003D33E1" w:rsidRPr="003D33E1" w:rsidRDefault="003D33E1" w:rsidP="00B6729F">
      <w:pPr>
        <w:pStyle w:val="Heading1"/>
      </w:pPr>
      <w:bookmarkStart w:id="26" w:name="disclaimer1"/>
      <w:bookmarkEnd w:id="26"/>
      <w:r w:rsidRPr="003D33E1">
        <w:t>Publisher’s Note</w:t>
      </w:r>
    </w:p>
    <w:p w14:paraId="6136BE1F" w14:textId="77777777" w:rsidR="003D33E1" w:rsidRPr="003D33E1" w:rsidRDefault="003D33E1" w:rsidP="003D33E1">
      <w:r w:rsidRPr="003D33E1">
        <w:t xml:space="preserve">All claims expressed in this article are solely those of the authors and do not necessarily represent those of their affiliated organizations, or those of the publisher, the </w:t>
      </w:r>
      <w:proofErr w:type="gramStart"/>
      <w:r w:rsidRPr="003D33E1">
        <w:t>editors</w:t>
      </w:r>
      <w:proofErr w:type="gramEnd"/>
      <w:r w:rsidRPr="003D33E1">
        <w:t xml:space="preserve"> and the reviewers. Any product that may be evaluated in this article, or claim that may be made by its manufacturer, is not </w:t>
      </w:r>
      <w:proofErr w:type="gramStart"/>
      <w:r w:rsidRPr="003D33E1">
        <w:t>guaranteed</w:t>
      </w:r>
      <w:proofErr w:type="gramEnd"/>
      <w:r w:rsidRPr="003D33E1">
        <w:t xml:space="preserve"> or endorsed by the publisher.</w:t>
      </w:r>
    </w:p>
    <w:p w14:paraId="0C289537" w14:textId="77777777" w:rsidR="003D33E1" w:rsidRPr="003D33E1" w:rsidRDefault="003D33E1" w:rsidP="00B6729F">
      <w:pPr>
        <w:pStyle w:val="Heading1"/>
      </w:pPr>
      <w:bookmarkStart w:id="27" w:name="ack1"/>
      <w:bookmarkEnd w:id="27"/>
      <w:r w:rsidRPr="003D33E1">
        <w:t>Acknowledgments</w:t>
      </w:r>
    </w:p>
    <w:p w14:paraId="0BF10C51" w14:textId="77777777" w:rsidR="003D33E1" w:rsidRPr="003D33E1" w:rsidRDefault="003D33E1" w:rsidP="003D33E1">
      <w:r w:rsidRPr="003D33E1">
        <w:t xml:space="preserve">We thank the participants for their dedication while participating in this study, Nathan </w:t>
      </w:r>
      <w:proofErr w:type="spellStart"/>
      <w:proofErr w:type="gramStart"/>
      <w:r w:rsidRPr="003D33E1">
        <w:t>Hantke</w:t>
      </w:r>
      <w:proofErr w:type="spellEnd"/>
      <w:proofErr w:type="gramEnd"/>
      <w:r w:rsidRPr="003D33E1">
        <w:t xml:space="preserve"> and Alissa Butts for their assistance with participant assessment, and Piero </w:t>
      </w:r>
      <w:proofErr w:type="spellStart"/>
      <w:r w:rsidRPr="003D33E1">
        <w:t>Antuono</w:t>
      </w:r>
      <w:proofErr w:type="spellEnd"/>
      <w:r w:rsidRPr="003D33E1">
        <w:t xml:space="preserve"> for his role in the diagnosis of MCI.</w:t>
      </w:r>
    </w:p>
    <w:p w14:paraId="39722EC8" w14:textId="77777777" w:rsidR="003D33E1" w:rsidRPr="003D33E1" w:rsidRDefault="003D33E1" w:rsidP="00B6729F">
      <w:pPr>
        <w:pStyle w:val="Heading1"/>
      </w:pPr>
      <w:bookmarkStart w:id="28" w:name="refer1"/>
      <w:bookmarkEnd w:id="28"/>
      <w:r w:rsidRPr="003D33E1">
        <w:t>References</w:t>
      </w:r>
    </w:p>
    <w:p w14:paraId="6C7980B3" w14:textId="77777777" w:rsidR="003D33E1" w:rsidRPr="003D33E1" w:rsidRDefault="003D33E1" w:rsidP="00B6729F">
      <w:pPr>
        <w:pStyle w:val="NoSpacing"/>
        <w:ind w:left="720" w:hanging="720"/>
      </w:pPr>
      <w:bookmarkStart w:id="29" w:name="B1"/>
      <w:bookmarkEnd w:id="29"/>
      <w:r w:rsidRPr="003D33E1">
        <w:t>Albert, M. S., DeKosky, S. T., Dickson, D., Dubois, B., Feldman, H. H., Fox, N. C., et al. (2011). The diagnosis of mild cognitive impairment due to Alzheimer’s disease: recommendations from the national institute on Aging-Alzheimer’s association workgroups on diagnostic guidelines for Alzheimer’s disease. </w:t>
      </w:r>
      <w:r w:rsidRPr="003D33E1">
        <w:rPr>
          <w:i/>
          <w:iCs/>
        </w:rPr>
        <w:t>Alzheimer’s Dement.</w:t>
      </w:r>
      <w:r w:rsidRPr="003D33E1">
        <w:t xml:space="preserve"> 7, 270–279. </w:t>
      </w:r>
      <w:proofErr w:type="spellStart"/>
      <w:r w:rsidRPr="003D33E1">
        <w:t>doi</w:t>
      </w:r>
      <w:proofErr w:type="spellEnd"/>
      <w:r w:rsidRPr="003D33E1">
        <w:t>: 10.1016/j.jalz.2011.03.008</w:t>
      </w:r>
    </w:p>
    <w:p w14:paraId="402C771C" w14:textId="77777777" w:rsidR="003D33E1" w:rsidRPr="003D33E1" w:rsidRDefault="003D33E1" w:rsidP="00B6729F">
      <w:pPr>
        <w:pStyle w:val="NoSpacing"/>
        <w:ind w:left="720" w:hanging="720"/>
      </w:pPr>
      <w:bookmarkStart w:id="30" w:name="B2"/>
      <w:bookmarkEnd w:id="30"/>
      <w:r w:rsidRPr="003D33E1">
        <w:t>Albert, S. M., Michaels, K., Padilla, M., Pelton, G., Bell, K., Marder, K., et al. (1999). Functional significance of mild cognitive impairment in elderly patients without a dementia diagnosis. </w:t>
      </w:r>
      <w:r w:rsidRPr="003D33E1">
        <w:rPr>
          <w:i/>
          <w:iCs/>
        </w:rPr>
        <w:t xml:space="preserve">Am. J. </w:t>
      </w:r>
      <w:proofErr w:type="spellStart"/>
      <w:r w:rsidRPr="003D33E1">
        <w:rPr>
          <w:i/>
          <w:iCs/>
        </w:rPr>
        <w:t>Geriatr</w:t>
      </w:r>
      <w:proofErr w:type="spellEnd"/>
      <w:r w:rsidRPr="003D33E1">
        <w:rPr>
          <w:i/>
          <w:iCs/>
        </w:rPr>
        <w:t>. Psychiatry</w:t>
      </w:r>
      <w:r w:rsidRPr="003D33E1">
        <w:t xml:space="preserve"> 7, 213–220. </w:t>
      </w:r>
      <w:proofErr w:type="spellStart"/>
      <w:r w:rsidRPr="003D33E1">
        <w:t>doi</w:t>
      </w:r>
      <w:proofErr w:type="spellEnd"/>
      <w:r w:rsidRPr="003D33E1">
        <w:t>: 10.1097/00019442-199908000-00005</w:t>
      </w:r>
    </w:p>
    <w:p w14:paraId="780D2CC9" w14:textId="77777777" w:rsidR="003D33E1" w:rsidRPr="003D33E1" w:rsidRDefault="003D33E1" w:rsidP="00B6729F">
      <w:pPr>
        <w:pStyle w:val="NoSpacing"/>
        <w:ind w:left="720" w:hanging="720"/>
      </w:pPr>
      <w:bookmarkStart w:id="31" w:name="B3"/>
      <w:bookmarkEnd w:id="31"/>
      <w:proofErr w:type="spellStart"/>
      <w:r w:rsidRPr="003D33E1">
        <w:t>Alfini</w:t>
      </w:r>
      <w:proofErr w:type="spellEnd"/>
      <w:r w:rsidRPr="003D33E1">
        <w:t xml:space="preserve">, A. J., Weiss, L. R., Nielson, K. A., </w:t>
      </w:r>
      <w:proofErr w:type="spellStart"/>
      <w:r w:rsidRPr="003D33E1">
        <w:t>Verber</w:t>
      </w:r>
      <w:proofErr w:type="spellEnd"/>
      <w:r w:rsidRPr="003D33E1">
        <w:t>, M. D., and Smith, J. C. (2019). Resting cerebral blood flow after exercise training in mild cognitive impairment. </w:t>
      </w:r>
      <w:r w:rsidRPr="003D33E1">
        <w:rPr>
          <w:i/>
          <w:iCs/>
        </w:rPr>
        <w:t>J. Alzheimer’s Dis.</w:t>
      </w:r>
      <w:r w:rsidRPr="003D33E1">
        <w:t xml:space="preserve"> 67, 671–684. </w:t>
      </w:r>
      <w:proofErr w:type="spellStart"/>
      <w:r w:rsidRPr="003D33E1">
        <w:t>doi</w:t>
      </w:r>
      <w:proofErr w:type="spellEnd"/>
      <w:r w:rsidRPr="003D33E1">
        <w:t>: 10.3233/JAD-180728</w:t>
      </w:r>
    </w:p>
    <w:p w14:paraId="2D672B53" w14:textId="77777777" w:rsidR="003D33E1" w:rsidRPr="003D33E1" w:rsidRDefault="003D33E1" w:rsidP="00B6729F">
      <w:pPr>
        <w:pStyle w:val="NoSpacing"/>
        <w:ind w:left="720" w:hanging="720"/>
      </w:pPr>
      <w:bookmarkStart w:id="32" w:name="B4"/>
      <w:bookmarkEnd w:id="32"/>
      <w:proofErr w:type="spellStart"/>
      <w:r w:rsidRPr="003D33E1">
        <w:t>Apostolova</w:t>
      </w:r>
      <w:proofErr w:type="spellEnd"/>
      <w:r w:rsidRPr="003D33E1">
        <w:t>, L. G., and Cummings, J. L. (2008). Neuropsychiatric manifestations in mild cognitive impairment: a systematic review of the literature. </w:t>
      </w:r>
      <w:r w:rsidRPr="003D33E1">
        <w:rPr>
          <w:i/>
          <w:iCs/>
        </w:rPr>
        <w:t xml:space="preserve">Dement. </w:t>
      </w:r>
      <w:proofErr w:type="spellStart"/>
      <w:r w:rsidRPr="003D33E1">
        <w:rPr>
          <w:i/>
          <w:iCs/>
        </w:rPr>
        <w:t>Geriatr</w:t>
      </w:r>
      <w:proofErr w:type="spellEnd"/>
      <w:r w:rsidRPr="003D33E1">
        <w:rPr>
          <w:i/>
          <w:iCs/>
        </w:rPr>
        <w:t xml:space="preserve">. </w:t>
      </w:r>
      <w:proofErr w:type="spellStart"/>
      <w:r w:rsidRPr="003D33E1">
        <w:rPr>
          <w:i/>
          <w:iCs/>
        </w:rPr>
        <w:t>Cogn</w:t>
      </w:r>
      <w:proofErr w:type="spellEnd"/>
      <w:r w:rsidRPr="003D33E1">
        <w:rPr>
          <w:i/>
          <w:iCs/>
        </w:rPr>
        <w:t xml:space="preserve">. </w:t>
      </w:r>
      <w:proofErr w:type="spellStart"/>
      <w:r w:rsidRPr="003D33E1">
        <w:rPr>
          <w:i/>
          <w:iCs/>
        </w:rPr>
        <w:t>Disord</w:t>
      </w:r>
      <w:proofErr w:type="spellEnd"/>
      <w:r w:rsidRPr="003D33E1">
        <w:rPr>
          <w:i/>
          <w:iCs/>
        </w:rPr>
        <w:t>.</w:t>
      </w:r>
      <w:r w:rsidRPr="003D33E1">
        <w:t xml:space="preserve"> 25, 115–126. </w:t>
      </w:r>
      <w:proofErr w:type="spellStart"/>
      <w:r w:rsidRPr="003D33E1">
        <w:t>doi</w:t>
      </w:r>
      <w:proofErr w:type="spellEnd"/>
      <w:r w:rsidRPr="003D33E1">
        <w:t>: 10.1159/000112509</w:t>
      </w:r>
    </w:p>
    <w:p w14:paraId="1737E9A2" w14:textId="77777777" w:rsidR="003D33E1" w:rsidRPr="003D33E1" w:rsidRDefault="003D33E1" w:rsidP="00B6729F">
      <w:pPr>
        <w:pStyle w:val="NoSpacing"/>
        <w:ind w:left="720" w:hanging="720"/>
      </w:pPr>
      <w:bookmarkStart w:id="33" w:name="B5"/>
      <w:bookmarkEnd w:id="33"/>
      <w:proofErr w:type="spellStart"/>
      <w:r w:rsidRPr="003D33E1">
        <w:t>Barulli</w:t>
      </w:r>
      <w:proofErr w:type="spellEnd"/>
      <w:r w:rsidRPr="003D33E1">
        <w:t>, D., and Stern, Y. (2013). Efficiency, capacity, compensation, maintenance, plasticity: emerging concepts in cognitive reserve. </w:t>
      </w:r>
      <w:r w:rsidRPr="003D33E1">
        <w:rPr>
          <w:i/>
          <w:iCs/>
        </w:rPr>
        <w:t xml:space="preserve">Trends </w:t>
      </w:r>
      <w:proofErr w:type="spellStart"/>
      <w:r w:rsidRPr="003D33E1">
        <w:rPr>
          <w:i/>
          <w:iCs/>
        </w:rPr>
        <w:t>Cogn</w:t>
      </w:r>
      <w:proofErr w:type="spellEnd"/>
      <w:r w:rsidRPr="003D33E1">
        <w:rPr>
          <w:i/>
          <w:iCs/>
        </w:rPr>
        <w:t>. Sci.</w:t>
      </w:r>
      <w:r w:rsidRPr="003D33E1">
        <w:t xml:space="preserve"> 17, 502–509. </w:t>
      </w:r>
      <w:proofErr w:type="spellStart"/>
      <w:r w:rsidRPr="003D33E1">
        <w:t>doi</w:t>
      </w:r>
      <w:proofErr w:type="spellEnd"/>
      <w:r w:rsidRPr="003D33E1">
        <w:t>: 10.1016/j.tics.2013.08.012</w:t>
      </w:r>
    </w:p>
    <w:p w14:paraId="4F5276E2" w14:textId="77777777" w:rsidR="003D33E1" w:rsidRPr="003D33E1" w:rsidRDefault="003D33E1" w:rsidP="00B6729F">
      <w:pPr>
        <w:pStyle w:val="NoSpacing"/>
        <w:ind w:left="720" w:hanging="720"/>
      </w:pPr>
      <w:bookmarkStart w:id="34" w:name="B6"/>
      <w:bookmarkEnd w:id="34"/>
      <w:r w:rsidRPr="003D33E1">
        <w:t xml:space="preserve">Beall, E. B., and Lowe, M. J. (2014). </w:t>
      </w:r>
      <w:proofErr w:type="spellStart"/>
      <w:r w:rsidRPr="003D33E1">
        <w:t>SimPACE</w:t>
      </w:r>
      <w:proofErr w:type="spellEnd"/>
      <w:r w:rsidRPr="003D33E1">
        <w:t xml:space="preserve">: generating simulated motion corrupted BOLD data with synthetic-navigated acquisition for the development and evaluation of SLOMOCO: a new, highly effective </w:t>
      </w:r>
      <w:proofErr w:type="spellStart"/>
      <w:r w:rsidRPr="003D33E1">
        <w:t>slicewise</w:t>
      </w:r>
      <w:proofErr w:type="spellEnd"/>
      <w:r w:rsidRPr="003D33E1">
        <w:t xml:space="preserve"> motion correction. </w:t>
      </w:r>
      <w:r w:rsidRPr="003D33E1">
        <w:rPr>
          <w:i/>
          <w:iCs/>
        </w:rPr>
        <w:t>Neuroimage</w:t>
      </w:r>
      <w:r w:rsidRPr="003D33E1">
        <w:t xml:space="preserve"> 101, 21–34. </w:t>
      </w:r>
      <w:proofErr w:type="spellStart"/>
      <w:r w:rsidRPr="003D33E1">
        <w:t>doi</w:t>
      </w:r>
      <w:proofErr w:type="spellEnd"/>
      <w:r w:rsidRPr="003D33E1">
        <w:t>: 10.1016/j.neuroimage.2014.06.038</w:t>
      </w:r>
    </w:p>
    <w:p w14:paraId="1DE52814" w14:textId="77777777" w:rsidR="003D33E1" w:rsidRPr="003D33E1" w:rsidRDefault="003D33E1" w:rsidP="00B6729F">
      <w:pPr>
        <w:pStyle w:val="NoSpacing"/>
        <w:ind w:left="720" w:hanging="720"/>
      </w:pPr>
      <w:bookmarkStart w:id="35" w:name="B7"/>
      <w:bookmarkEnd w:id="35"/>
      <w:proofErr w:type="spellStart"/>
      <w:r w:rsidRPr="003D33E1">
        <w:t>Bettio</w:t>
      </w:r>
      <w:proofErr w:type="spellEnd"/>
      <w:r w:rsidRPr="003D33E1">
        <w:t>, L., Thacker, J. S., Hutton, C., and Christie, B. R. (2019). Modulation of synaptic plasticity by exercise. </w:t>
      </w:r>
      <w:r w:rsidRPr="003D33E1">
        <w:rPr>
          <w:i/>
          <w:iCs/>
        </w:rPr>
        <w:t xml:space="preserve">Int. Rev. </w:t>
      </w:r>
      <w:proofErr w:type="spellStart"/>
      <w:r w:rsidRPr="003D33E1">
        <w:rPr>
          <w:i/>
          <w:iCs/>
        </w:rPr>
        <w:t>Neurobiol</w:t>
      </w:r>
      <w:proofErr w:type="spellEnd"/>
      <w:r w:rsidRPr="003D33E1">
        <w:rPr>
          <w:i/>
          <w:iCs/>
        </w:rPr>
        <w:t>.</w:t>
      </w:r>
      <w:r w:rsidRPr="003D33E1">
        <w:t xml:space="preserve"> 147, 295–322. </w:t>
      </w:r>
      <w:proofErr w:type="spellStart"/>
      <w:r w:rsidRPr="003D33E1">
        <w:t>doi</w:t>
      </w:r>
      <w:proofErr w:type="spellEnd"/>
      <w:r w:rsidRPr="003D33E1">
        <w:t>: 10.1016/bs.irn.2019.07.002</w:t>
      </w:r>
    </w:p>
    <w:p w14:paraId="45022E15" w14:textId="77777777" w:rsidR="003D33E1" w:rsidRPr="003D33E1" w:rsidRDefault="003D33E1" w:rsidP="00B6729F">
      <w:pPr>
        <w:pStyle w:val="NoSpacing"/>
        <w:ind w:left="720" w:hanging="720"/>
      </w:pPr>
      <w:bookmarkStart w:id="36" w:name="B8"/>
      <w:bookmarkEnd w:id="36"/>
      <w:proofErr w:type="spellStart"/>
      <w:r w:rsidRPr="003D33E1">
        <w:t>Bilotta</w:t>
      </w:r>
      <w:proofErr w:type="spellEnd"/>
      <w:r w:rsidRPr="003D33E1">
        <w:t xml:space="preserve">, C., Bowling, A., </w:t>
      </w:r>
      <w:proofErr w:type="spellStart"/>
      <w:r w:rsidRPr="003D33E1">
        <w:t>Nicolini</w:t>
      </w:r>
      <w:proofErr w:type="spellEnd"/>
      <w:r w:rsidRPr="003D33E1">
        <w:t xml:space="preserve">, P., </w:t>
      </w:r>
      <w:proofErr w:type="spellStart"/>
      <w:r w:rsidRPr="003D33E1">
        <w:t>Casè</w:t>
      </w:r>
      <w:proofErr w:type="spellEnd"/>
      <w:r w:rsidRPr="003D33E1">
        <w:t>, A., Pina, G., Rossi, S. V., et al. (2011). Older People’s Quality of Life (OPQOL) scores and adverse health outcomes at a one-year follow-up. a prospective cohort study on older outpatients living in the community in Italy. </w:t>
      </w:r>
      <w:r w:rsidRPr="003D33E1">
        <w:rPr>
          <w:i/>
          <w:iCs/>
        </w:rPr>
        <w:t>Health Qual. Life Outcomes</w:t>
      </w:r>
      <w:r w:rsidRPr="003D33E1">
        <w:t xml:space="preserve"> 9, 1–10. </w:t>
      </w:r>
      <w:proofErr w:type="spellStart"/>
      <w:r w:rsidRPr="003D33E1">
        <w:t>doi</w:t>
      </w:r>
      <w:proofErr w:type="spellEnd"/>
      <w:r w:rsidRPr="003D33E1">
        <w:t>: 10.1186/1477-7525-9-72</w:t>
      </w:r>
    </w:p>
    <w:p w14:paraId="6B9A1818" w14:textId="77777777" w:rsidR="003D33E1" w:rsidRPr="003D33E1" w:rsidRDefault="003D33E1" w:rsidP="00B6729F">
      <w:pPr>
        <w:pStyle w:val="NoSpacing"/>
        <w:ind w:left="720" w:hanging="720"/>
      </w:pPr>
      <w:bookmarkStart w:id="37" w:name="B9"/>
      <w:bookmarkEnd w:id="37"/>
      <w:r w:rsidRPr="003D33E1">
        <w:t>Borg, G. (1998). </w:t>
      </w:r>
      <w:r w:rsidRPr="003D33E1">
        <w:rPr>
          <w:i/>
          <w:iCs/>
        </w:rPr>
        <w:t>Borg’s Perceived Exertion and Pain Scales.</w:t>
      </w:r>
      <w:r w:rsidRPr="003D33E1">
        <w:t> Champaign, IL: Human kinetics.</w:t>
      </w:r>
    </w:p>
    <w:p w14:paraId="09A2775B" w14:textId="77777777" w:rsidR="003D33E1" w:rsidRPr="003D33E1" w:rsidRDefault="003D33E1" w:rsidP="00B6729F">
      <w:pPr>
        <w:pStyle w:val="NoSpacing"/>
        <w:ind w:left="720" w:hanging="720"/>
      </w:pPr>
      <w:bookmarkStart w:id="38" w:name="B10"/>
      <w:bookmarkEnd w:id="38"/>
      <w:r w:rsidRPr="003D33E1">
        <w:t xml:space="preserve">Brawley, L. R., </w:t>
      </w:r>
      <w:proofErr w:type="spellStart"/>
      <w:r w:rsidRPr="003D33E1">
        <w:t>Rejeski</w:t>
      </w:r>
      <w:proofErr w:type="spellEnd"/>
      <w:r w:rsidRPr="003D33E1">
        <w:t>, W. J., and Lutes, L. (2000). A group-mediated cognitive-behavioral intervention for increasing adherence to physical activity in older adults 1. </w:t>
      </w:r>
      <w:r w:rsidRPr="003D33E1">
        <w:rPr>
          <w:i/>
          <w:iCs/>
        </w:rPr>
        <w:t xml:space="preserve">J. Appl. </w:t>
      </w:r>
      <w:proofErr w:type="spellStart"/>
      <w:r w:rsidRPr="003D33E1">
        <w:rPr>
          <w:i/>
          <w:iCs/>
        </w:rPr>
        <w:t>Biobehav</w:t>
      </w:r>
      <w:proofErr w:type="spellEnd"/>
      <w:r w:rsidRPr="003D33E1">
        <w:rPr>
          <w:i/>
          <w:iCs/>
        </w:rPr>
        <w:t>. Res.</w:t>
      </w:r>
      <w:r w:rsidRPr="003D33E1">
        <w:t xml:space="preserve"> 5, 47–65. </w:t>
      </w:r>
      <w:proofErr w:type="spellStart"/>
      <w:r w:rsidRPr="003D33E1">
        <w:t>doi</w:t>
      </w:r>
      <w:proofErr w:type="spellEnd"/>
      <w:r w:rsidRPr="003D33E1">
        <w:t>: 10.1161/JAHA.113.000711</w:t>
      </w:r>
    </w:p>
    <w:p w14:paraId="25714282" w14:textId="77777777" w:rsidR="003D33E1" w:rsidRPr="003D33E1" w:rsidRDefault="003D33E1" w:rsidP="00B6729F">
      <w:pPr>
        <w:pStyle w:val="NoSpacing"/>
        <w:ind w:left="720" w:hanging="720"/>
      </w:pPr>
      <w:bookmarkStart w:id="39" w:name="B11"/>
      <w:bookmarkEnd w:id="39"/>
      <w:proofErr w:type="spellStart"/>
      <w:r w:rsidRPr="003D33E1">
        <w:t>Broadhouse</w:t>
      </w:r>
      <w:proofErr w:type="spellEnd"/>
      <w:r w:rsidRPr="003D33E1">
        <w:t xml:space="preserve">, K. M., </w:t>
      </w:r>
      <w:proofErr w:type="spellStart"/>
      <w:r w:rsidRPr="003D33E1">
        <w:t>Mowszowski</w:t>
      </w:r>
      <w:proofErr w:type="spellEnd"/>
      <w:r w:rsidRPr="003D33E1">
        <w:t>, L., Duffy, S., Leung, I., Cross, N., Valenzuela, M. J., et al. (2019). Memory performance correlates of hippocampal subfield volume in mild cognitive impairment subtype. </w:t>
      </w:r>
      <w:r w:rsidRPr="003D33E1">
        <w:rPr>
          <w:i/>
          <w:iCs/>
        </w:rPr>
        <w:t xml:space="preserve">Front. </w:t>
      </w:r>
      <w:proofErr w:type="spellStart"/>
      <w:r w:rsidRPr="003D33E1">
        <w:rPr>
          <w:i/>
          <w:iCs/>
        </w:rPr>
        <w:t>Behav</w:t>
      </w:r>
      <w:proofErr w:type="spellEnd"/>
      <w:r w:rsidRPr="003D33E1">
        <w:rPr>
          <w:i/>
          <w:iCs/>
        </w:rPr>
        <w:t xml:space="preserve">. </w:t>
      </w:r>
      <w:proofErr w:type="spellStart"/>
      <w:r w:rsidRPr="003D33E1">
        <w:rPr>
          <w:i/>
          <w:iCs/>
        </w:rPr>
        <w:t>Neurosci</w:t>
      </w:r>
      <w:proofErr w:type="spellEnd"/>
      <w:r w:rsidRPr="003D33E1">
        <w:rPr>
          <w:i/>
          <w:iCs/>
        </w:rPr>
        <w:t>.</w:t>
      </w:r>
      <w:r w:rsidRPr="003D33E1">
        <w:t xml:space="preserve"> 13:259. </w:t>
      </w:r>
      <w:proofErr w:type="spellStart"/>
      <w:r w:rsidRPr="003D33E1">
        <w:t>doi</w:t>
      </w:r>
      <w:proofErr w:type="spellEnd"/>
      <w:r w:rsidRPr="003D33E1">
        <w:t>: 10.3389/fnbeh.2019.00259</w:t>
      </w:r>
    </w:p>
    <w:p w14:paraId="000B1F48" w14:textId="77777777" w:rsidR="003D33E1" w:rsidRPr="003D33E1" w:rsidRDefault="003D33E1" w:rsidP="00B6729F">
      <w:pPr>
        <w:pStyle w:val="NoSpacing"/>
        <w:ind w:left="720" w:hanging="720"/>
      </w:pPr>
      <w:bookmarkStart w:id="40" w:name="B12"/>
      <w:bookmarkEnd w:id="40"/>
      <w:proofErr w:type="spellStart"/>
      <w:r w:rsidRPr="003D33E1">
        <w:t>Bruscoli</w:t>
      </w:r>
      <w:proofErr w:type="spellEnd"/>
      <w:r w:rsidRPr="003D33E1">
        <w:t xml:space="preserve">, M., and </w:t>
      </w:r>
      <w:proofErr w:type="spellStart"/>
      <w:r w:rsidRPr="003D33E1">
        <w:t>Lovestone</w:t>
      </w:r>
      <w:proofErr w:type="spellEnd"/>
      <w:r w:rsidRPr="003D33E1">
        <w:t xml:space="preserve">, S. (2004). Is MCI </w:t>
      </w:r>
      <w:proofErr w:type="gramStart"/>
      <w:r w:rsidRPr="003D33E1">
        <w:t>really just</w:t>
      </w:r>
      <w:proofErr w:type="gramEnd"/>
      <w:r w:rsidRPr="003D33E1">
        <w:t xml:space="preserve"> early dementia? a systematic review of conversion studies. </w:t>
      </w:r>
      <w:r w:rsidRPr="003D33E1">
        <w:rPr>
          <w:i/>
          <w:iCs/>
        </w:rPr>
        <w:t xml:space="preserve">Int. </w:t>
      </w:r>
      <w:proofErr w:type="spellStart"/>
      <w:r w:rsidRPr="003D33E1">
        <w:rPr>
          <w:i/>
          <w:iCs/>
        </w:rPr>
        <w:t>Psychogeriatr</w:t>
      </w:r>
      <w:proofErr w:type="spellEnd"/>
      <w:r w:rsidRPr="003D33E1">
        <w:rPr>
          <w:i/>
          <w:iCs/>
        </w:rPr>
        <w:t>.</w:t>
      </w:r>
      <w:r w:rsidRPr="003D33E1">
        <w:t xml:space="preserve"> 16:129. </w:t>
      </w:r>
      <w:proofErr w:type="spellStart"/>
      <w:r w:rsidRPr="003D33E1">
        <w:t>doi</w:t>
      </w:r>
      <w:proofErr w:type="spellEnd"/>
      <w:r w:rsidRPr="003D33E1">
        <w:t>: 10.1017/s1041610204000092</w:t>
      </w:r>
    </w:p>
    <w:p w14:paraId="4C479624" w14:textId="77777777" w:rsidR="003D33E1" w:rsidRPr="003D33E1" w:rsidRDefault="003D33E1" w:rsidP="00B6729F">
      <w:pPr>
        <w:pStyle w:val="NoSpacing"/>
        <w:ind w:left="720" w:hanging="720"/>
      </w:pPr>
      <w:bookmarkStart w:id="41" w:name="B13"/>
      <w:bookmarkEnd w:id="41"/>
      <w:r w:rsidRPr="003D33E1">
        <w:t>Buckner, R. L., Andrews-Hanna, J. R., and Schacter, D. L. (2008). The brain’s default network: anatomy, function, and relevance to disease. </w:t>
      </w:r>
      <w:r w:rsidRPr="003D33E1">
        <w:rPr>
          <w:i/>
          <w:iCs/>
        </w:rPr>
        <w:t>Ann. N. Y. Acad. Sci.</w:t>
      </w:r>
      <w:r w:rsidRPr="003D33E1">
        <w:t xml:space="preserve"> 1124, 1–38. </w:t>
      </w:r>
      <w:proofErr w:type="spellStart"/>
      <w:r w:rsidRPr="003D33E1">
        <w:t>doi</w:t>
      </w:r>
      <w:proofErr w:type="spellEnd"/>
      <w:r w:rsidRPr="003D33E1">
        <w:t>: 10.1196/annals.1440.011</w:t>
      </w:r>
    </w:p>
    <w:p w14:paraId="4DA3F8CB" w14:textId="77777777" w:rsidR="003D33E1" w:rsidRPr="003D33E1" w:rsidRDefault="003D33E1" w:rsidP="00B6729F">
      <w:pPr>
        <w:pStyle w:val="NoSpacing"/>
        <w:ind w:left="720" w:hanging="720"/>
      </w:pPr>
      <w:bookmarkStart w:id="42" w:name="B14"/>
      <w:bookmarkEnd w:id="42"/>
      <w:r w:rsidRPr="003D33E1">
        <w:t>Callow, D. D., Won, J., Pena, G. S., Jordan, L. S., Arnold-</w:t>
      </w:r>
      <w:proofErr w:type="spellStart"/>
      <w:r w:rsidRPr="003D33E1">
        <w:t>Nedimala</w:t>
      </w:r>
      <w:proofErr w:type="spellEnd"/>
      <w:r w:rsidRPr="003D33E1">
        <w:t xml:space="preserve">, N. A., </w:t>
      </w:r>
      <w:proofErr w:type="spellStart"/>
      <w:r w:rsidRPr="003D33E1">
        <w:t>Kommula</w:t>
      </w:r>
      <w:proofErr w:type="spellEnd"/>
      <w:r w:rsidRPr="003D33E1">
        <w:t>, Y., et al. (2021). Exercise training related changes in cortical gray matter diffusivity and cognitive function in mild cognitive impairment and healthy older adults. </w:t>
      </w:r>
      <w:r w:rsidRPr="003D33E1">
        <w:rPr>
          <w:i/>
          <w:iCs/>
        </w:rPr>
        <w:t xml:space="preserve">Front. Aging </w:t>
      </w:r>
      <w:proofErr w:type="spellStart"/>
      <w:r w:rsidRPr="003D33E1">
        <w:rPr>
          <w:i/>
          <w:iCs/>
        </w:rPr>
        <w:t>Neurosci</w:t>
      </w:r>
      <w:proofErr w:type="spellEnd"/>
      <w:r w:rsidRPr="003D33E1">
        <w:rPr>
          <w:i/>
          <w:iCs/>
        </w:rPr>
        <w:t>.</w:t>
      </w:r>
      <w:r w:rsidRPr="003D33E1">
        <w:t xml:space="preserve"> 13:645258. </w:t>
      </w:r>
      <w:proofErr w:type="spellStart"/>
      <w:r w:rsidRPr="003D33E1">
        <w:t>doi</w:t>
      </w:r>
      <w:proofErr w:type="spellEnd"/>
      <w:r w:rsidRPr="003D33E1">
        <w:t>: 10.3389/fnagi.2021.645258</w:t>
      </w:r>
    </w:p>
    <w:p w14:paraId="728A4E2D" w14:textId="77777777" w:rsidR="003D33E1" w:rsidRPr="003D33E1" w:rsidRDefault="003D33E1" w:rsidP="00B6729F">
      <w:pPr>
        <w:pStyle w:val="NoSpacing"/>
        <w:ind w:left="720" w:hanging="720"/>
      </w:pPr>
      <w:bookmarkStart w:id="43" w:name="B15"/>
      <w:bookmarkEnd w:id="43"/>
      <w:r w:rsidRPr="003D33E1">
        <w:t>Camacho, T. C., Roberts, R. E., Lazarus, N. B., Kaplan, G. A., and Cohen, R. D. (1991). Physical activity and depression: evidence from the alameda county study. </w:t>
      </w:r>
      <w:r w:rsidRPr="003D33E1">
        <w:rPr>
          <w:i/>
          <w:iCs/>
        </w:rPr>
        <w:t>Am. J. Epidemiol.</w:t>
      </w:r>
      <w:r w:rsidRPr="003D33E1">
        <w:t xml:space="preserve"> 134, 220–231. </w:t>
      </w:r>
      <w:proofErr w:type="spellStart"/>
      <w:r w:rsidRPr="003D33E1">
        <w:t>doi</w:t>
      </w:r>
      <w:proofErr w:type="spellEnd"/>
      <w:r w:rsidRPr="003D33E1">
        <w:t>: 10.1093/oxfordjournals.aje.a116074</w:t>
      </w:r>
    </w:p>
    <w:p w14:paraId="1CC32A8E" w14:textId="77777777" w:rsidR="003D33E1" w:rsidRPr="003D33E1" w:rsidRDefault="003D33E1" w:rsidP="00B6729F">
      <w:pPr>
        <w:pStyle w:val="NoSpacing"/>
        <w:ind w:left="720" w:hanging="720"/>
      </w:pPr>
      <w:bookmarkStart w:id="44" w:name="B16"/>
      <w:bookmarkEnd w:id="44"/>
      <w:proofErr w:type="spellStart"/>
      <w:r w:rsidRPr="003D33E1">
        <w:t>Chirles</w:t>
      </w:r>
      <w:proofErr w:type="spellEnd"/>
      <w:r w:rsidRPr="003D33E1">
        <w:t xml:space="preserve">, T. J., Reiter, K., Weiss, L. R., </w:t>
      </w:r>
      <w:proofErr w:type="spellStart"/>
      <w:r w:rsidRPr="003D33E1">
        <w:t>Alfini</w:t>
      </w:r>
      <w:proofErr w:type="spellEnd"/>
      <w:r w:rsidRPr="003D33E1">
        <w:t>, A. J., Nielson, K. A., and Smith, J. C. (2017). Exercise training and functional connectivity changes in mild cognitive impairment and healthy elders. </w:t>
      </w:r>
      <w:r w:rsidRPr="003D33E1">
        <w:rPr>
          <w:i/>
          <w:iCs/>
        </w:rPr>
        <w:t>J. Alzheimer’s Dis.</w:t>
      </w:r>
      <w:r w:rsidRPr="003D33E1">
        <w:t xml:space="preserve"> 57, 845–856. </w:t>
      </w:r>
      <w:proofErr w:type="spellStart"/>
      <w:r w:rsidRPr="003D33E1">
        <w:t>doi</w:t>
      </w:r>
      <w:proofErr w:type="spellEnd"/>
      <w:r w:rsidRPr="003D33E1">
        <w:t>: 10.3233/JAD-161151</w:t>
      </w:r>
    </w:p>
    <w:p w14:paraId="07D547B7" w14:textId="77777777" w:rsidR="003D33E1" w:rsidRPr="003D33E1" w:rsidRDefault="003D33E1" w:rsidP="00B6729F">
      <w:pPr>
        <w:pStyle w:val="NoSpacing"/>
        <w:ind w:left="720" w:hanging="720"/>
      </w:pPr>
      <w:bookmarkStart w:id="45" w:name="B17"/>
      <w:bookmarkEnd w:id="45"/>
      <w:proofErr w:type="spellStart"/>
      <w:r w:rsidRPr="003D33E1">
        <w:t>Cosentino</w:t>
      </w:r>
      <w:proofErr w:type="spellEnd"/>
      <w:r w:rsidRPr="003D33E1">
        <w:t xml:space="preserve">, S., Jefferson, A., Chute, D. L., Kaplan, E., and </w:t>
      </w:r>
      <w:proofErr w:type="spellStart"/>
      <w:r w:rsidRPr="003D33E1">
        <w:t>Libon</w:t>
      </w:r>
      <w:proofErr w:type="spellEnd"/>
      <w:r w:rsidRPr="003D33E1">
        <w:t>, D. J. (2004). Clock drawing errors in dementia: neuropsychological and neuroanatomical considerations. </w:t>
      </w:r>
      <w:proofErr w:type="spellStart"/>
      <w:r w:rsidRPr="003D33E1">
        <w:rPr>
          <w:i/>
          <w:iCs/>
        </w:rPr>
        <w:t>Cogn</w:t>
      </w:r>
      <w:proofErr w:type="spellEnd"/>
      <w:r w:rsidRPr="003D33E1">
        <w:rPr>
          <w:i/>
          <w:iCs/>
        </w:rPr>
        <w:t xml:space="preserve">. </w:t>
      </w:r>
      <w:proofErr w:type="spellStart"/>
      <w:r w:rsidRPr="003D33E1">
        <w:rPr>
          <w:i/>
          <w:iCs/>
        </w:rPr>
        <w:t>Behav</w:t>
      </w:r>
      <w:proofErr w:type="spellEnd"/>
      <w:r w:rsidRPr="003D33E1">
        <w:rPr>
          <w:i/>
          <w:iCs/>
        </w:rPr>
        <w:t>. Neurol.</w:t>
      </w:r>
      <w:r w:rsidRPr="003D33E1">
        <w:t xml:space="preserve"> 17, 74–84. </w:t>
      </w:r>
      <w:proofErr w:type="spellStart"/>
      <w:r w:rsidRPr="003D33E1">
        <w:t>doi</w:t>
      </w:r>
      <w:proofErr w:type="spellEnd"/>
      <w:r w:rsidRPr="003D33E1">
        <w:t>: 10.1097/01.wnn.0000119564.08162.46</w:t>
      </w:r>
    </w:p>
    <w:p w14:paraId="014475EE" w14:textId="77777777" w:rsidR="003D33E1" w:rsidRPr="003D33E1" w:rsidRDefault="003D33E1" w:rsidP="00B6729F">
      <w:pPr>
        <w:pStyle w:val="NoSpacing"/>
        <w:ind w:left="720" w:hanging="720"/>
      </w:pPr>
      <w:bookmarkStart w:id="46" w:name="B18"/>
      <w:bookmarkEnd w:id="46"/>
      <w:r w:rsidRPr="003D33E1">
        <w:t>Cox, R. W. (1996). AFNI: software for analysis and visualization of functional magnetic resonance neuroimages. </w:t>
      </w:r>
      <w:r w:rsidRPr="003D33E1">
        <w:rPr>
          <w:i/>
          <w:iCs/>
        </w:rPr>
        <w:t>Comp. Biomed. Res.</w:t>
      </w:r>
      <w:r w:rsidRPr="003D33E1">
        <w:t xml:space="preserve"> 29, 162–173. </w:t>
      </w:r>
      <w:proofErr w:type="spellStart"/>
      <w:r w:rsidRPr="003D33E1">
        <w:t>doi</w:t>
      </w:r>
      <w:proofErr w:type="spellEnd"/>
      <w:r w:rsidRPr="003D33E1">
        <w:t>: 10.1006/cbmr.1996.0014</w:t>
      </w:r>
    </w:p>
    <w:p w14:paraId="7F9CF8BE" w14:textId="77777777" w:rsidR="003D33E1" w:rsidRPr="003D33E1" w:rsidRDefault="003D33E1" w:rsidP="00B6729F">
      <w:pPr>
        <w:pStyle w:val="NoSpacing"/>
        <w:ind w:left="720" w:hanging="720"/>
      </w:pPr>
      <w:bookmarkStart w:id="47" w:name="B19"/>
      <w:bookmarkEnd w:id="47"/>
      <w:r w:rsidRPr="003D33E1">
        <w:t xml:space="preserve">Craig, A. D. (2002). How do you feel? </w:t>
      </w:r>
      <w:proofErr w:type="spellStart"/>
      <w:r w:rsidRPr="003D33E1">
        <w:t>interoception</w:t>
      </w:r>
      <w:proofErr w:type="spellEnd"/>
      <w:r w:rsidRPr="003D33E1">
        <w:t>: the sense of the physiological condition of the body. </w:t>
      </w:r>
      <w:r w:rsidRPr="003D33E1">
        <w:rPr>
          <w:i/>
          <w:iCs/>
        </w:rPr>
        <w:t xml:space="preserve">Nat. Rev. </w:t>
      </w:r>
      <w:proofErr w:type="spellStart"/>
      <w:r w:rsidRPr="003D33E1">
        <w:rPr>
          <w:i/>
          <w:iCs/>
        </w:rPr>
        <w:t>Neurosci</w:t>
      </w:r>
      <w:proofErr w:type="spellEnd"/>
      <w:r w:rsidRPr="003D33E1">
        <w:rPr>
          <w:i/>
          <w:iCs/>
        </w:rPr>
        <w:t>.</w:t>
      </w:r>
      <w:r w:rsidRPr="003D33E1">
        <w:t xml:space="preserve"> 3, 655–666. </w:t>
      </w:r>
      <w:proofErr w:type="spellStart"/>
      <w:r w:rsidRPr="003D33E1">
        <w:t>doi</w:t>
      </w:r>
      <w:proofErr w:type="spellEnd"/>
      <w:r w:rsidRPr="003D33E1">
        <w:t>: 10.1038/nrn894</w:t>
      </w:r>
    </w:p>
    <w:p w14:paraId="3DFA7540" w14:textId="77777777" w:rsidR="003D33E1" w:rsidRPr="003D33E1" w:rsidRDefault="003D33E1" w:rsidP="00B6729F">
      <w:pPr>
        <w:pStyle w:val="NoSpacing"/>
        <w:ind w:left="720" w:hanging="720"/>
      </w:pPr>
      <w:bookmarkStart w:id="48" w:name="B20"/>
      <w:bookmarkEnd w:id="48"/>
      <w:proofErr w:type="spellStart"/>
      <w:r w:rsidRPr="003D33E1">
        <w:t>Damoiseaux</w:t>
      </w:r>
      <w:proofErr w:type="spellEnd"/>
      <w:r w:rsidRPr="003D33E1">
        <w:t xml:space="preserve">, J. S., </w:t>
      </w:r>
      <w:proofErr w:type="spellStart"/>
      <w:r w:rsidRPr="003D33E1">
        <w:t>Rombouts</w:t>
      </w:r>
      <w:proofErr w:type="spellEnd"/>
      <w:r w:rsidRPr="003D33E1">
        <w:t xml:space="preserve">, S., </w:t>
      </w:r>
      <w:proofErr w:type="spellStart"/>
      <w:r w:rsidRPr="003D33E1">
        <w:t>Barkhof</w:t>
      </w:r>
      <w:proofErr w:type="spellEnd"/>
      <w:r w:rsidRPr="003D33E1">
        <w:t xml:space="preserve">, F., </w:t>
      </w:r>
      <w:proofErr w:type="spellStart"/>
      <w:r w:rsidRPr="003D33E1">
        <w:t>Scheltens</w:t>
      </w:r>
      <w:proofErr w:type="spellEnd"/>
      <w:r w:rsidRPr="003D33E1">
        <w:t>, P., Stam, C. J., Smith, S. M., et al. (2006). Consistent resting-state networks across healthy subjects. </w:t>
      </w:r>
      <w:r w:rsidRPr="003D33E1">
        <w:rPr>
          <w:i/>
          <w:iCs/>
        </w:rPr>
        <w:t>Proc. Natl. Acad. Sci. U S A.</w:t>
      </w:r>
      <w:r w:rsidRPr="003D33E1">
        <w:t xml:space="preserve"> 103, 13848–13853. </w:t>
      </w:r>
      <w:proofErr w:type="spellStart"/>
      <w:r w:rsidRPr="003D33E1">
        <w:t>doi</w:t>
      </w:r>
      <w:proofErr w:type="spellEnd"/>
      <w:r w:rsidRPr="003D33E1">
        <w:t>: 10.1073/pnas.0601417103</w:t>
      </w:r>
    </w:p>
    <w:p w14:paraId="222FA31C" w14:textId="77777777" w:rsidR="003D33E1" w:rsidRPr="003D33E1" w:rsidRDefault="003D33E1" w:rsidP="00B6729F">
      <w:pPr>
        <w:pStyle w:val="NoSpacing"/>
        <w:ind w:left="720" w:hanging="720"/>
      </w:pPr>
      <w:bookmarkStart w:id="49" w:name="B21"/>
      <w:bookmarkEnd w:id="49"/>
      <w:proofErr w:type="spellStart"/>
      <w:r w:rsidRPr="003D33E1">
        <w:t>Dannhauser</w:t>
      </w:r>
      <w:proofErr w:type="spellEnd"/>
      <w:r w:rsidRPr="003D33E1">
        <w:t xml:space="preserve">, T. M., Walker, Z., Stevens, T., Lee, L., Seal, M., and </w:t>
      </w:r>
      <w:proofErr w:type="spellStart"/>
      <w:r w:rsidRPr="003D33E1">
        <w:t>Shergill</w:t>
      </w:r>
      <w:proofErr w:type="spellEnd"/>
      <w:r w:rsidRPr="003D33E1">
        <w:t>, S. S. (2005). The functional anatomy of divided attention in amnestic mild cognitive impairment. </w:t>
      </w:r>
      <w:r w:rsidRPr="003D33E1">
        <w:rPr>
          <w:i/>
          <w:iCs/>
        </w:rPr>
        <w:t>Brain</w:t>
      </w:r>
      <w:r w:rsidRPr="003D33E1">
        <w:t xml:space="preserve"> 128, 1418–1427. </w:t>
      </w:r>
      <w:proofErr w:type="spellStart"/>
      <w:r w:rsidRPr="003D33E1">
        <w:t>doi</w:t>
      </w:r>
      <w:proofErr w:type="spellEnd"/>
      <w:r w:rsidRPr="003D33E1">
        <w:t>: 10.1093/brain/awh413</w:t>
      </w:r>
    </w:p>
    <w:p w14:paraId="14E1DD00" w14:textId="77777777" w:rsidR="003D33E1" w:rsidRPr="003D33E1" w:rsidRDefault="003D33E1" w:rsidP="00B6729F">
      <w:pPr>
        <w:pStyle w:val="NoSpacing"/>
        <w:ind w:left="720" w:hanging="720"/>
      </w:pPr>
      <w:bookmarkStart w:id="50" w:name="B22"/>
      <w:bookmarkEnd w:id="50"/>
      <w:r w:rsidRPr="003D33E1">
        <w:t xml:space="preserve">De Moor, M. H., </w:t>
      </w:r>
      <w:proofErr w:type="spellStart"/>
      <w:r w:rsidRPr="003D33E1">
        <w:t>Boomsma</w:t>
      </w:r>
      <w:proofErr w:type="spellEnd"/>
      <w:r w:rsidRPr="003D33E1">
        <w:t xml:space="preserve">, D. I., </w:t>
      </w:r>
      <w:proofErr w:type="spellStart"/>
      <w:r w:rsidRPr="003D33E1">
        <w:t>Stubbe</w:t>
      </w:r>
      <w:proofErr w:type="spellEnd"/>
      <w:r w:rsidRPr="003D33E1">
        <w:t xml:space="preserve">, J. H., Willemsen, G., and de </w:t>
      </w:r>
      <w:proofErr w:type="spellStart"/>
      <w:r w:rsidRPr="003D33E1">
        <w:t>Geus</w:t>
      </w:r>
      <w:proofErr w:type="spellEnd"/>
      <w:r w:rsidRPr="003D33E1">
        <w:t>, E. J. (2008). Testing causality in the association between regular exercise and symptoms of anxiety and depression. </w:t>
      </w:r>
      <w:r w:rsidRPr="003D33E1">
        <w:rPr>
          <w:i/>
          <w:iCs/>
        </w:rPr>
        <w:t>Arch. Gen. Psychiatry</w:t>
      </w:r>
      <w:r w:rsidRPr="003D33E1">
        <w:t xml:space="preserve"> 65, 897–905. </w:t>
      </w:r>
      <w:proofErr w:type="spellStart"/>
      <w:r w:rsidRPr="003D33E1">
        <w:t>doi</w:t>
      </w:r>
      <w:proofErr w:type="spellEnd"/>
      <w:r w:rsidRPr="003D33E1">
        <w:t>: 10.1001/archpsyc.65.8.897</w:t>
      </w:r>
    </w:p>
    <w:p w14:paraId="5D3A5E8C" w14:textId="77777777" w:rsidR="003D33E1" w:rsidRPr="003D33E1" w:rsidRDefault="003D33E1" w:rsidP="00B6729F">
      <w:pPr>
        <w:pStyle w:val="NoSpacing"/>
        <w:ind w:left="720" w:hanging="720"/>
      </w:pPr>
      <w:bookmarkStart w:id="51" w:name="B23"/>
      <w:bookmarkEnd w:id="51"/>
      <w:proofErr w:type="spellStart"/>
      <w:r w:rsidRPr="003D33E1">
        <w:t>Delle</w:t>
      </w:r>
      <w:proofErr w:type="spellEnd"/>
      <w:r w:rsidRPr="003D33E1">
        <w:t xml:space="preserve"> </w:t>
      </w:r>
      <w:proofErr w:type="spellStart"/>
      <w:r w:rsidRPr="003D33E1">
        <w:t>Fave</w:t>
      </w:r>
      <w:proofErr w:type="spellEnd"/>
      <w:r w:rsidRPr="003D33E1">
        <w:t xml:space="preserve">, A., </w:t>
      </w:r>
      <w:proofErr w:type="spellStart"/>
      <w:r w:rsidRPr="003D33E1">
        <w:t>Bassi</w:t>
      </w:r>
      <w:proofErr w:type="spellEnd"/>
      <w:r w:rsidRPr="003D33E1">
        <w:t xml:space="preserve">, M., </w:t>
      </w:r>
      <w:proofErr w:type="spellStart"/>
      <w:r w:rsidRPr="003D33E1">
        <w:t>Boccaletti</w:t>
      </w:r>
      <w:proofErr w:type="spellEnd"/>
      <w:r w:rsidRPr="003D33E1">
        <w:t xml:space="preserve">, E. S., </w:t>
      </w:r>
      <w:proofErr w:type="spellStart"/>
      <w:r w:rsidRPr="003D33E1">
        <w:t>Roncaglione</w:t>
      </w:r>
      <w:proofErr w:type="spellEnd"/>
      <w:r w:rsidRPr="003D33E1">
        <w:t xml:space="preserve">, C., </w:t>
      </w:r>
      <w:proofErr w:type="spellStart"/>
      <w:r w:rsidRPr="003D33E1">
        <w:t>Bernardelli</w:t>
      </w:r>
      <w:proofErr w:type="spellEnd"/>
      <w:r w:rsidRPr="003D33E1">
        <w:t>, G., and Mari, D. (2018). Promoting well-being in old age: the psychological benefits of two training programs of adapted physical activity. </w:t>
      </w:r>
      <w:r w:rsidRPr="003D33E1">
        <w:rPr>
          <w:i/>
          <w:iCs/>
        </w:rPr>
        <w:t>Front. Psychol.</w:t>
      </w:r>
      <w:r w:rsidRPr="003D33E1">
        <w:t xml:space="preserve"> 9:828. </w:t>
      </w:r>
      <w:proofErr w:type="spellStart"/>
      <w:r w:rsidRPr="003D33E1">
        <w:t>doi</w:t>
      </w:r>
      <w:proofErr w:type="spellEnd"/>
      <w:r w:rsidRPr="003D33E1">
        <w:t>: 10.3389/fpsyg.2018.00828</w:t>
      </w:r>
    </w:p>
    <w:p w14:paraId="696E07D3" w14:textId="77777777" w:rsidR="003D33E1" w:rsidRPr="003D33E1" w:rsidRDefault="003D33E1" w:rsidP="00B6729F">
      <w:pPr>
        <w:pStyle w:val="NoSpacing"/>
        <w:ind w:left="720" w:hanging="720"/>
      </w:pPr>
      <w:bookmarkStart w:id="52" w:name="B24"/>
      <w:bookmarkEnd w:id="52"/>
      <w:r w:rsidRPr="003D33E1">
        <w:t xml:space="preserve">Depp, C. A., and </w:t>
      </w:r>
      <w:proofErr w:type="spellStart"/>
      <w:r w:rsidRPr="003D33E1">
        <w:t>Jeste</w:t>
      </w:r>
      <w:proofErr w:type="spellEnd"/>
      <w:r w:rsidRPr="003D33E1">
        <w:t>, D. V. (2006). Definitions and predictors of successful aging: a comprehensive review of larger quantitative studies. </w:t>
      </w:r>
      <w:r w:rsidRPr="003D33E1">
        <w:rPr>
          <w:i/>
          <w:iCs/>
        </w:rPr>
        <w:t xml:space="preserve">Am. J. </w:t>
      </w:r>
      <w:proofErr w:type="spellStart"/>
      <w:r w:rsidRPr="003D33E1">
        <w:rPr>
          <w:i/>
          <w:iCs/>
        </w:rPr>
        <w:t>Geriatr</w:t>
      </w:r>
      <w:proofErr w:type="spellEnd"/>
      <w:r w:rsidRPr="003D33E1">
        <w:rPr>
          <w:i/>
          <w:iCs/>
        </w:rPr>
        <w:t>. Psychiatry</w:t>
      </w:r>
      <w:r w:rsidRPr="003D33E1">
        <w:t xml:space="preserve"> 14, 6–20. </w:t>
      </w:r>
      <w:proofErr w:type="spellStart"/>
      <w:r w:rsidRPr="003D33E1">
        <w:t>doi</w:t>
      </w:r>
      <w:proofErr w:type="spellEnd"/>
      <w:r w:rsidRPr="003D33E1">
        <w:t>: 10.1097/01.JGP.</w:t>
      </w:r>
      <w:proofErr w:type="gramStart"/>
      <w:r w:rsidRPr="003D33E1">
        <w:t>0000192501.03069.bc</w:t>
      </w:r>
      <w:proofErr w:type="gramEnd"/>
    </w:p>
    <w:p w14:paraId="534C006A" w14:textId="77777777" w:rsidR="003D33E1" w:rsidRPr="003D33E1" w:rsidRDefault="003D33E1" w:rsidP="00B6729F">
      <w:pPr>
        <w:pStyle w:val="NoSpacing"/>
        <w:ind w:left="720" w:hanging="720"/>
      </w:pPr>
      <w:bookmarkStart w:id="53" w:name="B25"/>
      <w:bookmarkEnd w:id="53"/>
      <w:proofErr w:type="spellStart"/>
      <w:r w:rsidRPr="003D33E1">
        <w:t>Destrieux</w:t>
      </w:r>
      <w:proofErr w:type="spellEnd"/>
      <w:r w:rsidRPr="003D33E1">
        <w:t xml:space="preserve">, C., </w:t>
      </w:r>
      <w:proofErr w:type="spellStart"/>
      <w:r w:rsidRPr="003D33E1">
        <w:t>Fischl</w:t>
      </w:r>
      <w:proofErr w:type="spellEnd"/>
      <w:r w:rsidRPr="003D33E1">
        <w:t xml:space="preserve">, B., Dale, A., and </w:t>
      </w:r>
      <w:proofErr w:type="spellStart"/>
      <w:r w:rsidRPr="003D33E1">
        <w:t>Halgren</w:t>
      </w:r>
      <w:proofErr w:type="spellEnd"/>
      <w:r w:rsidRPr="003D33E1">
        <w:t>, E. (2010). Automatic parcellation of human cortical gyri and sulci using standard anatomical nomenclature. </w:t>
      </w:r>
      <w:r w:rsidRPr="003D33E1">
        <w:rPr>
          <w:i/>
          <w:iCs/>
        </w:rPr>
        <w:t>Neuroimage</w:t>
      </w:r>
      <w:r w:rsidRPr="003D33E1">
        <w:t xml:space="preserve"> 53, 1–15. </w:t>
      </w:r>
      <w:proofErr w:type="spellStart"/>
      <w:r w:rsidRPr="003D33E1">
        <w:t>doi</w:t>
      </w:r>
      <w:proofErr w:type="spellEnd"/>
      <w:r w:rsidRPr="003D33E1">
        <w:t>: 10.1016/j.neuroimage.2010.06.010</w:t>
      </w:r>
    </w:p>
    <w:p w14:paraId="3B8E8EF6" w14:textId="77777777" w:rsidR="003D33E1" w:rsidRPr="003D33E1" w:rsidRDefault="003D33E1" w:rsidP="00B6729F">
      <w:pPr>
        <w:pStyle w:val="NoSpacing"/>
        <w:ind w:left="720" w:hanging="720"/>
      </w:pPr>
      <w:bookmarkStart w:id="54" w:name="B26"/>
      <w:bookmarkEnd w:id="54"/>
      <w:proofErr w:type="spellStart"/>
      <w:r w:rsidRPr="003D33E1">
        <w:t>Diedenhofen</w:t>
      </w:r>
      <w:proofErr w:type="spellEnd"/>
      <w:r w:rsidRPr="003D33E1">
        <w:t xml:space="preserve">, B., and </w:t>
      </w:r>
      <w:proofErr w:type="spellStart"/>
      <w:r w:rsidRPr="003D33E1">
        <w:t>Musch</w:t>
      </w:r>
      <w:proofErr w:type="spellEnd"/>
      <w:r w:rsidRPr="003D33E1">
        <w:t xml:space="preserve">, J. (2015). </w:t>
      </w:r>
      <w:proofErr w:type="spellStart"/>
      <w:r w:rsidRPr="003D33E1">
        <w:t>cocor</w:t>
      </w:r>
      <w:proofErr w:type="spellEnd"/>
      <w:r w:rsidRPr="003D33E1">
        <w:t>: a comprehensive solution for the statistical comparison of correlations. </w:t>
      </w:r>
      <w:proofErr w:type="spellStart"/>
      <w:r w:rsidRPr="003D33E1">
        <w:rPr>
          <w:i/>
          <w:iCs/>
        </w:rPr>
        <w:t>PLoS</w:t>
      </w:r>
      <w:proofErr w:type="spellEnd"/>
      <w:r w:rsidRPr="003D33E1">
        <w:rPr>
          <w:i/>
          <w:iCs/>
        </w:rPr>
        <w:t xml:space="preserve"> One</w:t>
      </w:r>
      <w:r w:rsidRPr="003D33E1">
        <w:t> </w:t>
      </w:r>
      <w:proofErr w:type="gramStart"/>
      <w:r w:rsidRPr="003D33E1">
        <w:t>10:e</w:t>
      </w:r>
      <w:proofErr w:type="gramEnd"/>
      <w:r w:rsidRPr="003D33E1">
        <w:t xml:space="preserve">0121945. </w:t>
      </w:r>
      <w:proofErr w:type="spellStart"/>
      <w:r w:rsidRPr="003D33E1">
        <w:t>doi</w:t>
      </w:r>
      <w:proofErr w:type="spellEnd"/>
      <w:r w:rsidRPr="003D33E1">
        <w:t>: 10.1371/journal.pone.0121945</w:t>
      </w:r>
    </w:p>
    <w:p w14:paraId="4FE9A93F" w14:textId="77777777" w:rsidR="003D33E1" w:rsidRPr="003D33E1" w:rsidRDefault="003D33E1" w:rsidP="00B6729F">
      <w:pPr>
        <w:pStyle w:val="NoSpacing"/>
        <w:ind w:left="720" w:hanging="720"/>
      </w:pPr>
      <w:bookmarkStart w:id="55" w:name="B27"/>
      <w:bookmarkEnd w:id="55"/>
      <w:r w:rsidRPr="003D33E1">
        <w:t>Diener, E. (2000). Subjective well-being: the science of happiness and a proposal for a national index. </w:t>
      </w:r>
      <w:r w:rsidRPr="003D33E1">
        <w:rPr>
          <w:i/>
          <w:iCs/>
        </w:rPr>
        <w:t>Am. Psychol.</w:t>
      </w:r>
      <w:r w:rsidRPr="003D33E1">
        <w:t xml:space="preserve"> 55:34. </w:t>
      </w:r>
      <w:proofErr w:type="spellStart"/>
      <w:r w:rsidRPr="003D33E1">
        <w:t>doi</w:t>
      </w:r>
      <w:proofErr w:type="spellEnd"/>
      <w:r w:rsidRPr="003D33E1">
        <w:t>: 10.1037/0003-066x.55.1.34</w:t>
      </w:r>
    </w:p>
    <w:p w14:paraId="18C5E0C1" w14:textId="77777777" w:rsidR="003D33E1" w:rsidRPr="003D33E1" w:rsidRDefault="003D33E1" w:rsidP="00B6729F">
      <w:pPr>
        <w:pStyle w:val="NoSpacing"/>
        <w:ind w:left="720" w:hanging="720"/>
      </w:pPr>
      <w:bookmarkStart w:id="56" w:name="B28"/>
      <w:bookmarkEnd w:id="56"/>
      <w:r w:rsidRPr="003D33E1">
        <w:t xml:space="preserve">Ding, X., </w:t>
      </w:r>
      <w:proofErr w:type="spellStart"/>
      <w:r w:rsidRPr="003D33E1">
        <w:t>Charnigo</w:t>
      </w:r>
      <w:proofErr w:type="spellEnd"/>
      <w:r w:rsidRPr="003D33E1">
        <w:t xml:space="preserve">, R. J., Schmitt, F. A., </w:t>
      </w:r>
      <w:proofErr w:type="spellStart"/>
      <w:r w:rsidRPr="003D33E1">
        <w:t>Kryscio</w:t>
      </w:r>
      <w:proofErr w:type="spellEnd"/>
      <w:r w:rsidRPr="003D33E1">
        <w:t>, R. J., Abner, E. L., and Initiative, A. D. N. (2019). Evaluating trajectories of episodic memory in normal cognition and mild cognitive impairment: results from ADNI. </w:t>
      </w:r>
      <w:proofErr w:type="spellStart"/>
      <w:r w:rsidRPr="003D33E1">
        <w:rPr>
          <w:i/>
          <w:iCs/>
        </w:rPr>
        <w:t>PLoS</w:t>
      </w:r>
      <w:proofErr w:type="spellEnd"/>
      <w:r w:rsidRPr="003D33E1">
        <w:rPr>
          <w:i/>
          <w:iCs/>
        </w:rPr>
        <w:t xml:space="preserve"> One</w:t>
      </w:r>
      <w:r w:rsidRPr="003D33E1">
        <w:t> </w:t>
      </w:r>
      <w:proofErr w:type="gramStart"/>
      <w:r w:rsidRPr="003D33E1">
        <w:t>14:e</w:t>
      </w:r>
      <w:proofErr w:type="gramEnd"/>
      <w:r w:rsidRPr="003D33E1">
        <w:t xml:space="preserve">0212435. </w:t>
      </w:r>
      <w:proofErr w:type="spellStart"/>
      <w:r w:rsidRPr="003D33E1">
        <w:t>doi</w:t>
      </w:r>
      <w:proofErr w:type="spellEnd"/>
      <w:r w:rsidRPr="003D33E1">
        <w:t>: 10.1371/journal.pone.0212435</w:t>
      </w:r>
    </w:p>
    <w:p w14:paraId="511A6FB5" w14:textId="77777777" w:rsidR="003D33E1" w:rsidRPr="003D33E1" w:rsidRDefault="003D33E1" w:rsidP="00B6729F">
      <w:pPr>
        <w:pStyle w:val="NoSpacing"/>
        <w:ind w:left="720" w:hanging="720"/>
      </w:pPr>
      <w:bookmarkStart w:id="57" w:name="B29"/>
      <w:bookmarkEnd w:id="57"/>
      <w:r w:rsidRPr="003D33E1">
        <w:t xml:space="preserve">Dos Santos, S. B., Rocha, G. P., Fernandez, L. L., de Padua, A. C., and </w:t>
      </w:r>
      <w:proofErr w:type="spellStart"/>
      <w:r w:rsidRPr="003D33E1">
        <w:t>Reppold</w:t>
      </w:r>
      <w:proofErr w:type="spellEnd"/>
      <w:r w:rsidRPr="003D33E1">
        <w:t>, C. T. (2018). Association of lower spiritual well-being, social support, self-esteem, subjective well-being, optimism and hope scores with mild cognitive impairment and mild dementia. </w:t>
      </w:r>
      <w:r w:rsidRPr="003D33E1">
        <w:rPr>
          <w:i/>
          <w:iCs/>
        </w:rPr>
        <w:t>Front. Psychol.</w:t>
      </w:r>
      <w:r w:rsidRPr="003D33E1">
        <w:t xml:space="preserve"> 9:371. </w:t>
      </w:r>
      <w:proofErr w:type="spellStart"/>
      <w:r w:rsidRPr="003D33E1">
        <w:t>doi</w:t>
      </w:r>
      <w:proofErr w:type="spellEnd"/>
      <w:r w:rsidRPr="003D33E1">
        <w:t>: 10.3389/fpsyg.2018.00371</w:t>
      </w:r>
    </w:p>
    <w:p w14:paraId="6B392A8B" w14:textId="77777777" w:rsidR="003D33E1" w:rsidRPr="003D33E1" w:rsidRDefault="003D33E1" w:rsidP="00B6729F">
      <w:pPr>
        <w:pStyle w:val="NoSpacing"/>
        <w:ind w:left="720" w:hanging="720"/>
      </w:pPr>
      <w:bookmarkStart w:id="58" w:name="B30"/>
      <w:bookmarkEnd w:id="58"/>
      <w:proofErr w:type="spellStart"/>
      <w:r w:rsidRPr="003D33E1">
        <w:t>Fischl</w:t>
      </w:r>
      <w:proofErr w:type="spellEnd"/>
      <w:r w:rsidRPr="003D33E1">
        <w:t xml:space="preserve">, B. (2012). </w:t>
      </w:r>
      <w:proofErr w:type="spellStart"/>
      <w:r w:rsidRPr="003D33E1">
        <w:t>FreeSurfer</w:t>
      </w:r>
      <w:proofErr w:type="spellEnd"/>
      <w:r w:rsidRPr="003D33E1">
        <w:t>. </w:t>
      </w:r>
      <w:r w:rsidRPr="003D33E1">
        <w:rPr>
          <w:i/>
          <w:iCs/>
        </w:rPr>
        <w:t>Neuroimage</w:t>
      </w:r>
      <w:r w:rsidRPr="003D33E1">
        <w:t xml:space="preserve"> 62, 774–781. </w:t>
      </w:r>
      <w:proofErr w:type="spellStart"/>
      <w:r w:rsidRPr="003D33E1">
        <w:t>doi</w:t>
      </w:r>
      <w:proofErr w:type="spellEnd"/>
      <w:r w:rsidRPr="003D33E1">
        <w:t>: 10.1016/j.neuroimage.2012.01.021</w:t>
      </w:r>
    </w:p>
    <w:p w14:paraId="32584A9C" w14:textId="77777777" w:rsidR="003D33E1" w:rsidRPr="003D33E1" w:rsidRDefault="003D33E1" w:rsidP="00B6729F">
      <w:pPr>
        <w:pStyle w:val="NoSpacing"/>
        <w:ind w:left="720" w:hanging="720"/>
      </w:pPr>
      <w:bookmarkStart w:id="59" w:name="B31"/>
      <w:bookmarkEnd w:id="59"/>
      <w:r w:rsidRPr="003D33E1">
        <w:t>Fisher, R. A. (1915). Frequency distribution of the values of the correlation coefficient in samples from an indefinitely large population. </w:t>
      </w:r>
      <w:proofErr w:type="spellStart"/>
      <w:r w:rsidRPr="003D33E1">
        <w:rPr>
          <w:i/>
          <w:iCs/>
        </w:rPr>
        <w:t>Biometrika</w:t>
      </w:r>
      <w:proofErr w:type="spellEnd"/>
      <w:r w:rsidRPr="003D33E1">
        <w:t xml:space="preserve"> 10, 507–521. </w:t>
      </w:r>
      <w:proofErr w:type="spellStart"/>
      <w:r w:rsidRPr="003D33E1">
        <w:t>doi</w:t>
      </w:r>
      <w:proofErr w:type="spellEnd"/>
      <w:r w:rsidRPr="003D33E1">
        <w:t>: 10.2307/2331838</w:t>
      </w:r>
    </w:p>
    <w:p w14:paraId="3F927089" w14:textId="77777777" w:rsidR="003D33E1" w:rsidRPr="003D33E1" w:rsidRDefault="003D33E1" w:rsidP="00B6729F">
      <w:pPr>
        <w:pStyle w:val="NoSpacing"/>
        <w:ind w:left="720" w:hanging="720"/>
      </w:pPr>
      <w:bookmarkStart w:id="60" w:name="B32"/>
      <w:bookmarkEnd w:id="60"/>
      <w:r w:rsidRPr="003D33E1">
        <w:t xml:space="preserve">Fox, M. D., Snyder, A. Z., Vincent, J. L., </w:t>
      </w:r>
      <w:proofErr w:type="spellStart"/>
      <w:r w:rsidRPr="003D33E1">
        <w:t>Corbetta</w:t>
      </w:r>
      <w:proofErr w:type="spellEnd"/>
      <w:r w:rsidRPr="003D33E1">
        <w:t xml:space="preserve">, M., Van Essen, D. C., and </w:t>
      </w:r>
      <w:proofErr w:type="spellStart"/>
      <w:r w:rsidRPr="003D33E1">
        <w:t>Raichle</w:t>
      </w:r>
      <w:proofErr w:type="spellEnd"/>
      <w:r w:rsidRPr="003D33E1">
        <w:t>, M. E. (2005). The human brain is intrinsically organized into dynamic, anticorrelated functional networks. </w:t>
      </w:r>
      <w:r w:rsidRPr="003D33E1">
        <w:rPr>
          <w:i/>
          <w:iCs/>
        </w:rPr>
        <w:t>Proc. Natl. Acad. Sci. U S A.</w:t>
      </w:r>
      <w:r w:rsidRPr="003D33E1">
        <w:t xml:space="preserve"> 102, 9673–9678. </w:t>
      </w:r>
      <w:proofErr w:type="spellStart"/>
      <w:r w:rsidRPr="003D33E1">
        <w:t>doi</w:t>
      </w:r>
      <w:proofErr w:type="spellEnd"/>
      <w:r w:rsidRPr="003D33E1">
        <w:t>: 10.1073/pnas.0504136102</w:t>
      </w:r>
    </w:p>
    <w:p w14:paraId="00D8D34C" w14:textId="77777777" w:rsidR="003D33E1" w:rsidRPr="003D33E1" w:rsidRDefault="003D33E1" w:rsidP="00B6729F">
      <w:pPr>
        <w:pStyle w:val="NoSpacing"/>
        <w:ind w:left="720" w:hanging="720"/>
      </w:pPr>
      <w:bookmarkStart w:id="61" w:name="B33"/>
      <w:bookmarkEnd w:id="61"/>
      <w:r w:rsidRPr="003D33E1">
        <w:t>Gates, N., Valenzuela, M., Sachdev, P. S., and Singh, M. A. F. (2014). Psychological well-being in individuals with mild cognitive impairment. </w:t>
      </w:r>
      <w:r w:rsidRPr="003D33E1">
        <w:rPr>
          <w:i/>
          <w:iCs/>
        </w:rPr>
        <w:t xml:space="preserve">Clin. </w:t>
      </w:r>
      <w:proofErr w:type="spellStart"/>
      <w:r w:rsidRPr="003D33E1">
        <w:rPr>
          <w:i/>
          <w:iCs/>
        </w:rPr>
        <w:t>Intervent</w:t>
      </w:r>
      <w:proofErr w:type="spellEnd"/>
      <w:r w:rsidRPr="003D33E1">
        <w:rPr>
          <w:i/>
          <w:iCs/>
        </w:rPr>
        <w:t>. Aging</w:t>
      </w:r>
      <w:r w:rsidRPr="003D33E1">
        <w:t xml:space="preserve"> 9:779. </w:t>
      </w:r>
      <w:proofErr w:type="spellStart"/>
      <w:r w:rsidRPr="003D33E1">
        <w:t>doi</w:t>
      </w:r>
      <w:proofErr w:type="spellEnd"/>
      <w:r w:rsidRPr="003D33E1">
        <w:t>: 10.2147/CIA.S58866</w:t>
      </w:r>
    </w:p>
    <w:p w14:paraId="2E4845CF" w14:textId="77777777" w:rsidR="003D33E1" w:rsidRPr="003D33E1" w:rsidRDefault="003D33E1" w:rsidP="00B6729F">
      <w:pPr>
        <w:pStyle w:val="NoSpacing"/>
        <w:ind w:left="720" w:hanging="720"/>
      </w:pPr>
      <w:bookmarkStart w:id="62" w:name="B34"/>
      <w:bookmarkEnd w:id="62"/>
      <w:proofErr w:type="spellStart"/>
      <w:r w:rsidRPr="003D33E1">
        <w:t>Gries</w:t>
      </w:r>
      <w:proofErr w:type="spellEnd"/>
      <w:r w:rsidRPr="003D33E1">
        <w:t xml:space="preserve">, K. J., </w:t>
      </w:r>
      <w:proofErr w:type="spellStart"/>
      <w:r w:rsidRPr="003D33E1">
        <w:t>Raue</w:t>
      </w:r>
      <w:proofErr w:type="spellEnd"/>
      <w:r w:rsidRPr="003D33E1">
        <w:t xml:space="preserve">, U., Perkins, R. K., Lavin, K. M., Overstreet, B. S., </w:t>
      </w:r>
      <w:proofErr w:type="spellStart"/>
      <w:r w:rsidRPr="003D33E1">
        <w:t>D’Acquisto</w:t>
      </w:r>
      <w:proofErr w:type="spellEnd"/>
      <w:r w:rsidRPr="003D33E1">
        <w:t>, L. J., et al. (2018). Cardiovascular and skeletal muscle health with lifelong exercise. </w:t>
      </w:r>
      <w:r w:rsidRPr="003D33E1">
        <w:rPr>
          <w:i/>
          <w:iCs/>
        </w:rPr>
        <w:t>J. Appl. Physiol.</w:t>
      </w:r>
      <w:r w:rsidRPr="003D33E1">
        <w:t xml:space="preserve"> 125, 1636–1645. </w:t>
      </w:r>
      <w:proofErr w:type="spellStart"/>
      <w:r w:rsidRPr="003D33E1">
        <w:t>doi</w:t>
      </w:r>
      <w:proofErr w:type="spellEnd"/>
      <w:r w:rsidRPr="003D33E1">
        <w:t>: 10.1152/japplphysiol.00174.2018</w:t>
      </w:r>
    </w:p>
    <w:p w14:paraId="27C0A8A6" w14:textId="77777777" w:rsidR="003D33E1" w:rsidRPr="003D33E1" w:rsidRDefault="003D33E1" w:rsidP="00B6729F">
      <w:pPr>
        <w:pStyle w:val="NoSpacing"/>
        <w:ind w:left="720" w:hanging="720"/>
      </w:pPr>
      <w:bookmarkStart w:id="63" w:name="B35"/>
      <w:bookmarkEnd w:id="63"/>
      <w:r w:rsidRPr="003D33E1">
        <w:t xml:space="preserve">Jo, H. J., Gotts, S. J., Reynolds, R. C., </w:t>
      </w:r>
      <w:proofErr w:type="spellStart"/>
      <w:r w:rsidRPr="003D33E1">
        <w:t>Bandettini</w:t>
      </w:r>
      <w:proofErr w:type="spellEnd"/>
      <w:r w:rsidRPr="003D33E1">
        <w:t>, P. A., Martin, A., Cox, R. W., et al. (2013). Effective preprocessing procedures virtually eliminate distance-dependent motion artifacts in resting state FMRI. </w:t>
      </w:r>
      <w:r w:rsidRPr="003D33E1">
        <w:rPr>
          <w:i/>
          <w:iCs/>
        </w:rPr>
        <w:t xml:space="preserve">J. Appl. </w:t>
      </w:r>
      <w:proofErr w:type="spellStart"/>
      <w:r w:rsidRPr="003D33E1">
        <w:rPr>
          <w:i/>
          <w:iCs/>
        </w:rPr>
        <w:t>Mathemat</w:t>
      </w:r>
      <w:proofErr w:type="spellEnd"/>
      <w:r w:rsidRPr="003D33E1">
        <w:rPr>
          <w:i/>
          <w:iCs/>
        </w:rPr>
        <w:t>.</w:t>
      </w:r>
      <w:r w:rsidRPr="003D33E1">
        <w:t xml:space="preserve"> 2013:10.1155/2013/935154 </w:t>
      </w:r>
      <w:proofErr w:type="spellStart"/>
      <w:r w:rsidRPr="003D33E1">
        <w:t>doi</w:t>
      </w:r>
      <w:proofErr w:type="spellEnd"/>
      <w:r w:rsidRPr="003D33E1">
        <w:t>: 10.1155/2013/935154</w:t>
      </w:r>
    </w:p>
    <w:p w14:paraId="5AFB2F32" w14:textId="77777777" w:rsidR="003D33E1" w:rsidRPr="003D33E1" w:rsidRDefault="003D33E1" w:rsidP="00B6729F">
      <w:pPr>
        <w:pStyle w:val="NoSpacing"/>
        <w:ind w:left="720" w:hanging="720"/>
      </w:pPr>
      <w:bookmarkStart w:id="64" w:name="B36"/>
      <w:bookmarkEnd w:id="64"/>
      <w:proofErr w:type="spellStart"/>
      <w:r w:rsidRPr="003D33E1">
        <w:t>Jurica</w:t>
      </w:r>
      <w:proofErr w:type="spellEnd"/>
      <w:r w:rsidRPr="003D33E1">
        <w:t xml:space="preserve">, P. J., </w:t>
      </w:r>
      <w:proofErr w:type="spellStart"/>
      <w:r w:rsidRPr="003D33E1">
        <w:t>Leitten</w:t>
      </w:r>
      <w:proofErr w:type="spellEnd"/>
      <w:r w:rsidRPr="003D33E1">
        <w:t>, C. L., and Mattis, S. (2001). </w:t>
      </w:r>
      <w:r w:rsidRPr="003D33E1">
        <w:rPr>
          <w:i/>
          <w:iCs/>
        </w:rPr>
        <w:t>Dementia Rating Scale-2: DRS-2: Professional Manual.</w:t>
      </w:r>
      <w:r w:rsidRPr="003D33E1">
        <w:t> Lutz, FL: Psychological Assessment Resources.</w:t>
      </w:r>
    </w:p>
    <w:p w14:paraId="699559AF" w14:textId="77777777" w:rsidR="003D33E1" w:rsidRPr="003D33E1" w:rsidRDefault="003D33E1" w:rsidP="00B6729F">
      <w:pPr>
        <w:pStyle w:val="NoSpacing"/>
        <w:ind w:left="720" w:hanging="720"/>
      </w:pPr>
      <w:bookmarkStart w:id="65" w:name="B37"/>
      <w:bookmarkEnd w:id="65"/>
      <w:proofErr w:type="spellStart"/>
      <w:r w:rsidRPr="003D33E1">
        <w:t>Kayes</w:t>
      </w:r>
      <w:proofErr w:type="spellEnd"/>
      <w:r w:rsidRPr="003D33E1">
        <w:t xml:space="preserve">, M. K., and </w:t>
      </w:r>
      <w:proofErr w:type="spellStart"/>
      <w:r w:rsidRPr="003D33E1">
        <w:t>andHatfield</w:t>
      </w:r>
      <w:proofErr w:type="spellEnd"/>
      <w:r w:rsidRPr="003D33E1">
        <w:t>, B. D. (2019). “The influence of physical activity on brain aging and cognition: the role of cognitive reserve, thresholds for decline, genetic influence, and the investment hypothesis,” in </w:t>
      </w:r>
      <w:r w:rsidRPr="003D33E1">
        <w:rPr>
          <w:i/>
          <w:iCs/>
        </w:rPr>
        <w:t>Lifestyle Medicine</w:t>
      </w:r>
      <w:r w:rsidRPr="003D33E1">
        <w:t xml:space="preserve">, 3rd </w:t>
      </w:r>
      <w:proofErr w:type="spellStart"/>
      <w:r w:rsidRPr="003D33E1">
        <w:t>Edn</w:t>
      </w:r>
      <w:proofErr w:type="spellEnd"/>
      <w:r w:rsidRPr="003D33E1">
        <w:t xml:space="preserve">. ed. J. M. </w:t>
      </w:r>
      <w:proofErr w:type="spellStart"/>
      <w:r w:rsidRPr="003D33E1">
        <w:t>Rippe</w:t>
      </w:r>
      <w:proofErr w:type="spellEnd"/>
      <w:r w:rsidRPr="003D33E1">
        <w:t xml:space="preserve"> (Boca Raton, FL: CRC Press), 1251–1269. </w:t>
      </w:r>
      <w:proofErr w:type="spellStart"/>
      <w:r w:rsidRPr="003D33E1">
        <w:t>doi</w:t>
      </w:r>
      <w:proofErr w:type="spellEnd"/>
      <w:r w:rsidRPr="003D33E1">
        <w:t>: 10.1201/9781315201108-112</w:t>
      </w:r>
    </w:p>
    <w:p w14:paraId="5A9EBC8D" w14:textId="77777777" w:rsidR="003D33E1" w:rsidRPr="003D33E1" w:rsidRDefault="003D33E1" w:rsidP="00B6729F">
      <w:pPr>
        <w:pStyle w:val="NoSpacing"/>
        <w:ind w:left="720" w:hanging="720"/>
      </w:pPr>
      <w:bookmarkStart w:id="66" w:name="B38"/>
      <w:bookmarkEnd w:id="66"/>
      <w:proofErr w:type="spellStart"/>
      <w:r w:rsidRPr="003D33E1">
        <w:t>Kimmerly</w:t>
      </w:r>
      <w:proofErr w:type="spellEnd"/>
      <w:r w:rsidRPr="003D33E1">
        <w:t xml:space="preserve">, D. S., O’Leary, D. D., Menon, R. S., </w:t>
      </w:r>
      <w:proofErr w:type="spellStart"/>
      <w:r w:rsidRPr="003D33E1">
        <w:t>Gati</w:t>
      </w:r>
      <w:proofErr w:type="spellEnd"/>
      <w:r w:rsidRPr="003D33E1">
        <w:t>, J. S., and Shoemaker, J. K. (2005). Cortical regions associated with autonomic cardiovascular regulation during lower body negative pressure in humans. </w:t>
      </w:r>
      <w:r w:rsidRPr="003D33E1">
        <w:rPr>
          <w:i/>
          <w:iCs/>
        </w:rPr>
        <w:t>J. Physiol.</w:t>
      </w:r>
      <w:r w:rsidRPr="003D33E1">
        <w:t xml:space="preserve"> 569, 331–345. </w:t>
      </w:r>
      <w:proofErr w:type="spellStart"/>
      <w:r w:rsidRPr="003D33E1">
        <w:t>doi</w:t>
      </w:r>
      <w:proofErr w:type="spellEnd"/>
      <w:r w:rsidRPr="003D33E1">
        <w:t>: 10.1113/jphysiol.2005.091637</w:t>
      </w:r>
    </w:p>
    <w:p w14:paraId="1DE0396F" w14:textId="77777777" w:rsidR="003D33E1" w:rsidRPr="003D33E1" w:rsidRDefault="003D33E1" w:rsidP="00B6729F">
      <w:pPr>
        <w:pStyle w:val="NoSpacing"/>
        <w:ind w:left="720" w:hanging="720"/>
      </w:pPr>
      <w:bookmarkStart w:id="67" w:name="B39"/>
      <w:bookmarkEnd w:id="67"/>
      <w:r w:rsidRPr="003D33E1">
        <w:t>Kong, F., Ding, K., Yang, Z., Dang, X., Hu, S., Song, Y., et al. (2015). Examining gray matter structures associated with individual differences in global life satisfaction in a large sample of young adults. </w:t>
      </w:r>
      <w:r w:rsidRPr="003D33E1">
        <w:rPr>
          <w:i/>
          <w:iCs/>
        </w:rPr>
        <w:t xml:space="preserve">Soc. </w:t>
      </w:r>
      <w:proofErr w:type="spellStart"/>
      <w:r w:rsidRPr="003D33E1">
        <w:rPr>
          <w:i/>
          <w:iCs/>
        </w:rPr>
        <w:t>Cogn</w:t>
      </w:r>
      <w:proofErr w:type="spellEnd"/>
      <w:r w:rsidRPr="003D33E1">
        <w:rPr>
          <w:i/>
          <w:iCs/>
        </w:rPr>
        <w:t xml:space="preserve">. Affect. </w:t>
      </w:r>
      <w:proofErr w:type="spellStart"/>
      <w:r w:rsidRPr="003D33E1">
        <w:rPr>
          <w:i/>
          <w:iCs/>
        </w:rPr>
        <w:t>Neurosci</w:t>
      </w:r>
      <w:proofErr w:type="spellEnd"/>
      <w:r w:rsidRPr="003D33E1">
        <w:rPr>
          <w:i/>
          <w:iCs/>
        </w:rPr>
        <w:t>.</w:t>
      </w:r>
      <w:r w:rsidRPr="003D33E1">
        <w:t xml:space="preserve"> 10, 952–960. </w:t>
      </w:r>
      <w:proofErr w:type="spellStart"/>
      <w:r w:rsidRPr="003D33E1">
        <w:t>doi</w:t>
      </w:r>
      <w:proofErr w:type="spellEnd"/>
      <w:r w:rsidRPr="003D33E1">
        <w:t>: 10.1093/scan/nsu144</w:t>
      </w:r>
    </w:p>
    <w:p w14:paraId="58450D1B" w14:textId="77777777" w:rsidR="003D33E1" w:rsidRPr="003D33E1" w:rsidRDefault="003D33E1" w:rsidP="00B6729F">
      <w:pPr>
        <w:pStyle w:val="NoSpacing"/>
        <w:ind w:left="720" w:hanging="720"/>
      </w:pPr>
      <w:bookmarkStart w:id="68" w:name="B40"/>
      <w:bookmarkEnd w:id="68"/>
      <w:r w:rsidRPr="003D33E1">
        <w:t xml:space="preserve">Kong, F., </w:t>
      </w:r>
      <w:proofErr w:type="spellStart"/>
      <w:r w:rsidRPr="003D33E1">
        <w:t>Xue</w:t>
      </w:r>
      <w:proofErr w:type="spellEnd"/>
      <w:r w:rsidRPr="003D33E1">
        <w:t>, S., and Wang, X. (2016). Amplitude of low frequency fluctuations during resting state predicts social well-being. </w:t>
      </w:r>
      <w:r w:rsidRPr="003D33E1">
        <w:rPr>
          <w:i/>
          <w:iCs/>
        </w:rPr>
        <w:t>Biol. Psychol.</w:t>
      </w:r>
      <w:r w:rsidRPr="003D33E1">
        <w:t xml:space="preserve"> 118, 161–168. </w:t>
      </w:r>
      <w:proofErr w:type="spellStart"/>
      <w:r w:rsidRPr="003D33E1">
        <w:t>doi</w:t>
      </w:r>
      <w:proofErr w:type="spellEnd"/>
      <w:r w:rsidRPr="003D33E1">
        <w:t>: 10.1016/j.biopsycho.2016.05.012</w:t>
      </w:r>
    </w:p>
    <w:p w14:paraId="6F47CA44" w14:textId="77777777" w:rsidR="003D33E1" w:rsidRPr="003D33E1" w:rsidRDefault="003D33E1" w:rsidP="00B6729F">
      <w:pPr>
        <w:pStyle w:val="NoSpacing"/>
        <w:ind w:left="720" w:hanging="720"/>
      </w:pPr>
      <w:bookmarkStart w:id="69" w:name="B41"/>
      <w:bookmarkEnd w:id="69"/>
      <w:proofErr w:type="spellStart"/>
      <w:r w:rsidRPr="003D33E1">
        <w:t>Langa</w:t>
      </w:r>
      <w:proofErr w:type="spellEnd"/>
      <w:r w:rsidRPr="003D33E1">
        <w:t>, K. M., and Levine, D. A. (2014). The diagnosis and management of mild cognitive impairment: a clinical review. </w:t>
      </w:r>
      <w:r w:rsidRPr="003D33E1">
        <w:rPr>
          <w:i/>
          <w:iCs/>
        </w:rPr>
        <w:t>JAMA</w:t>
      </w:r>
      <w:r w:rsidRPr="003D33E1">
        <w:t xml:space="preserve"> 312, 2551–2561. </w:t>
      </w:r>
      <w:proofErr w:type="spellStart"/>
      <w:r w:rsidRPr="003D33E1">
        <w:t>doi</w:t>
      </w:r>
      <w:proofErr w:type="spellEnd"/>
      <w:r w:rsidRPr="003D33E1">
        <w:t>: 10.1001/jama.2014.13806</w:t>
      </w:r>
    </w:p>
    <w:p w14:paraId="76F13A68" w14:textId="77777777" w:rsidR="003D33E1" w:rsidRPr="003D33E1" w:rsidRDefault="003D33E1" w:rsidP="00B6729F">
      <w:pPr>
        <w:pStyle w:val="NoSpacing"/>
        <w:ind w:left="720" w:hanging="720"/>
      </w:pPr>
      <w:bookmarkStart w:id="70" w:name="B42"/>
      <w:bookmarkEnd w:id="70"/>
      <w:r w:rsidRPr="003D33E1">
        <w:t>Lawton, M. P., and Brody, E. M. (1969). Assessment of older people: self-maintaining and instrumental activities of daily living. </w:t>
      </w:r>
      <w:r w:rsidRPr="003D33E1">
        <w:rPr>
          <w:i/>
          <w:iCs/>
        </w:rPr>
        <w:t>Gerontologist</w:t>
      </w:r>
      <w:r w:rsidRPr="003D33E1">
        <w:t xml:space="preserve"> 9, 179–186. </w:t>
      </w:r>
      <w:proofErr w:type="spellStart"/>
      <w:r w:rsidRPr="003D33E1">
        <w:t>doi</w:t>
      </w:r>
      <w:proofErr w:type="spellEnd"/>
      <w:r w:rsidRPr="003D33E1">
        <w:t>: 10.1093/</w:t>
      </w:r>
      <w:proofErr w:type="spellStart"/>
      <w:r w:rsidRPr="003D33E1">
        <w:t>geront</w:t>
      </w:r>
      <w:proofErr w:type="spellEnd"/>
      <w:r w:rsidRPr="003D33E1">
        <w:t>/9.3_part_1.179</w:t>
      </w:r>
    </w:p>
    <w:p w14:paraId="7466DACE" w14:textId="77777777" w:rsidR="003D33E1" w:rsidRPr="003D33E1" w:rsidRDefault="003D33E1" w:rsidP="00B6729F">
      <w:pPr>
        <w:pStyle w:val="NoSpacing"/>
        <w:ind w:left="720" w:hanging="720"/>
      </w:pPr>
      <w:bookmarkStart w:id="71" w:name="B43"/>
      <w:bookmarkEnd w:id="71"/>
      <w:r w:rsidRPr="003D33E1">
        <w:t xml:space="preserve">Lewis, G. J., Kanai, R., Rees, G., and Bates, T. C. (2014). Neural correlates of the ‘good life’: </w:t>
      </w:r>
      <w:proofErr w:type="spellStart"/>
      <w:r w:rsidRPr="003D33E1">
        <w:t>eudaimonic</w:t>
      </w:r>
      <w:proofErr w:type="spellEnd"/>
      <w:r w:rsidRPr="003D33E1">
        <w:t xml:space="preserve"> well-being is associated with insular cortex volume. </w:t>
      </w:r>
      <w:r w:rsidRPr="003D33E1">
        <w:rPr>
          <w:i/>
          <w:iCs/>
        </w:rPr>
        <w:t xml:space="preserve">Soc. </w:t>
      </w:r>
      <w:proofErr w:type="spellStart"/>
      <w:r w:rsidRPr="003D33E1">
        <w:rPr>
          <w:i/>
          <w:iCs/>
        </w:rPr>
        <w:t>Cogn</w:t>
      </w:r>
      <w:proofErr w:type="spellEnd"/>
      <w:r w:rsidRPr="003D33E1">
        <w:rPr>
          <w:i/>
          <w:iCs/>
        </w:rPr>
        <w:t xml:space="preserve">. Affect. </w:t>
      </w:r>
      <w:proofErr w:type="spellStart"/>
      <w:r w:rsidRPr="003D33E1">
        <w:rPr>
          <w:i/>
          <w:iCs/>
        </w:rPr>
        <w:t>Neurosci</w:t>
      </w:r>
      <w:proofErr w:type="spellEnd"/>
      <w:r w:rsidRPr="003D33E1">
        <w:rPr>
          <w:i/>
          <w:iCs/>
        </w:rPr>
        <w:t>.</w:t>
      </w:r>
      <w:r w:rsidRPr="003D33E1">
        <w:t xml:space="preserve"> 9, 615–618. </w:t>
      </w:r>
      <w:proofErr w:type="spellStart"/>
      <w:r w:rsidRPr="003D33E1">
        <w:t>doi</w:t>
      </w:r>
      <w:proofErr w:type="spellEnd"/>
      <w:r w:rsidRPr="003D33E1">
        <w:t>: 10.1093/scan/nst032</w:t>
      </w:r>
    </w:p>
    <w:p w14:paraId="7541B02B" w14:textId="77777777" w:rsidR="003D33E1" w:rsidRPr="003D33E1" w:rsidRDefault="003D33E1" w:rsidP="00B6729F">
      <w:pPr>
        <w:pStyle w:val="NoSpacing"/>
        <w:ind w:left="720" w:hanging="720"/>
      </w:pPr>
      <w:bookmarkStart w:id="72" w:name="B44"/>
      <w:bookmarkEnd w:id="72"/>
      <w:r w:rsidRPr="003D33E1">
        <w:t>Li, R., Zhu, X., Zheng, Z., Wang, P., and Li, J. (2020). Subjective well-being is associated with the functional connectivity network of the dorsal anterior insula. </w:t>
      </w:r>
      <w:proofErr w:type="spellStart"/>
      <w:r w:rsidRPr="003D33E1">
        <w:rPr>
          <w:i/>
          <w:iCs/>
        </w:rPr>
        <w:t>Neuropsychologia</w:t>
      </w:r>
      <w:proofErr w:type="spellEnd"/>
      <w:r w:rsidRPr="003D33E1">
        <w:t xml:space="preserve"> 141:107393. </w:t>
      </w:r>
      <w:proofErr w:type="spellStart"/>
      <w:r w:rsidRPr="003D33E1">
        <w:t>doi</w:t>
      </w:r>
      <w:proofErr w:type="spellEnd"/>
      <w:r w:rsidRPr="003D33E1">
        <w:t>: 10.1016/j.neuropsychologia.2020.107393</w:t>
      </w:r>
    </w:p>
    <w:p w14:paraId="33EA48F3" w14:textId="77777777" w:rsidR="003D33E1" w:rsidRPr="003D33E1" w:rsidRDefault="003D33E1" w:rsidP="00B6729F">
      <w:pPr>
        <w:pStyle w:val="NoSpacing"/>
        <w:ind w:left="720" w:hanging="720"/>
      </w:pPr>
      <w:bookmarkStart w:id="73" w:name="B45"/>
      <w:bookmarkEnd w:id="73"/>
      <w:proofErr w:type="spellStart"/>
      <w:r w:rsidRPr="003D33E1">
        <w:t>Maquet</w:t>
      </w:r>
      <w:proofErr w:type="spellEnd"/>
      <w:r w:rsidRPr="003D33E1">
        <w:t xml:space="preserve">, D., </w:t>
      </w:r>
      <w:proofErr w:type="spellStart"/>
      <w:r w:rsidRPr="003D33E1">
        <w:t>Lekeu</w:t>
      </w:r>
      <w:proofErr w:type="spellEnd"/>
      <w:r w:rsidRPr="003D33E1">
        <w:t xml:space="preserve">, F., </w:t>
      </w:r>
      <w:proofErr w:type="spellStart"/>
      <w:r w:rsidRPr="003D33E1">
        <w:t>Warzee</w:t>
      </w:r>
      <w:proofErr w:type="spellEnd"/>
      <w:r w:rsidRPr="003D33E1">
        <w:t xml:space="preserve">, E., </w:t>
      </w:r>
      <w:proofErr w:type="spellStart"/>
      <w:r w:rsidRPr="003D33E1">
        <w:t>Gillain</w:t>
      </w:r>
      <w:proofErr w:type="spellEnd"/>
      <w:r w:rsidRPr="003D33E1">
        <w:t xml:space="preserve">, S., </w:t>
      </w:r>
      <w:proofErr w:type="spellStart"/>
      <w:r w:rsidRPr="003D33E1">
        <w:t>Wojtasik</w:t>
      </w:r>
      <w:proofErr w:type="spellEnd"/>
      <w:r w:rsidRPr="003D33E1">
        <w:t>, V., Salmon, E., et al. (2010). Gait analysis in elderly adult patients with mild cognitive impairment and patients with mild Alzheimer’s disease: simple versus dual task: a preliminary report. </w:t>
      </w:r>
      <w:r w:rsidRPr="003D33E1">
        <w:rPr>
          <w:i/>
          <w:iCs/>
        </w:rPr>
        <w:t xml:space="preserve">Clin. Physiol. </w:t>
      </w:r>
      <w:proofErr w:type="spellStart"/>
      <w:r w:rsidRPr="003D33E1">
        <w:rPr>
          <w:i/>
          <w:iCs/>
        </w:rPr>
        <w:t>Funct</w:t>
      </w:r>
      <w:proofErr w:type="spellEnd"/>
      <w:r w:rsidRPr="003D33E1">
        <w:rPr>
          <w:i/>
          <w:iCs/>
        </w:rPr>
        <w:t>. Imaging</w:t>
      </w:r>
      <w:r w:rsidRPr="003D33E1">
        <w:t xml:space="preserve"> 30, 51–56. </w:t>
      </w:r>
      <w:proofErr w:type="spellStart"/>
      <w:r w:rsidRPr="003D33E1">
        <w:t>doi</w:t>
      </w:r>
      <w:proofErr w:type="spellEnd"/>
      <w:r w:rsidRPr="003D33E1">
        <w:t>: 10.1111/j.1475-097X.</w:t>
      </w:r>
      <w:proofErr w:type="gramStart"/>
      <w:r w:rsidRPr="003D33E1">
        <w:t>2009.00903.x</w:t>
      </w:r>
      <w:proofErr w:type="gramEnd"/>
    </w:p>
    <w:p w14:paraId="3BD3A778" w14:textId="77777777" w:rsidR="003D33E1" w:rsidRPr="003D33E1" w:rsidRDefault="003D33E1" w:rsidP="00B6729F">
      <w:pPr>
        <w:pStyle w:val="NoSpacing"/>
        <w:ind w:left="720" w:hanging="720"/>
      </w:pPr>
      <w:bookmarkStart w:id="74" w:name="B46"/>
      <w:bookmarkEnd w:id="74"/>
      <w:r w:rsidRPr="003D33E1">
        <w:t xml:space="preserve">McMurdo, M. E., and Burnett, L. (1992). </w:t>
      </w:r>
      <w:proofErr w:type="spellStart"/>
      <w:r w:rsidRPr="003D33E1">
        <w:t>Randomised</w:t>
      </w:r>
      <w:proofErr w:type="spellEnd"/>
      <w:r w:rsidRPr="003D33E1">
        <w:t xml:space="preserve"> controlled trial of exercise in the elderly. </w:t>
      </w:r>
      <w:r w:rsidRPr="003D33E1">
        <w:rPr>
          <w:i/>
          <w:iCs/>
        </w:rPr>
        <w:t>Gerontology</w:t>
      </w:r>
      <w:r w:rsidRPr="003D33E1">
        <w:t xml:space="preserve"> 38, 292–298. </w:t>
      </w:r>
      <w:proofErr w:type="spellStart"/>
      <w:r w:rsidRPr="003D33E1">
        <w:t>doi</w:t>
      </w:r>
      <w:proofErr w:type="spellEnd"/>
      <w:r w:rsidRPr="003D33E1">
        <w:t>: 10.1159/000213343</w:t>
      </w:r>
    </w:p>
    <w:p w14:paraId="5F509E02" w14:textId="77777777" w:rsidR="003D33E1" w:rsidRPr="003D33E1" w:rsidRDefault="003D33E1" w:rsidP="00B6729F">
      <w:pPr>
        <w:pStyle w:val="NoSpacing"/>
        <w:ind w:left="720" w:hanging="720"/>
      </w:pPr>
      <w:bookmarkStart w:id="75" w:name="B47"/>
      <w:bookmarkEnd w:id="75"/>
      <w:r w:rsidRPr="003D33E1">
        <w:t>Menon, V. (2010). Large-scale brain networks in cognition: emerging principles. </w:t>
      </w:r>
      <w:r w:rsidRPr="003D33E1">
        <w:rPr>
          <w:i/>
          <w:iCs/>
        </w:rPr>
        <w:t xml:space="preserve">Anal. </w:t>
      </w:r>
      <w:proofErr w:type="spellStart"/>
      <w:r w:rsidRPr="003D33E1">
        <w:rPr>
          <w:i/>
          <w:iCs/>
        </w:rPr>
        <w:t>Funct</w:t>
      </w:r>
      <w:proofErr w:type="spellEnd"/>
      <w:r w:rsidRPr="003D33E1">
        <w:rPr>
          <w:i/>
          <w:iCs/>
        </w:rPr>
        <w:t>. Large-Scale Brain Networks</w:t>
      </w:r>
      <w:r w:rsidRPr="003D33E1">
        <w:t> 14, 43–54.</w:t>
      </w:r>
    </w:p>
    <w:p w14:paraId="23ACB83E" w14:textId="77777777" w:rsidR="003D33E1" w:rsidRPr="003D33E1" w:rsidRDefault="003D33E1" w:rsidP="00B6729F">
      <w:pPr>
        <w:pStyle w:val="NoSpacing"/>
        <w:ind w:left="720" w:hanging="720"/>
      </w:pPr>
      <w:bookmarkStart w:id="76" w:name="B48"/>
      <w:bookmarkEnd w:id="76"/>
      <w:r w:rsidRPr="003D33E1">
        <w:t>Menon, V., and Uddin, L. Q. (2010). Saliency, switching, attention and control: a network model of insula function. </w:t>
      </w:r>
      <w:r w:rsidRPr="003D33E1">
        <w:rPr>
          <w:i/>
          <w:iCs/>
        </w:rPr>
        <w:t xml:space="preserve">Brain Struct. </w:t>
      </w:r>
      <w:proofErr w:type="spellStart"/>
      <w:r w:rsidRPr="003D33E1">
        <w:rPr>
          <w:i/>
          <w:iCs/>
        </w:rPr>
        <w:t>Funct</w:t>
      </w:r>
      <w:proofErr w:type="spellEnd"/>
      <w:r w:rsidRPr="003D33E1">
        <w:rPr>
          <w:i/>
          <w:iCs/>
        </w:rPr>
        <w:t>.</w:t>
      </w:r>
      <w:r w:rsidRPr="003D33E1">
        <w:t xml:space="preserve"> 214, 655–667. </w:t>
      </w:r>
      <w:proofErr w:type="spellStart"/>
      <w:r w:rsidRPr="003D33E1">
        <w:t>doi</w:t>
      </w:r>
      <w:proofErr w:type="spellEnd"/>
      <w:r w:rsidRPr="003D33E1">
        <w:t>: 10.1007/s00429-010-0262-0</w:t>
      </w:r>
    </w:p>
    <w:p w14:paraId="045ACDDE" w14:textId="77777777" w:rsidR="003D33E1" w:rsidRPr="003D33E1" w:rsidRDefault="003D33E1" w:rsidP="00B6729F">
      <w:pPr>
        <w:pStyle w:val="NoSpacing"/>
        <w:ind w:left="720" w:hanging="720"/>
      </w:pPr>
      <w:bookmarkStart w:id="77" w:name="B49"/>
      <w:bookmarkEnd w:id="77"/>
      <w:r w:rsidRPr="003D33E1">
        <w:t>Mihalko, S. L., and McAuley, E. (1996). Strength training effects on subjective well-being and physical function in the elderly. </w:t>
      </w:r>
      <w:r w:rsidRPr="003D33E1">
        <w:rPr>
          <w:i/>
          <w:iCs/>
        </w:rPr>
        <w:t>J. Aging Phys. Act.</w:t>
      </w:r>
      <w:r w:rsidRPr="003D33E1">
        <w:t xml:space="preserve"> 4, 56–68. </w:t>
      </w:r>
      <w:proofErr w:type="spellStart"/>
      <w:r w:rsidRPr="003D33E1">
        <w:t>doi</w:t>
      </w:r>
      <w:proofErr w:type="spellEnd"/>
      <w:r w:rsidRPr="003D33E1">
        <w:t>: 10.1123/japa.4.1.56</w:t>
      </w:r>
    </w:p>
    <w:p w14:paraId="3241CC71" w14:textId="77777777" w:rsidR="003D33E1" w:rsidRPr="003D33E1" w:rsidRDefault="003D33E1" w:rsidP="00B6729F">
      <w:pPr>
        <w:pStyle w:val="NoSpacing"/>
        <w:ind w:left="720" w:hanging="720"/>
      </w:pPr>
      <w:bookmarkStart w:id="78" w:name="B50"/>
      <w:bookmarkEnd w:id="78"/>
      <w:proofErr w:type="spellStart"/>
      <w:r w:rsidRPr="003D33E1">
        <w:t>Muangpaisan</w:t>
      </w:r>
      <w:proofErr w:type="spellEnd"/>
      <w:r w:rsidRPr="003D33E1">
        <w:t xml:space="preserve">, W., </w:t>
      </w:r>
      <w:proofErr w:type="spellStart"/>
      <w:r w:rsidRPr="003D33E1">
        <w:t>Assantachai</w:t>
      </w:r>
      <w:proofErr w:type="spellEnd"/>
      <w:r w:rsidRPr="003D33E1">
        <w:t xml:space="preserve">, P., </w:t>
      </w:r>
      <w:proofErr w:type="spellStart"/>
      <w:r w:rsidRPr="003D33E1">
        <w:t>Intalapaporn</w:t>
      </w:r>
      <w:proofErr w:type="spellEnd"/>
      <w:r w:rsidRPr="003D33E1">
        <w:t xml:space="preserve">, S., and </w:t>
      </w:r>
      <w:proofErr w:type="spellStart"/>
      <w:r w:rsidRPr="003D33E1">
        <w:t>Pisansalakij</w:t>
      </w:r>
      <w:proofErr w:type="spellEnd"/>
      <w:r w:rsidRPr="003D33E1">
        <w:t>, D. (2008). Quality of life of the community-based patients with mild cognitive impairment. </w:t>
      </w:r>
      <w:r w:rsidRPr="003D33E1">
        <w:rPr>
          <w:i/>
          <w:iCs/>
        </w:rPr>
        <w:t xml:space="preserve">Geriatrics </w:t>
      </w:r>
      <w:proofErr w:type="spellStart"/>
      <w:r w:rsidRPr="003D33E1">
        <w:rPr>
          <w:i/>
          <w:iCs/>
        </w:rPr>
        <w:t>Gerontol</w:t>
      </w:r>
      <w:proofErr w:type="spellEnd"/>
      <w:r w:rsidRPr="003D33E1">
        <w:rPr>
          <w:i/>
          <w:iCs/>
        </w:rPr>
        <w:t>. Int.</w:t>
      </w:r>
      <w:r w:rsidRPr="003D33E1">
        <w:t xml:space="preserve"> 8, 80–85. </w:t>
      </w:r>
      <w:proofErr w:type="spellStart"/>
      <w:r w:rsidRPr="003D33E1">
        <w:t>doi</w:t>
      </w:r>
      <w:proofErr w:type="spellEnd"/>
      <w:r w:rsidRPr="003D33E1">
        <w:t>: 10.1111/j.1447-0594.</w:t>
      </w:r>
      <w:proofErr w:type="gramStart"/>
      <w:r w:rsidRPr="003D33E1">
        <w:t>2008.00452.x</w:t>
      </w:r>
      <w:proofErr w:type="gramEnd"/>
    </w:p>
    <w:p w14:paraId="1A35BBB3" w14:textId="77777777" w:rsidR="003D33E1" w:rsidRPr="003D33E1" w:rsidRDefault="003D33E1" w:rsidP="00B6729F">
      <w:pPr>
        <w:pStyle w:val="NoSpacing"/>
        <w:ind w:left="720" w:hanging="720"/>
      </w:pPr>
      <w:bookmarkStart w:id="79" w:name="B51"/>
      <w:bookmarkEnd w:id="79"/>
      <w:r w:rsidRPr="003D33E1">
        <w:t>Murrell, C. J., Cotter, J. D., Thomas, K. N., Lucas, S. J., Williams, M. J., and Ainslie, P. N. (2013). Cerebral blood flow and cerebrovascular reactivity at rest and during sub-maximal exercise: effect of age and 12-week exercise training. </w:t>
      </w:r>
      <w:r w:rsidRPr="003D33E1">
        <w:rPr>
          <w:i/>
          <w:iCs/>
        </w:rPr>
        <w:t>Age</w:t>
      </w:r>
      <w:r w:rsidRPr="003D33E1">
        <w:t xml:space="preserve"> 35, 905–920. </w:t>
      </w:r>
      <w:proofErr w:type="spellStart"/>
      <w:r w:rsidRPr="003D33E1">
        <w:t>doi</w:t>
      </w:r>
      <w:proofErr w:type="spellEnd"/>
      <w:r w:rsidRPr="003D33E1">
        <w:t>: 10.1007/s11357-012-9414-x</w:t>
      </w:r>
    </w:p>
    <w:p w14:paraId="19DB3055" w14:textId="77777777" w:rsidR="003D33E1" w:rsidRPr="003D33E1" w:rsidRDefault="003D33E1" w:rsidP="00B6729F">
      <w:pPr>
        <w:pStyle w:val="NoSpacing"/>
        <w:ind w:left="720" w:hanging="720"/>
      </w:pPr>
      <w:bookmarkStart w:id="80" w:name="B52"/>
      <w:bookmarkEnd w:id="80"/>
      <w:proofErr w:type="spellStart"/>
      <w:r w:rsidRPr="003D33E1">
        <w:t>Netz</w:t>
      </w:r>
      <w:proofErr w:type="spellEnd"/>
      <w:r w:rsidRPr="003D33E1">
        <w:t>, Y., Wu, M.-J., Becker, B. J., and Tenenbaum, G. (2005). Physical activity and psychological well-being in advanced age: a meta-analysis of intervention studies. </w:t>
      </w:r>
      <w:r w:rsidRPr="003D33E1">
        <w:rPr>
          <w:i/>
          <w:iCs/>
        </w:rPr>
        <w:t>Psychol. Aging</w:t>
      </w:r>
      <w:r w:rsidRPr="003D33E1">
        <w:t xml:space="preserve"> 20:272. </w:t>
      </w:r>
      <w:proofErr w:type="spellStart"/>
      <w:r w:rsidRPr="003D33E1">
        <w:t>doi</w:t>
      </w:r>
      <w:proofErr w:type="spellEnd"/>
      <w:r w:rsidRPr="003D33E1">
        <w:t>: 10.1037/0882-7974.20.2.272</w:t>
      </w:r>
    </w:p>
    <w:p w14:paraId="2B300155" w14:textId="77777777" w:rsidR="003D33E1" w:rsidRPr="003D33E1" w:rsidRDefault="003D33E1" w:rsidP="00B6729F">
      <w:pPr>
        <w:pStyle w:val="NoSpacing"/>
        <w:ind w:left="720" w:hanging="720"/>
      </w:pPr>
      <w:bookmarkStart w:id="81" w:name="B53"/>
      <w:bookmarkEnd w:id="81"/>
      <w:r w:rsidRPr="003D33E1">
        <w:t xml:space="preserve">Ogawa, T., </w:t>
      </w:r>
      <w:proofErr w:type="spellStart"/>
      <w:r w:rsidRPr="003D33E1">
        <w:t>Irikawa</w:t>
      </w:r>
      <w:proofErr w:type="spellEnd"/>
      <w:r w:rsidRPr="003D33E1">
        <w:t xml:space="preserve">, N., Yanagisawa, D., </w:t>
      </w:r>
      <w:proofErr w:type="spellStart"/>
      <w:r w:rsidRPr="003D33E1">
        <w:t>Shiino</w:t>
      </w:r>
      <w:proofErr w:type="spellEnd"/>
      <w:r w:rsidRPr="003D33E1">
        <w:t xml:space="preserve">, A., </w:t>
      </w:r>
      <w:proofErr w:type="spellStart"/>
      <w:r w:rsidRPr="003D33E1">
        <w:t>Tooyama</w:t>
      </w:r>
      <w:proofErr w:type="spellEnd"/>
      <w:r w:rsidRPr="003D33E1">
        <w:t>, I., and Shimizu, T. (2017). Taste detection and recognition thresholds in Japanese patients with Alzheimer-type dementia. </w:t>
      </w:r>
      <w:r w:rsidRPr="003D33E1">
        <w:rPr>
          <w:i/>
          <w:iCs/>
        </w:rPr>
        <w:t>Auris Nasus Larynx</w:t>
      </w:r>
      <w:r w:rsidRPr="003D33E1">
        <w:t xml:space="preserve"> 44, 168–173. </w:t>
      </w:r>
      <w:proofErr w:type="spellStart"/>
      <w:r w:rsidRPr="003D33E1">
        <w:t>doi</w:t>
      </w:r>
      <w:proofErr w:type="spellEnd"/>
      <w:r w:rsidRPr="003D33E1">
        <w:t>: 10.1016/j.anl.2016.06.010</w:t>
      </w:r>
    </w:p>
    <w:p w14:paraId="576DB3CB" w14:textId="77777777" w:rsidR="003D33E1" w:rsidRPr="003D33E1" w:rsidRDefault="003D33E1" w:rsidP="00B6729F">
      <w:pPr>
        <w:pStyle w:val="NoSpacing"/>
        <w:ind w:left="720" w:hanging="720"/>
      </w:pPr>
      <w:bookmarkStart w:id="82" w:name="B54"/>
      <w:bookmarkEnd w:id="82"/>
      <w:r w:rsidRPr="003D33E1">
        <w:t>Oldfield, R. C. (1971). The assessment and analysis of handedness: the Edinburgh inventory. </w:t>
      </w:r>
      <w:proofErr w:type="spellStart"/>
      <w:r w:rsidRPr="003D33E1">
        <w:rPr>
          <w:i/>
          <w:iCs/>
        </w:rPr>
        <w:t>Neuropsychologia</w:t>
      </w:r>
      <w:proofErr w:type="spellEnd"/>
      <w:r w:rsidRPr="003D33E1">
        <w:t xml:space="preserve"> 9, 97–113. </w:t>
      </w:r>
      <w:proofErr w:type="spellStart"/>
      <w:r w:rsidRPr="003D33E1">
        <w:t>doi</w:t>
      </w:r>
      <w:proofErr w:type="spellEnd"/>
      <w:r w:rsidRPr="003D33E1">
        <w:t>: 10.1016/0028-3932(71)90067-4</w:t>
      </w:r>
    </w:p>
    <w:p w14:paraId="149E70F6" w14:textId="77777777" w:rsidR="003D33E1" w:rsidRPr="003D33E1" w:rsidRDefault="003D33E1" w:rsidP="00B6729F">
      <w:pPr>
        <w:pStyle w:val="NoSpacing"/>
        <w:ind w:left="720" w:hanging="720"/>
      </w:pPr>
      <w:bookmarkStart w:id="83" w:name="B55"/>
      <w:bookmarkEnd w:id="83"/>
      <w:proofErr w:type="spellStart"/>
      <w:r w:rsidRPr="003D33E1">
        <w:t>Pavot</w:t>
      </w:r>
      <w:proofErr w:type="spellEnd"/>
      <w:r w:rsidRPr="003D33E1">
        <w:t>, W., and Diener, E. (2008). The satisfaction with life scale and the emerging construct of life satisfaction. </w:t>
      </w:r>
      <w:r w:rsidRPr="003D33E1">
        <w:rPr>
          <w:i/>
          <w:iCs/>
        </w:rPr>
        <w:t>J. Positive Psychol.</w:t>
      </w:r>
      <w:r w:rsidRPr="003D33E1">
        <w:t xml:space="preserve"> 3, 137–152. </w:t>
      </w:r>
      <w:proofErr w:type="spellStart"/>
      <w:r w:rsidRPr="003D33E1">
        <w:t>doi</w:t>
      </w:r>
      <w:proofErr w:type="spellEnd"/>
      <w:r w:rsidRPr="003D33E1">
        <w:t>: 10.1080/17439760701756946</w:t>
      </w:r>
    </w:p>
    <w:p w14:paraId="12539CBF" w14:textId="77777777" w:rsidR="003D33E1" w:rsidRPr="003D33E1" w:rsidRDefault="003D33E1" w:rsidP="00B6729F">
      <w:pPr>
        <w:pStyle w:val="NoSpacing"/>
        <w:ind w:left="720" w:hanging="720"/>
      </w:pPr>
      <w:bookmarkStart w:id="84" w:name="B56"/>
      <w:bookmarkEnd w:id="84"/>
      <w:proofErr w:type="spellStart"/>
      <w:r w:rsidRPr="003D33E1">
        <w:t>Pavot</w:t>
      </w:r>
      <w:proofErr w:type="spellEnd"/>
      <w:r w:rsidRPr="003D33E1">
        <w:t>, W., and Diener, E. (2009). “Review of the satisfaction with life scale,” in </w:t>
      </w:r>
      <w:r w:rsidRPr="003D33E1">
        <w:rPr>
          <w:i/>
          <w:iCs/>
        </w:rPr>
        <w:t>Assessing Well-being</w:t>
      </w:r>
      <w:r w:rsidRPr="003D33E1">
        <w:t>, ed. E. Diener (Berlin: Springer), 101–117.</w:t>
      </w:r>
    </w:p>
    <w:p w14:paraId="1C763E3D" w14:textId="77777777" w:rsidR="003D33E1" w:rsidRPr="003D33E1" w:rsidRDefault="003D33E1" w:rsidP="00B6729F">
      <w:pPr>
        <w:pStyle w:val="NoSpacing"/>
        <w:ind w:left="720" w:hanging="720"/>
      </w:pPr>
      <w:bookmarkStart w:id="85" w:name="B57"/>
      <w:bookmarkEnd w:id="85"/>
      <w:proofErr w:type="spellStart"/>
      <w:r w:rsidRPr="003D33E1">
        <w:t>Pavot</w:t>
      </w:r>
      <w:proofErr w:type="spellEnd"/>
      <w:r w:rsidRPr="003D33E1">
        <w:t>, W., Diener, E. D., Colvin, C. R., and Sandvik, E. (1991). Further validation of the satisfaction with life scale: evidence for the cross-method convergence of well-being measures. </w:t>
      </w:r>
      <w:r w:rsidRPr="003D33E1">
        <w:rPr>
          <w:i/>
          <w:iCs/>
        </w:rPr>
        <w:t>J. Pers. Assess.</w:t>
      </w:r>
      <w:r w:rsidRPr="003D33E1">
        <w:t xml:space="preserve"> 57, 149–161. </w:t>
      </w:r>
      <w:proofErr w:type="spellStart"/>
      <w:r w:rsidRPr="003D33E1">
        <w:t>doi</w:t>
      </w:r>
      <w:proofErr w:type="spellEnd"/>
      <w:r w:rsidRPr="003D33E1">
        <w:t>: 10.1207/s15327752jpa5701_17</w:t>
      </w:r>
    </w:p>
    <w:p w14:paraId="15D1D0F1" w14:textId="77777777" w:rsidR="003D33E1" w:rsidRPr="003D33E1" w:rsidRDefault="003D33E1" w:rsidP="00B6729F">
      <w:pPr>
        <w:pStyle w:val="NoSpacing"/>
        <w:ind w:left="720" w:hanging="720"/>
      </w:pPr>
      <w:bookmarkStart w:id="86" w:name="B58"/>
      <w:bookmarkEnd w:id="86"/>
      <w:r w:rsidRPr="003D33E1">
        <w:t>Petersen, R. C. (2000). Mild cognitive impairment: transition between aging and Alzheimer’s disease. </w:t>
      </w:r>
      <w:proofErr w:type="spellStart"/>
      <w:r w:rsidRPr="003D33E1">
        <w:rPr>
          <w:i/>
          <w:iCs/>
        </w:rPr>
        <w:t>Neurologia</w:t>
      </w:r>
      <w:proofErr w:type="spellEnd"/>
      <w:r w:rsidRPr="003D33E1">
        <w:rPr>
          <w:i/>
          <w:iCs/>
        </w:rPr>
        <w:t xml:space="preserve"> (Barcelona, Spain)</w:t>
      </w:r>
      <w:r w:rsidRPr="003D33E1">
        <w:t> 15, 93–101.</w:t>
      </w:r>
    </w:p>
    <w:p w14:paraId="76077996" w14:textId="77777777" w:rsidR="003D33E1" w:rsidRPr="003D33E1" w:rsidRDefault="003D33E1" w:rsidP="00B6729F">
      <w:pPr>
        <w:pStyle w:val="NoSpacing"/>
        <w:ind w:left="720" w:hanging="720"/>
      </w:pPr>
      <w:bookmarkStart w:id="87" w:name="B59"/>
      <w:bookmarkEnd w:id="87"/>
      <w:r w:rsidRPr="003D33E1">
        <w:t xml:space="preserve">Porto, F. H. G., Coutinho, A. M., de Souza Duran, F. L., de Sá Pinto, A. L., </w:t>
      </w:r>
      <w:proofErr w:type="spellStart"/>
      <w:r w:rsidRPr="003D33E1">
        <w:t>Gualano</w:t>
      </w:r>
      <w:proofErr w:type="spellEnd"/>
      <w:r w:rsidRPr="003D33E1">
        <w:t xml:space="preserve">, B., </w:t>
      </w:r>
      <w:proofErr w:type="spellStart"/>
      <w:r w:rsidRPr="003D33E1">
        <w:t>Buchpiguel</w:t>
      </w:r>
      <w:proofErr w:type="spellEnd"/>
      <w:r w:rsidRPr="003D33E1">
        <w:t>, C. A., et al. (2018). Aerobic training modulates salience network and default mode network metabolism in subjects with mild cognitive impairment. </w:t>
      </w:r>
      <w:proofErr w:type="spellStart"/>
      <w:r w:rsidRPr="003D33E1">
        <w:rPr>
          <w:i/>
          <w:iCs/>
        </w:rPr>
        <w:t>NeuroImage</w:t>
      </w:r>
      <w:proofErr w:type="spellEnd"/>
      <w:r w:rsidRPr="003D33E1">
        <w:rPr>
          <w:i/>
          <w:iCs/>
        </w:rPr>
        <w:t>: Clin.</w:t>
      </w:r>
      <w:r w:rsidRPr="003D33E1">
        <w:t xml:space="preserve"> 19, 616–624. </w:t>
      </w:r>
      <w:proofErr w:type="spellStart"/>
      <w:r w:rsidRPr="003D33E1">
        <w:t>doi</w:t>
      </w:r>
      <w:proofErr w:type="spellEnd"/>
      <w:r w:rsidRPr="003D33E1">
        <w:t>: 10.1016/j.nicl.2018.05.002</w:t>
      </w:r>
    </w:p>
    <w:p w14:paraId="32B00D88" w14:textId="77777777" w:rsidR="003D33E1" w:rsidRPr="003D33E1" w:rsidRDefault="003D33E1" w:rsidP="00B6729F">
      <w:pPr>
        <w:pStyle w:val="NoSpacing"/>
        <w:ind w:left="720" w:hanging="720"/>
      </w:pPr>
      <w:bookmarkStart w:id="88" w:name="B60"/>
      <w:bookmarkEnd w:id="88"/>
      <w:r w:rsidRPr="003D33E1">
        <w:t>Rao, S. M., Bonner-Jackson, A., Nielson, K. A., Seidenberg, M., Smith, J. C., Woodard, J. L., et al. (2015). Genetic risk for Alzheimer’s disease alters the five-year trajectory of semantic memory activation in cognitively intact elders. </w:t>
      </w:r>
      <w:r w:rsidRPr="003D33E1">
        <w:rPr>
          <w:i/>
          <w:iCs/>
        </w:rPr>
        <w:t>Neuroimage</w:t>
      </w:r>
      <w:r w:rsidRPr="003D33E1">
        <w:t xml:space="preserve"> 111, 136–146. </w:t>
      </w:r>
      <w:proofErr w:type="spellStart"/>
      <w:r w:rsidRPr="003D33E1">
        <w:t>doi</w:t>
      </w:r>
      <w:proofErr w:type="spellEnd"/>
      <w:r w:rsidRPr="003D33E1">
        <w:t>: 10.1016/j.neuroimage.2015.02.011</w:t>
      </w:r>
    </w:p>
    <w:p w14:paraId="5D704A0D" w14:textId="77777777" w:rsidR="003D33E1" w:rsidRPr="003D33E1" w:rsidRDefault="003D33E1" w:rsidP="00B6729F">
      <w:pPr>
        <w:pStyle w:val="NoSpacing"/>
        <w:ind w:left="720" w:hanging="720"/>
      </w:pPr>
      <w:bookmarkStart w:id="89" w:name="B61"/>
      <w:bookmarkEnd w:id="89"/>
      <w:r w:rsidRPr="003D33E1">
        <w:t>Reed, J., and Buck, S. (2009). The effect of regular aerobic exercise on positive-activated affect: a meta-analysis. </w:t>
      </w:r>
      <w:r w:rsidRPr="003D33E1">
        <w:rPr>
          <w:i/>
          <w:iCs/>
        </w:rPr>
        <w:t>Psychol. Sport Exercise</w:t>
      </w:r>
      <w:r w:rsidRPr="003D33E1">
        <w:t xml:space="preserve"> 10, 581–594. </w:t>
      </w:r>
      <w:proofErr w:type="spellStart"/>
      <w:r w:rsidRPr="003D33E1">
        <w:t>doi</w:t>
      </w:r>
      <w:proofErr w:type="spellEnd"/>
      <w:r w:rsidRPr="003D33E1">
        <w:t>: 10.1016/j.psychsport.2009.05.009</w:t>
      </w:r>
    </w:p>
    <w:p w14:paraId="1AF2C35C" w14:textId="77777777" w:rsidR="003D33E1" w:rsidRPr="003D33E1" w:rsidRDefault="003D33E1" w:rsidP="00B6729F">
      <w:pPr>
        <w:pStyle w:val="NoSpacing"/>
        <w:ind w:left="720" w:hanging="720"/>
      </w:pPr>
      <w:bookmarkStart w:id="90" w:name="B62"/>
      <w:bookmarkEnd w:id="90"/>
      <w:r w:rsidRPr="003D33E1">
        <w:t>Reuter-Lorenz, P. A., and Park, D. C. (2014). How does it STAC up? revisiting the scaffolding theory of aging and cognition. </w:t>
      </w:r>
      <w:proofErr w:type="spellStart"/>
      <w:r w:rsidRPr="003D33E1">
        <w:rPr>
          <w:i/>
          <w:iCs/>
        </w:rPr>
        <w:t>Neuropsychol</w:t>
      </w:r>
      <w:proofErr w:type="spellEnd"/>
      <w:r w:rsidRPr="003D33E1">
        <w:rPr>
          <w:i/>
          <w:iCs/>
        </w:rPr>
        <w:t>. Rev.</w:t>
      </w:r>
      <w:r w:rsidRPr="003D33E1">
        <w:t xml:space="preserve"> 24, 355–370. </w:t>
      </w:r>
      <w:proofErr w:type="spellStart"/>
      <w:r w:rsidRPr="003D33E1">
        <w:t>doi</w:t>
      </w:r>
      <w:proofErr w:type="spellEnd"/>
      <w:r w:rsidRPr="003D33E1">
        <w:t>: 10.1007/s11065-014-9270-9</w:t>
      </w:r>
    </w:p>
    <w:p w14:paraId="426C48DB" w14:textId="77777777" w:rsidR="003D33E1" w:rsidRPr="003D33E1" w:rsidRDefault="003D33E1" w:rsidP="00B6729F">
      <w:pPr>
        <w:pStyle w:val="NoSpacing"/>
        <w:ind w:left="720" w:hanging="720"/>
      </w:pPr>
      <w:bookmarkStart w:id="91" w:name="B63"/>
      <w:bookmarkEnd w:id="91"/>
      <w:r w:rsidRPr="003D33E1">
        <w:t>Rey, A. (1958). </w:t>
      </w:r>
      <w:proofErr w:type="spellStart"/>
      <w:r w:rsidRPr="003D33E1">
        <w:rPr>
          <w:i/>
          <w:iCs/>
        </w:rPr>
        <w:t>L’examen</w:t>
      </w:r>
      <w:proofErr w:type="spellEnd"/>
      <w:r w:rsidRPr="003D33E1">
        <w:rPr>
          <w:i/>
          <w:iCs/>
        </w:rPr>
        <w:t xml:space="preserve"> Clinique </w:t>
      </w:r>
      <w:proofErr w:type="spellStart"/>
      <w:r w:rsidRPr="003D33E1">
        <w:rPr>
          <w:i/>
          <w:iCs/>
        </w:rPr>
        <w:t>en</w:t>
      </w:r>
      <w:proofErr w:type="spellEnd"/>
      <w:r w:rsidRPr="003D33E1">
        <w:rPr>
          <w:i/>
          <w:iCs/>
        </w:rPr>
        <w:t xml:space="preserve"> </w:t>
      </w:r>
      <w:proofErr w:type="spellStart"/>
      <w:r w:rsidRPr="003D33E1">
        <w:rPr>
          <w:i/>
          <w:iCs/>
        </w:rPr>
        <w:t>Psychologie</w:t>
      </w:r>
      <w:proofErr w:type="spellEnd"/>
      <w:r w:rsidRPr="003D33E1">
        <w:rPr>
          <w:i/>
          <w:iCs/>
        </w:rPr>
        <w:t>.</w:t>
      </w:r>
      <w:r w:rsidRPr="003D33E1">
        <w:t xml:space="preserve"> Paris: Presses </w:t>
      </w:r>
      <w:proofErr w:type="spellStart"/>
      <w:r w:rsidRPr="003D33E1">
        <w:t>Universitaries</w:t>
      </w:r>
      <w:proofErr w:type="spellEnd"/>
      <w:r w:rsidRPr="003D33E1">
        <w:t xml:space="preserve"> De France.</w:t>
      </w:r>
    </w:p>
    <w:p w14:paraId="117E4A86" w14:textId="77777777" w:rsidR="003D33E1" w:rsidRPr="003D33E1" w:rsidRDefault="003D33E1" w:rsidP="00B6729F">
      <w:pPr>
        <w:pStyle w:val="NoSpacing"/>
        <w:ind w:left="720" w:hanging="720"/>
      </w:pPr>
      <w:bookmarkStart w:id="92" w:name="B64"/>
      <w:bookmarkEnd w:id="92"/>
      <w:proofErr w:type="spellStart"/>
      <w:r w:rsidRPr="003D33E1">
        <w:t>Rippe</w:t>
      </w:r>
      <w:proofErr w:type="spellEnd"/>
      <w:r w:rsidRPr="003D33E1">
        <w:t>, J. M. (2019). </w:t>
      </w:r>
      <w:r w:rsidRPr="003D33E1">
        <w:rPr>
          <w:i/>
          <w:iCs/>
        </w:rPr>
        <w:t>Lifestyle Medicine.</w:t>
      </w:r>
      <w:r w:rsidRPr="003D33E1">
        <w:t> Boca Raton, FL: CRC Press.</w:t>
      </w:r>
    </w:p>
    <w:p w14:paraId="0424BECF" w14:textId="77777777" w:rsidR="003D33E1" w:rsidRPr="003D33E1" w:rsidRDefault="003D33E1" w:rsidP="00B6729F">
      <w:pPr>
        <w:pStyle w:val="NoSpacing"/>
        <w:ind w:left="720" w:hanging="720"/>
      </w:pPr>
      <w:bookmarkStart w:id="93" w:name="B65"/>
      <w:bookmarkEnd w:id="93"/>
      <w:r w:rsidRPr="003D33E1">
        <w:t xml:space="preserve">Rosenberg, P. B., Mielke, M. M., Appleby, B. S., Oh, E. S., </w:t>
      </w:r>
      <w:proofErr w:type="spellStart"/>
      <w:r w:rsidRPr="003D33E1">
        <w:t>Geda</w:t>
      </w:r>
      <w:proofErr w:type="spellEnd"/>
      <w:r w:rsidRPr="003D33E1">
        <w:t xml:space="preserve">, Y. E., and </w:t>
      </w:r>
      <w:proofErr w:type="spellStart"/>
      <w:r w:rsidRPr="003D33E1">
        <w:t>Lyketsos</w:t>
      </w:r>
      <w:proofErr w:type="spellEnd"/>
      <w:r w:rsidRPr="003D33E1">
        <w:t>, C. G. (2013). The association of neuropsychiatric symptoms in MCI with incident dementia and Alzheimer disease. </w:t>
      </w:r>
      <w:r w:rsidRPr="003D33E1">
        <w:rPr>
          <w:i/>
          <w:iCs/>
        </w:rPr>
        <w:t xml:space="preserve">Am. J. </w:t>
      </w:r>
      <w:proofErr w:type="spellStart"/>
      <w:r w:rsidRPr="003D33E1">
        <w:rPr>
          <w:i/>
          <w:iCs/>
        </w:rPr>
        <w:t>Geriatr</w:t>
      </w:r>
      <w:proofErr w:type="spellEnd"/>
      <w:r w:rsidRPr="003D33E1">
        <w:rPr>
          <w:i/>
          <w:iCs/>
        </w:rPr>
        <w:t>. Psychiatry</w:t>
      </w:r>
      <w:r w:rsidRPr="003D33E1">
        <w:t xml:space="preserve"> 21, 685–695. </w:t>
      </w:r>
      <w:proofErr w:type="spellStart"/>
      <w:r w:rsidRPr="003D33E1">
        <w:t>doi</w:t>
      </w:r>
      <w:proofErr w:type="spellEnd"/>
      <w:r w:rsidRPr="003D33E1">
        <w:t>: 10.1016/j.jagp.2013.01.006</w:t>
      </w:r>
    </w:p>
    <w:p w14:paraId="19BFCCCD" w14:textId="77777777" w:rsidR="003D33E1" w:rsidRPr="003D33E1" w:rsidRDefault="003D33E1" w:rsidP="00B6729F">
      <w:pPr>
        <w:pStyle w:val="NoSpacing"/>
        <w:ind w:left="720" w:hanging="720"/>
      </w:pPr>
      <w:bookmarkStart w:id="94" w:name="B66"/>
      <w:bookmarkEnd w:id="94"/>
      <w:r w:rsidRPr="003D33E1">
        <w:t>Ruff, R. M., Light, R. H., Parker, S. B., and Levin, H. S. (1996). Benton controlled oral word association test: reliability and updated norms. </w:t>
      </w:r>
      <w:r w:rsidRPr="003D33E1">
        <w:rPr>
          <w:i/>
          <w:iCs/>
        </w:rPr>
        <w:t xml:space="preserve">Arch. Clin. </w:t>
      </w:r>
      <w:proofErr w:type="spellStart"/>
      <w:r w:rsidRPr="003D33E1">
        <w:rPr>
          <w:i/>
          <w:iCs/>
        </w:rPr>
        <w:t>Neuropsychol</w:t>
      </w:r>
      <w:proofErr w:type="spellEnd"/>
      <w:r w:rsidRPr="003D33E1">
        <w:rPr>
          <w:i/>
          <w:iCs/>
        </w:rPr>
        <w:t>.</w:t>
      </w:r>
      <w:r w:rsidRPr="003D33E1">
        <w:t xml:space="preserve"> 11, 329–338. </w:t>
      </w:r>
      <w:proofErr w:type="spellStart"/>
      <w:r w:rsidRPr="003D33E1">
        <w:t>doi</w:t>
      </w:r>
      <w:proofErr w:type="spellEnd"/>
      <w:r w:rsidRPr="003D33E1">
        <w:t>: 10.1016/0887-6177(95)00033-x</w:t>
      </w:r>
    </w:p>
    <w:p w14:paraId="70431000" w14:textId="77777777" w:rsidR="003D33E1" w:rsidRPr="003D33E1" w:rsidRDefault="003D33E1" w:rsidP="00B6729F">
      <w:pPr>
        <w:pStyle w:val="NoSpacing"/>
        <w:ind w:left="720" w:hanging="720"/>
      </w:pPr>
      <w:bookmarkStart w:id="95" w:name="B67"/>
      <w:bookmarkEnd w:id="95"/>
      <w:r w:rsidRPr="003D33E1">
        <w:t xml:space="preserve">Rutledge, R. B., </w:t>
      </w:r>
      <w:proofErr w:type="spellStart"/>
      <w:r w:rsidRPr="003D33E1">
        <w:t>Skandali</w:t>
      </w:r>
      <w:proofErr w:type="spellEnd"/>
      <w:r w:rsidRPr="003D33E1">
        <w:t>, N., Dayan, P., and Dolan, R. J. (2014). A computational and neural model of momentary subjective well-being. </w:t>
      </w:r>
      <w:r w:rsidRPr="003D33E1">
        <w:rPr>
          <w:i/>
          <w:iCs/>
        </w:rPr>
        <w:t>Proc. Natl. Acad. Sci. U S A.</w:t>
      </w:r>
      <w:r w:rsidRPr="003D33E1">
        <w:t xml:space="preserve"> 111, 12252–12257. </w:t>
      </w:r>
      <w:proofErr w:type="spellStart"/>
      <w:r w:rsidRPr="003D33E1">
        <w:t>doi</w:t>
      </w:r>
      <w:proofErr w:type="spellEnd"/>
      <w:r w:rsidRPr="003D33E1">
        <w:t>: 10.1073/pnas.1407535111</w:t>
      </w:r>
    </w:p>
    <w:p w14:paraId="7170CD3A" w14:textId="77777777" w:rsidR="003D33E1" w:rsidRPr="003D33E1" w:rsidRDefault="003D33E1" w:rsidP="00B6729F">
      <w:pPr>
        <w:pStyle w:val="NoSpacing"/>
        <w:ind w:left="720" w:hanging="720"/>
      </w:pPr>
      <w:bookmarkStart w:id="96" w:name="B68"/>
      <w:bookmarkEnd w:id="96"/>
      <w:r w:rsidRPr="003D33E1">
        <w:t xml:space="preserve">Sato, W., </w:t>
      </w:r>
      <w:proofErr w:type="spellStart"/>
      <w:r w:rsidRPr="003D33E1">
        <w:t>Kochiyama</w:t>
      </w:r>
      <w:proofErr w:type="spellEnd"/>
      <w:r w:rsidRPr="003D33E1">
        <w:t xml:space="preserve">, T., </w:t>
      </w:r>
      <w:proofErr w:type="spellStart"/>
      <w:r w:rsidRPr="003D33E1">
        <w:t>Uono</w:t>
      </w:r>
      <w:proofErr w:type="spellEnd"/>
      <w:r w:rsidRPr="003D33E1">
        <w:t>, S., Kubota, Y., Sawada, R., Yoshimura, S., et al. (2015). The structural neural substrate of subjective happiness. </w:t>
      </w:r>
      <w:r w:rsidRPr="003D33E1">
        <w:rPr>
          <w:i/>
          <w:iCs/>
        </w:rPr>
        <w:t>Sci. Rep.</w:t>
      </w:r>
      <w:r w:rsidRPr="003D33E1">
        <w:t xml:space="preserve"> 5:16891. </w:t>
      </w:r>
      <w:proofErr w:type="spellStart"/>
      <w:r w:rsidRPr="003D33E1">
        <w:t>doi</w:t>
      </w:r>
      <w:proofErr w:type="spellEnd"/>
      <w:r w:rsidRPr="003D33E1">
        <w:t>: 10.1038/srep16891</w:t>
      </w:r>
    </w:p>
    <w:p w14:paraId="71CA638E" w14:textId="77777777" w:rsidR="003D33E1" w:rsidRPr="003D33E1" w:rsidRDefault="003D33E1" w:rsidP="00B6729F">
      <w:pPr>
        <w:pStyle w:val="NoSpacing"/>
        <w:ind w:left="720" w:hanging="720"/>
      </w:pPr>
      <w:bookmarkStart w:id="97" w:name="B69"/>
      <w:bookmarkEnd w:id="97"/>
      <w:r w:rsidRPr="003D33E1">
        <w:t>Saunders, N. L., and Summers, M. J. (2010). Attention and working memory deficits in mild cognitive impairment. </w:t>
      </w:r>
      <w:r w:rsidRPr="003D33E1">
        <w:rPr>
          <w:i/>
          <w:iCs/>
        </w:rPr>
        <w:t xml:space="preserve">J. Clin. Exp. </w:t>
      </w:r>
      <w:proofErr w:type="spellStart"/>
      <w:r w:rsidRPr="003D33E1">
        <w:rPr>
          <w:i/>
          <w:iCs/>
        </w:rPr>
        <w:t>Neuropsychol</w:t>
      </w:r>
      <w:proofErr w:type="spellEnd"/>
      <w:r w:rsidRPr="003D33E1">
        <w:rPr>
          <w:i/>
          <w:iCs/>
        </w:rPr>
        <w:t>.</w:t>
      </w:r>
      <w:r w:rsidRPr="003D33E1">
        <w:t xml:space="preserve"> 32, 350–357. </w:t>
      </w:r>
      <w:proofErr w:type="spellStart"/>
      <w:r w:rsidRPr="003D33E1">
        <w:t>doi</w:t>
      </w:r>
      <w:proofErr w:type="spellEnd"/>
      <w:r w:rsidRPr="003D33E1">
        <w:t>: 10.1080/13803390903042379</w:t>
      </w:r>
    </w:p>
    <w:p w14:paraId="2DF3B406" w14:textId="77777777" w:rsidR="003D33E1" w:rsidRPr="003D33E1" w:rsidRDefault="003D33E1" w:rsidP="00B6729F">
      <w:pPr>
        <w:pStyle w:val="NoSpacing"/>
        <w:ind w:left="720" w:hanging="720"/>
      </w:pPr>
      <w:bookmarkStart w:id="98" w:name="B70"/>
      <w:bookmarkEnd w:id="98"/>
      <w:r w:rsidRPr="003D33E1">
        <w:t xml:space="preserve">Seeley, W. W., Menon, V., </w:t>
      </w:r>
      <w:proofErr w:type="spellStart"/>
      <w:r w:rsidRPr="003D33E1">
        <w:t>Schatzberg</w:t>
      </w:r>
      <w:proofErr w:type="spellEnd"/>
      <w:r w:rsidRPr="003D33E1">
        <w:t>, A. F., Keller, J., Glover, G. H., Kenna, H., et al. (2007). Dissociable intrinsic connectivity networks for salience processing and executive control. </w:t>
      </w:r>
      <w:r w:rsidRPr="003D33E1">
        <w:rPr>
          <w:i/>
          <w:iCs/>
        </w:rPr>
        <w:t xml:space="preserve">J. </w:t>
      </w:r>
      <w:proofErr w:type="spellStart"/>
      <w:r w:rsidRPr="003D33E1">
        <w:rPr>
          <w:i/>
          <w:iCs/>
        </w:rPr>
        <w:t>Neurosci</w:t>
      </w:r>
      <w:proofErr w:type="spellEnd"/>
      <w:r w:rsidRPr="003D33E1">
        <w:rPr>
          <w:i/>
          <w:iCs/>
        </w:rPr>
        <w:t>.</w:t>
      </w:r>
      <w:r w:rsidRPr="003D33E1">
        <w:t xml:space="preserve"> 27, 2349–2356. </w:t>
      </w:r>
      <w:proofErr w:type="spellStart"/>
      <w:r w:rsidRPr="003D33E1">
        <w:t>doi</w:t>
      </w:r>
      <w:proofErr w:type="spellEnd"/>
      <w:r w:rsidRPr="003D33E1">
        <w:t>: 10.1523/JNEUROSCI.5587-06.2007</w:t>
      </w:r>
    </w:p>
    <w:p w14:paraId="44363798" w14:textId="77777777" w:rsidR="003D33E1" w:rsidRPr="003D33E1" w:rsidRDefault="003D33E1" w:rsidP="00B6729F">
      <w:pPr>
        <w:pStyle w:val="NoSpacing"/>
        <w:ind w:left="720" w:hanging="720"/>
      </w:pPr>
      <w:bookmarkStart w:id="99" w:name="B71"/>
      <w:bookmarkEnd w:id="99"/>
      <w:r w:rsidRPr="003D33E1">
        <w:t xml:space="preserve">Singer, T., Critchley, H. D., and </w:t>
      </w:r>
      <w:proofErr w:type="spellStart"/>
      <w:r w:rsidRPr="003D33E1">
        <w:t>Preuschoff</w:t>
      </w:r>
      <w:proofErr w:type="spellEnd"/>
      <w:r w:rsidRPr="003D33E1">
        <w:t xml:space="preserve">, K. (2009). A common role of insula in feelings, </w:t>
      </w:r>
      <w:proofErr w:type="gramStart"/>
      <w:r w:rsidRPr="003D33E1">
        <w:t>empathy</w:t>
      </w:r>
      <w:proofErr w:type="gramEnd"/>
      <w:r w:rsidRPr="003D33E1">
        <w:t xml:space="preserve"> and uncertainty. </w:t>
      </w:r>
      <w:r w:rsidRPr="003D33E1">
        <w:rPr>
          <w:i/>
          <w:iCs/>
        </w:rPr>
        <w:t xml:space="preserve">Trends </w:t>
      </w:r>
      <w:proofErr w:type="spellStart"/>
      <w:r w:rsidRPr="003D33E1">
        <w:rPr>
          <w:i/>
          <w:iCs/>
        </w:rPr>
        <w:t>Cogn</w:t>
      </w:r>
      <w:proofErr w:type="spellEnd"/>
      <w:r w:rsidRPr="003D33E1">
        <w:rPr>
          <w:i/>
          <w:iCs/>
        </w:rPr>
        <w:t>. Sci.</w:t>
      </w:r>
      <w:r w:rsidRPr="003D33E1">
        <w:t xml:space="preserve"> 13, 334–340. </w:t>
      </w:r>
      <w:proofErr w:type="spellStart"/>
      <w:r w:rsidRPr="003D33E1">
        <w:t>doi</w:t>
      </w:r>
      <w:proofErr w:type="spellEnd"/>
      <w:r w:rsidRPr="003D33E1">
        <w:t>: 10.1016/j.tics.2009.05.001</w:t>
      </w:r>
    </w:p>
    <w:p w14:paraId="5F40BB0D" w14:textId="77777777" w:rsidR="003D33E1" w:rsidRPr="003D33E1" w:rsidRDefault="003D33E1" w:rsidP="00B6729F">
      <w:pPr>
        <w:pStyle w:val="NoSpacing"/>
        <w:ind w:left="720" w:hanging="720"/>
      </w:pPr>
      <w:bookmarkStart w:id="100" w:name="B72"/>
      <w:bookmarkEnd w:id="100"/>
      <w:r w:rsidRPr="003D33E1">
        <w:t xml:space="preserve">Smith, J. C., Nielson, K. A., </w:t>
      </w:r>
      <w:proofErr w:type="spellStart"/>
      <w:r w:rsidRPr="003D33E1">
        <w:t>Antuono</w:t>
      </w:r>
      <w:proofErr w:type="spellEnd"/>
      <w:r w:rsidRPr="003D33E1">
        <w:t>, P., Lyons, J.-A., Hanson, R. J., Butts, A. M., et al. (2013). Semantic memory functional MRI and cognitive function after exercise intervention in mild cognitive impairment. </w:t>
      </w:r>
      <w:r w:rsidRPr="003D33E1">
        <w:rPr>
          <w:i/>
          <w:iCs/>
        </w:rPr>
        <w:t>J. Alzheimer’s Dis.</w:t>
      </w:r>
      <w:r w:rsidRPr="003D33E1">
        <w:t xml:space="preserve"> 37, 197–215. </w:t>
      </w:r>
      <w:proofErr w:type="spellStart"/>
      <w:r w:rsidRPr="003D33E1">
        <w:t>doi</w:t>
      </w:r>
      <w:proofErr w:type="spellEnd"/>
      <w:r w:rsidRPr="003D33E1">
        <w:t>: 10.3233/JAD-130467</w:t>
      </w:r>
    </w:p>
    <w:p w14:paraId="3C3EC2E1" w14:textId="77777777" w:rsidR="003D33E1" w:rsidRPr="003D33E1" w:rsidRDefault="003D33E1" w:rsidP="00B6729F">
      <w:pPr>
        <w:pStyle w:val="NoSpacing"/>
        <w:ind w:left="720" w:hanging="720"/>
      </w:pPr>
      <w:bookmarkStart w:id="101" w:name="B73"/>
      <w:bookmarkEnd w:id="101"/>
      <w:r w:rsidRPr="003D33E1">
        <w:t xml:space="preserve">Sridharan, D., Levitin, D. J., and Menon, V. (2008). A critical role for the right </w:t>
      </w:r>
      <w:proofErr w:type="spellStart"/>
      <w:r w:rsidRPr="003D33E1">
        <w:t>fronto</w:t>
      </w:r>
      <w:proofErr w:type="spellEnd"/>
      <w:r w:rsidRPr="003D33E1">
        <w:t>-insular cortex in switching between central-executive and default-mode networks. </w:t>
      </w:r>
      <w:r w:rsidRPr="003D33E1">
        <w:rPr>
          <w:i/>
          <w:iCs/>
        </w:rPr>
        <w:t>Proc. Natl. Acad. Sci. U S A.</w:t>
      </w:r>
      <w:r w:rsidRPr="003D33E1">
        <w:t xml:space="preserve"> 105, 12569–12574. </w:t>
      </w:r>
      <w:proofErr w:type="spellStart"/>
      <w:r w:rsidRPr="003D33E1">
        <w:t>doi</w:t>
      </w:r>
      <w:proofErr w:type="spellEnd"/>
      <w:r w:rsidRPr="003D33E1">
        <w:t>: 10.1073/pnas.0800005105</w:t>
      </w:r>
    </w:p>
    <w:p w14:paraId="44C941CD" w14:textId="77777777" w:rsidR="003D33E1" w:rsidRPr="003D33E1" w:rsidRDefault="003D33E1" w:rsidP="00B6729F">
      <w:pPr>
        <w:pStyle w:val="NoSpacing"/>
        <w:ind w:left="720" w:hanging="720"/>
      </w:pPr>
      <w:bookmarkStart w:id="102" w:name="B74"/>
      <w:bookmarkEnd w:id="102"/>
      <w:r w:rsidRPr="003D33E1">
        <w:t>St. John, P. D., and Montgomery, P. R. (2010). Cognitive impairment and life satisfaction in older adults. </w:t>
      </w:r>
      <w:r w:rsidRPr="003D33E1">
        <w:rPr>
          <w:i/>
          <w:iCs/>
        </w:rPr>
        <w:t xml:space="preserve">Int. J. </w:t>
      </w:r>
      <w:proofErr w:type="spellStart"/>
      <w:r w:rsidRPr="003D33E1">
        <w:rPr>
          <w:i/>
          <w:iCs/>
        </w:rPr>
        <w:t>Geriatr</w:t>
      </w:r>
      <w:proofErr w:type="spellEnd"/>
      <w:r w:rsidRPr="003D33E1">
        <w:rPr>
          <w:i/>
          <w:iCs/>
        </w:rPr>
        <w:t>. Psychiatry</w:t>
      </w:r>
      <w:r w:rsidRPr="003D33E1">
        <w:t xml:space="preserve"> 25, 814–821. </w:t>
      </w:r>
      <w:proofErr w:type="spellStart"/>
      <w:r w:rsidRPr="003D33E1">
        <w:t>doi</w:t>
      </w:r>
      <w:proofErr w:type="spellEnd"/>
      <w:r w:rsidRPr="003D33E1">
        <w:t>: 10.1002/gps.2422</w:t>
      </w:r>
    </w:p>
    <w:p w14:paraId="0657F039" w14:textId="77777777" w:rsidR="003D33E1" w:rsidRPr="003D33E1" w:rsidRDefault="003D33E1" w:rsidP="00B6729F">
      <w:pPr>
        <w:pStyle w:val="NoSpacing"/>
        <w:ind w:left="720" w:hanging="720"/>
      </w:pPr>
      <w:bookmarkStart w:id="103" w:name="B75"/>
      <w:bookmarkEnd w:id="103"/>
      <w:proofErr w:type="spellStart"/>
      <w:r w:rsidRPr="003D33E1">
        <w:t>Steib</w:t>
      </w:r>
      <w:proofErr w:type="spellEnd"/>
      <w:r w:rsidRPr="003D33E1">
        <w:t xml:space="preserve">, K., </w:t>
      </w:r>
      <w:proofErr w:type="spellStart"/>
      <w:r w:rsidRPr="003D33E1">
        <w:t>Schäffner</w:t>
      </w:r>
      <w:proofErr w:type="spellEnd"/>
      <w:r w:rsidRPr="003D33E1">
        <w:t xml:space="preserve">, I., </w:t>
      </w:r>
      <w:proofErr w:type="spellStart"/>
      <w:r w:rsidRPr="003D33E1">
        <w:t>Jagasia</w:t>
      </w:r>
      <w:proofErr w:type="spellEnd"/>
      <w:r w:rsidRPr="003D33E1">
        <w:t>, R., Ebert, B., and Lie, D. C. (2014). Mitochondria modify exercise-induced development of stem cell-derived neurons in the adult brain. </w:t>
      </w:r>
      <w:r w:rsidRPr="003D33E1">
        <w:rPr>
          <w:i/>
          <w:iCs/>
        </w:rPr>
        <w:t xml:space="preserve">J. </w:t>
      </w:r>
      <w:proofErr w:type="spellStart"/>
      <w:r w:rsidRPr="003D33E1">
        <w:rPr>
          <w:i/>
          <w:iCs/>
        </w:rPr>
        <w:t>Neurosci</w:t>
      </w:r>
      <w:proofErr w:type="spellEnd"/>
      <w:r w:rsidRPr="003D33E1">
        <w:rPr>
          <w:i/>
          <w:iCs/>
        </w:rPr>
        <w:t>.</w:t>
      </w:r>
      <w:r w:rsidRPr="003D33E1">
        <w:t xml:space="preserve"> 34, 6624–6633. </w:t>
      </w:r>
      <w:proofErr w:type="spellStart"/>
      <w:r w:rsidRPr="003D33E1">
        <w:t>doi</w:t>
      </w:r>
      <w:proofErr w:type="spellEnd"/>
      <w:r w:rsidRPr="003D33E1">
        <w:t>: 10.1523/JNEUROSCI.4972-13.2014</w:t>
      </w:r>
    </w:p>
    <w:p w14:paraId="105D5133" w14:textId="77777777" w:rsidR="003D33E1" w:rsidRPr="003D33E1" w:rsidRDefault="003D33E1" w:rsidP="00B6729F">
      <w:pPr>
        <w:pStyle w:val="NoSpacing"/>
        <w:ind w:left="720" w:hanging="720"/>
      </w:pPr>
      <w:bookmarkStart w:id="104" w:name="B76"/>
      <w:bookmarkEnd w:id="104"/>
      <w:proofErr w:type="spellStart"/>
      <w:r w:rsidRPr="003D33E1">
        <w:t>Suardi</w:t>
      </w:r>
      <w:proofErr w:type="spellEnd"/>
      <w:r w:rsidRPr="003D33E1">
        <w:t xml:space="preserve">, A., </w:t>
      </w:r>
      <w:proofErr w:type="spellStart"/>
      <w:r w:rsidRPr="003D33E1">
        <w:t>Sotgiu</w:t>
      </w:r>
      <w:proofErr w:type="spellEnd"/>
      <w:r w:rsidRPr="003D33E1">
        <w:t>, I., Costa, T., Cauda, F., and Rusconi, M. (2016). The neural correlates of happiness: a review of PET and fMRI studies using autobiographical recall methods. </w:t>
      </w:r>
      <w:proofErr w:type="spellStart"/>
      <w:r w:rsidRPr="003D33E1">
        <w:rPr>
          <w:i/>
          <w:iCs/>
        </w:rPr>
        <w:t>Cogn</w:t>
      </w:r>
      <w:proofErr w:type="spellEnd"/>
      <w:r w:rsidRPr="003D33E1">
        <w:rPr>
          <w:i/>
          <w:iCs/>
        </w:rPr>
        <w:t xml:space="preserve">. Affect. </w:t>
      </w:r>
      <w:proofErr w:type="spellStart"/>
      <w:r w:rsidRPr="003D33E1">
        <w:rPr>
          <w:i/>
          <w:iCs/>
        </w:rPr>
        <w:t>Behav</w:t>
      </w:r>
      <w:proofErr w:type="spellEnd"/>
      <w:r w:rsidRPr="003D33E1">
        <w:rPr>
          <w:i/>
          <w:iCs/>
        </w:rPr>
        <w:t xml:space="preserve">. </w:t>
      </w:r>
      <w:proofErr w:type="spellStart"/>
      <w:r w:rsidRPr="003D33E1">
        <w:rPr>
          <w:i/>
          <w:iCs/>
        </w:rPr>
        <w:t>Neurosci</w:t>
      </w:r>
      <w:proofErr w:type="spellEnd"/>
      <w:r w:rsidRPr="003D33E1">
        <w:rPr>
          <w:i/>
          <w:iCs/>
        </w:rPr>
        <w:t>.</w:t>
      </w:r>
      <w:r w:rsidRPr="003D33E1">
        <w:t xml:space="preserve"> 16, 383–392. </w:t>
      </w:r>
      <w:proofErr w:type="spellStart"/>
      <w:r w:rsidRPr="003D33E1">
        <w:t>doi</w:t>
      </w:r>
      <w:proofErr w:type="spellEnd"/>
      <w:r w:rsidRPr="003D33E1">
        <w:t>: 10.3758/s13415-016-0414-7</w:t>
      </w:r>
    </w:p>
    <w:p w14:paraId="21DD9CB2" w14:textId="77777777" w:rsidR="003D33E1" w:rsidRPr="003D33E1" w:rsidRDefault="003D33E1" w:rsidP="00B6729F">
      <w:pPr>
        <w:pStyle w:val="NoSpacing"/>
        <w:ind w:left="720" w:hanging="720"/>
      </w:pPr>
      <w:bookmarkStart w:id="105" w:name="B77"/>
      <w:bookmarkEnd w:id="105"/>
      <w:r w:rsidRPr="003D33E1">
        <w:t>Tombaugh, T. N., Kozak, J., and Rees, L. (1999). Normative data stratified by age and education for two measures of verbal fluency: FAS and animal naming. </w:t>
      </w:r>
      <w:r w:rsidRPr="003D33E1">
        <w:rPr>
          <w:i/>
          <w:iCs/>
        </w:rPr>
        <w:t xml:space="preserve">Arch. Clin. </w:t>
      </w:r>
      <w:proofErr w:type="spellStart"/>
      <w:r w:rsidRPr="003D33E1">
        <w:rPr>
          <w:i/>
          <w:iCs/>
        </w:rPr>
        <w:t>Neuropsychol</w:t>
      </w:r>
      <w:proofErr w:type="spellEnd"/>
      <w:r w:rsidRPr="003D33E1">
        <w:rPr>
          <w:i/>
          <w:iCs/>
        </w:rPr>
        <w:t>.</w:t>
      </w:r>
      <w:r w:rsidRPr="003D33E1">
        <w:t xml:space="preserve"> 14, 167–177. </w:t>
      </w:r>
      <w:proofErr w:type="spellStart"/>
      <w:r w:rsidRPr="003D33E1">
        <w:t>doi</w:t>
      </w:r>
      <w:proofErr w:type="spellEnd"/>
      <w:r w:rsidRPr="003D33E1">
        <w:t>: 10.1016/s0887-6177(97)00095-4</w:t>
      </w:r>
    </w:p>
    <w:p w14:paraId="699D3DCC" w14:textId="77777777" w:rsidR="003D33E1" w:rsidRPr="003D33E1" w:rsidRDefault="003D33E1" w:rsidP="00B6729F">
      <w:pPr>
        <w:pStyle w:val="NoSpacing"/>
        <w:ind w:left="720" w:hanging="720"/>
      </w:pPr>
      <w:bookmarkStart w:id="106" w:name="B78"/>
      <w:bookmarkEnd w:id="106"/>
      <w:proofErr w:type="spellStart"/>
      <w:r w:rsidRPr="003D33E1">
        <w:t>Türe</w:t>
      </w:r>
      <w:proofErr w:type="spellEnd"/>
      <w:r w:rsidRPr="003D33E1">
        <w:t xml:space="preserve">, U., </w:t>
      </w:r>
      <w:proofErr w:type="spellStart"/>
      <w:r w:rsidRPr="003D33E1">
        <w:t>Yaşargil</w:t>
      </w:r>
      <w:proofErr w:type="spellEnd"/>
      <w:r w:rsidRPr="003D33E1">
        <w:t>, M. G., Al-</w:t>
      </w:r>
      <w:proofErr w:type="spellStart"/>
      <w:r w:rsidRPr="003D33E1">
        <w:t>Mefty</w:t>
      </w:r>
      <w:proofErr w:type="spellEnd"/>
      <w:r w:rsidRPr="003D33E1">
        <w:t xml:space="preserve">, O., and </w:t>
      </w:r>
      <w:proofErr w:type="spellStart"/>
      <w:r w:rsidRPr="003D33E1">
        <w:t>Yaşargil</w:t>
      </w:r>
      <w:proofErr w:type="spellEnd"/>
      <w:r w:rsidRPr="003D33E1">
        <w:t>, D. C. (2000). Arteries of the insula. </w:t>
      </w:r>
      <w:r w:rsidRPr="003D33E1">
        <w:rPr>
          <w:i/>
          <w:iCs/>
        </w:rPr>
        <w:t xml:space="preserve">J. </w:t>
      </w:r>
      <w:proofErr w:type="spellStart"/>
      <w:r w:rsidRPr="003D33E1">
        <w:rPr>
          <w:i/>
          <w:iCs/>
        </w:rPr>
        <w:t>Neurosurg</w:t>
      </w:r>
      <w:proofErr w:type="spellEnd"/>
      <w:r w:rsidRPr="003D33E1">
        <w:rPr>
          <w:i/>
          <w:iCs/>
        </w:rPr>
        <w:t>.</w:t>
      </w:r>
      <w:r w:rsidRPr="003D33E1">
        <w:t xml:space="preserve"> 92, 676–687. </w:t>
      </w:r>
      <w:proofErr w:type="spellStart"/>
      <w:r w:rsidRPr="003D33E1">
        <w:t>doi</w:t>
      </w:r>
      <w:proofErr w:type="spellEnd"/>
      <w:r w:rsidRPr="003D33E1">
        <w:t>: 10.3171/jns.2000.92.4.0676</w:t>
      </w:r>
    </w:p>
    <w:p w14:paraId="74B55926" w14:textId="77777777" w:rsidR="003D33E1" w:rsidRPr="003D33E1" w:rsidRDefault="003D33E1" w:rsidP="00B6729F">
      <w:pPr>
        <w:pStyle w:val="NoSpacing"/>
        <w:ind w:left="720" w:hanging="720"/>
      </w:pPr>
      <w:bookmarkStart w:id="107" w:name="B79"/>
      <w:bookmarkEnd w:id="107"/>
      <w:r w:rsidRPr="003D33E1">
        <w:t>Uddin, L. Q. (2015). Salience processing and insular cortical function and dysfunction. </w:t>
      </w:r>
      <w:r w:rsidRPr="003D33E1">
        <w:rPr>
          <w:i/>
          <w:iCs/>
        </w:rPr>
        <w:t xml:space="preserve">Nat. Rev. </w:t>
      </w:r>
      <w:proofErr w:type="spellStart"/>
      <w:r w:rsidRPr="003D33E1">
        <w:rPr>
          <w:i/>
          <w:iCs/>
        </w:rPr>
        <w:t>Neurosci</w:t>
      </w:r>
      <w:proofErr w:type="spellEnd"/>
      <w:r w:rsidRPr="003D33E1">
        <w:rPr>
          <w:i/>
          <w:iCs/>
        </w:rPr>
        <w:t>.</w:t>
      </w:r>
      <w:r w:rsidRPr="003D33E1">
        <w:t xml:space="preserve"> 16, 55–61. </w:t>
      </w:r>
      <w:proofErr w:type="spellStart"/>
      <w:r w:rsidRPr="003D33E1">
        <w:t>doi</w:t>
      </w:r>
      <w:proofErr w:type="spellEnd"/>
      <w:r w:rsidRPr="003D33E1">
        <w:t>: 10.1038/nrn3857</w:t>
      </w:r>
    </w:p>
    <w:p w14:paraId="21FCF941" w14:textId="77777777" w:rsidR="003D33E1" w:rsidRPr="003D33E1" w:rsidRDefault="003D33E1" w:rsidP="00B6729F">
      <w:pPr>
        <w:pStyle w:val="NoSpacing"/>
        <w:ind w:left="720" w:hanging="720"/>
      </w:pPr>
      <w:bookmarkStart w:id="108" w:name="B80"/>
      <w:bookmarkEnd w:id="108"/>
      <w:r w:rsidRPr="003D33E1">
        <w:t xml:space="preserve">Voss, M. W., Erickson, K. I., Prakash, R. S., </w:t>
      </w:r>
      <w:proofErr w:type="spellStart"/>
      <w:r w:rsidRPr="003D33E1">
        <w:t>Chaddock</w:t>
      </w:r>
      <w:proofErr w:type="spellEnd"/>
      <w:r w:rsidRPr="003D33E1">
        <w:t xml:space="preserve">, L., </w:t>
      </w:r>
      <w:proofErr w:type="spellStart"/>
      <w:r w:rsidRPr="003D33E1">
        <w:t>Malkowski</w:t>
      </w:r>
      <w:proofErr w:type="spellEnd"/>
      <w:r w:rsidRPr="003D33E1">
        <w:t>, E., Alves, H., et al. (2010). Functional connectivity: a source of variance in the association between cardiorespiratory fitness and cognition? </w:t>
      </w:r>
      <w:proofErr w:type="spellStart"/>
      <w:r w:rsidRPr="003D33E1">
        <w:rPr>
          <w:i/>
          <w:iCs/>
        </w:rPr>
        <w:t>Neuropsychologia</w:t>
      </w:r>
      <w:proofErr w:type="spellEnd"/>
      <w:r w:rsidRPr="003D33E1">
        <w:t xml:space="preserve"> 48, 1394–1406. </w:t>
      </w:r>
      <w:proofErr w:type="spellStart"/>
      <w:r w:rsidRPr="003D33E1">
        <w:t>doi</w:t>
      </w:r>
      <w:proofErr w:type="spellEnd"/>
      <w:r w:rsidRPr="003D33E1">
        <w:t>: 10.1016/j.neuropsychologia.2010.01.005</w:t>
      </w:r>
    </w:p>
    <w:p w14:paraId="0309FFAB" w14:textId="77777777" w:rsidR="003D33E1" w:rsidRPr="003D33E1" w:rsidRDefault="003D33E1" w:rsidP="00B6729F">
      <w:pPr>
        <w:pStyle w:val="NoSpacing"/>
        <w:ind w:left="720" w:hanging="720"/>
      </w:pPr>
      <w:bookmarkStart w:id="109" w:name="B81"/>
      <w:bookmarkEnd w:id="109"/>
      <w:r w:rsidRPr="003D33E1">
        <w:t xml:space="preserve">Voss, M. W., </w:t>
      </w:r>
      <w:proofErr w:type="spellStart"/>
      <w:r w:rsidRPr="003D33E1">
        <w:t>Sutterer</w:t>
      </w:r>
      <w:proofErr w:type="spellEnd"/>
      <w:r w:rsidRPr="003D33E1">
        <w:t xml:space="preserve">, M., Weng, T. B., </w:t>
      </w:r>
      <w:proofErr w:type="spellStart"/>
      <w:r w:rsidRPr="003D33E1">
        <w:t>Burzynska</w:t>
      </w:r>
      <w:proofErr w:type="spellEnd"/>
      <w:r w:rsidRPr="003D33E1">
        <w:t>, A. Z., Fanning, J., Salerno, E., et al. (2019). Nutritional supplementation boosts aerobic exercise effects on functional brain systems. </w:t>
      </w:r>
      <w:r w:rsidRPr="003D33E1">
        <w:rPr>
          <w:i/>
          <w:iCs/>
        </w:rPr>
        <w:t>J. Appl. Physiol.</w:t>
      </w:r>
      <w:r w:rsidRPr="003D33E1">
        <w:t xml:space="preserve"> 126, 77–87. </w:t>
      </w:r>
      <w:proofErr w:type="spellStart"/>
      <w:r w:rsidRPr="003D33E1">
        <w:t>doi</w:t>
      </w:r>
      <w:proofErr w:type="spellEnd"/>
      <w:r w:rsidRPr="003D33E1">
        <w:t>: 10.1152/japplphysiol.00917.2017</w:t>
      </w:r>
    </w:p>
    <w:p w14:paraId="2BF73A58" w14:textId="77777777" w:rsidR="003D33E1" w:rsidRPr="003D33E1" w:rsidRDefault="003D33E1" w:rsidP="00B6729F">
      <w:pPr>
        <w:pStyle w:val="NoSpacing"/>
        <w:ind w:left="720" w:hanging="720"/>
      </w:pPr>
      <w:bookmarkStart w:id="110" w:name="B82"/>
      <w:bookmarkEnd w:id="110"/>
      <w:r w:rsidRPr="003D33E1">
        <w:t xml:space="preserve">Voss, M. W., Weng, T. B., </w:t>
      </w:r>
      <w:proofErr w:type="spellStart"/>
      <w:r w:rsidRPr="003D33E1">
        <w:t>Burzynska</w:t>
      </w:r>
      <w:proofErr w:type="spellEnd"/>
      <w:r w:rsidRPr="003D33E1">
        <w:t>, A. Z., Wong, C. N., Cooke, G. E., Clark, R., et al. (2016). Fitness, but not physical activity, is related to functional integrity of brain networks associated with aging. </w:t>
      </w:r>
      <w:r w:rsidRPr="003D33E1">
        <w:rPr>
          <w:i/>
          <w:iCs/>
        </w:rPr>
        <w:t>Neuroimage</w:t>
      </w:r>
      <w:r w:rsidRPr="003D33E1">
        <w:t xml:space="preserve"> 131, 113–125. </w:t>
      </w:r>
      <w:proofErr w:type="spellStart"/>
      <w:r w:rsidRPr="003D33E1">
        <w:t>doi</w:t>
      </w:r>
      <w:proofErr w:type="spellEnd"/>
      <w:r w:rsidRPr="003D33E1">
        <w:t>: 10.1016/j.neuroimage.2015.10.044</w:t>
      </w:r>
    </w:p>
    <w:p w14:paraId="1E54FEEF" w14:textId="77777777" w:rsidR="003D33E1" w:rsidRPr="003D33E1" w:rsidRDefault="003D33E1" w:rsidP="00B6729F">
      <w:pPr>
        <w:pStyle w:val="NoSpacing"/>
        <w:ind w:left="720" w:hanging="720"/>
      </w:pPr>
      <w:bookmarkStart w:id="111" w:name="B83"/>
      <w:bookmarkEnd w:id="111"/>
      <w:r w:rsidRPr="003D33E1">
        <w:t>Wechsler, D. (1997). </w:t>
      </w:r>
      <w:r w:rsidRPr="003D33E1">
        <w:rPr>
          <w:i/>
          <w:iCs/>
        </w:rPr>
        <w:t>Wechsler Memory Scale—III San Antonio.</w:t>
      </w:r>
      <w:r w:rsidRPr="003D33E1">
        <w:t xml:space="preserve"> Uttar Pradesh: Psychological </w:t>
      </w:r>
      <w:proofErr w:type="spellStart"/>
      <w:r w:rsidRPr="003D33E1">
        <w:t>Coorporation</w:t>
      </w:r>
      <w:proofErr w:type="spellEnd"/>
      <w:r w:rsidRPr="003D33E1">
        <w:t>.</w:t>
      </w:r>
    </w:p>
    <w:p w14:paraId="44FE7633" w14:textId="77777777" w:rsidR="003D33E1" w:rsidRPr="003D33E1" w:rsidRDefault="003D33E1" w:rsidP="00B6729F">
      <w:pPr>
        <w:pStyle w:val="NoSpacing"/>
        <w:ind w:left="720" w:hanging="720"/>
      </w:pPr>
      <w:bookmarkStart w:id="112" w:name="B84"/>
      <w:bookmarkEnd w:id="112"/>
      <w:r w:rsidRPr="003D33E1">
        <w:t>Wiese, C. W., Kuykendall, L., and Tay, L. (2018). Get active? a meta-analysis of leisure-time physical activity and subjective well-being. </w:t>
      </w:r>
      <w:r w:rsidRPr="003D33E1">
        <w:rPr>
          <w:i/>
          <w:iCs/>
        </w:rPr>
        <w:t>J. Positive Psychol.</w:t>
      </w:r>
      <w:r w:rsidRPr="003D33E1">
        <w:t xml:space="preserve"> 13, 57–66. </w:t>
      </w:r>
      <w:proofErr w:type="spellStart"/>
      <w:r w:rsidRPr="003D33E1">
        <w:t>doi</w:t>
      </w:r>
      <w:proofErr w:type="spellEnd"/>
      <w:r w:rsidRPr="003D33E1">
        <w:t>: 10.1080/17439760.2017.1374436</w:t>
      </w:r>
    </w:p>
    <w:p w14:paraId="1073E4F3" w14:textId="77777777" w:rsidR="003D33E1" w:rsidRPr="003D33E1" w:rsidRDefault="003D33E1" w:rsidP="00B6729F">
      <w:pPr>
        <w:pStyle w:val="NoSpacing"/>
        <w:ind w:left="720" w:hanging="720"/>
      </w:pPr>
      <w:bookmarkStart w:id="113" w:name="B85"/>
      <w:bookmarkEnd w:id="113"/>
      <w:r w:rsidRPr="003D33E1">
        <w:t xml:space="preserve">Won, J., </w:t>
      </w:r>
      <w:proofErr w:type="spellStart"/>
      <w:r w:rsidRPr="003D33E1">
        <w:t>Alfini</w:t>
      </w:r>
      <w:proofErr w:type="spellEnd"/>
      <w:r w:rsidRPr="003D33E1">
        <w:t>, A. J., Weiss, L. R., Hagberg, J. M., and Smith, J. C. (2020). Greater semantic memory activation after exercise training cessation in older endurance-trained athletes. </w:t>
      </w:r>
      <w:r w:rsidRPr="003D33E1">
        <w:rPr>
          <w:i/>
          <w:iCs/>
        </w:rPr>
        <w:t>J. Aging Phys. Act.</w:t>
      </w:r>
      <w:r w:rsidRPr="003D33E1">
        <w:t xml:space="preserve"> 1, 1–9. </w:t>
      </w:r>
      <w:proofErr w:type="spellStart"/>
      <w:r w:rsidRPr="003D33E1">
        <w:t>doi</w:t>
      </w:r>
      <w:proofErr w:type="spellEnd"/>
      <w:r w:rsidRPr="003D33E1">
        <w:t>: 10.1123/japa.2020-0183</w:t>
      </w:r>
    </w:p>
    <w:p w14:paraId="604A60A0" w14:textId="77777777" w:rsidR="003D33E1" w:rsidRPr="003D33E1" w:rsidRDefault="003D33E1" w:rsidP="00B6729F">
      <w:pPr>
        <w:pStyle w:val="NoSpacing"/>
        <w:ind w:left="720" w:hanging="720"/>
      </w:pPr>
      <w:bookmarkStart w:id="114" w:name="B86"/>
      <w:bookmarkEnd w:id="114"/>
      <w:r w:rsidRPr="003D33E1">
        <w:t xml:space="preserve">Won, J., </w:t>
      </w:r>
      <w:proofErr w:type="spellStart"/>
      <w:r w:rsidRPr="003D33E1">
        <w:t>Alfini</w:t>
      </w:r>
      <w:proofErr w:type="spellEnd"/>
      <w:r w:rsidRPr="003D33E1">
        <w:t>, A. J., Weiss, L. R., Michelson, C. S., Callow, D. D., Ranadive, S. M., et al. (2019). Semantic memory activation after acute exercise in healthy older adults. </w:t>
      </w:r>
      <w:r w:rsidRPr="003D33E1">
        <w:rPr>
          <w:i/>
          <w:iCs/>
        </w:rPr>
        <w:t xml:space="preserve">J. Int. </w:t>
      </w:r>
      <w:proofErr w:type="spellStart"/>
      <w:r w:rsidRPr="003D33E1">
        <w:rPr>
          <w:i/>
          <w:iCs/>
        </w:rPr>
        <w:t>Neuropsychol</w:t>
      </w:r>
      <w:proofErr w:type="spellEnd"/>
      <w:r w:rsidRPr="003D33E1">
        <w:rPr>
          <w:i/>
          <w:iCs/>
        </w:rPr>
        <w:t>. Soc.</w:t>
      </w:r>
      <w:r w:rsidRPr="003D33E1">
        <w:t xml:space="preserve"> 25, 557–568. </w:t>
      </w:r>
      <w:proofErr w:type="spellStart"/>
      <w:r w:rsidRPr="003D33E1">
        <w:t>doi</w:t>
      </w:r>
      <w:proofErr w:type="spellEnd"/>
      <w:r w:rsidRPr="003D33E1">
        <w:t>: 10.1017/S1355617719000171</w:t>
      </w:r>
    </w:p>
    <w:p w14:paraId="11FBDE7A" w14:textId="77777777" w:rsidR="003D33E1" w:rsidRPr="003D33E1" w:rsidRDefault="003D33E1" w:rsidP="00B6729F">
      <w:pPr>
        <w:pStyle w:val="NoSpacing"/>
        <w:ind w:left="720" w:hanging="720"/>
      </w:pPr>
      <w:bookmarkStart w:id="115" w:name="B87"/>
      <w:bookmarkEnd w:id="115"/>
      <w:r w:rsidRPr="003D33E1">
        <w:t>Won, J., Callow, D. D., Pena, G. S., Jordan, L. S., Arnold-</w:t>
      </w:r>
      <w:proofErr w:type="spellStart"/>
      <w:r w:rsidRPr="003D33E1">
        <w:t>Nedimala</w:t>
      </w:r>
      <w:proofErr w:type="spellEnd"/>
      <w:r w:rsidRPr="003D33E1">
        <w:t>, N. A., Nielson, K. A., et al. (2021a). Hippocampal functional connectivity and memory performance after exercise intervention in older adults with mild cognitive impairment. </w:t>
      </w:r>
      <w:r w:rsidRPr="003D33E1">
        <w:rPr>
          <w:i/>
          <w:iCs/>
        </w:rPr>
        <w:t>J. Alzheimer’s Dis.</w:t>
      </w:r>
      <w:r w:rsidRPr="003D33E1">
        <w:t xml:space="preserve"> 82, 1015–1031. </w:t>
      </w:r>
      <w:proofErr w:type="spellStart"/>
      <w:r w:rsidRPr="003D33E1">
        <w:t>doi</w:t>
      </w:r>
      <w:proofErr w:type="spellEnd"/>
      <w:r w:rsidRPr="003D33E1">
        <w:t>: 10.3233/JAD-210051</w:t>
      </w:r>
    </w:p>
    <w:p w14:paraId="40A6B42E" w14:textId="77777777" w:rsidR="003D33E1" w:rsidRPr="003D33E1" w:rsidRDefault="003D33E1" w:rsidP="00B6729F">
      <w:pPr>
        <w:pStyle w:val="NoSpacing"/>
        <w:ind w:left="720" w:hanging="720"/>
      </w:pPr>
      <w:bookmarkStart w:id="116" w:name="B88"/>
      <w:bookmarkEnd w:id="116"/>
      <w:r w:rsidRPr="003D33E1">
        <w:t xml:space="preserve">Won, J., Callow, D. D., Pena, G. S., </w:t>
      </w:r>
      <w:proofErr w:type="spellStart"/>
      <w:r w:rsidRPr="003D33E1">
        <w:t>Gogniat</w:t>
      </w:r>
      <w:proofErr w:type="spellEnd"/>
      <w:r w:rsidRPr="003D33E1">
        <w:t xml:space="preserve">, M. A., </w:t>
      </w:r>
      <w:proofErr w:type="spellStart"/>
      <w:r w:rsidRPr="003D33E1">
        <w:t>Kommula</w:t>
      </w:r>
      <w:proofErr w:type="spellEnd"/>
      <w:r w:rsidRPr="003D33E1">
        <w:t>, Y., Arnold-</w:t>
      </w:r>
      <w:proofErr w:type="spellStart"/>
      <w:r w:rsidRPr="003D33E1">
        <w:t>Nedimala</w:t>
      </w:r>
      <w:proofErr w:type="spellEnd"/>
      <w:r w:rsidRPr="003D33E1">
        <w:t>, N. A., et al. (2021b). Evidence for exercise-related plasticity in functional and structural neural network connectivity. </w:t>
      </w:r>
      <w:proofErr w:type="spellStart"/>
      <w:r w:rsidRPr="003D33E1">
        <w:rPr>
          <w:i/>
          <w:iCs/>
        </w:rPr>
        <w:t>Neurosci</w:t>
      </w:r>
      <w:proofErr w:type="spellEnd"/>
      <w:r w:rsidRPr="003D33E1">
        <w:rPr>
          <w:i/>
          <w:iCs/>
        </w:rPr>
        <w:t xml:space="preserve">. </w:t>
      </w:r>
      <w:proofErr w:type="spellStart"/>
      <w:r w:rsidRPr="003D33E1">
        <w:rPr>
          <w:i/>
          <w:iCs/>
        </w:rPr>
        <w:t>Biobehav</w:t>
      </w:r>
      <w:proofErr w:type="spellEnd"/>
      <w:r w:rsidRPr="003D33E1">
        <w:rPr>
          <w:i/>
          <w:iCs/>
        </w:rPr>
        <w:t>. Rev.</w:t>
      </w:r>
      <w:r w:rsidRPr="003D33E1">
        <w:t xml:space="preserve"> 131, 923–940. </w:t>
      </w:r>
      <w:proofErr w:type="spellStart"/>
      <w:r w:rsidRPr="003D33E1">
        <w:t>doi</w:t>
      </w:r>
      <w:proofErr w:type="spellEnd"/>
      <w:r w:rsidRPr="003D33E1">
        <w:t>: 10.1016/j.neubiorev.2021.10.013</w:t>
      </w:r>
    </w:p>
    <w:p w14:paraId="01DEC62C" w14:textId="77777777" w:rsidR="003D33E1" w:rsidRPr="003D33E1" w:rsidRDefault="003D33E1" w:rsidP="00B6729F">
      <w:pPr>
        <w:pStyle w:val="NoSpacing"/>
        <w:ind w:left="720" w:hanging="720"/>
      </w:pPr>
      <w:bookmarkStart w:id="117" w:name="B89"/>
      <w:bookmarkEnd w:id="117"/>
      <w:r w:rsidRPr="003D33E1">
        <w:t xml:space="preserve">Won, J., </w:t>
      </w:r>
      <w:proofErr w:type="spellStart"/>
      <w:r w:rsidRPr="003D33E1">
        <w:t>Faroqi</w:t>
      </w:r>
      <w:proofErr w:type="spellEnd"/>
      <w:r w:rsidRPr="003D33E1">
        <w:t xml:space="preserve">-Shah, Y., Callow, D. D., Williams, A., </w:t>
      </w:r>
      <w:proofErr w:type="spellStart"/>
      <w:r w:rsidRPr="003D33E1">
        <w:t>Awoyemi</w:t>
      </w:r>
      <w:proofErr w:type="spellEnd"/>
      <w:r w:rsidRPr="003D33E1">
        <w:t>, A., Nielson, K. A., et al. (2021c). Association between greater cerebellar network connectivity and improved phonemic fluency performance after exercise training in older adults. </w:t>
      </w:r>
      <w:r w:rsidRPr="003D33E1">
        <w:rPr>
          <w:i/>
          <w:iCs/>
        </w:rPr>
        <w:t>Cerebellum</w:t>
      </w:r>
      <w:r w:rsidRPr="003D33E1">
        <w:t xml:space="preserve"> 20, 542–555. </w:t>
      </w:r>
      <w:proofErr w:type="spellStart"/>
      <w:r w:rsidRPr="003D33E1">
        <w:t>doi</w:t>
      </w:r>
      <w:proofErr w:type="spellEnd"/>
      <w:r w:rsidRPr="003D33E1">
        <w:t>: 10.1007/s12311-020-01218-3</w:t>
      </w:r>
    </w:p>
    <w:p w14:paraId="7AAA5AE6" w14:textId="77777777" w:rsidR="003D33E1" w:rsidRPr="003D33E1" w:rsidRDefault="003D33E1" w:rsidP="00B6729F">
      <w:pPr>
        <w:pStyle w:val="NoSpacing"/>
        <w:ind w:left="720" w:hanging="720"/>
      </w:pPr>
      <w:bookmarkStart w:id="118" w:name="B90"/>
      <w:bookmarkEnd w:id="118"/>
      <w:proofErr w:type="spellStart"/>
      <w:r w:rsidRPr="003D33E1">
        <w:t>Yesavage</w:t>
      </w:r>
      <w:proofErr w:type="spellEnd"/>
      <w:r w:rsidRPr="003D33E1">
        <w:t>, J. A. (1988). Geriatric depression scale. </w:t>
      </w:r>
      <w:proofErr w:type="spellStart"/>
      <w:r w:rsidRPr="003D33E1">
        <w:rPr>
          <w:i/>
          <w:iCs/>
        </w:rPr>
        <w:t>Psychopharmacol</w:t>
      </w:r>
      <w:proofErr w:type="spellEnd"/>
      <w:r w:rsidRPr="003D33E1">
        <w:rPr>
          <w:i/>
          <w:iCs/>
        </w:rPr>
        <w:t>. Bull.</w:t>
      </w:r>
      <w:r w:rsidRPr="003D33E1">
        <w:t> 24, 709–711.</w:t>
      </w:r>
    </w:p>
    <w:p w14:paraId="3E288D1F" w14:textId="77777777" w:rsidR="003D33E1" w:rsidRPr="003D33E1" w:rsidRDefault="003D33E1" w:rsidP="00B6729F">
      <w:pPr>
        <w:pStyle w:val="NoSpacing"/>
        <w:ind w:left="720" w:hanging="720"/>
      </w:pPr>
      <w:bookmarkStart w:id="119" w:name="B91"/>
      <w:bookmarkEnd w:id="119"/>
      <w:r w:rsidRPr="003D33E1">
        <w:t>Zhang, Z., and Chen, W. (2019). A systematic review of the relationship between physical activity and happiness. </w:t>
      </w:r>
      <w:r w:rsidRPr="003D33E1">
        <w:rPr>
          <w:i/>
          <w:iCs/>
        </w:rPr>
        <w:t>J. Happiness Stud.</w:t>
      </w:r>
      <w:r w:rsidRPr="003D33E1">
        <w:t xml:space="preserve"> 20, 1305–1322. </w:t>
      </w:r>
      <w:proofErr w:type="spellStart"/>
      <w:r w:rsidRPr="003D33E1">
        <w:t>doi</w:t>
      </w:r>
      <w:proofErr w:type="spellEnd"/>
      <w:r w:rsidRPr="003D33E1">
        <w:t>: 10.1007/s10902-018-9976-0</w:t>
      </w:r>
    </w:p>
    <w:p w14:paraId="04B94A49" w14:textId="77777777" w:rsidR="001F6EC3" w:rsidRDefault="00E43E0F"/>
    <w:sectPr w:rsidR="001F6EC3" w:rsidSect="007C1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D87E95"/>
    <w:multiLevelType w:val="multilevel"/>
    <w:tmpl w:val="D72EA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0784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cGcX/yXxpMUUg11HaveM9wUmBV5pXzmaKpNF6/OmrzAEaqGCgzgdKdxdBsF7rT8d5suK5nd6v7dBbl7NccPquA==" w:salt="pGjHU5TQtCiJ/xOQktg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86B71"/>
    <w:rsid w:val="00097A93"/>
    <w:rsid w:val="000A7051"/>
    <w:rsid w:val="00146C9B"/>
    <w:rsid w:val="00173DF7"/>
    <w:rsid w:val="00206B28"/>
    <w:rsid w:val="002B77E0"/>
    <w:rsid w:val="002E6397"/>
    <w:rsid w:val="00306DE9"/>
    <w:rsid w:val="00336541"/>
    <w:rsid w:val="003925DC"/>
    <w:rsid w:val="003947F3"/>
    <w:rsid w:val="00395D79"/>
    <w:rsid w:val="003A63AA"/>
    <w:rsid w:val="003D33E1"/>
    <w:rsid w:val="004124F8"/>
    <w:rsid w:val="00442231"/>
    <w:rsid w:val="00495350"/>
    <w:rsid w:val="0050287F"/>
    <w:rsid w:val="00517489"/>
    <w:rsid w:val="005472B7"/>
    <w:rsid w:val="005701DF"/>
    <w:rsid w:val="00590C2D"/>
    <w:rsid w:val="005C31C4"/>
    <w:rsid w:val="005F151E"/>
    <w:rsid w:val="006A0F3A"/>
    <w:rsid w:val="0076546C"/>
    <w:rsid w:val="00780E41"/>
    <w:rsid w:val="007C198D"/>
    <w:rsid w:val="008C19C0"/>
    <w:rsid w:val="009071D6"/>
    <w:rsid w:val="009D0F9A"/>
    <w:rsid w:val="009D28D8"/>
    <w:rsid w:val="00A765A5"/>
    <w:rsid w:val="00B022FA"/>
    <w:rsid w:val="00B20E92"/>
    <w:rsid w:val="00B51623"/>
    <w:rsid w:val="00B6729F"/>
    <w:rsid w:val="00BF32C3"/>
    <w:rsid w:val="00C43637"/>
    <w:rsid w:val="00D52EE2"/>
    <w:rsid w:val="00D57DA2"/>
    <w:rsid w:val="00DF1E6A"/>
    <w:rsid w:val="00E21C14"/>
    <w:rsid w:val="00EC2AF7"/>
    <w:rsid w:val="00F17829"/>
    <w:rsid w:val="00F26750"/>
    <w:rsid w:val="00F33B64"/>
    <w:rsid w:val="00FE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E6A"/>
  </w:style>
  <w:style w:type="paragraph" w:styleId="Heading1">
    <w:name w:val="heading 1"/>
    <w:basedOn w:val="Normal"/>
    <w:next w:val="Normal"/>
    <w:link w:val="Heading1Char"/>
    <w:uiPriority w:val="9"/>
    <w:qFormat/>
    <w:rsid w:val="00DF1E6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F1E6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F1E6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DF1E6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F1E6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F1E6A"/>
    <w:pPr>
      <w:keepNext/>
      <w:keepLines/>
      <w:spacing w:before="40" w:after="0"/>
      <w:outlineLvl w:val="5"/>
    </w:pPr>
  </w:style>
  <w:style w:type="paragraph" w:styleId="Heading7">
    <w:name w:val="heading 7"/>
    <w:basedOn w:val="Normal"/>
    <w:next w:val="Normal"/>
    <w:link w:val="Heading7Char"/>
    <w:uiPriority w:val="9"/>
    <w:semiHidden/>
    <w:unhideWhenUsed/>
    <w:qFormat/>
    <w:rsid w:val="00DF1E6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F1E6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F1E6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1E6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F1E6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F1E6A"/>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3D33E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D33E1"/>
    <w:rPr>
      <w:color w:val="0000FF"/>
      <w:u w:val="single"/>
    </w:rPr>
  </w:style>
  <w:style w:type="character" w:styleId="FollowedHyperlink">
    <w:name w:val="FollowedHyperlink"/>
    <w:basedOn w:val="DefaultParagraphFont"/>
    <w:uiPriority w:val="99"/>
    <w:semiHidden/>
    <w:unhideWhenUsed/>
    <w:rsid w:val="003D33E1"/>
    <w:rPr>
      <w:color w:val="800080"/>
      <w:u w:val="single"/>
    </w:rPr>
  </w:style>
  <w:style w:type="paragraph" w:customStyle="1" w:styleId="mb0">
    <w:name w:val="mb0"/>
    <w:basedOn w:val="Normal"/>
    <w:rsid w:val="003D33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3D33E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D33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1E6A"/>
    <w:rPr>
      <w:b/>
      <w:bCs/>
      <w:color w:val="auto"/>
    </w:rPr>
  </w:style>
  <w:style w:type="paragraph" w:customStyle="1" w:styleId="referencescopy1">
    <w:name w:val="referencescopy1"/>
    <w:basedOn w:val="Normal"/>
    <w:rsid w:val="003D33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3D33E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D33E1"/>
    <w:rPr>
      <w:color w:val="605E5C"/>
      <w:shd w:val="clear" w:color="auto" w:fill="E1DFDD"/>
    </w:rPr>
  </w:style>
  <w:style w:type="character" w:customStyle="1" w:styleId="Heading4Char">
    <w:name w:val="Heading 4 Char"/>
    <w:basedOn w:val="DefaultParagraphFont"/>
    <w:link w:val="Heading4"/>
    <w:uiPriority w:val="9"/>
    <w:semiHidden/>
    <w:rsid w:val="00DF1E6A"/>
    <w:rPr>
      <w:i/>
      <w:iCs/>
    </w:rPr>
  </w:style>
  <w:style w:type="character" w:customStyle="1" w:styleId="Heading5Char">
    <w:name w:val="Heading 5 Char"/>
    <w:basedOn w:val="DefaultParagraphFont"/>
    <w:link w:val="Heading5"/>
    <w:uiPriority w:val="9"/>
    <w:semiHidden/>
    <w:rsid w:val="00DF1E6A"/>
    <w:rPr>
      <w:color w:val="404040" w:themeColor="text1" w:themeTint="BF"/>
    </w:rPr>
  </w:style>
  <w:style w:type="character" w:customStyle="1" w:styleId="Heading6Char">
    <w:name w:val="Heading 6 Char"/>
    <w:basedOn w:val="DefaultParagraphFont"/>
    <w:link w:val="Heading6"/>
    <w:uiPriority w:val="9"/>
    <w:semiHidden/>
    <w:rsid w:val="00DF1E6A"/>
  </w:style>
  <w:style w:type="character" w:customStyle="1" w:styleId="Heading7Char">
    <w:name w:val="Heading 7 Char"/>
    <w:basedOn w:val="DefaultParagraphFont"/>
    <w:link w:val="Heading7"/>
    <w:uiPriority w:val="9"/>
    <w:semiHidden/>
    <w:rsid w:val="00DF1E6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F1E6A"/>
    <w:rPr>
      <w:color w:val="262626" w:themeColor="text1" w:themeTint="D9"/>
      <w:sz w:val="21"/>
      <w:szCs w:val="21"/>
    </w:rPr>
  </w:style>
  <w:style w:type="character" w:customStyle="1" w:styleId="Heading9Char">
    <w:name w:val="Heading 9 Char"/>
    <w:basedOn w:val="DefaultParagraphFont"/>
    <w:link w:val="Heading9"/>
    <w:uiPriority w:val="9"/>
    <w:semiHidden/>
    <w:rsid w:val="00DF1E6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F1E6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F1E6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F1E6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F1E6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F1E6A"/>
    <w:rPr>
      <w:color w:val="5A5A5A" w:themeColor="text1" w:themeTint="A5"/>
      <w:spacing w:val="15"/>
    </w:rPr>
  </w:style>
  <w:style w:type="character" w:styleId="Emphasis">
    <w:name w:val="Emphasis"/>
    <w:basedOn w:val="DefaultParagraphFont"/>
    <w:uiPriority w:val="20"/>
    <w:qFormat/>
    <w:rsid w:val="00DF1E6A"/>
    <w:rPr>
      <w:i/>
      <w:iCs/>
      <w:color w:val="auto"/>
    </w:rPr>
  </w:style>
  <w:style w:type="paragraph" w:styleId="NoSpacing">
    <w:name w:val="No Spacing"/>
    <w:uiPriority w:val="1"/>
    <w:qFormat/>
    <w:rsid w:val="00DF1E6A"/>
    <w:pPr>
      <w:spacing w:after="0" w:line="240" w:lineRule="auto"/>
    </w:pPr>
  </w:style>
  <w:style w:type="paragraph" w:styleId="Quote">
    <w:name w:val="Quote"/>
    <w:basedOn w:val="Normal"/>
    <w:next w:val="Normal"/>
    <w:link w:val="QuoteChar"/>
    <w:uiPriority w:val="29"/>
    <w:qFormat/>
    <w:rsid w:val="00DF1E6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F1E6A"/>
    <w:rPr>
      <w:i/>
      <w:iCs/>
      <w:color w:val="404040" w:themeColor="text1" w:themeTint="BF"/>
    </w:rPr>
  </w:style>
  <w:style w:type="paragraph" w:styleId="IntenseQuote">
    <w:name w:val="Intense Quote"/>
    <w:basedOn w:val="Normal"/>
    <w:next w:val="Normal"/>
    <w:link w:val="IntenseQuoteChar"/>
    <w:uiPriority w:val="30"/>
    <w:qFormat/>
    <w:rsid w:val="00DF1E6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F1E6A"/>
    <w:rPr>
      <w:i/>
      <w:iCs/>
      <w:color w:val="404040" w:themeColor="text1" w:themeTint="BF"/>
    </w:rPr>
  </w:style>
  <w:style w:type="character" w:styleId="SubtleEmphasis">
    <w:name w:val="Subtle Emphasis"/>
    <w:basedOn w:val="DefaultParagraphFont"/>
    <w:uiPriority w:val="19"/>
    <w:qFormat/>
    <w:rsid w:val="00DF1E6A"/>
    <w:rPr>
      <w:i/>
      <w:iCs/>
      <w:color w:val="404040" w:themeColor="text1" w:themeTint="BF"/>
    </w:rPr>
  </w:style>
  <w:style w:type="character" w:styleId="IntenseEmphasis">
    <w:name w:val="Intense Emphasis"/>
    <w:basedOn w:val="DefaultParagraphFont"/>
    <w:uiPriority w:val="21"/>
    <w:qFormat/>
    <w:rsid w:val="00DF1E6A"/>
    <w:rPr>
      <w:b/>
      <w:bCs/>
      <w:i/>
      <w:iCs/>
      <w:color w:val="auto"/>
    </w:rPr>
  </w:style>
  <w:style w:type="character" w:styleId="SubtleReference">
    <w:name w:val="Subtle Reference"/>
    <w:basedOn w:val="DefaultParagraphFont"/>
    <w:uiPriority w:val="31"/>
    <w:qFormat/>
    <w:rsid w:val="00DF1E6A"/>
    <w:rPr>
      <w:smallCaps/>
      <w:color w:val="404040" w:themeColor="text1" w:themeTint="BF"/>
    </w:rPr>
  </w:style>
  <w:style w:type="character" w:styleId="IntenseReference">
    <w:name w:val="Intense Reference"/>
    <w:basedOn w:val="DefaultParagraphFont"/>
    <w:uiPriority w:val="32"/>
    <w:qFormat/>
    <w:rsid w:val="00DF1E6A"/>
    <w:rPr>
      <w:b/>
      <w:bCs/>
      <w:smallCaps/>
      <w:color w:val="404040" w:themeColor="text1" w:themeTint="BF"/>
      <w:spacing w:val="5"/>
    </w:rPr>
  </w:style>
  <w:style w:type="character" w:styleId="BookTitle">
    <w:name w:val="Book Title"/>
    <w:basedOn w:val="DefaultParagraphFont"/>
    <w:uiPriority w:val="33"/>
    <w:qFormat/>
    <w:rsid w:val="00DF1E6A"/>
    <w:rPr>
      <w:b/>
      <w:bCs/>
      <w:i/>
      <w:iCs/>
      <w:spacing w:val="5"/>
    </w:rPr>
  </w:style>
  <w:style w:type="paragraph" w:styleId="TOCHeading">
    <w:name w:val="TOC Heading"/>
    <w:basedOn w:val="Heading1"/>
    <w:next w:val="Normal"/>
    <w:uiPriority w:val="39"/>
    <w:semiHidden/>
    <w:unhideWhenUsed/>
    <w:qFormat/>
    <w:rsid w:val="00DF1E6A"/>
    <w:pPr>
      <w:outlineLvl w:val="9"/>
    </w:pPr>
  </w:style>
  <w:style w:type="table" w:styleId="TableGrid">
    <w:name w:val="Table Grid"/>
    <w:basedOn w:val="TableNormal"/>
    <w:uiPriority w:val="39"/>
    <w:rsid w:val="00BF3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351992">
      <w:bodyDiv w:val="1"/>
      <w:marLeft w:val="0"/>
      <w:marRight w:val="0"/>
      <w:marTop w:val="0"/>
      <w:marBottom w:val="0"/>
      <w:divBdr>
        <w:top w:val="none" w:sz="0" w:space="0" w:color="auto"/>
        <w:left w:val="none" w:sz="0" w:space="0" w:color="auto"/>
        <w:bottom w:val="none" w:sz="0" w:space="0" w:color="auto"/>
        <w:right w:val="none" w:sz="0" w:space="0" w:color="auto"/>
      </w:divBdr>
      <w:divsChild>
        <w:div w:id="1364136733">
          <w:marLeft w:val="0"/>
          <w:marRight w:val="0"/>
          <w:marTop w:val="0"/>
          <w:marBottom w:val="0"/>
          <w:divBdr>
            <w:top w:val="none" w:sz="0" w:space="0" w:color="auto"/>
            <w:left w:val="none" w:sz="0" w:space="0" w:color="auto"/>
            <w:bottom w:val="none" w:sz="0" w:space="0" w:color="auto"/>
            <w:right w:val="none" w:sz="0" w:space="0" w:color="auto"/>
          </w:divBdr>
        </w:div>
        <w:div w:id="1146552581">
          <w:marLeft w:val="0"/>
          <w:marRight w:val="0"/>
          <w:marTop w:val="0"/>
          <w:marBottom w:val="0"/>
          <w:divBdr>
            <w:top w:val="none" w:sz="0" w:space="0" w:color="auto"/>
            <w:left w:val="none" w:sz="0" w:space="0" w:color="auto"/>
            <w:bottom w:val="none" w:sz="0" w:space="0" w:color="auto"/>
            <w:right w:val="none" w:sz="0" w:space="0" w:color="auto"/>
          </w:divBdr>
          <w:divsChild>
            <w:div w:id="1339652450">
              <w:marLeft w:val="0"/>
              <w:marRight w:val="0"/>
              <w:marTop w:val="360"/>
              <w:marBottom w:val="0"/>
              <w:divBdr>
                <w:top w:val="single" w:sz="6" w:space="18" w:color="D5D5D5"/>
                <w:left w:val="single" w:sz="6" w:space="18" w:color="D5D5D5"/>
                <w:bottom w:val="none" w:sz="0" w:space="0" w:color="auto"/>
                <w:right w:val="single" w:sz="6" w:space="18" w:color="D5D5D5"/>
              </w:divBdr>
            </w:div>
            <w:div w:id="1480918465">
              <w:marLeft w:val="0"/>
              <w:marRight w:val="0"/>
              <w:marTop w:val="0"/>
              <w:marBottom w:val="270"/>
              <w:divBdr>
                <w:top w:val="none" w:sz="0" w:space="0" w:color="auto"/>
                <w:left w:val="single" w:sz="6" w:space="18" w:color="D5D5D5"/>
                <w:bottom w:val="single" w:sz="6" w:space="18" w:color="D5D5D5"/>
                <w:right w:val="single" w:sz="6" w:space="18" w:color="D5D5D5"/>
              </w:divBdr>
            </w:div>
            <w:div w:id="1412972971">
              <w:marLeft w:val="0"/>
              <w:marRight w:val="0"/>
              <w:marTop w:val="360"/>
              <w:marBottom w:val="0"/>
              <w:divBdr>
                <w:top w:val="single" w:sz="6" w:space="18" w:color="D5D5D5"/>
                <w:left w:val="single" w:sz="6" w:space="18" w:color="D5D5D5"/>
                <w:bottom w:val="none" w:sz="0" w:space="0" w:color="auto"/>
                <w:right w:val="single" w:sz="6" w:space="18" w:color="D5D5D5"/>
              </w:divBdr>
            </w:div>
            <w:div w:id="1441561646">
              <w:marLeft w:val="0"/>
              <w:marRight w:val="0"/>
              <w:marTop w:val="0"/>
              <w:marBottom w:val="270"/>
              <w:divBdr>
                <w:top w:val="none" w:sz="0" w:space="0" w:color="auto"/>
                <w:left w:val="single" w:sz="6" w:space="18" w:color="D5D5D5"/>
                <w:bottom w:val="single" w:sz="6" w:space="18" w:color="D5D5D5"/>
                <w:right w:val="single" w:sz="6" w:space="18" w:color="D5D5D5"/>
              </w:divBdr>
            </w:div>
            <w:div w:id="753161326">
              <w:marLeft w:val="0"/>
              <w:marRight w:val="0"/>
              <w:marTop w:val="360"/>
              <w:marBottom w:val="0"/>
              <w:divBdr>
                <w:top w:val="single" w:sz="6" w:space="18" w:color="D5D5D5"/>
                <w:left w:val="single" w:sz="6" w:space="18" w:color="D5D5D5"/>
                <w:bottom w:val="none" w:sz="0" w:space="0" w:color="auto"/>
                <w:right w:val="single" w:sz="6" w:space="18" w:color="D5D5D5"/>
              </w:divBdr>
            </w:div>
            <w:div w:id="444808539">
              <w:marLeft w:val="0"/>
              <w:marRight w:val="0"/>
              <w:marTop w:val="0"/>
              <w:marBottom w:val="270"/>
              <w:divBdr>
                <w:top w:val="none" w:sz="0" w:space="0" w:color="auto"/>
                <w:left w:val="single" w:sz="6" w:space="18" w:color="D5D5D5"/>
                <w:bottom w:val="single" w:sz="6" w:space="18" w:color="D5D5D5"/>
                <w:right w:val="single" w:sz="6" w:space="18" w:color="D5D5D5"/>
              </w:divBdr>
            </w:div>
            <w:div w:id="1731921181">
              <w:marLeft w:val="0"/>
              <w:marRight w:val="0"/>
              <w:marTop w:val="360"/>
              <w:marBottom w:val="0"/>
              <w:divBdr>
                <w:top w:val="single" w:sz="6" w:space="18" w:color="D5D5D5"/>
                <w:left w:val="single" w:sz="6" w:space="18" w:color="D5D5D5"/>
                <w:bottom w:val="none" w:sz="0" w:space="0" w:color="auto"/>
                <w:right w:val="single" w:sz="6" w:space="18" w:color="D5D5D5"/>
              </w:divBdr>
            </w:div>
            <w:div w:id="635258873">
              <w:marLeft w:val="0"/>
              <w:marRight w:val="0"/>
              <w:marTop w:val="0"/>
              <w:marBottom w:val="270"/>
              <w:divBdr>
                <w:top w:val="none" w:sz="0" w:space="0" w:color="auto"/>
                <w:left w:val="single" w:sz="6" w:space="18" w:color="D5D5D5"/>
                <w:bottom w:val="single" w:sz="6" w:space="18" w:color="D5D5D5"/>
                <w:right w:val="single" w:sz="6" w:space="18" w:color="D5D5D5"/>
              </w:divBdr>
            </w:div>
            <w:div w:id="822888167">
              <w:marLeft w:val="0"/>
              <w:marRight w:val="0"/>
              <w:marTop w:val="360"/>
              <w:marBottom w:val="0"/>
              <w:divBdr>
                <w:top w:val="single" w:sz="6" w:space="18" w:color="D5D5D5"/>
                <w:left w:val="single" w:sz="6" w:space="18" w:color="D5D5D5"/>
                <w:bottom w:val="none" w:sz="0" w:space="0" w:color="auto"/>
                <w:right w:val="single" w:sz="6" w:space="18" w:color="D5D5D5"/>
              </w:divBdr>
            </w:div>
            <w:div w:id="716396960">
              <w:marLeft w:val="0"/>
              <w:marRight w:val="0"/>
              <w:marTop w:val="0"/>
              <w:marBottom w:val="270"/>
              <w:divBdr>
                <w:top w:val="none" w:sz="0" w:space="0" w:color="auto"/>
                <w:left w:val="single" w:sz="6" w:space="18" w:color="D5D5D5"/>
                <w:bottom w:val="single" w:sz="6" w:space="18" w:color="D5D5D5"/>
                <w:right w:val="single" w:sz="6" w:space="18" w:color="D5D5D5"/>
              </w:divBdr>
            </w:div>
            <w:div w:id="2130777079">
              <w:marLeft w:val="0"/>
              <w:marRight w:val="0"/>
              <w:marTop w:val="360"/>
              <w:marBottom w:val="0"/>
              <w:divBdr>
                <w:top w:val="single" w:sz="6" w:space="18" w:color="D5D5D5"/>
                <w:left w:val="single" w:sz="6" w:space="18" w:color="D5D5D5"/>
                <w:bottom w:val="none" w:sz="0" w:space="0" w:color="auto"/>
                <w:right w:val="single" w:sz="6" w:space="18" w:color="D5D5D5"/>
              </w:divBdr>
            </w:div>
            <w:div w:id="1820685243">
              <w:marLeft w:val="0"/>
              <w:marRight w:val="0"/>
              <w:marTop w:val="0"/>
              <w:marBottom w:val="270"/>
              <w:divBdr>
                <w:top w:val="none" w:sz="0" w:space="0" w:color="auto"/>
                <w:left w:val="single" w:sz="6" w:space="18" w:color="D5D5D5"/>
                <w:bottom w:val="single" w:sz="6" w:space="18" w:color="D5D5D5"/>
                <w:right w:val="single" w:sz="6" w:space="18" w:color="D5D5D5"/>
              </w:divBdr>
            </w:div>
            <w:div w:id="1769420096">
              <w:marLeft w:val="0"/>
              <w:marRight w:val="0"/>
              <w:marTop w:val="360"/>
              <w:marBottom w:val="0"/>
              <w:divBdr>
                <w:top w:val="single" w:sz="6" w:space="18" w:color="D5D5D5"/>
                <w:left w:val="single" w:sz="6" w:space="18" w:color="D5D5D5"/>
                <w:bottom w:val="none" w:sz="0" w:space="0" w:color="auto"/>
                <w:right w:val="single" w:sz="6" w:space="18" w:color="D5D5D5"/>
              </w:divBdr>
            </w:div>
            <w:div w:id="1948927215">
              <w:marLeft w:val="0"/>
              <w:marRight w:val="0"/>
              <w:marTop w:val="0"/>
              <w:marBottom w:val="270"/>
              <w:divBdr>
                <w:top w:val="none" w:sz="0" w:space="0" w:color="auto"/>
                <w:left w:val="single" w:sz="6" w:space="18" w:color="D5D5D5"/>
                <w:bottom w:val="single" w:sz="6" w:space="18" w:color="D5D5D5"/>
                <w:right w:val="single" w:sz="6" w:space="18" w:color="D5D5D5"/>
              </w:divBdr>
            </w:div>
            <w:div w:id="312952666">
              <w:marLeft w:val="0"/>
              <w:marRight w:val="0"/>
              <w:marTop w:val="360"/>
              <w:marBottom w:val="0"/>
              <w:divBdr>
                <w:top w:val="single" w:sz="6" w:space="18" w:color="D5D5D5"/>
                <w:left w:val="single" w:sz="6" w:space="18" w:color="D5D5D5"/>
                <w:bottom w:val="none" w:sz="0" w:space="0" w:color="auto"/>
                <w:right w:val="single" w:sz="6" w:space="18" w:color="D5D5D5"/>
              </w:divBdr>
            </w:div>
            <w:div w:id="1408110970">
              <w:marLeft w:val="0"/>
              <w:marRight w:val="0"/>
              <w:marTop w:val="0"/>
              <w:marBottom w:val="270"/>
              <w:divBdr>
                <w:top w:val="none" w:sz="0" w:space="0" w:color="auto"/>
                <w:left w:val="single" w:sz="6" w:space="18" w:color="D5D5D5"/>
                <w:bottom w:val="single" w:sz="6" w:space="18" w:color="D5D5D5"/>
                <w:right w:val="single" w:sz="6" w:space="18" w:color="D5D5D5"/>
              </w:divBdr>
            </w:div>
            <w:div w:id="1875146719">
              <w:marLeft w:val="0"/>
              <w:marRight w:val="0"/>
              <w:marTop w:val="0"/>
              <w:marBottom w:val="120"/>
              <w:divBdr>
                <w:top w:val="none" w:sz="0" w:space="0" w:color="auto"/>
                <w:left w:val="none" w:sz="0" w:space="0" w:color="auto"/>
                <w:bottom w:val="none" w:sz="0" w:space="0" w:color="auto"/>
                <w:right w:val="none" w:sz="0" w:space="0" w:color="auto"/>
              </w:divBdr>
            </w:div>
            <w:div w:id="1624579593">
              <w:marLeft w:val="0"/>
              <w:marRight w:val="0"/>
              <w:marTop w:val="0"/>
              <w:marBottom w:val="120"/>
              <w:divBdr>
                <w:top w:val="none" w:sz="0" w:space="0" w:color="auto"/>
                <w:left w:val="none" w:sz="0" w:space="0" w:color="auto"/>
                <w:bottom w:val="none" w:sz="0" w:space="0" w:color="auto"/>
                <w:right w:val="none" w:sz="0" w:space="0" w:color="auto"/>
              </w:divBdr>
            </w:div>
            <w:div w:id="1252396608">
              <w:marLeft w:val="0"/>
              <w:marRight w:val="0"/>
              <w:marTop w:val="0"/>
              <w:marBottom w:val="120"/>
              <w:divBdr>
                <w:top w:val="none" w:sz="0" w:space="0" w:color="auto"/>
                <w:left w:val="none" w:sz="0" w:space="0" w:color="auto"/>
                <w:bottom w:val="none" w:sz="0" w:space="0" w:color="auto"/>
                <w:right w:val="none" w:sz="0" w:space="0" w:color="auto"/>
              </w:divBdr>
            </w:div>
            <w:div w:id="718285664">
              <w:marLeft w:val="0"/>
              <w:marRight w:val="0"/>
              <w:marTop w:val="0"/>
              <w:marBottom w:val="120"/>
              <w:divBdr>
                <w:top w:val="none" w:sz="0" w:space="0" w:color="auto"/>
                <w:left w:val="none" w:sz="0" w:space="0" w:color="auto"/>
                <w:bottom w:val="none" w:sz="0" w:space="0" w:color="auto"/>
                <w:right w:val="none" w:sz="0" w:space="0" w:color="auto"/>
              </w:divBdr>
            </w:div>
            <w:div w:id="139426965">
              <w:marLeft w:val="0"/>
              <w:marRight w:val="0"/>
              <w:marTop w:val="0"/>
              <w:marBottom w:val="120"/>
              <w:divBdr>
                <w:top w:val="none" w:sz="0" w:space="0" w:color="auto"/>
                <w:left w:val="none" w:sz="0" w:space="0" w:color="auto"/>
                <w:bottom w:val="none" w:sz="0" w:space="0" w:color="auto"/>
                <w:right w:val="none" w:sz="0" w:space="0" w:color="auto"/>
              </w:divBdr>
            </w:div>
            <w:div w:id="224148960">
              <w:marLeft w:val="0"/>
              <w:marRight w:val="0"/>
              <w:marTop w:val="0"/>
              <w:marBottom w:val="120"/>
              <w:divBdr>
                <w:top w:val="none" w:sz="0" w:space="0" w:color="auto"/>
                <w:left w:val="none" w:sz="0" w:space="0" w:color="auto"/>
                <w:bottom w:val="none" w:sz="0" w:space="0" w:color="auto"/>
                <w:right w:val="none" w:sz="0" w:space="0" w:color="auto"/>
              </w:divBdr>
            </w:div>
            <w:div w:id="1270896167">
              <w:marLeft w:val="0"/>
              <w:marRight w:val="0"/>
              <w:marTop w:val="0"/>
              <w:marBottom w:val="120"/>
              <w:divBdr>
                <w:top w:val="none" w:sz="0" w:space="0" w:color="auto"/>
                <w:left w:val="none" w:sz="0" w:space="0" w:color="auto"/>
                <w:bottom w:val="none" w:sz="0" w:space="0" w:color="auto"/>
                <w:right w:val="none" w:sz="0" w:space="0" w:color="auto"/>
              </w:divBdr>
            </w:div>
            <w:div w:id="1200824718">
              <w:marLeft w:val="0"/>
              <w:marRight w:val="0"/>
              <w:marTop w:val="0"/>
              <w:marBottom w:val="120"/>
              <w:divBdr>
                <w:top w:val="none" w:sz="0" w:space="0" w:color="auto"/>
                <w:left w:val="none" w:sz="0" w:space="0" w:color="auto"/>
                <w:bottom w:val="none" w:sz="0" w:space="0" w:color="auto"/>
                <w:right w:val="none" w:sz="0" w:space="0" w:color="auto"/>
              </w:divBdr>
            </w:div>
            <w:div w:id="1136407338">
              <w:marLeft w:val="0"/>
              <w:marRight w:val="0"/>
              <w:marTop w:val="0"/>
              <w:marBottom w:val="120"/>
              <w:divBdr>
                <w:top w:val="none" w:sz="0" w:space="0" w:color="auto"/>
                <w:left w:val="none" w:sz="0" w:space="0" w:color="auto"/>
                <w:bottom w:val="none" w:sz="0" w:space="0" w:color="auto"/>
                <w:right w:val="none" w:sz="0" w:space="0" w:color="auto"/>
              </w:divBdr>
            </w:div>
            <w:div w:id="1889103306">
              <w:marLeft w:val="0"/>
              <w:marRight w:val="0"/>
              <w:marTop w:val="0"/>
              <w:marBottom w:val="120"/>
              <w:divBdr>
                <w:top w:val="none" w:sz="0" w:space="0" w:color="auto"/>
                <w:left w:val="none" w:sz="0" w:space="0" w:color="auto"/>
                <w:bottom w:val="none" w:sz="0" w:space="0" w:color="auto"/>
                <w:right w:val="none" w:sz="0" w:space="0" w:color="auto"/>
              </w:divBdr>
            </w:div>
            <w:div w:id="88234269">
              <w:marLeft w:val="0"/>
              <w:marRight w:val="0"/>
              <w:marTop w:val="0"/>
              <w:marBottom w:val="120"/>
              <w:divBdr>
                <w:top w:val="none" w:sz="0" w:space="0" w:color="auto"/>
                <w:left w:val="none" w:sz="0" w:space="0" w:color="auto"/>
                <w:bottom w:val="none" w:sz="0" w:space="0" w:color="auto"/>
                <w:right w:val="none" w:sz="0" w:space="0" w:color="auto"/>
              </w:divBdr>
            </w:div>
            <w:div w:id="1614481298">
              <w:marLeft w:val="0"/>
              <w:marRight w:val="0"/>
              <w:marTop w:val="0"/>
              <w:marBottom w:val="120"/>
              <w:divBdr>
                <w:top w:val="none" w:sz="0" w:space="0" w:color="auto"/>
                <w:left w:val="none" w:sz="0" w:space="0" w:color="auto"/>
                <w:bottom w:val="none" w:sz="0" w:space="0" w:color="auto"/>
                <w:right w:val="none" w:sz="0" w:space="0" w:color="auto"/>
              </w:divBdr>
            </w:div>
            <w:div w:id="54476818">
              <w:marLeft w:val="0"/>
              <w:marRight w:val="0"/>
              <w:marTop w:val="0"/>
              <w:marBottom w:val="120"/>
              <w:divBdr>
                <w:top w:val="none" w:sz="0" w:space="0" w:color="auto"/>
                <w:left w:val="none" w:sz="0" w:space="0" w:color="auto"/>
                <w:bottom w:val="none" w:sz="0" w:space="0" w:color="auto"/>
                <w:right w:val="none" w:sz="0" w:space="0" w:color="auto"/>
              </w:divBdr>
            </w:div>
            <w:div w:id="2090039177">
              <w:marLeft w:val="0"/>
              <w:marRight w:val="0"/>
              <w:marTop w:val="0"/>
              <w:marBottom w:val="120"/>
              <w:divBdr>
                <w:top w:val="none" w:sz="0" w:space="0" w:color="auto"/>
                <w:left w:val="none" w:sz="0" w:space="0" w:color="auto"/>
                <w:bottom w:val="none" w:sz="0" w:space="0" w:color="auto"/>
                <w:right w:val="none" w:sz="0" w:space="0" w:color="auto"/>
              </w:divBdr>
            </w:div>
            <w:div w:id="1879855557">
              <w:marLeft w:val="0"/>
              <w:marRight w:val="0"/>
              <w:marTop w:val="0"/>
              <w:marBottom w:val="120"/>
              <w:divBdr>
                <w:top w:val="none" w:sz="0" w:space="0" w:color="auto"/>
                <w:left w:val="none" w:sz="0" w:space="0" w:color="auto"/>
                <w:bottom w:val="none" w:sz="0" w:space="0" w:color="auto"/>
                <w:right w:val="none" w:sz="0" w:space="0" w:color="auto"/>
              </w:divBdr>
            </w:div>
            <w:div w:id="224218522">
              <w:marLeft w:val="0"/>
              <w:marRight w:val="0"/>
              <w:marTop w:val="0"/>
              <w:marBottom w:val="120"/>
              <w:divBdr>
                <w:top w:val="none" w:sz="0" w:space="0" w:color="auto"/>
                <w:left w:val="none" w:sz="0" w:space="0" w:color="auto"/>
                <w:bottom w:val="none" w:sz="0" w:space="0" w:color="auto"/>
                <w:right w:val="none" w:sz="0" w:space="0" w:color="auto"/>
              </w:divBdr>
            </w:div>
            <w:div w:id="582957632">
              <w:marLeft w:val="0"/>
              <w:marRight w:val="0"/>
              <w:marTop w:val="0"/>
              <w:marBottom w:val="120"/>
              <w:divBdr>
                <w:top w:val="none" w:sz="0" w:space="0" w:color="auto"/>
                <w:left w:val="none" w:sz="0" w:space="0" w:color="auto"/>
                <w:bottom w:val="none" w:sz="0" w:space="0" w:color="auto"/>
                <w:right w:val="none" w:sz="0" w:space="0" w:color="auto"/>
              </w:divBdr>
            </w:div>
            <w:div w:id="1081101090">
              <w:marLeft w:val="0"/>
              <w:marRight w:val="0"/>
              <w:marTop w:val="0"/>
              <w:marBottom w:val="120"/>
              <w:divBdr>
                <w:top w:val="none" w:sz="0" w:space="0" w:color="auto"/>
                <w:left w:val="none" w:sz="0" w:space="0" w:color="auto"/>
                <w:bottom w:val="none" w:sz="0" w:space="0" w:color="auto"/>
                <w:right w:val="none" w:sz="0" w:space="0" w:color="auto"/>
              </w:divBdr>
            </w:div>
            <w:div w:id="1822624418">
              <w:marLeft w:val="0"/>
              <w:marRight w:val="0"/>
              <w:marTop w:val="0"/>
              <w:marBottom w:val="120"/>
              <w:divBdr>
                <w:top w:val="none" w:sz="0" w:space="0" w:color="auto"/>
                <w:left w:val="none" w:sz="0" w:space="0" w:color="auto"/>
                <w:bottom w:val="none" w:sz="0" w:space="0" w:color="auto"/>
                <w:right w:val="none" w:sz="0" w:space="0" w:color="auto"/>
              </w:divBdr>
            </w:div>
            <w:div w:id="2062361466">
              <w:marLeft w:val="0"/>
              <w:marRight w:val="0"/>
              <w:marTop w:val="0"/>
              <w:marBottom w:val="120"/>
              <w:divBdr>
                <w:top w:val="none" w:sz="0" w:space="0" w:color="auto"/>
                <w:left w:val="none" w:sz="0" w:space="0" w:color="auto"/>
                <w:bottom w:val="none" w:sz="0" w:space="0" w:color="auto"/>
                <w:right w:val="none" w:sz="0" w:space="0" w:color="auto"/>
              </w:divBdr>
            </w:div>
            <w:div w:id="561986257">
              <w:marLeft w:val="0"/>
              <w:marRight w:val="0"/>
              <w:marTop w:val="0"/>
              <w:marBottom w:val="120"/>
              <w:divBdr>
                <w:top w:val="none" w:sz="0" w:space="0" w:color="auto"/>
                <w:left w:val="none" w:sz="0" w:space="0" w:color="auto"/>
                <w:bottom w:val="none" w:sz="0" w:space="0" w:color="auto"/>
                <w:right w:val="none" w:sz="0" w:space="0" w:color="auto"/>
              </w:divBdr>
            </w:div>
            <w:div w:id="111098593">
              <w:marLeft w:val="0"/>
              <w:marRight w:val="0"/>
              <w:marTop w:val="0"/>
              <w:marBottom w:val="120"/>
              <w:divBdr>
                <w:top w:val="none" w:sz="0" w:space="0" w:color="auto"/>
                <w:left w:val="none" w:sz="0" w:space="0" w:color="auto"/>
                <w:bottom w:val="none" w:sz="0" w:space="0" w:color="auto"/>
                <w:right w:val="none" w:sz="0" w:space="0" w:color="auto"/>
              </w:divBdr>
            </w:div>
            <w:div w:id="1843623322">
              <w:marLeft w:val="0"/>
              <w:marRight w:val="0"/>
              <w:marTop w:val="0"/>
              <w:marBottom w:val="120"/>
              <w:divBdr>
                <w:top w:val="none" w:sz="0" w:space="0" w:color="auto"/>
                <w:left w:val="none" w:sz="0" w:space="0" w:color="auto"/>
                <w:bottom w:val="none" w:sz="0" w:space="0" w:color="auto"/>
                <w:right w:val="none" w:sz="0" w:space="0" w:color="auto"/>
              </w:divBdr>
            </w:div>
            <w:div w:id="1140802676">
              <w:marLeft w:val="0"/>
              <w:marRight w:val="0"/>
              <w:marTop w:val="0"/>
              <w:marBottom w:val="120"/>
              <w:divBdr>
                <w:top w:val="none" w:sz="0" w:space="0" w:color="auto"/>
                <w:left w:val="none" w:sz="0" w:space="0" w:color="auto"/>
                <w:bottom w:val="none" w:sz="0" w:space="0" w:color="auto"/>
                <w:right w:val="none" w:sz="0" w:space="0" w:color="auto"/>
              </w:divBdr>
            </w:div>
            <w:div w:id="997658682">
              <w:marLeft w:val="0"/>
              <w:marRight w:val="0"/>
              <w:marTop w:val="0"/>
              <w:marBottom w:val="120"/>
              <w:divBdr>
                <w:top w:val="none" w:sz="0" w:space="0" w:color="auto"/>
                <w:left w:val="none" w:sz="0" w:space="0" w:color="auto"/>
                <w:bottom w:val="none" w:sz="0" w:space="0" w:color="auto"/>
                <w:right w:val="none" w:sz="0" w:space="0" w:color="auto"/>
              </w:divBdr>
            </w:div>
            <w:div w:id="2083869903">
              <w:marLeft w:val="0"/>
              <w:marRight w:val="0"/>
              <w:marTop w:val="0"/>
              <w:marBottom w:val="120"/>
              <w:divBdr>
                <w:top w:val="none" w:sz="0" w:space="0" w:color="auto"/>
                <w:left w:val="none" w:sz="0" w:space="0" w:color="auto"/>
                <w:bottom w:val="none" w:sz="0" w:space="0" w:color="auto"/>
                <w:right w:val="none" w:sz="0" w:space="0" w:color="auto"/>
              </w:divBdr>
            </w:div>
            <w:div w:id="703091798">
              <w:marLeft w:val="0"/>
              <w:marRight w:val="0"/>
              <w:marTop w:val="0"/>
              <w:marBottom w:val="120"/>
              <w:divBdr>
                <w:top w:val="none" w:sz="0" w:space="0" w:color="auto"/>
                <w:left w:val="none" w:sz="0" w:space="0" w:color="auto"/>
                <w:bottom w:val="none" w:sz="0" w:space="0" w:color="auto"/>
                <w:right w:val="none" w:sz="0" w:space="0" w:color="auto"/>
              </w:divBdr>
            </w:div>
            <w:div w:id="136067082">
              <w:marLeft w:val="0"/>
              <w:marRight w:val="0"/>
              <w:marTop w:val="0"/>
              <w:marBottom w:val="120"/>
              <w:divBdr>
                <w:top w:val="none" w:sz="0" w:space="0" w:color="auto"/>
                <w:left w:val="none" w:sz="0" w:space="0" w:color="auto"/>
                <w:bottom w:val="none" w:sz="0" w:space="0" w:color="auto"/>
                <w:right w:val="none" w:sz="0" w:space="0" w:color="auto"/>
              </w:divBdr>
            </w:div>
            <w:div w:id="1749693431">
              <w:marLeft w:val="0"/>
              <w:marRight w:val="0"/>
              <w:marTop w:val="0"/>
              <w:marBottom w:val="120"/>
              <w:divBdr>
                <w:top w:val="none" w:sz="0" w:space="0" w:color="auto"/>
                <w:left w:val="none" w:sz="0" w:space="0" w:color="auto"/>
                <w:bottom w:val="none" w:sz="0" w:space="0" w:color="auto"/>
                <w:right w:val="none" w:sz="0" w:space="0" w:color="auto"/>
              </w:divBdr>
            </w:div>
            <w:div w:id="553740113">
              <w:marLeft w:val="0"/>
              <w:marRight w:val="0"/>
              <w:marTop w:val="0"/>
              <w:marBottom w:val="120"/>
              <w:divBdr>
                <w:top w:val="none" w:sz="0" w:space="0" w:color="auto"/>
                <w:left w:val="none" w:sz="0" w:space="0" w:color="auto"/>
                <w:bottom w:val="none" w:sz="0" w:space="0" w:color="auto"/>
                <w:right w:val="none" w:sz="0" w:space="0" w:color="auto"/>
              </w:divBdr>
            </w:div>
            <w:div w:id="962812611">
              <w:marLeft w:val="0"/>
              <w:marRight w:val="0"/>
              <w:marTop w:val="0"/>
              <w:marBottom w:val="120"/>
              <w:divBdr>
                <w:top w:val="none" w:sz="0" w:space="0" w:color="auto"/>
                <w:left w:val="none" w:sz="0" w:space="0" w:color="auto"/>
                <w:bottom w:val="none" w:sz="0" w:space="0" w:color="auto"/>
                <w:right w:val="none" w:sz="0" w:space="0" w:color="auto"/>
              </w:divBdr>
            </w:div>
            <w:div w:id="2092383044">
              <w:marLeft w:val="0"/>
              <w:marRight w:val="0"/>
              <w:marTop w:val="0"/>
              <w:marBottom w:val="120"/>
              <w:divBdr>
                <w:top w:val="none" w:sz="0" w:space="0" w:color="auto"/>
                <w:left w:val="none" w:sz="0" w:space="0" w:color="auto"/>
                <w:bottom w:val="none" w:sz="0" w:space="0" w:color="auto"/>
                <w:right w:val="none" w:sz="0" w:space="0" w:color="auto"/>
              </w:divBdr>
            </w:div>
            <w:div w:id="1267690190">
              <w:marLeft w:val="0"/>
              <w:marRight w:val="0"/>
              <w:marTop w:val="0"/>
              <w:marBottom w:val="120"/>
              <w:divBdr>
                <w:top w:val="none" w:sz="0" w:space="0" w:color="auto"/>
                <w:left w:val="none" w:sz="0" w:space="0" w:color="auto"/>
                <w:bottom w:val="none" w:sz="0" w:space="0" w:color="auto"/>
                <w:right w:val="none" w:sz="0" w:space="0" w:color="auto"/>
              </w:divBdr>
            </w:div>
            <w:div w:id="455559779">
              <w:marLeft w:val="0"/>
              <w:marRight w:val="0"/>
              <w:marTop w:val="0"/>
              <w:marBottom w:val="120"/>
              <w:divBdr>
                <w:top w:val="none" w:sz="0" w:space="0" w:color="auto"/>
                <w:left w:val="none" w:sz="0" w:space="0" w:color="auto"/>
                <w:bottom w:val="none" w:sz="0" w:space="0" w:color="auto"/>
                <w:right w:val="none" w:sz="0" w:space="0" w:color="auto"/>
              </w:divBdr>
            </w:div>
            <w:div w:id="1475835529">
              <w:marLeft w:val="0"/>
              <w:marRight w:val="0"/>
              <w:marTop w:val="0"/>
              <w:marBottom w:val="120"/>
              <w:divBdr>
                <w:top w:val="none" w:sz="0" w:space="0" w:color="auto"/>
                <w:left w:val="none" w:sz="0" w:space="0" w:color="auto"/>
                <w:bottom w:val="none" w:sz="0" w:space="0" w:color="auto"/>
                <w:right w:val="none" w:sz="0" w:space="0" w:color="auto"/>
              </w:divBdr>
            </w:div>
            <w:div w:id="604771149">
              <w:marLeft w:val="0"/>
              <w:marRight w:val="0"/>
              <w:marTop w:val="0"/>
              <w:marBottom w:val="120"/>
              <w:divBdr>
                <w:top w:val="none" w:sz="0" w:space="0" w:color="auto"/>
                <w:left w:val="none" w:sz="0" w:space="0" w:color="auto"/>
                <w:bottom w:val="none" w:sz="0" w:space="0" w:color="auto"/>
                <w:right w:val="none" w:sz="0" w:space="0" w:color="auto"/>
              </w:divBdr>
            </w:div>
            <w:div w:id="290404641">
              <w:marLeft w:val="0"/>
              <w:marRight w:val="0"/>
              <w:marTop w:val="0"/>
              <w:marBottom w:val="120"/>
              <w:divBdr>
                <w:top w:val="none" w:sz="0" w:space="0" w:color="auto"/>
                <w:left w:val="none" w:sz="0" w:space="0" w:color="auto"/>
                <w:bottom w:val="none" w:sz="0" w:space="0" w:color="auto"/>
                <w:right w:val="none" w:sz="0" w:space="0" w:color="auto"/>
              </w:divBdr>
            </w:div>
            <w:div w:id="1287733078">
              <w:marLeft w:val="0"/>
              <w:marRight w:val="0"/>
              <w:marTop w:val="0"/>
              <w:marBottom w:val="120"/>
              <w:divBdr>
                <w:top w:val="none" w:sz="0" w:space="0" w:color="auto"/>
                <w:left w:val="none" w:sz="0" w:space="0" w:color="auto"/>
                <w:bottom w:val="none" w:sz="0" w:space="0" w:color="auto"/>
                <w:right w:val="none" w:sz="0" w:space="0" w:color="auto"/>
              </w:divBdr>
            </w:div>
            <w:div w:id="1513373787">
              <w:marLeft w:val="0"/>
              <w:marRight w:val="0"/>
              <w:marTop w:val="0"/>
              <w:marBottom w:val="120"/>
              <w:divBdr>
                <w:top w:val="none" w:sz="0" w:space="0" w:color="auto"/>
                <w:left w:val="none" w:sz="0" w:space="0" w:color="auto"/>
                <w:bottom w:val="none" w:sz="0" w:space="0" w:color="auto"/>
                <w:right w:val="none" w:sz="0" w:space="0" w:color="auto"/>
              </w:divBdr>
            </w:div>
            <w:div w:id="33383303">
              <w:marLeft w:val="0"/>
              <w:marRight w:val="0"/>
              <w:marTop w:val="0"/>
              <w:marBottom w:val="120"/>
              <w:divBdr>
                <w:top w:val="none" w:sz="0" w:space="0" w:color="auto"/>
                <w:left w:val="none" w:sz="0" w:space="0" w:color="auto"/>
                <w:bottom w:val="none" w:sz="0" w:space="0" w:color="auto"/>
                <w:right w:val="none" w:sz="0" w:space="0" w:color="auto"/>
              </w:divBdr>
            </w:div>
            <w:div w:id="1295985306">
              <w:marLeft w:val="0"/>
              <w:marRight w:val="0"/>
              <w:marTop w:val="0"/>
              <w:marBottom w:val="120"/>
              <w:divBdr>
                <w:top w:val="none" w:sz="0" w:space="0" w:color="auto"/>
                <w:left w:val="none" w:sz="0" w:space="0" w:color="auto"/>
                <w:bottom w:val="none" w:sz="0" w:space="0" w:color="auto"/>
                <w:right w:val="none" w:sz="0" w:space="0" w:color="auto"/>
              </w:divBdr>
            </w:div>
            <w:div w:id="1779451418">
              <w:marLeft w:val="0"/>
              <w:marRight w:val="0"/>
              <w:marTop w:val="0"/>
              <w:marBottom w:val="120"/>
              <w:divBdr>
                <w:top w:val="none" w:sz="0" w:space="0" w:color="auto"/>
                <w:left w:val="none" w:sz="0" w:space="0" w:color="auto"/>
                <w:bottom w:val="none" w:sz="0" w:space="0" w:color="auto"/>
                <w:right w:val="none" w:sz="0" w:space="0" w:color="auto"/>
              </w:divBdr>
            </w:div>
            <w:div w:id="2001421459">
              <w:marLeft w:val="0"/>
              <w:marRight w:val="0"/>
              <w:marTop w:val="0"/>
              <w:marBottom w:val="120"/>
              <w:divBdr>
                <w:top w:val="none" w:sz="0" w:space="0" w:color="auto"/>
                <w:left w:val="none" w:sz="0" w:space="0" w:color="auto"/>
                <w:bottom w:val="none" w:sz="0" w:space="0" w:color="auto"/>
                <w:right w:val="none" w:sz="0" w:space="0" w:color="auto"/>
              </w:divBdr>
            </w:div>
            <w:div w:id="1581909538">
              <w:marLeft w:val="0"/>
              <w:marRight w:val="0"/>
              <w:marTop w:val="0"/>
              <w:marBottom w:val="120"/>
              <w:divBdr>
                <w:top w:val="none" w:sz="0" w:space="0" w:color="auto"/>
                <w:left w:val="none" w:sz="0" w:space="0" w:color="auto"/>
                <w:bottom w:val="none" w:sz="0" w:space="0" w:color="auto"/>
                <w:right w:val="none" w:sz="0" w:space="0" w:color="auto"/>
              </w:divBdr>
            </w:div>
            <w:div w:id="1433161464">
              <w:marLeft w:val="0"/>
              <w:marRight w:val="0"/>
              <w:marTop w:val="0"/>
              <w:marBottom w:val="120"/>
              <w:divBdr>
                <w:top w:val="none" w:sz="0" w:space="0" w:color="auto"/>
                <w:left w:val="none" w:sz="0" w:space="0" w:color="auto"/>
                <w:bottom w:val="none" w:sz="0" w:space="0" w:color="auto"/>
                <w:right w:val="none" w:sz="0" w:space="0" w:color="auto"/>
              </w:divBdr>
            </w:div>
            <w:div w:id="381444334">
              <w:marLeft w:val="0"/>
              <w:marRight w:val="0"/>
              <w:marTop w:val="0"/>
              <w:marBottom w:val="120"/>
              <w:divBdr>
                <w:top w:val="none" w:sz="0" w:space="0" w:color="auto"/>
                <w:left w:val="none" w:sz="0" w:space="0" w:color="auto"/>
                <w:bottom w:val="none" w:sz="0" w:space="0" w:color="auto"/>
                <w:right w:val="none" w:sz="0" w:space="0" w:color="auto"/>
              </w:divBdr>
            </w:div>
            <w:div w:id="642586481">
              <w:marLeft w:val="0"/>
              <w:marRight w:val="0"/>
              <w:marTop w:val="0"/>
              <w:marBottom w:val="120"/>
              <w:divBdr>
                <w:top w:val="none" w:sz="0" w:space="0" w:color="auto"/>
                <w:left w:val="none" w:sz="0" w:space="0" w:color="auto"/>
                <w:bottom w:val="none" w:sz="0" w:space="0" w:color="auto"/>
                <w:right w:val="none" w:sz="0" w:space="0" w:color="auto"/>
              </w:divBdr>
            </w:div>
            <w:div w:id="1743333036">
              <w:marLeft w:val="0"/>
              <w:marRight w:val="0"/>
              <w:marTop w:val="0"/>
              <w:marBottom w:val="120"/>
              <w:divBdr>
                <w:top w:val="none" w:sz="0" w:space="0" w:color="auto"/>
                <w:left w:val="none" w:sz="0" w:space="0" w:color="auto"/>
                <w:bottom w:val="none" w:sz="0" w:space="0" w:color="auto"/>
                <w:right w:val="none" w:sz="0" w:space="0" w:color="auto"/>
              </w:divBdr>
            </w:div>
            <w:div w:id="600451378">
              <w:marLeft w:val="0"/>
              <w:marRight w:val="0"/>
              <w:marTop w:val="0"/>
              <w:marBottom w:val="120"/>
              <w:divBdr>
                <w:top w:val="none" w:sz="0" w:space="0" w:color="auto"/>
                <w:left w:val="none" w:sz="0" w:space="0" w:color="auto"/>
                <w:bottom w:val="none" w:sz="0" w:space="0" w:color="auto"/>
                <w:right w:val="none" w:sz="0" w:space="0" w:color="auto"/>
              </w:divBdr>
            </w:div>
            <w:div w:id="54814947">
              <w:marLeft w:val="0"/>
              <w:marRight w:val="0"/>
              <w:marTop w:val="0"/>
              <w:marBottom w:val="120"/>
              <w:divBdr>
                <w:top w:val="none" w:sz="0" w:space="0" w:color="auto"/>
                <w:left w:val="none" w:sz="0" w:space="0" w:color="auto"/>
                <w:bottom w:val="none" w:sz="0" w:space="0" w:color="auto"/>
                <w:right w:val="none" w:sz="0" w:space="0" w:color="auto"/>
              </w:divBdr>
            </w:div>
            <w:div w:id="2138834627">
              <w:marLeft w:val="0"/>
              <w:marRight w:val="0"/>
              <w:marTop w:val="0"/>
              <w:marBottom w:val="120"/>
              <w:divBdr>
                <w:top w:val="none" w:sz="0" w:space="0" w:color="auto"/>
                <w:left w:val="none" w:sz="0" w:space="0" w:color="auto"/>
                <w:bottom w:val="none" w:sz="0" w:space="0" w:color="auto"/>
                <w:right w:val="none" w:sz="0" w:space="0" w:color="auto"/>
              </w:divBdr>
            </w:div>
            <w:div w:id="1806584466">
              <w:marLeft w:val="0"/>
              <w:marRight w:val="0"/>
              <w:marTop w:val="0"/>
              <w:marBottom w:val="120"/>
              <w:divBdr>
                <w:top w:val="none" w:sz="0" w:space="0" w:color="auto"/>
                <w:left w:val="none" w:sz="0" w:space="0" w:color="auto"/>
                <w:bottom w:val="none" w:sz="0" w:space="0" w:color="auto"/>
                <w:right w:val="none" w:sz="0" w:space="0" w:color="auto"/>
              </w:divBdr>
            </w:div>
            <w:div w:id="1812675319">
              <w:marLeft w:val="0"/>
              <w:marRight w:val="0"/>
              <w:marTop w:val="0"/>
              <w:marBottom w:val="120"/>
              <w:divBdr>
                <w:top w:val="none" w:sz="0" w:space="0" w:color="auto"/>
                <w:left w:val="none" w:sz="0" w:space="0" w:color="auto"/>
                <w:bottom w:val="none" w:sz="0" w:space="0" w:color="auto"/>
                <w:right w:val="none" w:sz="0" w:space="0" w:color="auto"/>
              </w:divBdr>
            </w:div>
            <w:div w:id="542838048">
              <w:marLeft w:val="0"/>
              <w:marRight w:val="0"/>
              <w:marTop w:val="0"/>
              <w:marBottom w:val="120"/>
              <w:divBdr>
                <w:top w:val="none" w:sz="0" w:space="0" w:color="auto"/>
                <w:left w:val="none" w:sz="0" w:space="0" w:color="auto"/>
                <w:bottom w:val="none" w:sz="0" w:space="0" w:color="auto"/>
                <w:right w:val="none" w:sz="0" w:space="0" w:color="auto"/>
              </w:divBdr>
            </w:div>
            <w:div w:id="407775579">
              <w:marLeft w:val="0"/>
              <w:marRight w:val="0"/>
              <w:marTop w:val="0"/>
              <w:marBottom w:val="120"/>
              <w:divBdr>
                <w:top w:val="none" w:sz="0" w:space="0" w:color="auto"/>
                <w:left w:val="none" w:sz="0" w:space="0" w:color="auto"/>
                <w:bottom w:val="none" w:sz="0" w:space="0" w:color="auto"/>
                <w:right w:val="none" w:sz="0" w:space="0" w:color="auto"/>
              </w:divBdr>
            </w:div>
            <w:div w:id="658385061">
              <w:marLeft w:val="0"/>
              <w:marRight w:val="0"/>
              <w:marTop w:val="0"/>
              <w:marBottom w:val="120"/>
              <w:divBdr>
                <w:top w:val="none" w:sz="0" w:space="0" w:color="auto"/>
                <w:left w:val="none" w:sz="0" w:space="0" w:color="auto"/>
                <w:bottom w:val="none" w:sz="0" w:space="0" w:color="auto"/>
                <w:right w:val="none" w:sz="0" w:space="0" w:color="auto"/>
              </w:divBdr>
            </w:div>
            <w:div w:id="1191332729">
              <w:marLeft w:val="0"/>
              <w:marRight w:val="0"/>
              <w:marTop w:val="0"/>
              <w:marBottom w:val="120"/>
              <w:divBdr>
                <w:top w:val="none" w:sz="0" w:space="0" w:color="auto"/>
                <w:left w:val="none" w:sz="0" w:space="0" w:color="auto"/>
                <w:bottom w:val="none" w:sz="0" w:space="0" w:color="auto"/>
                <w:right w:val="none" w:sz="0" w:space="0" w:color="auto"/>
              </w:divBdr>
            </w:div>
            <w:div w:id="31737984">
              <w:marLeft w:val="0"/>
              <w:marRight w:val="0"/>
              <w:marTop w:val="0"/>
              <w:marBottom w:val="120"/>
              <w:divBdr>
                <w:top w:val="none" w:sz="0" w:space="0" w:color="auto"/>
                <w:left w:val="none" w:sz="0" w:space="0" w:color="auto"/>
                <w:bottom w:val="none" w:sz="0" w:space="0" w:color="auto"/>
                <w:right w:val="none" w:sz="0" w:space="0" w:color="auto"/>
              </w:divBdr>
            </w:div>
            <w:div w:id="1950893266">
              <w:marLeft w:val="0"/>
              <w:marRight w:val="0"/>
              <w:marTop w:val="0"/>
              <w:marBottom w:val="120"/>
              <w:divBdr>
                <w:top w:val="none" w:sz="0" w:space="0" w:color="auto"/>
                <w:left w:val="none" w:sz="0" w:space="0" w:color="auto"/>
                <w:bottom w:val="none" w:sz="0" w:space="0" w:color="auto"/>
                <w:right w:val="none" w:sz="0" w:space="0" w:color="auto"/>
              </w:divBdr>
            </w:div>
            <w:div w:id="1068113883">
              <w:marLeft w:val="0"/>
              <w:marRight w:val="0"/>
              <w:marTop w:val="0"/>
              <w:marBottom w:val="120"/>
              <w:divBdr>
                <w:top w:val="none" w:sz="0" w:space="0" w:color="auto"/>
                <w:left w:val="none" w:sz="0" w:space="0" w:color="auto"/>
                <w:bottom w:val="none" w:sz="0" w:space="0" w:color="auto"/>
                <w:right w:val="none" w:sz="0" w:space="0" w:color="auto"/>
              </w:divBdr>
            </w:div>
            <w:div w:id="407458373">
              <w:marLeft w:val="0"/>
              <w:marRight w:val="0"/>
              <w:marTop w:val="0"/>
              <w:marBottom w:val="120"/>
              <w:divBdr>
                <w:top w:val="none" w:sz="0" w:space="0" w:color="auto"/>
                <w:left w:val="none" w:sz="0" w:space="0" w:color="auto"/>
                <w:bottom w:val="none" w:sz="0" w:space="0" w:color="auto"/>
                <w:right w:val="none" w:sz="0" w:space="0" w:color="auto"/>
              </w:divBdr>
            </w:div>
            <w:div w:id="1407262742">
              <w:marLeft w:val="0"/>
              <w:marRight w:val="0"/>
              <w:marTop w:val="0"/>
              <w:marBottom w:val="120"/>
              <w:divBdr>
                <w:top w:val="none" w:sz="0" w:space="0" w:color="auto"/>
                <w:left w:val="none" w:sz="0" w:space="0" w:color="auto"/>
                <w:bottom w:val="none" w:sz="0" w:space="0" w:color="auto"/>
                <w:right w:val="none" w:sz="0" w:space="0" w:color="auto"/>
              </w:divBdr>
            </w:div>
            <w:div w:id="221334185">
              <w:marLeft w:val="0"/>
              <w:marRight w:val="0"/>
              <w:marTop w:val="0"/>
              <w:marBottom w:val="120"/>
              <w:divBdr>
                <w:top w:val="none" w:sz="0" w:space="0" w:color="auto"/>
                <w:left w:val="none" w:sz="0" w:space="0" w:color="auto"/>
                <w:bottom w:val="none" w:sz="0" w:space="0" w:color="auto"/>
                <w:right w:val="none" w:sz="0" w:space="0" w:color="auto"/>
              </w:divBdr>
            </w:div>
            <w:div w:id="1195267595">
              <w:marLeft w:val="0"/>
              <w:marRight w:val="0"/>
              <w:marTop w:val="0"/>
              <w:marBottom w:val="120"/>
              <w:divBdr>
                <w:top w:val="none" w:sz="0" w:space="0" w:color="auto"/>
                <w:left w:val="none" w:sz="0" w:space="0" w:color="auto"/>
                <w:bottom w:val="none" w:sz="0" w:space="0" w:color="auto"/>
                <w:right w:val="none" w:sz="0" w:space="0" w:color="auto"/>
              </w:divBdr>
            </w:div>
            <w:div w:id="223418377">
              <w:marLeft w:val="0"/>
              <w:marRight w:val="0"/>
              <w:marTop w:val="0"/>
              <w:marBottom w:val="120"/>
              <w:divBdr>
                <w:top w:val="none" w:sz="0" w:space="0" w:color="auto"/>
                <w:left w:val="none" w:sz="0" w:space="0" w:color="auto"/>
                <w:bottom w:val="none" w:sz="0" w:space="0" w:color="auto"/>
                <w:right w:val="none" w:sz="0" w:space="0" w:color="auto"/>
              </w:divBdr>
            </w:div>
            <w:div w:id="638731702">
              <w:marLeft w:val="0"/>
              <w:marRight w:val="0"/>
              <w:marTop w:val="0"/>
              <w:marBottom w:val="120"/>
              <w:divBdr>
                <w:top w:val="none" w:sz="0" w:space="0" w:color="auto"/>
                <w:left w:val="none" w:sz="0" w:space="0" w:color="auto"/>
                <w:bottom w:val="none" w:sz="0" w:space="0" w:color="auto"/>
                <w:right w:val="none" w:sz="0" w:space="0" w:color="auto"/>
              </w:divBdr>
            </w:div>
            <w:div w:id="1793286428">
              <w:marLeft w:val="0"/>
              <w:marRight w:val="0"/>
              <w:marTop w:val="0"/>
              <w:marBottom w:val="120"/>
              <w:divBdr>
                <w:top w:val="none" w:sz="0" w:space="0" w:color="auto"/>
                <w:left w:val="none" w:sz="0" w:space="0" w:color="auto"/>
                <w:bottom w:val="none" w:sz="0" w:space="0" w:color="auto"/>
                <w:right w:val="none" w:sz="0" w:space="0" w:color="auto"/>
              </w:divBdr>
            </w:div>
            <w:div w:id="336887440">
              <w:marLeft w:val="0"/>
              <w:marRight w:val="0"/>
              <w:marTop w:val="0"/>
              <w:marBottom w:val="120"/>
              <w:divBdr>
                <w:top w:val="none" w:sz="0" w:space="0" w:color="auto"/>
                <w:left w:val="none" w:sz="0" w:space="0" w:color="auto"/>
                <w:bottom w:val="none" w:sz="0" w:space="0" w:color="auto"/>
                <w:right w:val="none" w:sz="0" w:space="0" w:color="auto"/>
              </w:divBdr>
            </w:div>
            <w:div w:id="127819757">
              <w:marLeft w:val="0"/>
              <w:marRight w:val="0"/>
              <w:marTop w:val="0"/>
              <w:marBottom w:val="120"/>
              <w:divBdr>
                <w:top w:val="none" w:sz="0" w:space="0" w:color="auto"/>
                <w:left w:val="none" w:sz="0" w:space="0" w:color="auto"/>
                <w:bottom w:val="none" w:sz="0" w:space="0" w:color="auto"/>
                <w:right w:val="none" w:sz="0" w:space="0" w:color="auto"/>
              </w:divBdr>
            </w:div>
            <w:div w:id="718165146">
              <w:marLeft w:val="0"/>
              <w:marRight w:val="0"/>
              <w:marTop w:val="0"/>
              <w:marBottom w:val="120"/>
              <w:divBdr>
                <w:top w:val="none" w:sz="0" w:space="0" w:color="auto"/>
                <w:left w:val="none" w:sz="0" w:space="0" w:color="auto"/>
                <w:bottom w:val="none" w:sz="0" w:space="0" w:color="auto"/>
                <w:right w:val="none" w:sz="0" w:space="0" w:color="auto"/>
              </w:divBdr>
            </w:div>
            <w:div w:id="1222522853">
              <w:marLeft w:val="0"/>
              <w:marRight w:val="0"/>
              <w:marTop w:val="0"/>
              <w:marBottom w:val="120"/>
              <w:divBdr>
                <w:top w:val="none" w:sz="0" w:space="0" w:color="auto"/>
                <w:left w:val="none" w:sz="0" w:space="0" w:color="auto"/>
                <w:bottom w:val="none" w:sz="0" w:space="0" w:color="auto"/>
                <w:right w:val="none" w:sz="0" w:space="0" w:color="auto"/>
              </w:divBdr>
            </w:div>
            <w:div w:id="1874732640">
              <w:marLeft w:val="0"/>
              <w:marRight w:val="0"/>
              <w:marTop w:val="0"/>
              <w:marBottom w:val="120"/>
              <w:divBdr>
                <w:top w:val="none" w:sz="0" w:space="0" w:color="auto"/>
                <w:left w:val="none" w:sz="0" w:space="0" w:color="auto"/>
                <w:bottom w:val="none" w:sz="0" w:space="0" w:color="auto"/>
                <w:right w:val="none" w:sz="0" w:space="0" w:color="auto"/>
              </w:divBdr>
            </w:div>
            <w:div w:id="871066180">
              <w:marLeft w:val="0"/>
              <w:marRight w:val="0"/>
              <w:marTop w:val="0"/>
              <w:marBottom w:val="120"/>
              <w:divBdr>
                <w:top w:val="none" w:sz="0" w:space="0" w:color="auto"/>
                <w:left w:val="none" w:sz="0" w:space="0" w:color="auto"/>
                <w:bottom w:val="none" w:sz="0" w:space="0" w:color="auto"/>
                <w:right w:val="none" w:sz="0" w:space="0" w:color="auto"/>
              </w:divBdr>
            </w:div>
            <w:div w:id="1833598424">
              <w:marLeft w:val="0"/>
              <w:marRight w:val="0"/>
              <w:marTop w:val="0"/>
              <w:marBottom w:val="120"/>
              <w:divBdr>
                <w:top w:val="none" w:sz="0" w:space="0" w:color="auto"/>
                <w:left w:val="none" w:sz="0" w:space="0" w:color="auto"/>
                <w:bottom w:val="none" w:sz="0" w:space="0" w:color="auto"/>
                <w:right w:val="none" w:sz="0" w:space="0" w:color="auto"/>
              </w:divBdr>
            </w:div>
            <w:div w:id="1725055939">
              <w:marLeft w:val="0"/>
              <w:marRight w:val="0"/>
              <w:marTop w:val="0"/>
              <w:marBottom w:val="120"/>
              <w:divBdr>
                <w:top w:val="none" w:sz="0" w:space="0" w:color="auto"/>
                <w:left w:val="none" w:sz="0" w:space="0" w:color="auto"/>
                <w:bottom w:val="none" w:sz="0" w:space="0" w:color="auto"/>
                <w:right w:val="none" w:sz="0" w:space="0" w:color="auto"/>
              </w:divBdr>
            </w:div>
            <w:div w:id="876353673">
              <w:marLeft w:val="0"/>
              <w:marRight w:val="0"/>
              <w:marTop w:val="0"/>
              <w:marBottom w:val="120"/>
              <w:divBdr>
                <w:top w:val="none" w:sz="0" w:space="0" w:color="auto"/>
                <w:left w:val="none" w:sz="0" w:space="0" w:color="auto"/>
                <w:bottom w:val="none" w:sz="0" w:space="0" w:color="auto"/>
                <w:right w:val="none" w:sz="0" w:space="0" w:color="auto"/>
              </w:divBdr>
            </w:div>
            <w:div w:id="1144860075">
              <w:marLeft w:val="0"/>
              <w:marRight w:val="0"/>
              <w:marTop w:val="0"/>
              <w:marBottom w:val="120"/>
              <w:divBdr>
                <w:top w:val="none" w:sz="0" w:space="0" w:color="auto"/>
                <w:left w:val="none" w:sz="0" w:space="0" w:color="auto"/>
                <w:bottom w:val="none" w:sz="0" w:space="0" w:color="auto"/>
                <w:right w:val="none" w:sz="0" w:space="0" w:color="auto"/>
              </w:divBdr>
            </w:div>
            <w:div w:id="555092700">
              <w:marLeft w:val="0"/>
              <w:marRight w:val="0"/>
              <w:marTop w:val="0"/>
              <w:marBottom w:val="120"/>
              <w:divBdr>
                <w:top w:val="none" w:sz="0" w:space="0" w:color="auto"/>
                <w:left w:val="none" w:sz="0" w:space="0" w:color="auto"/>
                <w:bottom w:val="none" w:sz="0" w:space="0" w:color="auto"/>
                <w:right w:val="none" w:sz="0" w:space="0" w:color="auto"/>
              </w:divBdr>
            </w:div>
            <w:div w:id="792792670">
              <w:marLeft w:val="0"/>
              <w:marRight w:val="0"/>
              <w:marTop w:val="0"/>
              <w:marBottom w:val="120"/>
              <w:divBdr>
                <w:top w:val="none" w:sz="0" w:space="0" w:color="auto"/>
                <w:left w:val="none" w:sz="0" w:space="0" w:color="auto"/>
                <w:bottom w:val="none" w:sz="0" w:space="0" w:color="auto"/>
                <w:right w:val="none" w:sz="0" w:space="0" w:color="auto"/>
              </w:divBdr>
            </w:div>
            <w:div w:id="1055279186">
              <w:marLeft w:val="0"/>
              <w:marRight w:val="0"/>
              <w:marTop w:val="0"/>
              <w:marBottom w:val="120"/>
              <w:divBdr>
                <w:top w:val="none" w:sz="0" w:space="0" w:color="auto"/>
                <w:left w:val="none" w:sz="0" w:space="0" w:color="auto"/>
                <w:bottom w:val="none" w:sz="0" w:space="0" w:color="auto"/>
                <w:right w:val="none" w:sz="0" w:space="0" w:color="auto"/>
              </w:divBdr>
            </w:div>
            <w:div w:id="106778796">
              <w:marLeft w:val="0"/>
              <w:marRight w:val="0"/>
              <w:marTop w:val="0"/>
              <w:marBottom w:val="120"/>
              <w:divBdr>
                <w:top w:val="none" w:sz="0" w:space="0" w:color="auto"/>
                <w:left w:val="none" w:sz="0" w:space="0" w:color="auto"/>
                <w:bottom w:val="none" w:sz="0" w:space="0" w:color="auto"/>
                <w:right w:val="none" w:sz="0" w:space="0" w:color="auto"/>
              </w:divBdr>
            </w:div>
            <w:div w:id="153499968">
              <w:marLeft w:val="0"/>
              <w:marRight w:val="0"/>
              <w:marTop w:val="0"/>
              <w:marBottom w:val="120"/>
              <w:divBdr>
                <w:top w:val="none" w:sz="0" w:space="0" w:color="auto"/>
                <w:left w:val="none" w:sz="0" w:space="0" w:color="auto"/>
                <w:bottom w:val="none" w:sz="0" w:space="0" w:color="auto"/>
                <w:right w:val="none" w:sz="0" w:space="0" w:color="auto"/>
              </w:divBdr>
            </w:div>
            <w:div w:id="1941376384">
              <w:marLeft w:val="0"/>
              <w:marRight w:val="0"/>
              <w:marTop w:val="0"/>
              <w:marBottom w:val="120"/>
              <w:divBdr>
                <w:top w:val="none" w:sz="0" w:space="0" w:color="auto"/>
                <w:left w:val="none" w:sz="0" w:space="0" w:color="auto"/>
                <w:bottom w:val="none" w:sz="0" w:space="0" w:color="auto"/>
                <w:right w:val="none" w:sz="0" w:space="0" w:color="auto"/>
              </w:divBdr>
            </w:div>
            <w:div w:id="1830946606">
              <w:marLeft w:val="0"/>
              <w:marRight w:val="0"/>
              <w:marTop w:val="0"/>
              <w:marBottom w:val="120"/>
              <w:divBdr>
                <w:top w:val="none" w:sz="0" w:space="0" w:color="auto"/>
                <w:left w:val="none" w:sz="0" w:space="0" w:color="auto"/>
                <w:bottom w:val="none" w:sz="0" w:space="0" w:color="auto"/>
                <w:right w:val="none" w:sz="0" w:space="0" w:color="auto"/>
              </w:divBdr>
            </w:div>
            <w:div w:id="1749304135">
              <w:marLeft w:val="0"/>
              <w:marRight w:val="0"/>
              <w:marTop w:val="0"/>
              <w:marBottom w:val="120"/>
              <w:divBdr>
                <w:top w:val="none" w:sz="0" w:space="0" w:color="auto"/>
                <w:left w:val="none" w:sz="0" w:space="0" w:color="auto"/>
                <w:bottom w:val="none" w:sz="0" w:space="0" w:color="auto"/>
                <w:right w:val="none" w:sz="0" w:space="0" w:color="auto"/>
              </w:divBdr>
            </w:div>
            <w:div w:id="198780839">
              <w:marLeft w:val="0"/>
              <w:marRight w:val="0"/>
              <w:marTop w:val="0"/>
              <w:marBottom w:val="120"/>
              <w:divBdr>
                <w:top w:val="none" w:sz="0" w:space="0" w:color="auto"/>
                <w:left w:val="none" w:sz="0" w:space="0" w:color="auto"/>
                <w:bottom w:val="none" w:sz="0" w:space="0" w:color="auto"/>
                <w:right w:val="none" w:sz="0" w:space="0" w:color="auto"/>
              </w:divBdr>
            </w:div>
            <w:div w:id="1152143028">
              <w:marLeft w:val="0"/>
              <w:marRight w:val="0"/>
              <w:marTop w:val="0"/>
              <w:marBottom w:val="120"/>
              <w:divBdr>
                <w:top w:val="none" w:sz="0" w:space="0" w:color="auto"/>
                <w:left w:val="none" w:sz="0" w:space="0" w:color="auto"/>
                <w:bottom w:val="none" w:sz="0" w:space="0" w:color="auto"/>
                <w:right w:val="none" w:sz="0" w:space="0" w:color="auto"/>
              </w:divBdr>
            </w:div>
            <w:div w:id="1844396993">
              <w:marLeft w:val="0"/>
              <w:marRight w:val="0"/>
              <w:marTop w:val="0"/>
              <w:marBottom w:val="120"/>
              <w:divBdr>
                <w:top w:val="none" w:sz="0" w:space="0" w:color="auto"/>
                <w:left w:val="none" w:sz="0" w:space="0" w:color="auto"/>
                <w:bottom w:val="none" w:sz="0" w:space="0" w:color="auto"/>
                <w:right w:val="none" w:sz="0" w:space="0" w:color="auto"/>
              </w:divBdr>
            </w:div>
            <w:div w:id="1575969036">
              <w:marLeft w:val="0"/>
              <w:marRight w:val="0"/>
              <w:marTop w:val="0"/>
              <w:marBottom w:val="120"/>
              <w:divBdr>
                <w:top w:val="none" w:sz="0" w:space="0" w:color="auto"/>
                <w:left w:val="none" w:sz="0" w:space="0" w:color="auto"/>
                <w:bottom w:val="none" w:sz="0" w:space="0" w:color="auto"/>
                <w:right w:val="none" w:sz="0" w:space="0" w:color="auto"/>
              </w:divBdr>
            </w:div>
            <w:div w:id="906379618">
              <w:marLeft w:val="0"/>
              <w:marRight w:val="0"/>
              <w:marTop w:val="0"/>
              <w:marBottom w:val="120"/>
              <w:divBdr>
                <w:top w:val="none" w:sz="0" w:space="0" w:color="auto"/>
                <w:left w:val="none" w:sz="0" w:space="0" w:color="auto"/>
                <w:bottom w:val="none" w:sz="0" w:space="0" w:color="auto"/>
                <w:right w:val="none" w:sz="0" w:space="0" w:color="auto"/>
              </w:divBdr>
            </w:div>
            <w:div w:id="194067291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nins.2022.834816" TargetMode="External"/><Relationship Id="rId13" Type="http://schemas.openxmlformats.org/officeDocument/2006/relationships/image" Target="media/image2.jpeg"/><Relationship Id="rId18" Type="http://schemas.openxmlformats.org/officeDocument/2006/relationships/hyperlink" Target="https://www.frontiersin.org/files/Articles/834816/fnins-16-834816-HTML/image_m/fnins-16-834816-g005.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www.frontiersin.org/files/Articles/834816/fnins-16-834816-HTML/image_m/fnins-16-834816-g002.jp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frontiersin.org/files/Articles/834816/fnins-16-834816-HTML/image_m/fnins-16-834816-g004.jpg" TargetMode="External"/><Relationship Id="rId20" Type="http://schemas.openxmlformats.org/officeDocument/2006/relationships/hyperlink" Target="https://www.frontiersin.org/files/Articles/834816/fnins-16-834816-HTML/image_m/fnins-16-834816-g006.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www.frontiersin.org/files/Articles/834816/fnins-16-834816-HTML/image_m/fnins-16-834816-g00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frontiersin.org/files/Articles/834816/fnins-16-834816-HTML/image_m/fnins-16-834816-g003.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2A0F5B-7E82-487F-B8AC-05E56BFA1B4B}">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B73BFEC5-649D-4AED-9224-6FE0486CB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45BB7B-D302-4562-94A4-F0F9AFE791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26</Pages>
  <Words>11294</Words>
  <Characters>64380</Characters>
  <Application>Microsoft Office Word</Application>
  <DocSecurity>8</DocSecurity>
  <Lines>536</Lines>
  <Paragraphs>151</Paragraphs>
  <ScaleCrop>false</ScaleCrop>
  <Company/>
  <LinksUpToDate>false</LinksUpToDate>
  <CharactersWithSpaces>75523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48</cp:revision>
  <dcterms:created xsi:type="dcterms:W3CDTF">2022-09-09T15:18:00Z</dcterms:created>
  <dcterms:modified xsi:type="dcterms:W3CDTF">2022-10-17T17:47:00Z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