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6E55C70" w:rsidR="000A7622" w:rsidRPr="00C04F25" w:rsidRDefault="007F322F"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91584DE" w:rsidR="000A7622" w:rsidRDefault="00CD372C" w:rsidP="00D14423">
      <w:pPr>
        <w:rPr>
          <w:rFonts w:cstheme="minorHAnsi"/>
          <w:sz w:val="24"/>
          <w:szCs w:val="24"/>
        </w:rPr>
      </w:pPr>
      <w:r w:rsidRPr="00CD372C">
        <w:rPr>
          <w:rFonts w:cstheme="minorHAnsi"/>
          <w:i/>
          <w:sz w:val="24"/>
          <w:szCs w:val="24"/>
          <w:lang w:val="fr-FR"/>
        </w:rPr>
        <w:t xml:space="preserve">IEEE Transactions on Electron </w:t>
      </w:r>
      <w:proofErr w:type="spellStart"/>
      <w:r w:rsidRPr="00CD372C">
        <w:rPr>
          <w:rFonts w:cstheme="minorHAnsi"/>
          <w:i/>
          <w:sz w:val="24"/>
          <w:szCs w:val="24"/>
          <w:lang w:val="fr-FR"/>
        </w:rPr>
        <w:t>Devices</w:t>
      </w:r>
      <w:proofErr w:type="spellEnd"/>
      <w:r w:rsidR="000A7622" w:rsidRPr="00C04F25">
        <w:rPr>
          <w:rFonts w:cstheme="minorHAnsi"/>
          <w:sz w:val="24"/>
          <w:szCs w:val="24"/>
          <w:lang w:val="fr-FR"/>
        </w:rPr>
        <w:t xml:space="preserve">, Vol. </w:t>
      </w:r>
      <w:r>
        <w:rPr>
          <w:rFonts w:cstheme="minorHAnsi"/>
          <w:sz w:val="24"/>
          <w:szCs w:val="24"/>
          <w:lang w:val="fr-FR"/>
        </w:rPr>
        <w:t>60</w:t>
      </w:r>
      <w:r w:rsidR="000A7622" w:rsidRPr="00C04F25">
        <w:rPr>
          <w:rFonts w:cstheme="minorHAnsi"/>
          <w:sz w:val="24"/>
          <w:szCs w:val="24"/>
          <w:lang w:val="fr-FR"/>
        </w:rPr>
        <w:t xml:space="preserve">, No. </w:t>
      </w:r>
      <w:r>
        <w:rPr>
          <w:rFonts w:cstheme="minorHAnsi"/>
          <w:sz w:val="24"/>
          <w:szCs w:val="24"/>
          <w:lang w:val="fr-FR"/>
        </w:rPr>
        <w:t>7</w:t>
      </w:r>
      <w:r w:rsidR="000A7622" w:rsidRPr="00C04F25">
        <w:rPr>
          <w:rFonts w:cstheme="minorHAnsi"/>
          <w:sz w:val="24"/>
          <w:szCs w:val="24"/>
          <w:lang w:val="fr-FR"/>
        </w:rPr>
        <w:t xml:space="preserve"> (</w:t>
      </w:r>
      <w:r>
        <w:rPr>
          <w:rFonts w:cstheme="minorHAnsi"/>
          <w:sz w:val="24"/>
          <w:szCs w:val="24"/>
          <w:lang w:val="fr-FR"/>
        </w:rPr>
        <w:t>July 2013</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2296-2301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5746F" w:rsidRPr="0035746F">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5746F" w:rsidRPr="0035746F">
        <w:rPr>
          <w:rFonts w:cstheme="minorHAnsi"/>
          <w:sz w:val="24"/>
          <w:szCs w:val="24"/>
        </w:rPr>
        <w:t>Institute of Electrical and Electronic Engineers (IEEE)</w:t>
      </w:r>
      <w:r w:rsidR="000A7622" w:rsidRPr="00C04F25">
        <w:rPr>
          <w:rFonts w:cstheme="minorHAnsi"/>
          <w:sz w:val="24"/>
          <w:szCs w:val="24"/>
        </w:rPr>
        <w:t xml:space="preserve"> does not grant permission for this article to be further copied/distributed or hosted elsewhere without the express permission from </w:t>
      </w:r>
      <w:r w:rsidR="0035746F" w:rsidRPr="0035746F">
        <w:rPr>
          <w:rFonts w:cstheme="minorHAnsi"/>
          <w:sz w:val="24"/>
          <w:szCs w:val="24"/>
        </w:rPr>
        <w:t>Institute of Electrical and Electronic Engineers (IEEE)</w:t>
      </w:r>
      <w:r w:rsidR="000A7622" w:rsidRPr="00C04F25">
        <w:rPr>
          <w:rFonts w:cstheme="minorHAnsi"/>
          <w:sz w:val="24"/>
          <w:szCs w:val="24"/>
        </w:rPr>
        <w:t xml:space="preserve">. </w:t>
      </w:r>
    </w:p>
    <w:p w14:paraId="3067A68B" w14:textId="39CB773C" w:rsidR="007F322F" w:rsidRDefault="007F322F" w:rsidP="00D14423">
      <w:pPr>
        <w:rPr>
          <w:rFonts w:cstheme="minorHAnsi"/>
          <w:sz w:val="24"/>
          <w:szCs w:val="24"/>
        </w:rPr>
      </w:pPr>
    </w:p>
    <w:p w14:paraId="0BE43BC1" w14:textId="77777777" w:rsidR="00F3625A" w:rsidRPr="00F3625A" w:rsidRDefault="00F3625A" w:rsidP="00490AC6">
      <w:pPr>
        <w:pStyle w:val="Title"/>
      </w:pPr>
      <w:r w:rsidRPr="00F3625A">
        <w:t>Dual-Carrier High-Gain Low-Noise Superlattice Avalanche Photodiodes</w:t>
      </w:r>
    </w:p>
    <w:p w14:paraId="4DAA0B11" w14:textId="4DD50DEA" w:rsidR="007F322F" w:rsidRDefault="007F322F" w:rsidP="00D14423">
      <w:pPr>
        <w:rPr>
          <w:rFonts w:cstheme="minorHAnsi"/>
          <w:sz w:val="24"/>
          <w:szCs w:val="24"/>
        </w:rPr>
      </w:pPr>
    </w:p>
    <w:p w14:paraId="08629546" w14:textId="77777777" w:rsidR="006B55FC" w:rsidRPr="00490AC6" w:rsidRDefault="006B55FC" w:rsidP="00490AC6">
      <w:pPr>
        <w:pStyle w:val="NoSpacing"/>
        <w:rPr>
          <w:sz w:val="32"/>
          <w:szCs w:val="32"/>
        </w:rPr>
      </w:pPr>
      <w:r w:rsidRPr="00490AC6">
        <w:rPr>
          <w:sz w:val="32"/>
          <w:szCs w:val="32"/>
        </w:rPr>
        <w:t>Jun Huang</w:t>
      </w:r>
    </w:p>
    <w:p w14:paraId="0183A9B2" w14:textId="0F9A79A2" w:rsidR="00F3625A" w:rsidRPr="00490AC6" w:rsidRDefault="006B55FC" w:rsidP="00490AC6">
      <w:pPr>
        <w:pStyle w:val="NoSpacing"/>
        <w:rPr>
          <w:sz w:val="24"/>
          <w:szCs w:val="24"/>
        </w:rPr>
      </w:pPr>
      <w:r w:rsidRPr="00490AC6">
        <w:rPr>
          <w:sz w:val="24"/>
          <w:szCs w:val="24"/>
        </w:rPr>
        <w:t>Lab for Photonics and Magnetics (ECE Department), University of Illinois at Chicago, Chicago, IL</w:t>
      </w:r>
    </w:p>
    <w:p w14:paraId="5062DDF6" w14:textId="77777777" w:rsidR="0022650C" w:rsidRPr="00490AC6" w:rsidRDefault="0022650C" w:rsidP="00490AC6">
      <w:pPr>
        <w:pStyle w:val="NoSpacing"/>
        <w:rPr>
          <w:sz w:val="32"/>
          <w:szCs w:val="32"/>
        </w:rPr>
      </w:pPr>
      <w:r w:rsidRPr="00490AC6">
        <w:rPr>
          <w:sz w:val="32"/>
          <w:szCs w:val="32"/>
        </w:rPr>
        <w:t>Koushik Banerjee</w:t>
      </w:r>
    </w:p>
    <w:p w14:paraId="3438FCAA" w14:textId="337CD094" w:rsidR="006B55FC" w:rsidRPr="00490AC6" w:rsidRDefault="0022650C" w:rsidP="00490AC6">
      <w:pPr>
        <w:pStyle w:val="NoSpacing"/>
        <w:rPr>
          <w:sz w:val="24"/>
          <w:szCs w:val="24"/>
        </w:rPr>
      </w:pPr>
      <w:r w:rsidRPr="00490AC6">
        <w:rPr>
          <w:sz w:val="24"/>
          <w:szCs w:val="24"/>
        </w:rPr>
        <w:t>Intel Corporation, Santa Clara, CA</w:t>
      </w:r>
    </w:p>
    <w:p w14:paraId="55AF252B" w14:textId="77777777" w:rsidR="005B002F" w:rsidRPr="00490AC6" w:rsidRDefault="005B002F" w:rsidP="00490AC6">
      <w:pPr>
        <w:pStyle w:val="NoSpacing"/>
        <w:rPr>
          <w:sz w:val="32"/>
          <w:szCs w:val="32"/>
        </w:rPr>
      </w:pPr>
      <w:r w:rsidRPr="00490AC6">
        <w:rPr>
          <w:sz w:val="32"/>
          <w:szCs w:val="32"/>
        </w:rPr>
        <w:t>Siddhartha Ghosh</w:t>
      </w:r>
    </w:p>
    <w:p w14:paraId="26F75554" w14:textId="565A85EC" w:rsidR="005B002F" w:rsidRPr="00490AC6" w:rsidRDefault="005B002F" w:rsidP="00490AC6">
      <w:pPr>
        <w:pStyle w:val="NoSpacing"/>
        <w:rPr>
          <w:sz w:val="24"/>
          <w:szCs w:val="24"/>
        </w:rPr>
      </w:pPr>
      <w:r w:rsidRPr="00490AC6">
        <w:rPr>
          <w:sz w:val="24"/>
          <w:szCs w:val="24"/>
        </w:rPr>
        <w:t>Lab for Photonics and Magnetics (ECE Department), University of Illinois at Chicago, Chicago, IL</w:t>
      </w:r>
    </w:p>
    <w:p w14:paraId="6E09CB0B" w14:textId="77777777" w:rsidR="00490AC6" w:rsidRPr="00490AC6" w:rsidRDefault="00490AC6" w:rsidP="00490AC6">
      <w:pPr>
        <w:pStyle w:val="NoSpacing"/>
        <w:rPr>
          <w:sz w:val="32"/>
          <w:szCs w:val="32"/>
        </w:rPr>
      </w:pPr>
      <w:r w:rsidRPr="00490AC6">
        <w:rPr>
          <w:sz w:val="32"/>
          <w:szCs w:val="32"/>
        </w:rPr>
        <w:t>Majeed M. Hayat</w:t>
      </w:r>
    </w:p>
    <w:p w14:paraId="69D08580" w14:textId="08BF4E59" w:rsidR="005B002F" w:rsidRPr="00490AC6" w:rsidRDefault="00490AC6" w:rsidP="00490AC6">
      <w:pPr>
        <w:pStyle w:val="NoSpacing"/>
        <w:rPr>
          <w:sz w:val="24"/>
          <w:szCs w:val="24"/>
        </w:rPr>
      </w:pPr>
      <w:r w:rsidRPr="00490AC6">
        <w:rPr>
          <w:sz w:val="24"/>
          <w:szCs w:val="24"/>
        </w:rPr>
        <w:t>Center for High Technology Materials and the ECE Dept, University of New Mexico, Albuquerque, NM</w:t>
      </w:r>
    </w:p>
    <w:bookmarkEnd w:id="2"/>
    <w:p w14:paraId="5BC0075B" w14:textId="6EF62DEF" w:rsidR="000A7622" w:rsidRDefault="000A7622" w:rsidP="000A7622">
      <w:pPr>
        <w:rPr>
          <w:rFonts w:cstheme="minorHAnsi"/>
        </w:rPr>
      </w:pPr>
    </w:p>
    <w:p w14:paraId="32E14BB4" w14:textId="77777777" w:rsidR="00D24768" w:rsidRPr="00490AC6" w:rsidRDefault="00D24768" w:rsidP="00490AC6">
      <w:pPr>
        <w:pStyle w:val="Heading1"/>
      </w:pPr>
      <w:r w:rsidRPr="00490AC6">
        <w:rPr>
          <w:rStyle w:val="Strong"/>
          <w:b w:val="0"/>
          <w:bCs w:val="0"/>
          <w:color w:val="262626" w:themeColor="text1" w:themeTint="D9"/>
        </w:rPr>
        <w:t>Abstract:</w:t>
      </w:r>
    </w:p>
    <w:p w14:paraId="082203D9" w14:textId="77777777" w:rsidR="00D24768" w:rsidRPr="00490AC6" w:rsidRDefault="00D24768" w:rsidP="00490AC6">
      <w:r w:rsidRPr="00490AC6">
        <w:t xml:space="preserve">In this paper, novel avalanche photodiode structures with alternate carrier multiplication nanometer regions, placed next to a wider electron multiplication region, to create dual-carrier feedback systems, are proposed. Gain and excess noise factor of these structures are calculated based on the dead space multiplication theory </w:t>
      </w:r>
      <w:r w:rsidRPr="00490AC6">
        <w:lastRenderedPageBreak/>
        <w:t xml:space="preserve">under uniform electric field. In addition, the equivalent impact ionization ratios are derived and compared. It is observed that the proposed structures can generate much higher gain compared with conventional pure electron multiplication structures under the same electric field without severely degrading the excess noise quality. Excess noise is further optimized with careful adjustment of thin multiplication regions' thicknesses. These high-gain structures can operate under low-bias (&lt;; 5 V) conditions, making it possible to integrate infrared avalanche photodiodes (APDs) directly into silicon read-out circuits. In this paper, type-II mid-wavelength infrared </w:t>
      </w:r>
      <w:proofErr w:type="spellStart"/>
      <w:r w:rsidRPr="00490AC6">
        <w:t>InAs</w:t>
      </w:r>
      <w:proofErr w:type="spellEnd"/>
      <w:r w:rsidRPr="00490AC6">
        <w:t>/</w:t>
      </w:r>
      <w:proofErr w:type="spellStart"/>
      <w:r w:rsidRPr="00490AC6">
        <w:t>GaSb</w:t>
      </w:r>
      <w:proofErr w:type="spellEnd"/>
      <w:r w:rsidRPr="00490AC6">
        <w:t xml:space="preserve"> strained layer superlattice is used for simulation. However, the concept of dual-carrier APDs, with carrier feedback to generate high gain and control of excess noise through confining impact ionization in thin layers, is general and can also be applied to other wavelength APDs with different materials and thicknesses. Type II </w:t>
      </w:r>
      <w:proofErr w:type="spellStart"/>
      <w:r w:rsidRPr="00490AC6">
        <w:t>InAs</w:t>
      </w:r>
      <w:proofErr w:type="spellEnd"/>
      <w:r w:rsidRPr="00490AC6">
        <w:t>/</w:t>
      </w:r>
      <w:proofErr w:type="spellStart"/>
      <w:r w:rsidRPr="00490AC6">
        <w:t>GaSb</w:t>
      </w:r>
      <w:proofErr w:type="spellEnd"/>
      <w:r w:rsidRPr="00490AC6">
        <w:t xml:space="preserve"> strain layer superlattice allows for versatile band structure design leading to impact ionization coefficient engineering.</w:t>
      </w:r>
    </w:p>
    <w:p w14:paraId="0CB779AC" w14:textId="0595BFB9" w:rsidR="00D24768" w:rsidRPr="00345355" w:rsidRDefault="00D24768" w:rsidP="00345355">
      <w:pPr>
        <w:pStyle w:val="Heading1"/>
      </w:pPr>
      <w:r w:rsidRPr="00345355">
        <w:t>SECTION I.</w:t>
      </w:r>
      <w:r w:rsidR="00345355" w:rsidRPr="00345355">
        <w:t xml:space="preserve"> </w:t>
      </w:r>
      <w:r w:rsidRPr="00345355">
        <w:t>Introduction</w:t>
      </w:r>
    </w:p>
    <w:p w14:paraId="75C36F68" w14:textId="4E124B9E" w:rsidR="00D24768" w:rsidRPr="00345355" w:rsidRDefault="00D24768" w:rsidP="00490AC6">
      <w:pPr>
        <w:rPr>
          <w:rFonts w:cstheme="minorHAnsi"/>
        </w:rPr>
      </w:pPr>
      <w:r w:rsidRPr="00345355">
        <w:rPr>
          <w:rFonts w:cstheme="minorHAnsi"/>
        </w:rPr>
        <w:t>Avalanche photodiodes (APDs), which have signal amplification combined with light detection in a single stage, are often used for infrared devices. They operate at a relatively high reverse bias to enable avalanche multiplication from the cascade of impact ionization of electrons and holes. However, the multiplication process introduces noise as a result of randomness in the spatial location at which secondary carriers are generated, as well as accompanying randomness in the total number of carriers produced per initial photogenerated carrier. This noise is known as the excess noise, which is characterized by the excess noise factor </w:t>
      </w:r>
      <m:oMath>
        <m:r>
          <w:rPr>
            <w:rStyle w:val="mi"/>
            <w:rFonts w:ascii="Cambria Math" w:hAnsi="Cambria Math" w:cstheme="minorHAnsi"/>
            <w:bdr w:val="none" w:sz="0" w:space="0" w:color="auto" w:frame="1"/>
          </w:rPr>
          <m:t>F</m:t>
        </m:r>
      </m:oMath>
      <w:r w:rsidRPr="00345355">
        <w:rPr>
          <w:rFonts w:cstheme="minorHAnsi"/>
        </w:rPr>
        <w:t> [1], [2]. McIntyre [3] first quantified the excess noise factor. Based on [1], excess noise is a function of the ratio of the hole-to-electron ionization coefficients </w:t>
      </w:r>
      <m:oMath>
        <m:r>
          <w:rPr>
            <w:rStyle w:val="mi"/>
            <w:rFonts w:ascii="Cambria Math" w:hAnsi="Cambria Math" w:cstheme="minorHAnsi"/>
            <w:bdr w:val="none" w:sz="0" w:space="0" w:color="auto" w:frame="1"/>
          </w:rPr>
          <m:t>k</m:t>
        </m:r>
      </m:oMath>
      <w:r w:rsidRPr="00345355">
        <w:rPr>
          <w:rFonts w:cstheme="minorHAnsi"/>
        </w:rPr>
        <w:t>. The excess noise factor can be minimized with </w:t>
      </w:r>
      <m:oMath>
        <m:r>
          <w:rPr>
            <w:rStyle w:val="mi"/>
            <w:rFonts w:ascii="Cambria Math" w:hAnsi="Cambria Math" w:cstheme="minorHAnsi"/>
            <w:bdr w:val="none" w:sz="0" w:space="0" w:color="auto" w:frame="1"/>
          </w:rPr>
          <m:t>k</m:t>
        </m:r>
      </m:oMath>
      <w:r w:rsidRPr="00345355">
        <w:rPr>
          <w:rFonts w:cstheme="minorHAnsi"/>
        </w:rPr>
        <w:t xml:space="preserve"> approaching zero or infinity, which indicates a single-carrier multiplication process (electron or hole, respectively). Significant efforts are put to achieve single carrier dominated multiplication using mercury cadmium telluride [4] and III–V type II strained layer </w:t>
      </w:r>
      <w:proofErr w:type="spellStart"/>
      <w:r w:rsidRPr="00345355">
        <w:rPr>
          <w:rFonts w:cstheme="minorHAnsi"/>
        </w:rPr>
        <w:t>InAs</w:t>
      </w:r>
      <w:proofErr w:type="spellEnd"/>
      <w:r w:rsidRPr="00345355">
        <w:rPr>
          <w:rFonts w:cstheme="minorHAnsi"/>
        </w:rPr>
        <w:t>/</w:t>
      </w:r>
      <w:proofErr w:type="spellStart"/>
      <w:r w:rsidRPr="00345355">
        <w:rPr>
          <w:rFonts w:cstheme="minorHAnsi"/>
        </w:rPr>
        <w:t>GaSb</w:t>
      </w:r>
      <w:proofErr w:type="spellEnd"/>
      <w:r w:rsidRPr="00345355">
        <w:rPr>
          <w:rFonts w:cstheme="minorHAnsi"/>
        </w:rPr>
        <w:t xml:space="preserve"> superlattice [5], [6]. However, single carrier multiplication eliminates or reduces multiplication by the second type of carrier, resulting in a lower gain with the same multiplication region width and the same electric field. Thus, it requires much higher electric fields to achieve the same gain as a double carrier multiplication device. Further, high electric field can significantly increase dark currents, both surface leakage and tunneling currents, which can limit the performance of APDs instead of the excess noise factor. The problem becomes severe with narrow bandgap materials that are used for longer wavelength infrared detection. Higher bias requirements also pose a compatibility problem with silicon readout circuits that normally operate under low bias values. In addition, in </w:t>
      </w:r>
      <w:proofErr w:type="gramStart"/>
      <w:r w:rsidRPr="00345355">
        <w:rPr>
          <w:rFonts w:cstheme="minorHAnsi"/>
        </w:rPr>
        <w:t>single-photon</w:t>
      </w:r>
      <w:proofErr w:type="gramEnd"/>
      <w:r w:rsidRPr="00345355">
        <w:rPr>
          <w:rFonts w:cstheme="minorHAnsi"/>
        </w:rPr>
        <w:t xml:space="preserve"> counting applications, APDs require higher </w:t>
      </w:r>
      <w:proofErr w:type="spellStart"/>
      <w:r w:rsidRPr="00345355">
        <w:rPr>
          <w:rFonts w:cstheme="minorHAnsi"/>
        </w:rPr>
        <w:t>overbias</w:t>
      </w:r>
      <w:proofErr w:type="spellEnd"/>
      <w:r w:rsidRPr="00345355">
        <w:rPr>
          <w:rFonts w:cstheme="minorHAnsi"/>
        </w:rPr>
        <w:t xml:space="preserve"> in the linear mode and they become susceptible to higher dark count rates.</w:t>
      </w:r>
    </w:p>
    <w:p w14:paraId="6595E443" w14:textId="77777777" w:rsidR="00D24768" w:rsidRPr="00345355" w:rsidRDefault="00D24768" w:rsidP="00490AC6">
      <w:pPr>
        <w:rPr>
          <w:rFonts w:cstheme="minorHAnsi"/>
        </w:rPr>
      </w:pPr>
      <w:r w:rsidRPr="00345355">
        <w:rPr>
          <w:rFonts w:cstheme="minorHAnsi"/>
        </w:rPr>
        <w:t xml:space="preserve">Until now, many efforts are put on new materials based on separate absorption and multiplication (SAM) structures. In this paper, we examine novel structures that also have separated absorption and multiplication regions; however, they have alternate carrier (electron or hole) multiplication regions arranged in thin layers, judiciously </w:t>
      </w:r>
      <w:proofErr w:type="gramStart"/>
      <w:r w:rsidRPr="00345355">
        <w:rPr>
          <w:rFonts w:cstheme="minorHAnsi"/>
        </w:rPr>
        <w:t>combined together</w:t>
      </w:r>
      <w:proofErr w:type="gramEnd"/>
      <w:r w:rsidRPr="00345355">
        <w:rPr>
          <w:rFonts w:cstheme="minorHAnsi"/>
        </w:rPr>
        <w:t xml:space="preserve"> to form that multiplication region. By simply adding thin carrier multiplication layers to conventional pure electron multiplication structures, novel APD designs can be generated, in which </w:t>
      </w:r>
      <w:proofErr w:type="gramStart"/>
      <w:r w:rsidRPr="00345355">
        <w:rPr>
          <w:rFonts w:cstheme="minorHAnsi"/>
        </w:rPr>
        <w:t>gain</w:t>
      </w:r>
      <w:proofErr w:type="gramEnd"/>
      <w:r w:rsidRPr="00345355">
        <w:rPr>
          <w:rFonts w:cstheme="minorHAnsi"/>
        </w:rPr>
        <w:t xml:space="preserve"> and excess noise can be tuned by changing the material composition of layer structures along with the thickness of each thin layer. This kind of structure aims to achieve extremely high gain at a lower bias while the excess noise is kept at a relatively low level. In addition, this kind of structure can be applicable to a broader choice of materials. Different materials and layer thicknesses can be applied depending on the mode of operation, target wavelength, and specific application needs.</w:t>
      </w:r>
    </w:p>
    <w:p w14:paraId="4262C55E" w14:textId="77777777" w:rsidR="00D24768" w:rsidRPr="00345355" w:rsidRDefault="00D24768" w:rsidP="00490AC6">
      <w:pPr>
        <w:rPr>
          <w:rFonts w:cstheme="minorHAnsi"/>
        </w:rPr>
      </w:pPr>
      <w:r w:rsidRPr="00345355">
        <w:rPr>
          <w:rFonts w:cstheme="minorHAnsi"/>
        </w:rPr>
        <w:t>The analytic dead space multiplication theory, which has an effective performance prediction for thin APDs, is applied in this paper to simulate these structures.</w:t>
      </w:r>
    </w:p>
    <w:p w14:paraId="780BEBBF" w14:textId="377C0E66" w:rsidR="00D24768" w:rsidRPr="00F57DE8" w:rsidRDefault="00D24768" w:rsidP="00F57DE8">
      <w:pPr>
        <w:pStyle w:val="Heading1"/>
      </w:pPr>
      <w:r w:rsidRPr="00F57DE8">
        <w:lastRenderedPageBreak/>
        <w:t>SECTION II.</w:t>
      </w:r>
      <w:r w:rsidR="00F57DE8" w:rsidRPr="00F57DE8">
        <w:t xml:space="preserve"> </w:t>
      </w:r>
      <w:r w:rsidRPr="00F57DE8">
        <w:t>Dead Space Multiplication Theory for Gain and Excess Noise</w:t>
      </w:r>
    </w:p>
    <w:p w14:paraId="7C5FE82F" w14:textId="7098703D" w:rsidR="00D24768" w:rsidRPr="00345355" w:rsidRDefault="00D24768" w:rsidP="00490AC6">
      <w:pPr>
        <w:rPr>
          <w:rFonts w:cstheme="minorHAnsi"/>
        </w:rPr>
      </w:pPr>
      <w:r w:rsidRPr="00345355">
        <w:rPr>
          <w:rFonts w:cstheme="minorHAnsi"/>
        </w:rPr>
        <w:t>We begin by reviewing some important notes of the dead space multiplication theory. The minimum distance that a newly generated carrier must travel to acquire threshold energy is called the carrier dead space [7]. The electron and hole dead space, denoted by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e</m:t>
            </m:r>
          </m:sub>
        </m:sSub>
      </m:oMath>
      <w:r w:rsidRPr="00345355">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h</m:t>
            </m:r>
          </m:sub>
        </m:sSub>
      </m:oMath>
      <w:r w:rsidRPr="00345355">
        <w:rPr>
          <w:rFonts w:cstheme="minorHAnsi"/>
        </w:rPr>
        <w:t>, respectively, are given by [7] the following:</w:t>
      </w:r>
    </w:p>
    <w:p w14:paraId="065B3F33" w14:textId="556F6773" w:rsidR="00D24768" w:rsidRPr="00345355" w:rsidRDefault="002472F9" w:rsidP="00490AC6">
      <w:pPr>
        <w:rPr>
          <w:rFonts w:cstheme="minorHAnsi"/>
        </w:rPr>
      </w:pPr>
      <m:oMath>
        <m:m>
          <m:mPr>
            <m:plcHide m:val="1"/>
            <m:mcs>
              <m:mc>
                <m:mcPr>
                  <m:count m:val="2"/>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m:rPr>
                      <m:sty m:val="p"/>
                    </m:rP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e>
            <m:e>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ie</m:t>
                      </m:r>
                    </m:sub>
                  </m:sSub>
                </m:num>
                <m:den>
                  <m:r>
                    <w:rPr>
                      <w:rStyle w:val="mi"/>
                      <w:rFonts w:ascii="Cambria Math" w:hAnsi="Cambria Math" w:cstheme="minorHAnsi"/>
                      <w:sz w:val="28"/>
                      <w:szCs w:val="28"/>
                      <w:bdr w:val="none" w:sz="0" w:space="0" w:color="auto" w:frame="1"/>
                    </w:rPr>
                    <m:t>qε</m:t>
                  </m:r>
                </m:den>
              </m:f>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m:rPr>
                      <m:sty m:val="p"/>
                    </m:rP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e>
            <m:e>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ih</m:t>
                      </m:r>
                    </m:sub>
                  </m:sSub>
                </m:num>
                <m:den>
                  <m:r>
                    <w:rPr>
                      <w:rStyle w:val="mi"/>
                      <w:rFonts w:ascii="Cambria Math" w:hAnsi="Cambria Math" w:cstheme="minorHAnsi"/>
                      <w:sz w:val="28"/>
                      <w:szCs w:val="28"/>
                      <w:bdr w:val="none" w:sz="0" w:space="0" w:color="auto" w:frame="1"/>
                    </w:rPr>
                    <m:t>qε</m:t>
                  </m:r>
                </m:den>
              </m:f>
            </m:e>
          </m:mr>
        </m:m>
      </m:oMath>
      <w:r w:rsidR="00F04251" w:rsidRPr="00F04251">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(1)(2)</w:t>
      </w:r>
    </w:p>
    <w:p w14:paraId="75943F32" w14:textId="7285BF40" w:rsidR="00D24768" w:rsidRPr="00345355" w:rsidRDefault="00D24768" w:rsidP="00490AC6">
      <w:pPr>
        <w:rPr>
          <w:rFonts w:cstheme="minorHAnsi"/>
        </w:rPr>
      </w:pPr>
      <w:r w:rsidRPr="00345355">
        <w:rPr>
          <w:rFonts w:cstheme="minorHAnsi"/>
        </w:rPr>
        <w:t>where </w:t>
      </w:r>
      <m:oMath>
        <m:r>
          <w:rPr>
            <w:rStyle w:val="mi"/>
            <w:rFonts w:ascii="Cambria Math" w:hAnsi="Cambria Math" w:cstheme="minorHAnsi"/>
            <w:bdr w:val="none" w:sz="0" w:space="0" w:color="auto" w:frame="1"/>
          </w:rPr>
          <m:t>q</m:t>
        </m:r>
      </m:oMath>
      <w:r w:rsidRPr="00345355">
        <w:rPr>
          <w:rFonts w:cstheme="minorHAnsi"/>
        </w:rPr>
        <w:t> is the electronic charge, </w:t>
      </w:r>
      <m:oMath>
        <m:r>
          <w:rPr>
            <w:rStyle w:val="mi"/>
            <w:rFonts w:ascii="Cambria Math" w:hAnsi="Cambria Math" w:cstheme="minorHAnsi"/>
            <w:bdr w:val="none" w:sz="0" w:space="0" w:color="auto" w:frame="1"/>
          </w:rPr>
          <m:t>ε</m:t>
        </m:r>
      </m:oMath>
      <w:r w:rsidRPr="00345355">
        <w:rPr>
          <w:rFonts w:cstheme="minorHAnsi"/>
        </w:rPr>
        <w:t> is the uniform electric field in the multiplication region,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ie</m:t>
            </m:r>
          </m:sub>
        </m:sSub>
      </m:oMath>
      <w:r w:rsidRPr="00345355">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ih</m:t>
            </m:r>
          </m:sub>
        </m:sSub>
      </m:oMath>
      <w:r w:rsidRPr="00345355">
        <w:rPr>
          <w:rFonts w:cstheme="minorHAnsi"/>
        </w:rPr>
        <w:t> are the ionization threshold energies of the electron and hole, respectively. To be more specific, for a single multiplication region with the same threshold energy, </w:t>
      </w:r>
      <w:hyperlink r:id="rId10" w:anchor="deqn1-2" w:history="1">
        <w:r w:rsidRPr="00345355">
          <w:rPr>
            <w:rStyle w:val="Hyperlink"/>
            <w:rFonts w:cstheme="minorHAnsi"/>
            <w:color w:val="006699"/>
          </w:rPr>
          <w:t>(1)</w:t>
        </w:r>
      </w:hyperlink>
      <w:r w:rsidRPr="00345355">
        <w:rPr>
          <w:rFonts w:cstheme="minorHAnsi"/>
        </w:rPr>
        <w:t> and </w:t>
      </w:r>
      <w:hyperlink r:id="rId11" w:anchor="deqn1-2" w:history="1">
        <w:r w:rsidRPr="00345355">
          <w:rPr>
            <w:rStyle w:val="Hyperlink"/>
            <w:rFonts w:cstheme="minorHAnsi"/>
            <w:color w:val="006699"/>
          </w:rPr>
          <w:t>(2)</w:t>
        </w:r>
      </w:hyperlink>
      <w:r w:rsidRPr="00345355">
        <w:rPr>
          <w:rFonts w:cstheme="minorHAnsi"/>
        </w:rPr>
        <w:t> are enough. However, when it is applied to several thin multiplication regions with different threshold energies, dead space for electrons and holes around the boundaries should be modified. This will be discussed later in this paper.</w:t>
      </w:r>
    </w:p>
    <w:p w14:paraId="53495FCB" w14:textId="08220CBC" w:rsidR="00D24768" w:rsidRPr="00345355" w:rsidRDefault="00D24768" w:rsidP="00490AC6">
      <w:pPr>
        <w:rPr>
          <w:rFonts w:cstheme="minorHAnsi"/>
        </w:rPr>
      </w:pPr>
      <w:r w:rsidRPr="00345355">
        <w:rPr>
          <w:rFonts w:cstheme="minorHAnsi"/>
        </w:rPr>
        <w:t>Consider a multiplication region that extends from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345355">
        <w:rPr>
          <w:rFonts w:cstheme="minorHAnsi"/>
        </w:rPr>
        <w:t> to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W</m:t>
        </m:r>
      </m:oMath>
      <w:r w:rsidRPr="00345355">
        <w:rPr>
          <w:rFonts w:cstheme="minorHAnsi"/>
        </w:rPr>
        <w:t>, and the direction of electric field points from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W</m:t>
        </m:r>
      </m:oMath>
      <w:r w:rsidRPr="00345355">
        <w:rPr>
          <w:rFonts w:cstheme="minorHAnsi"/>
        </w:rPr>
        <w:t> to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345355">
        <w:rPr>
          <w:rFonts w:cstheme="minorHAnsi"/>
        </w:rPr>
        <w:t>. The gain and excess noise factor were reported in [8] under uniform electric field and then extended in [9] to nonuniform electric fields. We will review germane aspects of the model briefly. Following [8], a random sum </w:t>
      </w:r>
      <m:oMath>
        <m:r>
          <w:rPr>
            <w:rStyle w:val="mi"/>
            <w:rFonts w:ascii="Cambria Math" w:hAnsi="Cambria Math" w:cstheme="minorHAnsi"/>
            <w:bdr w:val="none" w:sz="0" w:space="0" w:color="auto" w:frame="1"/>
          </w:rPr>
          <m:t>Z</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Pr="00345355">
        <w:rPr>
          <w:rFonts w:cstheme="minorHAnsi"/>
        </w:rPr>
        <w:t> is defined as the overall electrons and holes generated by a single parent electron. Similarly, </w:t>
      </w:r>
      <m:oMath>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Pr="00345355">
        <w:rPr>
          <w:rFonts w:cstheme="minorHAnsi"/>
        </w:rPr>
        <w:t> is the random number of all electrons and holes produced by a single parent hole. For the case of electron injection, since </w:t>
      </w:r>
      <m:oMath>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345355">
        <w:rPr>
          <w:rFonts w:cstheme="minorHAnsi"/>
        </w:rPr>
        <w:t>, the random gain of the device, </w:t>
      </w:r>
      <m:oMath>
        <m:r>
          <w:rPr>
            <w:rStyle w:val="mi"/>
            <w:rFonts w:ascii="Cambria Math" w:hAnsi="Cambria Math" w:cstheme="minorHAnsi"/>
            <w:bdr w:val="none" w:sz="0" w:space="0" w:color="auto" w:frame="1"/>
          </w:rPr>
          <m:t>G</m:t>
        </m:r>
      </m:oMath>
      <w:r w:rsidRPr="00345355">
        <w:rPr>
          <w:rFonts w:cstheme="minorHAnsi"/>
        </w:rPr>
        <w:t>, which is given by </w:t>
      </w:r>
      <m:oMath>
        <m:r>
          <w:rPr>
            <w:rStyle w:val="mi"/>
            <w:rFonts w:ascii="Cambria Math" w:hAnsi="Cambria Math" w:cstheme="minorHAnsi"/>
            <w:bdr w:val="none" w:sz="0" w:space="0" w:color="auto" w:frame="1"/>
          </w:rPr>
          <m:t>G=(1/2)(Z(0)+Y(0))</m:t>
        </m:r>
      </m:oMath>
      <w:r w:rsidRPr="00345355">
        <w:rPr>
          <w:rFonts w:cstheme="minorHAnsi"/>
        </w:rPr>
        <w:t>, can be reduced to </w:t>
      </w:r>
      <m:oMath>
        <m:r>
          <w:rPr>
            <w:rStyle w:val="mi"/>
            <w:rFonts w:ascii="Cambria Math" w:hAnsi="Cambria Math" w:cstheme="minorHAnsi"/>
            <w:bdr w:val="none" w:sz="0" w:space="0" w:color="auto" w:frame="1"/>
          </w:rPr>
          <m:t>G=(1/2)(Z(0)+1)</m:t>
        </m:r>
      </m:oMath>
      <w:r w:rsidRPr="00345355">
        <w:rPr>
          <w:rFonts w:cstheme="minorHAnsi"/>
        </w:rPr>
        <w:t>. According to [9], </w:t>
      </w:r>
      <w:hyperlink r:id="rId12" w:anchor="deqn4" w:history="1">
        <w:r w:rsidRPr="00345355">
          <w:rPr>
            <w:rStyle w:val="Hyperlink"/>
            <w:rFonts w:eastAsiaTheme="majorEastAsia" w:cstheme="minorHAnsi"/>
            <w:color w:val="006699"/>
          </w:rPr>
          <w:t>(4)</w:t>
        </w:r>
      </w:hyperlink>
      <w:r w:rsidRPr="00345355">
        <w:rPr>
          <w:rFonts w:cstheme="minorHAnsi"/>
        </w:rPr>
        <w:t> and </w:t>
      </w:r>
      <w:hyperlink r:id="rId13" w:anchor="deqn5a-b" w:history="1">
        <w:r w:rsidRPr="00345355">
          <w:rPr>
            <w:rStyle w:val="Hyperlink"/>
            <w:rFonts w:eastAsiaTheme="majorEastAsia" w:cstheme="minorHAnsi"/>
            <w:color w:val="006699"/>
          </w:rPr>
          <w:t>(5)</w:t>
        </w:r>
      </w:hyperlink>
      <w:r w:rsidRPr="00345355">
        <w:rPr>
          <w:rFonts w:cstheme="minorHAnsi"/>
        </w:rPr>
        <w:t>, the average of </w:t>
      </w:r>
      <m:oMath>
        <m:r>
          <w:rPr>
            <w:rStyle w:val="mi"/>
            <w:rFonts w:ascii="Cambria Math" w:hAnsi="Cambria Math" w:cstheme="minorHAnsi"/>
            <w:bdr w:val="none" w:sz="0" w:space="0" w:color="auto" w:frame="1"/>
          </w:rPr>
          <m:t>Z</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00BF642E">
        <w:rPr>
          <w:rStyle w:val="mo"/>
          <w:rFonts w:cstheme="minorHAnsi"/>
          <w:bdr w:val="none" w:sz="0" w:space="0" w:color="auto" w:frame="1"/>
        </w:rPr>
        <w:t xml:space="preserve"> </w:t>
      </w:r>
      <w:r w:rsidRPr="00345355">
        <w:rPr>
          <w:rFonts w:cstheme="minorHAnsi"/>
        </w:rPr>
        <w:t>and </w:t>
      </w:r>
      <m:oMath>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Pr="00345355">
        <w:rPr>
          <w:rFonts w:cstheme="minorHAnsi"/>
        </w:rPr>
        <w:t>, denoted by </w:t>
      </w:r>
      <m:oMath>
        <m:r>
          <w:rPr>
            <w:rStyle w:val="mi"/>
            <w:rFonts w:ascii="Cambria Math" w:hAnsi="Cambria Math" w:cstheme="minorHAnsi"/>
            <w:bdr w:val="none" w:sz="0" w:space="0" w:color="auto" w:frame="1"/>
          </w:rPr>
          <m:t>z</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Pr="00345355">
        <w:rPr>
          <w:rFonts w:cstheme="minorHAnsi"/>
        </w:rPr>
        <w:t> and </w:t>
      </w:r>
      <m:oMath>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Pr="00345355">
        <w:rPr>
          <w:rFonts w:cstheme="minorHAnsi"/>
        </w:rPr>
        <w:t> can be obtained by the following:</w:t>
      </w:r>
    </w:p>
    <w:p w14:paraId="40ECC7B0" w14:textId="6BBEB378" w:rsidR="00D24768" w:rsidRPr="00345355" w:rsidRDefault="002472F9" w:rsidP="00490AC6">
      <w:pPr>
        <w:rPr>
          <w:rFonts w:cstheme="minorHAnsi"/>
        </w:rPr>
      </w:pPr>
      <m:oMath>
        <m:m>
          <m:mPr>
            <m:plcHide m:val="1"/>
            <m:mcs>
              <m:mc>
                <m:mcPr>
                  <m:count m:val="2"/>
                  <m:mcJc m:val="left"/>
                </m:mcPr>
              </m:mc>
            </m:mcs>
            <m:ctrlPr>
              <w:rPr>
                <w:rStyle w:val="mi"/>
                <w:rFonts w:ascii="Cambria Math" w:hAnsi="Cambria Math" w:cstheme="minorHAnsi"/>
                <w:sz w:val="28"/>
                <w:szCs w:val="28"/>
                <w:bdr w:val="none" w:sz="0" w:space="0" w:color="auto" w:frame="1"/>
              </w:rPr>
            </m:ctrlPr>
          </m:mPr>
          <m:mr>
            <m:e/>
            <m:e>
              <m:r>
                <w:rPr>
                  <w:rStyle w:val="mi"/>
                  <w:rFonts w:ascii="Cambria Math" w:hAnsi="Cambria Math" w:cstheme="minorHAnsi"/>
                  <w:sz w:val="28"/>
                  <w:szCs w:val="28"/>
                  <w:bdr w:val="none" w:sz="0" w:space="0" w:color="auto" w:frame="1"/>
                </w:rPr>
                <m:t>z(x)=</m:t>
              </m:r>
              <m:d>
                <m:dPr>
                  <m:begChr m:val="["/>
                  <m:endChr m:val="]"/>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1-</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m:t>
                      </m:r>
                      <m:r>
                        <m:rPr>
                          <m:sty m:val="p"/>
                        </m:rPr>
                        <w:rPr>
                          <w:rStyle w:val="mi"/>
                          <w:rFonts w:ascii="Cambria Math" w:hAnsi="Cambria Math" w:cstheme="minorHAnsi"/>
                          <w:sz w:val="28"/>
                          <w:szCs w:val="28"/>
                          <w:bdr w:val="none" w:sz="0" w:space="0" w:color="auto" w:frame="1"/>
                        </w:rPr>
                        <m:t>∞</m:t>
                      </m:r>
                    </m:sub>
                    <m:sup>
                      <m:r>
                        <w:rPr>
                          <w:rStyle w:val="mi"/>
                          <w:rFonts w:ascii="Cambria Math" w:hAnsi="Cambria Math" w:cstheme="minorHAnsi"/>
                          <w:sz w:val="28"/>
                          <w:szCs w:val="28"/>
                          <w:bdr w:val="none" w:sz="0" w:space="0" w:color="auto" w:frame="1"/>
                        </w:rPr>
                        <m:t>W-x</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m:rPr>
                              <m:sty m:val="p"/>
                            </m:rP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(x,ξ)dξ</m:t>
                      </m:r>
                    </m:e>
                  </m:nary>
                </m:e>
              </m:d>
            </m:e>
          </m:mr>
          <m:mr>
            <m:e/>
            <m:e>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W</m:t>
                  </m:r>
                </m:sup>
                <m:e>
                  <m:r>
                    <w:rPr>
                      <w:rStyle w:val="mi"/>
                      <w:rFonts w:ascii="Cambria Math" w:hAnsi="Cambria Math" w:cstheme="minorHAnsi"/>
                      <w:sz w:val="28"/>
                      <w:szCs w:val="28"/>
                      <w:bdr w:val="none" w:sz="0" w:space="0" w:color="auto" w:frame="1"/>
                    </w:rPr>
                    <m:t>[2z(ξ)+y(ξ)]</m:t>
                  </m:r>
                </m:e>
              </m:nary>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m:rPr>
                      <m:sty m:val="p"/>
                    </m:rPr>
                    <w:rPr>
                      <w:rStyle w:val="mi"/>
                      <w:rFonts w:ascii="Cambria Math" w:hAnsi="Cambria Math" w:cstheme="minorHAnsi"/>
                      <w:sz w:val="28"/>
                      <w:szCs w:val="28"/>
                      <w:bdr w:val="none" w:sz="0" w:space="0" w:color="auto" w:frame="1"/>
                    </w:rPr>
                    <m:t>e</m:t>
                  </m:r>
                </m:sub>
              </m:sSub>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x,ξ-x</m:t>
                  </m:r>
                </m:e>
              </m:d>
              <m:r>
                <w:rPr>
                  <w:rStyle w:val="mi"/>
                  <w:rFonts w:ascii="Cambria Math" w:hAnsi="Cambria Math" w:cstheme="minorHAnsi"/>
                  <w:sz w:val="28"/>
                  <w:szCs w:val="28"/>
                  <w:bdr w:val="none" w:sz="0" w:space="0" w:color="auto" w:frame="1"/>
                </w:rPr>
                <m:t>dξ</m:t>
              </m:r>
            </m:e>
          </m:mr>
        </m:m>
      </m:oMath>
      <w:r w:rsidR="002F4DC8" w:rsidRPr="002F4DC8">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(3)</w:t>
      </w:r>
    </w:p>
    <w:p w14:paraId="56B575B7" w14:textId="316375DE" w:rsidR="00D24768" w:rsidRPr="00345355" w:rsidRDefault="00D24768" w:rsidP="00490AC6">
      <w:pPr>
        <w:rPr>
          <w:rFonts w:cstheme="minorHAnsi"/>
        </w:rPr>
      </w:pPr>
      <w:r w:rsidRPr="00345355">
        <w:rPr>
          <w:rFonts w:cstheme="minorHAnsi"/>
        </w:rPr>
        <w:t>and</w:t>
      </w:r>
    </w:p>
    <w:p w14:paraId="0A71D1F7" w14:textId="702E8BFB" w:rsidR="00D24768" w:rsidRPr="00345355" w:rsidRDefault="002472F9" w:rsidP="00490AC6">
      <w:pPr>
        <w:rPr>
          <w:rFonts w:cstheme="minorHAnsi"/>
        </w:rPr>
      </w:pPr>
      <m:oMath>
        <m:m>
          <m:mPr>
            <m:plcHide m:val="1"/>
            <m:mcs>
              <m:mc>
                <m:mcPr>
                  <m:count m:val="2"/>
                  <m:mcJc m:val="left"/>
                </m:mcPr>
              </m:mc>
            </m:mcs>
            <m:ctrlPr>
              <w:rPr>
                <w:rStyle w:val="mi"/>
                <w:rFonts w:ascii="Cambria Math" w:hAnsi="Cambria Math" w:cstheme="minorHAnsi"/>
                <w:sz w:val="28"/>
                <w:szCs w:val="28"/>
                <w:bdr w:val="none" w:sz="0" w:space="0" w:color="auto" w:frame="1"/>
              </w:rPr>
            </m:ctrlPr>
          </m:mPr>
          <m:mr>
            <m:e/>
            <m:e>
              <m:r>
                <w:rPr>
                  <w:rStyle w:val="mi"/>
                  <w:rFonts w:ascii="Cambria Math" w:hAnsi="Cambria Math" w:cstheme="minorHAnsi"/>
                  <w:sz w:val="28"/>
                  <w:szCs w:val="28"/>
                  <w:bdr w:val="none" w:sz="0" w:space="0" w:color="auto" w:frame="1"/>
                </w:rPr>
                <m:t>y(x)=</m:t>
              </m:r>
              <m:d>
                <m:dPr>
                  <m:begChr m:val="["/>
                  <m:endChr m:val="]"/>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1-</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m:t>
                      </m:r>
                      <m:r>
                        <m:rPr>
                          <m:sty m:val="p"/>
                        </m:rPr>
                        <w:rPr>
                          <w:rStyle w:val="mi"/>
                          <w:rFonts w:ascii="Cambria Math" w:hAnsi="Cambria Math" w:cstheme="minorHAnsi"/>
                          <w:sz w:val="28"/>
                          <w:szCs w:val="28"/>
                          <w:bdr w:val="none" w:sz="0" w:space="0" w:color="auto" w:frame="1"/>
                        </w:rPr>
                        <m:t>∞</m:t>
                      </m:r>
                    </m:sub>
                    <m:sup>
                      <m:r>
                        <w:rPr>
                          <w:rStyle w:val="mi"/>
                          <w:rFonts w:ascii="Cambria Math" w:hAnsi="Cambria Math" w:cstheme="minorHAnsi"/>
                          <w:sz w:val="28"/>
                          <w:szCs w:val="28"/>
                          <w:bdr w:val="none" w:sz="0" w:space="0" w:color="auto" w:frame="1"/>
                        </w:rPr>
                        <m:t>x</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m:rPr>
                              <m:sty m:val="p"/>
                            </m:rP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(x,ξ)dξ</m:t>
                      </m:r>
                    </m:e>
                  </m:nary>
                </m:e>
              </m:d>
            </m:e>
          </m:mr>
          <m:mr>
            <m:e/>
            <m:e>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x</m:t>
                  </m:r>
                </m:sup>
                <m:e>
                  <m:r>
                    <w:rPr>
                      <w:rStyle w:val="mi"/>
                      <w:rFonts w:ascii="Cambria Math" w:hAnsi="Cambria Math" w:cstheme="minorHAnsi"/>
                      <w:sz w:val="28"/>
                      <w:szCs w:val="28"/>
                      <w:bdr w:val="none" w:sz="0" w:space="0" w:color="auto" w:frame="1"/>
                    </w:rPr>
                    <m:t>[2y(ξ)+z(ξ)]</m:t>
                  </m:r>
                </m:e>
              </m:nary>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m:rPr>
                      <m:sty m:val="p"/>
                    </m:rP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(x,x-ξ)dξ</m:t>
              </m:r>
            </m:e>
          </m:mr>
        </m:m>
      </m:oMath>
      <w:r w:rsidR="0022584E" w:rsidRPr="0022584E">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(4)</w:t>
      </w:r>
    </w:p>
    <w:p w14:paraId="4B909419" w14:textId="0B940740" w:rsidR="00D24768" w:rsidRPr="00345355" w:rsidRDefault="00D24768" w:rsidP="00490AC6">
      <w:pPr>
        <w:rPr>
          <w:rFonts w:cstheme="minorHAnsi"/>
        </w:rPr>
      </w:pPr>
      <w:r w:rsidRPr="00345355">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m:rPr>
                <m:sty m:val="p"/>
              </m:rPr>
              <w:rPr>
                <w:rStyle w:val="mi"/>
                <w:rFonts w:ascii="Cambria Math" w:hAnsi="Cambria Math" w:cstheme="minorHAnsi"/>
                <w:bdr w:val="none" w:sz="0" w:space="0" w:color="auto" w:frame="1"/>
              </w:rPr>
              <m:t>e</m:t>
            </m:r>
          </m:sub>
        </m:sSub>
      </m:oMath>
      <w:r w:rsidRPr="00345355">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m:rPr>
                <m:sty m:val="p"/>
              </m:rPr>
              <w:rPr>
                <w:rStyle w:val="mi"/>
                <w:rFonts w:ascii="Cambria Math" w:hAnsi="Cambria Math" w:cstheme="minorHAnsi"/>
                <w:bdr w:val="none" w:sz="0" w:space="0" w:color="auto" w:frame="1"/>
              </w:rPr>
              <m:t>h</m:t>
            </m:r>
          </m:sub>
        </m:sSub>
      </m:oMath>
      <w:r w:rsidRPr="00345355">
        <w:rPr>
          <w:rFonts w:cstheme="minorHAnsi"/>
        </w:rPr>
        <w:t xml:space="preserve"> are the probability density functions (p.d.f.'s) of the random free-path lengths of the electron and hole, respectively. The </w:t>
      </w:r>
      <w:proofErr w:type="spellStart"/>
      <w:r w:rsidRPr="00345355">
        <w:rPr>
          <w:rFonts w:cstheme="minorHAnsi"/>
        </w:rPr>
        <w:t>p.d.f.s</w:t>
      </w:r>
      <w:proofErr w:type="spellEnd"/>
      <w:r w:rsidRPr="00345355">
        <w:rPr>
          <w:rFonts w:cstheme="minorHAnsi"/>
        </w:rPr>
        <w:t xml:space="preserve"> take the following form [9, </w:t>
      </w:r>
      <w:proofErr w:type="spellStart"/>
      <w:r w:rsidRPr="00345355">
        <w:rPr>
          <w:rFonts w:cstheme="minorHAnsi"/>
        </w:rPr>
        <w:t>eqs</w:t>
      </w:r>
      <w:proofErr w:type="spellEnd"/>
      <w:r w:rsidRPr="00345355">
        <w:rPr>
          <w:rFonts w:cstheme="minorHAnsi"/>
        </w:rPr>
        <w:t>. (1a) and (1b)]:</w:t>
      </w:r>
    </w:p>
    <w:p w14:paraId="048E52BC" w14:textId="2034EED1" w:rsidR="00D24768" w:rsidRPr="00345355" w:rsidRDefault="002472F9" w:rsidP="00490AC6">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m:rPr>
                      <m:sty m:val="p"/>
                    </m:rP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(x,η)</m:t>
              </m:r>
            </m:e>
          </m:mr>
          <m:mr>
            <m:e/>
            <m:e>
              <m:r>
                <w:rPr>
                  <w:rStyle w:val="mi"/>
                  <w:rFonts w:ascii="Cambria Math" w:hAnsi="Cambria Math" w:cstheme="minorHAnsi"/>
                  <w:sz w:val="28"/>
                  <w:szCs w:val="28"/>
                  <w:bdr w:val="none" w:sz="0" w:space="0" w:color="auto" w:frame="1"/>
                </w:rPr>
                <m:t>=</m:t>
              </m:r>
              <m:d>
                <m:dPr>
                  <m:begChr m:val="{"/>
                  <m:endChr m:val=""/>
                  <m:ctrlPr>
                    <w:rPr>
                      <w:rStyle w:val="mi"/>
                      <w:rFonts w:ascii="Cambria Math" w:hAnsi="Cambria Math" w:cstheme="minorHAnsi"/>
                      <w:sz w:val="28"/>
                      <w:szCs w:val="28"/>
                      <w:bdr w:val="none" w:sz="0" w:space="0" w:color="auto" w:frame="1"/>
                    </w:rPr>
                  </m:ctrlPr>
                </m:dPr>
                <m:e>
                  <m:eqArr>
                    <m:eqArrPr>
                      <m:ctrlPr>
                        <w:rPr>
                          <w:rStyle w:val="mi"/>
                          <w:rFonts w:ascii="Cambria Math" w:hAnsi="Cambria Math" w:cstheme="minorHAnsi"/>
                          <w:sz w:val="28"/>
                          <w:szCs w:val="28"/>
                          <w:bdr w:val="none" w:sz="0" w:space="0" w:color="auto" w:frame="1"/>
                        </w:rPr>
                      </m:ctrlPr>
                    </m:eqArrPr>
                    <m:e>
                      <m:r>
                        <w:rPr>
                          <w:rStyle w:val="mi"/>
                          <w:rFonts w:ascii="Cambria Math" w:hAnsi="Cambria Math" w:cstheme="minorHAnsi"/>
                          <w:sz w:val="28"/>
                          <w:szCs w:val="28"/>
                          <w:bdr w:val="none" w:sz="0" w:space="0" w:color="auto" w:frame="1"/>
                        </w:rPr>
                        <m:t>0, η&lt;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m:rPr>
                              <m:sty m:val="p"/>
                            </m:rP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m:t>
                      </m:r>
                    </m:e>
                    <m:e>
                      <m:r>
                        <w:rPr>
                          <w:rStyle w:val="mi"/>
                          <w:rFonts w:ascii="Cambria Math" w:hAnsi="Cambria Math" w:cstheme="minorHAnsi"/>
                          <w:sz w:val="28"/>
                          <w:szCs w:val="28"/>
                          <w:bdr w:val="none" w:sz="0" w:space="0" w:color="auto" w:frame="1"/>
                        </w:rPr>
                        <m:t>α(η+x)</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m:rPr>
                                      <m:sty m:val="p"/>
                                    </m:rP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η</m:t>
                              </m:r>
                            </m:sup>
                            <m:e>
                              <m:r>
                                <w:rPr>
                                  <w:rStyle w:val="mi"/>
                                  <w:rFonts w:ascii="Cambria Math" w:hAnsi="Cambria Math" w:cstheme="minorHAnsi"/>
                                  <w:sz w:val="28"/>
                                  <w:szCs w:val="28"/>
                                  <w:bdr w:val="none" w:sz="0" w:space="0" w:color="auto" w:frame="1"/>
                                </w:rPr>
                                <m:t>α(x+σ)dσ</m:t>
                              </m:r>
                            </m:e>
                          </m:nary>
                        </m:sup>
                      </m:s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m:rPr>
                              <m:sty m:val="p"/>
                            </m:rP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(x)≤η≤W-x</m:t>
                      </m:r>
                    </m:e>
                  </m:eqArr>
                </m:e>
              </m:d>
            </m:e>
          </m:mr>
          <m: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m:rPr>
                      <m:sty m:val="p"/>
                    </m:rP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(x,η)</m:t>
              </m:r>
            </m:e>
          </m:mr>
          <m:mr>
            <m:e/>
            <m:e>
              <m:r>
                <w:rPr>
                  <w:rStyle w:val="mi"/>
                  <w:rFonts w:ascii="Cambria Math" w:hAnsi="Cambria Math" w:cstheme="minorHAnsi"/>
                  <w:sz w:val="28"/>
                  <w:szCs w:val="28"/>
                  <w:bdr w:val="none" w:sz="0" w:space="0" w:color="auto" w:frame="1"/>
                </w:rPr>
                <m:t>=</m:t>
              </m:r>
              <m:d>
                <m:dPr>
                  <m:begChr m:val="{"/>
                  <m:endChr m:val=""/>
                  <m:ctrlPr>
                    <w:rPr>
                      <w:rStyle w:val="mi"/>
                      <w:rFonts w:ascii="Cambria Math" w:hAnsi="Cambria Math" w:cstheme="minorHAnsi"/>
                      <w:sz w:val="28"/>
                      <w:szCs w:val="28"/>
                      <w:bdr w:val="none" w:sz="0" w:space="0" w:color="auto" w:frame="1"/>
                    </w:rPr>
                  </m:ctrlPr>
                </m:dPr>
                <m:e>
                  <m:eqArr>
                    <m:eqArrPr>
                      <m:ctrlPr>
                        <w:rPr>
                          <w:rStyle w:val="mi"/>
                          <w:rFonts w:ascii="Cambria Math" w:hAnsi="Cambria Math" w:cstheme="minorHAnsi"/>
                          <w:sz w:val="28"/>
                          <w:szCs w:val="28"/>
                          <w:bdr w:val="none" w:sz="0" w:space="0" w:color="auto" w:frame="1"/>
                        </w:rPr>
                      </m:ctrlPr>
                    </m:eqArrPr>
                    <m:e>
                      <m:r>
                        <w:rPr>
                          <w:rStyle w:val="mi"/>
                          <w:rFonts w:ascii="Cambria Math" w:hAnsi="Cambria Math" w:cstheme="minorHAnsi"/>
                          <w:sz w:val="28"/>
                          <w:szCs w:val="28"/>
                          <w:bdr w:val="none" w:sz="0" w:space="0" w:color="auto" w:frame="1"/>
                        </w:rPr>
                        <m:t>0,η&lt;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m:rPr>
                              <m:sty m:val="p"/>
                            </m:rP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m:t>
                      </m:r>
                    </m:e>
                    <m:e>
                      <m:r>
                        <w:rPr>
                          <w:rStyle w:val="mi"/>
                          <w:rFonts w:ascii="Cambria Math" w:hAnsi="Cambria Math" w:cstheme="minorHAnsi"/>
                          <w:sz w:val="28"/>
                          <w:szCs w:val="28"/>
                          <w:bdr w:val="none" w:sz="0" w:space="0" w:color="auto" w:frame="1"/>
                        </w:rPr>
                        <m:t>β(x-η)</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m:rPr>
                                      <m:sty m:val="p"/>
                                    </m:rP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η</m:t>
                              </m:r>
                            </m:sup>
                            <m:e>
                              <m:r>
                                <w:rPr>
                                  <w:rStyle w:val="mi"/>
                                  <w:rFonts w:ascii="Cambria Math" w:hAnsi="Cambria Math" w:cstheme="minorHAnsi"/>
                                  <w:sz w:val="28"/>
                                  <w:szCs w:val="28"/>
                                  <w:bdr w:val="none" w:sz="0" w:space="0" w:color="auto" w:frame="1"/>
                                </w:rPr>
                                <m:t>β(x-σ)dσ</m:t>
                              </m:r>
                            </m:e>
                          </m:nary>
                        </m:sup>
                      </m:s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m:rPr>
                              <m:sty m:val="p"/>
                            </m:rP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(x)≤η≤x</m:t>
                      </m:r>
                    </m:e>
                  </m:eqArr>
                </m:e>
              </m:d>
            </m:e>
          </m:mr>
        </m:m>
      </m:oMath>
      <w:r w:rsidR="00A1366A" w:rsidRPr="00A1366A">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(5</w:t>
      </w:r>
      <w:proofErr w:type="gramStart"/>
      <w:r w:rsidR="00D24768" w:rsidRPr="00345355">
        <w:rPr>
          <w:rStyle w:val="mtext"/>
          <w:rFonts w:cstheme="minorHAnsi"/>
          <w:bdr w:val="none" w:sz="0" w:space="0" w:color="auto" w:frame="1"/>
        </w:rPr>
        <w:t>a)(</w:t>
      </w:r>
      <w:proofErr w:type="gramEnd"/>
      <w:r w:rsidR="00D24768" w:rsidRPr="00345355">
        <w:rPr>
          <w:rStyle w:val="mtext"/>
          <w:rFonts w:cstheme="minorHAnsi"/>
          <w:bdr w:val="none" w:sz="0" w:space="0" w:color="auto" w:frame="1"/>
        </w:rPr>
        <w:t>5b)</w:t>
      </w:r>
    </w:p>
    <w:p w14:paraId="6308ACFE" w14:textId="51737D1B" w:rsidR="00D24768" w:rsidRPr="00345355" w:rsidRDefault="00D24768" w:rsidP="00490AC6">
      <w:pPr>
        <w:rPr>
          <w:rFonts w:cstheme="minorHAnsi"/>
        </w:rPr>
      </w:pPr>
      <w:r w:rsidRPr="00345355">
        <w:rPr>
          <w:rFonts w:cstheme="minorHAnsi"/>
        </w:rPr>
        <w:t>where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oMath>
      <w:r w:rsidRPr="00345355">
        <w:rPr>
          <w:rFonts w:cstheme="minorHAnsi"/>
        </w:rPr>
        <w:t> is the ionization probability density of the electron that may ionize at location </w:t>
      </w:r>
      <m:oMath>
        <m:r>
          <w:rPr>
            <w:rStyle w:val="mi"/>
            <w:rFonts w:ascii="Cambria Math" w:hAnsi="Cambria Math" w:cstheme="minorHAnsi"/>
            <w:bdr w:val="none" w:sz="0" w:space="0" w:color="auto" w:frame="1"/>
          </w:rPr>
          <m:t>y∈[x+</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(x),W]</m:t>
        </m:r>
      </m:oMath>
      <w:r w:rsidRPr="00345355">
        <w:rPr>
          <w:rFonts w:cstheme="minorHAnsi"/>
        </w:rPr>
        <w:t> after it travels without ionizing a distance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(x)</m:t>
        </m:r>
      </m:oMath>
      <w:r w:rsidRPr="00345355">
        <w:rPr>
          <w:rFonts w:cstheme="minorHAnsi"/>
        </w:rPr>
        <w:t>. Similarly, </w:t>
      </w:r>
      <m:oMath>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oMath>
      <w:r w:rsidRPr="00345355">
        <w:rPr>
          <w:rFonts w:cstheme="minorHAnsi"/>
        </w:rPr>
        <w:t xml:space="preserve"> is the ionization probability density of </w:t>
      </w:r>
      <w:r w:rsidRPr="00345355">
        <w:rPr>
          <w:rFonts w:cstheme="minorHAnsi"/>
        </w:rPr>
        <w:lastRenderedPageBreak/>
        <w:t>the hole that may ionize at location </w:t>
      </w:r>
      <m:oMath>
        <m:r>
          <w:rPr>
            <w:rStyle w:val="mi"/>
            <w:rFonts w:ascii="Cambria Math" w:hAnsi="Cambria Math" w:cstheme="minorHAnsi"/>
            <w:bdr w:val="none" w:sz="0" w:space="0" w:color="auto" w:frame="1"/>
          </w:rPr>
          <m:t>y∈[0,x-</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(x)]</m:t>
        </m:r>
      </m:oMath>
      <w:r w:rsidRPr="00345355">
        <w:rPr>
          <w:rFonts w:cstheme="minorHAnsi"/>
        </w:rPr>
        <w:t> after it travels in an opposite direction without ionizing a distance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(x)</m:t>
        </m:r>
      </m:oMath>
      <w:r w:rsidRPr="00345355">
        <w:rPr>
          <w:rFonts w:cstheme="minorHAnsi"/>
        </w:rPr>
        <w:t>. Thus, the mean gain </w:t>
      </w:r>
      <m:oMath>
        <m:r>
          <w:rPr>
            <w:rStyle w:val="mo"/>
            <w:rFonts w:ascii="Cambria Math" w:hAnsi="Cambria Math" w:cs="Cambria Math"/>
            <w:bdr w:val="none" w:sz="0" w:space="0" w:color="auto" w:frame="1"/>
          </w:rPr>
          <m:t>⟨G⟩</m:t>
        </m:r>
      </m:oMath>
      <w:r w:rsidRPr="00345355">
        <w:rPr>
          <w:rFonts w:cstheme="minorHAnsi"/>
        </w:rPr>
        <w:t> can be obtained as follows:</w:t>
      </w:r>
    </w:p>
    <w:p w14:paraId="5EE17D0A" w14:textId="4D87AD6E" w:rsidR="00D24768" w:rsidRPr="00345355" w:rsidRDefault="002472F9" w:rsidP="00490AC6">
      <w:pPr>
        <w:rPr>
          <w:rFonts w:cstheme="minorHAnsi"/>
        </w:rPr>
      </w:pPr>
      <m:oMath>
        <m:m>
          <m:mPr>
            <m:plcHide m:val="1"/>
            <m:mcs>
              <m:mc>
                <m:mcPr>
                  <m:count m:val="1"/>
                  <m:mcJc m:val="center"/>
                </m:mcPr>
              </m:mc>
            </m:mcs>
            <m:ctrlPr>
              <w:rPr>
                <w:rStyle w:val="mo"/>
                <w:rFonts w:ascii="Cambria Math" w:hAnsi="Cambria Math" w:cs="Cambria Math"/>
                <w:sz w:val="28"/>
                <w:szCs w:val="28"/>
                <w:bdr w:val="none" w:sz="0" w:space="0" w:color="auto" w:frame="1"/>
              </w:rPr>
            </m:ctrlPr>
          </m:mPr>
          <m:mr>
            <m:e>
              <m:r>
                <w:rPr>
                  <w:rStyle w:val="mo"/>
                  <w:rFonts w:ascii="Cambria Math" w:hAnsi="Cambria Math" w:cs="Cambria Math"/>
                  <w:sz w:val="28"/>
                  <w:szCs w:val="28"/>
                  <w:bdr w:val="none" w:sz="0" w:space="0" w:color="auto" w:frame="1"/>
                </w:rPr>
                <m:t>⟨G⟩=</m:t>
              </m:r>
              <m:f>
                <m:fPr>
                  <m:ctrlPr>
                    <w:rPr>
                      <w:rStyle w:val="mo"/>
                      <w:rFonts w:ascii="Cambria Math" w:hAnsi="Cambria Math" w:cs="Cambria Math"/>
                      <w:sz w:val="28"/>
                      <w:szCs w:val="28"/>
                      <w:bdr w:val="none" w:sz="0" w:space="0" w:color="auto" w:frame="1"/>
                    </w:rPr>
                  </m:ctrlPr>
                </m:fPr>
                <m:num>
                  <m:r>
                    <w:rPr>
                      <w:rStyle w:val="mo"/>
                      <w:rFonts w:ascii="Cambria Math" w:hAnsi="Cambria Math" w:cs="Cambria Math"/>
                      <w:sz w:val="28"/>
                      <w:szCs w:val="28"/>
                      <w:bdr w:val="none" w:sz="0" w:space="0" w:color="auto" w:frame="1"/>
                    </w:rPr>
                    <m:t>1</m:t>
                  </m:r>
                </m:num>
                <m:den>
                  <m:r>
                    <w:rPr>
                      <w:rStyle w:val="mo"/>
                      <w:rFonts w:ascii="Cambria Math" w:hAnsi="Cambria Math" w:cs="Cambria Math"/>
                      <w:sz w:val="28"/>
                      <w:szCs w:val="28"/>
                      <w:bdr w:val="none" w:sz="0" w:space="0" w:color="auto" w:frame="1"/>
                    </w:rPr>
                    <m:t>2</m:t>
                  </m:r>
                </m:den>
              </m:f>
              <m:r>
                <w:rPr>
                  <w:rStyle w:val="mo"/>
                  <w:rFonts w:ascii="Cambria Math" w:hAnsi="Cambria Math" w:cs="Cambria Math"/>
                  <w:sz w:val="28"/>
                  <w:szCs w:val="28"/>
                  <w:bdr w:val="none" w:sz="0" w:space="0" w:color="auto" w:frame="1"/>
                </w:rPr>
                <m:t>[z(0)+1]</m:t>
              </m:r>
            </m:e>
          </m:mr>
        </m:m>
      </m:oMath>
      <w:r w:rsidR="00F96D70" w:rsidRPr="00F96D70">
        <w:rPr>
          <w:rStyle w:val="mo"/>
          <w:rFonts w:cs="Cambria Math"/>
          <w:sz w:val="28"/>
          <w:szCs w:val="28"/>
          <w:bdr w:val="none" w:sz="0" w:space="0" w:color="auto" w:frame="1"/>
        </w:rPr>
        <w:t xml:space="preserve"> </w:t>
      </w:r>
      <w:r w:rsidR="00D24768" w:rsidRPr="00345355">
        <w:rPr>
          <w:rStyle w:val="mtext"/>
          <w:rFonts w:cstheme="minorHAnsi"/>
          <w:bdr w:val="none" w:sz="0" w:space="0" w:color="auto" w:frame="1"/>
        </w:rPr>
        <w:t>(6)</w:t>
      </w:r>
    </w:p>
    <w:p w14:paraId="0B86D0A3" w14:textId="05BFA8FA" w:rsidR="00D24768" w:rsidRPr="00345355" w:rsidRDefault="00D24768" w:rsidP="00490AC6">
      <w:pPr>
        <w:rPr>
          <w:rFonts w:cstheme="minorHAnsi"/>
        </w:rPr>
      </w:pPr>
      <w:r w:rsidRPr="00345355">
        <w:rPr>
          <w:rFonts w:cstheme="minorHAnsi"/>
        </w:rPr>
        <w:t xml:space="preserve">while the excess noise factor, </w:t>
      </w:r>
      <m:oMath>
        <m:r>
          <w:rPr>
            <w:rFonts w:ascii="Cambria Math" w:hAnsi="Cambria Math" w:cstheme="minorHAnsi"/>
          </w:rPr>
          <m:t>F</m:t>
        </m:r>
      </m:oMath>
      <w:r w:rsidRPr="00345355">
        <w:rPr>
          <w:rFonts w:cstheme="minorHAnsi"/>
        </w:rPr>
        <w:t>, is given by [8, eq. (11)]</w:t>
      </w:r>
    </w:p>
    <w:p w14:paraId="4DFEB530" w14:textId="3A029CF4" w:rsidR="00D24768" w:rsidRPr="00345355" w:rsidRDefault="002472F9" w:rsidP="00490AC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F=</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G</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m:t>
                  </m:r>
                </m:num>
                <m:den>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⟨G⟩</m:t>
                      </m:r>
                    </m:e>
                    <m:sup>
                      <m:r>
                        <w:rPr>
                          <w:rStyle w:val="mi"/>
                          <w:rFonts w:ascii="Cambria Math" w:hAnsi="Cambria Math" w:cstheme="minorHAnsi"/>
                          <w:sz w:val="28"/>
                          <w:szCs w:val="28"/>
                          <w:bdr w:val="none" w:sz="0" w:space="0" w:color="auto" w:frame="1"/>
                        </w:rPr>
                        <m:t>2</m:t>
                      </m:r>
                    </m:sup>
                  </m:sSup>
                </m:den>
              </m:f>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(0)+2z(0)+1</m:t>
                  </m:r>
                </m:num>
                <m:den>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(z(0)+1)</m:t>
                      </m:r>
                    </m:e>
                    <m:sup>
                      <m:r>
                        <w:rPr>
                          <w:rStyle w:val="mi"/>
                          <w:rFonts w:ascii="Cambria Math" w:hAnsi="Cambria Math" w:cstheme="minorHAnsi"/>
                          <w:sz w:val="28"/>
                          <w:szCs w:val="28"/>
                          <w:bdr w:val="none" w:sz="0" w:space="0" w:color="auto" w:frame="1"/>
                        </w:rPr>
                        <m:t>2</m:t>
                      </m:r>
                    </m:sup>
                  </m:sSup>
                </m:den>
              </m:f>
            </m:e>
          </m:mr>
        </m:m>
      </m:oMath>
      <w:r w:rsidR="00AB1E25" w:rsidRPr="00AB1E25">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(7)</w:t>
      </w:r>
    </w:p>
    <w:p w14:paraId="3F79C037" w14:textId="757D7FDC" w:rsidR="00D24768" w:rsidRPr="00345355" w:rsidRDefault="00D24768" w:rsidP="00490AC6">
      <w:pPr>
        <w:rPr>
          <w:rFonts w:cstheme="minorHAnsi"/>
        </w:rPr>
      </w:pPr>
      <w:r w:rsidRPr="00345355">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(x)</m:t>
        </m:r>
      </m:oMath>
      <w:r w:rsidRPr="00345355">
        <w:rPr>
          <w:rFonts w:cstheme="minorHAnsi"/>
        </w:rPr>
        <w:t> is the second moment of </w:t>
      </w:r>
      <m:oMath>
        <m:r>
          <w:rPr>
            <w:rStyle w:val="mi"/>
            <w:rFonts w:ascii="Cambria Math" w:hAnsi="Cambria Math" w:cstheme="minorHAnsi"/>
            <w:bdr w:val="none" w:sz="0" w:space="0" w:color="auto" w:frame="1"/>
          </w:rPr>
          <m:t>Z</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Pr="00345355">
        <w:rPr>
          <w:rFonts w:cstheme="minorHAnsi"/>
        </w:rPr>
        <w:t>. For </w:t>
      </w:r>
      <m:oMath>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&lt;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&lt;</m:t>
        </m:r>
        <m:r>
          <w:rPr>
            <w:rStyle w:val="mi"/>
            <w:rFonts w:ascii="Cambria Math" w:hAnsi="Cambria Math" w:cstheme="minorHAnsi"/>
            <w:bdr w:val="none" w:sz="0" w:space="0" w:color="auto" w:frame="1"/>
          </w:rPr>
          <m:t>W</m:t>
        </m:r>
      </m:oMath>
      <w:r w:rsidRPr="00345355">
        <w:rPr>
          <w:rFonts w:cstheme="minorHAnsi"/>
        </w:rPr>
        <w:t>, it can be described as follows:</w:t>
      </w:r>
    </w:p>
    <w:p w14:paraId="3CCFC649" w14:textId="3A17EBB1" w:rsidR="00D24768" w:rsidRPr="00345355" w:rsidRDefault="002472F9" w:rsidP="00490AC6">
      <w:pPr>
        <w:rPr>
          <w:rFonts w:cstheme="minorHAnsi"/>
        </w:rPr>
      </w:pPr>
      <m:oMath>
        <m:m>
          <m:mPr>
            <m:plcHide m:val="1"/>
            <m:mcs>
              <m:mc>
                <m:mcPr>
                  <m:count m:val="2"/>
                  <m:mcJc m:val="left"/>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(x)=</m:t>
              </m:r>
            </m:e>
            <m:e>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Z</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(x)⟩</m:t>
              </m:r>
            </m:e>
          </m:mr>
          <m:mr>
            <m:e>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[1-</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m:t>
                  </m:r>
                  <m:r>
                    <m:rPr>
                      <m:sty m:val="p"/>
                    </m:rPr>
                    <w:rPr>
                      <w:rStyle w:val="mi"/>
                      <w:rFonts w:ascii="Cambria Math" w:hAnsi="Cambria Math" w:cstheme="minorHAnsi"/>
                      <w:sz w:val="28"/>
                      <w:szCs w:val="28"/>
                      <w:bdr w:val="none" w:sz="0" w:space="0" w:color="auto" w:frame="1"/>
                    </w:rPr>
                    <m:t>∞</m:t>
                  </m:r>
                </m:sub>
                <m:sup>
                  <m:r>
                    <w:rPr>
                      <w:rStyle w:val="mi"/>
                      <w:rFonts w:ascii="Cambria Math" w:hAnsi="Cambria Math" w:cstheme="minorHAnsi"/>
                      <w:sz w:val="28"/>
                      <w:szCs w:val="28"/>
                      <w:bdr w:val="none" w:sz="0" w:space="0" w:color="auto" w:frame="1"/>
                    </w:rPr>
                    <m:t>W-x</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m:rPr>
                          <m:sty m:val="p"/>
                        </m:rP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(x,ξ)dξ</m:t>
                  </m:r>
                </m:e>
              </m:nary>
              <m:r>
                <w:rPr>
                  <w:rStyle w:val="mi"/>
                  <w:rFonts w:ascii="Cambria Math" w:hAnsi="Cambria Math" w:cstheme="minorHAnsi"/>
                  <w:sz w:val="28"/>
                  <w:szCs w:val="28"/>
                  <w:bdr w:val="none" w:sz="0" w:space="0" w:color="auto" w:frame="1"/>
                </w:rPr>
                <m:t>]</m:t>
              </m:r>
            </m:e>
          </m:mr>
          <m:mr>
            <m:e/>
            <m:e>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x</m:t>
                  </m:r>
                </m:sup>
                <m:e>
                  <m:r>
                    <w:rPr>
                      <w:rStyle w:val="mi"/>
                      <w:rFonts w:ascii="Cambria Math" w:hAnsi="Cambria Math" w:cstheme="minorHAnsi"/>
                      <w:sz w:val="28"/>
                      <w:szCs w:val="28"/>
                      <w:bdr w:val="none" w:sz="0" w:space="0" w:color="auto" w:frame="1"/>
                    </w:rPr>
                    <m:t>[2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(ξ)+</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(ξ)+4z(ξ)y(ξ)+2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z</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(ξ)]</m:t>
                  </m:r>
                </m:e>
              </m:nary>
            </m:e>
          </m:mr>
          <m:mr>
            <m:e/>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m:rPr>
                      <m:sty m:val="p"/>
                    </m:rP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(x,ξ-x)dξ</m:t>
              </m:r>
            </m:e>
          </m:mr>
        </m:m>
      </m:oMath>
      <w:r w:rsidR="002B7774" w:rsidRPr="002B7774">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(8)</w:t>
      </w:r>
    </w:p>
    <w:p w14:paraId="09F6C33A" w14:textId="738857A6" w:rsidR="00D24768" w:rsidRPr="00345355" w:rsidRDefault="00D24768" w:rsidP="00490AC6">
      <w:pPr>
        <w:rPr>
          <w:rFonts w:cstheme="minorHAnsi"/>
        </w:rPr>
      </w:pPr>
      <w:r w:rsidRPr="00345355">
        <w:rPr>
          <w:rFonts w:cstheme="minorHAnsi"/>
        </w:rPr>
        <w:t>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(x)</m:t>
        </m:r>
      </m:oMath>
      <w:r w:rsidRPr="00345355">
        <w:rPr>
          <w:rFonts w:cstheme="minorHAnsi"/>
        </w:rPr>
        <w:t> is the second moment of </w:t>
      </w:r>
      <m:oMath>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Pr="00345355">
        <w:rPr>
          <w:rFonts w:cstheme="minorHAnsi"/>
        </w:rPr>
        <w:t>, determined as follows:</w:t>
      </w:r>
    </w:p>
    <w:p w14:paraId="5AAC4057" w14:textId="5F331D86" w:rsidR="00D24768" w:rsidRPr="00345355" w:rsidRDefault="002472F9" w:rsidP="00490AC6">
      <w:pPr>
        <w:rPr>
          <w:rFonts w:cstheme="minorHAnsi"/>
        </w:rPr>
      </w:pPr>
      <m:oMath>
        <m:m>
          <m:mPr>
            <m:plcHide m:val="1"/>
            <m:mcs>
              <m:mc>
                <m:mcPr>
                  <m:count m:val="1"/>
                  <m:mcJc m:val="right"/>
                </m:mcPr>
              </m:mc>
              <m:mc>
                <m:mcPr>
                  <m:count m:val="1"/>
                  <m:mcJc m:val="left"/>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(x)=</m:t>
              </m:r>
            </m:e>
            <m:e>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Y</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(x)⟩</m:t>
              </m:r>
            </m:e>
          </m:mr>
          <m:mr>
            <m:e>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[1-</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m:t>
                  </m:r>
                  <m:r>
                    <m:rPr>
                      <m:sty m:val="p"/>
                    </m:rPr>
                    <w:rPr>
                      <w:rStyle w:val="mi"/>
                      <w:rFonts w:ascii="Cambria Math" w:hAnsi="Cambria Math" w:cstheme="minorHAnsi"/>
                      <w:sz w:val="28"/>
                      <w:szCs w:val="28"/>
                      <w:bdr w:val="none" w:sz="0" w:space="0" w:color="auto" w:frame="1"/>
                    </w:rPr>
                    <m:t>∞</m:t>
                  </m:r>
                </m:sub>
                <m:sup>
                  <m:r>
                    <w:rPr>
                      <w:rStyle w:val="mi"/>
                      <w:rFonts w:ascii="Cambria Math" w:hAnsi="Cambria Math" w:cstheme="minorHAnsi"/>
                      <w:sz w:val="28"/>
                      <w:szCs w:val="28"/>
                      <w:bdr w:val="none" w:sz="0" w:space="0" w:color="auto" w:frame="1"/>
                    </w:rPr>
                    <m:t>W-x</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m:rPr>
                          <m:sty m:val="p"/>
                        </m:rP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(x,ξ)dξ</m:t>
                  </m:r>
                </m:e>
              </m:nary>
              <m:r>
                <w:rPr>
                  <w:rStyle w:val="mi"/>
                  <w:rFonts w:ascii="Cambria Math" w:hAnsi="Cambria Math" w:cstheme="minorHAnsi"/>
                  <w:sz w:val="28"/>
                  <w:szCs w:val="28"/>
                  <w:bdr w:val="none" w:sz="0" w:space="0" w:color="auto" w:frame="1"/>
                </w:rPr>
                <m:t>]</m:t>
              </m:r>
            </m:e>
          </m:mr>
          <m:mr>
            <m:e/>
            <m:e>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x</m:t>
                  </m:r>
                </m:sup>
                <m:e>
                  <m:r>
                    <w:rPr>
                      <w:rStyle w:val="mi"/>
                      <w:rFonts w:ascii="Cambria Math" w:hAnsi="Cambria Math" w:cstheme="minorHAnsi"/>
                      <w:sz w:val="28"/>
                      <w:szCs w:val="28"/>
                      <w:bdr w:val="none" w:sz="0" w:space="0" w:color="auto" w:frame="1"/>
                    </w:rPr>
                    <m:t>[2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(ξ)+</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(ξ)+4z(ξ)y(ξ)+2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y</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(ξ)]</m:t>
                  </m:r>
                </m:e>
              </m:nary>
            </m:e>
          </m:mr>
          <m: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m:rPr>
                      <m:sty m:val="p"/>
                    </m:rP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(x,ξ-x)dξ</m:t>
              </m:r>
            </m:e>
          </m:mr>
        </m:m>
      </m:oMath>
      <w:r w:rsidR="00554908" w:rsidRPr="00554908">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(9)</w:t>
      </w:r>
    </w:p>
    <w:p w14:paraId="1D2D3342" w14:textId="70B1708C" w:rsidR="00D24768" w:rsidRPr="00345355" w:rsidRDefault="00D24768" w:rsidP="00490AC6">
      <w:pPr>
        <w:rPr>
          <w:rFonts w:cstheme="minorHAnsi"/>
        </w:rPr>
      </w:pPr>
      <w:r w:rsidRPr="00345355">
        <w:rPr>
          <w:rFonts w:cstheme="minorHAnsi"/>
        </w:rPr>
        <w:t>while at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W</m:t>
        </m:r>
      </m:oMath>
    </w:p>
    <w:p w14:paraId="6A1422CC" w14:textId="1F633842" w:rsidR="00D24768" w:rsidRPr="00345355" w:rsidRDefault="002472F9" w:rsidP="00490AC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(W)=1</m:t>
              </m:r>
            </m:e>
          </m:mr>
        </m:m>
      </m:oMath>
      <w:r w:rsidR="00913CCB" w:rsidRPr="00913CCB">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(10)</w:t>
      </w:r>
    </w:p>
    <w:p w14:paraId="2187D250" w14:textId="488E51BD" w:rsidR="00D24768" w:rsidRPr="00345355" w:rsidRDefault="00D24768" w:rsidP="00490AC6">
      <w:pPr>
        <w:rPr>
          <w:rFonts w:cstheme="minorHAnsi"/>
        </w:rPr>
      </w:pPr>
      <w:r w:rsidRPr="00345355">
        <w:rPr>
          <w:rFonts w:cstheme="minorHAnsi"/>
        </w:rPr>
        <w:t>and at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p>
    <w:p w14:paraId="729C179C" w14:textId="39CE12EE" w:rsidR="00D24768" w:rsidRPr="00345355" w:rsidRDefault="002472F9" w:rsidP="00490AC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(W)=1.</m:t>
              </m:r>
            </m:e>
          </m:mr>
        </m:m>
      </m:oMath>
      <w:r w:rsidR="009A7FEA" w:rsidRPr="009A7FEA">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(11)</w:t>
      </w:r>
    </w:p>
    <w:p w14:paraId="3BF2A2F4" w14:textId="77777777" w:rsidR="00D24768" w:rsidRPr="00345355" w:rsidRDefault="00D24768" w:rsidP="00490AC6">
      <w:pPr>
        <w:rPr>
          <w:rFonts w:cstheme="minorHAnsi"/>
        </w:rPr>
      </w:pPr>
      <w:r w:rsidRPr="00345355">
        <w:rPr>
          <w:rFonts w:cstheme="minorHAnsi"/>
        </w:rPr>
        <w:t>The mean gain and the excess noise factor can be estimated by solving the recurrence </w:t>
      </w:r>
      <w:hyperlink r:id="rId14" w:anchor="deqn3" w:history="1">
        <w:r w:rsidRPr="00345355">
          <w:rPr>
            <w:rStyle w:val="Hyperlink"/>
            <w:rFonts w:eastAsiaTheme="majorEastAsia" w:cstheme="minorHAnsi"/>
            <w:color w:val="006699"/>
          </w:rPr>
          <w:t>(3)</w:t>
        </w:r>
      </w:hyperlink>
      <w:r w:rsidRPr="00345355">
        <w:rPr>
          <w:rFonts w:cstheme="minorHAnsi"/>
        </w:rPr>
        <w:t>, </w:t>
      </w:r>
      <w:hyperlink r:id="rId15" w:anchor="deqn4" w:history="1">
        <w:r w:rsidRPr="00345355">
          <w:rPr>
            <w:rStyle w:val="Hyperlink"/>
            <w:rFonts w:eastAsiaTheme="majorEastAsia" w:cstheme="minorHAnsi"/>
            <w:color w:val="006699"/>
          </w:rPr>
          <w:t>(4)</w:t>
        </w:r>
      </w:hyperlink>
      <w:r w:rsidRPr="00345355">
        <w:rPr>
          <w:rFonts w:cstheme="minorHAnsi"/>
        </w:rPr>
        <w:t>, </w:t>
      </w:r>
      <w:hyperlink r:id="rId16" w:anchor="deqn8" w:history="1">
        <w:r w:rsidRPr="00345355">
          <w:rPr>
            <w:rStyle w:val="Hyperlink"/>
            <w:rFonts w:eastAsiaTheme="majorEastAsia" w:cstheme="minorHAnsi"/>
            <w:color w:val="006699"/>
          </w:rPr>
          <w:t>(8)</w:t>
        </w:r>
      </w:hyperlink>
      <w:r w:rsidRPr="00345355">
        <w:rPr>
          <w:rFonts w:cstheme="minorHAnsi"/>
        </w:rPr>
        <w:t>, and </w:t>
      </w:r>
      <w:hyperlink r:id="rId17" w:anchor="deqn9" w:history="1">
        <w:r w:rsidRPr="00345355">
          <w:rPr>
            <w:rStyle w:val="Hyperlink"/>
            <w:rFonts w:eastAsiaTheme="majorEastAsia" w:cstheme="minorHAnsi"/>
            <w:color w:val="006699"/>
          </w:rPr>
          <w:t>(9)</w:t>
        </w:r>
      </w:hyperlink>
      <w:r w:rsidRPr="00345355">
        <w:rPr>
          <w:rFonts w:cstheme="minorHAnsi"/>
        </w:rPr>
        <w:t> using iterative numerical method.</w:t>
      </w:r>
    </w:p>
    <w:p w14:paraId="620C9E50" w14:textId="48A5C70B" w:rsidR="00D24768" w:rsidRPr="009A7FEA" w:rsidRDefault="00D24768" w:rsidP="009A7FEA">
      <w:pPr>
        <w:pStyle w:val="Heading1"/>
      </w:pPr>
      <w:r w:rsidRPr="009A7FEA">
        <w:t>SECTION III.</w:t>
      </w:r>
      <w:r w:rsidR="009A7FEA" w:rsidRPr="009A7FEA">
        <w:t xml:space="preserve"> </w:t>
      </w:r>
      <w:r w:rsidRPr="009A7FEA">
        <w:t>Novel Structures and Application of Dead Space Multiplication Theory</w:t>
      </w:r>
    </w:p>
    <w:p w14:paraId="192246DF" w14:textId="77777777" w:rsidR="00D24768" w:rsidRPr="00345355" w:rsidRDefault="00D24768" w:rsidP="00490AC6">
      <w:pPr>
        <w:rPr>
          <w:rFonts w:cstheme="minorHAnsi"/>
        </w:rPr>
      </w:pPr>
      <w:r w:rsidRPr="00345355">
        <w:rPr>
          <w:rFonts w:cstheme="minorHAnsi"/>
        </w:rPr>
        <w:t>An APD with conventional SAM structure is shown in Fig. 1(a). To show the structure, area absorption denotes Superlattices structure region for absorber, electron multiplication for electron multiplication region.</w:t>
      </w:r>
    </w:p>
    <w:p w14:paraId="53058A63" w14:textId="5C3A512B" w:rsidR="00D24768" w:rsidRPr="00345355" w:rsidRDefault="00D24768" w:rsidP="00C22FCF">
      <w:pPr>
        <w:pStyle w:val="NoSpacing"/>
        <w:rPr>
          <w:rStyle w:val="Hyperlink"/>
          <w:rFonts w:cstheme="minorHAnsi"/>
          <w:color w:val="006699"/>
          <w:u w:val="none"/>
        </w:rPr>
      </w:pPr>
      <w:r w:rsidRPr="00345355">
        <w:fldChar w:fldCharType="begin"/>
      </w:r>
      <w:r w:rsidRPr="00345355">
        <w:instrText xml:space="preserve"> HYPERLINK "https://ieeexplore.ieee.org/mediastore_new/IEEE/content/media/16/6542005/6527309/6527309-fig-1-source-large.gif" </w:instrText>
      </w:r>
      <w:r w:rsidRPr="00345355">
        <w:fldChar w:fldCharType="separate"/>
      </w:r>
      <w:r w:rsidRPr="00345355">
        <w:rPr>
          <w:noProof/>
        </w:rPr>
        <w:drawing>
          <wp:inline distT="0" distB="0" distL="0" distR="0" wp14:anchorId="75D47F42" wp14:editId="03B5ABC5">
            <wp:extent cx="2743200" cy="1207008"/>
            <wp:effectExtent l="0" t="0" r="0" b="0"/>
            <wp:docPr id="10" name="Picture 10" descr="Fig. 1. Four structures with different multiplication regions. (a) Single carrier (electron) multiplication. (b)–(d) Dual carrier multiplication structures with 10-nm hole multiplication layer, 800-nm electron multiplication layer, and 10-nm electron multiplication layer, respectiv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207008"/>
                    </a:xfrm>
                    <a:prstGeom prst="rect">
                      <a:avLst/>
                    </a:prstGeom>
                    <a:noFill/>
                    <a:ln>
                      <a:noFill/>
                    </a:ln>
                  </pic:spPr>
                </pic:pic>
              </a:graphicData>
            </a:graphic>
          </wp:inline>
        </w:drawing>
      </w:r>
    </w:p>
    <w:p w14:paraId="15B8DC5E" w14:textId="33A08722" w:rsidR="00D24768" w:rsidRPr="00345355" w:rsidRDefault="00D24768" w:rsidP="00C22FCF">
      <w:pPr>
        <w:pStyle w:val="NoSpacing"/>
      </w:pPr>
      <w:r w:rsidRPr="00345355">
        <w:lastRenderedPageBreak/>
        <w:fldChar w:fldCharType="end"/>
      </w:r>
      <w:r w:rsidRPr="00345355">
        <w:rPr>
          <w:b/>
          <w:bCs/>
        </w:rPr>
        <w:t>Fig. 1.</w:t>
      </w:r>
      <w:r w:rsidR="00C22FCF">
        <w:rPr>
          <w:b/>
          <w:bCs/>
        </w:rPr>
        <w:t xml:space="preserve"> </w:t>
      </w:r>
      <w:r w:rsidRPr="00345355">
        <w:t>Four structures with different multiplication regions. (a) Single carrier (electron) multiplication. (b)–(d) Dual carrier multiplication structures with 10-nm hole multiplication layer, 800-nm electron multiplication layer, and 10-nm electron multiplication layer, respectively.</w:t>
      </w:r>
    </w:p>
    <w:p w14:paraId="056C85E2" w14:textId="77777777" w:rsidR="00C22FCF" w:rsidRDefault="00C22FCF" w:rsidP="00490AC6">
      <w:pPr>
        <w:rPr>
          <w:rFonts w:cstheme="minorHAnsi"/>
        </w:rPr>
      </w:pPr>
    </w:p>
    <w:p w14:paraId="1B717F59" w14:textId="7DBE37B8" w:rsidR="00D24768" w:rsidRPr="00345355" w:rsidRDefault="00D24768" w:rsidP="00490AC6">
      <w:pPr>
        <w:rPr>
          <w:rFonts w:cstheme="minorHAnsi"/>
        </w:rPr>
      </w:pPr>
      <w:r w:rsidRPr="00345355">
        <w:rPr>
          <w:rFonts w:cstheme="minorHAnsi"/>
        </w:rPr>
        <w:t>The proposed device structure is shown in Fig. 1(b) which also contains the absorber and electron multiplication region. A thin hole multiplication region noted by h is inserted between absorber and electron multiplication regions in this device structure. Electron and hole multiplication regions are implemented using type-II SLS materials used previously in electron</w:t>
      </w:r>
      <w:proofErr w:type="gramStart"/>
      <w:r w:rsidRPr="00345355">
        <w:rPr>
          <w:rFonts w:cstheme="minorHAnsi"/>
        </w:rPr>
        <w:t>-[</w:t>
      </w:r>
      <w:proofErr w:type="gramEnd"/>
      <w:r w:rsidRPr="00345355">
        <w:rPr>
          <w:rFonts w:cstheme="minorHAnsi"/>
        </w:rPr>
        <w:t>5] and hole-[6] APDs. The design implemented with above materials ensures that only electrons initiate the avalanching process in the electron-multiplication region and holes in the hole-multiplication region.</w:t>
      </w:r>
    </w:p>
    <w:p w14:paraId="6C2F4C46" w14:textId="77777777" w:rsidR="00D24768" w:rsidRPr="00345355" w:rsidRDefault="00D24768" w:rsidP="00490AC6">
      <w:pPr>
        <w:rPr>
          <w:rFonts w:cstheme="minorHAnsi"/>
        </w:rPr>
      </w:pPr>
      <w:r w:rsidRPr="00345355">
        <w:rPr>
          <w:rFonts w:cstheme="minorHAnsi"/>
        </w:rPr>
        <w:t xml:space="preserve">We assume that the electric field extends from area electron multiplication to area absorption in both structures (a) and (b). In structure (a), electron-hole pairs are created from electron impact ionizations. Secondary electrons may also get impact ionized </w:t>
      </w:r>
      <w:proofErr w:type="gramStart"/>
      <w:r w:rsidRPr="00345355">
        <w:rPr>
          <w:rFonts w:cstheme="minorHAnsi"/>
        </w:rPr>
        <w:t>as long as</w:t>
      </w:r>
      <w:proofErr w:type="gramEnd"/>
      <w:r w:rsidRPr="00345355">
        <w:rPr>
          <w:rFonts w:cstheme="minorHAnsi"/>
        </w:rPr>
        <w:t xml:space="preserve"> they travel farther than their dead-space distance, acquiring energy in excess of than ionization threshold energy. However, the secondary holes will leave the multiplication region without any impact ionization as the material in this region is </w:t>
      </w:r>
      <w:proofErr w:type="spellStart"/>
      <w:r w:rsidRPr="00345355">
        <w:rPr>
          <w:rFonts w:cstheme="minorHAnsi"/>
        </w:rPr>
        <w:t>bandstructure</w:t>
      </w:r>
      <w:proofErr w:type="spellEnd"/>
      <w:r w:rsidRPr="00345355">
        <w:rPr>
          <w:rFonts w:cstheme="minorHAnsi"/>
        </w:rPr>
        <w:t xml:space="preserve"> engineered to have pure electron multiplication. Nonetheless, in structure (b), when the secondary holes travel through the thin hole multiplication region h, they also have the possibility to impact ionize as this region is designed for hole multiplication. Thus, extra electron-hole pairs are created compared with structure (a). In addition, the secondary electrons created in region h, that are drifted into electron multiplication region by electric field, can also impact ionize. This results in additional electron-hole pairs </w:t>
      </w:r>
      <w:proofErr w:type="gramStart"/>
      <w:r w:rsidRPr="00345355">
        <w:rPr>
          <w:rFonts w:cstheme="minorHAnsi"/>
        </w:rPr>
        <w:t>and also</w:t>
      </w:r>
      <w:proofErr w:type="gramEnd"/>
      <w:r w:rsidRPr="00345355">
        <w:rPr>
          <w:rFonts w:cstheme="minorHAnsi"/>
        </w:rPr>
        <w:t xml:space="preserve"> allows newly created holes to impact ionize again in region h. Therefore, a dual-carrier feedback system is </w:t>
      </w:r>
      <w:proofErr w:type="gramStart"/>
      <w:r w:rsidRPr="00345355">
        <w:rPr>
          <w:rFonts w:cstheme="minorHAnsi"/>
        </w:rPr>
        <w:t>created</w:t>
      </w:r>
      <w:proofErr w:type="gramEnd"/>
      <w:r w:rsidRPr="00345355">
        <w:rPr>
          <w:rFonts w:cstheme="minorHAnsi"/>
        </w:rPr>
        <w:t xml:space="preserve"> and higher gain can be expected as many more electron-and-hole pairs are generated.</w:t>
      </w:r>
    </w:p>
    <w:p w14:paraId="6D8E1C8D" w14:textId="77777777" w:rsidR="00D24768" w:rsidRPr="00345355" w:rsidRDefault="00D24768" w:rsidP="00490AC6">
      <w:pPr>
        <w:rPr>
          <w:rFonts w:cstheme="minorHAnsi"/>
        </w:rPr>
      </w:pPr>
      <w:r w:rsidRPr="00345355">
        <w:rPr>
          <w:rFonts w:cstheme="minorHAnsi"/>
        </w:rPr>
        <w:t>Further, for structures in Fig. 1(c) and (d), with more thin layers alternatively added, larger gain can be expected not only because the hole impact ionization possibility increases, but also more feedback paths are created.</w:t>
      </w:r>
    </w:p>
    <w:p w14:paraId="7FEA48A0" w14:textId="6257B5AC" w:rsidR="00D24768" w:rsidRPr="00345355" w:rsidRDefault="00D24768" w:rsidP="00490AC6">
      <w:pPr>
        <w:rPr>
          <w:rFonts w:cstheme="minorHAnsi"/>
        </w:rPr>
      </w:pPr>
      <w:r w:rsidRPr="00345355">
        <w:rPr>
          <w:rFonts w:cstheme="minorHAnsi"/>
        </w:rPr>
        <w:t>To simulate gain and excess noise, it is necessary to determine dead spaces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e</m:t>
            </m:r>
          </m:sub>
        </m:sSub>
      </m:oMath>
      <w:r w:rsidRPr="00345355">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h</m:t>
            </m:r>
          </m:sub>
        </m:sSub>
      </m:oMath>
      <w:r w:rsidRPr="00345355">
        <w:rPr>
          <w:rFonts w:cstheme="minorHAnsi"/>
        </w:rPr>
        <w:t>) for electrons and holes. For a certain uniform electric field, the ionization threshold energies were assumed to be equal to their bandgaps and ionization coefficients were extracted from experimental gain variation with bias from [5] and [6].</w:t>
      </w:r>
    </w:p>
    <w:p w14:paraId="59F1289F" w14:textId="77777777" w:rsidR="00D24768" w:rsidRPr="00345355" w:rsidRDefault="00D24768" w:rsidP="00490AC6">
      <w:pPr>
        <w:rPr>
          <w:rFonts w:cstheme="minorHAnsi"/>
        </w:rPr>
      </w:pPr>
      <w:r w:rsidRPr="00345355">
        <w:rPr>
          <w:rFonts w:cstheme="minorHAnsi"/>
        </w:rPr>
        <w:t>However, when two or more thin multiplication regions are present, dead spaces for carriers within a distance less than dead space to the boundaries between two thin multiplication regions should be modified.</w:t>
      </w:r>
    </w:p>
    <w:p w14:paraId="13B03767" w14:textId="08407026" w:rsidR="00D24768" w:rsidRPr="00345355" w:rsidRDefault="00D24768" w:rsidP="00490AC6">
      <w:pPr>
        <w:rPr>
          <w:rFonts w:cstheme="minorHAnsi"/>
        </w:rPr>
      </w:pPr>
      <w:r w:rsidRPr="00345355">
        <w:rPr>
          <w:rFonts w:cstheme="minorHAnsi"/>
        </w:rPr>
        <w:t>For example, if one electron is generated at a position </w:t>
      </w:r>
      <m:oMath>
        <m:r>
          <w:rPr>
            <w:rStyle w:val="mo"/>
            <w:rFonts w:ascii="Cambria Math" w:hAnsi="Cambria Math" w:cstheme="minorHAnsi"/>
            <w:bdr w:val="none" w:sz="0" w:space="0" w:color="auto" w:frame="1"/>
          </w:rPr>
          <m:t>(x=</m:t>
        </m:r>
        <m:sSup>
          <m:sSupPr>
            <m:ctrlPr>
              <w:rPr>
                <w:rStyle w:val="mo"/>
                <w:rFonts w:ascii="Cambria Math" w:hAnsi="Cambria Math" w:cstheme="minorHAnsi"/>
                <w:bdr w:val="none" w:sz="0" w:space="0" w:color="auto" w:frame="1"/>
              </w:rPr>
            </m:ctrlPr>
          </m:sSupPr>
          <m:e>
            <m:r>
              <w:rPr>
                <w:rStyle w:val="mo"/>
                <w:rFonts w:ascii="Cambria Math" w:hAnsi="Cambria Math" w:cstheme="minorHAnsi"/>
                <w:bdr w:val="none" w:sz="0" w:space="0" w:color="auto" w:frame="1"/>
              </w:rPr>
              <m:t>x</m:t>
            </m:r>
          </m:e>
          <m:sup>
            <m:r>
              <m:rPr>
                <m:sty m:val="p"/>
              </m:rPr>
              <w:rPr>
                <w:rStyle w:val="mo"/>
                <w:rFonts w:ascii="Cambria Math" w:hAnsi="Cambria Math" w:cstheme="minorHAnsi"/>
                <w:bdr w:val="none" w:sz="0" w:space="0" w:color="auto" w:frame="1"/>
              </w:rPr>
              <m:t>'</m:t>
            </m:r>
          </m:sup>
        </m:sSup>
        <m:r>
          <w:rPr>
            <w:rStyle w:val="mo"/>
            <w:rFonts w:ascii="Cambria Math" w:hAnsi="Cambria Math" w:cstheme="minorHAnsi"/>
            <w:bdr w:val="none" w:sz="0" w:space="0" w:color="auto" w:frame="1"/>
          </w:rPr>
          <m:t>)</m:t>
        </m:r>
      </m:oMath>
      <w:r w:rsidRPr="00345355">
        <w:rPr>
          <w:rFonts w:cstheme="minorHAnsi"/>
        </w:rPr>
        <w:t> with a distance </w:t>
      </w:r>
      <m:oMath>
        <m:r>
          <w:rPr>
            <w:rStyle w:val="mi"/>
            <w:rFonts w:ascii="Cambria Math" w:hAnsi="Cambria Math" w:cstheme="minorHAnsi"/>
            <w:bdr w:val="none" w:sz="0" w:space="0" w:color="auto" w:frame="1"/>
          </w:rPr>
          <m:t>ξ</m:t>
        </m:r>
      </m:oMath>
      <w:r w:rsidRPr="00345355">
        <w:rPr>
          <w:rStyle w:val="mi"/>
          <w:rFonts w:cstheme="minorHAnsi"/>
          <w:bdr w:val="none" w:sz="0" w:space="0" w:color="auto" w:frame="1"/>
        </w:rPr>
        <w:t>′</w:t>
      </w:r>
      <w:r w:rsidRPr="00345355">
        <w:rPr>
          <w:rFonts w:cstheme="minorHAnsi"/>
        </w:rPr>
        <w:t> to the boundary </w:t>
      </w:r>
      <m:oMath>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b</m:t>
        </m:r>
        <m:r>
          <w:rPr>
            <w:rStyle w:val="mo"/>
            <w:rFonts w:ascii="Cambria Math" w:hAnsi="Cambria Math" w:cstheme="minorHAnsi"/>
            <w:bdr w:val="none" w:sz="0" w:space="0" w:color="auto" w:frame="1"/>
          </w:rPr>
          <m:t>)</m:t>
        </m:r>
      </m:oMath>
      <w:r w:rsidRPr="00345355">
        <w:rPr>
          <w:rFonts w:cstheme="minorHAnsi"/>
        </w:rPr>
        <w:t>, and under electric field it drifts toward the boundary. If </w:t>
      </w:r>
      <m:oMath>
        <m:r>
          <w:rPr>
            <w:rStyle w:val="mi"/>
            <w:rFonts w:ascii="Cambria Math" w:hAnsi="Cambria Math" w:cstheme="minorHAnsi"/>
            <w:bdr w:val="none" w:sz="0" w:space="0" w:color="auto" w:frame="1"/>
          </w:rPr>
          <m:t>ξ</m:t>
        </m:r>
      </m:oMath>
      <w:r w:rsidRPr="00345355">
        <w:rPr>
          <w:rStyle w:val="mi"/>
          <w:rFonts w:cstheme="minorHAnsi"/>
          <w:bdr w:val="none" w:sz="0" w:space="0" w:color="auto" w:frame="1"/>
        </w:rPr>
        <w:t>′</w:t>
      </w:r>
      <w:r w:rsidRPr="00345355">
        <w:rPr>
          <w:rFonts w:cstheme="minorHAnsi"/>
        </w:rPr>
        <w:t> is large enough, it can get impact ionized after it travels a dead space distance in this region. The dead space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ty m:val="p"/>
              </m:rP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345355">
        <w:rPr>
          <w:rFonts w:cstheme="minorHAnsi"/>
        </w:rPr>
        <w:t> is described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m:rPr>
                <m:sty m:val="p"/>
              </m:rP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e</m:t>
            </m:r>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ie</m:t>
            </m:r>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/qε</m:t>
        </m:r>
      </m:oMath>
      <w:r w:rsidRPr="00345355">
        <w:rPr>
          <w:rFonts w:cstheme="minorHAnsi"/>
        </w:rPr>
        <w:t>, where </w:t>
      </w:r>
      <m:oMath>
        <m:r>
          <w:rPr>
            <w:rStyle w:val="mi"/>
            <w:rFonts w:ascii="Cambria Math" w:hAnsi="Cambria Math" w:cstheme="minorHAnsi"/>
            <w:bdr w:val="none" w:sz="0" w:space="0" w:color="auto" w:frame="1"/>
          </w:rPr>
          <m:t>q</m:t>
        </m:r>
      </m:oMath>
      <w:r w:rsidRPr="00345355">
        <w:rPr>
          <w:rFonts w:cstheme="minorHAnsi"/>
        </w:rPr>
        <w:t> is the electronic charge, </w:t>
      </w:r>
      <m:oMath>
        <m:r>
          <w:rPr>
            <w:rStyle w:val="mi"/>
            <w:rFonts w:ascii="Cambria Math" w:hAnsi="Cambria Math" w:cstheme="minorHAnsi"/>
            <w:bdr w:val="none" w:sz="0" w:space="0" w:color="auto" w:frame="1"/>
          </w:rPr>
          <m:t>ε</m:t>
        </m:r>
      </m:oMath>
      <w:r w:rsidRPr="00345355">
        <w:rPr>
          <w:rFonts w:cstheme="minorHAnsi"/>
        </w:rPr>
        <w:t> is the uniform electric field,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ie</m:t>
            </m:r>
            <m:r>
              <w:rPr>
                <w:rStyle w:val="mi"/>
                <w:rFonts w:ascii="Cambria Math" w:hAnsi="Cambria Math" w:cstheme="minorHAnsi"/>
                <w:bdr w:val="none" w:sz="0" w:space="0" w:color="auto" w:frame="1"/>
              </w:rPr>
              <m:t>1</m:t>
            </m:r>
          </m:sub>
        </m:sSub>
      </m:oMath>
      <w:r w:rsidRPr="00345355">
        <w:rPr>
          <w:rFonts w:cstheme="minorHAnsi"/>
        </w:rPr>
        <w:t> are the ionization threshold energy of the electron in its original multiplication region.</w:t>
      </w:r>
    </w:p>
    <w:p w14:paraId="6A4A2383" w14:textId="5942CB77" w:rsidR="00D24768" w:rsidRPr="00345355" w:rsidRDefault="00D24768" w:rsidP="00490AC6">
      <w:pPr>
        <w:rPr>
          <w:rFonts w:cstheme="minorHAnsi"/>
        </w:rPr>
      </w:pPr>
      <w:r w:rsidRPr="00345355">
        <w:rPr>
          <w:rFonts w:cstheme="minorHAnsi"/>
        </w:rPr>
        <w:t>However, if </w:t>
      </w:r>
      <m:oMath>
        <m:r>
          <w:rPr>
            <w:rStyle w:val="mi"/>
            <w:rFonts w:ascii="Cambria Math" w:hAnsi="Cambria Math" w:cstheme="minorHAnsi"/>
            <w:bdr w:val="none" w:sz="0" w:space="0" w:color="auto" w:frame="1"/>
          </w:rPr>
          <m:t>ξ'</m:t>
        </m:r>
      </m:oMath>
      <w:r w:rsidRPr="00345355">
        <w:rPr>
          <w:rFonts w:cstheme="minorHAnsi"/>
        </w:rPr>
        <w:t> is less than its dead space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e</m:t>
            </m:r>
            <m:r>
              <w:rPr>
                <w:rStyle w:val="mi"/>
                <w:rFonts w:ascii="Cambria Math" w:hAnsi="Cambria Math" w:cstheme="minorHAnsi"/>
                <w:bdr w:val="none" w:sz="0" w:space="0" w:color="auto" w:frame="1"/>
              </w:rPr>
              <m:t>1</m:t>
            </m:r>
          </m:sub>
        </m:sSub>
      </m:oMath>
      <w:r w:rsidRPr="00345355">
        <w:rPr>
          <w:rFonts w:cstheme="minorHAnsi"/>
        </w:rPr>
        <w:t>, the electron will reach the boundary without ionization. Thus, when this electron enters into the second region, it carries a kinetic energy,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e</m:t>
            </m:r>
          </m:sub>
          <m:sup>
            <m:r>
              <m:rPr>
                <m:sty m:val="p"/>
              </m:rP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=qε</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ξ</m:t>
            </m:r>
          </m:e>
          <m:sup>
            <m:r>
              <m:rPr>
                <m:sty m:val="p"/>
              </m:rPr>
              <w:rPr>
                <w:rStyle w:val="mi"/>
                <w:rFonts w:ascii="Cambria Math" w:hAnsi="Cambria Math" w:cstheme="minorHAnsi"/>
                <w:bdr w:val="none" w:sz="0" w:space="0" w:color="auto" w:frame="1"/>
              </w:rPr>
              <m:t>'</m:t>
            </m:r>
          </m:sup>
        </m:sSup>
      </m:oMath>
      <w:r w:rsidRPr="00345355">
        <w:rPr>
          <w:rFonts w:cstheme="minorHAnsi"/>
        </w:rPr>
        <w:t>, which describes the energy of this electron that accumulates under electric field </w:t>
      </w:r>
      <m:oMath>
        <m:r>
          <w:rPr>
            <w:rStyle w:val="mi"/>
            <w:rFonts w:ascii="Cambria Math" w:hAnsi="Cambria Math" w:cstheme="minorHAnsi"/>
            <w:bdr w:val="none" w:sz="0" w:space="0" w:color="auto" w:frame="1"/>
          </w:rPr>
          <m:t>ε</m:t>
        </m:r>
      </m:oMath>
      <w:r w:rsidRPr="00345355">
        <w:rPr>
          <w:rFonts w:cstheme="minorHAnsi"/>
        </w:rPr>
        <w:t> drifting with a distance </w:t>
      </w:r>
      <m:oMath>
        <m:r>
          <w:rPr>
            <w:rStyle w:val="mi"/>
            <w:rFonts w:ascii="Cambria Math" w:hAnsi="Cambria Math" w:cstheme="minorHAnsi"/>
            <w:bdr w:val="none" w:sz="0" w:space="0" w:color="auto" w:frame="1"/>
          </w:rPr>
          <m:t>ξ'</m:t>
        </m:r>
      </m:oMath>
      <w:r w:rsidRPr="00345355">
        <w:rPr>
          <w:rFonts w:cstheme="minorHAnsi"/>
        </w:rPr>
        <w:t>. If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e</m:t>
            </m:r>
          </m:sub>
          <m:sup>
            <m:r>
              <m:rPr>
                <m:sty m:val="p"/>
              </m:rPr>
              <w:rPr>
                <w:rStyle w:val="mi"/>
                <w:rFonts w:ascii="Cambria Math" w:hAnsi="Cambria Math" w:cstheme="minorHAnsi"/>
                <w:bdr w:val="none" w:sz="0" w:space="0" w:color="auto" w:frame="1"/>
              </w:rPr>
              <m:t>'</m:t>
            </m:r>
          </m:sup>
        </m:sSubSup>
      </m:oMath>
      <w:r w:rsidRPr="00345355">
        <w:rPr>
          <w:rFonts w:cstheme="minorHAnsi"/>
        </w:rPr>
        <w:t> is larger than the threshold energy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ie</m:t>
            </m:r>
            <m:r>
              <w:rPr>
                <w:rStyle w:val="mi"/>
                <w:rFonts w:ascii="Cambria Math" w:hAnsi="Cambria Math" w:cstheme="minorHAnsi"/>
                <w:bdr w:val="none" w:sz="0" w:space="0" w:color="auto" w:frame="1"/>
              </w:rPr>
              <m:t>2</m:t>
            </m:r>
          </m:sub>
        </m:sSub>
      </m:oMath>
      <w:r w:rsidRPr="00345355">
        <w:rPr>
          <w:rFonts w:cstheme="minorHAnsi"/>
        </w:rPr>
        <w:t xml:space="preserve"> for electron in the second region, the electron will impact ionize immediately. If it is smaller, the electron still </w:t>
      </w:r>
      <w:proofErr w:type="gramStart"/>
      <w:r w:rsidRPr="00345355">
        <w:rPr>
          <w:rFonts w:cstheme="minorHAnsi"/>
        </w:rPr>
        <w:t>has to</w:t>
      </w:r>
      <w:proofErr w:type="gramEnd"/>
      <w:r w:rsidRPr="00345355">
        <w:rPr>
          <w:rFonts w:cstheme="minorHAnsi"/>
        </w:rPr>
        <w:t xml:space="preserve"> travel with a distance to achieve the threshold energy for electrons in the second region. Therefore, under the condition of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ξ</m:t>
            </m:r>
          </m:e>
          <m:sup>
            <m:r>
              <m:rPr>
                <m:sty m:val="p"/>
              </m:rP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&lt;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e</m:t>
            </m:r>
            <m:r>
              <w:rPr>
                <w:rStyle w:val="mi"/>
                <w:rFonts w:ascii="Cambria Math" w:hAnsi="Cambria Math" w:cstheme="minorHAnsi"/>
                <w:bdr w:val="none" w:sz="0" w:space="0" w:color="auto" w:frame="1"/>
              </w:rPr>
              <m:t>1</m:t>
            </m:r>
          </m:sub>
        </m:sSub>
      </m:oMath>
      <w:r w:rsidRPr="00345355">
        <w:rPr>
          <w:rFonts w:cstheme="minorHAnsi"/>
        </w:rPr>
        <w:t>, the dead space of this electron can be modified as follows:</w:t>
      </w:r>
    </w:p>
    <w:p w14:paraId="3941422A" w14:textId="5CCE1968" w:rsidR="00D24768" w:rsidRPr="00345355" w:rsidRDefault="002472F9" w:rsidP="00490AC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m:rPr>
                      <m:sty m:val="p"/>
                    </m:rP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m:rPr>
                      <m:sty m:val="p"/>
                    </m:rP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d>
                <m:dPr>
                  <m:begChr m:val="{"/>
                  <m:endChr m:val=""/>
                  <m:ctrlPr>
                    <w:rPr>
                      <w:rStyle w:val="mi"/>
                      <w:rFonts w:ascii="Cambria Math" w:hAnsi="Cambria Math" w:cstheme="minorHAnsi"/>
                      <w:i/>
                      <w:sz w:val="28"/>
                      <w:szCs w:val="28"/>
                      <w:bdr w:val="none" w:sz="0" w:space="0" w:color="auto" w:frame="1"/>
                    </w:rPr>
                  </m:ctrlPr>
                </m:dPr>
                <m:e>
                  <m:eqArr>
                    <m:eqArrPr>
                      <m:ctrlPr>
                        <w:rPr>
                          <w:rStyle w:val="mi"/>
                          <w:rFonts w:ascii="Cambria Math" w:hAnsi="Cambria Math" w:cstheme="minorHAnsi"/>
                          <w:sz w:val="28"/>
                          <w:szCs w:val="28"/>
                          <w:bdr w:val="none" w:sz="0" w:space="0" w:color="auto" w:frame="1"/>
                        </w:rPr>
                      </m:ctrlPr>
                    </m:eqArrP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ξ</m:t>
                          </m:r>
                        </m:e>
                        <m:sup>
                          <m:r>
                            <m:rPr>
                              <m:sty m:val="p"/>
                            </m:rP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e</m:t>
                          </m:r>
                        </m:sub>
                        <m:sup>
                          <m:r>
                            <m:rPr>
                              <m:sty m:val="p"/>
                            </m:rPr>
                            <w:rPr>
                              <w:rStyle w:val="mi"/>
                              <w:rFonts w:ascii="Cambria Math" w:hAnsi="Cambria Math" w:cstheme="minorHAnsi"/>
                              <w:sz w:val="28"/>
                              <w:szCs w:val="28"/>
                              <w:bdr w:val="none" w:sz="0" w:space="0" w:color="auto" w:frame="1"/>
                            </w:rPr>
                            <m:t>'</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ie</m:t>
                          </m:r>
                          <m:r>
                            <w:rPr>
                              <w:rStyle w:val="mi"/>
                              <w:rFonts w:ascii="Cambria Math" w:hAnsi="Cambria Math" w:cstheme="minorHAnsi"/>
                              <w:sz w:val="28"/>
                              <w:szCs w:val="28"/>
                              <w:bdr w:val="none" w:sz="0" w:space="0" w:color="auto" w:frame="1"/>
                            </w:rPr>
                            <m:t>2</m:t>
                          </m:r>
                        </m:sub>
                      </m:sSub>
                    </m:e>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ξ</m:t>
                          </m:r>
                        </m:e>
                        <m:sup>
                          <m:r>
                            <m:rPr>
                              <m:sty m:val="p"/>
                            </m:rP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ie</m:t>
                              </m:r>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e</m:t>
                              </m:r>
                            </m:sub>
                            <m:sup>
                              <m:r>
                                <m:rPr>
                                  <m:sty m:val="p"/>
                                </m:rPr>
                                <w:rPr>
                                  <w:rStyle w:val="mi"/>
                                  <w:rFonts w:ascii="Cambria Math" w:hAnsi="Cambria Math" w:cstheme="minorHAnsi"/>
                                  <w:sz w:val="28"/>
                                  <w:szCs w:val="28"/>
                                  <w:bdr w:val="none" w:sz="0" w:space="0" w:color="auto" w:frame="1"/>
                                </w:rPr>
                                <m:t>'</m:t>
                              </m:r>
                            </m:sup>
                          </m:sSubSup>
                        </m:num>
                        <m:den>
                          <m:r>
                            <w:rPr>
                              <w:rStyle w:val="mi"/>
                              <w:rFonts w:ascii="Cambria Math" w:hAnsi="Cambria Math" w:cstheme="minorHAnsi"/>
                              <w:sz w:val="28"/>
                              <w:szCs w:val="28"/>
                              <w:bdr w:val="none" w:sz="0" w:space="0" w:color="auto" w:frame="1"/>
                            </w:rPr>
                            <m:t>qε</m:t>
                          </m:r>
                        </m:den>
                      </m:f>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e</m:t>
                          </m:r>
                        </m:sub>
                        <m:sup>
                          <m:r>
                            <m:rPr>
                              <m:sty m:val="p"/>
                            </m:rPr>
                            <w:rPr>
                              <w:rStyle w:val="mi"/>
                              <w:rFonts w:ascii="Cambria Math" w:hAnsi="Cambria Math" w:cstheme="minorHAnsi"/>
                              <w:sz w:val="28"/>
                              <w:szCs w:val="28"/>
                              <w:bdr w:val="none" w:sz="0" w:space="0" w:color="auto" w:frame="1"/>
                            </w:rPr>
                            <m:t>'</m:t>
                          </m:r>
                        </m:sup>
                      </m:sSubSup>
                      <m:r>
                        <w:rPr>
                          <w:rStyle w:val="mi"/>
                          <w:rFonts w:ascii="Cambria Math" w:hAnsi="Cambria Math" w:cstheme="minorHAnsi"/>
                          <w:sz w:val="28"/>
                          <w:szCs w:val="28"/>
                          <w:bdr w:val="none" w:sz="0" w:space="0" w:color="auto" w:frame="1"/>
                        </w:rPr>
                        <m:t>&lt;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ie</m:t>
                          </m:r>
                          <m:r>
                            <w:rPr>
                              <w:rStyle w:val="mi"/>
                              <w:rFonts w:ascii="Cambria Math" w:hAnsi="Cambria Math" w:cstheme="minorHAnsi"/>
                              <w:sz w:val="28"/>
                              <w:szCs w:val="28"/>
                              <w:bdr w:val="none" w:sz="0" w:space="0" w:color="auto" w:frame="1"/>
                            </w:rPr>
                            <m:t>2</m:t>
                          </m:r>
                        </m:sub>
                      </m:sSub>
                    </m:e>
                  </m:eqArr>
                </m:e>
              </m:d>
            </m:e>
          </m:mr>
        </m:m>
      </m:oMath>
      <w:r w:rsidR="000749AA" w:rsidRPr="000749AA">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(12)</w:t>
      </w:r>
    </w:p>
    <w:p w14:paraId="17941C7A" w14:textId="145AB287" w:rsidR="00D24768" w:rsidRPr="00345355" w:rsidRDefault="00D24768" w:rsidP="00490AC6">
      <w:pPr>
        <w:rPr>
          <w:rFonts w:cstheme="minorHAnsi"/>
        </w:rPr>
      </w:pPr>
      <w:r w:rsidRPr="00345355">
        <w:rPr>
          <w:rFonts w:cstheme="minorHAnsi"/>
        </w:rPr>
        <w:t>where </w:t>
      </w:r>
      <m:oMath>
        <m:r>
          <w:rPr>
            <w:rStyle w:val="mi"/>
            <w:rFonts w:ascii="Cambria Math" w:hAnsi="Cambria Math" w:cstheme="minorHAnsi"/>
            <w:bdr w:val="none" w:sz="0" w:space="0" w:color="auto" w:frame="1"/>
          </w:rPr>
          <m:t>q</m:t>
        </m:r>
      </m:oMath>
      <w:r w:rsidRPr="00345355">
        <w:rPr>
          <w:rFonts w:cstheme="minorHAnsi"/>
        </w:rPr>
        <w:t> is the electronic charge, </w:t>
      </w:r>
      <m:oMath>
        <m:r>
          <w:rPr>
            <w:rStyle w:val="mi"/>
            <w:rFonts w:ascii="Cambria Math" w:hAnsi="Cambria Math" w:cstheme="minorHAnsi"/>
            <w:bdr w:val="none" w:sz="0" w:space="0" w:color="auto" w:frame="1"/>
          </w:rPr>
          <m:t>ε</m:t>
        </m:r>
      </m:oMath>
      <w:r w:rsidRPr="00345355">
        <w:rPr>
          <w:rFonts w:cstheme="minorHAnsi"/>
        </w:rPr>
        <w:t> is the uniform electric field,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ie</m:t>
            </m:r>
            <m:r>
              <w:rPr>
                <w:rStyle w:val="mi"/>
                <w:rFonts w:ascii="Cambria Math" w:hAnsi="Cambria Math" w:cstheme="minorHAnsi"/>
                <w:bdr w:val="none" w:sz="0" w:space="0" w:color="auto" w:frame="1"/>
              </w:rPr>
              <m:t>2</m:t>
            </m:r>
          </m:sub>
        </m:sSub>
      </m:oMath>
      <w:r w:rsidRPr="00345355">
        <w:rPr>
          <w:rFonts w:cstheme="minorHAnsi"/>
        </w:rPr>
        <w:t> are the ionization threshold energy of the electron in second multiplication region,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e</m:t>
            </m:r>
          </m:sub>
          <m:sup>
            <m:r>
              <w:rPr>
                <w:rStyle w:val="mi"/>
                <w:rFonts w:ascii="Cambria Math" w:hAnsi="Cambria Math" w:cstheme="minorHAnsi"/>
                <w:bdr w:val="none" w:sz="0" w:space="0" w:color="auto" w:frame="1"/>
              </w:rPr>
              <m:t>'</m:t>
            </m:r>
          </m:sup>
        </m:sSubSup>
      </m:oMath>
      <w:r w:rsidRPr="00345355">
        <w:rPr>
          <w:rFonts w:cstheme="minorHAnsi"/>
        </w:rPr>
        <w:t> is the initial energy of electron when it enters into the second regions.</w:t>
      </w:r>
    </w:p>
    <w:p w14:paraId="28153848" w14:textId="46523843" w:rsidR="00D24768" w:rsidRPr="00345355" w:rsidRDefault="00D24768" w:rsidP="00490AC6">
      <w:pPr>
        <w:rPr>
          <w:rFonts w:cstheme="minorHAnsi"/>
        </w:rPr>
      </w:pPr>
      <w:r w:rsidRPr="00345355">
        <w:rPr>
          <w:rFonts w:cstheme="minorHAnsi"/>
        </w:rPr>
        <w:t>Similarly, for a hole generated at a position </w:t>
      </w:r>
      <m:oMath>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Pr="00345355">
        <w:rPr>
          <w:rFonts w:cstheme="minorHAnsi"/>
        </w:rPr>
        <w:t> with a distance </w:t>
      </w:r>
      <m:oMath>
        <m:r>
          <w:rPr>
            <w:rStyle w:val="mi"/>
            <w:rFonts w:ascii="Cambria Math" w:hAnsi="Cambria Math" w:cstheme="minorHAnsi"/>
            <w:bdr w:val="none" w:sz="0" w:space="0" w:color="auto" w:frame="1"/>
          </w:rPr>
          <m:t>ξ''</m:t>
        </m:r>
      </m:oMath>
      <w:r w:rsidRPr="00345355">
        <w:rPr>
          <w:rFonts w:cstheme="minorHAnsi"/>
        </w:rPr>
        <w:t> to the boundary </w:t>
      </w:r>
      <m:oMath>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c</m:t>
        </m:r>
        <m:r>
          <w:rPr>
            <w:rStyle w:val="mo"/>
            <w:rFonts w:ascii="Cambria Math" w:hAnsi="Cambria Math" w:cstheme="minorHAnsi"/>
            <w:bdr w:val="none" w:sz="0" w:space="0" w:color="auto" w:frame="1"/>
          </w:rPr>
          <m:t>)</m:t>
        </m:r>
      </m:oMath>
      <w:r w:rsidRPr="00345355">
        <w:rPr>
          <w:rFonts w:cstheme="minorHAnsi"/>
        </w:rPr>
        <w:t> where </w:t>
      </w:r>
      <m:oMath>
        <m:r>
          <w:rPr>
            <w:rStyle w:val="mi"/>
            <w:rFonts w:ascii="Cambria Math" w:hAnsi="Cambria Math" w:cstheme="minorHAnsi"/>
            <w:bdr w:val="none" w:sz="0" w:space="0" w:color="auto" w:frame="1"/>
          </w:rPr>
          <m:t>ξ''</m:t>
        </m:r>
      </m:oMath>
      <w:r w:rsidRPr="00345355">
        <w:rPr>
          <w:rFonts w:cstheme="minorHAnsi"/>
        </w:rPr>
        <w:t> is less than dead space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sty m:val="p"/>
              </m:rPr>
              <w:rPr>
                <w:rStyle w:val="mi"/>
                <w:rFonts w:ascii="Cambria Math" w:hAnsi="Cambria Math" w:cstheme="minorHAnsi"/>
                <w:bdr w:val="none" w:sz="0" w:space="0" w:color="auto" w:frame="1"/>
              </w:rPr>
              <m:t>h</m:t>
            </m:r>
            <m:r>
              <w:rPr>
                <w:rStyle w:val="mi"/>
                <w:rFonts w:ascii="Cambria Math" w:hAnsi="Cambria Math" w:cstheme="minorHAnsi"/>
                <w:bdr w:val="none" w:sz="0" w:space="0" w:color="auto" w:frame="1"/>
              </w:rPr>
              <m:t>1</m:t>
            </m:r>
          </m:sub>
        </m:sSub>
      </m:oMath>
      <w:r w:rsidRPr="00345355">
        <w:rPr>
          <w:rFonts w:cstheme="minorHAnsi"/>
        </w:rPr>
        <w:t> and under electric field it drifts to the boundary, in its original region, the dead space can be modified as follows:</w:t>
      </w:r>
    </w:p>
    <w:p w14:paraId="511CF254" w14:textId="7D288827" w:rsidR="00D24768" w:rsidRPr="00345355" w:rsidRDefault="002472F9" w:rsidP="00490AC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m:rPr>
                      <m:sty m:val="p"/>
                    </m:rP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m:rPr>
                      <m:sty m:val="p"/>
                    </m:rP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d>
                <m:dPr>
                  <m:begChr m:val="{"/>
                  <m:endChr m:val=""/>
                  <m:ctrlPr>
                    <w:rPr>
                      <w:rStyle w:val="mi"/>
                      <w:rFonts w:ascii="Cambria Math" w:hAnsi="Cambria Math" w:cstheme="minorHAnsi"/>
                      <w:i/>
                      <w:sz w:val="28"/>
                      <w:szCs w:val="28"/>
                      <w:bdr w:val="none" w:sz="0" w:space="0" w:color="auto" w:frame="1"/>
                    </w:rPr>
                  </m:ctrlPr>
                </m:dPr>
                <m:e>
                  <m:eqArr>
                    <m:eqArrPr>
                      <m:ctrlPr>
                        <w:rPr>
                          <w:rStyle w:val="mi"/>
                          <w:rFonts w:ascii="Cambria Math" w:hAnsi="Cambria Math" w:cstheme="minorHAnsi"/>
                          <w:sz w:val="28"/>
                          <w:szCs w:val="28"/>
                          <w:bdr w:val="none" w:sz="0" w:space="0" w:color="auto" w:frame="1"/>
                        </w:rPr>
                      </m:ctrlPr>
                    </m:eqArrP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ξ</m:t>
                          </m:r>
                        </m:e>
                        <m:sup>
                          <m:r>
                            <m:rPr>
                              <m:sty m:val="p"/>
                            </m:rP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h</m:t>
                          </m:r>
                        </m:sub>
                        <m:sup>
                          <m:r>
                            <m:rPr>
                              <m:sty m:val="p"/>
                            </m:rPr>
                            <w:rPr>
                              <w:rStyle w:val="mi"/>
                              <w:rFonts w:ascii="Cambria Math" w:hAnsi="Cambria Math" w:cstheme="minorHAnsi"/>
                              <w:sz w:val="28"/>
                              <w:szCs w:val="28"/>
                              <w:bdr w:val="none" w:sz="0" w:space="0" w:color="auto" w:frame="1"/>
                            </w:rPr>
                            <m:t>'</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ih</m:t>
                          </m:r>
                          <m:r>
                            <w:rPr>
                              <w:rStyle w:val="mi"/>
                              <w:rFonts w:ascii="Cambria Math" w:hAnsi="Cambria Math" w:cstheme="minorHAnsi"/>
                              <w:sz w:val="28"/>
                              <w:szCs w:val="28"/>
                              <w:bdr w:val="none" w:sz="0" w:space="0" w:color="auto" w:frame="1"/>
                            </w:rPr>
                            <m:t>2</m:t>
                          </m:r>
                        </m:sub>
                      </m:sSub>
                    </m:e>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ξ</m:t>
                          </m:r>
                        </m:e>
                        <m:sup>
                          <m:r>
                            <m:rPr>
                              <m:sty m:val="p"/>
                            </m:rP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ih</m:t>
                              </m:r>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h</m:t>
                              </m:r>
                            </m:sub>
                            <m:sup>
                              <m:r>
                                <m:rPr>
                                  <m:sty m:val="p"/>
                                </m:rPr>
                                <w:rPr>
                                  <w:rStyle w:val="mi"/>
                                  <w:rFonts w:ascii="Cambria Math" w:hAnsi="Cambria Math" w:cstheme="minorHAnsi"/>
                                  <w:sz w:val="28"/>
                                  <w:szCs w:val="28"/>
                                  <w:bdr w:val="none" w:sz="0" w:space="0" w:color="auto" w:frame="1"/>
                                </w:rPr>
                                <m:t>'</m:t>
                              </m:r>
                            </m:sup>
                          </m:sSubSup>
                        </m:num>
                        <m:den>
                          <m:r>
                            <w:rPr>
                              <w:rStyle w:val="mi"/>
                              <w:rFonts w:ascii="Cambria Math" w:hAnsi="Cambria Math" w:cstheme="minorHAnsi"/>
                              <w:sz w:val="28"/>
                              <w:szCs w:val="28"/>
                              <w:bdr w:val="none" w:sz="0" w:space="0" w:color="auto" w:frame="1"/>
                            </w:rPr>
                            <m:t>qε</m:t>
                          </m:r>
                        </m:den>
                      </m:f>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h</m:t>
                          </m:r>
                        </m:sub>
                        <m:sup>
                          <m:r>
                            <m:rPr>
                              <m:sty m:val="p"/>
                            </m:rPr>
                            <w:rPr>
                              <w:rStyle w:val="mi"/>
                              <w:rFonts w:ascii="Cambria Math" w:hAnsi="Cambria Math" w:cstheme="minorHAnsi"/>
                              <w:sz w:val="28"/>
                              <w:szCs w:val="28"/>
                              <w:bdr w:val="none" w:sz="0" w:space="0" w:color="auto" w:frame="1"/>
                            </w:rPr>
                            <m:t>'</m:t>
                          </m:r>
                        </m:sup>
                      </m:sSubSup>
                      <m:r>
                        <w:rPr>
                          <w:rStyle w:val="mi"/>
                          <w:rFonts w:ascii="Cambria Math" w:hAnsi="Cambria Math" w:cstheme="minorHAnsi"/>
                          <w:sz w:val="28"/>
                          <w:szCs w:val="28"/>
                          <w:bdr w:val="none" w:sz="0" w:space="0" w:color="auto" w:frame="1"/>
                        </w:rPr>
                        <m:t>&lt;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ih</m:t>
                          </m:r>
                          <m:r>
                            <w:rPr>
                              <w:rStyle w:val="mi"/>
                              <w:rFonts w:ascii="Cambria Math" w:hAnsi="Cambria Math" w:cstheme="minorHAnsi"/>
                              <w:sz w:val="28"/>
                              <w:szCs w:val="28"/>
                              <w:bdr w:val="none" w:sz="0" w:space="0" w:color="auto" w:frame="1"/>
                            </w:rPr>
                            <m:t>2</m:t>
                          </m:r>
                        </m:sub>
                      </m:sSub>
                    </m:e>
                  </m:eqArr>
                </m:e>
              </m:d>
            </m:e>
          </m:mr>
        </m:m>
      </m:oMath>
      <w:r w:rsidR="00AF43AB" w:rsidRPr="00AF43AB">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(13)</w:t>
      </w:r>
    </w:p>
    <w:p w14:paraId="5E8967FD" w14:textId="38279C67" w:rsidR="00D24768" w:rsidRPr="00345355" w:rsidRDefault="00D24768" w:rsidP="00490AC6">
      <w:pPr>
        <w:rPr>
          <w:rFonts w:cstheme="minorHAnsi"/>
        </w:rPr>
      </w:pPr>
      <w:r w:rsidRPr="00345355">
        <w:rPr>
          <w:rFonts w:cstheme="minorHAnsi"/>
        </w:rPr>
        <w:t>where </w:t>
      </w:r>
      <m:oMath>
        <m:r>
          <w:rPr>
            <w:rStyle w:val="mi"/>
            <w:rFonts w:ascii="Cambria Math" w:hAnsi="Cambria Math" w:cstheme="minorHAnsi"/>
            <w:bdr w:val="none" w:sz="0" w:space="0" w:color="auto" w:frame="1"/>
          </w:rPr>
          <m:t>q</m:t>
        </m:r>
      </m:oMath>
      <w:r w:rsidRPr="00345355">
        <w:rPr>
          <w:rFonts w:cstheme="minorHAnsi"/>
        </w:rPr>
        <w:t> is the electronic charge, </w:t>
      </w:r>
      <m:oMath>
        <m:r>
          <w:rPr>
            <w:rStyle w:val="mi"/>
            <w:rFonts w:ascii="Cambria Math" w:hAnsi="Cambria Math" w:cstheme="minorHAnsi"/>
            <w:bdr w:val="none" w:sz="0" w:space="0" w:color="auto" w:frame="1"/>
          </w:rPr>
          <m:t>ε</m:t>
        </m:r>
      </m:oMath>
      <w:r w:rsidRPr="00345355">
        <w:rPr>
          <w:rFonts w:cstheme="minorHAnsi"/>
        </w:rPr>
        <w:t> is the uniform electric field,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ih</m:t>
            </m:r>
            <m:r>
              <w:rPr>
                <w:rStyle w:val="mi"/>
                <w:rFonts w:ascii="Cambria Math" w:hAnsi="Cambria Math" w:cstheme="minorHAnsi"/>
                <w:bdr w:val="none" w:sz="0" w:space="0" w:color="auto" w:frame="1"/>
              </w:rPr>
              <m:t>2</m:t>
            </m:r>
          </m:sub>
        </m:sSub>
      </m:oMath>
      <w:r w:rsidRPr="00345355">
        <w:rPr>
          <w:rFonts w:cstheme="minorHAnsi"/>
        </w:rPr>
        <w:t> are the ionization threshold energies of the electron in second multiplication region,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h</m:t>
            </m:r>
          </m:sub>
          <m:sup>
            <m:r>
              <m:rPr>
                <m:sty m:val="p"/>
              </m:rPr>
              <w:rPr>
                <w:rStyle w:val="mi"/>
                <w:rFonts w:ascii="Cambria Math" w:hAnsi="Cambria Math" w:cstheme="minorHAnsi"/>
                <w:bdr w:val="none" w:sz="0" w:space="0" w:color="auto" w:frame="1"/>
              </w:rPr>
              <m:t>'</m:t>
            </m:r>
          </m:sup>
        </m:sSubSup>
        <m:r>
          <w:rPr>
            <w:rStyle w:val="mi"/>
            <w:rFonts w:ascii="Cambria Math" w:cstheme="minorHAnsi"/>
            <w:bdr w:val="none" w:sz="0" w:space="0" w:color="auto" w:frame="1"/>
          </w:rPr>
          <m:t xml:space="preserve"> </m:t>
        </m:r>
      </m:oMath>
      <w:r w:rsidRPr="00345355">
        <w:rPr>
          <w:rFonts w:cstheme="minorHAnsi"/>
        </w:rPr>
        <w:t>is the initial energy of hole when it enters into the second regions.</w:t>
      </w:r>
    </w:p>
    <w:p w14:paraId="58674F31" w14:textId="77777777" w:rsidR="00D24768" w:rsidRPr="00345355" w:rsidRDefault="00D24768" w:rsidP="00490AC6">
      <w:pPr>
        <w:rPr>
          <w:rFonts w:cstheme="minorHAnsi"/>
        </w:rPr>
      </w:pPr>
      <w:r w:rsidRPr="00345355">
        <w:rPr>
          <w:rFonts w:cstheme="minorHAnsi"/>
        </w:rPr>
        <w:t xml:space="preserve">Now according to the dead-space multiplication theory, the excess noise factor is a function of the ionization coefficient ratio and the mean gain, as well as the multiplication-region width. The thickness of thin hole-multiplication region h is set to be thinner than the hole's dead space distance. This restriction in the multiplication width ensures that only those carriers that gain </w:t>
      </w:r>
      <w:proofErr w:type="gramStart"/>
      <w:r w:rsidRPr="00345355">
        <w:rPr>
          <w:rFonts w:cstheme="minorHAnsi"/>
        </w:rPr>
        <w:t>sufficient</w:t>
      </w:r>
      <w:proofErr w:type="gramEnd"/>
      <w:r w:rsidRPr="00345355">
        <w:rPr>
          <w:rFonts w:cstheme="minorHAnsi"/>
        </w:rPr>
        <w:t xml:space="preserve"> energy prior to entering the thin region can impact ionize. The structure does not provide enough distance for secondary carriers to </w:t>
      </w:r>
      <w:proofErr w:type="spellStart"/>
      <w:r w:rsidRPr="00345355">
        <w:rPr>
          <w:rFonts w:cstheme="minorHAnsi"/>
        </w:rPr>
        <w:t>buildup</w:t>
      </w:r>
      <w:proofErr w:type="spellEnd"/>
      <w:r w:rsidRPr="00345355">
        <w:rPr>
          <w:rFonts w:cstheme="minorHAnsi"/>
        </w:rPr>
        <w:t xml:space="preserve"> their energy to the threshold-energy level. This reduces the randomness of ionization (position randomness) for holes, </w:t>
      </w:r>
      <w:proofErr w:type="gramStart"/>
      <w:r w:rsidRPr="00345355">
        <w:rPr>
          <w:rFonts w:cstheme="minorHAnsi"/>
        </w:rPr>
        <w:t>hence</w:t>
      </w:r>
      <w:proofErr w:type="gramEnd"/>
      <w:r w:rsidRPr="00345355">
        <w:rPr>
          <w:rFonts w:cstheme="minorHAnsi"/>
        </w:rPr>
        <w:t xml:space="preserve"> to minimize the excess noise factor. Dead spaces calculated for holes in hole multiplication region and electrons in electron multiplication region are </w:t>
      </w:r>
      <w:r w:rsidRPr="00345355">
        <w:rPr>
          <w:rStyle w:val="mo"/>
          <w:rFonts w:ascii="Cambria Math" w:hAnsi="Cambria Math" w:cs="Cambria Math"/>
          <w:bdr w:val="none" w:sz="0" w:space="0" w:color="auto" w:frame="1"/>
        </w:rPr>
        <w:t>∼</w:t>
      </w:r>
      <w:r w:rsidRPr="00345355">
        <w:rPr>
          <w:rStyle w:val="mn"/>
          <w:rFonts w:cstheme="minorHAnsi"/>
          <w:bdr w:val="none" w:sz="0" w:space="0" w:color="auto" w:frame="1"/>
        </w:rPr>
        <w:t>170</w:t>
      </w:r>
      <w:r w:rsidRPr="00345355">
        <w:rPr>
          <w:rFonts w:cstheme="minorHAnsi"/>
        </w:rPr>
        <w:t> and 107 nm, respectively, at an electric field of 20 kV/cm. Thus, thicknesses are 10 nm which is almost one tenth of its dead space for thin hole multiplication region h, 10 nm for thin electron multiplication region e and 800 nm for wide electron multiplication region electron multiplication.</w:t>
      </w:r>
    </w:p>
    <w:p w14:paraId="12B51C49" w14:textId="5B6E38EB" w:rsidR="00D24768" w:rsidRPr="00824FCC" w:rsidRDefault="00D24768" w:rsidP="00824FCC">
      <w:pPr>
        <w:pStyle w:val="Heading1"/>
      </w:pPr>
      <w:r w:rsidRPr="00824FCC">
        <w:t>SECTION IV.</w:t>
      </w:r>
      <w:r w:rsidR="00824FCC" w:rsidRPr="00824FCC">
        <w:t xml:space="preserve"> </w:t>
      </w:r>
      <w:r w:rsidRPr="00824FCC">
        <w:t>Results and Discussion</w:t>
      </w:r>
    </w:p>
    <w:p w14:paraId="490ACD26" w14:textId="77777777" w:rsidR="00D24768" w:rsidRPr="00345355" w:rsidRDefault="00D24768" w:rsidP="00490AC6">
      <w:pPr>
        <w:rPr>
          <w:rFonts w:cstheme="minorHAnsi"/>
        </w:rPr>
      </w:pPr>
      <w:r w:rsidRPr="00345355">
        <w:rPr>
          <w:rFonts w:cstheme="minorHAnsi"/>
        </w:rPr>
        <w:t>Variations of the mean gain with applied electric field for the different structures are shown in Fig. 2. The results highlight the increase of multiplication gain through higher carrier feedback generated in additional thin multiplication regions. To be more specific, to achieve a gain of 40, only a bias of 2.1 V needs to be applied to structure (d) instead of 17.6 V to structure (a). Thus, the required bias is reduced by almost eight times at this gain. As previously stated, high bias can increase dark currents, especially for long wave infrared devices. Thus, these new structures [from structure (b) to (d)] have a positive effect on dark current reduction. In addition, they can be potentially used for low-bias high-gain applications, such as single photon counting devices that can be directly integrated to Si readout circuits which operate at a relatively low voltage.</w:t>
      </w:r>
    </w:p>
    <w:p w14:paraId="3E6D0039" w14:textId="4900E96B" w:rsidR="00D24768" w:rsidRPr="00345355" w:rsidRDefault="00D24768" w:rsidP="00014BCE">
      <w:pPr>
        <w:pStyle w:val="NoSpacing"/>
        <w:rPr>
          <w:rStyle w:val="Hyperlink"/>
          <w:rFonts w:cstheme="minorHAnsi"/>
          <w:color w:val="006699"/>
          <w:u w:val="none"/>
        </w:rPr>
      </w:pPr>
      <w:r w:rsidRPr="00345355">
        <w:lastRenderedPageBreak/>
        <w:fldChar w:fldCharType="begin"/>
      </w:r>
      <w:r w:rsidRPr="00345355">
        <w:instrText xml:space="preserve"> HYPERLINK "https://ieeexplore.ieee.org/mediastore_new/IEEE/content/media/16/6542005/6527309/6527309-fig-2-source-large.gif" </w:instrText>
      </w:r>
      <w:r w:rsidRPr="00345355">
        <w:fldChar w:fldCharType="separate"/>
      </w:r>
      <w:r w:rsidRPr="00345355">
        <w:rPr>
          <w:noProof/>
        </w:rPr>
        <w:drawing>
          <wp:inline distT="0" distB="0" distL="0" distR="0" wp14:anchorId="7BD24ED3" wp14:editId="7DFCD3F8">
            <wp:extent cx="2743200" cy="2167128"/>
            <wp:effectExtent l="0" t="0" r="0" b="5080"/>
            <wp:docPr id="7" name="Picture 7" descr="Fig. 2. Comparison of different mean gain ⟨G⟩ with the variation of electric field across four structures (a)–(d). A uniform electric field is assumed through all four stru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0757BF03" w14:textId="10A9F695" w:rsidR="00D24768" w:rsidRPr="00345355" w:rsidRDefault="00D24768" w:rsidP="00014BCE">
      <w:pPr>
        <w:pStyle w:val="NoSpacing"/>
      </w:pPr>
      <w:r w:rsidRPr="00345355">
        <w:fldChar w:fldCharType="end"/>
      </w:r>
      <w:r w:rsidRPr="00345355">
        <w:rPr>
          <w:b/>
          <w:bCs/>
        </w:rPr>
        <w:t>Fig. 2.</w:t>
      </w:r>
      <w:r w:rsidR="00014BCE">
        <w:rPr>
          <w:b/>
          <w:bCs/>
        </w:rPr>
        <w:t xml:space="preserve"> </w:t>
      </w:r>
      <w:r w:rsidRPr="00345355">
        <w:t>Comparison of different mean gain </w:t>
      </w:r>
      <w:r w:rsidRPr="00345355">
        <w:rPr>
          <w:rStyle w:val="mo"/>
          <w:rFonts w:ascii="Cambria Math" w:hAnsi="Cambria Math" w:cs="Cambria Math"/>
          <w:color w:val="666666"/>
          <w:bdr w:val="none" w:sz="0" w:space="0" w:color="auto" w:frame="1"/>
        </w:rPr>
        <w:t>⟨</w:t>
      </w:r>
      <w:r w:rsidRPr="00345355">
        <w:rPr>
          <w:rStyle w:val="mi"/>
          <w:rFonts w:cstheme="minorHAnsi"/>
          <w:color w:val="666666"/>
          <w:bdr w:val="none" w:sz="0" w:space="0" w:color="auto" w:frame="1"/>
        </w:rPr>
        <w:t>G</w:t>
      </w:r>
      <w:r w:rsidRPr="00345355">
        <w:rPr>
          <w:rStyle w:val="mo"/>
          <w:rFonts w:ascii="Cambria Math" w:hAnsi="Cambria Math" w:cs="Cambria Math"/>
          <w:color w:val="666666"/>
          <w:bdr w:val="none" w:sz="0" w:space="0" w:color="auto" w:frame="1"/>
        </w:rPr>
        <w:t>⟩</w:t>
      </w:r>
      <w:r w:rsidRPr="00345355">
        <w:t> with the variation of electric field across four structures (a)–(d). A uniform electric field is assumed through all four structures.</w:t>
      </w:r>
    </w:p>
    <w:p w14:paraId="2C523107" w14:textId="77777777" w:rsidR="00014BCE" w:rsidRDefault="00014BCE" w:rsidP="00490AC6">
      <w:pPr>
        <w:rPr>
          <w:rFonts w:cstheme="minorHAnsi"/>
        </w:rPr>
      </w:pPr>
    </w:p>
    <w:p w14:paraId="71D3D60F" w14:textId="7FFA6AD6" w:rsidR="00D24768" w:rsidRPr="00345355" w:rsidRDefault="00D24768" w:rsidP="00490AC6">
      <w:pPr>
        <w:rPr>
          <w:rFonts w:cstheme="minorHAnsi"/>
        </w:rPr>
      </w:pPr>
      <w:r w:rsidRPr="00345355">
        <w:rPr>
          <w:rFonts w:cstheme="minorHAnsi"/>
        </w:rPr>
        <w:t>From a different perspective, the additional gain from the thin multiplication layers can be traded for a lower thickness of the wider electron multiplication region. To study the effectiveness on the thickness reduction, thickness of the whole multiplication versus gain is shown in Fig. 3. It is shown that under an electric field of 20 kV/cm, with only adding five thin 10-nm alternate carrier multiplication layers from structure (a) to (d), the thickness can be reduced from 1840 to 1009 nm at a mean gain of 20, which enables us to fabricate APD devices with smaller size. Variations of excess noise factors versus mean gain for the different structures are shown in Fig. 4. Structure (a), comprised of a single almost pure electron multiplication region, has the least excess noise as expected from McIntyre model. It is clearly seen from the slopes of four curves that the increase in excess noise with gain is progressively steeper from structure (a) to structure (d). To better understand and control the excess noise factor in the proposed dual-carrier APD structure, the overall equivalent impact ionization coefficient ratio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m:rPr>
                <m:sty m:val="p"/>
              </m:rPr>
              <w:rPr>
                <w:rStyle w:val="mi"/>
                <w:rFonts w:ascii="Cambria Math" w:hAnsi="Cambria Math" w:cstheme="minorHAnsi"/>
                <w:bdr w:val="none" w:sz="0" w:space="0" w:color="auto" w:frame="1"/>
              </w:rPr>
              <m:t>equiv</m:t>
            </m:r>
          </m:sub>
        </m:sSub>
      </m:oMath>
      <w:r w:rsidRPr="00345355">
        <w:rPr>
          <w:rFonts w:cstheme="minorHAnsi"/>
        </w:rPr>
        <w:t> is calculated with variable thickness of the thin carrier multiplication region in Fig. 5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m:rPr>
                <m:sty m:val="p"/>
              </m:rPr>
              <w:rPr>
                <w:rStyle w:val="mi"/>
                <w:rFonts w:ascii="Cambria Math" w:hAnsi="Cambria Math" w:cstheme="minorHAnsi"/>
                <w:bdr w:val="none" w:sz="0" w:space="0" w:color="auto" w:frame="1"/>
              </w:rPr>
              <m:t>equiv</m:t>
            </m:r>
          </m:sub>
        </m:sSub>
      </m:oMath>
      <w:r w:rsidRPr="00345355">
        <w:rPr>
          <w:rFonts w:cstheme="minorHAnsi"/>
        </w:rPr>
        <w:t> can be determined by using the conventional expression for the excess noise factor [2]</w:t>
      </w:r>
    </w:p>
    <w:p w14:paraId="66C7E3A6" w14:textId="5FC653E1" w:rsidR="00D24768" w:rsidRPr="00345355" w:rsidRDefault="002472F9" w:rsidP="00490AC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F=k⟨G⟩+(1-k)</m:t>
              </m:r>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2-</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⟨G⟩</m:t>
                      </m:r>
                    </m:den>
                  </m:f>
                </m:e>
              </m:d>
              <m:r>
                <w:rPr>
                  <w:rStyle w:val="mi"/>
                  <w:rFonts w:ascii="Cambria Math" w:hAnsi="Cambria Math" w:cstheme="minorHAnsi"/>
                  <w:sz w:val="28"/>
                  <w:szCs w:val="28"/>
                  <w:bdr w:val="none" w:sz="0" w:space="0" w:color="auto" w:frame="1"/>
                </w:rPr>
                <m:t>.</m:t>
              </m:r>
            </m:e>
          </m:mr>
        </m:m>
      </m:oMath>
      <w:r w:rsidR="00031F02" w:rsidRPr="00031F02">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(14)</w:t>
      </w:r>
    </w:p>
    <w:p w14:paraId="384677F0" w14:textId="3239BD06" w:rsidR="00D24768" w:rsidRPr="00345355" w:rsidRDefault="00D24768" w:rsidP="00031F02">
      <w:pPr>
        <w:pStyle w:val="NoSpacing"/>
        <w:rPr>
          <w:rStyle w:val="Hyperlink"/>
          <w:rFonts w:cstheme="minorHAnsi"/>
          <w:color w:val="006699"/>
          <w:u w:val="none"/>
        </w:rPr>
      </w:pPr>
      <w:r w:rsidRPr="00345355">
        <w:fldChar w:fldCharType="begin"/>
      </w:r>
      <w:r w:rsidRPr="00345355">
        <w:instrText xml:space="preserve"> HYPERLINK "https://ieeexplore.ieee.org/mediastore_new/IEEE/content/media/16/6542005/6527309/6527309-fig-3-source-large.gif" </w:instrText>
      </w:r>
      <w:r w:rsidRPr="00345355">
        <w:fldChar w:fldCharType="separate"/>
      </w:r>
      <w:r w:rsidRPr="00345355">
        <w:rPr>
          <w:noProof/>
        </w:rPr>
        <w:drawing>
          <wp:inline distT="0" distB="0" distL="0" distR="0" wp14:anchorId="45086446" wp14:editId="3E91BE78">
            <wp:extent cx="2743200" cy="1993392"/>
            <wp:effectExtent l="0" t="0" r="0" b="6985"/>
            <wp:docPr id="5" name="Picture 5" descr="Fig. 3. Comparison of the DSMT-simulated structure thicknesses as a function of mean gain ⟨G⟩ for all four stru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993392"/>
                    </a:xfrm>
                    <a:prstGeom prst="rect">
                      <a:avLst/>
                    </a:prstGeom>
                    <a:noFill/>
                    <a:ln>
                      <a:noFill/>
                    </a:ln>
                  </pic:spPr>
                </pic:pic>
              </a:graphicData>
            </a:graphic>
          </wp:inline>
        </w:drawing>
      </w:r>
    </w:p>
    <w:p w14:paraId="0EADBC15" w14:textId="4E786A5D" w:rsidR="00D24768" w:rsidRPr="007D541E" w:rsidRDefault="00D24768" w:rsidP="00031F02">
      <w:pPr>
        <w:pStyle w:val="NoSpacing"/>
        <w:rPr>
          <w:color w:val="000000" w:themeColor="text1"/>
        </w:rPr>
      </w:pPr>
      <w:r w:rsidRPr="00345355">
        <w:fldChar w:fldCharType="end"/>
      </w:r>
      <w:r w:rsidRPr="007D541E">
        <w:rPr>
          <w:b/>
          <w:bCs/>
          <w:color w:val="000000" w:themeColor="text1"/>
        </w:rPr>
        <w:t>Fig. 3.</w:t>
      </w:r>
      <w:r w:rsidR="00031F02" w:rsidRPr="007D541E">
        <w:rPr>
          <w:b/>
          <w:bCs/>
          <w:color w:val="000000" w:themeColor="text1"/>
        </w:rPr>
        <w:t xml:space="preserve"> </w:t>
      </w:r>
      <w:r w:rsidRPr="007D541E">
        <w:rPr>
          <w:color w:val="000000" w:themeColor="text1"/>
        </w:rPr>
        <w:t>Comparison of the DSMT-simulated structure thicknesses as a function of mean gain </w:t>
      </w:r>
      <w:r w:rsidRPr="007D541E">
        <w:rPr>
          <w:rStyle w:val="mo"/>
          <w:rFonts w:ascii="Cambria Math" w:hAnsi="Cambria Math" w:cs="Cambria Math"/>
          <w:color w:val="000000" w:themeColor="text1"/>
          <w:bdr w:val="none" w:sz="0" w:space="0" w:color="auto" w:frame="1"/>
        </w:rPr>
        <w:t>⟨</w:t>
      </w:r>
      <w:r w:rsidRPr="007D541E">
        <w:rPr>
          <w:rStyle w:val="mi"/>
          <w:rFonts w:cstheme="minorHAnsi"/>
          <w:color w:val="000000" w:themeColor="text1"/>
          <w:bdr w:val="none" w:sz="0" w:space="0" w:color="auto" w:frame="1"/>
        </w:rPr>
        <w:t>G</w:t>
      </w:r>
      <w:r w:rsidRPr="007D541E">
        <w:rPr>
          <w:rStyle w:val="mo"/>
          <w:rFonts w:ascii="Cambria Math" w:hAnsi="Cambria Math" w:cs="Cambria Math"/>
          <w:color w:val="000000" w:themeColor="text1"/>
          <w:bdr w:val="none" w:sz="0" w:space="0" w:color="auto" w:frame="1"/>
        </w:rPr>
        <w:t>⟩</w:t>
      </w:r>
      <w:r w:rsidRPr="007D541E">
        <w:rPr>
          <w:color w:val="000000" w:themeColor="text1"/>
        </w:rPr>
        <w:t> for all four structures.</w:t>
      </w:r>
    </w:p>
    <w:p w14:paraId="2CC99BF5" w14:textId="77777777" w:rsidR="007D541E" w:rsidRDefault="007D541E" w:rsidP="00490AC6"/>
    <w:p w14:paraId="57519916" w14:textId="28ED25A3" w:rsidR="00D24768" w:rsidRPr="00345355" w:rsidRDefault="00D24768" w:rsidP="007D541E">
      <w:pPr>
        <w:pStyle w:val="NoSpacing"/>
        <w:rPr>
          <w:rStyle w:val="Hyperlink"/>
          <w:rFonts w:cstheme="minorHAnsi"/>
          <w:color w:val="006699"/>
          <w:u w:val="none"/>
        </w:rPr>
      </w:pPr>
      <w:r w:rsidRPr="00345355">
        <w:lastRenderedPageBreak/>
        <w:fldChar w:fldCharType="begin"/>
      </w:r>
      <w:r w:rsidRPr="00345355">
        <w:instrText xml:space="preserve"> HYPERLINK "https://ieeexplore.ieee.org/mediastore_new/IEEE/content/media/16/6542005/6527309/6527309-fig-4-source-large.gif" </w:instrText>
      </w:r>
      <w:r w:rsidRPr="00345355">
        <w:fldChar w:fldCharType="separate"/>
      </w:r>
      <w:r w:rsidRPr="00345355">
        <w:rPr>
          <w:noProof/>
        </w:rPr>
        <w:drawing>
          <wp:inline distT="0" distB="0" distL="0" distR="0" wp14:anchorId="6DFBB42F" wp14:editId="740DDCAB">
            <wp:extent cx="2743200" cy="2148840"/>
            <wp:effectExtent l="0" t="0" r="0" b="3810"/>
            <wp:docPr id="4" name="Picture 4" descr="Fig. 4. Comparison of the DSMT-computed excess noise factors F for structures (a)–(d) as a function of mean gain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148840"/>
                    </a:xfrm>
                    <a:prstGeom prst="rect">
                      <a:avLst/>
                    </a:prstGeom>
                    <a:noFill/>
                    <a:ln>
                      <a:noFill/>
                    </a:ln>
                  </pic:spPr>
                </pic:pic>
              </a:graphicData>
            </a:graphic>
          </wp:inline>
        </w:drawing>
      </w:r>
    </w:p>
    <w:p w14:paraId="26E07AA3" w14:textId="2DA4BC36" w:rsidR="00D24768" w:rsidRPr="00345355" w:rsidRDefault="00D24768" w:rsidP="00490AC6">
      <w:pPr>
        <w:rPr>
          <w:rFonts w:cstheme="minorHAnsi"/>
          <w:color w:val="666666"/>
        </w:rPr>
      </w:pPr>
      <w:r w:rsidRPr="00345355">
        <w:rPr>
          <w:rFonts w:cstheme="minorHAnsi"/>
        </w:rPr>
        <w:fldChar w:fldCharType="end"/>
      </w:r>
      <w:r w:rsidRPr="00345355">
        <w:rPr>
          <w:rFonts w:cstheme="minorHAnsi"/>
          <w:b/>
          <w:bCs/>
          <w:color w:val="666666"/>
        </w:rPr>
        <w:t>Fig. 4.</w:t>
      </w:r>
      <w:r w:rsidR="007D541E">
        <w:rPr>
          <w:rFonts w:cstheme="minorHAnsi"/>
          <w:b/>
          <w:bCs/>
          <w:color w:val="666666"/>
        </w:rPr>
        <w:t xml:space="preserve"> </w:t>
      </w:r>
      <w:r w:rsidRPr="00345355">
        <w:rPr>
          <w:rFonts w:cstheme="minorHAnsi"/>
          <w:color w:val="666666"/>
        </w:rPr>
        <w:t>Comparison of the DSMT-computed excess noise factors </w:t>
      </w:r>
      <m:oMath>
        <m:r>
          <w:rPr>
            <w:rStyle w:val="mi"/>
            <w:rFonts w:ascii="Cambria Math" w:hAnsi="Cambria Math" w:cstheme="minorHAnsi"/>
            <w:color w:val="666666"/>
            <w:bdr w:val="none" w:sz="0" w:space="0" w:color="auto" w:frame="1"/>
          </w:rPr>
          <m:t>F</m:t>
        </m:r>
      </m:oMath>
      <w:r w:rsidRPr="00345355">
        <w:rPr>
          <w:rFonts w:cstheme="minorHAnsi"/>
          <w:color w:val="666666"/>
        </w:rPr>
        <w:t> for structures (a)–(d) as a function of mean gain </w:t>
      </w:r>
      <m:oMath>
        <m:r>
          <w:rPr>
            <w:rStyle w:val="mo"/>
            <w:rFonts w:ascii="Cambria Math" w:hAnsi="Cambria Math" w:cs="Cambria Math"/>
            <w:color w:val="666666"/>
            <w:bdr w:val="none" w:sz="0" w:space="0" w:color="auto" w:frame="1"/>
          </w:rPr>
          <m:t>⟨G⟩</m:t>
        </m:r>
      </m:oMath>
      <w:r w:rsidRPr="00345355">
        <w:rPr>
          <w:rFonts w:cstheme="minorHAnsi"/>
          <w:color w:val="666666"/>
        </w:rPr>
        <w:t>.</w:t>
      </w:r>
    </w:p>
    <w:p w14:paraId="40F7DF00" w14:textId="6CA4433C" w:rsidR="00D24768" w:rsidRPr="00345355" w:rsidRDefault="00D24768" w:rsidP="00490AC6">
      <w:pPr>
        <w:rPr>
          <w:rFonts w:cstheme="minorHAnsi"/>
        </w:rPr>
      </w:pPr>
      <w:r w:rsidRPr="00345355">
        <w:rPr>
          <w:rFonts w:cstheme="minorHAnsi"/>
        </w:rPr>
        <w:t>Hence, if the overall mean gain </w:t>
      </w:r>
      <m:oMath>
        <m:r>
          <w:rPr>
            <w:rStyle w:val="mo"/>
            <w:rFonts w:ascii="Cambria Math" w:hAnsi="Cambria Math" w:cs="Cambria Math"/>
            <w:bdr w:val="none" w:sz="0" w:space="0" w:color="auto" w:frame="1"/>
          </w:rPr>
          <m:t>⟨G⟩</m:t>
        </m:r>
      </m:oMath>
      <w:r w:rsidRPr="00345355">
        <w:rPr>
          <w:rFonts w:cstheme="minorHAnsi"/>
        </w:rPr>
        <w:t> and excess noise factor </w:t>
      </w:r>
      <m:oMath>
        <m:r>
          <w:rPr>
            <w:rStyle w:val="mi"/>
            <w:rFonts w:ascii="Cambria Math" w:hAnsi="Cambria Math" w:cstheme="minorHAnsi"/>
            <w:bdr w:val="none" w:sz="0" w:space="0" w:color="auto" w:frame="1"/>
          </w:rPr>
          <m:t>F</m:t>
        </m:r>
      </m:oMath>
      <w:r w:rsidRPr="00345355">
        <w:rPr>
          <w:rFonts w:cstheme="minorHAnsi"/>
        </w:rPr>
        <w:t> are known, Keq can be calculated as follows:</w:t>
      </w:r>
    </w:p>
    <w:p w14:paraId="0032CA56" w14:textId="28B8123C" w:rsidR="00D24768" w:rsidRPr="00345355" w:rsidRDefault="002472F9" w:rsidP="00490AC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m:rPr>
                      <m:sty m:val="p"/>
                    </m:rPr>
                    <w:rPr>
                      <w:rStyle w:val="mi"/>
                      <w:rFonts w:ascii="Cambria Math" w:hAnsi="Cambria Math" w:cstheme="minorHAnsi"/>
                      <w:sz w:val="28"/>
                      <w:szCs w:val="28"/>
                      <w:bdr w:val="none" w:sz="0" w:space="0" w:color="auto" w:frame="1"/>
                    </w:rPr>
                    <m:t>equiv</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F-(2-</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⟨G⟩</m:t>
                      </m:r>
                    </m:den>
                  </m:f>
                  <m:r>
                    <w:rPr>
                      <w:rStyle w:val="mi"/>
                      <w:rFonts w:ascii="Cambria Math" w:hAnsi="Cambria Math" w:cstheme="minorHAnsi"/>
                      <w:sz w:val="28"/>
                      <w:szCs w:val="28"/>
                      <w:bdr w:val="none" w:sz="0" w:space="0" w:color="auto" w:frame="1"/>
                    </w:rPr>
                    <m:t>)</m:t>
                  </m:r>
                </m:num>
                <m:den>
                  <m:r>
                    <w:rPr>
                      <w:rStyle w:val="mi"/>
                      <w:rFonts w:ascii="Cambria Math" w:hAnsi="Cambria Math" w:cstheme="minorHAnsi"/>
                      <w:sz w:val="28"/>
                      <w:szCs w:val="28"/>
                      <w:bdr w:val="none" w:sz="0" w:space="0" w:color="auto" w:frame="1"/>
                    </w:rPr>
                    <m:t>⟨G⟩+</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⟨G⟩</m:t>
                      </m:r>
                    </m:den>
                  </m:f>
                  <m:r>
                    <w:rPr>
                      <w:rStyle w:val="mi"/>
                      <w:rFonts w:ascii="Cambria Math" w:hAnsi="Cambria Math" w:cstheme="minorHAnsi"/>
                      <w:sz w:val="28"/>
                      <w:szCs w:val="28"/>
                      <w:bdr w:val="none" w:sz="0" w:space="0" w:color="auto" w:frame="1"/>
                    </w:rPr>
                    <m:t>-2</m:t>
                  </m:r>
                </m:den>
              </m:f>
              <m:r>
                <w:rPr>
                  <w:rStyle w:val="mi"/>
                  <w:rFonts w:ascii="Cambria Math" w:hAnsi="Cambria Math" w:cstheme="minorHAnsi"/>
                  <w:sz w:val="28"/>
                  <w:szCs w:val="28"/>
                  <w:bdr w:val="none" w:sz="0" w:space="0" w:color="auto" w:frame="1"/>
                </w:rPr>
                <m:t>.</m:t>
              </m:r>
            </m:e>
          </m:mr>
        </m:m>
      </m:oMath>
      <w:r w:rsidR="00E76A10" w:rsidRPr="00E76A10">
        <w:rPr>
          <w:rStyle w:val="mi"/>
          <w:rFonts w:cstheme="minorHAnsi"/>
          <w:sz w:val="28"/>
          <w:szCs w:val="28"/>
          <w:bdr w:val="none" w:sz="0" w:space="0" w:color="auto" w:frame="1"/>
        </w:rPr>
        <w:t xml:space="preserve"> </w:t>
      </w:r>
      <w:r w:rsidR="00D24768" w:rsidRPr="00345355">
        <w:rPr>
          <w:rStyle w:val="mtext"/>
          <w:rFonts w:cstheme="minorHAnsi"/>
          <w:bdr w:val="none" w:sz="0" w:space="0" w:color="auto" w:frame="1"/>
        </w:rPr>
        <w:t>(15)</w:t>
      </w:r>
    </w:p>
    <w:p w14:paraId="1C4781B1" w14:textId="7A204298" w:rsidR="00D24768" w:rsidRPr="00345355" w:rsidRDefault="00D24768" w:rsidP="00490AC6">
      <w:pPr>
        <w:rPr>
          <w:rFonts w:cstheme="minorHAnsi"/>
        </w:rPr>
      </w:pPr>
      <w:r w:rsidRPr="00345355">
        <w:rPr>
          <w:rFonts w:cstheme="minorHAnsi"/>
        </w:rPr>
        <w:t>Simulations are performed with an electric field of 20 kV/cm with a dead space of 107 and 170 nm for hole and electron multiplication. Width of thin region is changed while keeping total width the same. It is known that the impact ionization coefficient ratio is 0.03 [5] in structure (a) as it only has electron multiplication region. In Fig. 5,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m:rPr>
                <m:sty m:val="p"/>
              </m:rPr>
              <w:rPr>
                <w:rStyle w:val="mi"/>
                <w:rFonts w:ascii="Cambria Math" w:hAnsi="Cambria Math" w:cstheme="minorHAnsi"/>
                <w:bdr w:val="none" w:sz="0" w:space="0" w:color="auto" w:frame="1"/>
              </w:rPr>
              <m:t>eq</m:t>
            </m:r>
          </m:sub>
        </m:sSub>
      </m:oMath>
      <w:r w:rsidRPr="00345355">
        <w:rPr>
          <w:rFonts w:cstheme="minorHAnsi"/>
        </w:rPr>
        <w:t> of the different structures are compared with variable thin region width. For a thickness of 10-nm structures (b), (c), and (d) have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m:rPr>
                <m:sty m:val="p"/>
              </m:rPr>
              <w:rPr>
                <w:rStyle w:val="mi"/>
                <w:rFonts w:ascii="Cambria Math" w:hAnsi="Cambria Math" w:cstheme="minorHAnsi"/>
                <w:bdr w:val="none" w:sz="0" w:space="0" w:color="auto" w:frame="1"/>
              </w:rPr>
              <m:t>equiv</m:t>
            </m:r>
          </m:sub>
        </m:sSub>
      </m:oMath>
      <w:r w:rsidRPr="00345355">
        <w:rPr>
          <w:rFonts w:cstheme="minorHAnsi"/>
        </w:rPr>
        <w:t> of 0.099, 0.113, and 0.136, respectively, which are higher compared with structure (a). In addition, for each structure in Fig. 5,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m:rPr>
                <m:sty m:val="p"/>
              </m:rPr>
              <w:rPr>
                <w:rStyle w:val="mi"/>
                <w:rFonts w:ascii="Cambria Math" w:hAnsi="Cambria Math" w:cstheme="minorHAnsi"/>
                <w:bdr w:val="none" w:sz="0" w:space="0" w:color="auto" w:frame="1"/>
              </w:rPr>
              <m:t>equiv</m:t>
            </m:r>
          </m:sub>
        </m:sSub>
      </m:oMath>
      <w:r w:rsidR="00CF562F">
        <w:rPr>
          <w:rStyle w:val="mi"/>
          <w:rFonts w:cstheme="minorHAnsi"/>
          <w:bdr w:val="none" w:sz="0" w:space="0" w:color="auto" w:frame="1"/>
        </w:rPr>
        <w:t xml:space="preserve"> </w:t>
      </w:r>
      <w:r w:rsidRPr="00345355">
        <w:rPr>
          <w:rFonts w:cstheme="minorHAnsi"/>
        </w:rPr>
        <w:t>increases with thickness of each thin multiplication region, which is in accord with the design rule of this dual APD structure that thinner hole multiplication region decreases position randomness of impact ionization, therefore, reducing the excess noise [10]. Thus, to obtain a lower excess noise, thickness of thin multiplication regions must be minimized. However, gain decreases with that thickness as well. Therefore, there is a tradeoff between gain and excess noise. Specific region thickness and materials used for this model can be selected to satisfy specific design requirements.</w:t>
      </w:r>
    </w:p>
    <w:p w14:paraId="7E473019" w14:textId="083899FC" w:rsidR="00D24768" w:rsidRPr="00345355" w:rsidRDefault="00D24768" w:rsidP="00CF562F">
      <w:pPr>
        <w:pStyle w:val="NoSpacing"/>
        <w:rPr>
          <w:rStyle w:val="Hyperlink"/>
          <w:rFonts w:cstheme="minorHAnsi"/>
          <w:color w:val="006699"/>
          <w:u w:val="none"/>
        </w:rPr>
      </w:pPr>
      <w:r w:rsidRPr="00345355">
        <w:fldChar w:fldCharType="begin"/>
      </w:r>
      <w:r w:rsidRPr="00345355">
        <w:instrText xml:space="preserve"> HYPERLINK "https://ieeexplore.ieee.org/mediastore_new/IEEE/content/media/16/6542005/6527309/6527309-fig-5-source-large.gif" </w:instrText>
      </w:r>
      <w:r w:rsidRPr="00345355">
        <w:fldChar w:fldCharType="separate"/>
      </w:r>
      <w:r w:rsidRPr="00345355">
        <w:rPr>
          <w:noProof/>
        </w:rPr>
        <w:drawing>
          <wp:inline distT="0" distB="0" distL="0" distR="0" wp14:anchorId="6216301D" wp14:editId="54F9D06D">
            <wp:extent cx="2743200" cy="2157984"/>
            <wp:effectExtent l="0" t="0" r="0" b="0"/>
            <wp:docPr id="2" name="Picture 2" descr="Fig. 5. Comparison of the DSMT-simulated equivalent ionization coefficient ratios k_equiv for structures (b)–(d) as a function of thickness of single thin multiplication region lay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4C230A06" w14:textId="0EBDCDE7" w:rsidR="00D24768" w:rsidRDefault="00D24768" w:rsidP="003F7D68">
      <w:pPr>
        <w:pStyle w:val="NoSpacing"/>
      </w:pPr>
      <w:r w:rsidRPr="00345355">
        <w:fldChar w:fldCharType="end"/>
      </w:r>
      <w:r w:rsidRPr="00345355">
        <w:rPr>
          <w:b/>
          <w:bCs/>
        </w:rPr>
        <w:t>Fig. 5.</w:t>
      </w:r>
      <w:r w:rsidR="00CF562F">
        <w:rPr>
          <w:b/>
          <w:bCs/>
        </w:rPr>
        <w:t xml:space="preserve"> </w:t>
      </w:r>
      <w:r w:rsidRPr="00345355">
        <w:t>Comparison of the DSMT-simulated equivalent ionization coefficient ratios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k</m:t>
            </m:r>
          </m:e>
          <m:sub>
            <m:r>
              <m:rPr>
                <m:sty m:val="p"/>
              </m:rPr>
              <w:rPr>
                <w:rStyle w:val="mi"/>
                <w:rFonts w:ascii="Cambria Math" w:hAnsi="Cambria Math" w:cstheme="minorHAnsi"/>
                <w:color w:val="666666"/>
                <w:bdr w:val="none" w:sz="0" w:space="0" w:color="auto" w:frame="1"/>
              </w:rPr>
              <m:t>equiv</m:t>
            </m:r>
          </m:sub>
        </m:sSub>
      </m:oMath>
      <w:r w:rsidRPr="00345355">
        <w:t> for structures (b)–(d) as a function of thickness of single thin multiplication region layer.</w:t>
      </w:r>
    </w:p>
    <w:p w14:paraId="2290C467" w14:textId="77777777" w:rsidR="003F7D68" w:rsidRPr="00345355" w:rsidRDefault="003F7D68" w:rsidP="003F7D68">
      <w:pPr>
        <w:pStyle w:val="NoSpacing"/>
      </w:pPr>
    </w:p>
    <w:p w14:paraId="1332455B" w14:textId="2D95BB9E" w:rsidR="00D24768" w:rsidRPr="00345355" w:rsidRDefault="00D24768" w:rsidP="00490AC6">
      <w:pPr>
        <w:rPr>
          <w:rFonts w:cstheme="minorHAnsi"/>
        </w:rPr>
      </w:pPr>
      <w:r w:rsidRPr="00345355">
        <w:rPr>
          <w:rFonts w:cstheme="minorHAnsi"/>
        </w:rPr>
        <w:lastRenderedPageBreak/>
        <w:t>Finally, for these dual-carrier structures, based on the role of carrier heating in avalanche multiplication (also termed the initial-energy effect) reported in [11] in the context of a very low-noise GaAs-based APD developed by Campbell et al., it was obvious that only heated holes from the wider electron multiplication region can impact ionize inside the thin multiplication region and the secondary carriers generated inside do not. Therefore, as long as the hole impact ionization rates in the thin hole-multiplication region stays the same, the overall excess noise factors will not be affected no matter what the electron impact ionization rate is in that region since electrons in that thin region are either generated inside or from other thin regions that is not heated enough. This is confirmed by simulation results shown in Fig. 6. The overall excess noise factor versus mean gain in structure (d) is simulated by keeping the hole impact ionization rate in the thin hole multiplication region the same while changing the electron impact ionization rates in that region that makes the impact ionization coefficient ratio k's in the thin hole multiplication region different. The same excess noise factor is achieved at the same gain with different k's. Two typical k's (</w:t>
      </w:r>
      <m:oMath>
        <m:r>
          <w:rPr>
            <w:rStyle w:val="mi"/>
            <w:rFonts w:ascii="Cambria Math" w:hAnsi="Cambria Math" w:cstheme="minorHAnsi"/>
            <w:bdr w:val="none" w:sz="0" w:space="0" w:color="auto" w:frame="1"/>
          </w:rPr>
          <m:t>k'</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345355">
        <w:rPr>
          <w:rFonts w:cstheme="minorHAnsi"/>
        </w:rPr>
        <w:t> and </w:t>
      </w:r>
      <m:oMath>
        <m:r>
          <w:rPr>
            <w:rStyle w:val="mi"/>
            <w:rFonts w:ascii="Cambria Math" w:hAnsi="Cambria Math" w:cstheme="minorHAnsi"/>
            <w:bdr w:val="none" w:sz="0" w:space="0" w:color="auto" w:frame="1"/>
          </w:rPr>
          <m:t>k'</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345355">
        <w:rPr>
          <w:rFonts w:cstheme="minorHAnsi"/>
        </w:rPr>
        <w:t>) are selected to be shown in Fig. 6. This observation provides greater flexibility in making a suitable choice for thin region materials, as only the value of the hole ionization coefficient needs to be considered without regarding the same for electron ionization inside the thin region.</w:t>
      </w:r>
    </w:p>
    <w:p w14:paraId="0A9B79D2" w14:textId="37A6E3B0" w:rsidR="00D24768" w:rsidRPr="00345355" w:rsidRDefault="00D24768" w:rsidP="00857ED3">
      <w:pPr>
        <w:pStyle w:val="NoSpacing"/>
        <w:rPr>
          <w:rStyle w:val="Hyperlink"/>
          <w:rFonts w:cstheme="minorHAnsi"/>
          <w:color w:val="006699"/>
          <w:u w:val="none"/>
        </w:rPr>
      </w:pPr>
      <w:r w:rsidRPr="00345355">
        <w:fldChar w:fldCharType="begin"/>
      </w:r>
      <w:r w:rsidRPr="00345355">
        <w:instrText xml:space="preserve"> HYPERLINK "https://ieeexplore.ieee.org/mediastore_new/IEEE/content/media/16/6542005/6527309/6527309-fig-6-source-large.gif" </w:instrText>
      </w:r>
      <w:r w:rsidRPr="00345355">
        <w:fldChar w:fldCharType="separate"/>
      </w:r>
      <w:r w:rsidRPr="00345355">
        <w:rPr>
          <w:noProof/>
        </w:rPr>
        <w:drawing>
          <wp:inline distT="0" distB="0" distL="0" distR="0" wp14:anchorId="0840A407" wp14:editId="7869C346">
            <wp:extent cx="2743200" cy="2176272"/>
            <wp:effectExtent l="0" t="0" r="0" b="0"/>
            <wp:docPr id="1" name="Picture 1" descr="Fig. 6. Variation of excess noise factor F with mean gain ⟨G⟩ for structure (d) when impact ionization ratio (k') in thin hole multiplication region (h) is changed to either 0 or 1. For these two situations, the same excess noise factor is achieved with the same gain. This illustrates that the ionization coefficient ratio within the hole multiplication region does not affect the overall excess noise fa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5AC0BAC0" w14:textId="5884C483" w:rsidR="00D24768" w:rsidRPr="00345355" w:rsidRDefault="00D24768" w:rsidP="00857ED3">
      <w:pPr>
        <w:pStyle w:val="NoSpacing"/>
      </w:pPr>
      <w:r w:rsidRPr="00345355">
        <w:fldChar w:fldCharType="end"/>
      </w:r>
      <w:r w:rsidRPr="00345355">
        <w:rPr>
          <w:b/>
          <w:bCs/>
        </w:rPr>
        <w:t>Fig. 6.</w:t>
      </w:r>
      <w:r w:rsidR="00857ED3">
        <w:rPr>
          <w:b/>
          <w:bCs/>
        </w:rPr>
        <w:t xml:space="preserve"> </w:t>
      </w:r>
      <w:r w:rsidRPr="00345355">
        <w:t>Variation of excess noise factor </w:t>
      </w:r>
      <m:oMath>
        <m:r>
          <w:rPr>
            <w:rStyle w:val="mi"/>
            <w:rFonts w:ascii="Cambria Math" w:hAnsi="Cambria Math" w:cstheme="minorHAnsi"/>
            <w:color w:val="666666"/>
            <w:bdr w:val="none" w:sz="0" w:space="0" w:color="auto" w:frame="1"/>
          </w:rPr>
          <m:t>F</m:t>
        </m:r>
      </m:oMath>
      <w:r w:rsidRPr="00345355">
        <w:t> with mean gain </w:t>
      </w:r>
      <m:oMath>
        <m:r>
          <w:rPr>
            <w:rStyle w:val="mo"/>
            <w:rFonts w:ascii="Cambria Math" w:hAnsi="Cambria Math" w:cs="Cambria Math"/>
            <w:color w:val="666666"/>
            <w:bdr w:val="none" w:sz="0" w:space="0" w:color="auto" w:frame="1"/>
          </w:rPr>
          <m:t>⟨G⟩</m:t>
        </m:r>
      </m:oMath>
      <w:r w:rsidRPr="00345355">
        <w:t> for structure (d) when impact ionization ratio (k') in thin hole multiplication region (h) is changed to either 0 or 1. For these two situations, the same excess noise factor is achieved with the same gain. This illustrates that the ionization coefficient ratio within the hole multiplication region does not affect the overall excess noise factor.</w:t>
      </w:r>
    </w:p>
    <w:p w14:paraId="4300F01F" w14:textId="77777777" w:rsidR="00857ED3" w:rsidRDefault="00857ED3" w:rsidP="00490AC6">
      <w:pPr>
        <w:rPr>
          <w:rFonts w:cstheme="minorHAnsi"/>
          <w:b/>
          <w:bCs/>
          <w:color w:val="0E70A0"/>
        </w:rPr>
      </w:pPr>
    </w:p>
    <w:p w14:paraId="3F139A50" w14:textId="78A3B577" w:rsidR="00D24768" w:rsidRPr="00857ED3" w:rsidRDefault="00D24768" w:rsidP="00857ED3">
      <w:pPr>
        <w:pStyle w:val="Heading1"/>
      </w:pPr>
      <w:r w:rsidRPr="00857ED3">
        <w:t>SECTION V.</w:t>
      </w:r>
      <w:r w:rsidR="00857ED3" w:rsidRPr="00857ED3">
        <w:t xml:space="preserve"> </w:t>
      </w:r>
      <w:r w:rsidRPr="00857ED3">
        <w:t>Conclusion</w:t>
      </w:r>
    </w:p>
    <w:p w14:paraId="6E13C3F4" w14:textId="7CBC45AC" w:rsidR="00D24768" w:rsidRPr="00345355" w:rsidRDefault="00D24768" w:rsidP="00490AC6">
      <w:pPr>
        <w:rPr>
          <w:rFonts w:cstheme="minorHAnsi"/>
        </w:rPr>
      </w:pPr>
      <w:r w:rsidRPr="00345355">
        <w:rPr>
          <w:rFonts w:cstheme="minorHAnsi"/>
        </w:rPr>
        <w:t>New dual-carrier feedback APD structures were proposed in this paper. Unlike normal SAM structures with only one multiplication region, these structures use one or multiple thin alternate hole multiplication layers placed adjacent to a wide electron multiplication region. This created dual carrier feedback through controlled carrier multiplication inside thin layers. A specifically lattice engineered type-II SLS was used as the electron multiplication region while the thin hole multiplication region was composed of </w:t>
      </w:r>
      <m:oMath>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In</m:t>
            </m:r>
          </m:e>
          <m:sub>
            <m:r>
              <w:rPr>
                <w:rStyle w:val="mi"/>
                <w:rFonts w:ascii="Cambria Math" w:hAnsi="Cambria Math" w:cstheme="minorHAnsi"/>
                <w:bdr w:val="none" w:sz="0" w:space="0" w:color="auto" w:frame="1"/>
              </w:rPr>
              <m:t>x</m:t>
            </m:r>
          </m:sub>
        </m:sSub>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Ga</m:t>
            </m:r>
          </m:e>
          <m:sub>
            <m:r>
              <w:rPr>
                <w:rStyle w:val="mi"/>
                <w:rFonts w:ascii="Cambria Math" w:hAnsi="Cambria Math" w:cstheme="minorHAnsi"/>
                <w:bdr w:val="none" w:sz="0" w:space="0" w:color="auto" w:frame="1"/>
              </w:rPr>
              <m:t>1-x</m:t>
            </m:r>
          </m:sub>
        </m:sSub>
        <m:r>
          <m:rPr>
            <m:sty m:val="p"/>
          </m:rPr>
          <w:rPr>
            <w:rStyle w:val="mi"/>
            <w:rFonts w:ascii="Cambria Math" w:hAnsi="Cambria Math" w:cstheme="minorHAnsi"/>
            <w:bdr w:val="none" w:sz="0" w:space="0" w:color="auto" w:frame="1"/>
          </w:rPr>
          <m:t>Sb</m:t>
        </m:r>
      </m:oMath>
      <w:r w:rsidRPr="00345355">
        <w:rPr>
          <w:rFonts w:cstheme="minorHAnsi"/>
        </w:rPr>
        <w:t>. Simulations were carried out to predict the performance using the dead space multiplication theory. The device design allowed the APDs to have higher gains in exchange of a controlled tradeoff with excess noise. Gains much higher than a single carrier APS, were achieved under a relatively low bias </w:t>
      </w:r>
      <m:oMath>
        <m:r>
          <w:rPr>
            <w:rStyle w:val="mo"/>
            <w:rFonts w:ascii="Cambria Math" w:hAnsi="Cambria Math" w:cstheme="minorHAnsi"/>
            <w:bdr w:val="none" w:sz="0" w:space="0" w:color="auto" w:frame="1"/>
          </w:rPr>
          <m:t>(&lt;</m:t>
        </m:r>
        <m:r>
          <w:rPr>
            <w:rStyle w:val="mn"/>
            <w:rFonts w:ascii="Cambria Math" w:hAnsi="Cambria Math" w:cstheme="minorHAnsi"/>
            <w:bdr w:val="none" w:sz="0" w:space="0" w:color="auto" w:frame="1"/>
          </w:rPr>
          <m:t>5</m:t>
        </m:r>
        <m:r>
          <w:rPr>
            <w:rStyle w:val="mi"/>
            <w:rFonts w:ascii="Cambria Math" w:hAnsi="Cambria Math" w:cstheme="minorHAnsi"/>
            <w:bdr w:val="none" w:sz="0" w:space="0" w:color="auto" w:frame="1"/>
          </w:rPr>
          <m:t>V</m:t>
        </m:r>
        <m:r>
          <w:rPr>
            <w:rStyle w:val="mo"/>
            <w:rFonts w:ascii="Cambria Math" w:hAnsi="Cambria Math" w:cstheme="minorHAnsi"/>
            <w:bdr w:val="none" w:sz="0" w:space="0" w:color="auto" w:frame="1"/>
          </w:rPr>
          <m:t>)</m:t>
        </m:r>
      </m:oMath>
      <w:r w:rsidRPr="00345355">
        <w:rPr>
          <w:rFonts w:cstheme="minorHAnsi"/>
        </w:rPr>
        <w:t xml:space="preserve">, which created the possibility of integrating dual APDs directly to silicon read-out circuits without the need of high voltage supplies. In addition, with low electric field, it can reduce dark currents in linear and dark count and </w:t>
      </w:r>
      <w:proofErr w:type="spellStart"/>
      <w:r w:rsidRPr="00345355">
        <w:rPr>
          <w:rFonts w:cstheme="minorHAnsi"/>
        </w:rPr>
        <w:t>afterpulsing</w:t>
      </w:r>
      <w:proofErr w:type="spellEnd"/>
      <w:r w:rsidRPr="00345355">
        <w:rPr>
          <w:rFonts w:cstheme="minorHAnsi"/>
        </w:rPr>
        <w:t xml:space="preserve"> in single photon counting applications. The width of the thin region was shown to be the most critical parameter determining the device performance. With that width increasing, both gain and excess noise increase. For its frequency response, as this </w:t>
      </w:r>
      <w:r w:rsidRPr="00345355">
        <w:rPr>
          <w:rFonts w:cstheme="minorHAnsi"/>
        </w:rPr>
        <w:lastRenderedPageBreak/>
        <w:t>APD structure employed both electrons and holes to create feedback systems, there will be a reduction in bandwidth, thus resulting in low gain-bandwidth products.</w:t>
      </w:r>
    </w:p>
    <w:p w14:paraId="07516021" w14:textId="61C2129D" w:rsidR="00D24768" w:rsidRDefault="00D24768" w:rsidP="00490AC6">
      <w:pPr>
        <w:rPr>
          <w:rFonts w:cstheme="minorHAnsi"/>
        </w:rPr>
      </w:pPr>
      <w:r w:rsidRPr="00345355">
        <w:rPr>
          <w:rFonts w:cstheme="minorHAnsi"/>
        </w:rPr>
        <w:t>It was emphasized that these structures were novel SAM structures that combine both the hole and electron multiplication regions in different physical locations which created new gain-and-excess-noise characteristics. Although the current discussion involved only mid wavelength infrared APDs based on III–V SLS, it can be extended to other material systems where two different regions can be grown together with different carriers dominating the avalanching process. Material properties such as bandgap, ionization coefficients, and band alignments need careful selection to satisfy specific application requirements.</w:t>
      </w:r>
    </w:p>
    <w:p w14:paraId="6D50F1C4" w14:textId="2CFB2326" w:rsidR="00CD5165" w:rsidRPr="00CD5165" w:rsidRDefault="00CD5165" w:rsidP="00CD5165">
      <w:pPr>
        <w:pStyle w:val="Heading1"/>
      </w:pPr>
      <w:r w:rsidRPr="00CD5165">
        <w:t>References</w:t>
      </w:r>
    </w:p>
    <w:p w14:paraId="29389E6C" w14:textId="77777777" w:rsidR="00724E82" w:rsidRPr="00345355" w:rsidRDefault="00724E82" w:rsidP="00CD5165">
      <w:pPr>
        <w:pStyle w:val="NoSpacing"/>
        <w:ind w:left="720" w:hanging="720"/>
      </w:pPr>
      <w:r w:rsidRPr="00345355">
        <w:rPr>
          <w:rStyle w:val="number"/>
          <w:rFonts w:cstheme="minorHAnsi"/>
          <w:b/>
          <w:bCs/>
          <w:color w:val="333333"/>
        </w:rPr>
        <w:t>1.</w:t>
      </w:r>
      <w:r w:rsidRPr="00345355">
        <w:t xml:space="preserve"> M. C. </w:t>
      </w:r>
      <w:proofErr w:type="spellStart"/>
      <w:r w:rsidRPr="00345355">
        <w:t>Teich</w:t>
      </w:r>
      <w:proofErr w:type="spellEnd"/>
      <w:r w:rsidRPr="00345355">
        <w:t>, K. Matsuo, B. E. A. Saleh, "Excess noise factors for conventional and superlattice avalanche photodiodes and photomultiplier tubes", </w:t>
      </w:r>
      <w:r w:rsidRPr="00345355">
        <w:rPr>
          <w:rStyle w:val="Emphasis"/>
          <w:rFonts w:cstheme="minorHAnsi"/>
          <w:color w:val="333333"/>
        </w:rPr>
        <w:t>IEEE J. Quantum Electron.</w:t>
      </w:r>
      <w:r w:rsidRPr="00345355">
        <w:t>, vol. 22, pp. 1184-1193, Aug. 1986.</w:t>
      </w:r>
    </w:p>
    <w:p w14:paraId="4F7F23E9" w14:textId="77777777" w:rsidR="00724E82" w:rsidRPr="00345355" w:rsidRDefault="00724E82" w:rsidP="00CD5165">
      <w:pPr>
        <w:pStyle w:val="NoSpacing"/>
        <w:ind w:left="720" w:hanging="720"/>
      </w:pPr>
      <w:r w:rsidRPr="00345355">
        <w:rPr>
          <w:rStyle w:val="number"/>
          <w:rFonts w:cstheme="minorHAnsi"/>
          <w:b/>
          <w:bCs/>
          <w:color w:val="333333"/>
        </w:rPr>
        <w:t>2.</w:t>
      </w:r>
      <w:r w:rsidRPr="00345355">
        <w:t xml:space="preserve"> B. E. A. Saleh, M. C. </w:t>
      </w:r>
      <w:proofErr w:type="spellStart"/>
      <w:r w:rsidRPr="00345355">
        <w:t>Teich</w:t>
      </w:r>
      <w:proofErr w:type="spellEnd"/>
      <w:r w:rsidRPr="00345355">
        <w:t xml:space="preserve">, "17" in Fundamentals of Photonics, USA, NY, New </w:t>
      </w:r>
      <w:proofErr w:type="spellStart"/>
      <w:proofErr w:type="gramStart"/>
      <w:r w:rsidRPr="00345355">
        <w:t>York:Wiley</w:t>
      </w:r>
      <w:proofErr w:type="spellEnd"/>
      <w:proofErr w:type="gramEnd"/>
      <w:r w:rsidRPr="00345355">
        <w:t>, 1991.</w:t>
      </w:r>
    </w:p>
    <w:p w14:paraId="78B0C4E7" w14:textId="77777777" w:rsidR="00724E82" w:rsidRPr="00345355" w:rsidRDefault="00724E82" w:rsidP="00CD5165">
      <w:pPr>
        <w:pStyle w:val="NoSpacing"/>
        <w:ind w:left="720" w:hanging="720"/>
      </w:pPr>
      <w:r w:rsidRPr="00345355">
        <w:rPr>
          <w:rStyle w:val="number"/>
          <w:rFonts w:cstheme="minorHAnsi"/>
          <w:b/>
          <w:bCs/>
          <w:color w:val="333333"/>
        </w:rPr>
        <w:t>3.</w:t>
      </w:r>
      <w:r w:rsidRPr="00345355">
        <w:t> R. J. McIntyre, "Multiplication noise in uniform avalanche diodes", </w:t>
      </w:r>
      <w:r w:rsidRPr="00345355">
        <w:rPr>
          <w:rStyle w:val="Emphasis"/>
          <w:rFonts w:cstheme="minorHAnsi"/>
          <w:color w:val="333333"/>
        </w:rPr>
        <w:t>IEEE Trans. Electron Devices</w:t>
      </w:r>
      <w:r w:rsidRPr="00345355">
        <w:t>, vol. 13, pp. 164-168, Jan. 1966.</w:t>
      </w:r>
    </w:p>
    <w:p w14:paraId="0C723F76" w14:textId="77777777" w:rsidR="00724E82" w:rsidRPr="00345355" w:rsidRDefault="00724E82" w:rsidP="00CD5165">
      <w:pPr>
        <w:pStyle w:val="NoSpacing"/>
        <w:ind w:left="720" w:hanging="720"/>
      </w:pPr>
      <w:r w:rsidRPr="00345355">
        <w:rPr>
          <w:rStyle w:val="number"/>
          <w:rFonts w:cstheme="minorHAnsi"/>
          <w:b/>
          <w:bCs/>
          <w:color w:val="333333"/>
        </w:rPr>
        <w:t>4.</w:t>
      </w:r>
      <w:r w:rsidRPr="00345355">
        <w:t> M. A. Kinch, J. D. Beck, C.-F. Wan, F. Ma, J. Campbell, "HgCdTe electron avalanche photodiodes", </w:t>
      </w:r>
      <w:r w:rsidRPr="00345355">
        <w:rPr>
          <w:rStyle w:val="Emphasis"/>
          <w:rFonts w:cstheme="minorHAnsi"/>
          <w:color w:val="333333"/>
        </w:rPr>
        <w:t>J. Electronic Mat.</w:t>
      </w:r>
      <w:r w:rsidRPr="00345355">
        <w:t>, vol. 33, pp. 630-639, Jun. 2004.</w:t>
      </w:r>
    </w:p>
    <w:p w14:paraId="1636BA88" w14:textId="77777777" w:rsidR="00724E82" w:rsidRPr="00345355" w:rsidRDefault="00724E82" w:rsidP="00CD5165">
      <w:pPr>
        <w:pStyle w:val="NoSpacing"/>
        <w:ind w:left="720" w:hanging="720"/>
      </w:pPr>
      <w:r w:rsidRPr="00345355">
        <w:rPr>
          <w:rStyle w:val="number"/>
          <w:rFonts w:cstheme="minorHAnsi"/>
          <w:b/>
          <w:bCs/>
          <w:color w:val="333333"/>
        </w:rPr>
        <w:t>5.</w:t>
      </w:r>
      <w:r w:rsidRPr="00345355">
        <w:t xml:space="preserve"> S. Mallick, K. Banerjee, J. B. Rodriguez, S. Krishna, S. Ghosh, "Ultralow noise </w:t>
      </w:r>
      <w:proofErr w:type="spellStart"/>
      <w:r w:rsidRPr="00345355">
        <w:t>midwave</w:t>
      </w:r>
      <w:proofErr w:type="spellEnd"/>
      <w:r w:rsidRPr="00345355">
        <w:t xml:space="preserve"> infrared </w:t>
      </w:r>
      <w:proofErr w:type="spellStart"/>
      <w:r w:rsidRPr="00345355">
        <w:t>InAs</w:t>
      </w:r>
      <w:proofErr w:type="spellEnd"/>
      <w:r w:rsidRPr="00345355">
        <w:t>–</w:t>
      </w:r>
      <w:proofErr w:type="spellStart"/>
      <w:r w:rsidRPr="00345355">
        <w:t>GaSb</w:t>
      </w:r>
      <w:proofErr w:type="spellEnd"/>
      <w:r w:rsidRPr="00345355">
        <w:t xml:space="preserve"> strain layer superlattice avalanche photodiode", </w:t>
      </w:r>
      <w:r w:rsidRPr="00345355">
        <w:rPr>
          <w:rStyle w:val="Emphasis"/>
          <w:rFonts w:cstheme="minorHAnsi"/>
          <w:color w:val="333333"/>
        </w:rPr>
        <w:t>Appl. Phys. Lett.</w:t>
      </w:r>
      <w:r w:rsidRPr="00345355">
        <w:t>, vol. 91, no. 24, pp. 241111-241113, Dec. 2007.</w:t>
      </w:r>
    </w:p>
    <w:p w14:paraId="009139F4" w14:textId="77777777" w:rsidR="00724E82" w:rsidRPr="00345355" w:rsidRDefault="00724E82" w:rsidP="00CD5165">
      <w:pPr>
        <w:pStyle w:val="NoSpacing"/>
        <w:ind w:left="720" w:hanging="720"/>
      </w:pPr>
      <w:r w:rsidRPr="00345355">
        <w:rPr>
          <w:rStyle w:val="number"/>
          <w:rFonts w:cstheme="minorHAnsi"/>
          <w:b/>
          <w:bCs/>
          <w:color w:val="333333"/>
        </w:rPr>
        <w:t>6.</w:t>
      </w:r>
      <w:r w:rsidRPr="00345355">
        <w:t xml:space="preserve"> K. Banerjee, S. Ghosh, S. Mallick, E. </w:t>
      </w:r>
      <w:proofErr w:type="spellStart"/>
      <w:r w:rsidRPr="00345355">
        <w:t>Plis</w:t>
      </w:r>
      <w:proofErr w:type="spellEnd"/>
      <w:r w:rsidRPr="00345355">
        <w:t xml:space="preserve">, S. Krishna, C. </w:t>
      </w:r>
      <w:proofErr w:type="spellStart"/>
      <w:r w:rsidRPr="00345355">
        <w:t>Grein</w:t>
      </w:r>
      <w:proofErr w:type="spellEnd"/>
      <w:r w:rsidRPr="00345355">
        <w:t>, "</w:t>
      </w:r>
      <w:proofErr w:type="spellStart"/>
      <w:r w:rsidRPr="00345355">
        <w:t>Midwave</w:t>
      </w:r>
      <w:proofErr w:type="spellEnd"/>
      <w:r w:rsidRPr="00345355">
        <w:t xml:space="preserve"> infrared </w:t>
      </w:r>
      <w:proofErr w:type="spellStart"/>
      <w:r w:rsidRPr="00345355">
        <w:t>InAs</w:t>
      </w:r>
      <w:proofErr w:type="spellEnd"/>
      <w:r w:rsidRPr="00345355">
        <w:t>/</w:t>
      </w:r>
      <w:proofErr w:type="spellStart"/>
      <w:r w:rsidRPr="00345355">
        <w:t>GaSb</w:t>
      </w:r>
      <w:proofErr w:type="spellEnd"/>
      <w:r w:rsidRPr="00345355">
        <w:t xml:space="preserve"> strained layer superlattice hole avalanche photodiode", </w:t>
      </w:r>
      <w:r w:rsidRPr="00345355">
        <w:rPr>
          <w:rStyle w:val="Emphasis"/>
          <w:rFonts w:cstheme="minorHAnsi"/>
          <w:color w:val="333333"/>
        </w:rPr>
        <w:t>Appl. Phys. Lett.</w:t>
      </w:r>
      <w:r w:rsidRPr="00345355">
        <w:t>, vol. 94, no. 20, pp. 201107-201109, May 2009.</w:t>
      </w:r>
    </w:p>
    <w:p w14:paraId="7D7FD62E" w14:textId="77777777" w:rsidR="00724E82" w:rsidRPr="00345355" w:rsidRDefault="00724E82" w:rsidP="00CD5165">
      <w:pPr>
        <w:pStyle w:val="NoSpacing"/>
        <w:ind w:left="720" w:hanging="720"/>
      </w:pPr>
      <w:r w:rsidRPr="00345355">
        <w:rPr>
          <w:rStyle w:val="number"/>
          <w:rFonts w:cstheme="minorHAnsi"/>
          <w:b/>
          <w:bCs/>
          <w:color w:val="333333"/>
        </w:rPr>
        <w:t>7.</w:t>
      </w:r>
      <w:r w:rsidRPr="00345355">
        <w:t xml:space="preserve"> Y. </w:t>
      </w:r>
      <w:proofErr w:type="spellStart"/>
      <w:r w:rsidRPr="00345355">
        <w:t>Okuto</w:t>
      </w:r>
      <w:proofErr w:type="spellEnd"/>
      <w:r w:rsidRPr="00345355">
        <w:t>, C. R. Crowell, "Ionization coefficients in semiconductors: A nonlocalized property", </w:t>
      </w:r>
      <w:r w:rsidRPr="00345355">
        <w:rPr>
          <w:rStyle w:val="Emphasis"/>
          <w:rFonts w:cstheme="minorHAnsi"/>
          <w:color w:val="333333"/>
        </w:rPr>
        <w:t>Phys. Rev. B</w:t>
      </w:r>
      <w:r w:rsidRPr="00345355">
        <w:t>, vol. 10, no. 10, pp. 4284-4296, 1974.</w:t>
      </w:r>
    </w:p>
    <w:p w14:paraId="76C49D9A" w14:textId="77777777" w:rsidR="00724E82" w:rsidRPr="00345355" w:rsidRDefault="00724E82" w:rsidP="00CD5165">
      <w:pPr>
        <w:pStyle w:val="NoSpacing"/>
        <w:ind w:left="720" w:hanging="720"/>
      </w:pPr>
      <w:r w:rsidRPr="00345355">
        <w:rPr>
          <w:rStyle w:val="number"/>
          <w:rFonts w:cstheme="minorHAnsi"/>
          <w:b/>
          <w:bCs/>
          <w:color w:val="333333"/>
        </w:rPr>
        <w:t>8.</w:t>
      </w:r>
      <w:r w:rsidRPr="00345355">
        <w:t xml:space="preserve"> M. M. Hayat, B. E. A. Saleh, M. C. </w:t>
      </w:r>
      <w:proofErr w:type="spellStart"/>
      <w:r w:rsidRPr="00345355">
        <w:t>Teich</w:t>
      </w:r>
      <w:proofErr w:type="spellEnd"/>
      <w:r w:rsidRPr="00345355">
        <w:t>, "Effect of dead space on gain and noise of double-carrier multiplication avalanche photodiodes", </w:t>
      </w:r>
      <w:r w:rsidRPr="00345355">
        <w:rPr>
          <w:rStyle w:val="Emphasis"/>
          <w:rFonts w:cstheme="minorHAnsi"/>
          <w:color w:val="333333"/>
        </w:rPr>
        <w:t>IEEE Trans. Electron Devices</w:t>
      </w:r>
      <w:r w:rsidRPr="00345355">
        <w:t>, vol. 39, pp. 546-552, Mar. 1992.</w:t>
      </w:r>
    </w:p>
    <w:p w14:paraId="5A4C108F" w14:textId="77777777" w:rsidR="00724E82" w:rsidRPr="00345355" w:rsidRDefault="00724E82" w:rsidP="00CD5165">
      <w:pPr>
        <w:pStyle w:val="NoSpacing"/>
        <w:ind w:left="720" w:hanging="720"/>
      </w:pPr>
      <w:r w:rsidRPr="00345355">
        <w:rPr>
          <w:rStyle w:val="number"/>
          <w:rFonts w:cstheme="minorHAnsi"/>
          <w:b/>
          <w:bCs/>
          <w:color w:val="333333"/>
        </w:rPr>
        <w:t>9.</w:t>
      </w:r>
      <w:r w:rsidRPr="00345355">
        <w:t xml:space="preserve"> M. M. Hayat, W. L. </w:t>
      </w:r>
      <w:proofErr w:type="spellStart"/>
      <w:r w:rsidRPr="00345355">
        <w:t>Sargeant</w:t>
      </w:r>
      <w:proofErr w:type="spellEnd"/>
      <w:r w:rsidRPr="00345355">
        <w:t>, B. E. Saleh, "Effect of dead space on gain and noise in Si and GaAs avalanche photodiodes", </w:t>
      </w:r>
      <w:r w:rsidRPr="00345355">
        <w:rPr>
          <w:rStyle w:val="Emphasis"/>
          <w:rFonts w:cstheme="minorHAnsi"/>
          <w:color w:val="333333"/>
        </w:rPr>
        <w:t>IEEE J. Quantum Electron.</w:t>
      </w:r>
      <w:r w:rsidRPr="00345355">
        <w:t>, vol. 28, pp. 1360-1365, May 1992.</w:t>
      </w:r>
    </w:p>
    <w:p w14:paraId="0A77F4A5" w14:textId="77777777" w:rsidR="00724E82" w:rsidRPr="00345355" w:rsidRDefault="00724E82" w:rsidP="00CD5165">
      <w:pPr>
        <w:pStyle w:val="NoSpacing"/>
        <w:ind w:left="720" w:hanging="720"/>
      </w:pPr>
      <w:r w:rsidRPr="00345355">
        <w:rPr>
          <w:rStyle w:val="number"/>
          <w:rFonts w:cstheme="minorHAnsi"/>
          <w:b/>
          <w:bCs/>
          <w:color w:val="333333"/>
        </w:rPr>
        <w:t>10.</w:t>
      </w:r>
      <w:r w:rsidRPr="00345355">
        <w:t xml:space="preserve"> M. A. Saleh, M. M. Hayat, B. E. A. Saleh, M. C. </w:t>
      </w:r>
      <w:proofErr w:type="spellStart"/>
      <w:r w:rsidRPr="00345355">
        <w:t>Teich</w:t>
      </w:r>
      <w:proofErr w:type="spellEnd"/>
      <w:r w:rsidRPr="00345355">
        <w:t xml:space="preserve">, "Dead-space-based theory correctly predicts excess noise factor for thin GaAs and </w:t>
      </w:r>
      <w:proofErr w:type="spellStart"/>
      <w:r w:rsidRPr="00345355">
        <w:t>AlGaAs</w:t>
      </w:r>
      <w:proofErr w:type="spellEnd"/>
      <w:r w:rsidRPr="00345355">
        <w:t xml:space="preserve"> avalanche photodiodes", </w:t>
      </w:r>
      <w:r w:rsidRPr="00345355">
        <w:rPr>
          <w:rStyle w:val="Emphasis"/>
          <w:rFonts w:cstheme="minorHAnsi"/>
          <w:color w:val="333333"/>
        </w:rPr>
        <w:t>IEEE Trans. Electron Devices</w:t>
      </w:r>
      <w:r w:rsidRPr="00345355">
        <w:t>, vol. 47, pp. 625-633, Mar. 2000.</w:t>
      </w:r>
    </w:p>
    <w:p w14:paraId="59FF3E7D" w14:textId="77777777" w:rsidR="00724E82" w:rsidRPr="00345355" w:rsidRDefault="00724E82" w:rsidP="00CD5165">
      <w:pPr>
        <w:pStyle w:val="NoSpacing"/>
        <w:ind w:left="720" w:hanging="720"/>
      </w:pPr>
      <w:r w:rsidRPr="00345355">
        <w:rPr>
          <w:rStyle w:val="number"/>
          <w:rFonts w:cstheme="minorHAnsi"/>
          <w:b/>
          <w:bCs/>
          <w:color w:val="333333"/>
        </w:rPr>
        <w:t>11.</w:t>
      </w:r>
      <w:r w:rsidRPr="00345355">
        <w:t xml:space="preserve"> M. M. Hayat, O.-H. Kwon, S. Wang, J. C. Campbell, B. E. A. Saleh, M. C. </w:t>
      </w:r>
      <w:proofErr w:type="spellStart"/>
      <w:r w:rsidRPr="00345355">
        <w:t>Teich</w:t>
      </w:r>
      <w:proofErr w:type="spellEnd"/>
      <w:r w:rsidRPr="00345355">
        <w:t>, " Boundary effects on multiplication noise in thin heterostructure avalanche photodiodes: Theory and experiment \$[{rm Al}_{0.6}{rm Ga}_{0.4}{rm As/GaAs}]\$ ", </w:t>
      </w:r>
      <w:r w:rsidRPr="00345355">
        <w:rPr>
          <w:rStyle w:val="Emphasis"/>
          <w:rFonts w:cstheme="minorHAnsi"/>
          <w:color w:val="333333"/>
        </w:rPr>
        <w:t>IEEE Trans. Electron Devices</w:t>
      </w:r>
      <w:r w:rsidRPr="00345355">
        <w:t>, vol. 49, pp. 2114-2123, Dec. 2002.</w:t>
      </w:r>
    </w:p>
    <w:p w14:paraId="69ED541C" w14:textId="77777777" w:rsidR="00EC23C1" w:rsidRPr="00345355" w:rsidRDefault="00EC23C1" w:rsidP="00CD5165">
      <w:pPr>
        <w:pStyle w:val="NoSpacing"/>
        <w:ind w:left="720" w:hanging="720"/>
      </w:pPr>
    </w:p>
    <w:sectPr w:rsidR="00EC23C1" w:rsidRPr="00345355"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9F1F5E"/>
    <w:multiLevelType w:val="multilevel"/>
    <w:tmpl w:val="3F24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101736"/>
    <w:multiLevelType w:val="multilevel"/>
    <w:tmpl w:val="52EA7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3E6FB3"/>
    <w:multiLevelType w:val="multilevel"/>
    <w:tmpl w:val="10063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116A11"/>
    <w:multiLevelType w:val="multilevel"/>
    <w:tmpl w:val="99DAD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NNhUqtgm+7FK/3aq3wClHJh9DXL5qxDwsxv+L4D8Wo6MEm0IyePQo7j3gUIwKm446X7porcpsu59YgmAlr+Bqg==" w:salt="ZO8HThwmCJ/mJaZS0lq7L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BCE"/>
    <w:rsid w:val="00014F38"/>
    <w:rsid w:val="00015D16"/>
    <w:rsid w:val="000233C1"/>
    <w:rsid w:val="00024048"/>
    <w:rsid w:val="00026BC7"/>
    <w:rsid w:val="0003036D"/>
    <w:rsid w:val="00031F02"/>
    <w:rsid w:val="00033C6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9AA"/>
    <w:rsid w:val="00074B64"/>
    <w:rsid w:val="000769FD"/>
    <w:rsid w:val="00077000"/>
    <w:rsid w:val="00082637"/>
    <w:rsid w:val="00083102"/>
    <w:rsid w:val="000846CC"/>
    <w:rsid w:val="00085797"/>
    <w:rsid w:val="00087367"/>
    <w:rsid w:val="00087456"/>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5D32"/>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1E69"/>
    <w:rsid w:val="00183A38"/>
    <w:rsid w:val="001854EA"/>
    <w:rsid w:val="00185C26"/>
    <w:rsid w:val="00196C7C"/>
    <w:rsid w:val="001A1C71"/>
    <w:rsid w:val="001A1DF4"/>
    <w:rsid w:val="001A2702"/>
    <w:rsid w:val="001A34C4"/>
    <w:rsid w:val="001B6E76"/>
    <w:rsid w:val="001C3A3F"/>
    <w:rsid w:val="001D1087"/>
    <w:rsid w:val="001D2448"/>
    <w:rsid w:val="001D3ADE"/>
    <w:rsid w:val="001D58D3"/>
    <w:rsid w:val="001D776C"/>
    <w:rsid w:val="001D7BCC"/>
    <w:rsid w:val="001E18FE"/>
    <w:rsid w:val="001E7FB6"/>
    <w:rsid w:val="001F2822"/>
    <w:rsid w:val="001F70BC"/>
    <w:rsid w:val="001F7FBE"/>
    <w:rsid w:val="002016B1"/>
    <w:rsid w:val="00201875"/>
    <w:rsid w:val="00201AFD"/>
    <w:rsid w:val="00201FDC"/>
    <w:rsid w:val="002022D8"/>
    <w:rsid w:val="00206486"/>
    <w:rsid w:val="00206CC8"/>
    <w:rsid w:val="00211422"/>
    <w:rsid w:val="00212109"/>
    <w:rsid w:val="00224240"/>
    <w:rsid w:val="0022584E"/>
    <w:rsid w:val="0022650C"/>
    <w:rsid w:val="00226FA2"/>
    <w:rsid w:val="0024134B"/>
    <w:rsid w:val="002472F9"/>
    <w:rsid w:val="00251132"/>
    <w:rsid w:val="002535DF"/>
    <w:rsid w:val="002558EB"/>
    <w:rsid w:val="00255B43"/>
    <w:rsid w:val="00255BDC"/>
    <w:rsid w:val="00255BEA"/>
    <w:rsid w:val="00261403"/>
    <w:rsid w:val="00261F59"/>
    <w:rsid w:val="00272AF4"/>
    <w:rsid w:val="002762F3"/>
    <w:rsid w:val="00276C06"/>
    <w:rsid w:val="00280198"/>
    <w:rsid w:val="00282094"/>
    <w:rsid w:val="002843BC"/>
    <w:rsid w:val="00284A84"/>
    <w:rsid w:val="0029129F"/>
    <w:rsid w:val="00296B90"/>
    <w:rsid w:val="00297296"/>
    <w:rsid w:val="002A0668"/>
    <w:rsid w:val="002A6B8B"/>
    <w:rsid w:val="002A77F7"/>
    <w:rsid w:val="002A7FBB"/>
    <w:rsid w:val="002B1ED8"/>
    <w:rsid w:val="002B45EC"/>
    <w:rsid w:val="002B62C6"/>
    <w:rsid w:val="002B7774"/>
    <w:rsid w:val="002B7818"/>
    <w:rsid w:val="002C17A7"/>
    <w:rsid w:val="002C2DA5"/>
    <w:rsid w:val="002C4714"/>
    <w:rsid w:val="002C6160"/>
    <w:rsid w:val="002D02F2"/>
    <w:rsid w:val="002D28EA"/>
    <w:rsid w:val="002D3B9A"/>
    <w:rsid w:val="002D51BB"/>
    <w:rsid w:val="002D5BAE"/>
    <w:rsid w:val="002D5DDC"/>
    <w:rsid w:val="002D6AA3"/>
    <w:rsid w:val="002E2711"/>
    <w:rsid w:val="002E5C33"/>
    <w:rsid w:val="002E5D29"/>
    <w:rsid w:val="002F14A0"/>
    <w:rsid w:val="002F4DC8"/>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355"/>
    <w:rsid w:val="003455AA"/>
    <w:rsid w:val="00347634"/>
    <w:rsid w:val="003508E8"/>
    <w:rsid w:val="00351E90"/>
    <w:rsid w:val="0035746F"/>
    <w:rsid w:val="00360206"/>
    <w:rsid w:val="003624EE"/>
    <w:rsid w:val="003632E1"/>
    <w:rsid w:val="00363CD3"/>
    <w:rsid w:val="003656A9"/>
    <w:rsid w:val="00366852"/>
    <w:rsid w:val="003706EF"/>
    <w:rsid w:val="00370BE4"/>
    <w:rsid w:val="00371D56"/>
    <w:rsid w:val="00373613"/>
    <w:rsid w:val="003756B7"/>
    <w:rsid w:val="0037755D"/>
    <w:rsid w:val="00381F0E"/>
    <w:rsid w:val="0038549B"/>
    <w:rsid w:val="0038628A"/>
    <w:rsid w:val="0038634F"/>
    <w:rsid w:val="00391C48"/>
    <w:rsid w:val="00394337"/>
    <w:rsid w:val="003A437A"/>
    <w:rsid w:val="003A503E"/>
    <w:rsid w:val="003A6039"/>
    <w:rsid w:val="003B2D60"/>
    <w:rsid w:val="003B47FA"/>
    <w:rsid w:val="003B6208"/>
    <w:rsid w:val="003B7F8F"/>
    <w:rsid w:val="003C4172"/>
    <w:rsid w:val="003C437D"/>
    <w:rsid w:val="003C4456"/>
    <w:rsid w:val="003D3301"/>
    <w:rsid w:val="003D4641"/>
    <w:rsid w:val="003E05B7"/>
    <w:rsid w:val="003E0C0A"/>
    <w:rsid w:val="003E6CFF"/>
    <w:rsid w:val="003F7D68"/>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0AC6"/>
    <w:rsid w:val="004932A8"/>
    <w:rsid w:val="00497E47"/>
    <w:rsid w:val="004A0368"/>
    <w:rsid w:val="004A2715"/>
    <w:rsid w:val="004A2894"/>
    <w:rsid w:val="004A2B41"/>
    <w:rsid w:val="004A3A08"/>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1711"/>
    <w:rsid w:val="00553291"/>
    <w:rsid w:val="005546FF"/>
    <w:rsid w:val="00554908"/>
    <w:rsid w:val="00556B72"/>
    <w:rsid w:val="005605E4"/>
    <w:rsid w:val="00563D7B"/>
    <w:rsid w:val="00563E3B"/>
    <w:rsid w:val="005643C8"/>
    <w:rsid w:val="005673D1"/>
    <w:rsid w:val="00570F38"/>
    <w:rsid w:val="00573955"/>
    <w:rsid w:val="00580E33"/>
    <w:rsid w:val="00582AA9"/>
    <w:rsid w:val="00583225"/>
    <w:rsid w:val="0058724D"/>
    <w:rsid w:val="00596593"/>
    <w:rsid w:val="00596A35"/>
    <w:rsid w:val="005979CD"/>
    <w:rsid w:val="005A12F0"/>
    <w:rsid w:val="005A5291"/>
    <w:rsid w:val="005A6FD1"/>
    <w:rsid w:val="005B002F"/>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37B0"/>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33A6"/>
    <w:rsid w:val="00645590"/>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67BB"/>
    <w:rsid w:val="00697377"/>
    <w:rsid w:val="006A1F61"/>
    <w:rsid w:val="006A533C"/>
    <w:rsid w:val="006A5E52"/>
    <w:rsid w:val="006A712D"/>
    <w:rsid w:val="006A7B71"/>
    <w:rsid w:val="006B20FD"/>
    <w:rsid w:val="006B3B2B"/>
    <w:rsid w:val="006B55FC"/>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504"/>
    <w:rsid w:val="007246B0"/>
    <w:rsid w:val="00724E82"/>
    <w:rsid w:val="007258CB"/>
    <w:rsid w:val="007270E9"/>
    <w:rsid w:val="00730E29"/>
    <w:rsid w:val="007324BE"/>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5631"/>
    <w:rsid w:val="007D25DB"/>
    <w:rsid w:val="007D51E8"/>
    <w:rsid w:val="007D541E"/>
    <w:rsid w:val="007D611E"/>
    <w:rsid w:val="007D655B"/>
    <w:rsid w:val="007D762B"/>
    <w:rsid w:val="007D7C64"/>
    <w:rsid w:val="007E2E07"/>
    <w:rsid w:val="007E491C"/>
    <w:rsid w:val="007E53E2"/>
    <w:rsid w:val="007E604C"/>
    <w:rsid w:val="007E714E"/>
    <w:rsid w:val="007F0413"/>
    <w:rsid w:val="007F12C0"/>
    <w:rsid w:val="007F322F"/>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4FCC"/>
    <w:rsid w:val="008322E3"/>
    <w:rsid w:val="00834DF7"/>
    <w:rsid w:val="00836F01"/>
    <w:rsid w:val="008406F5"/>
    <w:rsid w:val="00841F1E"/>
    <w:rsid w:val="00842203"/>
    <w:rsid w:val="00850E3E"/>
    <w:rsid w:val="00857ED3"/>
    <w:rsid w:val="00864432"/>
    <w:rsid w:val="008649A3"/>
    <w:rsid w:val="0086670A"/>
    <w:rsid w:val="00870BA1"/>
    <w:rsid w:val="00873CDE"/>
    <w:rsid w:val="00874421"/>
    <w:rsid w:val="00875997"/>
    <w:rsid w:val="0087796C"/>
    <w:rsid w:val="00880932"/>
    <w:rsid w:val="008825B5"/>
    <w:rsid w:val="00885E74"/>
    <w:rsid w:val="008869E9"/>
    <w:rsid w:val="00886B14"/>
    <w:rsid w:val="008927F4"/>
    <w:rsid w:val="00893B58"/>
    <w:rsid w:val="00894E4C"/>
    <w:rsid w:val="00894EB5"/>
    <w:rsid w:val="0089642A"/>
    <w:rsid w:val="008A1743"/>
    <w:rsid w:val="008A18B0"/>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CB"/>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426C"/>
    <w:rsid w:val="009A7FEA"/>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66A"/>
    <w:rsid w:val="00A231A4"/>
    <w:rsid w:val="00A310DA"/>
    <w:rsid w:val="00A32FCB"/>
    <w:rsid w:val="00A3561C"/>
    <w:rsid w:val="00A400BC"/>
    <w:rsid w:val="00A40701"/>
    <w:rsid w:val="00A42169"/>
    <w:rsid w:val="00A424F1"/>
    <w:rsid w:val="00A426B2"/>
    <w:rsid w:val="00A45EE8"/>
    <w:rsid w:val="00A465FC"/>
    <w:rsid w:val="00A47B50"/>
    <w:rsid w:val="00A47F45"/>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23B2"/>
    <w:rsid w:val="00AA493D"/>
    <w:rsid w:val="00AB1E25"/>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43AB"/>
    <w:rsid w:val="00AF5947"/>
    <w:rsid w:val="00AF692A"/>
    <w:rsid w:val="00AF6D69"/>
    <w:rsid w:val="00AF7626"/>
    <w:rsid w:val="00B03D08"/>
    <w:rsid w:val="00B05BF7"/>
    <w:rsid w:val="00B079F6"/>
    <w:rsid w:val="00B1094A"/>
    <w:rsid w:val="00B10CD2"/>
    <w:rsid w:val="00B129D1"/>
    <w:rsid w:val="00B12F61"/>
    <w:rsid w:val="00B14305"/>
    <w:rsid w:val="00B146A1"/>
    <w:rsid w:val="00B14CBC"/>
    <w:rsid w:val="00B1760D"/>
    <w:rsid w:val="00B17FF0"/>
    <w:rsid w:val="00B30468"/>
    <w:rsid w:val="00B32160"/>
    <w:rsid w:val="00B32B07"/>
    <w:rsid w:val="00B336E9"/>
    <w:rsid w:val="00B3397D"/>
    <w:rsid w:val="00B3426B"/>
    <w:rsid w:val="00B34F7B"/>
    <w:rsid w:val="00B35999"/>
    <w:rsid w:val="00B42B6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631"/>
    <w:rsid w:val="00B927D2"/>
    <w:rsid w:val="00B935A4"/>
    <w:rsid w:val="00B945E5"/>
    <w:rsid w:val="00B9636B"/>
    <w:rsid w:val="00B974AD"/>
    <w:rsid w:val="00BA22C6"/>
    <w:rsid w:val="00BA316D"/>
    <w:rsid w:val="00BA521F"/>
    <w:rsid w:val="00BA5FEF"/>
    <w:rsid w:val="00BA7628"/>
    <w:rsid w:val="00BB18D1"/>
    <w:rsid w:val="00BB2130"/>
    <w:rsid w:val="00BB30B6"/>
    <w:rsid w:val="00BB40CB"/>
    <w:rsid w:val="00BB7C37"/>
    <w:rsid w:val="00BC168F"/>
    <w:rsid w:val="00BC1E95"/>
    <w:rsid w:val="00BC2262"/>
    <w:rsid w:val="00BC3D81"/>
    <w:rsid w:val="00BC420A"/>
    <w:rsid w:val="00BC540B"/>
    <w:rsid w:val="00BC7302"/>
    <w:rsid w:val="00BC7F05"/>
    <w:rsid w:val="00BD01F3"/>
    <w:rsid w:val="00BD0D8D"/>
    <w:rsid w:val="00BD439F"/>
    <w:rsid w:val="00BD4F14"/>
    <w:rsid w:val="00BE2644"/>
    <w:rsid w:val="00BE42F3"/>
    <w:rsid w:val="00BE551C"/>
    <w:rsid w:val="00BF642E"/>
    <w:rsid w:val="00BF6ECD"/>
    <w:rsid w:val="00BF790B"/>
    <w:rsid w:val="00C01E67"/>
    <w:rsid w:val="00C05302"/>
    <w:rsid w:val="00C06B6B"/>
    <w:rsid w:val="00C06F37"/>
    <w:rsid w:val="00C0799A"/>
    <w:rsid w:val="00C13438"/>
    <w:rsid w:val="00C170FF"/>
    <w:rsid w:val="00C173E1"/>
    <w:rsid w:val="00C2019E"/>
    <w:rsid w:val="00C22FCF"/>
    <w:rsid w:val="00C27AEF"/>
    <w:rsid w:val="00C3110E"/>
    <w:rsid w:val="00C3466C"/>
    <w:rsid w:val="00C355FF"/>
    <w:rsid w:val="00C41A64"/>
    <w:rsid w:val="00C42D20"/>
    <w:rsid w:val="00C47122"/>
    <w:rsid w:val="00C47959"/>
    <w:rsid w:val="00C47CEA"/>
    <w:rsid w:val="00C51307"/>
    <w:rsid w:val="00C515E0"/>
    <w:rsid w:val="00C531A3"/>
    <w:rsid w:val="00C574EE"/>
    <w:rsid w:val="00C57F24"/>
    <w:rsid w:val="00C63EA6"/>
    <w:rsid w:val="00C6619F"/>
    <w:rsid w:val="00C6624A"/>
    <w:rsid w:val="00C742C3"/>
    <w:rsid w:val="00C75559"/>
    <w:rsid w:val="00C76D88"/>
    <w:rsid w:val="00C7785D"/>
    <w:rsid w:val="00C77A26"/>
    <w:rsid w:val="00C85BDD"/>
    <w:rsid w:val="00C86B81"/>
    <w:rsid w:val="00C91557"/>
    <w:rsid w:val="00C92F74"/>
    <w:rsid w:val="00C9656E"/>
    <w:rsid w:val="00CA1C19"/>
    <w:rsid w:val="00CA204D"/>
    <w:rsid w:val="00CA2E14"/>
    <w:rsid w:val="00CA60CD"/>
    <w:rsid w:val="00CB10E9"/>
    <w:rsid w:val="00CB11D6"/>
    <w:rsid w:val="00CB5475"/>
    <w:rsid w:val="00CB665E"/>
    <w:rsid w:val="00CB6E09"/>
    <w:rsid w:val="00CC09A7"/>
    <w:rsid w:val="00CC0FD9"/>
    <w:rsid w:val="00CC1F8F"/>
    <w:rsid w:val="00CD139B"/>
    <w:rsid w:val="00CD372C"/>
    <w:rsid w:val="00CD5165"/>
    <w:rsid w:val="00CD5E59"/>
    <w:rsid w:val="00CD7831"/>
    <w:rsid w:val="00CE05D4"/>
    <w:rsid w:val="00CE4712"/>
    <w:rsid w:val="00CF53EE"/>
    <w:rsid w:val="00CF562F"/>
    <w:rsid w:val="00D01E5B"/>
    <w:rsid w:val="00D02378"/>
    <w:rsid w:val="00D02BE9"/>
    <w:rsid w:val="00D101DD"/>
    <w:rsid w:val="00D14423"/>
    <w:rsid w:val="00D15F27"/>
    <w:rsid w:val="00D17394"/>
    <w:rsid w:val="00D17B7F"/>
    <w:rsid w:val="00D21541"/>
    <w:rsid w:val="00D23FFF"/>
    <w:rsid w:val="00D24768"/>
    <w:rsid w:val="00D26495"/>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3350"/>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2B67"/>
    <w:rsid w:val="00E43654"/>
    <w:rsid w:val="00E459FA"/>
    <w:rsid w:val="00E45A4B"/>
    <w:rsid w:val="00E46996"/>
    <w:rsid w:val="00E50522"/>
    <w:rsid w:val="00E52F87"/>
    <w:rsid w:val="00E6120D"/>
    <w:rsid w:val="00E61D06"/>
    <w:rsid w:val="00E7043E"/>
    <w:rsid w:val="00E747D9"/>
    <w:rsid w:val="00E75D5D"/>
    <w:rsid w:val="00E766CA"/>
    <w:rsid w:val="00E76A10"/>
    <w:rsid w:val="00E81F85"/>
    <w:rsid w:val="00E8413D"/>
    <w:rsid w:val="00E84C2A"/>
    <w:rsid w:val="00E90CA1"/>
    <w:rsid w:val="00E91D25"/>
    <w:rsid w:val="00E95F4D"/>
    <w:rsid w:val="00E97067"/>
    <w:rsid w:val="00EA6E8E"/>
    <w:rsid w:val="00EA7978"/>
    <w:rsid w:val="00EA7D19"/>
    <w:rsid w:val="00EB7F70"/>
    <w:rsid w:val="00EC23C1"/>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17C1"/>
    <w:rsid w:val="00EF2D7A"/>
    <w:rsid w:val="00EF586D"/>
    <w:rsid w:val="00F00B9A"/>
    <w:rsid w:val="00F0246E"/>
    <w:rsid w:val="00F026DB"/>
    <w:rsid w:val="00F04133"/>
    <w:rsid w:val="00F04251"/>
    <w:rsid w:val="00F12233"/>
    <w:rsid w:val="00F12CE1"/>
    <w:rsid w:val="00F14096"/>
    <w:rsid w:val="00F14820"/>
    <w:rsid w:val="00F30DED"/>
    <w:rsid w:val="00F31DB2"/>
    <w:rsid w:val="00F3625A"/>
    <w:rsid w:val="00F37720"/>
    <w:rsid w:val="00F4046D"/>
    <w:rsid w:val="00F40A6C"/>
    <w:rsid w:val="00F44EA5"/>
    <w:rsid w:val="00F4518D"/>
    <w:rsid w:val="00F46AEA"/>
    <w:rsid w:val="00F46C28"/>
    <w:rsid w:val="00F46CF6"/>
    <w:rsid w:val="00F51019"/>
    <w:rsid w:val="00F52179"/>
    <w:rsid w:val="00F52577"/>
    <w:rsid w:val="00F52B79"/>
    <w:rsid w:val="00F535B8"/>
    <w:rsid w:val="00F559A5"/>
    <w:rsid w:val="00F55F9D"/>
    <w:rsid w:val="00F56E1A"/>
    <w:rsid w:val="00F57DE8"/>
    <w:rsid w:val="00F60EEE"/>
    <w:rsid w:val="00F6204B"/>
    <w:rsid w:val="00F62CDA"/>
    <w:rsid w:val="00F6448C"/>
    <w:rsid w:val="00F65D8A"/>
    <w:rsid w:val="00F74422"/>
    <w:rsid w:val="00F76222"/>
    <w:rsid w:val="00F83712"/>
    <w:rsid w:val="00F86BEC"/>
    <w:rsid w:val="00F9447B"/>
    <w:rsid w:val="00F944E0"/>
    <w:rsid w:val="00F95C39"/>
    <w:rsid w:val="00F96D70"/>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2476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24768"/>
    <w:rPr>
      <w:color w:val="0000FF"/>
      <w:u w:val="single"/>
    </w:rPr>
  </w:style>
  <w:style w:type="character" w:styleId="FollowedHyperlink">
    <w:name w:val="FollowedHyperlink"/>
    <w:basedOn w:val="DefaultParagraphFont"/>
    <w:uiPriority w:val="99"/>
    <w:semiHidden/>
    <w:unhideWhenUsed/>
    <w:rsid w:val="00D24768"/>
    <w:rPr>
      <w:color w:val="800080"/>
      <w:u w:val="single"/>
    </w:rPr>
  </w:style>
  <w:style w:type="character" w:customStyle="1" w:styleId="publisher-info-label">
    <w:name w:val="publisher-info-label"/>
    <w:basedOn w:val="DefaultParagraphFont"/>
    <w:rsid w:val="00D24768"/>
  </w:style>
  <w:style w:type="paragraph" w:styleId="NormalWeb">
    <w:name w:val="Normal (Web)"/>
    <w:basedOn w:val="Normal"/>
    <w:uiPriority w:val="99"/>
    <w:semiHidden/>
    <w:unhideWhenUsed/>
    <w:rsid w:val="00D247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D24768"/>
  </w:style>
  <w:style w:type="character" w:customStyle="1" w:styleId="math">
    <w:name w:val="math"/>
    <w:basedOn w:val="DefaultParagraphFont"/>
    <w:rsid w:val="00D24768"/>
  </w:style>
  <w:style w:type="character" w:customStyle="1" w:styleId="mrow">
    <w:name w:val="mrow"/>
    <w:basedOn w:val="DefaultParagraphFont"/>
    <w:rsid w:val="00D24768"/>
  </w:style>
  <w:style w:type="character" w:customStyle="1" w:styleId="mi">
    <w:name w:val="mi"/>
    <w:basedOn w:val="DefaultParagraphFont"/>
    <w:rsid w:val="00D24768"/>
  </w:style>
  <w:style w:type="character" w:customStyle="1" w:styleId="msubsup">
    <w:name w:val="msubsup"/>
    <w:basedOn w:val="DefaultParagraphFont"/>
    <w:rsid w:val="00D24768"/>
  </w:style>
  <w:style w:type="character" w:customStyle="1" w:styleId="texatom">
    <w:name w:val="texatom"/>
    <w:basedOn w:val="DefaultParagraphFont"/>
    <w:rsid w:val="00D24768"/>
  </w:style>
  <w:style w:type="character" w:customStyle="1" w:styleId="mtable">
    <w:name w:val="mtable"/>
    <w:basedOn w:val="DefaultParagraphFont"/>
    <w:rsid w:val="00D24768"/>
  </w:style>
  <w:style w:type="character" w:customStyle="1" w:styleId="mtd">
    <w:name w:val="mtd"/>
    <w:basedOn w:val="DefaultParagraphFont"/>
    <w:rsid w:val="00D24768"/>
  </w:style>
  <w:style w:type="character" w:customStyle="1" w:styleId="mo">
    <w:name w:val="mo"/>
    <w:basedOn w:val="DefaultParagraphFont"/>
    <w:rsid w:val="00D24768"/>
  </w:style>
  <w:style w:type="character" w:customStyle="1" w:styleId="mspace">
    <w:name w:val="mspace"/>
    <w:basedOn w:val="DefaultParagraphFont"/>
    <w:rsid w:val="00D24768"/>
  </w:style>
  <w:style w:type="character" w:customStyle="1" w:styleId="mfrac">
    <w:name w:val="mfrac"/>
    <w:basedOn w:val="DefaultParagraphFont"/>
    <w:rsid w:val="00D24768"/>
  </w:style>
  <w:style w:type="character" w:customStyle="1" w:styleId="mstyle">
    <w:name w:val="mstyle"/>
    <w:basedOn w:val="DefaultParagraphFont"/>
    <w:rsid w:val="00D24768"/>
  </w:style>
  <w:style w:type="character" w:customStyle="1" w:styleId="mtext">
    <w:name w:val="mtext"/>
    <w:basedOn w:val="DefaultParagraphFont"/>
    <w:rsid w:val="00D24768"/>
  </w:style>
  <w:style w:type="character" w:customStyle="1" w:styleId="formula">
    <w:name w:val="formula"/>
    <w:basedOn w:val="DefaultParagraphFont"/>
    <w:rsid w:val="00D24768"/>
  </w:style>
  <w:style w:type="character" w:customStyle="1" w:styleId="link">
    <w:name w:val="link"/>
    <w:basedOn w:val="DefaultParagraphFont"/>
    <w:rsid w:val="00D24768"/>
  </w:style>
  <w:style w:type="character" w:customStyle="1" w:styleId="mn">
    <w:name w:val="mn"/>
    <w:basedOn w:val="DefaultParagraphFont"/>
    <w:rsid w:val="00D24768"/>
  </w:style>
  <w:style w:type="paragraph" w:customStyle="1" w:styleId="links">
    <w:name w:val="links"/>
    <w:basedOn w:val="Normal"/>
    <w:rsid w:val="00D247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724E82"/>
  </w:style>
  <w:style w:type="character" w:customStyle="1" w:styleId="ref-link">
    <w:name w:val="ref-link"/>
    <w:basedOn w:val="DefaultParagraphFont"/>
    <w:rsid w:val="00724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968356">
      <w:bodyDiv w:val="1"/>
      <w:marLeft w:val="0"/>
      <w:marRight w:val="0"/>
      <w:marTop w:val="0"/>
      <w:marBottom w:val="0"/>
      <w:divBdr>
        <w:top w:val="none" w:sz="0" w:space="0" w:color="auto"/>
        <w:left w:val="none" w:sz="0" w:space="0" w:color="auto"/>
        <w:bottom w:val="none" w:sz="0" w:space="0" w:color="auto"/>
        <w:right w:val="none" w:sz="0" w:space="0" w:color="auto"/>
      </w:divBdr>
    </w:div>
    <w:div w:id="1556505923">
      <w:bodyDiv w:val="1"/>
      <w:marLeft w:val="0"/>
      <w:marRight w:val="0"/>
      <w:marTop w:val="0"/>
      <w:marBottom w:val="0"/>
      <w:divBdr>
        <w:top w:val="none" w:sz="0" w:space="0" w:color="auto"/>
        <w:left w:val="none" w:sz="0" w:space="0" w:color="auto"/>
        <w:bottom w:val="none" w:sz="0" w:space="0" w:color="auto"/>
        <w:right w:val="none" w:sz="0" w:space="0" w:color="auto"/>
      </w:divBdr>
      <w:divsChild>
        <w:div w:id="1067801374">
          <w:marLeft w:val="0"/>
          <w:marRight w:val="0"/>
          <w:marTop w:val="0"/>
          <w:marBottom w:val="0"/>
          <w:divBdr>
            <w:top w:val="none" w:sz="0" w:space="0" w:color="auto"/>
            <w:left w:val="none" w:sz="0" w:space="0" w:color="auto"/>
            <w:bottom w:val="single" w:sz="6" w:space="12" w:color="DDDDDD"/>
            <w:right w:val="none" w:sz="0" w:space="0" w:color="auto"/>
          </w:divBdr>
          <w:divsChild>
            <w:div w:id="885410853">
              <w:marLeft w:val="0"/>
              <w:marRight w:val="0"/>
              <w:marTop w:val="0"/>
              <w:marBottom w:val="0"/>
              <w:divBdr>
                <w:top w:val="none" w:sz="0" w:space="0" w:color="auto"/>
                <w:left w:val="none" w:sz="0" w:space="0" w:color="auto"/>
                <w:bottom w:val="none" w:sz="0" w:space="0" w:color="auto"/>
                <w:right w:val="none" w:sz="0" w:space="0" w:color="auto"/>
              </w:divBdr>
              <w:divsChild>
                <w:div w:id="1864249595">
                  <w:marLeft w:val="0"/>
                  <w:marRight w:val="0"/>
                  <w:marTop w:val="0"/>
                  <w:marBottom w:val="0"/>
                  <w:divBdr>
                    <w:top w:val="none" w:sz="0" w:space="0" w:color="auto"/>
                    <w:left w:val="none" w:sz="0" w:space="0" w:color="auto"/>
                    <w:bottom w:val="none" w:sz="0" w:space="0" w:color="auto"/>
                    <w:right w:val="none" w:sz="0" w:space="0" w:color="auto"/>
                  </w:divBdr>
                  <w:divsChild>
                    <w:div w:id="3352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921147">
          <w:marLeft w:val="0"/>
          <w:marRight w:val="0"/>
          <w:marTop w:val="0"/>
          <w:marBottom w:val="0"/>
          <w:divBdr>
            <w:top w:val="none" w:sz="0" w:space="0" w:color="auto"/>
            <w:left w:val="none" w:sz="0" w:space="0" w:color="auto"/>
            <w:bottom w:val="single" w:sz="6" w:space="12" w:color="DDDDDD"/>
            <w:right w:val="none" w:sz="0" w:space="0" w:color="auto"/>
          </w:divBdr>
          <w:divsChild>
            <w:div w:id="1774130750">
              <w:marLeft w:val="0"/>
              <w:marRight w:val="0"/>
              <w:marTop w:val="0"/>
              <w:marBottom w:val="0"/>
              <w:divBdr>
                <w:top w:val="none" w:sz="0" w:space="0" w:color="auto"/>
                <w:left w:val="none" w:sz="0" w:space="0" w:color="auto"/>
                <w:bottom w:val="none" w:sz="0" w:space="0" w:color="auto"/>
                <w:right w:val="none" w:sz="0" w:space="0" w:color="auto"/>
              </w:divBdr>
              <w:divsChild>
                <w:div w:id="1844279384">
                  <w:marLeft w:val="0"/>
                  <w:marRight w:val="0"/>
                  <w:marTop w:val="0"/>
                  <w:marBottom w:val="0"/>
                  <w:divBdr>
                    <w:top w:val="none" w:sz="0" w:space="0" w:color="auto"/>
                    <w:left w:val="none" w:sz="0" w:space="0" w:color="auto"/>
                    <w:bottom w:val="none" w:sz="0" w:space="0" w:color="auto"/>
                    <w:right w:val="none" w:sz="0" w:space="0" w:color="auto"/>
                  </w:divBdr>
                  <w:divsChild>
                    <w:div w:id="86921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317299">
          <w:marLeft w:val="0"/>
          <w:marRight w:val="0"/>
          <w:marTop w:val="0"/>
          <w:marBottom w:val="0"/>
          <w:divBdr>
            <w:top w:val="none" w:sz="0" w:space="0" w:color="auto"/>
            <w:left w:val="none" w:sz="0" w:space="0" w:color="auto"/>
            <w:bottom w:val="single" w:sz="6" w:space="12" w:color="DDDDDD"/>
            <w:right w:val="none" w:sz="0" w:space="0" w:color="auto"/>
          </w:divBdr>
          <w:divsChild>
            <w:div w:id="2066832075">
              <w:marLeft w:val="0"/>
              <w:marRight w:val="0"/>
              <w:marTop w:val="0"/>
              <w:marBottom w:val="0"/>
              <w:divBdr>
                <w:top w:val="none" w:sz="0" w:space="0" w:color="auto"/>
                <w:left w:val="none" w:sz="0" w:space="0" w:color="auto"/>
                <w:bottom w:val="none" w:sz="0" w:space="0" w:color="auto"/>
                <w:right w:val="none" w:sz="0" w:space="0" w:color="auto"/>
              </w:divBdr>
              <w:divsChild>
                <w:div w:id="2016030136">
                  <w:marLeft w:val="0"/>
                  <w:marRight w:val="0"/>
                  <w:marTop w:val="0"/>
                  <w:marBottom w:val="0"/>
                  <w:divBdr>
                    <w:top w:val="none" w:sz="0" w:space="0" w:color="auto"/>
                    <w:left w:val="none" w:sz="0" w:space="0" w:color="auto"/>
                    <w:bottom w:val="none" w:sz="0" w:space="0" w:color="auto"/>
                    <w:right w:val="none" w:sz="0" w:space="0" w:color="auto"/>
                  </w:divBdr>
                  <w:divsChild>
                    <w:div w:id="177355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039900">
          <w:marLeft w:val="0"/>
          <w:marRight w:val="0"/>
          <w:marTop w:val="0"/>
          <w:marBottom w:val="0"/>
          <w:divBdr>
            <w:top w:val="none" w:sz="0" w:space="0" w:color="auto"/>
            <w:left w:val="none" w:sz="0" w:space="0" w:color="auto"/>
            <w:bottom w:val="single" w:sz="6" w:space="12" w:color="DDDDDD"/>
            <w:right w:val="none" w:sz="0" w:space="0" w:color="auto"/>
          </w:divBdr>
          <w:divsChild>
            <w:div w:id="1382096036">
              <w:marLeft w:val="0"/>
              <w:marRight w:val="0"/>
              <w:marTop w:val="0"/>
              <w:marBottom w:val="0"/>
              <w:divBdr>
                <w:top w:val="none" w:sz="0" w:space="0" w:color="auto"/>
                <w:left w:val="none" w:sz="0" w:space="0" w:color="auto"/>
                <w:bottom w:val="none" w:sz="0" w:space="0" w:color="auto"/>
                <w:right w:val="none" w:sz="0" w:space="0" w:color="auto"/>
              </w:divBdr>
              <w:divsChild>
                <w:div w:id="23412122">
                  <w:marLeft w:val="0"/>
                  <w:marRight w:val="0"/>
                  <w:marTop w:val="0"/>
                  <w:marBottom w:val="0"/>
                  <w:divBdr>
                    <w:top w:val="none" w:sz="0" w:space="0" w:color="auto"/>
                    <w:left w:val="none" w:sz="0" w:space="0" w:color="auto"/>
                    <w:bottom w:val="none" w:sz="0" w:space="0" w:color="auto"/>
                    <w:right w:val="none" w:sz="0" w:space="0" w:color="auto"/>
                  </w:divBdr>
                  <w:divsChild>
                    <w:div w:id="111686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98808">
          <w:marLeft w:val="0"/>
          <w:marRight w:val="0"/>
          <w:marTop w:val="0"/>
          <w:marBottom w:val="0"/>
          <w:divBdr>
            <w:top w:val="none" w:sz="0" w:space="0" w:color="auto"/>
            <w:left w:val="none" w:sz="0" w:space="0" w:color="auto"/>
            <w:bottom w:val="single" w:sz="6" w:space="12" w:color="DDDDDD"/>
            <w:right w:val="none" w:sz="0" w:space="0" w:color="auto"/>
          </w:divBdr>
          <w:divsChild>
            <w:div w:id="44529271">
              <w:marLeft w:val="0"/>
              <w:marRight w:val="0"/>
              <w:marTop w:val="0"/>
              <w:marBottom w:val="0"/>
              <w:divBdr>
                <w:top w:val="none" w:sz="0" w:space="0" w:color="auto"/>
                <w:left w:val="none" w:sz="0" w:space="0" w:color="auto"/>
                <w:bottom w:val="none" w:sz="0" w:space="0" w:color="auto"/>
                <w:right w:val="none" w:sz="0" w:space="0" w:color="auto"/>
              </w:divBdr>
              <w:divsChild>
                <w:div w:id="1298026505">
                  <w:marLeft w:val="0"/>
                  <w:marRight w:val="0"/>
                  <w:marTop w:val="0"/>
                  <w:marBottom w:val="0"/>
                  <w:divBdr>
                    <w:top w:val="none" w:sz="0" w:space="0" w:color="auto"/>
                    <w:left w:val="none" w:sz="0" w:space="0" w:color="auto"/>
                    <w:bottom w:val="none" w:sz="0" w:space="0" w:color="auto"/>
                    <w:right w:val="none" w:sz="0" w:space="0" w:color="auto"/>
                  </w:divBdr>
                  <w:divsChild>
                    <w:div w:id="158259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660110">
          <w:marLeft w:val="0"/>
          <w:marRight w:val="0"/>
          <w:marTop w:val="0"/>
          <w:marBottom w:val="0"/>
          <w:divBdr>
            <w:top w:val="none" w:sz="0" w:space="0" w:color="auto"/>
            <w:left w:val="none" w:sz="0" w:space="0" w:color="auto"/>
            <w:bottom w:val="single" w:sz="6" w:space="12" w:color="DDDDDD"/>
            <w:right w:val="none" w:sz="0" w:space="0" w:color="auto"/>
          </w:divBdr>
          <w:divsChild>
            <w:div w:id="2060470062">
              <w:marLeft w:val="0"/>
              <w:marRight w:val="0"/>
              <w:marTop w:val="0"/>
              <w:marBottom w:val="0"/>
              <w:divBdr>
                <w:top w:val="none" w:sz="0" w:space="0" w:color="auto"/>
                <w:left w:val="none" w:sz="0" w:space="0" w:color="auto"/>
                <w:bottom w:val="none" w:sz="0" w:space="0" w:color="auto"/>
                <w:right w:val="none" w:sz="0" w:space="0" w:color="auto"/>
              </w:divBdr>
              <w:divsChild>
                <w:div w:id="2139253190">
                  <w:marLeft w:val="0"/>
                  <w:marRight w:val="0"/>
                  <w:marTop w:val="0"/>
                  <w:marBottom w:val="0"/>
                  <w:divBdr>
                    <w:top w:val="none" w:sz="0" w:space="0" w:color="auto"/>
                    <w:left w:val="none" w:sz="0" w:space="0" w:color="auto"/>
                    <w:bottom w:val="none" w:sz="0" w:space="0" w:color="auto"/>
                    <w:right w:val="none" w:sz="0" w:space="0" w:color="auto"/>
                  </w:divBdr>
                  <w:divsChild>
                    <w:div w:id="44808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026021">
          <w:marLeft w:val="0"/>
          <w:marRight w:val="0"/>
          <w:marTop w:val="0"/>
          <w:marBottom w:val="0"/>
          <w:divBdr>
            <w:top w:val="none" w:sz="0" w:space="0" w:color="auto"/>
            <w:left w:val="none" w:sz="0" w:space="0" w:color="auto"/>
            <w:bottom w:val="single" w:sz="6" w:space="12" w:color="DDDDDD"/>
            <w:right w:val="none" w:sz="0" w:space="0" w:color="auto"/>
          </w:divBdr>
          <w:divsChild>
            <w:div w:id="1660957023">
              <w:marLeft w:val="0"/>
              <w:marRight w:val="0"/>
              <w:marTop w:val="0"/>
              <w:marBottom w:val="0"/>
              <w:divBdr>
                <w:top w:val="none" w:sz="0" w:space="0" w:color="auto"/>
                <w:left w:val="none" w:sz="0" w:space="0" w:color="auto"/>
                <w:bottom w:val="none" w:sz="0" w:space="0" w:color="auto"/>
                <w:right w:val="none" w:sz="0" w:space="0" w:color="auto"/>
              </w:divBdr>
              <w:divsChild>
                <w:div w:id="320277527">
                  <w:marLeft w:val="0"/>
                  <w:marRight w:val="0"/>
                  <w:marTop w:val="0"/>
                  <w:marBottom w:val="0"/>
                  <w:divBdr>
                    <w:top w:val="none" w:sz="0" w:space="0" w:color="auto"/>
                    <w:left w:val="none" w:sz="0" w:space="0" w:color="auto"/>
                    <w:bottom w:val="none" w:sz="0" w:space="0" w:color="auto"/>
                    <w:right w:val="none" w:sz="0" w:space="0" w:color="auto"/>
                  </w:divBdr>
                  <w:divsChild>
                    <w:div w:id="70838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1414">
          <w:marLeft w:val="0"/>
          <w:marRight w:val="0"/>
          <w:marTop w:val="0"/>
          <w:marBottom w:val="0"/>
          <w:divBdr>
            <w:top w:val="none" w:sz="0" w:space="0" w:color="auto"/>
            <w:left w:val="none" w:sz="0" w:space="0" w:color="auto"/>
            <w:bottom w:val="single" w:sz="6" w:space="12" w:color="DDDDDD"/>
            <w:right w:val="none" w:sz="0" w:space="0" w:color="auto"/>
          </w:divBdr>
          <w:divsChild>
            <w:div w:id="531965934">
              <w:marLeft w:val="0"/>
              <w:marRight w:val="0"/>
              <w:marTop w:val="0"/>
              <w:marBottom w:val="0"/>
              <w:divBdr>
                <w:top w:val="none" w:sz="0" w:space="0" w:color="auto"/>
                <w:left w:val="none" w:sz="0" w:space="0" w:color="auto"/>
                <w:bottom w:val="none" w:sz="0" w:space="0" w:color="auto"/>
                <w:right w:val="none" w:sz="0" w:space="0" w:color="auto"/>
              </w:divBdr>
              <w:divsChild>
                <w:div w:id="1295328146">
                  <w:marLeft w:val="0"/>
                  <w:marRight w:val="0"/>
                  <w:marTop w:val="0"/>
                  <w:marBottom w:val="0"/>
                  <w:divBdr>
                    <w:top w:val="none" w:sz="0" w:space="0" w:color="auto"/>
                    <w:left w:val="none" w:sz="0" w:space="0" w:color="auto"/>
                    <w:bottom w:val="none" w:sz="0" w:space="0" w:color="auto"/>
                    <w:right w:val="none" w:sz="0" w:space="0" w:color="auto"/>
                  </w:divBdr>
                  <w:divsChild>
                    <w:div w:id="182053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557176">
          <w:marLeft w:val="0"/>
          <w:marRight w:val="0"/>
          <w:marTop w:val="0"/>
          <w:marBottom w:val="0"/>
          <w:divBdr>
            <w:top w:val="none" w:sz="0" w:space="0" w:color="auto"/>
            <w:left w:val="none" w:sz="0" w:space="0" w:color="auto"/>
            <w:bottom w:val="single" w:sz="6" w:space="12" w:color="DDDDDD"/>
            <w:right w:val="none" w:sz="0" w:space="0" w:color="auto"/>
          </w:divBdr>
          <w:divsChild>
            <w:div w:id="802816796">
              <w:marLeft w:val="0"/>
              <w:marRight w:val="0"/>
              <w:marTop w:val="0"/>
              <w:marBottom w:val="0"/>
              <w:divBdr>
                <w:top w:val="none" w:sz="0" w:space="0" w:color="auto"/>
                <w:left w:val="none" w:sz="0" w:space="0" w:color="auto"/>
                <w:bottom w:val="none" w:sz="0" w:space="0" w:color="auto"/>
                <w:right w:val="none" w:sz="0" w:space="0" w:color="auto"/>
              </w:divBdr>
              <w:divsChild>
                <w:div w:id="2025783704">
                  <w:marLeft w:val="0"/>
                  <w:marRight w:val="0"/>
                  <w:marTop w:val="0"/>
                  <w:marBottom w:val="0"/>
                  <w:divBdr>
                    <w:top w:val="none" w:sz="0" w:space="0" w:color="auto"/>
                    <w:left w:val="none" w:sz="0" w:space="0" w:color="auto"/>
                    <w:bottom w:val="none" w:sz="0" w:space="0" w:color="auto"/>
                    <w:right w:val="none" w:sz="0" w:space="0" w:color="auto"/>
                  </w:divBdr>
                  <w:divsChild>
                    <w:div w:id="4294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613888">
          <w:marLeft w:val="0"/>
          <w:marRight w:val="0"/>
          <w:marTop w:val="0"/>
          <w:marBottom w:val="0"/>
          <w:divBdr>
            <w:top w:val="none" w:sz="0" w:space="0" w:color="auto"/>
            <w:left w:val="none" w:sz="0" w:space="0" w:color="auto"/>
            <w:bottom w:val="single" w:sz="6" w:space="12" w:color="DDDDDD"/>
            <w:right w:val="none" w:sz="0" w:space="0" w:color="auto"/>
          </w:divBdr>
          <w:divsChild>
            <w:div w:id="776296756">
              <w:marLeft w:val="0"/>
              <w:marRight w:val="0"/>
              <w:marTop w:val="0"/>
              <w:marBottom w:val="0"/>
              <w:divBdr>
                <w:top w:val="none" w:sz="0" w:space="0" w:color="auto"/>
                <w:left w:val="none" w:sz="0" w:space="0" w:color="auto"/>
                <w:bottom w:val="none" w:sz="0" w:space="0" w:color="auto"/>
                <w:right w:val="none" w:sz="0" w:space="0" w:color="auto"/>
              </w:divBdr>
              <w:divsChild>
                <w:div w:id="925459988">
                  <w:marLeft w:val="0"/>
                  <w:marRight w:val="0"/>
                  <w:marTop w:val="0"/>
                  <w:marBottom w:val="0"/>
                  <w:divBdr>
                    <w:top w:val="none" w:sz="0" w:space="0" w:color="auto"/>
                    <w:left w:val="none" w:sz="0" w:space="0" w:color="auto"/>
                    <w:bottom w:val="none" w:sz="0" w:space="0" w:color="auto"/>
                    <w:right w:val="none" w:sz="0" w:space="0" w:color="auto"/>
                  </w:divBdr>
                  <w:divsChild>
                    <w:div w:id="61737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00443">
          <w:marLeft w:val="0"/>
          <w:marRight w:val="0"/>
          <w:marTop w:val="0"/>
          <w:marBottom w:val="0"/>
          <w:divBdr>
            <w:top w:val="none" w:sz="0" w:space="0" w:color="auto"/>
            <w:left w:val="none" w:sz="0" w:space="0" w:color="auto"/>
            <w:bottom w:val="none" w:sz="0" w:space="0" w:color="auto"/>
            <w:right w:val="none" w:sz="0" w:space="0" w:color="auto"/>
          </w:divBdr>
          <w:divsChild>
            <w:div w:id="1009985016">
              <w:marLeft w:val="0"/>
              <w:marRight w:val="0"/>
              <w:marTop w:val="0"/>
              <w:marBottom w:val="0"/>
              <w:divBdr>
                <w:top w:val="none" w:sz="0" w:space="0" w:color="auto"/>
                <w:left w:val="none" w:sz="0" w:space="0" w:color="auto"/>
                <w:bottom w:val="none" w:sz="0" w:space="0" w:color="auto"/>
                <w:right w:val="none" w:sz="0" w:space="0" w:color="auto"/>
              </w:divBdr>
              <w:divsChild>
                <w:div w:id="1826896855">
                  <w:marLeft w:val="0"/>
                  <w:marRight w:val="0"/>
                  <w:marTop w:val="0"/>
                  <w:marBottom w:val="0"/>
                  <w:divBdr>
                    <w:top w:val="none" w:sz="0" w:space="0" w:color="auto"/>
                    <w:left w:val="none" w:sz="0" w:space="0" w:color="auto"/>
                    <w:bottom w:val="none" w:sz="0" w:space="0" w:color="auto"/>
                    <w:right w:val="none" w:sz="0" w:space="0" w:color="auto"/>
                  </w:divBdr>
                  <w:divsChild>
                    <w:div w:id="191543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78727">
      <w:bodyDiv w:val="1"/>
      <w:marLeft w:val="0"/>
      <w:marRight w:val="0"/>
      <w:marTop w:val="0"/>
      <w:marBottom w:val="0"/>
      <w:divBdr>
        <w:top w:val="none" w:sz="0" w:space="0" w:color="auto"/>
        <w:left w:val="none" w:sz="0" w:space="0" w:color="auto"/>
        <w:bottom w:val="none" w:sz="0" w:space="0" w:color="auto"/>
        <w:right w:val="none" w:sz="0" w:space="0" w:color="auto"/>
      </w:divBdr>
    </w:div>
    <w:div w:id="1891110351">
      <w:bodyDiv w:val="1"/>
      <w:marLeft w:val="0"/>
      <w:marRight w:val="0"/>
      <w:marTop w:val="0"/>
      <w:marBottom w:val="0"/>
      <w:divBdr>
        <w:top w:val="none" w:sz="0" w:space="0" w:color="auto"/>
        <w:left w:val="none" w:sz="0" w:space="0" w:color="auto"/>
        <w:bottom w:val="none" w:sz="0" w:space="0" w:color="auto"/>
        <w:right w:val="none" w:sz="0" w:space="0" w:color="auto"/>
      </w:divBdr>
      <w:divsChild>
        <w:div w:id="1929340723">
          <w:marLeft w:val="0"/>
          <w:marRight w:val="0"/>
          <w:marTop w:val="0"/>
          <w:marBottom w:val="0"/>
          <w:divBdr>
            <w:top w:val="none" w:sz="0" w:space="0" w:color="auto"/>
            <w:left w:val="none" w:sz="0" w:space="0" w:color="auto"/>
            <w:bottom w:val="none" w:sz="0" w:space="0" w:color="auto"/>
            <w:right w:val="none" w:sz="0" w:space="0" w:color="auto"/>
          </w:divBdr>
          <w:divsChild>
            <w:div w:id="129908023">
              <w:marLeft w:val="0"/>
              <w:marRight w:val="0"/>
              <w:marTop w:val="0"/>
              <w:marBottom w:val="0"/>
              <w:divBdr>
                <w:top w:val="none" w:sz="0" w:space="0" w:color="auto"/>
                <w:left w:val="none" w:sz="0" w:space="0" w:color="auto"/>
                <w:bottom w:val="single" w:sz="12" w:space="0" w:color="006699"/>
                <w:right w:val="none" w:sz="0" w:space="0" w:color="auto"/>
              </w:divBdr>
              <w:divsChild>
                <w:div w:id="1870296421">
                  <w:marLeft w:val="0"/>
                  <w:marRight w:val="0"/>
                  <w:marTop w:val="0"/>
                  <w:marBottom w:val="0"/>
                  <w:divBdr>
                    <w:top w:val="none" w:sz="0" w:space="0" w:color="auto"/>
                    <w:left w:val="none" w:sz="0" w:space="0" w:color="auto"/>
                    <w:bottom w:val="none" w:sz="0" w:space="0" w:color="auto"/>
                    <w:right w:val="none" w:sz="0" w:space="0" w:color="auto"/>
                  </w:divBdr>
                  <w:divsChild>
                    <w:div w:id="1270510136">
                      <w:marLeft w:val="0"/>
                      <w:marRight w:val="0"/>
                      <w:marTop w:val="0"/>
                      <w:marBottom w:val="0"/>
                      <w:divBdr>
                        <w:top w:val="none" w:sz="0" w:space="0" w:color="auto"/>
                        <w:left w:val="none" w:sz="0" w:space="0" w:color="auto"/>
                        <w:bottom w:val="none" w:sz="0" w:space="0" w:color="auto"/>
                        <w:right w:val="none" w:sz="0" w:space="0" w:color="auto"/>
                      </w:divBdr>
                      <w:divsChild>
                        <w:div w:id="1308124482">
                          <w:marLeft w:val="0"/>
                          <w:marRight w:val="0"/>
                          <w:marTop w:val="0"/>
                          <w:marBottom w:val="0"/>
                          <w:divBdr>
                            <w:top w:val="none" w:sz="0" w:space="0" w:color="auto"/>
                            <w:left w:val="none" w:sz="0" w:space="0" w:color="auto"/>
                            <w:bottom w:val="none" w:sz="0" w:space="0" w:color="auto"/>
                            <w:right w:val="none" w:sz="0" w:space="0" w:color="auto"/>
                          </w:divBdr>
                          <w:divsChild>
                            <w:div w:id="41971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306722">
                  <w:marLeft w:val="0"/>
                  <w:marRight w:val="0"/>
                  <w:marTop w:val="0"/>
                  <w:marBottom w:val="0"/>
                  <w:divBdr>
                    <w:top w:val="none" w:sz="0" w:space="0" w:color="auto"/>
                    <w:left w:val="none" w:sz="0" w:space="0" w:color="auto"/>
                    <w:bottom w:val="none" w:sz="0" w:space="0" w:color="auto"/>
                    <w:right w:val="none" w:sz="0" w:space="0" w:color="auto"/>
                  </w:divBdr>
                </w:div>
                <w:div w:id="1701512603">
                  <w:marLeft w:val="0"/>
                  <w:marRight w:val="0"/>
                  <w:marTop w:val="0"/>
                  <w:marBottom w:val="0"/>
                  <w:divBdr>
                    <w:top w:val="none" w:sz="0" w:space="0" w:color="auto"/>
                    <w:left w:val="none" w:sz="0" w:space="0" w:color="auto"/>
                    <w:bottom w:val="none" w:sz="0" w:space="0" w:color="auto"/>
                    <w:right w:val="none" w:sz="0" w:space="0" w:color="auto"/>
                  </w:divBdr>
                  <w:divsChild>
                    <w:div w:id="237713368">
                      <w:marLeft w:val="0"/>
                      <w:marRight w:val="0"/>
                      <w:marTop w:val="0"/>
                      <w:marBottom w:val="0"/>
                      <w:divBdr>
                        <w:top w:val="none" w:sz="0" w:space="0" w:color="auto"/>
                        <w:left w:val="none" w:sz="0" w:space="0" w:color="auto"/>
                        <w:bottom w:val="none" w:sz="0" w:space="0" w:color="auto"/>
                        <w:right w:val="none" w:sz="0" w:space="0" w:color="auto"/>
                      </w:divBdr>
                      <w:divsChild>
                        <w:div w:id="1837260705">
                          <w:marLeft w:val="0"/>
                          <w:marRight w:val="0"/>
                          <w:marTop w:val="0"/>
                          <w:marBottom w:val="0"/>
                          <w:divBdr>
                            <w:top w:val="none" w:sz="0" w:space="0" w:color="auto"/>
                            <w:left w:val="none" w:sz="0" w:space="0" w:color="auto"/>
                            <w:bottom w:val="none" w:sz="0" w:space="0" w:color="auto"/>
                            <w:right w:val="none" w:sz="0" w:space="0" w:color="auto"/>
                          </w:divBdr>
                        </w:div>
                        <w:div w:id="1348601936">
                          <w:marLeft w:val="0"/>
                          <w:marRight w:val="0"/>
                          <w:marTop w:val="0"/>
                          <w:marBottom w:val="0"/>
                          <w:divBdr>
                            <w:top w:val="none" w:sz="0" w:space="0" w:color="auto"/>
                            <w:left w:val="none" w:sz="0" w:space="0" w:color="auto"/>
                            <w:bottom w:val="none" w:sz="0" w:space="0" w:color="auto"/>
                            <w:right w:val="none" w:sz="0" w:space="0" w:color="auto"/>
                          </w:divBdr>
                        </w:div>
                        <w:div w:id="630747504">
                          <w:marLeft w:val="0"/>
                          <w:marRight w:val="0"/>
                          <w:marTop w:val="0"/>
                          <w:marBottom w:val="0"/>
                          <w:divBdr>
                            <w:top w:val="none" w:sz="0" w:space="0" w:color="auto"/>
                            <w:left w:val="none" w:sz="0" w:space="0" w:color="auto"/>
                            <w:bottom w:val="none" w:sz="0" w:space="0" w:color="auto"/>
                            <w:right w:val="none" w:sz="0" w:space="0" w:color="auto"/>
                          </w:divBdr>
                          <w:divsChild>
                            <w:div w:id="180311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475984">
                      <w:marLeft w:val="0"/>
                      <w:marRight w:val="0"/>
                      <w:marTop w:val="0"/>
                      <w:marBottom w:val="0"/>
                      <w:divBdr>
                        <w:top w:val="none" w:sz="0" w:space="0" w:color="auto"/>
                        <w:left w:val="none" w:sz="0" w:space="0" w:color="auto"/>
                        <w:bottom w:val="none" w:sz="0" w:space="0" w:color="auto"/>
                        <w:right w:val="none" w:sz="0" w:space="0" w:color="auto"/>
                      </w:divBdr>
                      <w:divsChild>
                        <w:div w:id="2123373658">
                          <w:marLeft w:val="0"/>
                          <w:marRight w:val="0"/>
                          <w:marTop w:val="0"/>
                          <w:marBottom w:val="0"/>
                          <w:divBdr>
                            <w:top w:val="none" w:sz="0" w:space="0" w:color="auto"/>
                            <w:left w:val="none" w:sz="0" w:space="0" w:color="auto"/>
                            <w:bottom w:val="none" w:sz="0" w:space="0" w:color="auto"/>
                            <w:right w:val="none" w:sz="0" w:space="0" w:color="auto"/>
                          </w:divBdr>
                        </w:div>
                        <w:div w:id="943414423">
                          <w:marLeft w:val="0"/>
                          <w:marRight w:val="0"/>
                          <w:marTop w:val="0"/>
                          <w:marBottom w:val="0"/>
                          <w:divBdr>
                            <w:top w:val="none" w:sz="0" w:space="0" w:color="auto"/>
                            <w:left w:val="none" w:sz="0" w:space="0" w:color="auto"/>
                            <w:bottom w:val="none" w:sz="0" w:space="0" w:color="auto"/>
                            <w:right w:val="none" w:sz="0" w:space="0" w:color="auto"/>
                          </w:divBdr>
                        </w:div>
                        <w:div w:id="6903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487290">
          <w:marLeft w:val="0"/>
          <w:marRight w:val="0"/>
          <w:marTop w:val="0"/>
          <w:marBottom w:val="0"/>
          <w:divBdr>
            <w:top w:val="none" w:sz="0" w:space="0" w:color="auto"/>
            <w:left w:val="none" w:sz="0" w:space="0" w:color="auto"/>
            <w:bottom w:val="none" w:sz="0" w:space="0" w:color="auto"/>
            <w:right w:val="none" w:sz="0" w:space="0" w:color="auto"/>
          </w:divBdr>
          <w:divsChild>
            <w:div w:id="1468549405">
              <w:marLeft w:val="0"/>
              <w:marRight w:val="0"/>
              <w:marTop w:val="0"/>
              <w:marBottom w:val="0"/>
              <w:divBdr>
                <w:top w:val="none" w:sz="0" w:space="0" w:color="auto"/>
                <w:left w:val="none" w:sz="0" w:space="0" w:color="auto"/>
                <w:bottom w:val="single" w:sz="6" w:space="12" w:color="333333"/>
                <w:right w:val="none" w:sz="0" w:space="0" w:color="auto"/>
              </w:divBdr>
              <w:divsChild>
                <w:div w:id="898782139">
                  <w:marLeft w:val="0"/>
                  <w:marRight w:val="0"/>
                  <w:marTop w:val="0"/>
                  <w:marBottom w:val="0"/>
                  <w:divBdr>
                    <w:top w:val="none" w:sz="0" w:space="0" w:color="auto"/>
                    <w:left w:val="none" w:sz="0" w:space="0" w:color="auto"/>
                    <w:bottom w:val="none" w:sz="0" w:space="0" w:color="auto"/>
                    <w:right w:val="none" w:sz="0" w:space="0" w:color="auto"/>
                  </w:divBdr>
                  <w:divsChild>
                    <w:div w:id="542133171">
                      <w:marLeft w:val="0"/>
                      <w:marRight w:val="0"/>
                      <w:marTop w:val="0"/>
                      <w:marBottom w:val="0"/>
                      <w:divBdr>
                        <w:top w:val="none" w:sz="0" w:space="0" w:color="auto"/>
                        <w:left w:val="none" w:sz="0" w:space="0" w:color="auto"/>
                        <w:bottom w:val="none" w:sz="0" w:space="0" w:color="auto"/>
                        <w:right w:val="none" w:sz="0" w:space="0" w:color="auto"/>
                      </w:divBdr>
                      <w:divsChild>
                        <w:div w:id="1150363558">
                          <w:marLeft w:val="0"/>
                          <w:marRight w:val="0"/>
                          <w:marTop w:val="0"/>
                          <w:marBottom w:val="0"/>
                          <w:divBdr>
                            <w:top w:val="none" w:sz="0" w:space="0" w:color="auto"/>
                            <w:left w:val="none" w:sz="0" w:space="0" w:color="auto"/>
                            <w:bottom w:val="dotted" w:sz="6" w:space="0" w:color="FEA957"/>
                            <w:right w:val="none" w:sz="0" w:space="0" w:color="auto"/>
                          </w:divBdr>
                          <w:divsChild>
                            <w:div w:id="207449474">
                              <w:marLeft w:val="0"/>
                              <w:marRight w:val="0"/>
                              <w:marTop w:val="0"/>
                              <w:marBottom w:val="0"/>
                              <w:divBdr>
                                <w:top w:val="none" w:sz="0" w:space="0" w:color="auto"/>
                                <w:left w:val="none" w:sz="0" w:space="0" w:color="auto"/>
                                <w:bottom w:val="none" w:sz="0" w:space="0" w:color="auto"/>
                                <w:right w:val="none" w:sz="0" w:space="0" w:color="auto"/>
                              </w:divBdr>
                              <w:divsChild>
                                <w:div w:id="1165392418">
                                  <w:marLeft w:val="0"/>
                                  <w:marRight w:val="0"/>
                                  <w:marTop w:val="0"/>
                                  <w:marBottom w:val="450"/>
                                  <w:divBdr>
                                    <w:top w:val="none" w:sz="0" w:space="0" w:color="auto"/>
                                    <w:left w:val="none" w:sz="0" w:space="0" w:color="auto"/>
                                    <w:bottom w:val="none" w:sz="0" w:space="0" w:color="auto"/>
                                    <w:right w:val="none" w:sz="0" w:space="0" w:color="auto"/>
                                  </w:divBdr>
                                  <w:divsChild>
                                    <w:div w:id="190266758">
                                      <w:marLeft w:val="0"/>
                                      <w:marRight w:val="0"/>
                                      <w:marTop w:val="0"/>
                                      <w:marBottom w:val="375"/>
                                      <w:divBdr>
                                        <w:top w:val="none" w:sz="0" w:space="0" w:color="auto"/>
                                        <w:left w:val="none" w:sz="0" w:space="0" w:color="auto"/>
                                        <w:bottom w:val="none" w:sz="0" w:space="0" w:color="auto"/>
                                        <w:right w:val="none" w:sz="0" w:space="0" w:color="auto"/>
                                      </w:divBdr>
                                      <w:divsChild>
                                        <w:div w:id="120417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655830">
                                  <w:marLeft w:val="0"/>
                                  <w:marRight w:val="0"/>
                                  <w:marTop w:val="0"/>
                                  <w:marBottom w:val="450"/>
                                  <w:divBdr>
                                    <w:top w:val="none" w:sz="0" w:space="0" w:color="auto"/>
                                    <w:left w:val="none" w:sz="0" w:space="0" w:color="auto"/>
                                    <w:bottom w:val="none" w:sz="0" w:space="0" w:color="auto"/>
                                    <w:right w:val="none" w:sz="0" w:space="0" w:color="auto"/>
                                  </w:divBdr>
                                  <w:divsChild>
                                    <w:div w:id="1990137326">
                                      <w:marLeft w:val="0"/>
                                      <w:marRight w:val="0"/>
                                      <w:marTop w:val="0"/>
                                      <w:marBottom w:val="375"/>
                                      <w:divBdr>
                                        <w:top w:val="none" w:sz="0" w:space="0" w:color="auto"/>
                                        <w:left w:val="none" w:sz="0" w:space="0" w:color="auto"/>
                                        <w:bottom w:val="none" w:sz="0" w:space="0" w:color="auto"/>
                                        <w:right w:val="none" w:sz="0" w:space="0" w:color="auto"/>
                                      </w:divBdr>
                                      <w:divsChild>
                                        <w:div w:id="440301826">
                                          <w:marLeft w:val="0"/>
                                          <w:marRight w:val="0"/>
                                          <w:marTop w:val="0"/>
                                          <w:marBottom w:val="0"/>
                                          <w:divBdr>
                                            <w:top w:val="none" w:sz="0" w:space="0" w:color="auto"/>
                                            <w:left w:val="none" w:sz="0" w:space="0" w:color="auto"/>
                                            <w:bottom w:val="none" w:sz="0" w:space="0" w:color="auto"/>
                                            <w:right w:val="none" w:sz="0" w:space="0" w:color="auto"/>
                                          </w:divBdr>
                                        </w:div>
                                      </w:divsChild>
                                    </w:div>
                                    <w:div w:id="1728337304">
                                      <w:marLeft w:val="0"/>
                                      <w:marRight w:val="0"/>
                                      <w:marTop w:val="240"/>
                                      <w:marBottom w:val="240"/>
                                      <w:divBdr>
                                        <w:top w:val="none" w:sz="0" w:space="0" w:color="auto"/>
                                        <w:left w:val="none" w:sz="0" w:space="0" w:color="auto"/>
                                        <w:bottom w:val="none" w:sz="0" w:space="0" w:color="auto"/>
                                        <w:right w:val="none" w:sz="0" w:space="0" w:color="auto"/>
                                      </w:divBdr>
                                    </w:div>
                                    <w:div w:id="1145272694">
                                      <w:marLeft w:val="0"/>
                                      <w:marRight w:val="0"/>
                                      <w:marTop w:val="240"/>
                                      <w:marBottom w:val="240"/>
                                      <w:divBdr>
                                        <w:top w:val="none" w:sz="0" w:space="0" w:color="auto"/>
                                        <w:left w:val="none" w:sz="0" w:space="0" w:color="auto"/>
                                        <w:bottom w:val="none" w:sz="0" w:space="0" w:color="auto"/>
                                        <w:right w:val="none" w:sz="0" w:space="0" w:color="auto"/>
                                      </w:divBdr>
                                    </w:div>
                                    <w:div w:id="1066609977">
                                      <w:marLeft w:val="0"/>
                                      <w:marRight w:val="0"/>
                                      <w:marTop w:val="240"/>
                                      <w:marBottom w:val="240"/>
                                      <w:divBdr>
                                        <w:top w:val="none" w:sz="0" w:space="0" w:color="auto"/>
                                        <w:left w:val="none" w:sz="0" w:space="0" w:color="auto"/>
                                        <w:bottom w:val="none" w:sz="0" w:space="0" w:color="auto"/>
                                        <w:right w:val="none" w:sz="0" w:space="0" w:color="auto"/>
                                      </w:divBdr>
                                    </w:div>
                                    <w:div w:id="2034375287">
                                      <w:marLeft w:val="0"/>
                                      <w:marRight w:val="0"/>
                                      <w:marTop w:val="240"/>
                                      <w:marBottom w:val="240"/>
                                      <w:divBdr>
                                        <w:top w:val="none" w:sz="0" w:space="0" w:color="auto"/>
                                        <w:left w:val="none" w:sz="0" w:space="0" w:color="auto"/>
                                        <w:bottom w:val="none" w:sz="0" w:space="0" w:color="auto"/>
                                        <w:right w:val="none" w:sz="0" w:space="0" w:color="auto"/>
                                      </w:divBdr>
                                    </w:div>
                                    <w:div w:id="1140423031">
                                      <w:marLeft w:val="0"/>
                                      <w:marRight w:val="0"/>
                                      <w:marTop w:val="240"/>
                                      <w:marBottom w:val="240"/>
                                      <w:divBdr>
                                        <w:top w:val="none" w:sz="0" w:space="0" w:color="auto"/>
                                        <w:left w:val="none" w:sz="0" w:space="0" w:color="auto"/>
                                        <w:bottom w:val="none" w:sz="0" w:space="0" w:color="auto"/>
                                        <w:right w:val="none" w:sz="0" w:space="0" w:color="auto"/>
                                      </w:divBdr>
                                    </w:div>
                                    <w:div w:id="123158541">
                                      <w:marLeft w:val="0"/>
                                      <w:marRight w:val="0"/>
                                      <w:marTop w:val="240"/>
                                      <w:marBottom w:val="240"/>
                                      <w:divBdr>
                                        <w:top w:val="none" w:sz="0" w:space="0" w:color="auto"/>
                                        <w:left w:val="none" w:sz="0" w:space="0" w:color="auto"/>
                                        <w:bottom w:val="none" w:sz="0" w:space="0" w:color="auto"/>
                                        <w:right w:val="none" w:sz="0" w:space="0" w:color="auto"/>
                                      </w:divBdr>
                                    </w:div>
                                    <w:div w:id="1576621652">
                                      <w:marLeft w:val="0"/>
                                      <w:marRight w:val="0"/>
                                      <w:marTop w:val="240"/>
                                      <w:marBottom w:val="240"/>
                                      <w:divBdr>
                                        <w:top w:val="none" w:sz="0" w:space="0" w:color="auto"/>
                                        <w:left w:val="none" w:sz="0" w:space="0" w:color="auto"/>
                                        <w:bottom w:val="none" w:sz="0" w:space="0" w:color="auto"/>
                                        <w:right w:val="none" w:sz="0" w:space="0" w:color="auto"/>
                                      </w:divBdr>
                                    </w:div>
                                    <w:div w:id="1880512301">
                                      <w:marLeft w:val="0"/>
                                      <w:marRight w:val="0"/>
                                      <w:marTop w:val="240"/>
                                      <w:marBottom w:val="240"/>
                                      <w:divBdr>
                                        <w:top w:val="none" w:sz="0" w:space="0" w:color="auto"/>
                                        <w:left w:val="none" w:sz="0" w:space="0" w:color="auto"/>
                                        <w:bottom w:val="none" w:sz="0" w:space="0" w:color="auto"/>
                                        <w:right w:val="none" w:sz="0" w:space="0" w:color="auto"/>
                                      </w:divBdr>
                                    </w:div>
                                    <w:div w:id="156118621">
                                      <w:marLeft w:val="0"/>
                                      <w:marRight w:val="0"/>
                                      <w:marTop w:val="240"/>
                                      <w:marBottom w:val="240"/>
                                      <w:divBdr>
                                        <w:top w:val="none" w:sz="0" w:space="0" w:color="auto"/>
                                        <w:left w:val="none" w:sz="0" w:space="0" w:color="auto"/>
                                        <w:bottom w:val="none" w:sz="0" w:space="0" w:color="auto"/>
                                        <w:right w:val="none" w:sz="0" w:space="0" w:color="auto"/>
                                      </w:divBdr>
                                    </w:div>
                                    <w:div w:id="918641407">
                                      <w:marLeft w:val="0"/>
                                      <w:marRight w:val="0"/>
                                      <w:marTop w:val="240"/>
                                      <w:marBottom w:val="240"/>
                                      <w:divBdr>
                                        <w:top w:val="none" w:sz="0" w:space="0" w:color="auto"/>
                                        <w:left w:val="none" w:sz="0" w:space="0" w:color="auto"/>
                                        <w:bottom w:val="none" w:sz="0" w:space="0" w:color="auto"/>
                                        <w:right w:val="none" w:sz="0" w:space="0" w:color="auto"/>
                                      </w:divBdr>
                                    </w:div>
                                  </w:divsChild>
                                </w:div>
                                <w:div w:id="1334647466">
                                  <w:marLeft w:val="0"/>
                                  <w:marRight w:val="0"/>
                                  <w:marTop w:val="0"/>
                                  <w:marBottom w:val="450"/>
                                  <w:divBdr>
                                    <w:top w:val="none" w:sz="0" w:space="0" w:color="auto"/>
                                    <w:left w:val="none" w:sz="0" w:space="0" w:color="auto"/>
                                    <w:bottom w:val="none" w:sz="0" w:space="0" w:color="auto"/>
                                    <w:right w:val="none" w:sz="0" w:space="0" w:color="auto"/>
                                  </w:divBdr>
                                  <w:divsChild>
                                    <w:div w:id="1978558966">
                                      <w:marLeft w:val="0"/>
                                      <w:marRight w:val="0"/>
                                      <w:marTop w:val="0"/>
                                      <w:marBottom w:val="375"/>
                                      <w:divBdr>
                                        <w:top w:val="none" w:sz="0" w:space="0" w:color="auto"/>
                                        <w:left w:val="none" w:sz="0" w:space="0" w:color="auto"/>
                                        <w:bottom w:val="none" w:sz="0" w:space="0" w:color="auto"/>
                                        <w:right w:val="none" w:sz="0" w:space="0" w:color="auto"/>
                                      </w:divBdr>
                                      <w:divsChild>
                                        <w:div w:id="2038043305">
                                          <w:marLeft w:val="0"/>
                                          <w:marRight w:val="0"/>
                                          <w:marTop w:val="0"/>
                                          <w:marBottom w:val="0"/>
                                          <w:divBdr>
                                            <w:top w:val="none" w:sz="0" w:space="0" w:color="auto"/>
                                            <w:left w:val="none" w:sz="0" w:space="0" w:color="auto"/>
                                            <w:bottom w:val="none" w:sz="0" w:space="0" w:color="auto"/>
                                            <w:right w:val="none" w:sz="0" w:space="0" w:color="auto"/>
                                          </w:divBdr>
                                        </w:div>
                                      </w:divsChild>
                                    </w:div>
                                    <w:div w:id="811286971">
                                      <w:marLeft w:val="0"/>
                                      <w:marRight w:val="0"/>
                                      <w:marTop w:val="240"/>
                                      <w:marBottom w:val="480"/>
                                      <w:divBdr>
                                        <w:top w:val="none" w:sz="0" w:space="0" w:color="auto"/>
                                        <w:left w:val="none" w:sz="0" w:space="0" w:color="auto"/>
                                        <w:bottom w:val="none" w:sz="0" w:space="0" w:color="auto"/>
                                        <w:right w:val="none" w:sz="0" w:space="0" w:color="auto"/>
                                      </w:divBdr>
                                      <w:divsChild>
                                        <w:div w:id="936837671">
                                          <w:marLeft w:val="0"/>
                                          <w:marRight w:val="0"/>
                                          <w:marTop w:val="0"/>
                                          <w:marBottom w:val="0"/>
                                          <w:divBdr>
                                            <w:top w:val="single" w:sz="6" w:space="0" w:color="C6C6C6"/>
                                            <w:left w:val="single" w:sz="6" w:space="0" w:color="C6C6C6"/>
                                            <w:bottom w:val="single" w:sz="6" w:space="0" w:color="C6C6C6"/>
                                            <w:right w:val="single" w:sz="6" w:space="0" w:color="C6C6C6"/>
                                          </w:divBdr>
                                        </w:div>
                                        <w:div w:id="344476171">
                                          <w:marLeft w:val="0"/>
                                          <w:marRight w:val="0"/>
                                          <w:marTop w:val="0"/>
                                          <w:marBottom w:val="0"/>
                                          <w:divBdr>
                                            <w:top w:val="none" w:sz="0" w:space="0" w:color="auto"/>
                                            <w:left w:val="none" w:sz="0" w:space="0" w:color="auto"/>
                                            <w:bottom w:val="dotted" w:sz="6" w:space="6" w:color="999999"/>
                                            <w:right w:val="none" w:sz="0" w:space="0" w:color="auto"/>
                                          </w:divBdr>
                                        </w:div>
                                      </w:divsChild>
                                    </w:div>
                                    <w:div w:id="727188232">
                                      <w:marLeft w:val="0"/>
                                      <w:marRight w:val="0"/>
                                      <w:marTop w:val="240"/>
                                      <w:marBottom w:val="240"/>
                                      <w:divBdr>
                                        <w:top w:val="none" w:sz="0" w:space="0" w:color="auto"/>
                                        <w:left w:val="none" w:sz="0" w:space="0" w:color="auto"/>
                                        <w:bottom w:val="none" w:sz="0" w:space="0" w:color="auto"/>
                                        <w:right w:val="none" w:sz="0" w:space="0" w:color="auto"/>
                                      </w:divBdr>
                                    </w:div>
                                    <w:div w:id="1653362312">
                                      <w:marLeft w:val="0"/>
                                      <w:marRight w:val="0"/>
                                      <w:marTop w:val="240"/>
                                      <w:marBottom w:val="240"/>
                                      <w:divBdr>
                                        <w:top w:val="none" w:sz="0" w:space="0" w:color="auto"/>
                                        <w:left w:val="none" w:sz="0" w:space="0" w:color="auto"/>
                                        <w:bottom w:val="none" w:sz="0" w:space="0" w:color="auto"/>
                                        <w:right w:val="none" w:sz="0" w:space="0" w:color="auto"/>
                                      </w:divBdr>
                                    </w:div>
                                  </w:divsChild>
                                </w:div>
                                <w:div w:id="1839423767">
                                  <w:marLeft w:val="0"/>
                                  <w:marRight w:val="0"/>
                                  <w:marTop w:val="0"/>
                                  <w:marBottom w:val="450"/>
                                  <w:divBdr>
                                    <w:top w:val="none" w:sz="0" w:space="0" w:color="auto"/>
                                    <w:left w:val="none" w:sz="0" w:space="0" w:color="auto"/>
                                    <w:bottom w:val="none" w:sz="0" w:space="0" w:color="auto"/>
                                    <w:right w:val="none" w:sz="0" w:space="0" w:color="auto"/>
                                  </w:divBdr>
                                  <w:divsChild>
                                    <w:div w:id="2029259308">
                                      <w:marLeft w:val="0"/>
                                      <w:marRight w:val="0"/>
                                      <w:marTop w:val="0"/>
                                      <w:marBottom w:val="375"/>
                                      <w:divBdr>
                                        <w:top w:val="none" w:sz="0" w:space="0" w:color="auto"/>
                                        <w:left w:val="none" w:sz="0" w:space="0" w:color="auto"/>
                                        <w:bottom w:val="none" w:sz="0" w:space="0" w:color="auto"/>
                                        <w:right w:val="none" w:sz="0" w:space="0" w:color="auto"/>
                                      </w:divBdr>
                                      <w:divsChild>
                                        <w:div w:id="66732340">
                                          <w:marLeft w:val="0"/>
                                          <w:marRight w:val="0"/>
                                          <w:marTop w:val="0"/>
                                          <w:marBottom w:val="0"/>
                                          <w:divBdr>
                                            <w:top w:val="none" w:sz="0" w:space="0" w:color="auto"/>
                                            <w:left w:val="none" w:sz="0" w:space="0" w:color="auto"/>
                                            <w:bottom w:val="none" w:sz="0" w:space="0" w:color="auto"/>
                                            <w:right w:val="none" w:sz="0" w:space="0" w:color="auto"/>
                                          </w:divBdr>
                                        </w:div>
                                      </w:divsChild>
                                    </w:div>
                                    <w:div w:id="1231960012">
                                      <w:marLeft w:val="0"/>
                                      <w:marRight w:val="0"/>
                                      <w:marTop w:val="240"/>
                                      <w:marBottom w:val="480"/>
                                      <w:divBdr>
                                        <w:top w:val="none" w:sz="0" w:space="0" w:color="auto"/>
                                        <w:left w:val="none" w:sz="0" w:space="0" w:color="auto"/>
                                        <w:bottom w:val="none" w:sz="0" w:space="0" w:color="auto"/>
                                        <w:right w:val="none" w:sz="0" w:space="0" w:color="auto"/>
                                      </w:divBdr>
                                      <w:divsChild>
                                        <w:div w:id="1316304068">
                                          <w:marLeft w:val="0"/>
                                          <w:marRight w:val="0"/>
                                          <w:marTop w:val="0"/>
                                          <w:marBottom w:val="0"/>
                                          <w:divBdr>
                                            <w:top w:val="single" w:sz="6" w:space="0" w:color="C6C6C6"/>
                                            <w:left w:val="single" w:sz="6" w:space="0" w:color="C6C6C6"/>
                                            <w:bottom w:val="single" w:sz="6" w:space="0" w:color="C6C6C6"/>
                                            <w:right w:val="single" w:sz="6" w:space="0" w:color="C6C6C6"/>
                                          </w:divBdr>
                                        </w:div>
                                        <w:div w:id="1746761308">
                                          <w:marLeft w:val="0"/>
                                          <w:marRight w:val="0"/>
                                          <w:marTop w:val="0"/>
                                          <w:marBottom w:val="0"/>
                                          <w:divBdr>
                                            <w:top w:val="none" w:sz="0" w:space="0" w:color="auto"/>
                                            <w:left w:val="none" w:sz="0" w:space="0" w:color="auto"/>
                                            <w:bottom w:val="dotted" w:sz="6" w:space="6" w:color="999999"/>
                                            <w:right w:val="none" w:sz="0" w:space="0" w:color="auto"/>
                                          </w:divBdr>
                                        </w:div>
                                      </w:divsChild>
                                    </w:div>
                                    <w:div w:id="506555956">
                                      <w:marLeft w:val="0"/>
                                      <w:marRight w:val="0"/>
                                      <w:marTop w:val="240"/>
                                      <w:marBottom w:val="240"/>
                                      <w:divBdr>
                                        <w:top w:val="none" w:sz="0" w:space="0" w:color="auto"/>
                                        <w:left w:val="none" w:sz="0" w:space="0" w:color="auto"/>
                                        <w:bottom w:val="none" w:sz="0" w:space="0" w:color="auto"/>
                                        <w:right w:val="none" w:sz="0" w:space="0" w:color="auto"/>
                                      </w:divBdr>
                                    </w:div>
                                    <w:div w:id="1908881194">
                                      <w:marLeft w:val="0"/>
                                      <w:marRight w:val="0"/>
                                      <w:marTop w:val="240"/>
                                      <w:marBottom w:val="480"/>
                                      <w:divBdr>
                                        <w:top w:val="none" w:sz="0" w:space="0" w:color="auto"/>
                                        <w:left w:val="none" w:sz="0" w:space="0" w:color="auto"/>
                                        <w:bottom w:val="none" w:sz="0" w:space="0" w:color="auto"/>
                                        <w:right w:val="none" w:sz="0" w:space="0" w:color="auto"/>
                                      </w:divBdr>
                                      <w:divsChild>
                                        <w:div w:id="13121913">
                                          <w:marLeft w:val="0"/>
                                          <w:marRight w:val="0"/>
                                          <w:marTop w:val="0"/>
                                          <w:marBottom w:val="0"/>
                                          <w:divBdr>
                                            <w:top w:val="single" w:sz="6" w:space="0" w:color="C6C6C6"/>
                                            <w:left w:val="single" w:sz="6" w:space="0" w:color="C6C6C6"/>
                                            <w:bottom w:val="single" w:sz="6" w:space="0" w:color="C6C6C6"/>
                                            <w:right w:val="single" w:sz="6" w:space="0" w:color="C6C6C6"/>
                                          </w:divBdr>
                                        </w:div>
                                        <w:div w:id="1845318284">
                                          <w:marLeft w:val="0"/>
                                          <w:marRight w:val="0"/>
                                          <w:marTop w:val="0"/>
                                          <w:marBottom w:val="0"/>
                                          <w:divBdr>
                                            <w:top w:val="none" w:sz="0" w:space="0" w:color="auto"/>
                                            <w:left w:val="none" w:sz="0" w:space="0" w:color="auto"/>
                                            <w:bottom w:val="dotted" w:sz="6" w:space="6" w:color="999999"/>
                                            <w:right w:val="none" w:sz="0" w:space="0" w:color="auto"/>
                                          </w:divBdr>
                                        </w:div>
                                      </w:divsChild>
                                    </w:div>
                                    <w:div w:id="1740862762">
                                      <w:marLeft w:val="0"/>
                                      <w:marRight w:val="0"/>
                                      <w:marTop w:val="240"/>
                                      <w:marBottom w:val="480"/>
                                      <w:divBdr>
                                        <w:top w:val="none" w:sz="0" w:space="0" w:color="auto"/>
                                        <w:left w:val="none" w:sz="0" w:space="0" w:color="auto"/>
                                        <w:bottom w:val="none" w:sz="0" w:space="0" w:color="auto"/>
                                        <w:right w:val="none" w:sz="0" w:space="0" w:color="auto"/>
                                      </w:divBdr>
                                      <w:divsChild>
                                        <w:div w:id="714159555">
                                          <w:marLeft w:val="0"/>
                                          <w:marRight w:val="0"/>
                                          <w:marTop w:val="0"/>
                                          <w:marBottom w:val="0"/>
                                          <w:divBdr>
                                            <w:top w:val="single" w:sz="6" w:space="0" w:color="C6C6C6"/>
                                            <w:left w:val="single" w:sz="6" w:space="0" w:color="C6C6C6"/>
                                            <w:bottom w:val="single" w:sz="6" w:space="0" w:color="C6C6C6"/>
                                            <w:right w:val="single" w:sz="6" w:space="0" w:color="C6C6C6"/>
                                          </w:divBdr>
                                        </w:div>
                                        <w:div w:id="153180736">
                                          <w:marLeft w:val="0"/>
                                          <w:marRight w:val="0"/>
                                          <w:marTop w:val="0"/>
                                          <w:marBottom w:val="0"/>
                                          <w:divBdr>
                                            <w:top w:val="none" w:sz="0" w:space="0" w:color="auto"/>
                                            <w:left w:val="none" w:sz="0" w:space="0" w:color="auto"/>
                                            <w:bottom w:val="dotted" w:sz="6" w:space="6" w:color="999999"/>
                                            <w:right w:val="none" w:sz="0" w:space="0" w:color="auto"/>
                                          </w:divBdr>
                                        </w:div>
                                      </w:divsChild>
                                    </w:div>
                                    <w:div w:id="2096242962">
                                      <w:marLeft w:val="0"/>
                                      <w:marRight w:val="0"/>
                                      <w:marTop w:val="240"/>
                                      <w:marBottom w:val="240"/>
                                      <w:divBdr>
                                        <w:top w:val="none" w:sz="0" w:space="0" w:color="auto"/>
                                        <w:left w:val="none" w:sz="0" w:space="0" w:color="auto"/>
                                        <w:bottom w:val="none" w:sz="0" w:space="0" w:color="auto"/>
                                        <w:right w:val="none" w:sz="0" w:space="0" w:color="auto"/>
                                      </w:divBdr>
                                    </w:div>
                                    <w:div w:id="1906068683">
                                      <w:marLeft w:val="0"/>
                                      <w:marRight w:val="0"/>
                                      <w:marTop w:val="240"/>
                                      <w:marBottom w:val="480"/>
                                      <w:divBdr>
                                        <w:top w:val="none" w:sz="0" w:space="0" w:color="auto"/>
                                        <w:left w:val="none" w:sz="0" w:space="0" w:color="auto"/>
                                        <w:bottom w:val="none" w:sz="0" w:space="0" w:color="auto"/>
                                        <w:right w:val="none" w:sz="0" w:space="0" w:color="auto"/>
                                      </w:divBdr>
                                      <w:divsChild>
                                        <w:div w:id="1907257808">
                                          <w:marLeft w:val="0"/>
                                          <w:marRight w:val="0"/>
                                          <w:marTop w:val="0"/>
                                          <w:marBottom w:val="0"/>
                                          <w:divBdr>
                                            <w:top w:val="single" w:sz="6" w:space="0" w:color="C6C6C6"/>
                                            <w:left w:val="single" w:sz="6" w:space="0" w:color="C6C6C6"/>
                                            <w:bottom w:val="single" w:sz="6" w:space="0" w:color="C6C6C6"/>
                                            <w:right w:val="single" w:sz="6" w:space="0" w:color="C6C6C6"/>
                                          </w:divBdr>
                                        </w:div>
                                        <w:div w:id="1582985660">
                                          <w:marLeft w:val="0"/>
                                          <w:marRight w:val="0"/>
                                          <w:marTop w:val="0"/>
                                          <w:marBottom w:val="0"/>
                                          <w:divBdr>
                                            <w:top w:val="none" w:sz="0" w:space="0" w:color="auto"/>
                                            <w:left w:val="none" w:sz="0" w:space="0" w:color="auto"/>
                                            <w:bottom w:val="dotted" w:sz="6" w:space="6" w:color="999999"/>
                                            <w:right w:val="none" w:sz="0" w:space="0" w:color="auto"/>
                                          </w:divBdr>
                                        </w:div>
                                      </w:divsChild>
                                    </w:div>
                                    <w:div w:id="1515537475">
                                      <w:marLeft w:val="0"/>
                                      <w:marRight w:val="0"/>
                                      <w:marTop w:val="240"/>
                                      <w:marBottom w:val="480"/>
                                      <w:divBdr>
                                        <w:top w:val="none" w:sz="0" w:space="0" w:color="auto"/>
                                        <w:left w:val="none" w:sz="0" w:space="0" w:color="auto"/>
                                        <w:bottom w:val="none" w:sz="0" w:space="0" w:color="auto"/>
                                        <w:right w:val="none" w:sz="0" w:space="0" w:color="auto"/>
                                      </w:divBdr>
                                      <w:divsChild>
                                        <w:div w:id="392627168">
                                          <w:marLeft w:val="0"/>
                                          <w:marRight w:val="0"/>
                                          <w:marTop w:val="0"/>
                                          <w:marBottom w:val="0"/>
                                          <w:divBdr>
                                            <w:top w:val="single" w:sz="6" w:space="0" w:color="C6C6C6"/>
                                            <w:left w:val="single" w:sz="6" w:space="0" w:color="C6C6C6"/>
                                            <w:bottom w:val="single" w:sz="6" w:space="0" w:color="C6C6C6"/>
                                            <w:right w:val="single" w:sz="6" w:space="0" w:color="C6C6C6"/>
                                          </w:divBdr>
                                        </w:div>
                                        <w:div w:id="5229830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903756689">
                                  <w:marLeft w:val="0"/>
                                  <w:marRight w:val="0"/>
                                  <w:marTop w:val="0"/>
                                  <w:marBottom w:val="450"/>
                                  <w:divBdr>
                                    <w:top w:val="none" w:sz="0" w:space="0" w:color="auto"/>
                                    <w:left w:val="none" w:sz="0" w:space="0" w:color="auto"/>
                                    <w:bottom w:val="none" w:sz="0" w:space="0" w:color="auto"/>
                                    <w:right w:val="none" w:sz="0" w:space="0" w:color="auto"/>
                                  </w:divBdr>
                                  <w:divsChild>
                                    <w:div w:id="288241784">
                                      <w:marLeft w:val="0"/>
                                      <w:marRight w:val="0"/>
                                      <w:marTop w:val="0"/>
                                      <w:marBottom w:val="375"/>
                                      <w:divBdr>
                                        <w:top w:val="none" w:sz="0" w:space="0" w:color="auto"/>
                                        <w:left w:val="none" w:sz="0" w:space="0" w:color="auto"/>
                                        <w:bottom w:val="none" w:sz="0" w:space="0" w:color="auto"/>
                                        <w:right w:val="none" w:sz="0" w:space="0" w:color="auto"/>
                                      </w:divBdr>
                                      <w:divsChild>
                                        <w:div w:id="110842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TED.2013.2264315" TargetMode="External"/><Relationship Id="rId13" Type="http://schemas.openxmlformats.org/officeDocument/2006/relationships/hyperlink" Target="https://ieeexplore.ieee.org/document/" TargetMode="External"/><Relationship Id="rId18" Type="http://schemas.openxmlformats.org/officeDocument/2006/relationships/image" Target="media/image1.gif"/><Relationship Id="rId3" Type="http://schemas.openxmlformats.org/officeDocument/2006/relationships/customXml" Target="../customXml/item3.xml"/><Relationship Id="rId21" Type="http://schemas.openxmlformats.org/officeDocument/2006/relationships/image" Target="media/image4.gif"/><Relationship Id="rId7" Type="http://schemas.openxmlformats.org/officeDocument/2006/relationships/webSettings" Target="webSettings.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image" Target="media/image3.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document/"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image" Target="media/image6.gif"/><Relationship Id="rId10" Type="http://schemas.openxmlformats.org/officeDocument/2006/relationships/hyperlink" Target="https://ieeexplore.ieee.org/document/" TargetMode="External"/><Relationship Id="rId19" Type="http://schemas.openxmlformats.org/officeDocument/2006/relationships/image" Target="media/image2.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93D8AF-434C-4517-BEDB-34925CF421FE}">
  <ds:schemaRefs>
    <ds:schemaRef ds:uri="http://schemas.microsoft.com/sharepoint/v3/contenttype/forms"/>
  </ds:schemaRefs>
</ds:datastoreItem>
</file>

<file path=customXml/itemProps2.xml><?xml version="1.0" encoding="utf-8"?>
<ds:datastoreItem xmlns:ds="http://schemas.openxmlformats.org/officeDocument/2006/customXml" ds:itemID="{2615735D-4AA6-4CCA-931F-05D21D5867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408ACE-5925-4A71-9AAD-BCB1DE6EF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Pages>
  <Words>4280</Words>
  <Characters>23973</Characters>
  <Application>Microsoft Office Word</Application>
  <DocSecurity>8</DocSecurity>
  <Lines>328</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93</cp:revision>
  <dcterms:created xsi:type="dcterms:W3CDTF">2019-06-26T17:02:00Z</dcterms:created>
  <dcterms:modified xsi:type="dcterms:W3CDTF">2019-12-20T14:57:00Z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