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497F025" w:rsidR="000A7622" w:rsidRPr="00C04F25" w:rsidRDefault="003E2D22"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C819056" w:rsidR="000A7622" w:rsidRPr="00C04F25" w:rsidRDefault="00A03521" w:rsidP="00D14423">
      <w:pPr>
        <w:rPr>
          <w:rFonts w:cstheme="minorHAnsi"/>
          <w:sz w:val="24"/>
          <w:szCs w:val="24"/>
        </w:rPr>
      </w:pPr>
      <w:r>
        <w:rPr>
          <w:rFonts w:cstheme="minorHAnsi"/>
          <w:i/>
          <w:sz w:val="24"/>
          <w:szCs w:val="24"/>
          <w:lang w:val="fr-FR"/>
        </w:rPr>
        <w:t xml:space="preserve">Journal of the American </w:t>
      </w:r>
      <w:proofErr w:type="spellStart"/>
      <w:r>
        <w:rPr>
          <w:rFonts w:cstheme="minorHAnsi"/>
          <w:i/>
          <w:sz w:val="24"/>
          <w:szCs w:val="24"/>
          <w:lang w:val="fr-FR"/>
        </w:rPr>
        <w:t>Academy</w:t>
      </w:r>
      <w:proofErr w:type="spellEnd"/>
      <w:r>
        <w:rPr>
          <w:rFonts w:cstheme="minorHAnsi"/>
          <w:i/>
          <w:sz w:val="24"/>
          <w:szCs w:val="24"/>
          <w:lang w:val="fr-FR"/>
        </w:rPr>
        <w:t xml:space="preserve"> of Child &amp; Adolescent </w:t>
      </w:r>
      <w:proofErr w:type="spellStart"/>
      <w:r>
        <w:rPr>
          <w:rFonts w:cstheme="minorHAnsi"/>
          <w:i/>
          <w:sz w:val="24"/>
          <w:szCs w:val="24"/>
          <w:lang w:val="fr-FR"/>
        </w:rPr>
        <w:t>Pschiatry</w:t>
      </w:r>
      <w:proofErr w:type="spellEnd"/>
      <w:r>
        <w:rPr>
          <w:rFonts w:cstheme="minorHAnsi"/>
          <w:i/>
          <w:sz w:val="24"/>
          <w:szCs w:val="24"/>
          <w:lang w:val="fr-FR"/>
        </w:rPr>
        <w:t xml:space="preserve">, </w:t>
      </w:r>
      <w:r w:rsidR="000A7622" w:rsidRPr="00C04F25">
        <w:rPr>
          <w:rFonts w:cstheme="minorHAnsi"/>
          <w:sz w:val="24"/>
          <w:szCs w:val="24"/>
          <w:lang w:val="fr-FR"/>
        </w:rPr>
        <w:t xml:space="preserve">Vol. </w:t>
      </w:r>
      <w:r>
        <w:rPr>
          <w:rFonts w:cstheme="minorHAnsi"/>
          <w:sz w:val="24"/>
          <w:szCs w:val="24"/>
          <w:lang w:val="fr-FR"/>
        </w:rPr>
        <w:t>61</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F36D50">
        <w:rPr>
          <w:rFonts w:cstheme="minorHAnsi"/>
          <w:sz w:val="24"/>
          <w:szCs w:val="24"/>
          <w:lang w:val="fr-FR"/>
        </w:rPr>
        <w:t xml:space="preserve">June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764-771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A6E58">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A6E58">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1A6E58">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58ADF823" w:rsidR="00414591" w:rsidRDefault="00D52D14" w:rsidP="00D52D14">
      <w:pPr>
        <w:pStyle w:val="Title"/>
      </w:pPr>
      <w:r w:rsidRPr="00D52D14">
        <w:t>Cognitive Control Processes in Behavior Therapy for Youth with Tourette’s Disorder</w:t>
      </w:r>
    </w:p>
    <w:p w14:paraId="443F20B9" w14:textId="77777777" w:rsidR="00CA11C5" w:rsidRDefault="00CA11C5" w:rsidP="00CA11C5"/>
    <w:p w14:paraId="4A88806C" w14:textId="77777777" w:rsidR="001978D5" w:rsidRPr="001978D5" w:rsidRDefault="001978D5" w:rsidP="001978D5">
      <w:pPr>
        <w:pStyle w:val="NoSpacing"/>
        <w:rPr>
          <w:sz w:val="32"/>
          <w:szCs w:val="32"/>
        </w:rPr>
      </w:pPr>
      <w:r w:rsidRPr="001978D5">
        <w:rPr>
          <w:sz w:val="32"/>
          <w:szCs w:val="32"/>
        </w:rPr>
        <w:t xml:space="preserve">Flint M. </w:t>
      </w:r>
      <w:proofErr w:type="spellStart"/>
      <w:r w:rsidRPr="001978D5">
        <w:rPr>
          <w:sz w:val="32"/>
          <w:szCs w:val="32"/>
        </w:rPr>
        <w:t>Epsil</w:t>
      </w:r>
      <w:proofErr w:type="spellEnd"/>
      <w:r w:rsidRPr="001978D5">
        <w:rPr>
          <w:sz w:val="32"/>
          <w:szCs w:val="32"/>
        </w:rPr>
        <w:t xml:space="preserve"> </w:t>
      </w:r>
    </w:p>
    <w:p w14:paraId="71B38FF7" w14:textId="77777777" w:rsidR="001978D5" w:rsidRPr="001978D5" w:rsidRDefault="001978D5" w:rsidP="001978D5">
      <w:pPr>
        <w:pStyle w:val="NoSpacing"/>
        <w:rPr>
          <w:sz w:val="24"/>
          <w:szCs w:val="24"/>
        </w:rPr>
      </w:pPr>
      <w:r w:rsidRPr="001978D5">
        <w:rPr>
          <w:sz w:val="24"/>
          <w:szCs w:val="24"/>
        </w:rPr>
        <w:t xml:space="preserve">Stanford University School of Medicine, California </w:t>
      </w:r>
    </w:p>
    <w:p w14:paraId="47FF4D3D" w14:textId="0380BB94" w:rsidR="00693E40" w:rsidRPr="001978D5" w:rsidRDefault="00D52D14" w:rsidP="001978D5">
      <w:pPr>
        <w:pStyle w:val="NoSpacing"/>
        <w:rPr>
          <w:sz w:val="32"/>
          <w:szCs w:val="32"/>
        </w:rPr>
      </w:pPr>
      <w:r w:rsidRPr="001978D5">
        <w:rPr>
          <w:sz w:val="32"/>
          <w:szCs w:val="32"/>
        </w:rPr>
        <w:t>Douglas</w:t>
      </w:r>
      <w:r w:rsidR="005816D8" w:rsidRPr="001978D5">
        <w:rPr>
          <w:sz w:val="32"/>
          <w:szCs w:val="32"/>
        </w:rPr>
        <w:t xml:space="preserve"> W.</w:t>
      </w:r>
      <w:r w:rsidRPr="001978D5">
        <w:rPr>
          <w:sz w:val="32"/>
          <w:szCs w:val="32"/>
        </w:rPr>
        <w:t xml:space="preserve"> Woods</w:t>
      </w:r>
    </w:p>
    <w:p w14:paraId="33B6B871" w14:textId="77777777" w:rsidR="00693E40" w:rsidRPr="001978D5" w:rsidRDefault="00693E40" w:rsidP="001978D5">
      <w:pPr>
        <w:pStyle w:val="NoSpacing"/>
        <w:rPr>
          <w:sz w:val="24"/>
          <w:szCs w:val="24"/>
        </w:rPr>
      </w:pPr>
      <w:r w:rsidRPr="001978D5">
        <w:rPr>
          <w:sz w:val="24"/>
          <w:szCs w:val="24"/>
        </w:rPr>
        <w:t xml:space="preserve">Marquette University, Milwaukee, Wisconsin </w:t>
      </w:r>
    </w:p>
    <w:p w14:paraId="0717954B" w14:textId="42E9DB1C" w:rsidR="005816D8" w:rsidRPr="001978D5" w:rsidRDefault="005816D8" w:rsidP="001978D5">
      <w:pPr>
        <w:pStyle w:val="NoSpacing"/>
        <w:rPr>
          <w:sz w:val="32"/>
          <w:szCs w:val="32"/>
        </w:rPr>
      </w:pPr>
      <w:r w:rsidRPr="001978D5">
        <w:rPr>
          <w:sz w:val="32"/>
          <w:szCs w:val="32"/>
        </w:rPr>
        <w:t xml:space="preserve">Matthew W. Specht </w:t>
      </w:r>
    </w:p>
    <w:p w14:paraId="0E7206D5" w14:textId="217AB6FB" w:rsidR="005816D8" w:rsidRPr="001978D5" w:rsidRDefault="005816D8" w:rsidP="001978D5">
      <w:pPr>
        <w:pStyle w:val="NoSpacing"/>
        <w:rPr>
          <w:sz w:val="24"/>
          <w:szCs w:val="24"/>
        </w:rPr>
      </w:pPr>
      <w:r w:rsidRPr="001978D5">
        <w:rPr>
          <w:sz w:val="24"/>
          <w:szCs w:val="24"/>
        </w:rPr>
        <w:t>Weill Cornell Medicine, New York</w:t>
      </w:r>
    </w:p>
    <w:p w14:paraId="005919D0" w14:textId="5124FA1E" w:rsidR="005816D8" w:rsidRPr="001978D5" w:rsidRDefault="005816D8" w:rsidP="001978D5">
      <w:pPr>
        <w:pStyle w:val="NoSpacing"/>
        <w:rPr>
          <w:sz w:val="32"/>
          <w:szCs w:val="32"/>
        </w:rPr>
      </w:pPr>
      <w:r w:rsidRPr="001978D5">
        <w:rPr>
          <w:sz w:val="32"/>
          <w:szCs w:val="32"/>
        </w:rPr>
        <w:t>Shannon M. Bennett</w:t>
      </w:r>
    </w:p>
    <w:p w14:paraId="29993C5F" w14:textId="704AD0BB" w:rsidR="005816D8" w:rsidRPr="001978D5" w:rsidRDefault="005816D8" w:rsidP="001978D5">
      <w:pPr>
        <w:pStyle w:val="NoSpacing"/>
        <w:rPr>
          <w:sz w:val="24"/>
          <w:szCs w:val="24"/>
        </w:rPr>
      </w:pPr>
      <w:r w:rsidRPr="001978D5">
        <w:rPr>
          <w:sz w:val="24"/>
          <w:szCs w:val="24"/>
        </w:rPr>
        <w:t xml:space="preserve">Weill Cornell Medicine, New York </w:t>
      </w:r>
    </w:p>
    <w:p w14:paraId="26E28630" w14:textId="47FB888D" w:rsidR="005816D8" w:rsidRPr="001978D5" w:rsidRDefault="005816D8" w:rsidP="001978D5">
      <w:pPr>
        <w:pStyle w:val="NoSpacing"/>
        <w:rPr>
          <w:sz w:val="32"/>
          <w:szCs w:val="32"/>
        </w:rPr>
      </w:pPr>
      <w:r w:rsidRPr="001978D5">
        <w:rPr>
          <w:sz w:val="32"/>
          <w:szCs w:val="32"/>
        </w:rPr>
        <w:t>John T. Walkup</w:t>
      </w:r>
    </w:p>
    <w:p w14:paraId="385FB975" w14:textId="24155915" w:rsidR="00D52D14" w:rsidRPr="001978D5" w:rsidRDefault="005E4DB2" w:rsidP="001978D5">
      <w:pPr>
        <w:pStyle w:val="NoSpacing"/>
        <w:rPr>
          <w:sz w:val="24"/>
          <w:szCs w:val="24"/>
        </w:rPr>
      </w:pPr>
      <w:r w:rsidRPr="001978D5">
        <w:rPr>
          <w:sz w:val="24"/>
          <w:szCs w:val="24"/>
        </w:rPr>
        <w:t xml:space="preserve">Northwestern University Feinberg School of Medicine, Chicago, Illinois </w:t>
      </w:r>
    </w:p>
    <w:p w14:paraId="4DDBB5CB" w14:textId="5C9833B0" w:rsidR="005E4DB2" w:rsidRPr="001978D5" w:rsidRDefault="005E4DB2" w:rsidP="001978D5">
      <w:pPr>
        <w:pStyle w:val="NoSpacing"/>
        <w:rPr>
          <w:sz w:val="32"/>
          <w:szCs w:val="32"/>
        </w:rPr>
      </w:pPr>
      <w:r w:rsidRPr="001978D5">
        <w:rPr>
          <w:sz w:val="32"/>
          <w:szCs w:val="32"/>
        </w:rPr>
        <w:t xml:space="preserve">Emily J. Ricketts </w:t>
      </w:r>
    </w:p>
    <w:p w14:paraId="6DB32E2A" w14:textId="285C2C01" w:rsidR="005E4DB2" w:rsidRPr="001978D5" w:rsidRDefault="005E4DB2" w:rsidP="001978D5">
      <w:pPr>
        <w:pStyle w:val="NoSpacing"/>
        <w:rPr>
          <w:sz w:val="24"/>
          <w:szCs w:val="24"/>
        </w:rPr>
      </w:pPr>
      <w:r w:rsidRPr="001978D5">
        <w:rPr>
          <w:sz w:val="24"/>
          <w:szCs w:val="24"/>
        </w:rPr>
        <w:t xml:space="preserve">UCLA </w:t>
      </w:r>
      <w:proofErr w:type="spellStart"/>
      <w:r w:rsidRPr="001978D5">
        <w:rPr>
          <w:sz w:val="24"/>
          <w:szCs w:val="24"/>
        </w:rPr>
        <w:t>Semel</w:t>
      </w:r>
      <w:proofErr w:type="spellEnd"/>
      <w:r w:rsidRPr="001978D5">
        <w:rPr>
          <w:sz w:val="24"/>
          <w:szCs w:val="24"/>
        </w:rPr>
        <w:t xml:space="preserve"> Institute for Neuroscience and Human Behavior, Los Angeles, California</w:t>
      </w:r>
    </w:p>
    <w:p w14:paraId="6BD39DA4" w14:textId="06A76D90" w:rsidR="005E4DB2" w:rsidRPr="001978D5" w:rsidRDefault="005E4DB2" w:rsidP="001978D5">
      <w:pPr>
        <w:pStyle w:val="NoSpacing"/>
        <w:rPr>
          <w:sz w:val="32"/>
          <w:szCs w:val="32"/>
        </w:rPr>
      </w:pPr>
      <w:r w:rsidRPr="001978D5">
        <w:rPr>
          <w:sz w:val="32"/>
          <w:szCs w:val="32"/>
        </w:rPr>
        <w:t xml:space="preserve">Joseph F. McGuire </w:t>
      </w:r>
    </w:p>
    <w:p w14:paraId="34DCF9A4" w14:textId="32BAAC45" w:rsidR="005E4DB2" w:rsidRPr="001978D5" w:rsidRDefault="00564CA2" w:rsidP="001978D5">
      <w:pPr>
        <w:pStyle w:val="NoSpacing"/>
        <w:rPr>
          <w:sz w:val="24"/>
          <w:szCs w:val="24"/>
        </w:rPr>
      </w:pPr>
      <w:r w:rsidRPr="001978D5">
        <w:rPr>
          <w:sz w:val="24"/>
          <w:szCs w:val="24"/>
        </w:rPr>
        <w:t>Johns Hopkins University School of Medicine, Baltimore, Maryland</w:t>
      </w:r>
    </w:p>
    <w:p w14:paraId="4DA4A3A1" w14:textId="3976359B" w:rsidR="00564CA2" w:rsidRPr="001978D5" w:rsidRDefault="00564CA2" w:rsidP="001978D5">
      <w:pPr>
        <w:pStyle w:val="NoSpacing"/>
        <w:rPr>
          <w:sz w:val="32"/>
          <w:szCs w:val="32"/>
        </w:rPr>
      </w:pPr>
      <w:r w:rsidRPr="001978D5">
        <w:rPr>
          <w:sz w:val="32"/>
          <w:szCs w:val="32"/>
        </w:rPr>
        <w:lastRenderedPageBreak/>
        <w:t xml:space="preserve">Jordan T. </w:t>
      </w:r>
      <w:proofErr w:type="spellStart"/>
      <w:r w:rsidRPr="001978D5">
        <w:rPr>
          <w:sz w:val="32"/>
          <w:szCs w:val="32"/>
        </w:rPr>
        <w:t>Stiede</w:t>
      </w:r>
      <w:proofErr w:type="spellEnd"/>
    </w:p>
    <w:p w14:paraId="19573398" w14:textId="071626AA" w:rsidR="00564CA2" w:rsidRPr="001978D5" w:rsidRDefault="00851F5B" w:rsidP="001978D5">
      <w:pPr>
        <w:pStyle w:val="NoSpacing"/>
        <w:rPr>
          <w:sz w:val="24"/>
          <w:szCs w:val="24"/>
        </w:rPr>
      </w:pPr>
      <w:r w:rsidRPr="001978D5">
        <w:rPr>
          <w:sz w:val="24"/>
          <w:szCs w:val="24"/>
        </w:rPr>
        <w:t xml:space="preserve">Marquette University, Milwaukee, Wisconsin </w:t>
      </w:r>
    </w:p>
    <w:p w14:paraId="6592CFCC" w14:textId="0757E01E" w:rsidR="00851F5B" w:rsidRPr="001978D5" w:rsidRDefault="00851F5B" w:rsidP="001978D5">
      <w:pPr>
        <w:pStyle w:val="NoSpacing"/>
        <w:rPr>
          <w:sz w:val="32"/>
          <w:szCs w:val="32"/>
        </w:rPr>
      </w:pPr>
      <w:r w:rsidRPr="001978D5">
        <w:rPr>
          <w:sz w:val="32"/>
          <w:szCs w:val="32"/>
        </w:rPr>
        <w:t xml:space="preserve">Jennifer S. </w:t>
      </w:r>
      <w:proofErr w:type="spellStart"/>
      <w:r w:rsidRPr="001978D5">
        <w:rPr>
          <w:sz w:val="32"/>
          <w:szCs w:val="32"/>
        </w:rPr>
        <w:t>Schild</w:t>
      </w:r>
      <w:proofErr w:type="spellEnd"/>
      <w:r w:rsidRPr="001978D5">
        <w:rPr>
          <w:sz w:val="32"/>
          <w:szCs w:val="32"/>
        </w:rPr>
        <w:t xml:space="preserve"> </w:t>
      </w:r>
    </w:p>
    <w:p w14:paraId="7DDE090D" w14:textId="7B0606FE" w:rsidR="00851F5B" w:rsidRPr="001978D5" w:rsidRDefault="00851F5B" w:rsidP="001978D5">
      <w:pPr>
        <w:pStyle w:val="NoSpacing"/>
        <w:rPr>
          <w:sz w:val="24"/>
          <w:szCs w:val="24"/>
        </w:rPr>
      </w:pPr>
      <w:r w:rsidRPr="001978D5">
        <w:rPr>
          <w:sz w:val="24"/>
          <w:szCs w:val="24"/>
        </w:rPr>
        <w:t>Suffolk University, Boston, Massachusetts</w:t>
      </w:r>
    </w:p>
    <w:p w14:paraId="13549598" w14:textId="1AF9A50E" w:rsidR="00851F5B" w:rsidRPr="001978D5" w:rsidRDefault="00851F5B" w:rsidP="001978D5">
      <w:pPr>
        <w:pStyle w:val="NoSpacing"/>
        <w:rPr>
          <w:sz w:val="32"/>
          <w:szCs w:val="32"/>
        </w:rPr>
      </w:pPr>
      <w:r w:rsidRPr="001978D5">
        <w:rPr>
          <w:sz w:val="32"/>
          <w:szCs w:val="32"/>
        </w:rPr>
        <w:t xml:space="preserve">Susanna W. Chang </w:t>
      </w:r>
    </w:p>
    <w:p w14:paraId="3A788528" w14:textId="0A5957A1" w:rsidR="00851F5B" w:rsidRPr="001978D5" w:rsidRDefault="006869C4" w:rsidP="001978D5">
      <w:pPr>
        <w:pStyle w:val="NoSpacing"/>
        <w:rPr>
          <w:sz w:val="24"/>
          <w:szCs w:val="24"/>
        </w:rPr>
      </w:pPr>
      <w:r w:rsidRPr="001978D5">
        <w:rPr>
          <w:sz w:val="24"/>
          <w:szCs w:val="24"/>
        </w:rPr>
        <w:t xml:space="preserve">UCLA </w:t>
      </w:r>
      <w:proofErr w:type="spellStart"/>
      <w:r w:rsidRPr="001978D5">
        <w:rPr>
          <w:sz w:val="24"/>
          <w:szCs w:val="24"/>
        </w:rPr>
        <w:t>Semel</w:t>
      </w:r>
      <w:proofErr w:type="spellEnd"/>
      <w:r w:rsidRPr="001978D5">
        <w:rPr>
          <w:sz w:val="24"/>
          <w:szCs w:val="24"/>
        </w:rPr>
        <w:t xml:space="preserve"> Institute for Neuroscience and Human Behavior, Los Angeles, California </w:t>
      </w:r>
    </w:p>
    <w:p w14:paraId="703E8921" w14:textId="55C05913" w:rsidR="006869C4" w:rsidRPr="001978D5" w:rsidRDefault="006869C4" w:rsidP="001978D5">
      <w:pPr>
        <w:pStyle w:val="NoSpacing"/>
        <w:rPr>
          <w:sz w:val="32"/>
          <w:szCs w:val="32"/>
        </w:rPr>
      </w:pPr>
      <w:r w:rsidRPr="001978D5">
        <w:rPr>
          <w:sz w:val="32"/>
          <w:szCs w:val="32"/>
        </w:rPr>
        <w:t>Alan L. Peterson</w:t>
      </w:r>
    </w:p>
    <w:p w14:paraId="6D532DEB" w14:textId="37339231" w:rsidR="006869C4" w:rsidRPr="001978D5" w:rsidRDefault="006869C4" w:rsidP="001978D5">
      <w:pPr>
        <w:pStyle w:val="NoSpacing"/>
        <w:rPr>
          <w:sz w:val="24"/>
          <w:szCs w:val="24"/>
        </w:rPr>
      </w:pPr>
      <w:r w:rsidRPr="001978D5">
        <w:rPr>
          <w:sz w:val="24"/>
          <w:szCs w:val="24"/>
        </w:rPr>
        <w:t xml:space="preserve">University of Texas Health Sciences Center at San Antonio, Texas </w:t>
      </w:r>
    </w:p>
    <w:p w14:paraId="47C402DD" w14:textId="579DCBC1" w:rsidR="006869C4" w:rsidRPr="001978D5" w:rsidRDefault="006869C4" w:rsidP="001978D5">
      <w:pPr>
        <w:pStyle w:val="NoSpacing"/>
        <w:rPr>
          <w:sz w:val="32"/>
          <w:szCs w:val="32"/>
        </w:rPr>
      </w:pPr>
      <w:r w:rsidRPr="001978D5">
        <w:rPr>
          <w:sz w:val="32"/>
          <w:szCs w:val="32"/>
        </w:rPr>
        <w:t xml:space="preserve">Lawrence </w:t>
      </w:r>
      <w:proofErr w:type="spellStart"/>
      <w:r w:rsidRPr="001978D5">
        <w:rPr>
          <w:sz w:val="32"/>
          <w:szCs w:val="32"/>
        </w:rPr>
        <w:t>Scahill</w:t>
      </w:r>
      <w:proofErr w:type="spellEnd"/>
      <w:r w:rsidRPr="001978D5">
        <w:rPr>
          <w:sz w:val="32"/>
          <w:szCs w:val="32"/>
        </w:rPr>
        <w:t xml:space="preserve"> </w:t>
      </w:r>
    </w:p>
    <w:p w14:paraId="6D0E82E9" w14:textId="2D575CC8" w:rsidR="006869C4" w:rsidRPr="001978D5" w:rsidRDefault="00B0513E" w:rsidP="001978D5">
      <w:pPr>
        <w:pStyle w:val="NoSpacing"/>
        <w:rPr>
          <w:sz w:val="24"/>
          <w:szCs w:val="24"/>
        </w:rPr>
      </w:pPr>
      <w:r w:rsidRPr="001978D5">
        <w:rPr>
          <w:sz w:val="24"/>
          <w:szCs w:val="24"/>
        </w:rPr>
        <w:t xml:space="preserve">Emory University, Atlanta, Georgia </w:t>
      </w:r>
    </w:p>
    <w:p w14:paraId="118E3D9D" w14:textId="13640DC2" w:rsidR="00B0513E" w:rsidRPr="001978D5" w:rsidRDefault="00B0513E" w:rsidP="001978D5">
      <w:pPr>
        <w:pStyle w:val="NoSpacing"/>
        <w:rPr>
          <w:sz w:val="32"/>
          <w:szCs w:val="32"/>
        </w:rPr>
      </w:pPr>
      <w:r w:rsidRPr="001978D5">
        <w:rPr>
          <w:sz w:val="32"/>
          <w:szCs w:val="32"/>
        </w:rPr>
        <w:t>Sabine Wilhelm</w:t>
      </w:r>
    </w:p>
    <w:p w14:paraId="62C706DD" w14:textId="292D7CA3" w:rsidR="00B0513E" w:rsidRPr="001978D5" w:rsidRDefault="00B0513E" w:rsidP="001978D5">
      <w:pPr>
        <w:pStyle w:val="NoSpacing"/>
        <w:rPr>
          <w:sz w:val="24"/>
          <w:szCs w:val="24"/>
        </w:rPr>
      </w:pPr>
      <w:r w:rsidRPr="001978D5">
        <w:rPr>
          <w:sz w:val="24"/>
          <w:szCs w:val="24"/>
        </w:rPr>
        <w:t xml:space="preserve">Massachusetts General Hospital and Harvard School of Medicine, Boston, Massachusetts </w:t>
      </w:r>
    </w:p>
    <w:p w14:paraId="6A63B46A" w14:textId="382F7020" w:rsidR="00B0513E" w:rsidRPr="001978D5" w:rsidRDefault="00B0513E" w:rsidP="001978D5">
      <w:pPr>
        <w:pStyle w:val="NoSpacing"/>
        <w:rPr>
          <w:sz w:val="32"/>
          <w:szCs w:val="32"/>
        </w:rPr>
      </w:pPr>
      <w:r w:rsidRPr="001978D5">
        <w:rPr>
          <w:sz w:val="32"/>
          <w:szCs w:val="32"/>
        </w:rPr>
        <w:t xml:space="preserve">John C. </w:t>
      </w:r>
      <w:proofErr w:type="spellStart"/>
      <w:r w:rsidRPr="001978D5">
        <w:rPr>
          <w:sz w:val="32"/>
          <w:szCs w:val="32"/>
        </w:rPr>
        <w:t>Piacentini</w:t>
      </w:r>
      <w:proofErr w:type="spellEnd"/>
      <w:r w:rsidRPr="001978D5">
        <w:rPr>
          <w:sz w:val="32"/>
          <w:szCs w:val="32"/>
        </w:rPr>
        <w:t xml:space="preserve"> </w:t>
      </w:r>
    </w:p>
    <w:p w14:paraId="572CAEB4" w14:textId="2616C310" w:rsidR="00B0513E" w:rsidRPr="001978D5" w:rsidRDefault="00C313CA" w:rsidP="001978D5">
      <w:pPr>
        <w:pStyle w:val="NoSpacing"/>
        <w:rPr>
          <w:sz w:val="24"/>
          <w:szCs w:val="24"/>
        </w:rPr>
      </w:pPr>
      <w:r w:rsidRPr="001978D5">
        <w:rPr>
          <w:sz w:val="24"/>
          <w:szCs w:val="24"/>
        </w:rPr>
        <w:t xml:space="preserve">UCLA </w:t>
      </w:r>
      <w:proofErr w:type="spellStart"/>
      <w:r w:rsidRPr="001978D5">
        <w:rPr>
          <w:sz w:val="24"/>
          <w:szCs w:val="24"/>
        </w:rPr>
        <w:t>Semel</w:t>
      </w:r>
      <w:proofErr w:type="spellEnd"/>
      <w:r w:rsidRPr="001978D5">
        <w:rPr>
          <w:sz w:val="24"/>
          <w:szCs w:val="24"/>
        </w:rPr>
        <w:t xml:space="preserve"> Institute for Neuroscience and Human Behavior, Los Angeles, California </w:t>
      </w:r>
    </w:p>
    <w:p w14:paraId="221E5153" w14:textId="77777777" w:rsidR="00B07597" w:rsidRDefault="00B07597" w:rsidP="00B0513E"/>
    <w:p w14:paraId="19078E3E" w14:textId="6F33B3E0" w:rsidR="00B07597" w:rsidRDefault="00B07597" w:rsidP="00B07597">
      <w:pPr>
        <w:pStyle w:val="Heading1"/>
      </w:pPr>
      <w:r>
        <w:t>Abstract</w:t>
      </w:r>
    </w:p>
    <w:p w14:paraId="60810F90" w14:textId="77777777" w:rsidR="00B07597" w:rsidRPr="00B07597" w:rsidRDefault="00B07597" w:rsidP="00B07597">
      <w:pPr>
        <w:pStyle w:val="Heading2"/>
        <w:rPr>
          <w:lang w:val="en"/>
        </w:rPr>
      </w:pPr>
      <w:r w:rsidRPr="00B07597">
        <w:rPr>
          <w:lang w:val="en"/>
        </w:rPr>
        <w:t>Objective</w:t>
      </w:r>
    </w:p>
    <w:p w14:paraId="523EE546" w14:textId="186BBEC2" w:rsidR="00B07597" w:rsidRPr="00B07597" w:rsidRDefault="00B07597" w:rsidP="00B07597">
      <w:pPr>
        <w:rPr>
          <w:lang w:val="en"/>
        </w:rPr>
      </w:pPr>
      <w:r w:rsidRPr="00B07597">
        <w:rPr>
          <w:lang w:val="en"/>
        </w:rPr>
        <w:t>To determine the long-term durability of behavior therapy for tics among youth with Tourette disorder and persistent (chronic) motor or vocal tic disorders.</w:t>
      </w:r>
    </w:p>
    <w:p w14:paraId="51EE7FBA" w14:textId="77777777" w:rsidR="00B07597" w:rsidRPr="00B07597" w:rsidRDefault="00B07597" w:rsidP="00B07597">
      <w:pPr>
        <w:pStyle w:val="Heading2"/>
        <w:rPr>
          <w:lang w:val="en"/>
        </w:rPr>
      </w:pPr>
      <w:r w:rsidRPr="00B07597">
        <w:rPr>
          <w:lang w:val="en"/>
        </w:rPr>
        <w:t>Method</w:t>
      </w:r>
    </w:p>
    <w:p w14:paraId="45A6DF7B" w14:textId="77777777" w:rsidR="00B07597" w:rsidRPr="00B07597" w:rsidRDefault="00B07597" w:rsidP="00B07597">
      <w:pPr>
        <w:rPr>
          <w:lang w:val="en"/>
        </w:rPr>
      </w:pPr>
      <w:r w:rsidRPr="00B07597">
        <w:rPr>
          <w:lang w:val="en"/>
        </w:rPr>
        <w:t>Of the 126 youth who participated in a randomized controlled trial of behavior therapy 11 years prior, 80 were recruited for this longitudinal follow-up. Consenting participants were interviewed in person or remotely (Web-based video) by trained evaluators to determine the course of tics, current tic severity, and tic-related impairment. Recruitment and data collection occurred between 2014 and 2019, with an average follow-up duration of 11.2 years.</w:t>
      </w:r>
    </w:p>
    <w:p w14:paraId="2DD85484" w14:textId="77777777" w:rsidR="00B07597" w:rsidRPr="00B07597" w:rsidRDefault="00B07597" w:rsidP="00B07597">
      <w:pPr>
        <w:pStyle w:val="Heading2"/>
        <w:rPr>
          <w:lang w:val="en"/>
        </w:rPr>
      </w:pPr>
      <w:r w:rsidRPr="00B07597">
        <w:rPr>
          <w:lang w:val="en"/>
        </w:rPr>
        <w:t>Results</w:t>
      </w:r>
    </w:p>
    <w:p w14:paraId="5F2F15D5" w14:textId="5C03E739" w:rsidR="00B07597" w:rsidRPr="00B07597" w:rsidRDefault="00B07597" w:rsidP="00B07597">
      <w:pPr>
        <w:rPr>
          <w:lang w:val="en"/>
        </w:rPr>
      </w:pPr>
      <w:r w:rsidRPr="00B07597">
        <w:rPr>
          <w:lang w:val="en"/>
        </w:rPr>
        <w:t>Treatment responders to both conditions in the original trial achieved partial, but not full, tic remission. Tic severity also decreased significantly across the sample, with 40% reporting partial remission. Behavior therapy responders (n = 21) in the original trial were more likely (67%) to achieve remission at follow-up (Total Tic Score = 12.52, SD = 10.75) compared to psychoeducation/supportive therapy responders (n = 6, 0%) at follow-up (Total Tic Score = 20.67, SD = 6.92) on the Yale Global Tic Severity Scale. Tic-related impairment decreased across the sample, with no significant differences between treatment groups or responders.</w:t>
      </w:r>
    </w:p>
    <w:p w14:paraId="2C6569F7" w14:textId="77777777" w:rsidR="00B07597" w:rsidRPr="00B07597" w:rsidRDefault="00B07597" w:rsidP="00B07597">
      <w:pPr>
        <w:pStyle w:val="Heading2"/>
        <w:rPr>
          <w:lang w:val="en"/>
        </w:rPr>
      </w:pPr>
      <w:r w:rsidRPr="00B07597">
        <w:rPr>
          <w:lang w:val="en"/>
        </w:rPr>
        <w:t>Conclusion</w:t>
      </w:r>
    </w:p>
    <w:p w14:paraId="499EFD8D" w14:textId="77777777" w:rsidR="00B07597" w:rsidRPr="00B07597" w:rsidRDefault="00B07597" w:rsidP="00B07597">
      <w:pPr>
        <w:rPr>
          <w:lang w:val="en"/>
        </w:rPr>
      </w:pPr>
      <w:r w:rsidRPr="00B07597">
        <w:rPr>
          <w:lang w:val="en"/>
        </w:rPr>
        <w:t>Despite limitations of unmeasured variables and veracity of self-report at follow-up, this study supports guidelines recommending behavior therapy as the first-line intervention for tics. Further investigation of behavior therapy as an early preventive intervention also merits attention.</w:t>
      </w:r>
    </w:p>
    <w:p w14:paraId="19A75B05" w14:textId="0B0DF716" w:rsidR="00B07597" w:rsidRPr="00B07597" w:rsidRDefault="00B07597" w:rsidP="00B07597">
      <w:pPr>
        <w:pStyle w:val="Heading2"/>
      </w:pPr>
      <w:r w:rsidRPr="00B07597">
        <w:t>Keywords</w:t>
      </w:r>
    </w:p>
    <w:p w14:paraId="0C3A2E7B" w14:textId="7AE9D316" w:rsidR="00B07597" w:rsidRDefault="00B07597" w:rsidP="00B07597">
      <w:r w:rsidRPr="00B07597">
        <w:t>Tourette</w:t>
      </w:r>
      <w:r>
        <w:t xml:space="preserve">, </w:t>
      </w:r>
      <w:r w:rsidRPr="00B07597">
        <w:t>tics</w:t>
      </w:r>
      <w:r>
        <w:t xml:space="preserve">, </w:t>
      </w:r>
      <w:r w:rsidRPr="00B07597">
        <w:t>long-term follow up</w:t>
      </w:r>
      <w:r>
        <w:t xml:space="preserve">, </w:t>
      </w:r>
      <w:r w:rsidRPr="00B07597">
        <w:t>youth</w:t>
      </w:r>
    </w:p>
    <w:p w14:paraId="69DF3FE8" w14:textId="19DB833E" w:rsidR="00B07597" w:rsidRPr="00B07597" w:rsidRDefault="00B07597" w:rsidP="00B07597">
      <w:pPr>
        <w:pStyle w:val="Heading1"/>
      </w:pPr>
      <w:r>
        <w:t xml:space="preserve">Introduction </w:t>
      </w:r>
    </w:p>
    <w:p w14:paraId="2F15CAF9" w14:textId="4651B76D" w:rsidR="00B07597" w:rsidRPr="00B07597" w:rsidRDefault="00B07597" w:rsidP="00B07597">
      <w:r w:rsidRPr="00B07597">
        <w:t>Persistent tic disorders (PTD, including Tourette disorder) are chronic neurodevelopmental disorders characterized by motor and/or vocal tics. Tics are sudden, rapid, non-rhythmic movements (</w:t>
      </w:r>
      <w:proofErr w:type="spellStart"/>
      <w:r w:rsidRPr="00B07597">
        <w:t>eg</w:t>
      </w:r>
      <w:proofErr w:type="spellEnd"/>
      <w:r w:rsidRPr="00B07597">
        <w:t>, eye blinking, facial grimacing) or vocalizations (</w:t>
      </w:r>
      <w:proofErr w:type="spellStart"/>
      <w:r w:rsidRPr="00B07597">
        <w:t>eg</w:t>
      </w:r>
      <w:proofErr w:type="spellEnd"/>
      <w:r w:rsidRPr="00B07597">
        <w:t xml:space="preserve">, sniffing, grunting, words, or sounds) and may also include more complex patterns of movements or vocalizations. Tic onset usually begins between the ages of 5 and 7 years, with tic severity peaking between the ages of 10 and 13 years and then decreasing during late adolescence and early adulthood. Although significant distress and/or impairment is not required for diagnosis, individuals with tic disorders often experience distress and interference due to </w:t>
      </w:r>
      <w:proofErr w:type="spellStart"/>
      <w:r w:rsidRPr="00B07597">
        <w:t>ticcing</w:t>
      </w:r>
      <w:proofErr w:type="spellEnd"/>
      <w:r w:rsidRPr="00B07597">
        <w:t>, and up to 85% meet lifetime criteria for comorbid psychiatric disorders.</w:t>
      </w:r>
      <w:bookmarkStart w:id="2" w:name="bbib1"/>
      <w:r w:rsidRPr="00B07597">
        <w:rPr>
          <w:vertAlign w:val="superscript"/>
        </w:rPr>
        <w:t>1</w:t>
      </w:r>
      <w:bookmarkEnd w:id="2"/>
    </w:p>
    <w:p w14:paraId="72188553" w14:textId="3F515470" w:rsidR="00B07597" w:rsidRPr="00B07597" w:rsidRDefault="00B07597" w:rsidP="00B07597">
      <w:r w:rsidRPr="00B07597">
        <w:t>Antipsychotic medications (</w:t>
      </w:r>
      <w:proofErr w:type="spellStart"/>
      <w:r w:rsidRPr="00B07597">
        <w:t>eg</w:t>
      </w:r>
      <w:proofErr w:type="spellEnd"/>
      <w:r w:rsidRPr="00B07597">
        <w:t>, haloperidol, risperidone, aripiprazole) and the Comprehensive Behavioral Intervention for Tics (CBIT) are currently the treatment modalities with the most research support.</w:t>
      </w:r>
      <w:bookmarkStart w:id="3" w:name="bbib2"/>
      <w:r w:rsidRPr="00B07597">
        <w:rPr>
          <w:vertAlign w:val="superscript"/>
        </w:rPr>
        <w:t>2</w:t>
      </w:r>
      <w:bookmarkEnd w:id="3"/>
      <w:r w:rsidRPr="00B07597">
        <w:t> Treatment effect sizes between these 2 approaches are comparable; however, antipsychotic medications are associated with various side effects such as weight gain, metabolic effects, fatigue, and sedation. Several academic/professional bodies with an interest in the treatment of tic disorders (</w:t>
      </w:r>
      <w:proofErr w:type="spellStart"/>
      <w:r w:rsidRPr="00B07597">
        <w:t>eg</w:t>
      </w:r>
      <w:proofErr w:type="spellEnd"/>
      <w:r w:rsidRPr="00B07597">
        <w:t>, European Society for the Treatment of Tourette Syndrome,</w:t>
      </w:r>
      <w:bookmarkStart w:id="4" w:name="bbib3"/>
      <w:r w:rsidRPr="00B07597">
        <w:rPr>
          <w:vertAlign w:val="superscript"/>
        </w:rPr>
        <w:t>3</w:t>
      </w:r>
      <w:r w:rsidRPr="00B07597">
        <w:t> Canadian Guidelines for the Evidence Based Treatment of Tourette Syndrome,</w:t>
      </w:r>
      <w:bookmarkStart w:id="5" w:name="bbib4"/>
      <w:r w:rsidRPr="00B07597">
        <w:rPr>
          <w:vertAlign w:val="superscript"/>
        </w:rPr>
        <w:t>4</w:t>
      </w:r>
      <w:r w:rsidRPr="00B07597">
        <w:t> American Academy of Child and Adolescent Psychiatry,</w:t>
      </w:r>
      <w:bookmarkStart w:id="6" w:name="bbib5"/>
      <w:r w:rsidRPr="00B07597">
        <w:rPr>
          <w:vertAlign w:val="superscript"/>
        </w:rPr>
        <w:t>5</w:t>
      </w:r>
      <w:r w:rsidRPr="00B07597">
        <w:t> and American Academy of Neurology</w:t>
      </w:r>
      <w:bookmarkStart w:id="7" w:name="bbib6"/>
      <w:r w:rsidRPr="00B07597">
        <w:rPr>
          <w:vertAlign w:val="superscript"/>
        </w:rPr>
        <w:t>6</w:t>
      </w:r>
      <w:r w:rsidRPr="00B07597">
        <w:t>) recommend CBIT as the first-line intervention for individuals in need of treatment for PTDs.</w:t>
      </w:r>
    </w:p>
    <w:p w14:paraId="31BFBD4F" w14:textId="1965A450" w:rsidR="00B07597" w:rsidRPr="00B07597" w:rsidRDefault="00B07597" w:rsidP="00B07597">
      <w:r w:rsidRPr="00B07597">
        <w:t xml:space="preserve">CBIT comprises several components including psychoeducation, monitoring tics between sessions, functional assessment of antecedents to and consequences of </w:t>
      </w:r>
      <w:proofErr w:type="spellStart"/>
      <w:r w:rsidRPr="00B07597">
        <w:t>ticcing</w:t>
      </w:r>
      <w:proofErr w:type="spellEnd"/>
      <w:r w:rsidRPr="00B07597">
        <w:t xml:space="preserve">, functional interventions to reduce the impact of environmental variables on </w:t>
      </w:r>
      <w:proofErr w:type="spellStart"/>
      <w:r w:rsidRPr="00B07597">
        <w:t>ticcing</w:t>
      </w:r>
      <w:proofErr w:type="spellEnd"/>
      <w:r w:rsidRPr="00B07597">
        <w:t>, Habit Reversal Training,</w:t>
      </w:r>
      <w:bookmarkStart w:id="8" w:name="bbib7"/>
      <w:r w:rsidRPr="00B07597">
        <w:rPr>
          <w:vertAlign w:val="superscript"/>
        </w:rPr>
        <w:t>7</w:t>
      </w:r>
      <w:bookmarkEnd w:id="8"/>
      <w:r w:rsidRPr="00B07597">
        <w:t> relaxation training (both diaphragmatic breathing and progressive muscle relaxation), and relapse prevention. During Habit Reversal Training, providers work collaboratively with youth to increase awareness of tics and tic signals, to create incompatible actions (</w:t>
      </w:r>
      <w:proofErr w:type="spellStart"/>
      <w:r w:rsidRPr="00B07597">
        <w:t>ie</w:t>
      </w:r>
      <w:proofErr w:type="spellEnd"/>
      <w:r w:rsidRPr="00B07597">
        <w:t>, competing responses) specific for each tic, and to practice implementation by including parents or other social supports to prompt and to praise competing responses as necessary.</w:t>
      </w:r>
    </w:p>
    <w:p w14:paraId="23CE58CA" w14:textId="37B8D7AC" w:rsidR="00B07597" w:rsidRPr="00B07597" w:rsidRDefault="00B07597" w:rsidP="00B07597">
      <w:r w:rsidRPr="00B07597">
        <w:t>In the largest RCT of CBIT for youth conducted to date,</w:t>
      </w:r>
      <w:bookmarkStart w:id="9" w:name="bbib8"/>
      <w:r w:rsidRPr="00B07597">
        <w:rPr>
          <w:vertAlign w:val="superscript"/>
        </w:rPr>
        <w:t>8</w:t>
      </w:r>
      <w:r w:rsidRPr="00B07597">
        <w:t> 126 participants (aged 9−17 years) with PTD were randomized to receive 8 sessions over 10 weeks of either CBIT (n = 61) or a supportive and educational treatment (PST, n = 65). Evaluators masked to treatment assignment conducted structured clinical interviews and a standard tic severity rating instrument at posttreatment and at 3- and 6-month follow-up time points. CBIT led to a significantly greater decrease in severity (7.6 points) compared to that in the PST group (3.5 points) and significantly more CBIT than PST youth (52.5% vs 18.5%, respectively) were rated as being very much improved or much improved on measures of clinical improvement. Of those who responded to CBIT, 87% continued to maintain responder status at 6-month follow-up.</w:t>
      </w:r>
    </w:p>
    <w:p w14:paraId="3E311619" w14:textId="1BE951BF" w:rsidR="00B07597" w:rsidRPr="00B07597" w:rsidRDefault="00B07597" w:rsidP="00B07597">
      <w:r w:rsidRPr="00B07597">
        <w:t>CBIT outcomes indicate that both youth</w:t>
      </w:r>
      <w:r w:rsidRPr="00B07597">
        <w:rPr>
          <w:vertAlign w:val="superscript"/>
        </w:rPr>
        <w:t>8</w:t>
      </w:r>
      <w:r w:rsidRPr="00B07597">
        <w:t> and adults</w:t>
      </w:r>
      <w:bookmarkStart w:id="10" w:name="bbib9"/>
      <w:r w:rsidRPr="00B07597">
        <w:rPr>
          <w:vertAlign w:val="superscript"/>
        </w:rPr>
        <w:t>9</w:t>
      </w:r>
      <w:bookmarkEnd w:id="10"/>
      <w:r w:rsidRPr="00B07597">
        <w:t> respond favorably and maintain gains up to 6 and 10 months, respectively, but no PTD treatment studies, psychotherapy or medication, have prospectively followed participants beyond 12 months to assess treatment durability. Furthermore, studies that have followed youth with PTDs over time have typically relied on retrospective chart review and/or self-report measures</w:t>
      </w:r>
      <w:bookmarkStart w:id="11" w:name="bbib10"/>
      <w:r w:rsidRPr="00B07597">
        <w:rPr>
          <w:vertAlign w:val="superscript"/>
        </w:rPr>
        <w:t>10</w:t>
      </w:r>
      <w:bookmarkEnd w:id="11"/>
      <w:r w:rsidRPr="00B07597">
        <w:t> instead of structured clinical interviews conducted by treatment-masked evaluators. Given that a significant proportion of youth with PTDs continue to experience tics into adulthood,</w:t>
      </w:r>
      <w:bookmarkStart w:id="12" w:name="bbib11"/>
      <w:r w:rsidRPr="00B07597">
        <w:rPr>
          <w:vertAlign w:val="superscript"/>
        </w:rPr>
        <w:t>11</w:t>
      </w:r>
      <w:bookmarkEnd w:id="12"/>
      <w:r w:rsidRPr="00B07597">
        <w:t> more research is needed to determine whether and how early intervention via CBIT might alter or influence tic severity over the lifespan. The purpose of the current study was to reassess youth who participated in the largest randomized controlled trial of CBIT in youth</w:t>
      </w:r>
      <w:r w:rsidRPr="00B07597">
        <w:rPr>
          <w:vertAlign w:val="superscript"/>
        </w:rPr>
        <w:t>8</w:t>
      </w:r>
      <w:r w:rsidRPr="00B07597">
        <w:t> both to characterize the long-term tic severity outcomes from childhood to adulthood, and to determine the influence of early successful behavioral management on the long-term course of PTDs.</w:t>
      </w:r>
    </w:p>
    <w:p w14:paraId="7C299951" w14:textId="77777777" w:rsidR="00B07597" w:rsidRPr="00B07597" w:rsidRDefault="00B07597" w:rsidP="00B07597">
      <w:pPr>
        <w:pStyle w:val="Heading1"/>
      </w:pPr>
      <w:r w:rsidRPr="00B07597">
        <w:t>Method</w:t>
      </w:r>
    </w:p>
    <w:p w14:paraId="62EBA944" w14:textId="77777777" w:rsidR="00B07597" w:rsidRPr="00B07597" w:rsidRDefault="00B07597" w:rsidP="00B07597">
      <w:pPr>
        <w:pStyle w:val="Heading2"/>
      </w:pPr>
      <w:r w:rsidRPr="00B07597">
        <w:t>Participants</w:t>
      </w:r>
    </w:p>
    <w:p w14:paraId="05C984D3" w14:textId="7A39C18F" w:rsidR="00B07597" w:rsidRPr="00B07597" w:rsidRDefault="00B07597" w:rsidP="00B07597">
      <w:r w:rsidRPr="00B07597">
        <w:t xml:space="preserve">All 126 participants in the initial CBIT randomized clinical trial were eligible to participate. A total of 80 individuals (63.4%) completed the long-term follow-up (LTF) assessment a mean of 11.17 years after completing acute study treatment (SD = 1.25 years). </w:t>
      </w:r>
      <w:proofErr w:type="gramStart"/>
      <w:r w:rsidRPr="00B07597">
        <w:t>A Sixteen individuals (12.7%)</w:t>
      </w:r>
      <w:proofErr w:type="gramEnd"/>
      <w:r w:rsidRPr="00B07597">
        <w:t xml:space="preserve"> were contacted but declined to participate, and 30 individuals (23.8%) were lost to follow-up. There were no significant differences at pretreatment baseline between participants who completed the LTF assessment, those who declined to participate, and those lost to follow-up in terms of demographics, psychiatric comorbidity, treatment assignment, clinical severity, tic severity, impairment, or medication status (</w:t>
      </w:r>
      <w:bookmarkStart w:id="13" w:name="btbl1"/>
      <w:r w:rsidRPr="00B07597">
        <w:t>Table 1</w:t>
      </w:r>
      <w:bookmarkEnd w:id="13"/>
      <w:r w:rsidRPr="00B07597">
        <w:t>).</w:t>
      </w:r>
    </w:p>
    <w:p w14:paraId="1EF95471" w14:textId="77777777" w:rsidR="00B07597" w:rsidRPr="00B07597" w:rsidRDefault="00B07597" w:rsidP="007A09AE">
      <w:pPr>
        <w:spacing w:after="0"/>
      </w:pPr>
      <w:r w:rsidRPr="00B07597">
        <w:t>Table 1. Initial Characteristics of Participants Who Did and Did Not Complete the Long-term Follow-up Assessment (N = 126)</w:t>
      </w:r>
    </w:p>
    <w:tbl>
      <w:tblPr>
        <w:tblStyle w:val="TableGrid"/>
        <w:tblW w:w="0" w:type="auto"/>
        <w:tblLook w:val="04A0" w:firstRow="1" w:lastRow="0" w:firstColumn="1" w:lastColumn="0" w:noHBand="0" w:noVBand="1"/>
      </w:tblPr>
      <w:tblGrid>
        <w:gridCol w:w="2425"/>
        <w:gridCol w:w="2430"/>
        <w:gridCol w:w="2340"/>
        <w:gridCol w:w="1773"/>
        <w:gridCol w:w="607"/>
        <w:gridCol w:w="495"/>
      </w:tblGrid>
      <w:tr w:rsidR="00B07597" w:rsidRPr="00C92D5F" w14:paraId="1CCBDB86" w14:textId="77777777" w:rsidTr="00C92D5F">
        <w:tc>
          <w:tcPr>
            <w:tcW w:w="2425" w:type="dxa"/>
            <w:hideMark/>
          </w:tcPr>
          <w:p w14:paraId="5E2938F5" w14:textId="506B07C8" w:rsidR="00B07597" w:rsidRPr="00C92D5F" w:rsidRDefault="00B07597" w:rsidP="007A09AE">
            <w:pPr>
              <w:spacing w:line="259" w:lineRule="auto"/>
              <w:rPr>
                <w:b/>
                <w:bCs/>
              </w:rPr>
            </w:pPr>
          </w:p>
        </w:tc>
        <w:tc>
          <w:tcPr>
            <w:tcW w:w="2430" w:type="dxa"/>
            <w:hideMark/>
          </w:tcPr>
          <w:p w14:paraId="6E7AFAE6" w14:textId="77777777" w:rsidR="00B07597" w:rsidRPr="00C92D5F" w:rsidRDefault="00B07597" w:rsidP="007A09AE">
            <w:pPr>
              <w:spacing w:line="259" w:lineRule="auto"/>
              <w:rPr>
                <w:b/>
                <w:bCs/>
              </w:rPr>
            </w:pPr>
            <w:r w:rsidRPr="00C92D5F">
              <w:rPr>
                <w:b/>
                <w:bCs/>
              </w:rPr>
              <w:t>Long-term follow-up (n = 80)</w:t>
            </w:r>
          </w:p>
        </w:tc>
        <w:tc>
          <w:tcPr>
            <w:tcW w:w="2340" w:type="dxa"/>
            <w:hideMark/>
          </w:tcPr>
          <w:p w14:paraId="7EF838F8" w14:textId="77777777" w:rsidR="00B07597" w:rsidRPr="00C92D5F" w:rsidRDefault="00B07597" w:rsidP="007A09AE">
            <w:pPr>
              <w:spacing w:line="259" w:lineRule="auto"/>
              <w:rPr>
                <w:b/>
                <w:bCs/>
              </w:rPr>
            </w:pPr>
            <w:r w:rsidRPr="00C92D5F">
              <w:rPr>
                <w:b/>
                <w:bCs/>
              </w:rPr>
              <w:t>Declined to participate (n = 16)</w:t>
            </w:r>
          </w:p>
        </w:tc>
        <w:tc>
          <w:tcPr>
            <w:tcW w:w="1773" w:type="dxa"/>
            <w:hideMark/>
          </w:tcPr>
          <w:p w14:paraId="13AE8632" w14:textId="77777777" w:rsidR="00B07597" w:rsidRPr="00C92D5F" w:rsidRDefault="00B07597" w:rsidP="007A09AE">
            <w:pPr>
              <w:spacing w:line="259" w:lineRule="auto"/>
              <w:rPr>
                <w:b/>
                <w:bCs/>
              </w:rPr>
            </w:pPr>
            <w:r w:rsidRPr="00C92D5F">
              <w:rPr>
                <w:b/>
                <w:bCs/>
              </w:rPr>
              <w:t>Lost to follow-up (n = 30)</w:t>
            </w:r>
          </w:p>
        </w:tc>
        <w:tc>
          <w:tcPr>
            <w:tcW w:w="0" w:type="auto"/>
            <w:hideMark/>
          </w:tcPr>
          <w:p w14:paraId="295EE8A2" w14:textId="77777777" w:rsidR="00B07597" w:rsidRPr="00C92D5F" w:rsidRDefault="00B07597" w:rsidP="007A09AE">
            <w:pPr>
              <w:spacing w:line="259" w:lineRule="auto"/>
              <w:rPr>
                <w:b/>
                <w:bCs/>
              </w:rPr>
            </w:pPr>
            <w:r w:rsidRPr="00C92D5F">
              <w:rPr>
                <w:b/>
                <w:bCs/>
              </w:rPr>
              <w:t>χ</w:t>
            </w:r>
            <w:r w:rsidRPr="00C92D5F">
              <w:rPr>
                <w:b/>
                <w:bCs/>
                <w:vertAlign w:val="superscript"/>
              </w:rPr>
              <w:t>2</w:t>
            </w:r>
          </w:p>
        </w:tc>
        <w:tc>
          <w:tcPr>
            <w:tcW w:w="0" w:type="auto"/>
            <w:hideMark/>
          </w:tcPr>
          <w:p w14:paraId="390F58BB" w14:textId="77777777" w:rsidR="00B07597" w:rsidRPr="00C92D5F" w:rsidRDefault="00B07597" w:rsidP="007A09AE">
            <w:pPr>
              <w:spacing w:line="259" w:lineRule="auto"/>
              <w:rPr>
                <w:b/>
                <w:bCs/>
              </w:rPr>
            </w:pPr>
            <w:r w:rsidRPr="00C92D5F">
              <w:rPr>
                <w:b/>
                <w:bCs/>
                <w:i/>
                <w:iCs/>
              </w:rPr>
              <w:t>p</w:t>
            </w:r>
          </w:p>
        </w:tc>
      </w:tr>
      <w:tr w:rsidR="00B07597" w:rsidRPr="00B07597" w14:paraId="4E952AB1" w14:textId="77777777" w:rsidTr="00C92D5F">
        <w:tc>
          <w:tcPr>
            <w:tcW w:w="2425" w:type="dxa"/>
            <w:hideMark/>
          </w:tcPr>
          <w:p w14:paraId="53B15222" w14:textId="77777777" w:rsidR="00B07597" w:rsidRPr="00B07597" w:rsidRDefault="00B07597" w:rsidP="007A09AE">
            <w:pPr>
              <w:spacing w:line="259" w:lineRule="auto"/>
            </w:pPr>
          </w:p>
        </w:tc>
        <w:tc>
          <w:tcPr>
            <w:tcW w:w="2430" w:type="dxa"/>
            <w:hideMark/>
          </w:tcPr>
          <w:p w14:paraId="54A8D3DE" w14:textId="77777777" w:rsidR="00B07597" w:rsidRPr="00B07597" w:rsidRDefault="00B07597" w:rsidP="007A09AE">
            <w:pPr>
              <w:spacing w:line="259" w:lineRule="auto"/>
              <w:rPr>
                <w:b/>
                <w:bCs/>
              </w:rPr>
            </w:pPr>
            <w:r w:rsidRPr="00B07597">
              <w:rPr>
                <w:b/>
                <w:bCs/>
              </w:rPr>
              <w:t>n (%)</w:t>
            </w:r>
          </w:p>
        </w:tc>
        <w:tc>
          <w:tcPr>
            <w:tcW w:w="2340" w:type="dxa"/>
            <w:hideMark/>
          </w:tcPr>
          <w:p w14:paraId="6BD4CC9A" w14:textId="77777777" w:rsidR="00B07597" w:rsidRPr="00B07597" w:rsidRDefault="00B07597" w:rsidP="007A09AE">
            <w:pPr>
              <w:spacing w:line="259" w:lineRule="auto"/>
              <w:rPr>
                <w:b/>
                <w:bCs/>
              </w:rPr>
            </w:pPr>
            <w:r w:rsidRPr="00B07597">
              <w:rPr>
                <w:b/>
                <w:bCs/>
              </w:rPr>
              <w:t>n (%)</w:t>
            </w:r>
          </w:p>
        </w:tc>
        <w:tc>
          <w:tcPr>
            <w:tcW w:w="1773" w:type="dxa"/>
            <w:hideMark/>
          </w:tcPr>
          <w:p w14:paraId="5DBA31CB" w14:textId="77777777" w:rsidR="00B07597" w:rsidRPr="00B07597" w:rsidRDefault="00B07597" w:rsidP="007A09AE">
            <w:pPr>
              <w:spacing w:line="259" w:lineRule="auto"/>
              <w:rPr>
                <w:b/>
                <w:bCs/>
              </w:rPr>
            </w:pPr>
            <w:r w:rsidRPr="00B07597">
              <w:rPr>
                <w:b/>
                <w:bCs/>
              </w:rPr>
              <w:t>n (%)</w:t>
            </w:r>
          </w:p>
        </w:tc>
        <w:tc>
          <w:tcPr>
            <w:tcW w:w="0" w:type="auto"/>
            <w:hideMark/>
          </w:tcPr>
          <w:p w14:paraId="4B1530B5" w14:textId="77777777" w:rsidR="00B07597" w:rsidRPr="00B07597" w:rsidRDefault="00B07597" w:rsidP="007A09AE">
            <w:pPr>
              <w:spacing w:line="259" w:lineRule="auto"/>
              <w:rPr>
                <w:b/>
                <w:bCs/>
              </w:rPr>
            </w:pPr>
          </w:p>
        </w:tc>
        <w:tc>
          <w:tcPr>
            <w:tcW w:w="0" w:type="auto"/>
            <w:hideMark/>
          </w:tcPr>
          <w:p w14:paraId="06FA622E" w14:textId="77777777" w:rsidR="00B07597" w:rsidRPr="00B07597" w:rsidRDefault="00B07597" w:rsidP="007A09AE">
            <w:pPr>
              <w:spacing w:line="259" w:lineRule="auto"/>
              <w:rPr>
                <w:b/>
                <w:bCs/>
              </w:rPr>
            </w:pPr>
          </w:p>
        </w:tc>
      </w:tr>
      <w:tr w:rsidR="00B07597" w:rsidRPr="00B07597" w14:paraId="4C8A8F08" w14:textId="77777777" w:rsidTr="00C92D5F">
        <w:tc>
          <w:tcPr>
            <w:tcW w:w="2425" w:type="dxa"/>
            <w:hideMark/>
          </w:tcPr>
          <w:p w14:paraId="4B93BA0B" w14:textId="77777777" w:rsidR="00B07597" w:rsidRPr="00B07597" w:rsidRDefault="00B07597" w:rsidP="007A09AE">
            <w:pPr>
              <w:spacing w:line="259" w:lineRule="auto"/>
            </w:pPr>
            <w:r w:rsidRPr="00B07597">
              <w:t>% White</w:t>
            </w:r>
          </w:p>
        </w:tc>
        <w:tc>
          <w:tcPr>
            <w:tcW w:w="2430" w:type="dxa"/>
            <w:hideMark/>
          </w:tcPr>
          <w:p w14:paraId="7D55077E" w14:textId="77777777" w:rsidR="00B07597" w:rsidRPr="00B07597" w:rsidRDefault="00B07597" w:rsidP="007A09AE">
            <w:pPr>
              <w:spacing w:line="259" w:lineRule="auto"/>
            </w:pPr>
            <w:r w:rsidRPr="00B07597">
              <w:t>69 (86.3)</w:t>
            </w:r>
          </w:p>
        </w:tc>
        <w:tc>
          <w:tcPr>
            <w:tcW w:w="2340" w:type="dxa"/>
            <w:hideMark/>
          </w:tcPr>
          <w:p w14:paraId="420D6243" w14:textId="77777777" w:rsidR="00B07597" w:rsidRPr="00B07597" w:rsidRDefault="00B07597" w:rsidP="007A09AE">
            <w:pPr>
              <w:spacing w:line="259" w:lineRule="auto"/>
            </w:pPr>
            <w:r w:rsidRPr="00B07597">
              <w:t>13 (81.3)</w:t>
            </w:r>
          </w:p>
        </w:tc>
        <w:tc>
          <w:tcPr>
            <w:tcW w:w="1773" w:type="dxa"/>
            <w:hideMark/>
          </w:tcPr>
          <w:p w14:paraId="167F76FD" w14:textId="77777777" w:rsidR="00B07597" w:rsidRPr="00B07597" w:rsidRDefault="00B07597" w:rsidP="007A09AE">
            <w:pPr>
              <w:spacing w:line="259" w:lineRule="auto"/>
            </w:pPr>
            <w:r w:rsidRPr="00B07597">
              <w:t>25 (83.3)</w:t>
            </w:r>
          </w:p>
        </w:tc>
        <w:tc>
          <w:tcPr>
            <w:tcW w:w="0" w:type="auto"/>
            <w:hideMark/>
          </w:tcPr>
          <w:p w14:paraId="330488CD" w14:textId="77777777" w:rsidR="00B07597" w:rsidRPr="00B07597" w:rsidRDefault="00B07597" w:rsidP="007A09AE">
            <w:pPr>
              <w:spacing w:line="259" w:lineRule="auto"/>
            </w:pPr>
            <w:r w:rsidRPr="00B07597">
              <w:t>0.34</w:t>
            </w:r>
          </w:p>
        </w:tc>
        <w:tc>
          <w:tcPr>
            <w:tcW w:w="0" w:type="auto"/>
            <w:hideMark/>
          </w:tcPr>
          <w:p w14:paraId="5000DF7D" w14:textId="77777777" w:rsidR="00B07597" w:rsidRPr="00B07597" w:rsidRDefault="00B07597" w:rsidP="007A09AE">
            <w:pPr>
              <w:spacing w:line="259" w:lineRule="auto"/>
            </w:pPr>
            <w:r w:rsidRPr="00B07597">
              <w:t>.85</w:t>
            </w:r>
          </w:p>
        </w:tc>
      </w:tr>
      <w:tr w:rsidR="00B07597" w:rsidRPr="00B07597" w14:paraId="46767C26" w14:textId="77777777" w:rsidTr="00C92D5F">
        <w:tc>
          <w:tcPr>
            <w:tcW w:w="2425" w:type="dxa"/>
            <w:hideMark/>
          </w:tcPr>
          <w:p w14:paraId="7A9E10D3" w14:textId="77777777" w:rsidR="00B07597" w:rsidRPr="00B07597" w:rsidRDefault="00B07597" w:rsidP="007A09AE">
            <w:pPr>
              <w:spacing w:line="259" w:lineRule="auto"/>
            </w:pPr>
            <w:r w:rsidRPr="00B07597">
              <w:t>% Male</w:t>
            </w:r>
          </w:p>
        </w:tc>
        <w:tc>
          <w:tcPr>
            <w:tcW w:w="2430" w:type="dxa"/>
            <w:hideMark/>
          </w:tcPr>
          <w:p w14:paraId="1CF87693" w14:textId="77777777" w:rsidR="00B07597" w:rsidRPr="00B07597" w:rsidRDefault="00B07597" w:rsidP="007A09AE">
            <w:pPr>
              <w:spacing w:line="259" w:lineRule="auto"/>
            </w:pPr>
            <w:r w:rsidRPr="00B07597">
              <w:t>60 (75)</w:t>
            </w:r>
          </w:p>
        </w:tc>
        <w:tc>
          <w:tcPr>
            <w:tcW w:w="2340" w:type="dxa"/>
            <w:hideMark/>
          </w:tcPr>
          <w:p w14:paraId="02E9AC10" w14:textId="77777777" w:rsidR="00B07597" w:rsidRPr="00B07597" w:rsidRDefault="00B07597" w:rsidP="007A09AE">
            <w:pPr>
              <w:spacing w:line="259" w:lineRule="auto"/>
            </w:pPr>
            <w:r w:rsidRPr="00B07597">
              <w:t>15 (94)</w:t>
            </w:r>
          </w:p>
        </w:tc>
        <w:tc>
          <w:tcPr>
            <w:tcW w:w="1773" w:type="dxa"/>
            <w:hideMark/>
          </w:tcPr>
          <w:p w14:paraId="597AA04D" w14:textId="77777777" w:rsidR="00B07597" w:rsidRPr="00B07597" w:rsidRDefault="00B07597" w:rsidP="007A09AE">
            <w:pPr>
              <w:spacing w:line="259" w:lineRule="auto"/>
            </w:pPr>
            <w:r w:rsidRPr="00B07597">
              <w:t>24 (80)</w:t>
            </w:r>
          </w:p>
        </w:tc>
        <w:tc>
          <w:tcPr>
            <w:tcW w:w="0" w:type="auto"/>
            <w:hideMark/>
          </w:tcPr>
          <w:p w14:paraId="5064968C" w14:textId="77777777" w:rsidR="00B07597" w:rsidRPr="00B07597" w:rsidRDefault="00B07597" w:rsidP="007A09AE">
            <w:pPr>
              <w:spacing w:line="259" w:lineRule="auto"/>
            </w:pPr>
            <w:r w:rsidRPr="00B07597">
              <w:t>2.83</w:t>
            </w:r>
          </w:p>
        </w:tc>
        <w:tc>
          <w:tcPr>
            <w:tcW w:w="0" w:type="auto"/>
            <w:hideMark/>
          </w:tcPr>
          <w:p w14:paraId="3DF04AE8" w14:textId="77777777" w:rsidR="00B07597" w:rsidRPr="00B07597" w:rsidRDefault="00B07597" w:rsidP="007A09AE">
            <w:pPr>
              <w:spacing w:line="259" w:lineRule="auto"/>
            </w:pPr>
            <w:r w:rsidRPr="00B07597">
              <w:t>.24</w:t>
            </w:r>
          </w:p>
        </w:tc>
      </w:tr>
      <w:tr w:rsidR="00B07597" w:rsidRPr="00B07597" w14:paraId="6DE47075" w14:textId="77777777" w:rsidTr="00C92D5F">
        <w:tc>
          <w:tcPr>
            <w:tcW w:w="2425" w:type="dxa"/>
            <w:hideMark/>
          </w:tcPr>
          <w:p w14:paraId="4A859DCA" w14:textId="6F80C824" w:rsidR="00B07597" w:rsidRPr="00B07597" w:rsidRDefault="00B07597" w:rsidP="007A09AE">
            <w:pPr>
              <w:spacing w:line="259" w:lineRule="auto"/>
            </w:pPr>
            <w:r w:rsidRPr="00B07597">
              <w:t xml:space="preserve">% </w:t>
            </w:r>
            <w:proofErr w:type="gramStart"/>
            <w:r w:rsidRPr="00B07597">
              <w:t>on</w:t>
            </w:r>
            <w:proofErr w:type="gramEnd"/>
            <w:r w:rsidRPr="00B07597">
              <w:t xml:space="preserve"> a Tic </w:t>
            </w:r>
            <w:proofErr w:type="spellStart"/>
            <w:r w:rsidRPr="00B07597">
              <w:t>medication</w:t>
            </w:r>
            <w:bookmarkStart w:id="14" w:name="btbl1fna"/>
            <w:r w:rsidRPr="00B07597">
              <w:rPr>
                <w:vertAlign w:val="superscript"/>
              </w:rPr>
              <w:t>a</w:t>
            </w:r>
            <w:bookmarkEnd w:id="14"/>
            <w:proofErr w:type="spellEnd"/>
          </w:p>
        </w:tc>
        <w:tc>
          <w:tcPr>
            <w:tcW w:w="2430" w:type="dxa"/>
            <w:hideMark/>
          </w:tcPr>
          <w:p w14:paraId="03031C03" w14:textId="77777777" w:rsidR="00B07597" w:rsidRPr="00B07597" w:rsidRDefault="00B07597" w:rsidP="007A09AE">
            <w:pPr>
              <w:spacing w:line="259" w:lineRule="auto"/>
            </w:pPr>
            <w:r w:rsidRPr="00B07597">
              <w:t>29 (36.3)</w:t>
            </w:r>
          </w:p>
        </w:tc>
        <w:tc>
          <w:tcPr>
            <w:tcW w:w="2340" w:type="dxa"/>
            <w:hideMark/>
          </w:tcPr>
          <w:p w14:paraId="29565976" w14:textId="77777777" w:rsidR="00B07597" w:rsidRPr="00B07597" w:rsidRDefault="00B07597" w:rsidP="007A09AE">
            <w:pPr>
              <w:spacing w:line="259" w:lineRule="auto"/>
            </w:pPr>
            <w:r w:rsidRPr="00B07597">
              <w:t>6 (37.5)</w:t>
            </w:r>
          </w:p>
        </w:tc>
        <w:tc>
          <w:tcPr>
            <w:tcW w:w="1773" w:type="dxa"/>
            <w:hideMark/>
          </w:tcPr>
          <w:p w14:paraId="70B2CA73" w14:textId="77777777" w:rsidR="00B07597" w:rsidRPr="00B07597" w:rsidRDefault="00B07597" w:rsidP="007A09AE">
            <w:pPr>
              <w:spacing w:line="259" w:lineRule="auto"/>
            </w:pPr>
            <w:r w:rsidRPr="00B07597">
              <w:t>11 (36.6)</w:t>
            </w:r>
          </w:p>
        </w:tc>
        <w:tc>
          <w:tcPr>
            <w:tcW w:w="0" w:type="auto"/>
            <w:hideMark/>
          </w:tcPr>
          <w:p w14:paraId="160D92AB" w14:textId="77777777" w:rsidR="00B07597" w:rsidRPr="00B07597" w:rsidRDefault="00B07597" w:rsidP="007A09AE">
            <w:pPr>
              <w:spacing w:line="259" w:lineRule="auto"/>
            </w:pPr>
            <w:r w:rsidRPr="00B07597">
              <w:t>0.01</w:t>
            </w:r>
          </w:p>
        </w:tc>
        <w:tc>
          <w:tcPr>
            <w:tcW w:w="0" w:type="auto"/>
            <w:hideMark/>
          </w:tcPr>
          <w:p w14:paraId="21C06B63" w14:textId="77777777" w:rsidR="00B07597" w:rsidRPr="00B07597" w:rsidRDefault="00B07597" w:rsidP="007A09AE">
            <w:pPr>
              <w:spacing w:line="259" w:lineRule="auto"/>
            </w:pPr>
            <w:r w:rsidRPr="00B07597">
              <w:t>.99</w:t>
            </w:r>
          </w:p>
        </w:tc>
      </w:tr>
      <w:tr w:rsidR="00B07597" w:rsidRPr="00B07597" w14:paraId="5D484EED" w14:textId="77777777" w:rsidTr="00C92D5F">
        <w:tc>
          <w:tcPr>
            <w:tcW w:w="2425" w:type="dxa"/>
            <w:hideMark/>
          </w:tcPr>
          <w:p w14:paraId="6FBB1AE2" w14:textId="77777777" w:rsidR="00B07597" w:rsidRPr="00B07597" w:rsidRDefault="00B07597" w:rsidP="007A09AE">
            <w:pPr>
              <w:spacing w:line="259" w:lineRule="auto"/>
            </w:pPr>
            <w:r w:rsidRPr="00B07597">
              <w:t>% Assigned to CBIT</w:t>
            </w:r>
          </w:p>
        </w:tc>
        <w:tc>
          <w:tcPr>
            <w:tcW w:w="2430" w:type="dxa"/>
            <w:hideMark/>
          </w:tcPr>
          <w:p w14:paraId="78033CF8" w14:textId="77777777" w:rsidR="00B07597" w:rsidRPr="00B07597" w:rsidRDefault="00B07597" w:rsidP="007A09AE">
            <w:pPr>
              <w:spacing w:line="259" w:lineRule="auto"/>
            </w:pPr>
            <w:r w:rsidRPr="00B07597">
              <w:t>38 (47.5)</w:t>
            </w:r>
          </w:p>
        </w:tc>
        <w:tc>
          <w:tcPr>
            <w:tcW w:w="2340" w:type="dxa"/>
            <w:hideMark/>
          </w:tcPr>
          <w:p w14:paraId="2F46F373" w14:textId="77777777" w:rsidR="00B07597" w:rsidRPr="00B07597" w:rsidRDefault="00B07597" w:rsidP="007A09AE">
            <w:pPr>
              <w:spacing w:line="259" w:lineRule="auto"/>
            </w:pPr>
            <w:r w:rsidRPr="00B07597">
              <w:t>9 (56.3)</w:t>
            </w:r>
          </w:p>
        </w:tc>
        <w:tc>
          <w:tcPr>
            <w:tcW w:w="1773" w:type="dxa"/>
            <w:hideMark/>
          </w:tcPr>
          <w:p w14:paraId="4FF65845" w14:textId="77777777" w:rsidR="00B07597" w:rsidRPr="00B07597" w:rsidRDefault="00B07597" w:rsidP="007A09AE">
            <w:pPr>
              <w:spacing w:line="259" w:lineRule="auto"/>
            </w:pPr>
            <w:r w:rsidRPr="00B07597">
              <w:t>14 (46.6)</w:t>
            </w:r>
          </w:p>
        </w:tc>
        <w:tc>
          <w:tcPr>
            <w:tcW w:w="0" w:type="auto"/>
            <w:hideMark/>
          </w:tcPr>
          <w:p w14:paraId="38A53292" w14:textId="77777777" w:rsidR="00B07597" w:rsidRPr="00B07597" w:rsidRDefault="00B07597" w:rsidP="007A09AE">
            <w:pPr>
              <w:spacing w:line="259" w:lineRule="auto"/>
            </w:pPr>
            <w:r w:rsidRPr="00B07597">
              <w:t>0.46</w:t>
            </w:r>
          </w:p>
        </w:tc>
        <w:tc>
          <w:tcPr>
            <w:tcW w:w="0" w:type="auto"/>
            <w:hideMark/>
          </w:tcPr>
          <w:p w14:paraId="3491ED45" w14:textId="77777777" w:rsidR="00B07597" w:rsidRPr="00B07597" w:rsidRDefault="00B07597" w:rsidP="007A09AE">
            <w:pPr>
              <w:spacing w:line="259" w:lineRule="auto"/>
            </w:pPr>
            <w:r w:rsidRPr="00B07597">
              <w:t>.80</w:t>
            </w:r>
          </w:p>
        </w:tc>
      </w:tr>
      <w:tr w:rsidR="00B07597" w:rsidRPr="00B07597" w14:paraId="1413677E" w14:textId="77777777" w:rsidTr="00C92D5F">
        <w:tc>
          <w:tcPr>
            <w:tcW w:w="2425" w:type="dxa"/>
            <w:hideMark/>
          </w:tcPr>
          <w:p w14:paraId="3A08B24A" w14:textId="77777777" w:rsidR="00B07597" w:rsidRPr="00B07597" w:rsidRDefault="00B07597" w:rsidP="007A09AE">
            <w:pPr>
              <w:spacing w:line="259" w:lineRule="auto"/>
            </w:pPr>
            <w:r w:rsidRPr="00B07597">
              <w:t>% OCD</w:t>
            </w:r>
          </w:p>
        </w:tc>
        <w:tc>
          <w:tcPr>
            <w:tcW w:w="2430" w:type="dxa"/>
            <w:hideMark/>
          </w:tcPr>
          <w:p w14:paraId="7AAC92B4" w14:textId="77777777" w:rsidR="00B07597" w:rsidRPr="00B07597" w:rsidRDefault="00B07597" w:rsidP="007A09AE">
            <w:pPr>
              <w:spacing w:line="259" w:lineRule="auto"/>
            </w:pPr>
            <w:r w:rsidRPr="00B07597">
              <w:t>15 (18.8)</w:t>
            </w:r>
          </w:p>
        </w:tc>
        <w:tc>
          <w:tcPr>
            <w:tcW w:w="2340" w:type="dxa"/>
            <w:hideMark/>
          </w:tcPr>
          <w:p w14:paraId="4984EAB7" w14:textId="77777777" w:rsidR="00B07597" w:rsidRPr="00B07597" w:rsidRDefault="00B07597" w:rsidP="007A09AE">
            <w:pPr>
              <w:spacing w:line="259" w:lineRule="auto"/>
            </w:pPr>
            <w:r w:rsidRPr="00B07597">
              <w:t>3 (18.8)</w:t>
            </w:r>
          </w:p>
        </w:tc>
        <w:tc>
          <w:tcPr>
            <w:tcW w:w="1773" w:type="dxa"/>
            <w:hideMark/>
          </w:tcPr>
          <w:p w14:paraId="0B2D5AE8" w14:textId="77777777" w:rsidR="00B07597" w:rsidRPr="00B07597" w:rsidRDefault="00B07597" w:rsidP="007A09AE">
            <w:pPr>
              <w:spacing w:line="259" w:lineRule="auto"/>
            </w:pPr>
            <w:r w:rsidRPr="00B07597">
              <w:t>6 (20)</w:t>
            </w:r>
          </w:p>
        </w:tc>
        <w:tc>
          <w:tcPr>
            <w:tcW w:w="0" w:type="auto"/>
            <w:hideMark/>
          </w:tcPr>
          <w:p w14:paraId="66052363" w14:textId="77777777" w:rsidR="00B07597" w:rsidRPr="00B07597" w:rsidRDefault="00B07597" w:rsidP="007A09AE">
            <w:pPr>
              <w:spacing w:line="259" w:lineRule="auto"/>
            </w:pPr>
            <w:r w:rsidRPr="00B07597">
              <w:t>0.30</w:t>
            </w:r>
          </w:p>
        </w:tc>
        <w:tc>
          <w:tcPr>
            <w:tcW w:w="0" w:type="auto"/>
            <w:hideMark/>
          </w:tcPr>
          <w:p w14:paraId="6E2B7423" w14:textId="77777777" w:rsidR="00B07597" w:rsidRPr="00B07597" w:rsidRDefault="00B07597" w:rsidP="007A09AE">
            <w:pPr>
              <w:spacing w:line="259" w:lineRule="auto"/>
            </w:pPr>
            <w:r w:rsidRPr="00B07597">
              <w:t>.86</w:t>
            </w:r>
          </w:p>
        </w:tc>
      </w:tr>
      <w:tr w:rsidR="00B07597" w:rsidRPr="00B07597" w14:paraId="764A03FD" w14:textId="77777777" w:rsidTr="00C92D5F">
        <w:tc>
          <w:tcPr>
            <w:tcW w:w="2425" w:type="dxa"/>
            <w:hideMark/>
          </w:tcPr>
          <w:p w14:paraId="4775FB27" w14:textId="77777777" w:rsidR="00B07597" w:rsidRPr="00B07597" w:rsidRDefault="00B07597" w:rsidP="007A09AE">
            <w:pPr>
              <w:spacing w:line="259" w:lineRule="auto"/>
            </w:pPr>
            <w:r w:rsidRPr="00B07597">
              <w:t>% ADHD</w:t>
            </w:r>
          </w:p>
        </w:tc>
        <w:tc>
          <w:tcPr>
            <w:tcW w:w="2430" w:type="dxa"/>
            <w:hideMark/>
          </w:tcPr>
          <w:p w14:paraId="1430F1B8" w14:textId="77777777" w:rsidR="00B07597" w:rsidRPr="00B07597" w:rsidRDefault="00B07597" w:rsidP="007A09AE">
            <w:pPr>
              <w:spacing w:line="259" w:lineRule="auto"/>
            </w:pPr>
            <w:r w:rsidRPr="00B07597">
              <w:t>19 (23.8)</w:t>
            </w:r>
          </w:p>
        </w:tc>
        <w:tc>
          <w:tcPr>
            <w:tcW w:w="2340" w:type="dxa"/>
            <w:hideMark/>
          </w:tcPr>
          <w:p w14:paraId="34B5DE8F" w14:textId="77777777" w:rsidR="00B07597" w:rsidRPr="00B07597" w:rsidRDefault="00B07597" w:rsidP="007A09AE">
            <w:pPr>
              <w:spacing w:line="259" w:lineRule="auto"/>
            </w:pPr>
            <w:r w:rsidRPr="00B07597">
              <w:t>4 (25)</w:t>
            </w:r>
          </w:p>
        </w:tc>
        <w:tc>
          <w:tcPr>
            <w:tcW w:w="1773" w:type="dxa"/>
            <w:hideMark/>
          </w:tcPr>
          <w:p w14:paraId="4027EF10" w14:textId="77777777" w:rsidR="00B07597" w:rsidRPr="00B07597" w:rsidRDefault="00B07597" w:rsidP="007A09AE">
            <w:pPr>
              <w:spacing w:line="259" w:lineRule="auto"/>
            </w:pPr>
            <w:r w:rsidRPr="00B07597">
              <w:t>10 (33.3)</w:t>
            </w:r>
          </w:p>
        </w:tc>
        <w:tc>
          <w:tcPr>
            <w:tcW w:w="0" w:type="auto"/>
            <w:hideMark/>
          </w:tcPr>
          <w:p w14:paraId="570B0DDB" w14:textId="77777777" w:rsidR="00B07597" w:rsidRPr="00B07597" w:rsidRDefault="00B07597" w:rsidP="007A09AE">
            <w:pPr>
              <w:spacing w:line="259" w:lineRule="auto"/>
            </w:pPr>
            <w:r w:rsidRPr="00B07597">
              <w:t>0.48</w:t>
            </w:r>
          </w:p>
        </w:tc>
        <w:tc>
          <w:tcPr>
            <w:tcW w:w="0" w:type="auto"/>
            <w:hideMark/>
          </w:tcPr>
          <w:p w14:paraId="5E1F6A9D" w14:textId="77777777" w:rsidR="00B07597" w:rsidRPr="00B07597" w:rsidRDefault="00B07597" w:rsidP="007A09AE">
            <w:pPr>
              <w:spacing w:line="259" w:lineRule="auto"/>
            </w:pPr>
            <w:r w:rsidRPr="00B07597">
              <w:t>.79</w:t>
            </w:r>
          </w:p>
        </w:tc>
      </w:tr>
    </w:tbl>
    <w:p w14:paraId="108803E3" w14:textId="77777777" w:rsidR="00B07597" w:rsidRPr="00B07597" w:rsidRDefault="00B07597" w:rsidP="00B07597">
      <w:pPr>
        <w:rPr>
          <w:vanish/>
        </w:rPr>
      </w:pPr>
    </w:p>
    <w:tbl>
      <w:tblPr>
        <w:tblStyle w:val="TableGrid"/>
        <w:tblW w:w="5000" w:type="pct"/>
        <w:tblLook w:val="04A0" w:firstRow="1" w:lastRow="0" w:firstColumn="1" w:lastColumn="0" w:noHBand="0" w:noVBand="1"/>
      </w:tblPr>
      <w:tblGrid>
        <w:gridCol w:w="4083"/>
        <w:gridCol w:w="1616"/>
        <w:gridCol w:w="1487"/>
        <w:gridCol w:w="1615"/>
        <w:gridCol w:w="699"/>
        <w:gridCol w:w="570"/>
      </w:tblGrid>
      <w:tr w:rsidR="00B07597" w:rsidRPr="00C92D5F" w14:paraId="3A3435F1" w14:textId="77777777" w:rsidTr="007A09AE">
        <w:tc>
          <w:tcPr>
            <w:tcW w:w="2027" w:type="pct"/>
            <w:hideMark/>
          </w:tcPr>
          <w:p w14:paraId="4D09E26C" w14:textId="5699414D" w:rsidR="00B07597" w:rsidRPr="00C92D5F" w:rsidRDefault="00B07597" w:rsidP="007A09AE">
            <w:pPr>
              <w:spacing w:line="259" w:lineRule="auto"/>
              <w:rPr>
                <w:b/>
                <w:bCs/>
              </w:rPr>
            </w:pPr>
          </w:p>
        </w:tc>
        <w:tc>
          <w:tcPr>
            <w:tcW w:w="802" w:type="pct"/>
            <w:hideMark/>
          </w:tcPr>
          <w:p w14:paraId="0F40239A" w14:textId="77777777" w:rsidR="00B07597" w:rsidRPr="00C92D5F" w:rsidRDefault="00B07597" w:rsidP="007A09AE">
            <w:pPr>
              <w:spacing w:line="259" w:lineRule="auto"/>
              <w:rPr>
                <w:b/>
                <w:bCs/>
              </w:rPr>
            </w:pPr>
            <w:r w:rsidRPr="00C92D5F">
              <w:rPr>
                <w:b/>
                <w:bCs/>
              </w:rPr>
              <w:t>Mean (SD)</w:t>
            </w:r>
          </w:p>
        </w:tc>
        <w:tc>
          <w:tcPr>
            <w:tcW w:w="738" w:type="pct"/>
            <w:hideMark/>
          </w:tcPr>
          <w:p w14:paraId="2AA280AC" w14:textId="77777777" w:rsidR="00B07597" w:rsidRPr="00C92D5F" w:rsidRDefault="00B07597" w:rsidP="007A09AE">
            <w:pPr>
              <w:spacing w:line="259" w:lineRule="auto"/>
              <w:rPr>
                <w:b/>
                <w:bCs/>
              </w:rPr>
            </w:pPr>
            <w:r w:rsidRPr="00C92D5F">
              <w:rPr>
                <w:b/>
                <w:bCs/>
              </w:rPr>
              <w:t>Mean (SD)</w:t>
            </w:r>
          </w:p>
        </w:tc>
        <w:tc>
          <w:tcPr>
            <w:tcW w:w="802" w:type="pct"/>
            <w:hideMark/>
          </w:tcPr>
          <w:p w14:paraId="372F0307" w14:textId="77777777" w:rsidR="00B07597" w:rsidRPr="00C92D5F" w:rsidRDefault="00B07597" w:rsidP="007A09AE">
            <w:pPr>
              <w:spacing w:line="259" w:lineRule="auto"/>
              <w:rPr>
                <w:b/>
                <w:bCs/>
              </w:rPr>
            </w:pPr>
            <w:r w:rsidRPr="00C92D5F">
              <w:rPr>
                <w:b/>
                <w:bCs/>
              </w:rPr>
              <w:t>Mean (SD)</w:t>
            </w:r>
          </w:p>
        </w:tc>
        <w:tc>
          <w:tcPr>
            <w:tcW w:w="347" w:type="pct"/>
            <w:hideMark/>
          </w:tcPr>
          <w:p w14:paraId="2193F465" w14:textId="77777777" w:rsidR="00B07597" w:rsidRPr="00C92D5F" w:rsidRDefault="00B07597" w:rsidP="007A09AE">
            <w:pPr>
              <w:spacing w:line="259" w:lineRule="auto"/>
              <w:rPr>
                <w:b/>
                <w:bCs/>
              </w:rPr>
            </w:pPr>
            <w:r w:rsidRPr="00C92D5F">
              <w:rPr>
                <w:b/>
                <w:bCs/>
                <w:i/>
                <w:iCs/>
              </w:rPr>
              <w:t>F</w:t>
            </w:r>
          </w:p>
        </w:tc>
        <w:tc>
          <w:tcPr>
            <w:tcW w:w="283" w:type="pct"/>
            <w:hideMark/>
          </w:tcPr>
          <w:p w14:paraId="441379CB" w14:textId="77777777" w:rsidR="00B07597" w:rsidRPr="00C92D5F" w:rsidRDefault="00B07597" w:rsidP="007A09AE">
            <w:pPr>
              <w:spacing w:line="259" w:lineRule="auto"/>
              <w:rPr>
                <w:b/>
                <w:bCs/>
              </w:rPr>
            </w:pPr>
            <w:r w:rsidRPr="00C92D5F">
              <w:rPr>
                <w:b/>
                <w:bCs/>
                <w:i/>
                <w:iCs/>
              </w:rPr>
              <w:t>p</w:t>
            </w:r>
          </w:p>
        </w:tc>
      </w:tr>
      <w:tr w:rsidR="00B07597" w:rsidRPr="00B07597" w14:paraId="3F03E2F6" w14:textId="77777777" w:rsidTr="007A09AE">
        <w:tc>
          <w:tcPr>
            <w:tcW w:w="2027" w:type="pct"/>
            <w:hideMark/>
          </w:tcPr>
          <w:p w14:paraId="00062630" w14:textId="77777777" w:rsidR="00B07597" w:rsidRPr="00B07597" w:rsidRDefault="00B07597" w:rsidP="007A09AE">
            <w:pPr>
              <w:spacing w:line="259" w:lineRule="auto"/>
            </w:pPr>
            <w:r w:rsidRPr="00B07597">
              <w:t>Age (y)</w:t>
            </w:r>
          </w:p>
        </w:tc>
        <w:tc>
          <w:tcPr>
            <w:tcW w:w="802" w:type="pct"/>
            <w:hideMark/>
          </w:tcPr>
          <w:p w14:paraId="06F3A56E" w14:textId="77777777" w:rsidR="00B07597" w:rsidRPr="00B07597" w:rsidRDefault="00B07597" w:rsidP="007A09AE">
            <w:pPr>
              <w:spacing w:line="259" w:lineRule="auto"/>
            </w:pPr>
            <w:r w:rsidRPr="00B07597">
              <w:t>11.61 (2.41)</w:t>
            </w:r>
          </w:p>
        </w:tc>
        <w:tc>
          <w:tcPr>
            <w:tcW w:w="738" w:type="pct"/>
            <w:hideMark/>
          </w:tcPr>
          <w:p w14:paraId="4C1E23F6" w14:textId="77777777" w:rsidR="00B07597" w:rsidRPr="00B07597" w:rsidRDefault="00B07597" w:rsidP="007A09AE">
            <w:pPr>
              <w:spacing w:line="259" w:lineRule="auto"/>
            </w:pPr>
            <w:r w:rsidRPr="00B07597">
              <w:t>11.84 (1.94)</w:t>
            </w:r>
          </w:p>
        </w:tc>
        <w:tc>
          <w:tcPr>
            <w:tcW w:w="802" w:type="pct"/>
            <w:hideMark/>
          </w:tcPr>
          <w:p w14:paraId="3B5661F0" w14:textId="77777777" w:rsidR="00B07597" w:rsidRPr="00B07597" w:rsidRDefault="00B07597" w:rsidP="007A09AE">
            <w:pPr>
              <w:spacing w:line="259" w:lineRule="auto"/>
            </w:pPr>
            <w:r w:rsidRPr="00B07597">
              <w:t>12.01 (2.31)</w:t>
            </w:r>
          </w:p>
        </w:tc>
        <w:tc>
          <w:tcPr>
            <w:tcW w:w="347" w:type="pct"/>
            <w:hideMark/>
          </w:tcPr>
          <w:p w14:paraId="7BF80615" w14:textId="77777777" w:rsidR="00B07597" w:rsidRPr="00B07597" w:rsidRDefault="00B07597" w:rsidP="007A09AE">
            <w:pPr>
              <w:spacing w:line="259" w:lineRule="auto"/>
            </w:pPr>
            <w:r w:rsidRPr="00B07597">
              <w:t>0.34</w:t>
            </w:r>
          </w:p>
        </w:tc>
        <w:tc>
          <w:tcPr>
            <w:tcW w:w="283" w:type="pct"/>
            <w:hideMark/>
          </w:tcPr>
          <w:p w14:paraId="750E41EC" w14:textId="77777777" w:rsidR="00B07597" w:rsidRPr="00B07597" w:rsidRDefault="00B07597" w:rsidP="007A09AE">
            <w:pPr>
              <w:spacing w:line="259" w:lineRule="auto"/>
            </w:pPr>
            <w:r w:rsidRPr="00B07597">
              <w:t>.71</w:t>
            </w:r>
          </w:p>
        </w:tc>
      </w:tr>
      <w:tr w:rsidR="00B07597" w:rsidRPr="00B07597" w14:paraId="4F306BDB" w14:textId="77777777" w:rsidTr="007A09AE">
        <w:tc>
          <w:tcPr>
            <w:tcW w:w="2027" w:type="pct"/>
            <w:hideMark/>
          </w:tcPr>
          <w:p w14:paraId="1326C452" w14:textId="77777777" w:rsidR="00B07597" w:rsidRPr="00B07597" w:rsidRDefault="00B07597" w:rsidP="007A09AE">
            <w:pPr>
              <w:spacing w:line="259" w:lineRule="auto"/>
            </w:pPr>
            <w:r w:rsidRPr="00B07597">
              <w:t>Baseline YGTSS Total Tic Score</w:t>
            </w:r>
          </w:p>
        </w:tc>
        <w:tc>
          <w:tcPr>
            <w:tcW w:w="802" w:type="pct"/>
            <w:hideMark/>
          </w:tcPr>
          <w:p w14:paraId="5146462B" w14:textId="77777777" w:rsidR="00B07597" w:rsidRPr="00B07597" w:rsidRDefault="00B07597" w:rsidP="007A09AE">
            <w:pPr>
              <w:spacing w:line="259" w:lineRule="auto"/>
            </w:pPr>
            <w:r w:rsidRPr="00B07597">
              <w:t>24.83 (5.88)</w:t>
            </w:r>
          </w:p>
        </w:tc>
        <w:tc>
          <w:tcPr>
            <w:tcW w:w="738" w:type="pct"/>
            <w:hideMark/>
          </w:tcPr>
          <w:p w14:paraId="0FFECB4C" w14:textId="77777777" w:rsidR="00B07597" w:rsidRPr="00B07597" w:rsidRDefault="00B07597" w:rsidP="007A09AE">
            <w:pPr>
              <w:spacing w:line="259" w:lineRule="auto"/>
            </w:pPr>
            <w:r w:rsidRPr="00B07597">
              <w:t>22.00 (3.29)</w:t>
            </w:r>
          </w:p>
        </w:tc>
        <w:tc>
          <w:tcPr>
            <w:tcW w:w="802" w:type="pct"/>
            <w:hideMark/>
          </w:tcPr>
          <w:p w14:paraId="3CC9D6C3" w14:textId="77777777" w:rsidR="00B07597" w:rsidRPr="00B07597" w:rsidRDefault="00B07597" w:rsidP="007A09AE">
            <w:pPr>
              <w:spacing w:line="259" w:lineRule="auto"/>
            </w:pPr>
            <w:r w:rsidRPr="00B07597">
              <w:t>25.63 (7.33)</w:t>
            </w:r>
          </w:p>
        </w:tc>
        <w:tc>
          <w:tcPr>
            <w:tcW w:w="347" w:type="pct"/>
            <w:hideMark/>
          </w:tcPr>
          <w:p w14:paraId="2640BA81" w14:textId="77777777" w:rsidR="00B07597" w:rsidRPr="00B07597" w:rsidRDefault="00B07597" w:rsidP="007A09AE">
            <w:pPr>
              <w:spacing w:line="259" w:lineRule="auto"/>
            </w:pPr>
            <w:r w:rsidRPr="00B07597">
              <w:t>1.99</w:t>
            </w:r>
          </w:p>
        </w:tc>
        <w:tc>
          <w:tcPr>
            <w:tcW w:w="283" w:type="pct"/>
            <w:hideMark/>
          </w:tcPr>
          <w:p w14:paraId="1C3F9B2A" w14:textId="77777777" w:rsidR="00B07597" w:rsidRPr="00B07597" w:rsidRDefault="00B07597" w:rsidP="007A09AE">
            <w:pPr>
              <w:spacing w:line="259" w:lineRule="auto"/>
            </w:pPr>
            <w:r w:rsidRPr="00B07597">
              <w:t>.14</w:t>
            </w:r>
          </w:p>
        </w:tc>
      </w:tr>
      <w:tr w:rsidR="00B07597" w:rsidRPr="00B07597" w14:paraId="57F21959" w14:textId="77777777" w:rsidTr="007A09AE">
        <w:tc>
          <w:tcPr>
            <w:tcW w:w="2027" w:type="pct"/>
            <w:hideMark/>
          </w:tcPr>
          <w:p w14:paraId="0FA682FC" w14:textId="77777777" w:rsidR="00B07597" w:rsidRPr="00B07597" w:rsidRDefault="00B07597" w:rsidP="007A09AE">
            <w:pPr>
              <w:spacing w:line="259" w:lineRule="auto"/>
            </w:pPr>
            <w:r w:rsidRPr="00B07597">
              <w:t>Baseline YGTSS Impairment</w:t>
            </w:r>
          </w:p>
        </w:tc>
        <w:tc>
          <w:tcPr>
            <w:tcW w:w="802" w:type="pct"/>
            <w:hideMark/>
          </w:tcPr>
          <w:p w14:paraId="01FBA989" w14:textId="77777777" w:rsidR="00B07597" w:rsidRPr="00B07597" w:rsidRDefault="00B07597" w:rsidP="007A09AE">
            <w:pPr>
              <w:spacing w:line="259" w:lineRule="auto"/>
            </w:pPr>
            <w:r w:rsidRPr="00B07597">
              <w:t>23.65 (8.25)</w:t>
            </w:r>
          </w:p>
        </w:tc>
        <w:tc>
          <w:tcPr>
            <w:tcW w:w="738" w:type="pct"/>
            <w:hideMark/>
          </w:tcPr>
          <w:p w14:paraId="2EA391C9" w14:textId="77777777" w:rsidR="00B07597" w:rsidRPr="00B07597" w:rsidRDefault="00B07597" w:rsidP="007A09AE">
            <w:pPr>
              <w:spacing w:line="259" w:lineRule="auto"/>
            </w:pPr>
            <w:r w:rsidRPr="00B07597">
              <w:t>21.81 (6.62)</w:t>
            </w:r>
          </w:p>
        </w:tc>
        <w:tc>
          <w:tcPr>
            <w:tcW w:w="802" w:type="pct"/>
            <w:hideMark/>
          </w:tcPr>
          <w:p w14:paraId="541C9B85" w14:textId="77777777" w:rsidR="00B07597" w:rsidRPr="00B07597" w:rsidRDefault="00B07597" w:rsidP="007A09AE">
            <w:pPr>
              <w:spacing w:line="259" w:lineRule="auto"/>
            </w:pPr>
            <w:r w:rsidRPr="00B07597">
              <w:t>24.63 (9.75)</w:t>
            </w:r>
          </w:p>
        </w:tc>
        <w:tc>
          <w:tcPr>
            <w:tcW w:w="347" w:type="pct"/>
            <w:hideMark/>
          </w:tcPr>
          <w:p w14:paraId="68872371" w14:textId="77777777" w:rsidR="00B07597" w:rsidRPr="00B07597" w:rsidRDefault="00B07597" w:rsidP="007A09AE">
            <w:pPr>
              <w:spacing w:line="259" w:lineRule="auto"/>
            </w:pPr>
            <w:r w:rsidRPr="00B07597">
              <w:t>0.58</w:t>
            </w:r>
          </w:p>
        </w:tc>
        <w:tc>
          <w:tcPr>
            <w:tcW w:w="283" w:type="pct"/>
            <w:hideMark/>
          </w:tcPr>
          <w:p w14:paraId="236795FF" w14:textId="77777777" w:rsidR="00B07597" w:rsidRPr="00B07597" w:rsidRDefault="00B07597" w:rsidP="007A09AE">
            <w:pPr>
              <w:spacing w:line="259" w:lineRule="auto"/>
            </w:pPr>
            <w:r w:rsidRPr="00B07597">
              <w:t>.56</w:t>
            </w:r>
          </w:p>
        </w:tc>
      </w:tr>
      <w:tr w:rsidR="00B07597" w:rsidRPr="00B07597" w14:paraId="31FC388B" w14:textId="77777777" w:rsidTr="007A09AE">
        <w:tc>
          <w:tcPr>
            <w:tcW w:w="2027" w:type="pct"/>
            <w:hideMark/>
          </w:tcPr>
          <w:p w14:paraId="7DC350A2" w14:textId="77777777" w:rsidR="00B07597" w:rsidRPr="00B07597" w:rsidRDefault="00B07597" w:rsidP="007A09AE">
            <w:pPr>
              <w:spacing w:line="259" w:lineRule="auto"/>
            </w:pPr>
            <w:r w:rsidRPr="00B07597">
              <w:t>Baseline CGI-S</w:t>
            </w:r>
          </w:p>
        </w:tc>
        <w:tc>
          <w:tcPr>
            <w:tcW w:w="802" w:type="pct"/>
            <w:hideMark/>
          </w:tcPr>
          <w:p w14:paraId="48F946DF" w14:textId="77777777" w:rsidR="00B07597" w:rsidRPr="00B07597" w:rsidRDefault="00B07597" w:rsidP="007A09AE">
            <w:pPr>
              <w:spacing w:line="259" w:lineRule="auto"/>
            </w:pPr>
            <w:r w:rsidRPr="00B07597">
              <w:t>4.44 (0.52)</w:t>
            </w:r>
          </w:p>
        </w:tc>
        <w:tc>
          <w:tcPr>
            <w:tcW w:w="738" w:type="pct"/>
            <w:hideMark/>
          </w:tcPr>
          <w:p w14:paraId="1E20A1C5" w14:textId="77777777" w:rsidR="00B07597" w:rsidRPr="00B07597" w:rsidRDefault="00B07597" w:rsidP="007A09AE">
            <w:pPr>
              <w:spacing w:line="259" w:lineRule="auto"/>
            </w:pPr>
            <w:r w:rsidRPr="00B07597">
              <w:t>4.19 (0.40)</w:t>
            </w:r>
          </w:p>
        </w:tc>
        <w:tc>
          <w:tcPr>
            <w:tcW w:w="802" w:type="pct"/>
            <w:hideMark/>
          </w:tcPr>
          <w:p w14:paraId="64EAC45A" w14:textId="77777777" w:rsidR="00B07597" w:rsidRPr="00B07597" w:rsidRDefault="00B07597" w:rsidP="007A09AE">
            <w:pPr>
              <w:spacing w:line="259" w:lineRule="auto"/>
            </w:pPr>
            <w:r w:rsidRPr="00B07597">
              <w:t>4.57 (0.68)</w:t>
            </w:r>
          </w:p>
        </w:tc>
        <w:tc>
          <w:tcPr>
            <w:tcW w:w="347" w:type="pct"/>
            <w:hideMark/>
          </w:tcPr>
          <w:p w14:paraId="1D7B9CF8" w14:textId="77777777" w:rsidR="00B07597" w:rsidRPr="00B07597" w:rsidRDefault="00B07597" w:rsidP="007A09AE">
            <w:pPr>
              <w:spacing w:line="259" w:lineRule="auto"/>
            </w:pPr>
            <w:r w:rsidRPr="00B07597">
              <w:t>2.46</w:t>
            </w:r>
          </w:p>
        </w:tc>
        <w:tc>
          <w:tcPr>
            <w:tcW w:w="283" w:type="pct"/>
            <w:hideMark/>
          </w:tcPr>
          <w:p w14:paraId="2A419BA1" w14:textId="77777777" w:rsidR="00B07597" w:rsidRPr="00B07597" w:rsidRDefault="00B07597" w:rsidP="007A09AE">
            <w:pPr>
              <w:spacing w:line="259" w:lineRule="auto"/>
            </w:pPr>
            <w:r w:rsidRPr="00B07597">
              <w:t>.09</w:t>
            </w:r>
          </w:p>
        </w:tc>
      </w:tr>
      <w:tr w:rsidR="00B07597" w:rsidRPr="00B07597" w14:paraId="3E8BCE86" w14:textId="77777777" w:rsidTr="007A09AE">
        <w:tc>
          <w:tcPr>
            <w:tcW w:w="2027" w:type="pct"/>
            <w:hideMark/>
          </w:tcPr>
          <w:p w14:paraId="34120A28" w14:textId="77777777" w:rsidR="00B07597" w:rsidRPr="00B07597" w:rsidRDefault="00B07597" w:rsidP="007A09AE">
            <w:pPr>
              <w:spacing w:line="259" w:lineRule="auto"/>
            </w:pPr>
            <w:r w:rsidRPr="00B07597">
              <w:t>Posttreatment YGTSS Total Tic Score</w:t>
            </w:r>
          </w:p>
        </w:tc>
        <w:tc>
          <w:tcPr>
            <w:tcW w:w="802" w:type="pct"/>
            <w:hideMark/>
          </w:tcPr>
          <w:p w14:paraId="331C7C52" w14:textId="77777777" w:rsidR="00B07597" w:rsidRPr="00B07597" w:rsidRDefault="00B07597" w:rsidP="007A09AE">
            <w:pPr>
              <w:spacing w:line="259" w:lineRule="auto"/>
            </w:pPr>
            <w:r w:rsidRPr="00B07597">
              <w:t>19.20 (8.18)</w:t>
            </w:r>
          </w:p>
        </w:tc>
        <w:tc>
          <w:tcPr>
            <w:tcW w:w="738" w:type="pct"/>
            <w:hideMark/>
          </w:tcPr>
          <w:p w14:paraId="66DA1CD2" w14:textId="77777777" w:rsidR="00B07597" w:rsidRPr="00B07597" w:rsidRDefault="00B07597" w:rsidP="007A09AE">
            <w:pPr>
              <w:spacing w:line="259" w:lineRule="auto"/>
            </w:pPr>
            <w:r w:rsidRPr="00B07597">
              <w:t>15.31 (6.06)</w:t>
            </w:r>
          </w:p>
        </w:tc>
        <w:tc>
          <w:tcPr>
            <w:tcW w:w="802" w:type="pct"/>
            <w:hideMark/>
          </w:tcPr>
          <w:p w14:paraId="5890859F" w14:textId="77777777" w:rsidR="00B07597" w:rsidRPr="00B07597" w:rsidRDefault="00B07597" w:rsidP="007A09AE">
            <w:pPr>
              <w:spacing w:line="259" w:lineRule="auto"/>
            </w:pPr>
            <w:r w:rsidRPr="00B07597">
              <w:t>21.09 (7.62)</w:t>
            </w:r>
          </w:p>
        </w:tc>
        <w:tc>
          <w:tcPr>
            <w:tcW w:w="347" w:type="pct"/>
            <w:hideMark/>
          </w:tcPr>
          <w:p w14:paraId="3B62FCBA" w14:textId="77777777" w:rsidR="00B07597" w:rsidRPr="00B07597" w:rsidRDefault="00B07597" w:rsidP="007A09AE">
            <w:pPr>
              <w:spacing w:line="259" w:lineRule="auto"/>
            </w:pPr>
            <w:r w:rsidRPr="00B07597">
              <w:t>2.22</w:t>
            </w:r>
          </w:p>
        </w:tc>
        <w:tc>
          <w:tcPr>
            <w:tcW w:w="283" w:type="pct"/>
            <w:hideMark/>
          </w:tcPr>
          <w:p w14:paraId="5F864ED9" w14:textId="77777777" w:rsidR="00B07597" w:rsidRPr="00B07597" w:rsidRDefault="00B07597" w:rsidP="007A09AE">
            <w:pPr>
              <w:spacing w:line="259" w:lineRule="auto"/>
            </w:pPr>
            <w:r w:rsidRPr="00B07597">
              <w:t>.11</w:t>
            </w:r>
          </w:p>
        </w:tc>
      </w:tr>
      <w:tr w:rsidR="00B07597" w:rsidRPr="00B07597" w14:paraId="22471DFD" w14:textId="77777777" w:rsidTr="007A09AE">
        <w:tc>
          <w:tcPr>
            <w:tcW w:w="2027" w:type="pct"/>
            <w:hideMark/>
          </w:tcPr>
          <w:p w14:paraId="147EAF8B" w14:textId="77777777" w:rsidR="00B07597" w:rsidRPr="00B07597" w:rsidRDefault="00B07597" w:rsidP="007A09AE">
            <w:pPr>
              <w:spacing w:line="259" w:lineRule="auto"/>
            </w:pPr>
            <w:r w:rsidRPr="00B07597">
              <w:t>Posttreatment YGTSS Impairment</w:t>
            </w:r>
          </w:p>
        </w:tc>
        <w:tc>
          <w:tcPr>
            <w:tcW w:w="802" w:type="pct"/>
            <w:hideMark/>
          </w:tcPr>
          <w:p w14:paraId="5B211833" w14:textId="77777777" w:rsidR="00B07597" w:rsidRPr="00B07597" w:rsidRDefault="00B07597" w:rsidP="007A09AE">
            <w:pPr>
              <w:spacing w:line="259" w:lineRule="auto"/>
            </w:pPr>
            <w:r w:rsidRPr="00B07597">
              <w:t>13.72 (10.13)</w:t>
            </w:r>
          </w:p>
        </w:tc>
        <w:tc>
          <w:tcPr>
            <w:tcW w:w="738" w:type="pct"/>
            <w:hideMark/>
          </w:tcPr>
          <w:p w14:paraId="1FAA38EB" w14:textId="77777777" w:rsidR="00B07597" w:rsidRPr="00B07597" w:rsidRDefault="00B07597" w:rsidP="007A09AE">
            <w:pPr>
              <w:spacing w:line="259" w:lineRule="auto"/>
            </w:pPr>
            <w:r w:rsidRPr="00B07597">
              <w:t>9.77 (6.86)</w:t>
            </w:r>
          </w:p>
        </w:tc>
        <w:tc>
          <w:tcPr>
            <w:tcW w:w="802" w:type="pct"/>
            <w:hideMark/>
          </w:tcPr>
          <w:p w14:paraId="6056416C" w14:textId="77777777" w:rsidR="00B07597" w:rsidRPr="00B07597" w:rsidRDefault="00B07597" w:rsidP="007A09AE">
            <w:pPr>
              <w:spacing w:line="259" w:lineRule="auto"/>
            </w:pPr>
            <w:r w:rsidRPr="00B07597">
              <w:t>17.59 (11.36)</w:t>
            </w:r>
          </w:p>
        </w:tc>
        <w:tc>
          <w:tcPr>
            <w:tcW w:w="347" w:type="pct"/>
            <w:hideMark/>
          </w:tcPr>
          <w:p w14:paraId="6818B2F5" w14:textId="77777777" w:rsidR="00B07597" w:rsidRPr="00B07597" w:rsidRDefault="00B07597" w:rsidP="007A09AE">
            <w:pPr>
              <w:spacing w:line="259" w:lineRule="auto"/>
            </w:pPr>
            <w:r w:rsidRPr="00B07597">
              <w:t>2.57</w:t>
            </w:r>
          </w:p>
        </w:tc>
        <w:tc>
          <w:tcPr>
            <w:tcW w:w="283" w:type="pct"/>
            <w:hideMark/>
          </w:tcPr>
          <w:p w14:paraId="16966255" w14:textId="77777777" w:rsidR="00B07597" w:rsidRPr="00B07597" w:rsidRDefault="00B07597" w:rsidP="007A09AE">
            <w:pPr>
              <w:spacing w:line="259" w:lineRule="auto"/>
            </w:pPr>
            <w:r w:rsidRPr="00B07597">
              <w:t>.08</w:t>
            </w:r>
          </w:p>
        </w:tc>
      </w:tr>
      <w:tr w:rsidR="00B07597" w:rsidRPr="00B07597" w14:paraId="288115BA" w14:textId="77777777" w:rsidTr="007A09AE">
        <w:tc>
          <w:tcPr>
            <w:tcW w:w="2027" w:type="pct"/>
            <w:hideMark/>
          </w:tcPr>
          <w:p w14:paraId="1D5634D9" w14:textId="77777777" w:rsidR="00B07597" w:rsidRPr="00B07597" w:rsidRDefault="00B07597" w:rsidP="007A09AE">
            <w:pPr>
              <w:spacing w:line="259" w:lineRule="auto"/>
            </w:pPr>
            <w:r w:rsidRPr="00B07597">
              <w:t>Posttreatment CGI-S</w:t>
            </w:r>
          </w:p>
        </w:tc>
        <w:tc>
          <w:tcPr>
            <w:tcW w:w="802" w:type="pct"/>
            <w:hideMark/>
          </w:tcPr>
          <w:p w14:paraId="0F363CAE" w14:textId="77777777" w:rsidR="00B07597" w:rsidRPr="00B07597" w:rsidRDefault="00B07597" w:rsidP="007A09AE">
            <w:pPr>
              <w:spacing w:line="259" w:lineRule="auto"/>
            </w:pPr>
            <w:r w:rsidRPr="00B07597">
              <w:t>3.58 (1.02)</w:t>
            </w:r>
          </w:p>
        </w:tc>
        <w:tc>
          <w:tcPr>
            <w:tcW w:w="738" w:type="pct"/>
            <w:hideMark/>
          </w:tcPr>
          <w:p w14:paraId="2EC29C81" w14:textId="77777777" w:rsidR="00B07597" w:rsidRPr="00B07597" w:rsidRDefault="00B07597" w:rsidP="007A09AE">
            <w:pPr>
              <w:spacing w:line="259" w:lineRule="auto"/>
            </w:pPr>
            <w:r w:rsidRPr="00B07597">
              <w:t>3.46 (0.97)</w:t>
            </w:r>
          </w:p>
        </w:tc>
        <w:tc>
          <w:tcPr>
            <w:tcW w:w="802" w:type="pct"/>
            <w:hideMark/>
          </w:tcPr>
          <w:p w14:paraId="7AFACAAA" w14:textId="77777777" w:rsidR="00B07597" w:rsidRPr="00B07597" w:rsidRDefault="00B07597" w:rsidP="007A09AE">
            <w:pPr>
              <w:spacing w:line="259" w:lineRule="auto"/>
            </w:pPr>
            <w:r w:rsidRPr="00B07597">
              <w:t>3.95 (1.17)</w:t>
            </w:r>
          </w:p>
        </w:tc>
        <w:tc>
          <w:tcPr>
            <w:tcW w:w="347" w:type="pct"/>
            <w:hideMark/>
          </w:tcPr>
          <w:p w14:paraId="023DD8BE" w14:textId="77777777" w:rsidR="00B07597" w:rsidRPr="00B07597" w:rsidRDefault="00B07597" w:rsidP="007A09AE">
            <w:pPr>
              <w:spacing w:line="259" w:lineRule="auto"/>
            </w:pPr>
            <w:r w:rsidRPr="00B07597">
              <w:t>1.31</w:t>
            </w:r>
          </w:p>
        </w:tc>
        <w:tc>
          <w:tcPr>
            <w:tcW w:w="283" w:type="pct"/>
            <w:hideMark/>
          </w:tcPr>
          <w:p w14:paraId="19B0A39A" w14:textId="77777777" w:rsidR="00B07597" w:rsidRPr="00B07597" w:rsidRDefault="00B07597" w:rsidP="007A09AE">
            <w:pPr>
              <w:spacing w:line="259" w:lineRule="auto"/>
            </w:pPr>
            <w:r w:rsidRPr="00B07597">
              <w:t>.28</w:t>
            </w:r>
          </w:p>
        </w:tc>
      </w:tr>
    </w:tbl>
    <w:p w14:paraId="7B2B55B0" w14:textId="77777777" w:rsidR="00B07597" w:rsidRPr="00B07597" w:rsidRDefault="00B07597" w:rsidP="00374BB2">
      <w:pPr>
        <w:pStyle w:val="NoSpacing"/>
      </w:pPr>
      <w:r w:rsidRPr="00B07597">
        <w:t>Note: ADHD = attention-deficit/hyperactivity disorder; CBIT = Comprehensive Behavioral Intervention for Tics; CGI-S = Clinical Global Impression of Severity; OCD = obsessive-compulsive disorder; YGTSS = Yale Global Tic Severity Scale.</w:t>
      </w:r>
    </w:p>
    <w:p w14:paraId="6AA0FF47" w14:textId="2889736C" w:rsidR="00B07597" w:rsidRPr="00B07597" w:rsidRDefault="00C92D5F" w:rsidP="00374BB2">
      <w:pPr>
        <w:pStyle w:val="NoSpacing"/>
      </w:pPr>
      <w:r w:rsidRPr="00C92D5F">
        <w:rPr>
          <w:vertAlign w:val="superscript"/>
        </w:rPr>
        <w:t>a</w:t>
      </w:r>
      <w:r w:rsidR="00F334E9">
        <w:t xml:space="preserve"> </w:t>
      </w:r>
      <w:proofErr w:type="gramStart"/>
      <w:r w:rsidR="00B07597" w:rsidRPr="00B07597">
        <w:t>Tic medications</w:t>
      </w:r>
      <w:proofErr w:type="gramEnd"/>
      <w:r w:rsidR="00B07597" w:rsidRPr="00B07597">
        <w:t xml:space="preserve"> included antipsychotic and α-agonist medications.</w:t>
      </w:r>
    </w:p>
    <w:p w14:paraId="19B52677" w14:textId="77777777" w:rsidR="00374BB2" w:rsidRDefault="00374BB2" w:rsidP="00B07597"/>
    <w:p w14:paraId="3D6E2ABF" w14:textId="2EE81D34" w:rsidR="00B07597" w:rsidRPr="00B07597" w:rsidRDefault="00B07597" w:rsidP="00B07597">
      <w:r w:rsidRPr="00B07597">
        <w:t>Participants who completed the LTF were 22.87 years of age on average </w:t>
      </w:r>
      <w:r w:rsidRPr="00B07597">
        <w:rPr>
          <w:i/>
          <w:iCs/>
        </w:rPr>
        <w:t>(</w:t>
      </w:r>
      <w:r w:rsidRPr="00B07597">
        <w:t>SD = 2.70) and predominantly male (n = 60, 75%). Most participants were non-Hispanic (n = 73, 91%) and came from several racial backgrounds (White, n = 69, 86.3%; Asian, n = 4, 5%; multi-racial, n = 4, 5%; Black, n = 1, 1.3%; and other racial background, n = 2, 2.5%). Few participants completed only partial high school (n = 1, 1.3%) or were high school graduates (n = 12, 15.0%). Most participants completed partial college coursework (</w:t>
      </w:r>
      <w:proofErr w:type="spellStart"/>
      <w:r w:rsidRPr="00B07597">
        <w:t>eg</w:t>
      </w:r>
      <w:proofErr w:type="spellEnd"/>
      <w:r w:rsidRPr="00B07597">
        <w:t>, partial college, technical school; n = 32, 40.0%) and/or graduated from college (</w:t>
      </w:r>
      <w:proofErr w:type="spellStart"/>
      <w:r w:rsidRPr="00B07597">
        <w:t>eg</w:t>
      </w:r>
      <w:proofErr w:type="spellEnd"/>
      <w:r w:rsidRPr="00B07597">
        <w:t>, 4-year college graduate and/or professional degree; n = 24, 30.0%) at the time of the LTF visit. Participants had a lifetime diagnosis of Tourette disorder (n = 76, 95%), persistent motor disorder (n = 3, 4%), or persistent vocal tic disorder (n = 1, 1%). Any use of tic influencing medication (</w:t>
      </w:r>
      <w:proofErr w:type="spellStart"/>
      <w:r w:rsidRPr="00B07597">
        <w:t>eg</w:t>
      </w:r>
      <w:proofErr w:type="spellEnd"/>
      <w:r w:rsidRPr="00B07597">
        <w:t>, α-agonists, antipsychotics) during the interim period was reported by 27 participants (33.8%), and 8 (10%) were taking a tic-influencing medication at re-assessment (</w:t>
      </w:r>
      <w:proofErr w:type="spellStart"/>
      <w:r w:rsidRPr="00B07597">
        <w:t>eg</w:t>
      </w:r>
      <w:proofErr w:type="spellEnd"/>
      <w:r w:rsidRPr="00B07597">
        <w:t>, α-agonist or antipsychotic medications). Although 47 participants (58.8%) received any mental health services during the follow-up period (</w:t>
      </w:r>
      <w:proofErr w:type="spellStart"/>
      <w:r w:rsidRPr="00B07597">
        <w:t>ie</w:t>
      </w:r>
      <w:proofErr w:type="spellEnd"/>
      <w:r w:rsidRPr="00B07597">
        <w:t>, cognitive behavior therapy, supportive therapy, multiple therapies), only 5 participants (6.25%) reported that this therapy was related to tics, and only 2 (2.5%) reported specifically receiving behavior therapy for tics. Collectively, 31 participants (38.8%) received an evidence-based treatment for tics during the follow-up period (</w:t>
      </w:r>
      <w:proofErr w:type="spellStart"/>
      <w:r w:rsidRPr="00B07597">
        <w:t>ie</w:t>
      </w:r>
      <w:proofErr w:type="spellEnd"/>
      <w:r w:rsidRPr="00B07597">
        <w:t>, tic-influencing medication and/or behavior therapy for tics).</w:t>
      </w:r>
    </w:p>
    <w:p w14:paraId="466AC710" w14:textId="77777777" w:rsidR="00B07597" w:rsidRPr="00B07597" w:rsidRDefault="00B07597" w:rsidP="00F334E9">
      <w:pPr>
        <w:pStyle w:val="Heading2"/>
      </w:pPr>
      <w:r w:rsidRPr="00B07597">
        <w:t>Measures</w:t>
      </w:r>
    </w:p>
    <w:p w14:paraId="09639D50" w14:textId="77777777" w:rsidR="00B07597" w:rsidRPr="006F7F64" w:rsidRDefault="00B07597" w:rsidP="006F7F64">
      <w:pPr>
        <w:pStyle w:val="Heading3"/>
      </w:pPr>
      <w:r w:rsidRPr="006F7F64">
        <w:t>Yale Global Tic Severity Scale</w:t>
      </w:r>
    </w:p>
    <w:p w14:paraId="4D96BA23" w14:textId="4341F2FC" w:rsidR="00B07597" w:rsidRPr="00B07597" w:rsidRDefault="00B07597" w:rsidP="00B07597">
      <w:r w:rsidRPr="00B07597">
        <w:t>The Yale Global Tic Severity Scale (YGTSS) is a clinician-rated measure of tic severity over the past week. Motor and vocal tics severity are separately rated across 5 dimensions. A total tic severity score (range 0−50) is the sum of motor and vocal ratings across all 5 dimensions. Aggregated tic-related impairment is rated on a 50-point, single-dimension scale. The YGTSS has been shown to have good reliability and validity.</w:t>
      </w:r>
      <w:bookmarkStart w:id="15" w:name="bbib12"/>
      <w:r w:rsidRPr="00B07597">
        <w:rPr>
          <w:vertAlign w:val="superscript"/>
        </w:rPr>
        <w:t>12,</w:t>
      </w:r>
      <w:bookmarkStart w:id="16" w:name="bbib13"/>
      <w:r w:rsidRPr="00B07597">
        <w:rPr>
          <w:vertAlign w:val="superscript"/>
        </w:rPr>
        <w:t>13</w:t>
      </w:r>
      <w:bookmarkEnd w:id="16"/>
      <w:r w:rsidRPr="00B07597">
        <w:t> Signal detection analyses show that a 25% reduction on the YGTSS Total Tic score corresponds with a clinically meaningful improvement.</w:t>
      </w:r>
      <w:bookmarkStart w:id="17" w:name="bbib14"/>
      <w:r w:rsidRPr="00B07597">
        <w:rPr>
          <w:vertAlign w:val="superscript"/>
        </w:rPr>
        <w:t>14</w:t>
      </w:r>
    </w:p>
    <w:p w14:paraId="2A6FB3C6" w14:textId="77777777" w:rsidR="00B07597" w:rsidRPr="00B07597" w:rsidRDefault="00B07597" w:rsidP="00F334E9">
      <w:pPr>
        <w:pStyle w:val="Heading3"/>
      </w:pPr>
      <w:r w:rsidRPr="00B07597">
        <w:t>MINI International Neuropsychiatric Interview</w:t>
      </w:r>
    </w:p>
    <w:p w14:paraId="1A506B5A" w14:textId="19B7A3BC" w:rsidR="00B07597" w:rsidRPr="00B07597" w:rsidRDefault="00B07597" w:rsidP="00B07597">
      <w:r w:rsidRPr="00B07597">
        <w:t>The MINI International Neuropsychiatric Interview (MINI) is a standardized diagnostic interview recently updated to assess </w:t>
      </w:r>
      <w:r w:rsidRPr="00B07597">
        <w:rPr>
          <w:i/>
          <w:iCs/>
        </w:rPr>
        <w:t>DSM-V</w:t>
      </w:r>
      <w:r w:rsidRPr="00B07597">
        <w:t> psychiatric disorders and to track progress in clinical and research settings.</w:t>
      </w:r>
      <w:bookmarkStart w:id="18" w:name="bbib15"/>
      <w:r w:rsidRPr="00B07597">
        <w:rPr>
          <w:vertAlign w:val="superscript"/>
        </w:rPr>
        <w:t>15</w:t>
      </w:r>
      <w:bookmarkEnd w:id="18"/>
      <w:r w:rsidRPr="00B07597">
        <w:t> The instrument is composed of modules for 17 common psychiatric diagnoses, with previous research indicating acceptable reliability and validity.</w:t>
      </w:r>
      <w:bookmarkStart w:id="19" w:name="bbib16"/>
      <w:r w:rsidRPr="00B07597">
        <w:rPr>
          <w:vertAlign w:val="superscript"/>
        </w:rPr>
        <w:t>16</w:t>
      </w:r>
      <w:bookmarkEnd w:id="19"/>
    </w:p>
    <w:p w14:paraId="1A332CEC" w14:textId="77777777" w:rsidR="00B07597" w:rsidRPr="00B07597" w:rsidRDefault="00B07597" w:rsidP="00F334E9">
      <w:pPr>
        <w:pStyle w:val="Heading3"/>
      </w:pPr>
      <w:r w:rsidRPr="00B07597">
        <w:t>Clinical Global Impression of Severity and Clinical Global Impression of Improvement</w:t>
      </w:r>
    </w:p>
    <w:p w14:paraId="384F0951" w14:textId="24B721CD" w:rsidR="00B07597" w:rsidRPr="00B07597" w:rsidRDefault="00B07597" w:rsidP="00B07597">
      <w:r w:rsidRPr="00B07597">
        <w:t>The Clinical Global Impression of Severity (CGI-S)</w:t>
      </w:r>
      <w:bookmarkStart w:id="20" w:name="bbib17"/>
      <w:r w:rsidRPr="00B07597">
        <w:rPr>
          <w:vertAlign w:val="superscript"/>
        </w:rPr>
        <w:t>17</w:t>
      </w:r>
      <w:bookmarkEnd w:id="20"/>
      <w:r w:rsidRPr="00B07597">
        <w:t> is a clinician-rated scale used to measure overall clinical severity. Although a CGI-S rating of “moderate illness” (4) is commonly used as an inclusion criterion for treatment studies of TD,</w:t>
      </w:r>
      <w:r w:rsidRPr="00B07597">
        <w:rPr>
          <w:vertAlign w:val="superscript"/>
        </w:rPr>
        <w:t>8</w:t>
      </w:r>
      <w:bookmarkEnd w:id="9"/>
      <w:r w:rsidRPr="00B07597">
        <w:t> items range from “no illness” (1) to “severe illness” (7). A Clinical Global Impression of Severity (CGI-I) score of “1” (very much improved) or “2” (much improved) defined treatment response in the original CBIT trial and is consistent with convention.</w:t>
      </w:r>
      <w:bookmarkStart w:id="21" w:name="bbib18"/>
      <w:r w:rsidRPr="00B07597">
        <w:rPr>
          <w:vertAlign w:val="superscript"/>
        </w:rPr>
        <w:t>18</w:t>
      </w:r>
      <w:bookmarkEnd w:id="21"/>
    </w:p>
    <w:p w14:paraId="4B252903" w14:textId="77777777" w:rsidR="00B07597" w:rsidRPr="00B07597" w:rsidRDefault="00B07597" w:rsidP="00F334E9">
      <w:pPr>
        <w:pStyle w:val="Heading2"/>
      </w:pPr>
      <w:r w:rsidRPr="00B07597">
        <w:t>Procedures</w:t>
      </w:r>
    </w:p>
    <w:p w14:paraId="6BA347F5" w14:textId="2AAB89E9" w:rsidR="00B07597" w:rsidRPr="00B07597" w:rsidRDefault="00B07597" w:rsidP="00B07597">
      <w:r w:rsidRPr="00B07597">
        <w:t>Recruitment for the follow-up study occurred over a period of 5 years (March 2014 to January 2019). Participants from the original trial were contacted using telephone, regular mail, e-mail, and social networking sites. Contacted participants completed an in-person or video (Skype) visit to determine current psychiatric diagnosis using a structured clinical interview, clinical history, and the severity of current tic symptoms using the YGTSS and CGI-S. All interviews were conducted by trained evaluators masked to participants’ original treatment assignment. Raters were trained to administer clinical interviews using the same methods in the original trial. This included initial didactic training and demonstration of reliable ratings on 2 consecutive administrations. All raters participated in monthly cross-site teleconferencing calls for ongoing supervision and ongoing consensus ratings to protect against rater drift. Participants received $100 for completing this assessment. All procedures were approved by the principal investigators’ institutional review boards.</w:t>
      </w:r>
    </w:p>
    <w:p w14:paraId="720C631C" w14:textId="77777777" w:rsidR="00B07597" w:rsidRPr="00B07597" w:rsidRDefault="00B07597" w:rsidP="003E2D22">
      <w:pPr>
        <w:pStyle w:val="Heading2"/>
      </w:pPr>
      <w:r w:rsidRPr="00B07597">
        <w:t>Analytic Plan</w:t>
      </w:r>
    </w:p>
    <w:p w14:paraId="60431298" w14:textId="5C05A550" w:rsidR="00B07597" w:rsidRPr="00B07597" w:rsidRDefault="00B07597" w:rsidP="00B07597">
      <w:r w:rsidRPr="00B07597">
        <w:t>The χ</w:t>
      </w:r>
      <w:r w:rsidRPr="00B07597">
        <w:rPr>
          <w:vertAlign w:val="superscript"/>
        </w:rPr>
        <w:t>2</w:t>
      </w:r>
      <w:r w:rsidRPr="00B07597">
        <w:t xml:space="preserve"> test and 1-way analysis of variance were used to compare baseline differences between participants who completed the LTF assessment, declined to participate, and/or were lost to follow-up. One participant had missing data from the acute trial posttreatment assessment because of dropping out from the PST condition after the first therapy </w:t>
      </w:r>
      <w:proofErr w:type="gramStart"/>
      <w:r w:rsidRPr="00B07597">
        <w:t>session, but</w:t>
      </w:r>
      <w:proofErr w:type="gramEnd"/>
      <w:r w:rsidRPr="00B07597">
        <w:t xml:space="preserve"> completed the long-term follow-up visit. Four participants were missing tic medication and therapy history at the follow-up </w:t>
      </w:r>
      <w:proofErr w:type="gramStart"/>
      <w:r w:rsidRPr="00B07597">
        <w:t>assessment, and</w:t>
      </w:r>
      <w:proofErr w:type="gramEnd"/>
      <w:r w:rsidRPr="00B07597">
        <w:t xml:space="preserve"> were considered not to have received tic medication or therapy over the follow-up period. Given the large proportion of participants missing from the original trial at the long-term follow-up, lack of information on long-term follow-up more generally among youth with PTDs, and sufficient power to detect our primary outcomes with the data in hand, we conservatively decided not to pursue multiple imputation or maximum likelihood estimation methods for the roughly 40% of participants who did not participate in the long-term follow-up. The change in tic severity (YGTSS Total Tic Score) and tic impairment (YGTSS Impairment Score) was examined using a mixed-model repeated-measures analysis that used an autoregressive error structure and restricted maximum likelihood estimations. Models included fixed effects for treatment group (2 levels), treatment response at posttreatment (2 levels), history of evidence-based tic treatment (tic-influencing medications and/or behavior therapy) over LTF (2 levels), and time (3 levels) was the repeated measure. A fixed effect for time (</w:t>
      </w:r>
      <w:proofErr w:type="spellStart"/>
      <w:r w:rsidRPr="00B07597">
        <w:t>ie</w:t>
      </w:r>
      <w:proofErr w:type="spellEnd"/>
      <w:r w:rsidRPr="00B07597">
        <w:t>, number of months since the baseline assessment) was entered as a covariate into the model. A random effect for participant was included, allowing for individual variation in initial severity. Follow-up comparisons for significant effects and interactions were completed with Bonferroni corrections. We used χ</w:t>
      </w:r>
      <w:r w:rsidRPr="00B07597">
        <w:rPr>
          <w:vertAlign w:val="superscript"/>
        </w:rPr>
        <w:t>2</w:t>
      </w:r>
      <w:r w:rsidRPr="00B07597">
        <w:t> tests to examine whether participants at follow-up met criteria for “partial or full remission” (YGTSS Total Tic Score &lt;14). Finally, the incidence of clinically meaningful change on the YGTSS Total Tic Score (</w:t>
      </w:r>
      <w:proofErr w:type="spellStart"/>
      <w:r w:rsidRPr="00B07597">
        <w:t>ie</w:t>
      </w:r>
      <w:proofErr w:type="spellEnd"/>
      <w:r w:rsidRPr="00B07597">
        <w:t>, ≥25%; Jeon </w:t>
      </w:r>
      <w:r w:rsidRPr="00B07597">
        <w:rPr>
          <w:i/>
          <w:iCs/>
        </w:rPr>
        <w:t>et al.</w:t>
      </w:r>
      <w:r w:rsidRPr="00B07597">
        <w:rPr>
          <w:vertAlign w:val="superscript"/>
        </w:rPr>
        <w:t>14</w:t>
      </w:r>
      <w:bookmarkEnd w:id="17"/>
      <w:r w:rsidRPr="00B07597">
        <w:t>) and effect sizes were calculated for tic severity (YGTSS Total Tic score) and tic impairment (YGTSS Impairment score). All analyses were conducted using SPSS statistical software version 27.0.</w:t>
      </w:r>
    </w:p>
    <w:p w14:paraId="082D40F1" w14:textId="77777777" w:rsidR="00B07597" w:rsidRPr="00B07597" w:rsidRDefault="00B07597" w:rsidP="003E2D22">
      <w:pPr>
        <w:pStyle w:val="Heading1"/>
      </w:pPr>
      <w:r w:rsidRPr="00B07597">
        <w:t>Results</w:t>
      </w:r>
    </w:p>
    <w:p w14:paraId="4B210A5C" w14:textId="15E82FA3" w:rsidR="00B07597" w:rsidRPr="00B07597" w:rsidRDefault="00B07597" w:rsidP="003E2D22">
      <w:pPr>
        <w:pStyle w:val="Heading2"/>
      </w:pPr>
      <w:r w:rsidRPr="00B07597">
        <w:t xml:space="preserve">Course of Tic Severity and Impairment </w:t>
      </w:r>
      <w:r w:rsidR="00E50EF8" w:rsidRPr="00B07597">
        <w:t>from</w:t>
      </w:r>
      <w:r w:rsidRPr="00B07597">
        <w:t xml:space="preserve"> Childhood to Early Adulthood</w:t>
      </w:r>
    </w:p>
    <w:p w14:paraId="4D9736B9" w14:textId="3FCF49D8" w:rsidR="00B07597" w:rsidRPr="00B07597" w:rsidRDefault="00B07597" w:rsidP="00B07597">
      <w:r w:rsidRPr="00B07597">
        <w:t>On average, participants, regardless of treatment condition, reported a mild-to-moderate level of tic severity (YGTSS Total Tic Score) and tic-related impairment (YGTSS Impairment Score) and mild illness on the CGI-S at the LTF assessment. In addition, 40% of participants met partial or full remission criteria (</w:t>
      </w:r>
      <w:proofErr w:type="spellStart"/>
      <w:r w:rsidRPr="00B07597">
        <w:t>ie</w:t>
      </w:r>
      <w:proofErr w:type="spellEnd"/>
      <w:r w:rsidRPr="00B07597">
        <w:t>, a YGTSS total tic score &lt;14).</w:t>
      </w:r>
    </w:p>
    <w:p w14:paraId="3D1B461A" w14:textId="77777777" w:rsidR="00B07597" w:rsidRPr="00B07597" w:rsidRDefault="00B07597" w:rsidP="003E2D22">
      <w:pPr>
        <w:pStyle w:val="Heading2"/>
      </w:pPr>
      <w:r w:rsidRPr="00B07597">
        <w:t>Long-term Tic Severity Outcomes by Treatment Group and Responder Status</w:t>
      </w:r>
    </w:p>
    <w:p w14:paraId="5A5D26B0" w14:textId="7B4F8E63" w:rsidR="00B07597" w:rsidRPr="00B07597" w:rsidRDefault="00B07597" w:rsidP="00B07597">
      <w:r w:rsidRPr="00B07597">
        <w:t>For tic severity outcomes on the YGTSS total tic score, there was a significant treatment group by treatment response by time interaction (</w:t>
      </w:r>
      <w:bookmarkStart w:id="22" w:name="btbl2"/>
      <w:r w:rsidRPr="00B07597">
        <w:t>Table 2, </w:t>
      </w:r>
      <w:bookmarkStart w:id="23" w:name="bfig1"/>
      <w:r w:rsidRPr="00B07597">
        <w:t>Figure 1). The CBIT treatment responders had lower tic severity at the LTF assessment compared to the PST responders (</w:t>
      </w:r>
      <w:bookmarkStart w:id="24" w:name="btbl3"/>
      <w:r w:rsidRPr="00B07597">
        <w:t>Table 3, Figure 1</w:t>
      </w:r>
      <w:bookmarkEnd w:id="23"/>
      <w:r w:rsidRPr="00B07597">
        <w:t>). Specifically, CBIT responders exhibited significant improvement at posttreatment and maintained this improvement over time, displaying large treatment effects over PST responders at the LTF visit (</w:t>
      </w:r>
      <w:proofErr w:type="spellStart"/>
      <w:r w:rsidRPr="00B07597">
        <w:t>mean</w:t>
      </w:r>
      <w:r w:rsidRPr="00B07597">
        <w:rPr>
          <w:vertAlign w:val="subscript"/>
        </w:rPr>
        <w:t>diff</w:t>
      </w:r>
      <w:proofErr w:type="spellEnd"/>
      <w:r w:rsidRPr="00B07597">
        <w:t> = 8.64, </w:t>
      </w:r>
      <w:r w:rsidRPr="00B07597">
        <w:rPr>
          <w:i/>
          <w:iCs/>
        </w:rPr>
        <w:t>p</w:t>
      </w:r>
      <w:r w:rsidRPr="00B07597">
        <w:t> = .015, </w:t>
      </w:r>
      <w:r w:rsidRPr="00B07597">
        <w:rPr>
          <w:i/>
          <w:iCs/>
        </w:rPr>
        <w:t>d</w:t>
      </w:r>
      <w:r w:rsidRPr="00B07597">
        <w:t xml:space="preserve"> = 1.47). Although PST acute treatment responders also exhibited initial improvement at the posttreatment visit, this improvement was not maintained over time. There was no significant difference between treatment groups for </w:t>
      </w:r>
      <w:proofErr w:type="spellStart"/>
      <w:r w:rsidRPr="00B07597">
        <w:t>nonresponders</w:t>
      </w:r>
      <w:proofErr w:type="spellEnd"/>
      <w:r w:rsidRPr="00B07597">
        <w:t xml:space="preserve"> at the LTF visit (</w:t>
      </w:r>
      <w:r w:rsidRPr="00B07597">
        <w:rPr>
          <w:i/>
          <w:iCs/>
        </w:rPr>
        <w:t>p</w:t>
      </w:r>
      <w:r w:rsidRPr="00B07597">
        <w:t> = .32−.80), with only modest effects observed between treatment groups (</w:t>
      </w:r>
      <w:r w:rsidRPr="00B07597">
        <w:rPr>
          <w:i/>
          <w:iCs/>
        </w:rPr>
        <w:t>d</w:t>
      </w:r>
      <w:r w:rsidRPr="00B07597">
        <w:t> = 0.39) (Table 3).</w:t>
      </w:r>
    </w:p>
    <w:p w14:paraId="42A22692" w14:textId="77777777" w:rsidR="00B07597" w:rsidRPr="00B07597" w:rsidRDefault="00B07597" w:rsidP="00602F72">
      <w:pPr>
        <w:spacing w:after="0"/>
      </w:pPr>
      <w:r w:rsidRPr="00B07597">
        <w:t>Table 2. Mixed Model Effect for Tic Severity and Tic Impairment Over Time (n = 80)</w:t>
      </w:r>
    </w:p>
    <w:tbl>
      <w:tblPr>
        <w:tblStyle w:val="TableGrid"/>
        <w:tblW w:w="0" w:type="auto"/>
        <w:tblLook w:val="04A0" w:firstRow="1" w:lastRow="0" w:firstColumn="1" w:lastColumn="0" w:noHBand="0" w:noVBand="1"/>
      </w:tblPr>
      <w:tblGrid>
        <w:gridCol w:w="4569"/>
        <w:gridCol w:w="1276"/>
        <w:gridCol w:w="772"/>
        <w:gridCol w:w="721"/>
        <w:gridCol w:w="1292"/>
        <w:gridCol w:w="721"/>
        <w:gridCol w:w="719"/>
      </w:tblGrid>
      <w:tr w:rsidR="00602F72" w:rsidRPr="00F74C8B" w14:paraId="60577DD2" w14:textId="77777777" w:rsidTr="00690E4B">
        <w:tc>
          <w:tcPr>
            <w:tcW w:w="4569" w:type="dxa"/>
            <w:hideMark/>
          </w:tcPr>
          <w:p w14:paraId="61AE99CF" w14:textId="30A00FFA" w:rsidR="00602F72" w:rsidRPr="00F74C8B" w:rsidRDefault="00602F72" w:rsidP="00602F72">
            <w:pPr>
              <w:spacing w:line="259" w:lineRule="auto"/>
              <w:rPr>
                <w:b/>
                <w:bCs/>
              </w:rPr>
            </w:pPr>
          </w:p>
        </w:tc>
        <w:tc>
          <w:tcPr>
            <w:tcW w:w="1276" w:type="dxa"/>
            <w:hideMark/>
          </w:tcPr>
          <w:p w14:paraId="5D221D77" w14:textId="77777777" w:rsidR="00602F72" w:rsidRPr="00F74C8B" w:rsidRDefault="00602F72" w:rsidP="00602F72">
            <w:pPr>
              <w:rPr>
                <w:b/>
                <w:bCs/>
              </w:rPr>
            </w:pPr>
            <w:r w:rsidRPr="00F74C8B">
              <w:rPr>
                <w:b/>
                <w:bCs/>
              </w:rPr>
              <w:t>YGTSS total tic score</w:t>
            </w:r>
          </w:p>
        </w:tc>
        <w:tc>
          <w:tcPr>
            <w:tcW w:w="772" w:type="dxa"/>
          </w:tcPr>
          <w:p w14:paraId="00D14928" w14:textId="77777777" w:rsidR="00602F72" w:rsidRPr="00F74C8B" w:rsidRDefault="00602F72" w:rsidP="00602F72">
            <w:pPr>
              <w:rPr>
                <w:b/>
                <w:bCs/>
              </w:rPr>
            </w:pPr>
          </w:p>
        </w:tc>
        <w:tc>
          <w:tcPr>
            <w:tcW w:w="721" w:type="dxa"/>
          </w:tcPr>
          <w:p w14:paraId="024F9430" w14:textId="339102B8" w:rsidR="00602F72" w:rsidRPr="00F74C8B" w:rsidRDefault="00602F72" w:rsidP="00602F72">
            <w:pPr>
              <w:spacing w:line="259" w:lineRule="auto"/>
              <w:rPr>
                <w:b/>
                <w:bCs/>
              </w:rPr>
            </w:pPr>
          </w:p>
        </w:tc>
        <w:tc>
          <w:tcPr>
            <w:tcW w:w="1292" w:type="dxa"/>
            <w:hideMark/>
          </w:tcPr>
          <w:p w14:paraId="2DD76426" w14:textId="77777777" w:rsidR="00602F72" w:rsidRPr="00F74C8B" w:rsidRDefault="00602F72" w:rsidP="00602F72">
            <w:pPr>
              <w:rPr>
                <w:b/>
                <w:bCs/>
              </w:rPr>
            </w:pPr>
            <w:r w:rsidRPr="00F74C8B">
              <w:rPr>
                <w:b/>
                <w:bCs/>
              </w:rPr>
              <w:t>YGTSS impairment</w:t>
            </w:r>
          </w:p>
        </w:tc>
        <w:tc>
          <w:tcPr>
            <w:tcW w:w="0" w:type="auto"/>
          </w:tcPr>
          <w:p w14:paraId="3B29D9CD" w14:textId="77777777" w:rsidR="00602F72" w:rsidRPr="00F74C8B" w:rsidRDefault="00602F72" w:rsidP="00602F72">
            <w:pPr>
              <w:rPr>
                <w:b/>
                <w:bCs/>
              </w:rPr>
            </w:pPr>
          </w:p>
        </w:tc>
        <w:tc>
          <w:tcPr>
            <w:tcW w:w="0" w:type="auto"/>
          </w:tcPr>
          <w:p w14:paraId="41F49DD3" w14:textId="43BFBD8B" w:rsidR="00602F72" w:rsidRPr="00F74C8B" w:rsidRDefault="00602F72" w:rsidP="00602F72">
            <w:pPr>
              <w:spacing w:line="259" w:lineRule="auto"/>
              <w:rPr>
                <w:b/>
                <w:bCs/>
              </w:rPr>
            </w:pPr>
          </w:p>
        </w:tc>
      </w:tr>
      <w:tr w:rsidR="00B07597" w:rsidRPr="00B07597" w14:paraId="7B27E7F6" w14:textId="77777777" w:rsidTr="00690E4B">
        <w:tc>
          <w:tcPr>
            <w:tcW w:w="4569" w:type="dxa"/>
            <w:hideMark/>
          </w:tcPr>
          <w:p w14:paraId="1782CDCA" w14:textId="77777777" w:rsidR="00B07597" w:rsidRPr="00B07597" w:rsidRDefault="00B07597" w:rsidP="00602F72">
            <w:pPr>
              <w:spacing w:line="259" w:lineRule="auto"/>
            </w:pPr>
          </w:p>
        </w:tc>
        <w:tc>
          <w:tcPr>
            <w:tcW w:w="1276" w:type="dxa"/>
            <w:hideMark/>
          </w:tcPr>
          <w:p w14:paraId="101D7276" w14:textId="77777777" w:rsidR="00B07597" w:rsidRPr="00B07597" w:rsidRDefault="00B07597" w:rsidP="00602F72">
            <w:pPr>
              <w:spacing w:line="259" w:lineRule="auto"/>
              <w:rPr>
                <w:b/>
                <w:bCs/>
              </w:rPr>
            </w:pPr>
            <w:r w:rsidRPr="00B07597">
              <w:rPr>
                <w:b/>
                <w:bCs/>
              </w:rPr>
              <w:t>Parameters</w:t>
            </w:r>
          </w:p>
        </w:tc>
        <w:tc>
          <w:tcPr>
            <w:tcW w:w="772" w:type="dxa"/>
            <w:hideMark/>
          </w:tcPr>
          <w:p w14:paraId="54BCD58F" w14:textId="77777777" w:rsidR="00B07597" w:rsidRPr="00B07597" w:rsidRDefault="00B07597" w:rsidP="00602F72">
            <w:pPr>
              <w:spacing w:line="259" w:lineRule="auto"/>
              <w:rPr>
                <w:b/>
                <w:bCs/>
              </w:rPr>
            </w:pPr>
            <w:r w:rsidRPr="00B07597">
              <w:rPr>
                <w:b/>
                <w:bCs/>
                <w:i/>
                <w:iCs/>
              </w:rPr>
              <w:t>F</w:t>
            </w:r>
          </w:p>
        </w:tc>
        <w:tc>
          <w:tcPr>
            <w:tcW w:w="721" w:type="dxa"/>
            <w:hideMark/>
          </w:tcPr>
          <w:p w14:paraId="6B59ADBB" w14:textId="77777777" w:rsidR="00B07597" w:rsidRPr="00B07597" w:rsidRDefault="00B07597" w:rsidP="00602F72">
            <w:pPr>
              <w:spacing w:line="259" w:lineRule="auto"/>
              <w:rPr>
                <w:b/>
                <w:bCs/>
              </w:rPr>
            </w:pPr>
            <w:r w:rsidRPr="00B07597">
              <w:rPr>
                <w:b/>
                <w:bCs/>
                <w:i/>
                <w:iCs/>
              </w:rPr>
              <w:t>p</w:t>
            </w:r>
          </w:p>
        </w:tc>
        <w:tc>
          <w:tcPr>
            <w:tcW w:w="1292" w:type="dxa"/>
            <w:hideMark/>
          </w:tcPr>
          <w:p w14:paraId="6A6AD684" w14:textId="77777777" w:rsidR="00B07597" w:rsidRPr="00B07597" w:rsidRDefault="00B07597" w:rsidP="00602F72">
            <w:pPr>
              <w:spacing w:line="259" w:lineRule="auto"/>
              <w:rPr>
                <w:b/>
                <w:bCs/>
              </w:rPr>
            </w:pPr>
            <w:r w:rsidRPr="00B07597">
              <w:rPr>
                <w:b/>
                <w:bCs/>
              </w:rPr>
              <w:t>Parameters</w:t>
            </w:r>
          </w:p>
        </w:tc>
        <w:tc>
          <w:tcPr>
            <w:tcW w:w="0" w:type="auto"/>
            <w:hideMark/>
          </w:tcPr>
          <w:p w14:paraId="1FB48243" w14:textId="77777777" w:rsidR="00B07597" w:rsidRPr="00B07597" w:rsidRDefault="00B07597" w:rsidP="00602F72">
            <w:pPr>
              <w:spacing w:line="259" w:lineRule="auto"/>
              <w:rPr>
                <w:b/>
                <w:bCs/>
              </w:rPr>
            </w:pPr>
            <w:r w:rsidRPr="00B07597">
              <w:rPr>
                <w:b/>
                <w:bCs/>
                <w:i/>
                <w:iCs/>
              </w:rPr>
              <w:t>F</w:t>
            </w:r>
          </w:p>
        </w:tc>
        <w:tc>
          <w:tcPr>
            <w:tcW w:w="0" w:type="auto"/>
            <w:hideMark/>
          </w:tcPr>
          <w:p w14:paraId="6AF604ED" w14:textId="77777777" w:rsidR="00B07597" w:rsidRPr="00B07597" w:rsidRDefault="00B07597" w:rsidP="00602F72">
            <w:pPr>
              <w:spacing w:line="259" w:lineRule="auto"/>
              <w:rPr>
                <w:b/>
                <w:bCs/>
              </w:rPr>
            </w:pPr>
            <w:r w:rsidRPr="00B07597">
              <w:rPr>
                <w:b/>
                <w:bCs/>
                <w:i/>
                <w:iCs/>
              </w:rPr>
              <w:t>p</w:t>
            </w:r>
          </w:p>
        </w:tc>
      </w:tr>
      <w:tr w:rsidR="00B07597" w:rsidRPr="00B07597" w14:paraId="250C55A8" w14:textId="77777777" w:rsidTr="00690E4B">
        <w:tc>
          <w:tcPr>
            <w:tcW w:w="4569" w:type="dxa"/>
            <w:hideMark/>
          </w:tcPr>
          <w:p w14:paraId="44FACFEA" w14:textId="77777777" w:rsidR="00B07597" w:rsidRPr="00B07597" w:rsidRDefault="00B07597" w:rsidP="00602F72">
            <w:pPr>
              <w:spacing w:line="259" w:lineRule="auto"/>
            </w:pPr>
            <w:r w:rsidRPr="00B07597">
              <w:t>Intercept</w:t>
            </w:r>
          </w:p>
        </w:tc>
        <w:tc>
          <w:tcPr>
            <w:tcW w:w="1276" w:type="dxa"/>
            <w:hideMark/>
          </w:tcPr>
          <w:p w14:paraId="65070E1C" w14:textId="77777777" w:rsidR="00B07597" w:rsidRPr="00B07597" w:rsidRDefault="00B07597" w:rsidP="00602F72">
            <w:pPr>
              <w:spacing w:line="259" w:lineRule="auto"/>
            </w:pPr>
            <w:r w:rsidRPr="00B07597">
              <w:t>1</w:t>
            </w:r>
          </w:p>
        </w:tc>
        <w:tc>
          <w:tcPr>
            <w:tcW w:w="772" w:type="dxa"/>
            <w:hideMark/>
          </w:tcPr>
          <w:p w14:paraId="5AB53AA9" w14:textId="77777777" w:rsidR="00B07597" w:rsidRPr="00B07597" w:rsidRDefault="00B07597" w:rsidP="00602F72">
            <w:pPr>
              <w:spacing w:line="259" w:lineRule="auto"/>
            </w:pPr>
            <w:r w:rsidRPr="00B07597">
              <w:t>2.04</w:t>
            </w:r>
          </w:p>
        </w:tc>
        <w:tc>
          <w:tcPr>
            <w:tcW w:w="721" w:type="dxa"/>
            <w:hideMark/>
          </w:tcPr>
          <w:p w14:paraId="75985436" w14:textId="77777777" w:rsidR="00B07597" w:rsidRPr="00B07597" w:rsidRDefault="00B07597" w:rsidP="00602F72">
            <w:pPr>
              <w:spacing w:line="259" w:lineRule="auto"/>
            </w:pPr>
            <w:r w:rsidRPr="00B07597">
              <w:t>.16</w:t>
            </w:r>
          </w:p>
        </w:tc>
        <w:tc>
          <w:tcPr>
            <w:tcW w:w="1292" w:type="dxa"/>
            <w:hideMark/>
          </w:tcPr>
          <w:p w14:paraId="6FE38E41" w14:textId="77777777" w:rsidR="00B07597" w:rsidRPr="00B07597" w:rsidRDefault="00B07597" w:rsidP="00602F72">
            <w:pPr>
              <w:spacing w:line="259" w:lineRule="auto"/>
            </w:pPr>
            <w:r w:rsidRPr="00B07597">
              <w:rPr>
                <w:b/>
                <w:bCs/>
              </w:rPr>
              <w:t>1</w:t>
            </w:r>
          </w:p>
        </w:tc>
        <w:tc>
          <w:tcPr>
            <w:tcW w:w="0" w:type="auto"/>
            <w:hideMark/>
          </w:tcPr>
          <w:p w14:paraId="07D55086" w14:textId="77777777" w:rsidR="00B07597" w:rsidRPr="00B07597" w:rsidRDefault="00B07597" w:rsidP="00602F72">
            <w:pPr>
              <w:spacing w:line="259" w:lineRule="auto"/>
            </w:pPr>
            <w:r w:rsidRPr="00B07597">
              <w:rPr>
                <w:b/>
                <w:bCs/>
              </w:rPr>
              <w:t>6.83</w:t>
            </w:r>
          </w:p>
        </w:tc>
        <w:tc>
          <w:tcPr>
            <w:tcW w:w="0" w:type="auto"/>
            <w:hideMark/>
          </w:tcPr>
          <w:p w14:paraId="1D7ED05E" w14:textId="77777777" w:rsidR="00B07597" w:rsidRPr="00B07597" w:rsidRDefault="00B07597" w:rsidP="00602F72">
            <w:pPr>
              <w:spacing w:line="259" w:lineRule="auto"/>
            </w:pPr>
            <w:r w:rsidRPr="00B07597">
              <w:rPr>
                <w:b/>
                <w:bCs/>
              </w:rPr>
              <w:t>.01</w:t>
            </w:r>
          </w:p>
        </w:tc>
      </w:tr>
      <w:tr w:rsidR="00B07597" w:rsidRPr="00B07597" w14:paraId="1218F8A8" w14:textId="77777777" w:rsidTr="00690E4B">
        <w:tc>
          <w:tcPr>
            <w:tcW w:w="4569" w:type="dxa"/>
            <w:hideMark/>
          </w:tcPr>
          <w:p w14:paraId="653EC7A6" w14:textId="77777777" w:rsidR="00B07597" w:rsidRPr="00B07597" w:rsidRDefault="00B07597" w:rsidP="00602F72">
            <w:pPr>
              <w:spacing w:line="259" w:lineRule="auto"/>
            </w:pPr>
            <w:r w:rsidRPr="00B07597">
              <w:t>Time since baseline (</w:t>
            </w:r>
            <w:proofErr w:type="spellStart"/>
            <w:r w:rsidRPr="00B07597">
              <w:t>mo</w:t>
            </w:r>
            <w:proofErr w:type="spellEnd"/>
            <w:r w:rsidRPr="00B07597">
              <w:t>)</w:t>
            </w:r>
          </w:p>
        </w:tc>
        <w:tc>
          <w:tcPr>
            <w:tcW w:w="1276" w:type="dxa"/>
            <w:hideMark/>
          </w:tcPr>
          <w:p w14:paraId="347E1F4B" w14:textId="77777777" w:rsidR="00B07597" w:rsidRPr="00B07597" w:rsidRDefault="00B07597" w:rsidP="00602F72">
            <w:pPr>
              <w:spacing w:line="259" w:lineRule="auto"/>
            </w:pPr>
            <w:r w:rsidRPr="00B07597">
              <w:t>1</w:t>
            </w:r>
          </w:p>
        </w:tc>
        <w:tc>
          <w:tcPr>
            <w:tcW w:w="772" w:type="dxa"/>
            <w:hideMark/>
          </w:tcPr>
          <w:p w14:paraId="658360FA" w14:textId="77777777" w:rsidR="00B07597" w:rsidRPr="00B07597" w:rsidRDefault="00B07597" w:rsidP="00602F72">
            <w:pPr>
              <w:spacing w:line="259" w:lineRule="auto"/>
            </w:pPr>
            <w:r w:rsidRPr="00B07597">
              <w:t>2.32</w:t>
            </w:r>
          </w:p>
        </w:tc>
        <w:tc>
          <w:tcPr>
            <w:tcW w:w="721" w:type="dxa"/>
            <w:hideMark/>
          </w:tcPr>
          <w:p w14:paraId="7C2C43C3" w14:textId="77777777" w:rsidR="00B07597" w:rsidRPr="00B07597" w:rsidRDefault="00B07597" w:rsidP="00602F72">
            <w:pPr>
              <w:spacing w:line="259" w:lineRule="auto"/>
            </w:pPr>
            <w:r w:rsidRPr="00B07597">
              <w:t>.13</w:t>
            </w:r>
          </w:p>
        </w:tc>
        <w:tc>
          <w:tcPr>
            <w:tcW w:w="1292" w:type="dxa"/>
            <w:hideMark/>
          </w:tcPr>
          <w:p w14:paraId="49309417" w14:textId="77777777" w:rsidR="00B07597" w:rsidRPr="00B07597" w:rsidRDefault="00B07597" w:rsidP="00602F72">
            <w:pPr>
              <w:spacing w:line="259" w:lineRule="auto"/>
            </w:pPr>
            <w:r w:rsidRPr="00B07597">
              <w:t>1</w:t>
            </w:r>
          </w:p>
        </w:tc>
        <w:tc>
          <w:tcPr>
            <w:tcW w:w="0" w:type="auto"/>
            <w:hideMark/>
          </w:tcPr>
          <w:p w14:paraId="67AE00C2" w14:textId="77777777" w:rsidR="00B07597" w:rsidRPr="00B07597" w:rsidRDefault="00B07597" w:rsidP="00602F72">
            <w:pPr>
              <w:spacing w:line="259" w:lineRule="auto"/>
            </w:pPr>
            <w:r w:rsidRPr="00B07597">
              <w:t>0.67</w:t>
            </w:r>
          </w:p>
        </w:tc>
        <w:tc>
          <w:tcPr>
            <w:tcW w:w="0" w:type="auto"/>
            <w:hideMark/>
          </w:tcPr>
          <w:p w14:paraId="195FFA7B" w14:textId="77777777" w:rsidR="00B07597" w:rsidRPr="00B07597" w:rsidRDefault="00B07597" w:rsidP="00602F72">
            <w:pPr>
              <w:spacing w:line="259" w:lineRule="auto"/>
            </w:pPr>
            <w:r w:rsidRPr="00B07597">
              <w:t>.41</w:t>
            </w:r>
          </w:p>
        </w:tc>
      </w:tr>
      <w:tr w:rsidR="00B07597" w:rsidRPr="00B07597" w14:paraId="495299DC" w14:textId="77777777" w:rsidTr="00690E4B">
        <w:tc>
          <w:tcPr>
            <w:tcW w:w="4569" w:type="dxa"/>
            <w:hideMark/>
          </w:tcPr>
          <w:p w14:paraId="630812CE" w14:textId="77777777" w:rsidR="00B07597" w:rsidRPr="00B07597" w:rsidRDefault="00B07597" w:rsidP="00602F72">
            <w:pPr>
              <w:spacing w:line="259" w:lineRule="auto"/>
            </w:pPr>
            <w:r w:rsidRPr="00B07597">
              <w:t>Treatment condition</w:t>
            </w:r>
          </w:p>
        </w:tc>
        <w:tc>
          <w:tcPr>
            <w:tcW w:w="1276" w:type="dxa"/>
            <w:hideMark/>
          </w:tcPr>
          <w:p w14:paraId="47C65781" w14:textId="77777777" w:rsidR="00B07597" w:rsidRPr="00B07597" w:rsidRDefault="00B07597" w:rsidP="00602F72">
            <w:pPr>
              <w:spacing w:line="259" w:lineRule="auto"/>
            </w:pPr>
            <w:r w:rsidRPr="00B07597">
              <w:t>1</w:t>
            </w:r>
          </w:p>
        </w:tc>
        <w:tc>
          <w:tcPr>
            <w:tcW w:w="772" w:type="dxa"/>
            <w:hideMark/>
          </w:tcPr>
          <w:p w14:paraId="1F17D492" w14:textId="77777777" w:rsidR="00B07597" w:rsidRPr="00B07597" w:rsidRDefault="00B07597" w:rsidP="00602F72">
            <w:pPr>
              <w:spacing w:line="259" w:lineRule="auto"/>
            </w:pPr>
            <w:r w:rsidRPr="00B07597">
              <w:t>0.60</w:t>
            </w:r>
          </w:p>
        </w:tc>
        <w:tc>
          <w:tcPr>
            <w:tcW w:w="721" w:type="dxa"/>
            <w:hideMark/>
          </w:tcPr>
          <w:p w14:paraId="70429D4F" w14:textId="77777777" w:rsidR="00B07597" w:rsidRPr="00B07597" w:rsidRDefault="00B07597" w:rsidP="00602F72">
            <w:pPr>
              <w:spacing w:line="259" w:lineRule="auto"/>
            </w:pPr>
            <w:r w:rsidRPr="00B07597">
              <w:t>.44</w:t>
            </w:r>
          </w:p>
        </w:tc>
        <w:tc>
          <w:tcPr>
            <w:tcW w:w="1292" w:type="dxa"/>
            <w:hideMark/>
          </w:tcPr>
          <w:p w14:paraId="4699C959" w14:textId="77777777" w:rsidR="00B07597" w:rsidRPr="00B07597" w:rsidRDefault="00B07597" w:rsidP="00602F72">
            <w:pPr>
              <w:spacing w:line="259" w:lineRule="auto"/>
            </w:pPr>
            <w:r w:rsidRPr="00B07597">
              <w:t>1</w:t>
            </w:r>
          </w:p>
        </w:tc>
        <w:tc>
          <w:tcPr>
            <w:tcW w:w="0" w:type="auto"/>
            <w:hideMark/>
          </w:tcPr>
          <w:p w14:paraId="14CE39AB" w14:textId="77777777" w:rsidR="00B07597" w:rsidRPr="00B07597" w:rsidRDefault="00B07597" w:rsidP="00602F72">
            <w:pPr>
              <w:spacing w:line="259" w:lineRule="auto"/>
            </w:pPr>
            <w:r w:rsidRPr="00B07597">
              <w:t>0.05</w:t>
            </w:r>
          </w:p>
        </w:tc>
        <w:tc>
          <w:tcPr>
            <w:tcW w:w="0" w:type="auto"/>
            <w:hideMark/>
          </w:tcPr>
          <w:p w14:paraId="468722E6" w14:textId="77777777" w:rsidR="00B07597" w:rsidRPr="00B07597" w:rsidRDefault="00B07597" w:rsidP="00602F72">
            <w:pPr>
              <w:spacing w:line="259" w:lineRule="auto"/>
            </w:pPr>
            <w:r w:rsidRPr="00B07597">
              <w:t>.83</w:t>
            </w:r>
          </w:p>
        </w:tc>
      </w:tr>
      <w:tr w:rsidR="00B07597" w:rsidRPr="00B07597" w14:paraId="549D28F2" w14:textId="77777777" w:rsidTr="00690E4B">
        <w:tc>
          <w:tcPr>
            <w:tcW w:w="4569" w:type="dxa"/>
            <w:hideMark/>
          </w:tcPr>
          <w:p w14:paraId="00E571A1" w14:textId="77777777" w:rsidR="00B07597" w:rsidRPr="00B07597" w:rsidRDefault="00B07597" w:rsidP="00602F72">
            <w:pPr>
              <w:spacing w:line="259" w:lineRule="auto"/>
            </w:pPr>
            <w:r w:rsidRPr="00B07597">
              <w:t>Treatment response status</w:t>
            </w:r>
          </w:p>
        </w:tc>
        <w:tc>
          <w:tcPr>
            <w:tcW w:w="1276" w:type="dxa"/>
            <w:hideMark/>
          </w:tcPr>
          <w:p w14:paraId="7D44E5C2" w14:textId="77777777" w:rsidR="00B07597" w:rsidRPr="00B07597" w:rsidRDefault="00B07597" w:rsidP="00602F72">
            <w:pPr>
              <w:spacing w:line="259" w:lineRule="auto"/>
            </w:pPr>
            <w:r w:rsidRPr="00B07597">
              <w:rPr>
                <w:b/>
                <w:bCs/>
              </w:rPr>
              <w:t>1</w:t>
            </w:r>
          </w:p>
        </w:tc>
        <w:tc>
          <w:tcPr>
            <w:tcW w:w="772" w:type="dxa"/>
            <w:hideMark/>
          </w:tcPr>
          <w:p w14:paraId="572F2D20" w14:textId="77777777" w:rsidR="00B07597" w:rsidRPr="00B07597" w:rsidRDefault="00B07597" w:rsidP="00602F72">
            <w:pPr>
              <w:spacing w:line="259" w:lineRule="auto"/>
            </w:pPr>
            <w:r w:rsidRPr="00B07597">
              <w:rPr>
                <w:b/>
                <w:bCs/>
              </w:rPr>
              <w:t>5.36</w:t>
            </w:r>
          </w:p>
        </w:tc>
        <w:tc>
          <w:tcPr>
            <w:tcW w:w="721" w:type="dxa"/>
            <w:hideMark/>
          </w:tcPr>
          <w:p w14:paraId="47E30E59" w14:textId="77777777" w:rsidR="00B07597" w:rsidRPr="00B07597" w:rsidRDefault="00B07597" w:rsidP="00602F72">
            <w:pPr>
              <w:spacing w:line="259" w:lineRule="auto"/>
            </w:pPr>
            <w:r w:rsidRPr="00B07597">
              <w:rPr>
                <w:b/>
                <w:bCs/>
              </w:rPr>
              <w:t>.02</w:t>
            </w:r>
          </w:p>
        </w:tc>
        <w:tc>
          <w:tcPr>
            <w:tcW w:w="1292" w:type="dxa"/>
            <w:hideMark/>
          </w:tcPr>
          <w:p w14:paraId="6CAA517C" w14:textId="77777777" w:rsidR="00B07597" w:rsidRPr="00B07597" w:rsidRDefault="00B07597" w:rsidP="00602F72">
            <w:pPr>
              <w:spacing w:line="259" w:lineRule="auto"/>
            </w:pPr>
            <w:r w:rsidRPr="00B07597">
              <w:rPr>
                <w:b/>
                <w:bCs/>
              </w:rPr>
              <w:t>1</w:t>
            </w:r>
          </w:p>
        </w:tc>
        <w:tc>
          <w:tcPr>
            <w:tcW w:w="0" w:type="auto"/>
            <w:hideMark/>
          </w:tcPr>
          <w:p w14:paraId="5D04E420" w14:textId="77777777" w:rsidR="00B07597" w:rsidRPr="00B07597" w:rsidRDefault="00B07597" w:rsidP="00602F72">
            <w:pPr>
              <w:spacing w:line="259" w:lineRule="auto"/>
            </w:pPr>
            <w:r w:rsidRPr="00B07597">
              <w:rPr>
                <w:b/>
                <w:bCs/>
              </w:rPr>
              <w:t>5.09</w:t>
            </w:r>
          </w:p>
        </w:tc>
        <w:tc>
          <w:tcPr>
            <w:tcW w:w="0" w:type="auto"/>
            <w:hideMark/>
          </w:tcPr>
          <w:p w14:paraId="1FB096FD" w14:textId="77777777" w:rsidR="00B07597" w:rsidRPr="00B07597" w:rsidRDefault="00B07597" w:rsidP="00602F72">
            <w:pPr>
              <w:spacing w:line="259" w:lineRule="auto"/>
            </w:pPr>
            <w:r w:rsidRPr="00B07597">
              <w:rPr>
                <w:b/>
                <w:bCs/>
              </w:rPr>
              <w:t>.03</w:t>
            </w:r>
          </w:p>
        </w:tc>
      </w:tr>
      <w:tr w:rsidR="00B07597" w:rsidRPr="00B07597" w14:paraId="72355C51" w14:textId="77777777" w:rsidTr="00690E4B">
        <w:tc>
          <w:tcPr>
            <w:tcW w:w="4569" w:type="dxa"/>
            <w:hideMark/>
          </w:tcPr>
          <w:p w14:paraId="2C38BF3B" w14:textId="77777777" w:rsidR="00B07597" w:rsidRPr="00B07597" w:rsidRDefault="00B07597" w:rsidP="00602F72">
            <w:pPr>
              <w:spacing w:line="259" w:lineRule="auto"/>
            </w:pPr>
            <w:r w:rsidRPr="00B07597">
              <w:t>EBT for tics</w:t>
            </w:r>
          </w:p>
        </w:tc>
        <w:tc>
          <w:tcPr>
            <w:tcW w:w="1276" w:type="dxa"/>
            <w:hideMark/>
          </w:tcPr>
          <w:p w14:paraId="180D02D1" w14:textId="77777777" w:rsidR="00B07597" w:rsidRPr="00B07597" w:rsidRDefault="00B07597" w:rsidP="00602F72">
            <w:pPr>
              <w:spacing w:line="259" w:lineRule="auto"/>
            </w:pPr>
            <w:r w:rsidRPr="00B07597">
              <w:t>1</w:t>
            </w:r>
          </w:p>
        </w:tc>
        <w:tc>
          <w:tcPr>
            <w:tcW w:w="772" w:type="dxa"/>
            <w:hideMark/>
          </w:tcPr>
          <w:p w14:paraId="4631D13C" w14:textId="77777777" w:rsidR="00B07597" w:rsidRPr="00B07597" w:rsidRDefault="00B07597" w:rsidP="00602F72">
            <w:pPr>
              <w:spacing w:line="259" w:lineRule="auto"/>
            </w:pPr>
            <w:r w:rsidRPr="00B07597">
              <w:t>3.12</w:t>
            </w:r>
          </w:p>
        </w:tc>
        <w:tc>
          <w:tcPr>
            <w:tcW w:w="721" w:type="dxa"/>
            <w:hideMark/>
          </w:tcPr>
          <w:p w14:paraId="0034C551" w14:textId="77777777" w:rsidR="00B07597" w:rsidRPr="00B07597" w:rsidRDefault="00B07597" w:rsidP="00602F72">
            <w:pPr>
              <w:spacing w:line="259" w:lineRule="auto"/>
            </w:pPr>
            <w:r w:rsidRPr="00B07597">
              <w:t>.08</w:t>
            </w:r>
          </w:p>
        </w:tc>
        <w:tc>
          <w:tcPr>
            <w:tcW w:w="1292" w:type="dxa"/>
            <w:hideMark/>
          </w:tcPr>
          <w:p w14:paraId="038251BA" w14:textId="77777777" w:rsidR="00B07597" w:rsidRPr="00B07597" w:rsidRDefault="00B07597" w:rsidP="00602F72">
            <w:pPr>
              <w:spacing w:line="259" w:lineRule="auto"/>
            </w:pPr>
            <w:r w:rsidRPr="00B07597">
              <w:t>1</w:t>
            </w:r>
          </w:p>
        </w:tc>
        <w:tc>
          <w:tcPr>
            <w:tcW w:w="0" w:type="auto"/>
            <w:hideMark/>
          </w:tcPr>
          <w:p w14:paraId="398600DF" w14:textId="77777777" w:rsidR="00B07597" w:rsidRPr="00B07597" w:rsidRDefault="00B07597" w:rsidP="00602F72">
            <w:pPr>
              <w:spacing w:line="259" w:lineRule="auto"/>
            </w:pPr>
            <w:r w:rsidRPr="00B07597">
              <w:t>1.95</w:t>
            </w:r>
          </w:p>
        </w:tc>
        <w:tc>
          <w:tcPr>
            <w:tcW w:w="0" w:type="auto"/>
            <w:hideMark/>
          </w:tcPr>
          <w:p w14:paraId="64DC4AFB" w14:textId="77777777" w:rsidR="00B07597" w:rsidRPr="00B07597" w:rsidRDefault="00B07597" w:rsidP="00602F72">
            <w:pPr>
              <w:spacing w:line="259" w:lineRule="auto"/>
            </w:pPr>
            <w:r w:rsidRPr="00B07597">
              <w:t>.17</w:t>
            </w:r>
          </w:p>
        </w:tc>
      </w:tr>
      <w:tr w:rsidR="00B07597" w:rsidRPr="00B07597" w14:paraId="1B3820D1" w14:textId="77777777" w:rsidTr="00690E4B">
        <w:tc>
          <w:tcPr>
            <w:tcW w:w="4569" w:type="dxa"/>
            <w:hideMark/>
          </w:tcPr>
          <w:p w14:paraId="0423872A" w14:textId="77777777" w:rsidR="00B07597" w:rsidRPr="00B07597" w:rsidRDefault="00B07597" w:rsidP="00602F72">
            <w:pPr>
              <w:spacing w:line="259" w:lineRule="auto"/>
            </w:pPr>
            <w:r w:rsidRPr="00B07597">
              <w:t>Time</w:t>
            </w:r>
          </w:p>
        </w:tc>
        <w:tc>
          <w:tcPr>
            <w:tcW w:w="1276" w:type="dxa"/>
            <w:hideMark/>
          </w:tcPr>
          <w:p w14:paraId="620513EC" w14:textId="77777777" w:rsidR="00B07597" w:rsidRPr="00B07597" w:rsidRDefault="00B07597" w:rsidP="00602F72">
            <w:pPr>
              <w:spacing w:line="259" w:lineRule="auto"/>
            </w:pPr>
            <w:r w:rsidRPr="00B07597">
              <w:rPr>
                <w:b/>
                <w:bCs/>
              </w:rPr>
              <w:t>2</w:t>
            </w:r>
          </w:p>
        </w:tc>
        <w:tc>
          <w:tcPr>
            <w:tcW w:w="772" w:type="dxa"/>
            <w:hideMark/>
          </w:tcPr>
          <w:p w14:paraId="77DA3161" w14:textId="77777777" w:rsidR="00B07597" w:rsidRPr="00B07597" w:rsidRDefault="00B07597" w:rsidP="00602F72">
            <w:pPr>
              <w:spacing w:line="259" w:lineRule="auto"/>
            </w:pPr>
            <w:r w:rsidRPr="00B07597">
              <w:rPr>
                <w:b/>
                <w:bCs/>
              </w:rPr>
              <w:t>24.64</w:t>
            </w:r>
          </w:p>
        </w:tc>
        <w:tc>
          <w:tcPr>
            <w:tcW w:w="721" w:type="dxa"/>
            <w:hideMark/>
          </w:tcPr>
          <w:p w14:paraId="08A53E9E" w14:textId="77777777" w:rsidR="00B07597" w:rsidRPr="00B07597" w:rsidRDefault="00B07597" w:rsidP="00602F72">
            <w:pPr>
              <w:spacing w:line="259" w:lineRule="auto"/>
            </w:pPr>
            <w:r w:rsidRPr="00B07597">
              <w:rPr>
                <w:b/>
                <w:bCs/>
              </w:rPr>
              <w:t>&lt;.001</w:t>
            </w:r>
          </w:p>
        </w:tc>
        <w:tc>
          <w:tcPr>
            <w:tcW w:w="1292" w:type="dxa"/>
            <w:hideMark/>
          </w:tcPr>
          <w:p w14:paraId="465FE7EC" w14:textId="77777777" w:rsidR="00B07597" w:rsidRPr="00B07597" w:rsidRDefault="00B07597" w:rsidP="00602F72">
            <w:pPr>
              <w:spacing w:line="259" w:lineRule="auto"/>
            </w:pPr>
            <w:r w:rsidRPr="00B07597">
              <w:rPr>
                <w:b/>
                <w:bCs/>
              </w:rPr>
              <w:t>2</w:t>
            </w:r>
          </w:p>
        </w:tc>
        <w:tc>
          <w:tcPr>
            <w:tcW w:w="0" w:type="auto"/>
            <w:hideMark/>
          </w:tcPr>
          <w:p w14:paraId="68512F3C" w14:textId="77777777" w:rsidR="00B07597" w:rsidRPr="00B07597" w:rsidRDefault="00B07597" w:rsidP="00602F72">
            <w:pPr>
              <w:spacing w:line="259" w:lineRule="auto"/>
            </w:pPr>
            <w:r w:rsidRPr="00B07597">
              <w:rPr>
                <w:b/>
                <w:bCs/>
              </w:rPr>
              <w:t>49.10</w:t>
            </w:r>
          </w:p>
        </w:tc>
        <w:tc>
          <w:tcPr>
            <w:tcW w:w="0" w:type="auto"/>
            <w:hideMark/>
          </w:tcPr>
          <w:p w14:paraId="0D8DFD39" w14:textId="77777777" w:rsidR="00B07597" w:rsidRPr="00B07597" w:rsidRDefault="00B07597" w:rsidP="00602F72">
            <w:pPr>
              <w:spacing w:line="259" w:lineRule="auto"/>
            </w:pPr>
            <w:r w:rsidRPr="00B07597">
              <w:rPr>
                <w:b/>
                <w:bCs/>
              </w:rPr>
              <w:t>&lt;.001</w:t>
            </w:r>
          </w:p>
        </w:tc>
      </w:tr>
      <w:tr w:rsidR="00B07597" w:rsidRPr="00B07597" w14:paraId="26E9C42B" w14:textId="77777777" w:rsidTr="00690E4B">
        <w:tc>
          <w:tcPr>
            <w:tcW w:w="4569" w:type="dxa"/>
            <w:hideMark/>
          </w:tcPr>
          <w:p w14:paraId="534FB2BD"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treatment response status</w:t>
            </w:r>
          </w:p>
        </w:tc>
        <w:tc>
          <w:tcPr>
            <w:tcW w:w="1276" w:type="dxa"/>
            <w:hideMark/>
          </w:tcPr>
          <w:p w14:paraId="3388DB12" w14:textId="77777777" w:rsidR="00B07597" w:rsidRPr="00B07597" w:rsidRDefault="00B07597" w:rsidP="00602F72">
            <w:pPr>
              <w:spacing w:line="259" w:lineRule="auto"/>
            </w:pPr>
            <w:r w:rsidRPr="00B07597">
              <w:t>1</w:t>
            </w:r>
          </w:p>
        </w:tc>
        <w:tc>
          <w:tcPr>
            <w:tcW w:w="772" w:type="dxa"/>
            <w:hideMark/>
          </w:tcPr>
          <w:p w14:paraId="24491649" w14:textId="77777777" w:rsidR="00B07597" w:rsidRPr="00B07597" w:rsidRDefault="00B07597" w:rsidP="00602F72">
            <w:pPr>
              <w:spacing w:line="259" w:lineRule="auto"/>
            </w:pPr>
            <w:r w:rsidRPr="00B07597">
              <w:t>0.97</w:t>
            </w:r>
          </w:p>
        </w:tc>
        <w:tc>
          <w:tcPr>
            <w:tcW w:w="721" w:type="dxa"/>
            <w:hideMark/>
          </w:tcPr>
          <w:p w14:paraId="22E8B2B5" w14:textId="77777777" w:rsidR="00B07597" w:rsidRPr="00B07597" w:rsidRDefault="00B07597" w:rsidP="00602F72">
            <w:pPr>
              <w:spacing w:line="259" w:lineRule="auto"/>
            </w:pPr>
            <w:r w:rsidRPr="00B07597">
              <w:t>.33</w:t>
            </w:r>
          </w:p>
        </w:tc>
        <w:tc>
          <w:tcPr>
            <w:tcW w:w="1292" w:type="dxa"/>
            <w:hideMark/>
          </w:tcPr>
          <w:p w14:paraId="541C8878" w14:textId="77777777" w:rsidR="00B07597" w:rsidRPr="00B07597" w:rsidRDefault="00B07597" w:rsidP="00602F72">
            <w:pPr>
              <w:spacing w:line="259" w:lineRule="auto"/>
            </w:pPr>
            <w:r w:rsidRPr="00B07597">
              <w:t>1</w:t>
            </w:r>
          </w:p>
        </w:tc>
        <w:tc>
          <w:tcPr>
            <w:tcW w:w="0" w:type="auto"/>
            <w:hideMark/>
          </w:tcPr>
          <w:p w14:paraId="65AC3EB4" w14:textId="77777777" w:rsidR="00B07597" w:rsidRPr="00B07597" w:rsidRDefault="00B07597" w:rsidP="00602F72">
            <w:pPr>
              <w:spacing w:line="259" w:lineRule="auto"/>
            </w:pPr>
            <w:r w:rsidRPr="00B07597">
              <w:t>0.14</w:t>
            </w:r>
          </w:p>
        </w:tc>
        <w:tc>
          <w:tcPr>
            <w:tcW w:w="0" w:type="auto"/>
            <w:hideMark/>
          </w:tcPr>
          <w:p w14:paraId="1BEE7ACD" w14:textId="77777777" w:rsidR="00B07597" w:rsidRPr="00B07597" w:rsidRDefault="00B07597" w:rsidP="00602F72">
            <w:pPr>
              <w:spacing w:line="259" w:lineRule="auto"/>
            </w:pPr>
            <w:r w:rsidRPr="00B07597">
              <w:t>.71</w:t>
            </w:r>
          </w:p>
        </w:tc>
      </w:tr>
      <w:tr w:rsidR="00B07597" w:rsidRPr="00B07597" w14:paraId="7BE9C377" w14:textId="77777777" w:rsidTr="00690E4B">
        <w:tc>
          <w:tcPr>
            <w:tcW w:w="4569" w:type="dxa"/>
            <w:hideMark/>
          </w:tcPr>
          <w:p w14:paraId="71177A36"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EBT for tics</w:t>
            </w:r>
          </w:p>
        </w:tc>
        <w:tc>
          <w:tcPr>
            <w:tcW w:w="1276" w:type="dxa"/>
            <w:hideMark/>
          </w:tcPr>
          <w:p w14:paraId="2CB86C98" w14:textId="77777777" w:rsidR="00B07597" w:rsidRPr="00B07597" w:rsidRDefault="00B07597" w:rsidP="00602F72">
            <w:pPr>
              <w:spacing w:line="259" w:lineRule="auto"/>
            </w:pPr>
            <w:r w:rsidRPr="00B07597">
              <w:t>1</w:t>
            </w:r>
          </w:p>
        </w:tc>
        <w:tc>
          <w:tcPr>
            <w:tcW w:w="772" w:type="dxa"/>
            <w:hideMark/>
          </w:tcPr>
          <w:p w14:paraId="3A2ACA2D" w14:textId="77777777" w:rsidR="00B07597" w:rsidRPr="00B07597" w:rsidRDefault="00B07597" w:rsidP="00602F72">
            <w:pPr>
              <w:spacing w:line="259" w:lineRule="auto"/>
            </w:pPr>
            <w:r w:rsidRPr="00B07597">
              <w:t>0.37</w:t>
            </w:r>
          </w:p>
        </w:tc>
        <w:tc>
          <w:tcPr>
            <w:tcW w:w="721" w:type="dxa"/>
            <w:hideMark/>
          </w:tcPr>
          <w:p w14:paraId="169AFAB7" w14:textId="77777777" w:rsidR="00B07597" w:rsidRPr="00B07597" w:rsidRDefault="00B07597" w:rsidP="00602F72">
            <w:pPr>
              <w:spacing w:line="259" w:lineRule="auto"/>
            </w:pPr>
            <w:r w:rsidRPr="00B07597">
              <w:t>.55</w:t>
            </w:r>
          </w:p>
        </w:tc>
        <w:tc>
          <w:tcPr>
            <w:tcW w:w="1292" w:type="dxa"/>
            <w:hideMark/>
          </w:tcPr>
          <w:p w14:paraId="5290F434" w14:textId="77777777" w:rsidR="00B07597" w:rsidRPr="00B07597" w:rsidRDefault="00B07597" w:rsidP="00602F72">
            <w:pPr>
              <w:spacing w:line="259" w:lineRule="auto"/>
            </w:pPr>
            <w:r w:rsidRPr="00B07597">
              <w:t>1</w:t>
            </w:r>
          </w:p>
        </w:tc>
        <w:tc>
          <w:tcPr>
            <w:tcW w:w="0" w:type="auto"/>
            <w:hideMark/>
          </w:tcPr>
          <w:p w14:paraId="1DF551CC" w14:textId="77777777" w:rsidR="00B07597" w:rsidRPr="00B07597" w:rsidRDefault="00B07597" w:rsidP="00602F72">
            <w:pPr>
              <w:spacing w:line="259" w:lineRule="auto"/>
            </w:pPr>
            <w:r w:rsidRPr="00B07597">
              <w:t>1.48</w:t>
            </w:r>
          </w:p>
        </w:tc>
        <w:tc>
          <w:tcPr>
            <w:tcW w:w="0" w:type="auto"/>
            <w:hideMark/>
          </w:tcPr>
          <w:p w14:paraId="674FCFF4" w14:textId="77777777" w:rsidR="00B07597" w:rsidRPr="00B07597" w:rsidRDefault="00B07597" w:rsidP="00602F72">
            <w:pPr>
              <w:spacing w:line="259" w:lineRule="auto"/>
            </w:pPr>
            <w:r w:rsidRPr="00B07597">
              <w:t>.23</w:t>
            </w:r>
          </w:p>
        </w:tc>
      </w:tr>
      <w:tr w:rsidR="00B07597" w:rsidRPr="00B07597" w14:paraId="58A9726F" w14:textId="77777777" w:rsidTr="00690E4B">
        <w:tc>
          <w:tcPr>
            <w:tcW w:w="4569" w:type="dxa"/>
            <w:hideMark/>
          </w:tcPr>
          <w:p w14:paraId="51FCA7C9"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time</w:t>
            </w:r>
          </w:p>
        </w:tc>
        <w:tc>
          <w:tcPr>
            <w:tcW w:w="1276" w:type="dxa"/>
            <w:hideMark/>
          </w:tcPr>
          <w:p w14:paraId="64BDB816" w14:textId="77777777" w:rsidR="00B07597" w:rsidRPr="00B07597" w:rsidRDefault="00B07597" w:rsidP="00602F72">
            <w:pPr>
              <w:spacing w:line="259" w:lineRule="auto"/>
            </w:pPr>
            <w:r w:rsidRPr="00B07597">
              <w:t>2</w:t>
            </w:r>
          </w:p>
        </w:tc>
        <w:tc>
          <w:tcPr>
            <w:tcW w:w="772" w:type="dxa"/>
            <w:hideMark/>
          </w:tcPr>
          <w:p w14:paraId="5D4C1DAD" w14:textId="77777777" w:rsidR="00B07597" w:rsidRPr="00B07597" w:rsidRDefault="00B07597" w:rsidP="00602F72">
            <w:pPr>
              <w:spacing w:line="259" w:lineRule="auto"/>
            </w:pPr>
            <w:r w:rsidRPr="00B07597">
              <w:t>2.01</w:t>
            </w:r>
          </w:p>
        </w:tc>
        <w:tc>
          <w:tcPr>
            <w:tcW w:w="721" w:type="dxa"/>
            <w:hideMark/>
          </w:tcPr>
          <w:p w14:paraId="4C1B4F16" w14:textId="77777777" w:rsidR="00B07597" w:rsidRPr="00B07597" w:rsidRDefault="00B07597" w:rsidP="00602F72">
            <w:pPr>
              <w:spacing w:line="259" w:lineRule="auto"/>
            </w:pPr>
            <w:r w:rsidRPr="00B07597">
              <w:t>.14</w:t>
            </w:r>
          </w:p>
        </w:tc>
        <w:tc>
          <w:tcPr>
            <w:tcW w:w="1292" w:type="dxa"/>
            <w:hideMark/>
          </w:tcPr>
          <w:p w14:paraId="4EB5E5A5" w14:textId="77777777" w:rsidR="00B07597" w:rsidRPr="00B07597" w:rsidRDefault="00B07597" w:rsidP="00602F72">
            <w:pPr>
              <w:spacing w:line="259" w:lineRule="auto"/>
            </w:pPr>
            <w:r w:rsidRPr="00B07597">
              <w:t>2</w:t>
            </w:r>
          </w:p>
        </w:tc>
        <w:tc>
          <w:tcPr>
            <w:tcW w:w="0" w:type="auto"/>
            <w:hideMark/>
          </w:tcPr>
          <w:p w14:paraId="3337BEF0" w14:textId="77777777" w:rsidR="00B07597" w:rsidRPr="00B07597" w:rsidRDefault="00B07597" w:rsidP="00602F72">
            <w:pPr>
              <w:spacing w:line="259" w:lineRule="auto"/>
            </w:pPr>
            <w:r w:rsidRPr="00B07597">
              <w:t>1.21</w:t>
            </w:r>
          </w:p>
        </w:tc>
        <w:tc>
          <w:tcPr>
            <w:tcW w:w="0" w:type="auto"/>
            <w:hideMark/>
          </w:tcPr>
          <w:p w14:paraId="7CA4C86A" w14:textId="77777777" w:rsidR="00B07597" w:rsidRPr="00B07597" w:rsidRDefault="00B07597" w:rsidP="00602F72">
            <w:pPr>
              <w:spacing w:line="259" w:lineRule="auto"/>
            </w:pPr>
            <w:r w:rsidRPr="00B07597">
              <w:t>.30</w:t>
            </w:r>
          </w:p>
        </w:tc>
      </w:tr>
      <w:tr w:rsidR="00B07597" w:rsidRPr="00B07597" w14:paraId="0743ED21" w14:textId="77777777" w:rsidTr="00690E4B">
        <w:tc>
          <w:tcPr>
            <w:tcW w:w="4569" w:type="dxa"/>
            <w:hideMark/>
          </w:tcPr>
          <w:p w14:paraId="7797E3C3" w14:textId="77777777" w:rsidR="00B07597" w:rsidRPr="00B07597" w:rsidRDefault="00B07597" w:rsidP="00602F72">
            <w:pPr>
              <w:spacing w:line="259" w:lineRule="auto"/>
            </w:pPr>
            <w:r w:rsidRPr="00B07597">
              <w:t xml:space="preserve">Treatment response status </w:t>
            </w:r>
            <w:r w:rsidRPr="00B07597">
              <w:rPr>
                <w:rFonts w:ascii="Cambria Math" w:hAnsi="Cambria Math" w:cs="Cambria Math"/>
              </w:rPr>
              <w:t>∗</w:t>
            </w:r>
            <w:r w:rsidRPr="00B07597">
              <w:t xml:space="preserve"> EBT for tics</w:t>
            </w:r>
          </w:p>
        </w:tc>
        <w:tc>
          <w:tcPr>
            <w:tcW w:w="1276" w:type="dxa"/>
            <w:hideMark/>
          </w:tcPr>
          <w:p w14:paraId="1909AF12" w14:textId="77777777" w:rsidR="00B07597" w:rsidRPr="00B07597" w:rsidRDefault="00B07597" w:rsidP="00602F72">
            <w:pPr>
              <w:spacing w:line="259" w:lineRule="auto"/>
            </w:pPr>
            <w:r w:rsidRPr="00B07597">
              <w:t>1</w:t>
            </w:r>
          </w:p>
        </w:tc>
        <w:tc>
          <w:tcPr>
            <w:tcW w:w="772" w:type="dxa"/>
            <w:hideMark/>
          </w:tcPr>
          <w:p w14:paraId="238E0980" w14:textId="77777777" w:rsidR="00B07597" w:rsidRPr="00B07597" w:rsidRDefault="00B07597" w:rsidP="00602F72">
            <w:pPr>
              <w:spacing w:line="259" w:lineRule="auto"/>
            </w:pPr>
            <w:r w:rsidRPr="00B07597">
              <w:t>0.61</w:t>
            </w:r>
          </w:p>
        </w:tc>
        <w:tc>
          <w:tcPr>
            <w:tcW w:w="721" w:type="dxa"/>
            <w:hideMark/>
          </w:tcPr>
          <w:p w14:paraId="1B0F43AD" w14:textId="77777777" w:rsidR="00B07597" w:rsidRPr="00B07597" w:rsidRDefault="00B07597" w:rsidP="00602F72">
            <w:pPr>
              <w:spacing w:line="259" w:lineRule="auto"/>
            </w:pPr>
            <w:r w:rsidRPr="00B07597">
              <w:t>.44</w:t>
            </w:r>
          </w:p>
        </w:tc>
        <w:tc>
          <w:tcPr>
            <w:tcW w:w="1292" w:type="dxa"/>
            <w:hideMark/>
          </w:tcPr>
          <w:p w14:paraId="33A404F6" w14:textId="77777777" w:rsidR="00B07597" w:rsidRPr="00B07597" w:rsidRDefault="00B07597" w:rsidP="00602F72">
            <w:pPr>
              <w:spacing w:line="259" w:lineRule="auto"/>
            </w:pPr>
            <w:r w:rsidRPr="00B07597">
              <w:t>1</w:t>
            </w:r>
          </w:p>
        </w:tc>
        <w:tc>
          <w:tcPr>
            <w:tcW w:w="0" w:type="auto"/>
            <w:hideMark/>
          </w:tcPr>
          <w:p w14:paraId="365F254A" w14:textId="77777777" w:rsidR="00B07597" w:rsidRPr="00B07597" w:rsidRDefault="00B07597" w:rsidP="00602F72">
            <w:pPr>
              <w:spacing w:line="259" w:lineRule="auto"/>
            </w:pPr>
            <w:r w:rsidRPr="00B07597">
              <w:t>0.14</w:t>
            </w:r>
          </w:p>
        </w:tc>
        <w:tc>
          <w:tcPr>
            <w:tcW w:w="0" w:type="auto"/>
            <w:hideMark/>
          </w:tcPr>
          <w:p w14:paraId="7B264C24" w14:textId="77777777" w:rsidR="00B07597" w:rsidRPr="00B07597" w:rsidRDefault="00B07597" w:rsidP="00602F72">
            <w:pPr>
              <w:spacing w:line="259" w:lineRule="auto"/>
            </w:pPr>
            <w:r w:rsidRPr="00B07597">
              <w:t>.71</w:t>
            </w:r>
          </w:p>
        </w:tc>
      </w:tr>
      <w:tr w:rsidR="00B07597" w:rsidRPr="00B07597" w14:paraId="076E34F1" w14:textId="77777777" w:rsidTr="00690E4B">
        <w:tc>
          <w:tcPr>
            <w:tcW w:w="4569" w:type="dxa"/>
            <w:hideMark/>
          </w:tcPr>
          <w:p w14:paraId="53ECBBC4" w14:textId="77777777" w:rsidR="00B07597" w:rsidRPr="00B07597" w:rsidRDefault="00B07597" w:rsidP="00602F72">
            <w:pPr>
              <w:spacing w:line="259" w:lineRule="auto"/>
            </w:pPr>
            <w:r w:rsidRPr="00B07597">
              <w:t xml:space="preserve">Treatment response status </w:t>
            </w:r>
            <w:r w:rsidRPr="00B07597">
              <w:rPr>
                <w:rFonts w:ascii="Cambria Math" w:hAnsi="Cambria Math" w:cs="Cambria Math"/>
              </w:rPr>
              <w:t>∗</w:t>
            </w:r>
            <w:r w:rsidRPr="00B07597">
              <w:t xml:space="preserve"> time</w:t>
            </w:r>
          </w:p>
        </w:tc>
        <w:tc>
          <w:tcPr>
            <w:tcW w:w="1276" w:type="dxa"/>
            <w:hideMark/>
          </w:tcPr>
          <w:p w14:paraId="3BEC318F" w14:textId="77777777" w:rsidR="00B07597" w:rsidRPr="00B07597" w:rsidRDefault="00B07597" w:rsidP="00602F72">
            <w:pPr>
              <w:spacing w:line="259" w:lineRule="auto"/>
            </w:pPr>
            <w:r w:rsidRPr="00B07597">
              <w:rPr>
                <w:b/>
                <w:bCs/>
              </w:rPr>
              <w:t>2</w:t>
            </w:r>
          </w:p>
        </w:tc>
        <w:tc>
          <w:tcPr>
            <w:tcW w:w="772" w:type="dxa"/>
            <w:hideMark/>
          </w:tcPr>
          <w:p w14:paraId="6F360F3E" w14:textId="77777777" w:rsidR="00B07597" w:rsidRPr="00B07597" w:rsidRDefault="00B07597" w:rsidP="00602F72">
            <w:pPr>
              <w:spacing w:line="259" w:lineRule="auto"/>
            </w:pPr>
            <w:r w:rsidRPr="00B07597">
              <w:rPr>
                <w:b/>
                <w:bCs/>
              </w:rPr>
              <w:t>9.02</w:t>
            </w:r>
          </w:p>
        </w:tc>
        <w:tc>
          <w:tcPr>
            <w:tcW w:w="721" w:type="dxa"/>
            <w:hideMark/>
          </w:tcPr>
          <w:p w14:paraId="07F3A4A1" w14:textId="77777777" w:rsidR="00B07597" w:rsidRPr="00B07597" w:rsidRDefault="00B07597" w:rsidP="00602F72">
            <w:pPr>
              <w:spacing w:line="259" w:lineRule="auto"/>
            </w:pPr>
            <w:r w:rsidRPr="00B07597">
              <w:rPr>
                <w:b/>
                <w:bCs/>
              </w:rPr>
              <w:t>&lt;.001</w:t>
            </w:r>
          </w:p>
        </w:tc>
        <w:tc>
          <w:tcPr>
            <w:tcW w:w="1292" w:type="dxa"/>
            <w:hideMark/>
          </w:tcPr>
          <w:p w14:paraId="28FF6591" w14:textId="77777777" w:rsidR="00B07597" w:rsidRPr="00B07597" w:rsidRDefault="00B07597" w:rsidP="00602F72">
            <w:pPr>
              <w:spacing w:line="259" w:lineRule="auto"/>
            </w:pPr>
            <w:r w:rsidRPr="00B07597">
              <w:rPr>
                <w:b/>
                <w:bCs/>
              </w:rPr>
              <w:t>2</w:t>
            </w:r>
          </w:p>
        </w:tc>
        <w:tc>
          <w:tcPr>
            <w:tcW w:w="0" w:type="auto"/>
            <w:hideMark/>
          </w:tcPr>
          <w:p w14:paraId="68E8448A" w14:textId="77777777" w:rsidR="00B07597" w:rsidRPr="00B07597" w:rsidRDefault="00B07597" w:rsidP="00602F72">
            <w:pPr>
              <w:spacing w:line="259" w:lineRule="auto"/>
            </w:pPr>
            <w:r w:rsidRPr="00B07597">
              <w:rPr>
                <w:b/>
                <w:bCs/>
              </w:rPr>
              <w:t>9.54</w:t>
            </w:r>
          </w:p>
        </w:tc>
        <w:tc>
          <w:tcPr>
            <w:tcW w:w="0" w:type="auto"/>
            <w:hideMark/>
          </w:tcPr>
          <w:p w14:paraId="319A4C4F" w14:textId="77777777" w:rsidR="00B07597" w:rsidRPr="00B07597" w:rsidRDefault="00B07597" w:rsidP="00602F72">
            <w:pPr>
              <w:spacing w:line="259" w:lineRule="auto"/>
            </w:pPr>
            <w:r w:rsidRPr="00B07597">
              <w:rPr>
                <w:b/>
                <w:bCs/>
              </w:rPr>
              <w:t>&lt;.001</w:t>
            </w:r>
          </w:p>
        </w:tc>
      </w:tr>
      <w:tr w:rsidR="00B07597" w:rsidRPr="00B07597" w14:paraId="02A894E7" w14:textId="77777777" w:rsidTr="00690E4B">
        <w:tc>
          <w:tcPr>
            <w:tcW w:w="4569" w:type="dxa"/>
            <w:hideMark/>
          </w:tcPr>
          <w:p w14:paraId="29F1A48B" w14:textId="77777777" w:rsidR="00B07597" w:rsidRPr="00B07597" w:rsidRDefault="00B07597" w:rsidP="00602F72">
            <w:pPr>
              <w:spacing w:line="259" w:lineRule="auto"/>
            </w:pPr>
            <w:r w:rsidRPr="00B07597">
              <w:t xml:space="preserve">EBT for tics </w:t>
            </w:r>
            <w:r w:rsidRPr="00B07597">
              <w:rPr>
                <w:rFonts w:ascii="Cambria Math" w:hAnsi="Cambria Math" w:cs="Cambria Math"/>
              </w:rPr>
              <w:t>∗</w:t>
            </w:r>
            <w:r w:rsidRPr="00B07597">
              <w:t xml:space="preserve"> time</w:t>
            </w:r>
          </w:p>
        </w:tc>
        <w:tc>
          <w:tcPr>
            <w:tcW w:w="1276" w:type="dxa"/>
            <w:hideMark/>
          </w:tcPr>
          <w:p w14:paraId="36423BAB" w14:textId="77777777" w:rsidR="00B07597" w:rsidRPr="00B07597" w:rsidRDefault="00B07597" w:rsidP="00602F72">
            <w:pPr>
              <w:spacing w:line="259" w:lineRule="auto"/>
            </w:pPr>
            <w:r w:rsidRPr="00B07597">
              <w:t>2</w:t>
            </w:r>
          </w:p>
        </w:tc>
        <w:tc>
          <w:tcPr>
            <w:tcW w:w="772" w:type="dxa"/>
            <w:hideMark/>
          </w:tcPr>
          <w:p w14:paraId="25F7DA6D" w14:textId="77777777" w:rsidR="00B07597" w:rsidRPr="00B07597" w:rsidRDefault="00B07597" w:rsidP="00602F72">
            <w:pPr>
              <w:spacing w:line="259" w:lineRule="auto"/>
            </w:pPr>
            <w:r w:rsidRPr="00B07597">
              <w:t>0.38</w:t>
            </w:r>
          </w:p>
        </w:tc>
        <w:tc>
          <w:tcPr>
            <w:tcW w:w="721" w:type="dxa"/>
            <w:hideMark/>
          </w:tcPr>
          <w:p w14:paraId="30835021" w14:textId="77777777" w:rsidR="00B07597" w:rsidRPr="00B07597" w:rsidRDefault="00B07597" w:rsidP="00602F72">
            <w:pPr>
              <w:spacing w:line="259" w:lineRule="auto"/>
            </w:pPr>
            <w:r w:rsidRPr="00B07597">
              <w:t>.69</w:t>
            </w:r>
          </w:p>
        </w:tc>
        <w:tc>
          <w:tcPr>
            <w:tcW w:w="1292" w:type="dxa"/>
            <w:hideMark/>
          </w:tcPr>
          <w:p w14:paraId="38A5D53C" w14:textId="77777777" w:rsidR="00B07597" w:rsidRPr="00B07597" w:rsidRDefault="00B07597" w:rsidP="00602F72">
            <w:pPr>
              <w:spacing w:line="259" w:lineRule="auto"/>
            </w:pPr>
            <w:r w:rsidRPr="00B07597">
              <w:t>2</w:t>
            </w:r>
          </w:p>
        </w:tc>
        <w:tc>
          <w:tcPr>
            <w:tcW w:w="0" w:type="auto"/>
            <w:hideMark/>
          </w:tcPr>
          <w:p w14:paraId="4CF23111" w14:textId="77777777" w:rsidR="00B07597" w:rsidRPr="00B07597" w:rsidRDefault="00B07597" w:rsidP="00602F72">
            <w:pPr>
              <w:spacing w:line="259" w:lineRule="auto"/>
            </w:pPr>
            <w:r w:rsidRPr="00B07597">
              <w:t>0.36</w:t>
            </w:r>
          </w:p>
        </w:tc>
        <w:tc>
          <w:tcPr>
            <w:tcW w:w="0" w:type="auto"/>
            <w:hideMark/>
          </w:tcPr>
          <w:p w14:paraId="025143F4" w14:textId="77777777" w:rsidR="00B07597" w:rsidRPr="00B07597" w:rsidRDefault="00B07597" w:rsidP="00602F72">
            <w:pPr>
              <w:spacing w:line="259" w:lineRule="auto"/>
            </w:pPr>
            <w:r w:rsidRPr="00B07597">
              <w:t>.70</w:t>
            </w:r>
          </w:p>
        </w:tc>
      </w:tr>
      <w:tr w:rsidR="00B07597" w:rsidRPr="00B07597" w14:paraId="11F54A31" w14:textId="77777777" w:rsidTr="00690E4B">
        <w:tc>
          <w:tcPr>
            <w:tcW w:w="4569" w:type="dxa"/>
            <w:hideMark/>
          </w:tcPr>
          <w:p w14:paraId="18650A4F"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treatment response status </w:t>
            </w:r>
            <w:r w:rsidRPr="00B07597">
              <w:rPr>
                <w:rFonts w:ascii="Cambria Math" w:hAnsi="Cambria Math" w:cs="Cambria Math"/>
              </w:rPr>
              <w:t>∗</w:t>
            </w:r>
            <w:r w:rsidRPr="00B07597">
              <w:t xml:space="preserve"> EBT for tics</w:t>
            </w:r>
          </w:p>
        </w:tc>
        <w:tc>
          <w:tcPr>
            <w:tcW w:w="1276" w:type="dxa"/>
            <w:hideMark/>
          </w:tcPr>
          <w:p w14:paraId="77493F80" w14:textId="77777777" w:rsidR="00B07597" w:rsidRPr="00B07597" w:rsidRDefault="00B07597" w:rsidP="00602F72">
            <w:pPr>
              <w:spacing w:line="259" w:lineRule="auto"/>
            </w:pPr>
            <w:r w:rsidRPr="00B07597">
              <w:t>1</w:t>
            </w:r>
          </w:p>
        </w:tc>
        <w:tc>
          <w:tcPr>
            <w:tcW w:w="772" w:type="dxa"/>
            <w:hideMark/>
          </w:tcPr>
          <w:p w14:paraId="5015FCAA" w14:textId="77777777" w:rsidR="00B07597" w:rsidRPr="00B07597" w:rsidRDefault="00B07597" w:rsidP="00602F72">
            <w:pPr>
              <w:spacing w:line="259" w:lineRule="auto"/>
            </w:pPr>
            <w:r w:rsidRPr="00B07597">
              <w:t>0.29</w:t>
            </w:r>
          </w:p>
        </w:tc>
        <w:tc>
          <w:tcPr>
            <w:tcW w:w="721" w:type="dxa"/>
            <w:hideMark/>
          </w:tcPr>
          <w:p w14:paraId="768AF46D" w14:textId="77777777" w:rsidR="00B07597" w:rsidRPr="00B07597" w:rsidRDefault="00B07597" w:rsidP="00602F72">
            <w:pPr>
              <w:spacing w:line="259" w:lineRule="auto"/>
            </w:pPr>
            <w:r w:rsidRPr="00B07597">
              <w:t>.59</w:t>
            </w:r>
          </w:p>
        </w:tc>
        <w:tc>
          <w:tcPr>
            <w:tcW w:w="1292" w:type="dxa"/>
            <w:hideMark/>
          </w:tcPr>
          <w:p w14:paraId="4BCFDE4D" w14:textId="77777777" w:rsidR="00B07597" w:rsidRPr="00B07597" w:rsidRDefault="00B07597" w:rsidP="00602F72">
            <w:pPr>
              <w:spacing w:line="259" w:lineRule="auto"/>
            </w:pPr>
            <w:r w:rsidRPr="00B07597">
              <w:t>1</w:t>
            </w:r>
          </w:p>
        </w:tc>
        <w:tc>
          <w:tcPr>
            <w:tcW w:w="0" w:type="auto"/>
            <w:hideMark/>
          </w:tcPr>
          <w:p w14:paraId="00900E9C" w14:textId="77777777" w:rsidR="00B07597" w:rsidRPr="00B07597" w:rsidRDefault="00B07597" w:rsidP="00602F72">
            <w:pPr>
              <w:spacing w:line="259" w:lineRule="auto"/>
            </w:pPr>
            <w:r w:rsidRPr="00B07597">
              <w:t>0.59</w:t>
            </w:r>
          </w:p>
        </w:tc>
        <w:tc>
          <w:tcPr>
            <w:tcW w:w="0" w:type="auto"/>
            <w:hideMark/>
          </w:tcPr>
          <w:p w14:paraId="318D39F5" w14:textId="77777777" w:rsidR="00B07597" w:rsidRPr="00B07597" w:rsidRDefault="00B07597" w:rsidP="00602F72">
            <w:pPr>
              <w:spacing w:line="259" w:lineRule="auto"/>
            </w:pPr>
            <w:r w:rsidRPr="00B07597">
              <w:t>.44</w:t>
            </w:r>
          </w:p>
        </w:tc>
      </w:tr>
      <w:tr w:rsidR="00B07597" w:rsidRPr="00B07597" w14:paraId="5FF3C58D" w14:textId="77777777" w:rsidTr="00690E4B">
        <w:tc>
          <w:tcPr>
            <w:tcW w:w="4569" w:type="dxa"/>
            <w:hideMark/>
          </w:tcPr>
          <w:p w14:paraId="0A2C0525"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treatment response status </w:t>
            </w:r>
            <w:r w:rsidRPr="00B07597">
              <w:rPr>
                <w:rFonts w:ascii="Cambria Math" w:hAnsi="Cambria Math" w:cs="Cambria Math"/>
              </w:rPr>
              <w:t>∗</w:t>
            </w:r>
            <w:r w:rsidRPr="00B07597">
              <w:t xml:space="preserve"> time</w:t>
            </w:r>
          </w:p>
        </w:tc>
        <w:tc>
          <w:tcPr>
            <w:tcW w:w="1276" w:type="dxa"/>
            <w:hideMark/>
          </w:tcPr>
          <w:p w14:paraId="55CE1546" w14:textId="77777777" w:rsidR="00B07597" w:rsidRPr="00B07597" w:rsidRDefault="00B07597" w:rsidP="00602F72">
            <w:pPr>
              <w:spacing w:line="259" w:lineRule="auto"/>
            </w:pPr>
            <w:r w:rsidRPr="00B07597">
              <w:rPr>
                <w:b/>
                <w:bCs/>
              </w:rPr>
              <w:t>2</w:t>
            </w:r>
          </w:p>
        </w:tc>
        <w:tc>
          <w:tcPr>
            <w:tcW w:w="772" w:type="dxa"/>
            <w:hideMark/>
          </w:tcPr>
          <w:p w14:paraId="5E1302CB" w14:textId="77777777" w:rsidR="00B07597" w:rsidRPr="00B07597" w:rsidRDefault="00B07597" w:rsidP="00602F72">
            <w:pPr>
              <w:spacing w:line="259" w:lineRule="auto"/>
            </w:pPr>
            <w:r w:rsidRPr="00B07597">
              <w:rPr>
                <w:b/>
                <w:bCs/>
              </w:rPr>
              <w:t>4.30</w:t>
            </w:r>
          </w:p>
        </w:tc>
        <w:tc>
          <w:tcPr>
            <w:tcW w:w="721" w:type="dxa"/>
            <w:hideMark/>
          </w:tcPr>
          <w:p w14:paraId="1A5F1E88" w14:textId="77777777" w:rsidR="00B07597" w:rsidRPr="00B07597" w:rsidRDefault="00B07597" w:rsidP="00602F72">
            <w:pPr>
              <w:spacing w:line="259" w:lineRule="auto"/>
            </w:pPr>
            <w:r w:rsidRPr="00B07597">
              <w:rPr>
                <w:b/>
                <w:bCs/>
              </w:rPr>
              <w:t>.015</w:t>
            </w:r>
          </w:p>
        </w:tc>
        <w:tc>
          <w:tcPr>
            <w:tcW w:w="1292" w:type="dxa"/>
            <w:hideMark/>
          </w:tcPr>
          <w:p w14:paraId="4E2319C0" w14:textId="77777777" w:rsidR="00B07597" w:rsidRPr="00B07597" w:rsidRDefault="00B07597" w:rsidP="00602F72">
            <w:pPr>
              <w:spacing w:line="259" w:lineRule="auto"/>
            </w:pPr>
            <w:r w:rsidRPr="00B07597">
              <w:t>2</w:t>
            </w:r>
          </w:p>
        </w:tc>
        <w:tc>
          <w:tcPr>
            <w:tcW w:w="0" w:type="auto"/>
            <w:hideMark/>
          </w:tcPr>
          <w:p w14:paraId="339FCC7E" w14:textId="77777777" w:rsidR="00B07597" w:rsidRPr="00B07597" w:rsidRDefault="00B07597" w:rsidP="00602F72">
            <w:pPr>
              <w:spacing w:line="259" w:lineRule="auto"/>
            </w:pPr>
            <w:r w:rsidRPr="00B07597">
              <w:t>0.06</w:t>
            </w:r>
          </w:p>
        </w:tc>
        <w:tc>
          <w:tcPr>
            <w:tcW w:w="0" w:type="auto"/>
            <w:hideMark/>
          </w:tcPr>
          <w:p w14:paraId="1474CD46" w14:textId="77777777" w:rsidR="00B07597" w:rsidRPr="00B07597" w:rsidRDefault="00B07597" w:rsidP="00602F72">
            <w:pPr>
              <w:spacing w:line="259" w:lineRule="auto"/>
            </w:pPr>
            <w:r w:rsidRPr="00B07597">
              <w:t>.94</w:t>
            </w:r>
          </w:p>
        </w:tc>
      </w:tr>
      <w:tr w:rsidR="00B07597" w:rsidRPr="00B07597" w14:paraId="137A049F" w14:textId="77777777" w:rsidTr="00690E4B">
        <w:tc>
          <w:tcPr>
            <w:tcW w:w="4569" w:type="dxa"/>
            <w:hideMark/>
          </w:tcPr>
          <w:p w14:paraId="25EEAB3C"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EBT for tics </w:t>
            </w:r>
            <w:r w:rsidRPr="00B07597">
              <w:rPr>
                <w:rFonts w:ascii="Cambria Math" w:hAnsi="Cambria Math" w:cs="Cambria Math"/>
              </w:rPr>
              <w:t>∗</w:t>
            </w:r>
            <w:r w:rsidRPr="00B07597">
              <w:t xml:space="preserve"> time</w:t>
            </w:r>
          </w:p>
        </w:tc>
        <w:tc>
          <w:tcPr>
            <w:tcW w:w="1276" w:type="dxa"/>
            <w:hideMark/>
          </w:tcPr>
          <w:p w14:paraId="502BDDAF" w14:textId="77777777" w:rsidR="00B07597" w:rsidRPr="00B07597" w:rsidRDefault="00B07597" w:rsidP="00602F72">
            <w:pPr>
              <w:spacing w:line="259" w:lineRule="auto"/>
            </w:pPr>
            <w:r w:rsidRPr="00B07597">
              <w:t>2</w:t>
            </w:r>
          </w:p>
        </w:tc>
        <w:tc>
          <w:tcPr>
            <w:tcW w:w="772" w:type="dxa"/>
            <w:hideMark/>
          </w:tcPr>
          <w:p w14:paraId="3DE467F4" w14:textId="77777777" w:rsidR="00B07597" w:rsidRPr="00B07597" w:rsidRDefault="00B07597" w:rsidP="00602F72">
            <w:pPr>
              <w:spacing w:line="259" w:lineRule="auto"/>
            </w:pPr>
            <w:r w:rsidRPr="00B07597">
              <w:t>0.22</w:t>
            </w:r>
          </w:p>
        </w:tc>
        <w:tc>
          <w:tcPr>
            <w:tcW w:w="721" w:type="dxa"/>
            <w:hideMark/>
          </w:tcPr>
          <w:p w14:paraId="7E74CC43" w14:textId="77777777" w:rsidR="00B07597" w:rsidRPr="00B07597" w:rsidRDefault="00B07597" w:rsidP="00602F72">
            <w:pPr>
              <w:spacing w:line="259" w:lineRule="auto"/>
            </w:pPr>
            <w:r w:rsidRPr="00B07597">
              <w:t>.80</w:t>
            </w:r>
          </w:p>
        </w:tc>
        <w:tc>
          <w:tcPr>
            <w:tcW w:w="1292" w:type="dxa"/>
            <w:hideMark/>
          </w:tcPr>
          <w:p w14:paraId="61CD1143" w14:textId="77777777" w:rsidR="00B07597" w:rsidRPr="00B07597" w:rsidRDefault="00B07597" w:rsidP="00602F72">
            <w:pPr>
              <w:spacing w:line="259" w:lineRule="auto"/>
            </w:pPr>
            <w:r w:rsidRPr="00B07597">
              <w:t>2</w:t>
            </w:r>
          </w:p>
        </w:tc>
        <w:tc>
          <w:tcPr>
            <w:tcW w:w="0" w:type="auto"/>
            <w:hideMark/>
          </w:tcPr>
          <w:p w14:paraId="131C18F9" w14:textId="77777777" w:rsidR="00B07597" w:rsidRPr="00B07597" w:rsidRDefault="00B07597" w:rsidP="00602F72">
            <w:pPr>
              <w:spacing w:line="259" w:lineRule="auto"/>
            </w:pPr>
            <w:r w:rsidRPr="00B07597">
              <w:t>0.34</w:t>
            </w:r>
          </w:p>
        </w:tc>
        <w:tc>
          <w:tcPr>
            <w:tcW w:w="0" w:type="auto"/>
            <w:hideMark/>
          </w:tcPr>
          <w:p w14:paraId="37F6D5EF" w14:textId="77777777" w:rsidR="00B07597" w:rsidRPr="00B07597" w:rsidRDefault="00B07597" w:rsidP="00602F72">
            <w:pPr>
              <w:spacing w:line="259" w:lineRule="auto"/>
            </w:pPr>
            <w:r w:rsidRPr="00B07597">
              <w:t>.71</w:t>
            </w:r>
          </w:p>
        </w:tc>
      </w:tr>
      <w:tr w:rsidR="00B07597" w:rsidRPr="00B07597" w14:paraId="4B33E36F" w14:textId="77777777" w:rsidTr="00690E4B">
        <w:tc>
          <w:tcPr>
            <w:tcW w:w="4569" w:type="dxa"/>
            <w:hideMark/>
          </w:tcPr>
          <w:p w14:paraId="4B101696" w14:textId="77777777" w:rsidR="00B07597" w:rsidRPr="00B07597" w:rsidRDefault="00B07597" w:rsidP="00602F72">
            <w:pPr>
              <w:spacing w:line="259" w:lineRule="auto"/>
            </w:pPr>
            <w:r w:rsidRPr="00B07597">
              <w:t xml:space="preserve">Treatment response status </w:t>
            </w:r>
            <w:r w:rsidRPr="00B07597">
              <w:rPr>
                <w:rFonts w:ascii="Cambria Math" w:hAnsi="Cambria Math" w:cs="Cambria Math"/>
              </w:rPr>
              <w:t>∗</w:t>
            </w:r>
            <w:r w:rsidRPr="00B07597">
              <w:t xml:space="preserve"> EBT for tics </w:t>
            </w:r>
            <w:r w:rsidRPr="00B07597">
              <w:rPr>
                <w:rFonts w:ascii="Cambria Math" w:hAnsi="Cambria Math" w:cs="Cambria Math"/>
              </w:rPr>
              <w:t>∗</w:t>
            </w:r>
            <w:r w:rsidRPr="00B07597">
              <w:t xml:space="preserve"> time</w:t>
            </w:r>
          </w:p>
        </w:tc>
        <w:tc>
          <w:tcPr>
            <w:tcW w:w="1276" w:type="dxa"/>
            <w:hideMark/>
          </w:tcPr>
          <w:p w14:paraId="433F55A1" w14:textId="77777777" w:rsidR="00B07597" w:rsidRPr="00B07597" w:rsidRDefault="00B07597" w:rsidP="00602F72">
            <w:pPr>
              <w:spacing w:line="259" w:lineRule="auto"/>
            </w:pPr>
            <w:r w:rsidRPr="00B07597">
              <w:t>2</w:t>
            </w:r>
          </w:p>
        </w:tc>
        <w:tc>
          <w:tcPr>
            <w:tcW w:w="772" w:type="dxa"/>
            <w:hideMark/>
          </w:tcPr>
          <w:p w14:paraId="6FC4D2DC" w14:textId="77777777" w:rsidR="00B07597" w:rsidRPr="00B07597" w:rsidRDefault="00B07597" w:rsidP="00602F72">
            <w:pPr>
              <w:spacing w:line="259" w:lineRule="auto"/>
            </w:pPr>
            <w:r w:rsidRPr="00B07597">
              <w:t>0.28</w:t>
            </w:r>
          </w:p>
        </w:tc>
        <w:tc>
          <w:tcPr>
            <w:tcW w:w="721" w:type="dxa"/>
            <w:hideMark/>
          </w:tcPr>
          <w:p w14:paraId="6CDA25CD" w14:textId="77777777" w:rsidR="00B07597" w:rsidRPr="00B07597" w:rsidRDefault="00B07597" w:rsidP="00602F72">
            <w:pPr>
              <w:spacing w:line="259" w:lineRule="auto"/>
            </w:pPr>
            <w:r w:rsidRPr="00B07597">
              <w:t>.76</w:t>
            </w:r>
          </w:p>
        </w:tc>
        <w:tc>
          <w:tcPr>
            <w:tcW w:w="1292" w:type="dxa"/>
            <w:hideMark/>
          </w:tcPr>
          <w:p w14:paraId="07E90843" w14:textId="77777777" w:rsidR="00B07597" w:rsidRPr="00B07597" w:rsidRDefault="00B07597" w:rsidP="00602F72">
            <w:pPr>
              <w:spacing w:line="259" w:lineRule="auto"/>
            </w:pPr>
            <w:r w:rsidRPr="00B07597">
              <w:t>2</w:t>
            </w:r>
          </w:p>
        </w:tc>
        <w:tc>
          <w:tcPr>
            <w:tcW w:w="0" w:type="auto"/>
            <w:hideMark/>
          </w:tcPr>
          <w:p w14:paraId="11EE9D47" w14:textId="77777777" w:rsidR="00B07597" w:rsidRPr="00B07597" w:rsidRDefault="00B07597" w:rsidP="00602F72">
            <w:pPr>
              <w:spacing w:line="259" w:lineRule="auto"/>
            </w:pPr>
            <w:r w:rsidRPr="00B07597">
              <w:t>1.67</w:t>
            </w:r>
          </w:p>
        </w:tc>
        <w:tc>
          <w:tcPr>
            <w:tcW w:w="0" w:type="auto"/>
            <w:hideMark/>
          </w:tcPr>
          <w:p w14:paraId="0A146358" w14:textId="77777777" w:rsidR="00B07597" w:rsidRPr="00B07597" w:rsidRDefault="00B07597" w:rsidP="00602F72">
            <w:pPr>
              <w:spacing w:line="259" w:lineRule="auto"/>
            </w:pPr>
            <w:r w:rsidRPr="00B07597">
              <w:t>.19</w:t>
            </w:r>
          </w:p>
        </w:tc>
      </w:tr>
      <w:tr w:rsidR="00B07597" w:rsidRPr="00B07597" w14:paraId="2527EDBB" w14:textId="77777777" w:rsidTr="00690E4B">
        <w:tc>
          <w:tcPr>
            <w:tcW w:w="4569" w:type="dxa"/>
            <w:hideMark/>
          </w:tcPr>
          <w:p w14:paraId="20A90992" w14:textId="77777777" w:rsidR="00B07597" w:rsidRPr="00B07597" w:rsidRDefault="00B07597" w:rsidP="00602F72">
            <w:pPr>
              <w:spacing w:line="259" w:lineRule="auto"/>
            </w:pPr>
            <w:r w:rsidRPr="00B07597">
              <w:t xml:space="preserve">Treatment condition </w:t>
            </w:r>
            <w:r w:rsidRPr="00B07597">
              <w:rPr>
                <w:rFonts w:ascii="Cambria Math" w:hAnsi="Cambria Math" w:cs="Cambria Math"/>
              </w:rPr>
              <w:t>∗</w:t>
            </w:r>
            <w:r w:rsidRPr="00B07597">
              <w:t xml:space="preserve"> treatment response status </w:t>
            </w:r>
            <w:r w:rsidRPr="00B07597">
              <w:rPr>
                <w:rFonts w:ascii="Cambria Math" w:hAnsi="Cambria Math" w:cs="Cambria Math"/>
              </w:rPr>
              <w:t>∗</w:t>
            </w:r>
            <w:r w:rsidRPr="00B07597">
              <w:t xml:space="preserve"> EBT for tics </w:t>
            </w:r>
            <w:r w:rsidRPr="00B07597">
              <w:rPr>
                <w:rFonts w:ascii="Cambria Math" w:hAnsi="Cambria Math" w:cs="Cambria Math"/>
              </w:rPr>
              <w:t>∗</w:t>
            </w:r>
            <w:r w:rsidRPr="00B07597">
              <w:t xml:space="preserve"> time</w:t>
            </w:r>
          </w:p>
        </w:tc>
        <w:tc>
          <w:tcPr>
            <w:tcW w:w="1276" w:type="dxa"/>
            <w:hideMark/>
          </w:tcPr>
          <w:p w14:paraId="0FE0DD44" w14:textId="77777777" w:rsidR="00B07597" w:rsidRPr="00B07597" w:rsidRDefault="00B07597" w:rsidP="00602F72">
            <w:pPr>
              <w:spacing w:line="259" w:lineRule="auto"/>
            </w:pPr>
            <w:r w:rsidRPr="00B07597">
              <w:t>2</w:t>
            </w:r>
          </w:p>
        </w:tc>
        <w:tc>
          <w:tcPr>
            <w:tcW w:w="772" w:type="dxa"/>
            <w:hideMark/>
          </w:tcPr>
          <w:p w14:paraId="40952829" w14:textId="77777777" w:rsidR="00B07597" w:rsidRPr="00B07597" w:rsidRDefault="00B07597" w:rsidP="00602F72">
            <w:pPr>
              <w:spacing w:line="259" w:lineRule="auto"/>
            </w:pPr>
            <w:r w:rsidRPr="00B07597">
              <w:t>0.24</w:t>
            </w:r>
          </w:p>
        </w:tc>
        <w:tc>
          <w:tcPr>
            <w:tcW w:w="721" w:type="dxa"/>
            <w:hideMark/>
          </w:tcPr>
          <w:p w14:paraId="3532780C" w14:textId="77777777" w:rsidR="00B07597" w:rsidRPr="00B07597" w:rsidRDefault="00B07597" w:rsidP="00602F72">
            <w:pPr>
              <w:spacing w:line="259" w:lineRule="auto"/>
            </w:pPr>
            <w:r w:rsidRPr="00B07597">
              <w:t>.79</w:t>
            </w:r>
          </w:p>
        </w:tc>
        <w:tc>
          <w:tcPr>
            <w:tcW w:w="1292" w:type="dxa"/>
            <w:hideMark/>
          </w:tcPr>
          <w:p w14:paraId="6C344550" w14:textId="77777777" w:rsidR="00B07597" w:rsidRPr="00B07597" w:rsidRDefault="00B07597" w:rsidP="00602F72">
            <w:pPr>
              <w:spacing w:line="259" w:lineRule="auto"/>
            </w:pPr>
            <w:r w:rsidRPr="00B07597">
              <w:t>2</w:t>
            </w:r>
          </w:p>
        </w:tc>
        <w:tc>
          <w:tcPr>
            <w:tcW w:w="0" w:type="auto"/>
            <w:hideMark/>
          </w:tcPr>
          <w:p w14:paraId="2C540FEA" w14:textId="77777777" w:rsidR="00B07597" w:rsidRPr="00B07597" w:rsidRDefault="00B07597" w:rsidP="00602F72">
            <w:pPr>
              <w:spacing w:line="259" w:lineRule="auto"/>
            </w:pPr>
            <w:r w:rsidRPr="00B07597">
              <w:t>1.84</w:t>
            </w:r>
          </w:p>
        </w:tc>
        <w:tc>
          <w:tcPr>
            <w:tcW w:w="0" w:type="auto"/>
            <w:hideMark/>
          </w:tcPr>
          <w:p w14:paraId="2FF3559B" w14:textId="77777777" w:rsidR="00B07597" w:rsidRPr="00B07597" w:rsidRDefault="00B07597" w:rsidP="00602F72">
            <w:pPr>
              <w:spacing w:line="259" w:lineRule="auto"/>
            </w:pPr>
            <w:r w:rsidRPr="00B07597">
              <w:t>.16</w:t>
            </w:r>
          </w:p>
        </w:tc>
      </w:tr>
    </w:tbl>
    <w:p w14:paraId="07D7F149" w14:textId="77777777" w:rsidR="00B07597" w:rsidRPr="00B07597" w:rsidRDefault="00B07597" w:rsidP="00B07597">
      <w:r w:rsidRPr="00B07597">
        <w:t>Note: Boldface type indicates statistical significance. EBT for Tics = evidence-based treatment for tics during follow-up period; YGTSS = Yale Global Tic Severity Scale.</w:t>
      </w:r>
    </w:p>
    <w:p w14:paraId="0250228A" w14:textId="2D60D90E" w:rsidR="00B07597" w:rsidRPr="00B07597" w:rsidRDefault="00B07597" w:rsidP="00602F72">
      <w:pPr>
        <w:pStyle w:val="NoSpacing"/>
      </w:pPr>
      <w:r w:rsidRPr="00B07597">
        <w:rPr>
          <w:noProof/>
        </w:rPr>
        <w:drawing>
          <wp:inline distT="0" distB="0" distL="0" distR="0" wp14:anchorId="2B8E102E" wp14:editId="79E5FC97">
            <wp:extent cx="4133850" cy="228648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2255" cy="2291137"/>
                    </a:xfrm>
                    <a:prstGeom prst="rect">
                      <a:avLst/>
                    </a:prstGeom>
                    <a:noFill/>
                    <a:ln>
                      <a:noFill/>
                    </a:ln>
                  </pic:spPr>
                </pic:pic>
              </a:graphicData>
            </a:graphic>
          </wp:inline>
        </w:drawing>
      </w:r>
    </w:p>
    <w:p w14:paraId="61AA0873" w14:textId="77777777" w:rsidR="00B07597" w:rsidRPr="00B07597" w:rsidRDefault="00B07597" w:rsidP="00602F72">
      <w:pPr>
        <w:pStyle w:val="NoSpacing"/>
      </w:pPr>
      <w:r w:rsidRPr="00B07597">
        <w:t>Figure 1. Yale Global Tic Severity Scale Total Tic Scores Across Time by Treatment Condition and Treatment Response Status</w:t>
      </w:r>
    </w:p>
    <w:p w14:paraId="531301F6" w14:textId="77777777" w:rsidR="00B07597" w:rsidRDefault="00B07597" w:rsidP="00602F72">
      <w:pPr>
        <w:pStyle w:val="NoSpacing"/>
        <w:rPr>
          <w:i/>
          <w:iCs/>
        </w:rPr>
      </w:pPr>
      <w:r w:rsidRPr="00B07597">
        <w:rPr>
          <w:b/>
          <w:bCs/>
          <w:i/>
          <w:iCs/>
        </w:rPr>
        <w:t>Note:</w:t>
      </w:r>
      <w:r w:rsidRPr="00B07597">
        <w:t> </w:t>
      </w:r>
      <w:r w:rsidRPr="00B07597">
        <w:rPr>
          <w:i/>
          <w:iCs/>
        </w:rPr>
        <w:t>CBIT = Comprehensive Behavioral Intervention for Tics; PST = persistent tic disorders; YGTSS = Yale Global Tic Severity Scale.</w:t>
      </w:r>
    </w:p>
    <w:p w14:paraId="4A4153BB" w14:textId="77777777" w:rsidR="00602F72" w:rsidRPr="00B07597" w:rsidRDefault="00602F72" w:rsidP="00602F72">
      <w:pPr>
        <w:pStyle w:val="NoSpacing"/>
      </w:pPr>
    </w:p>
    <w:p w14:paraId="1B3F2092" w14:textId="77777777" w:rsidR="00B07597" w:rsidRPr="00B07597" w:rsidRDefault="00B07597" w:rsidP="00602F72">
      <w:pPr>
        <w:spacing w:after="0"/>
      </w:pPr>
      <w:r w:rsidRPr="00B07597">
        <w:t>Table 3. Baseline, Posttreatment, and Long-Term Follow-up Tic Severity Scores by Treatment Condition and Treatment Response (n = 80)</w:t>
      </w:r>
    </w:p>
    <w:tbl>
      <w:tblPr>
        <w:tblStyle w:val="TableGrid"/>
        <w:tblW w:w="5000" w:type="pct"/>
        <w:tblLook w:val="04A0" w:firstRow="1" w:lastRow="0" w:firstColumn="1" w:lastColumn="0" w:noHBand="0" w:noVBand="1"/>
      </w:tblPr>
      <w:tblGrid>
        <w:gridCol w:w="2960"/>
        <w:gridCol w:w="1661"/>
        <w:gridCol w:w="1637"/>
        <w:gridCol w:w="1428"/>
        <w:gridCol w:w="1637"/>
        <w:gridCol w:w="747"/>
      </w:tblGrid>
      <w:tr w:rsidR="00602F72" w:rsidRPr="00B07597" w14:paraId="448A9581" w14:textId="77777777" w:rsidTr="00690E4B">
        <w:tc>
          <w:tcPr>
            <w:tcW w:w="1469" w:type="pct"/>
            <w:hideMark/>
          </w:tcPr>
          <w:p w14:paraId="5FD15196" w14:textId="1DF083D0" w:rsidR="00602F72" w:rsidRPr="00B07597" w:rsidRDefault="00602F72" w:rsidP="00602F72">
            <w:pPr>
              <w:spacing w:line="259" w:lineRule="auto"/>
            </w:pPr>
            <w:r w:rsidRPr="00B07597">
              <w:t xml:space="preserve">Treatment </w:t>
            </w:r>
            <w:proofErr w:type="spellStart"/>
            <w:r w:rsidRPr="00B07597">
              <w:t>responders</w:t>
            </w:r>
            <w:r w:rsidRPr="00B07597">
              <w:rPr>
                <w:vertAlign w:val="superscript"/>
              </w:rPr>
              <w:t>a</w:t>
            </w:r>
            <w:proofErr w:type="spellEnd"/>
          </w:p>
        </w:tc>
        <w:tc>
          <w:tcPr>
            <w:tcW w:w="824" w:type="pct"/>
            <w:hideMark/>
          </w:tcPr>
          <w:p w14:paraId="0A210687" w14:textId="77777777" w:rsidR="00602F72" w:rsidRPr="00B07597" w:rsidRDefault="00602F72" w:rsidP="00602F72">
            <w:pPr>
              <w:rPr>
                <w:b/>
                <w:bCs/>
              </w:rPr>
            </w:pPr>
            <w:r w:rsidRPr="00B07597">
              <w:t>CBIT (n = 21)</w:t>
            </w:r>
          </w:p>
        </w:tc>
        <w:tc>
          <w:tcPr>
            <w:tcW w:w="813" w:type="pct"/>
          </w:tcPr>
          <w:p w14:paraId="7C33CB71" w14:textId="16FD2FD7" w:rsidR="00602F72" w:rsidRPr="00B07597" w:rsidRDefault="00602F72" w:rsidP="00602F72">
            <w:pPr>
              <w:spacing w:line="259" w:lineRule="auto"/>
            </w:pPr>
          </w:p>
        </w:tc>
        <w:tc>
          <w:tcPr>
            <w:tcW w:w="709" w:type="pct"/>
            <w:hideMark/>
          </w:tcPr>
          <w:p w14:paraId="386F78CC" w14:textId="77777777" w:rsidR="00602F72" w:rsidRPr="00B07597" w:rsidRDefault="00602F72" w:rsidP="00602F72">
            <w:pPr>
              <w:rPr>
                <w:b/>
                <w:bCs/>
              </w:rPr>
            </w:pPr>
            <w:r w:rsidRPr="00B07597">
              <w:t>PST (n = 6)</w:t>
            </w:r>
          </w:p>
        </w:tc>
        <w:tc>
          <w:tcPr>
            <w:tcW w:w="813" w:type="pct"/>
          </w:tcPr>
          <w:p w14:paraId="6A10BA17" w14:textId="077BEE3E" w:rsidR="00602F72" w:rsidRPr="00B07597" w:rsidRDefault="00602F72" w:rsidP="00602F72">
            <w:pPr>
              <w:spacing w:line="259" w:lineRule="auto"/>
            </w:pPr>
          </w:p>
        </w:tc>
        <w:tc>
          <w:tcPr>
            <w:tcW w:w="371" w:type="pct"/>
            <w:hideMark/>
          </w:tcPr>
          <w:p w14:paraId="1EBFF0EE" w14:textId="46284600" w:rsidR="00602F72" w:rsidRPr="00B07597" w:rsidRDefault="00602F72" w:rsidP="00602F72">
            <w:pPr>
              <w:spacing w:line="259" w:lineRule="auto"/>
            </w:pPr>
            <w:r w:rsidRPr="00B07597">
              <w:t>Es</w:t>
            </w:r>
            <w:r w:rsidRPr="00B07597">
              <w:rPr>
                <w:vertAlign w:val="superscript"/>
              </w:rPr>
              <w:t>p.</w:t>
            </w:r>
          </w:p>
        </w:tc>
      </w:tr>
      <w:tr w:rsidR="00B07597" w:rsidRPr="00B07597" w14:paraId="404A1B54" w14:textId="77777777" w:rsidTr="00690E4B">
        <w:tc>
          <w:tcPr>
            <w:tcW w:w="1469" w:type="pct"/>
            <w:hideMark/>
          </w:tcPr>
          <w:p w14:paraId="139654CD" w14:textId="77777777" w:rsidR="00B07597" w:rsidRPr="00B07597" w:rsidRDefault="00B07597" w:rsidP="00602F72">
            <w:pPr>
              <w:spacing w:line="259" w:lineRule="auto"/>
            </w:pPr>
            <w:bookmarkStart w:id="25" w:name="btbl3fna" w:colFirst="0" w:colLast="0"/>
            <w:bookmarkStart w:id="26" w:name="btbl3fnb" w:colFirst="5" w:colLast="5"/>
          </w:p>
        </w:tc>
        <w:tc>
          <w:tcPr>
            <w:tcW w:w="824" w:type="pct"/>
            <w:hideMark/>
          </w:tcPr>
          <w:p w14:paraId="093FF546" w14:textId="77777777" w:rsidR="00B07597" w:rsidRPr="00B07597" w:rsidRDefault="00B07597" w:rsidP="00602F72">
            <w:pPr>
              <w:spacing w:line="259" w:lineRule="auto"/>
              <w:rPr>
                <w:b/>
                <w:bCs/>
              </w:rPr>
            </w:pPr>
            <w:r w:rsidRPr="00B07597">
              <w:rPr>
                <w:b/>
                <w:bCs/>
              </w:rPr>
              <w:t>Mean</w:t>
            </w:r>
          </w:p>
        </w:tc>
        <w:tc>
          <w:tcPr>
            <w:tcW w:w="813" w:type="pct"/>
            <w:hideMark/>
          </w:tcPr>
          <w:p w14:paraId="75B125C4" w14:textId="77777777" w:rsidR="00B07597" w:rsidRPr="00B07597" w:rsidRDefault="00B07597" w:rsidP="00602F72">
            <w:pPr>
              <w:spacing w:line="259" w:lineRule="auto"/>
              <w:rPr>
                <w:b/>
                <w:bCs/>
              </w:rPr>
            </w:pPr>
            <w:r w:rsidRPr="00B07597">
              <w:rPr>
                <w:b/>
                <w:bCs/>
              </w:rPr>
              <w:t>95% CI</w:t>
            </w:r>
          </w:p>
        </w:tc>
        <w:tc>
          <w:tcPr>
            <w:tcW w:w="709" w:type="pct"/>
            <w:hideMark/>
          </w:tcPr>
          <w:p w14:paraId="2802B7E8" w14:textId="77777777" w:rsidR="00B07597" w:rsidRPr="00B07597" w:rsidRDefault="00B07597" w:rsidP="00602F72">
            <w:pPr>
              <w:spacing w:line="259" w:lineRule="auto"/>
              <w:rPr>
                <w:b/>
                <w:bCs/>
              </w:rPr>
            </w:pPr>
            <w:r w:rsidRPr="00B07597">
              <w:rPr>
                <w:b/>
                <w:bCs/>
              </w:rPr>
              <w:t>Mean</w:t>
            </w:r>
          </w:p>
        </w:tc>
        <w:tc>
          <w:tcPr>
            <w:tcW w:w="813" w:type="pct"/>
            <w:hideMark/>
          </w:tcPr>
          <w:p w14:paraId="0B5601BF" w14:textId="77777777" w:rsidR="00B07597" w:rsidRPr="00B07597" w:rsidRDefault="00B07597" w:rsidP="00602F72">
            <w:pPr>
              <w:spacing w:line="259" w:lineRule="auto"/>
              <w:rPr>
                <w:b/>
                <w:bCs/>
              </w:rPr>
            </w:pPr>
            <w:r w:rsidRPr="00B07597">
              <w:rPr>
                <w:b/>
                <w:bCs/>
              </w:rPr>
              <w:t>95% CI</w:t>
            </w:r>
          </w:p>
        </w:tc>
        <w:tc>
          <w:tcPr>
            <w:tcW w:w="371" w:type="pct"/>
            <w:hideMark/>
          </w:tcPr>
          <w:p w14:paraId="7D8DB448" w14:textId="77777777" w:rsidR="00B07597" w:rsidRPr="00B07597" w:rsidRDefault="00B07597" w:rsidP="00602F72">
            <w:pPr>
              <w:spacing w:line="259" w:lineRule="auto"/>
              <w:rPr>
                <w:b/>
                <w:bCs/>
              </w:rPr>
            </w:pPr>
          </w:p>
        </w:tc>
      </w:tr>
      <w:tr w:rsidR="00B07597" w:rsidRPr="00B07597" w14:paraId="6FDE6C95" w14:textId="77777777" w:rsidTr="00690E4B">
        <w:tc>
          <w:tcPr>
            <w:tcW w:w="1469" w:type="pct"/>
            <w:hideMark/>
          </w:tcPr>
          <w:p w14:paraId="76073204" w14:textId="77777777" w:rsidR="00B07597" w:rsidRPr="00B07597" w:rsidRDefault="00B07597" w:rsidP="00602F72">
            <w:pPr>
              <w:spacing w:line="259" w:lineRule="auto"/>
            </w:pPr>
            <w:r w:rsidRPr="00B07597">
              <w:t>YGTSS total tic score</w:t>
            </w:r>
          </w:p>
        </w:tc>
        <w:tc>
          <w:tcPr>
            <w:tcW w:w="824" w:type="pct"/>
            <w:hideMark/>
          </w:tcPr>
          <w:p w14:paraId="0D16AEC1" w14:textId="77777777" w:rsidR="00B07597" w:rsidRPr="00B07597" w:rsidRDefault="00B07597" w:rsidP="00602F72">
            <w:pPr>
              <w:spacing w:line="259" w:lineRule="auto"/>
            </w:pPr>
          </w:p>
        </w:tc>
        <w:tc>
          <w:tcPr>
            <w:tcW w:w="813" w:type="pct"/>
            <w:hideMark/>
          </w:tcPr>
          <w:p w14:paraId="3A3AD9C9" w14:textId="77777777" w:rsidR="00B07597" w:rsidRPr="00B07597" w:rsidRDefault="00B07597" w:rsidP="00602F72">
            <w:pPr>
              <w:spacing w:line="259" w:lineRule="auto"/>
            </w:pPr>
          </w:p>
        </w:tc>
        <w:tc>
          <w:tcPr>
            <w:tcW w:w="709" w:type="pct"/>
            <w:hideMark/>
          </w:tcPr>
          <w:p w14:paraId="7EC1CC48" w14:textId="77777777" w:rsidR="00B07597" w:rsidRPr="00B07597" w:rsidRDefault="00B07597" w:rsidP="00602F72">
            <w:pPr>
              <w:spacing w:line="259" w:lineRule="auto"/>
            </w:pPr>
          </w:p>
        </w:tc>
        <w:tc>
          <w:tcPr>
            <w:tcW w:w="813" w:type="pct"/>
            <w:hideMark/>
          </w:tcPr>
          <w:p w14:paraId="6BC6E54F" w14:textId="77777777" w:rsidR="00B07597" w:rsidRPr="00B07597" w:rsidRDefault="00B07597" w:rsidP="00602F72">
            <w:pPr>
              <w:spacing w:line="259" w:lineRule="auto"/>
            </w:pPr>
          </w:p>
        </w:tc>
        <w:tc>
          <w:tcPr>
            <w:tcW w:w="371" w:type="pct"/>
            <w:hideMark/>
          </w:tcPr>
          <w:p w14:paraId="4857EAFB" w14:textId="77777777" w:rsidR="00B07597" w:rsidRPr="00B07597" w:rsidRDefault="00B07597" w:rsidP="00602F72">
            <w:pPr>
              <w:spacing w:line="259" w:lineRule="auto"/>
            </w:pPr>
          </w:p>
        </w:tc>
      </w:tr>
      <w:tr w:rsidR="00B07597" w:rsidRPr="00B07597" w14:paraId="7B5ED3A9" w14:textId="77777777" w:rsidTr="00690E4B">
        <w:tc>
          <w:tcPr>
            <w:tcW w:w="1469" w:type="pct"/>
            <w:hideMark/>
          </w:tcPr>
          <w:p w14:paraId="42F88252" w14:textId="77777777" w:rsidR="00B07597" w:rsidRPr="00B07597" w:rsidRDefault="00B07597" w:rsidP="00690E4B">
            <w:pPr>
              <w:spacing w:line="259" w:lineRule="auto"/>
              <w:ind w:left="251"/>
            </w:pPr>
            <w:r w:rsidRPr="00B07597">
              <w:t> Baseline</w:t>
            </w:r>
          </w:p>
        </w:tc>
        <w:tc>
          <w:tcPr>
            <w:tcW w:w="824" w:type="pct"/>
            <w:hideMark/>
          </w:tcPr>
          <w:p w14:paraId="52AC56BC" w14:textId="77777777" w:rsidR="00B07597" w:rsidRPr="00B07597" w:rsidRDefault="00B07597" w:rsidP="00602F72">
            <w:pPr>
              <w:spacing w:line="259" w:lineRule="auto"/>
            </w:pPr>
            <w:r w:rsidRPr="00B07597">
              <w:t>24.98</w:t>
            </w:r>
          </w:p>
        </w:tc>
        <w:tc>
          <w:tcPr>
            <w:tcW w:w="813" w:type="pct"/>
            <w:hideMark/>
          </w:tcPr>
          <w:p w14:paraId="3888470F" w14:textId="77777777" w:rsidR="00B07597" w:rsidRPr="00B07597" w:rsidRDefault="00B07597" w:rsidP="00602F72">
            <w:pPr>
              <w:spacing w:line="259" w:lineRule="auto"/>
            </w:pPr>
            <w:r w:rsidRPr="00B07597">
              <w:t>21.47–28.48</w:t>
            </w:r>
          </w:p>
        </w:tc>
        <w:tc>
          <w:tcPr>
            <w:tcW w:w="709" w:type="pct"/>
            <w:hideMark/>
          </w:tcPr>
          <w:p w14:paraId="5F1ADF57" w14:textId="77777777" w:rsidR="00B07597" w:rsidRPr="00B07597" w:rsidRDefault="00B07597" w:rsidP="00602F72">
            <w:pPr>
              <w:spacing w:line="259" w:lineRule="auto"/>
            </w:pPr>
            <w:r w:rsidRPr="00B07597">
              <w:t>22.88</w:t>
            </w:r>
          </w:p>
        </w:tc>
        <w:tc>
          <w:tcPr>
            <w:tcW w:w="813" w:type="pct"/>
            <w:hideMark/>
          </w:tcPr>
          <w:p w14:paraId="24F70518" w14:textId="77777777" w:rsidR="00B07597" w:rsidRPr="00B07597" w:rsidRDefault="00B07597" w:rsidP="00602F72">
            <w:pPr>
              <w:spacing w:line="259" w:lineRule="auto"/>
            </w:pPr>
            <w:r w:rsidRPr="00B07597">
              <w:t>16.88–28.88</w:t>
            </w:r>
          </w:p>
        </w:tc>
        <w:tc>
          <w:tcPr>
            <w:tcW w:w="371" w:type="pct"/>
            <w:hideMark/>
          </w:tcPr>
          <w:p w14:paraId="338B2031" w14:textId="77777777" w:rsidR="00B07597" w:rsidRPr="00B07597" w:rsidRDefault="00B07597" w:rsidP="00602F72">
            <w:pPr>
              <w:spacing w:line="259" w:lineRule="auto"/>
            </w:pPr>
            <w:r w:rsidRPr="00B07597">
              <w:t>.36</w:t>
            </w:r>
          </w:p>
        </w:tc>
      </w:tr>
      <w:tr w:rsidR="00B07597" w:rsidRPr="00B07597" w14:paraId="0E63A357" w14:textId="77777777" w:rsidTr="00690E4B">
        <w:tc>
          <w:tcPr>
            <w:tcW w:w="1469" w:type="pct"/>
            <w:hideMark/>
          </w:tcPr>
          <w:p w14:paraId="7FEAEEC1" w14:textId="77777777" w:rsidR="00B07597" w:rsidRPr="00B07597" w:rsidRDefault="00B07597" w:rsidP="00690E4B">
            <w:pPr>
              <w:spacing w:line="259" w:lineRule="auto"/>
              <w:ind w:left="251"/>
            </w:pPr>
            <w:r w:rsidRPr="00B07597">
              <w:t> Posttreatment</w:t>
            </w:r>
          </w:p>
        </w:tc>
        <w:tc>
          <w:tcPr>
            <w:tcW w:w="824" w:type="pct"/>
            <w:hideMark/>
          </w:tcPr>
          <w:p w14:paraId="72D665C2" w14:textId="77777777" w:rsidR="00B07597" w:rsidRPr="00B07597" w:rsidRDefault="00B07597" w:rsidP="00602F72">
            <w:pPr>
              <w:spacing w:line="259" w:lineRule="auto"/>
            </w:pPr>
            <w:r w:rsidRPr="00B07597">
              <w:t>12.18</w:t>
            </w:r>
          </w:p>
        </w:tc>
        <w:tc>
          <w:tcPr>
            <w:tcW w:w="813" w:type="pct"/>
            <w:hideMark/>
          </w:tcPr>
          <w:p w14:paraId="260AC93A" w14:textId="77777777" w:rsidR="00B07597" w:rsidRPr="00B07597" w:rsidRDefault="00B07597" w:rsidP="00602F72">
            <w:pPr>
              <w:spacing w:line="259" w:lineRule="auto"/>
            </w:pPr>
            <w:r w:rsidRPr="00B07597">
              <w:t>8.67–15.68</w:t>
            </w:r>
          </w:p>
        </w:tc>
        <w:tc>
          <w:tcPr>
            <w:tcW w:w="709" w:type="pct"/>
            <w:hideMark/>
          </w:tcPr>
          <w:p w14:paraId="06D67264" w14:textId="77777777" w:rsidR="00B07597" w:rsidRPr="00B07597" w:rsidRDefault="00B07597" w:rsidP="00602F72">
            <w:pPr>
              <w:spacing w:line="259" w:lineRule="auto"/>
            </w:pPr>
            <w:r w:rsidRPr="00B07597">
              <w:t>14.05</w:t>
            </w:r>
          </w:p>
        </w:tc>
        <w:tc>
          <w:tcPr>
            <w:tcW w:w="813" w:type="pct"/>
            <w:hideMark/>
          </w:tcPr>
          <w:p w14:paraId="6BEF2245" w14:textId="77777777" w:rsidR="00B07597" w:rsidRPr="00B07597" w:rsidRDefault="00B07597" w:rsidP="00602F72">
            <w:pPr>
              <w:spacing w:line="259" w:lineRule="auto"/>
            </w:pPr>
            <w:r w:rsidRPr="00B07597">
              <w:t>8.05–20.05</w:t>
            </w:r>
          </w:p>
        </w:tc>
        <w:tc>
          <w:tcPr>
            <w:tcW w:w="371" w:type="pct"/>
            <w:hideMark/>
          </w:tcPr>
          <w:p w14:paraId="500296E5" w14:textId="77777777" w:rsidR="00B07597" w:rsidRPr="00B07597" w:rsidRDefault="00B07597" w:rsidP="00602F72">
            <w:pPr>
              <w:spacing w:line="259" w:lineRule="auto"/>
            </w:pPr>
            <w:r w:rsidRPr="00B07597">
              <w:t>.32</w:t>
            </w:r>
          </w:p>
        </w:tc>
      </w:tr>
      <w:tr w:rsidR="00B07597" w:rsidRPr="00B07597" w14:paraId="4C9F2CE8" w14:textId="77777777" w:rsidTr="00690E4B">
        <w:tc>
          <w:tcPr>
            <w:tcW w:w="1469" w:type="pct"/>
            <w:hideMark/>
          </w:tcPr>
          <w:p w14:paraId="1F7DF369" w14:textId="77777777" w:rsidR="00B07597" w:rsidRPr="00B07597" w:rsidRDefault="00B07597" w:rsidP="00690E4B">
            <w:pPr>
              <w:spacing w:line="259" w:lineRule="auto"/>
              <w:ind w:left="251"/>
            </w:pPr>
            <w:r w:rsidRPr="00B07597">
              <w:t> Long-term follow-up</w:t>
            </w:r>
          </w:p>
        </w:tc>
        <w:tc>
          <w:tcPr>
            <w:tcW w:w="824" w:type="pct"/>
            <w:hideMark/>
          </w:tcPr>
          <w:p w14:paraId="3DEFBC77" w14:textId="77777777" w:rsidR="00B07597" w:rsidRPr="00B07597" w:rsidRDefault="00B07597" w:rsidP="00602F72">
            <w:pPr>
              <w:spacing w:line="259" w:lineRule="auto"/>
            </w:pPr>
            <w:r w:rsidRPr="00B07597">
              <w:t>12.74</w:t>
            </w:r>
          </w:p>
        </w:tc>
        <w:tc>
          <w:tcPr>
            <w:tcW w:w="813" w:type="pct"/>
            <w:hideMark/>
          </w:tcPr>
          <w:p w14:paraId="311DF959" w14:textId="77777777" w:rsidR="00B07597" w:rsidRPr="00B07597" w:rsidRDefault="00B07597" w:rsidP="00602F72">
            <w:pPr>
              <w:spacing w:line="259" w:lineRule="auto"/>
            </w:pPr>
            <w:r w:rsidRPr="00B07597">
              <w:t>9.24–16.25</w:t>
            </w:r>
          </w:p>
        </w:tc>
        <w:tc>
          <w:tcPr>
            <w:tcW w:w="709" w:type="pct"/>
            <w:hideMark/>
          </w:tcPr>
          <w:p w14:paraId="65F3962F" w14:textId="77777777" w:rsidR="00B07597" w:rsidRPr="00B07597" w:rsidRDefault="00B07597" w:rsidP="00602F72">
            <w:pPr>
              <w:spacing w:line="259" w:lineRule="auto"/>
            </w:pPr>
            <w:r w:rsidRPr="00B07597">
              <w:t>21.38</w:t>
            </w:r>
          </w:p>
        </w:tc>
        <w:tc>
          <w:tcPr>
            <w:tcW w:w="813" w:type="pct"/>
            <w:hideMark/>
          </w:tcPr>
          <w:p w14:paraId="4CD57485" w14:textId="77777777" w:rsidR="00B07597" w:rsidRPr="00B07597" w:rsidRDefault="00B07597" w:rsidP="00602F72">
            <w:pPr>
              <w:spacing w:line="259" w:lineRule="auto"/>
            </w:pPr>
            <w:r w:rsidRPr="00B07597">
              <w:t>15.38–27.38</w:t>
            </w:r>
          </w:p>
        </w:tc>
        <w:tc>
          <w:tcPr>
            <w:tcW w:w="371" w:type="pct"/>
            <w:hideMark/>
          </w:tcPr>
          <w:p w14:paraId="33E3FE4A" w14:textId="77777777" w:rsidR="00B07597" w:rsidRPr="00B07597" w:rsidRDefault="00B07597" w:rsidP="00602F72">
            <w:pPr>
              <w:spacing w:line="259" w:lineRule="auto"/>
            </w:pPr>
            <w:r w:rsidRPr="00B07597">
              <w:t>1.47</w:t>
            </w:r>
          </w:p>
        </w:tc>
      </w:tr>
      <w:tr w:rsidR="00B07597" w:rsidRPr="00B07597" w14:paraId="595D44A7" w14:textId="77777777" w:rsidTr="00690E4B">
        <w:tc>
          <w:tcPr>
            <w:tcW w:w="1469" w:type="pct"/>
            <w:hideMark/>
          </w:tcPr>
          <w:p w14:paraId="118A99D3" w14:textId="77777777" w:rsidR="00B07597" w:rsidRPr="00B07597" w:rsidRDefault="00B07597" w:rsidP="00602F72">
            <w:pPr>
              <w:spacing w:line="259" w:lineRule="auto"/>
            </w:pPr>
            <w:r w:rsidRPr="00B07597">
              <w:t>YGTSS impairment score</w:t>
            </w:r>
          </w:p>
        </w:tc>
        <w:tc>
          <w:tcPr>
            <w:tcW w:w="824" w:type="pct"/>
            <w:hideMark/>
          </w:tcPr>
          <w:p w14:paraId="0D3BE974" w14:textId="77777777" w:rsidR="00B07597" w:rsidRPr="00B07597" w:rsidRDefault="00B07597" w:rsidP="00602F72">
            <w:pPr>
              <w:spacing w:line="259" w:lineRule="auto"/>
            </w:pPr>
          </w:p>
        </w:tc>
        <w:tc>
          <w:tcPr>
            <w:tcW w:w="813" w:type="pct"/>
            <w:hideMark/>
          </w:tcPr>
          <w:p w14:paraId="4E77CAA7" w14:textId="77777777" w:rsidR="00B07597" w:rsidRPr="00B07597" w:rsidRDefault="00B07597" w:rsidP="00602F72">
            <w:pPr>
              <w:spacing w:line="259" w:lineRule="auto"/>
            </w:pPr>
          </w:p>
        </w:tc>
        <w:tc>
          <w:tcPr>
            <w:tcW w:w="709" w:type="pct"/>
            <w:hideMark/>
          </w:tcPr>
          <w:p w14:paraId="64A63565" w14:textId="77777777" w:rsidR="00B07597" w:rsidRPr="00B07597" w:rsidRDefault="00B07597" w:rsidP="00602F72">
            <w:pPr>
              <w:spacing w:line="259" w:lineRule="auto"/>
            </w:pPr>
          </w:p>
        </w:tc>
        <w:tc>
          <w:tcPr>
            <w:tcW w:w="813" w:type="pct"/>
            <w:hideMark/>
          </w:tcPr>
          <w:p w14:paraId="575B3D88" w14:textId="77777777" w:rsidR="00B07597" w:rsidRPr="00B07597" w:rsidRDefault="00B07597" w:rsidP="00602F72">
            <w:pPr>
              <w:spacing w:line="259" w:lineRule="auto"/>
            </w:pPr>
          </w:p>
        </w:tc>
        <w:tc>
          <w:tcPr>
            <w:tcW w:w="371" w:type="pct"/>
            <w:hideMark/>
          </w:tcPr>
          <w:p w14:paraId="62545C14" w14:textId="77777777" w:rsidR="00B07597" w:rsidRPr="00B07597" w:rsidRDefault="00B07597" w:rsidP="00602F72">
            <w:pPr>
              <w:spacing w:line="259" w:lineRule="auto"/>
            </w:pPr>
          </w:p>
        </w:tc>
      </w:tr>
      <w:tr w:rsidR="00B07597" w:rsidRPr="00B07597" w14:paraId="150C2016" w14:textId="77777777" w:rsidTr="00690E4B">
        <w:tc>
          <w:tcPr>
            <w:tcW w:w="1469" w:type="pct"/>
            <w:hideMark/>
          </w:tcPr>
          <w:p w14:paraId="6A1FAF41" w14:textId="77777777" w:rsidR="00B07597" w:rsidRPr="00B07597" w:rsidRDefault="00B07597" w:rsidP="00690E4B">
            <w:pPr>
              <w:spacing w:line="259" w:lineRule="auto"/>
              <w:ind w:left="251"/>
            </w:pPr>
            <w:r w:rsidRPr="00B07597">
              <w:t> Baseline</w:t>
            </w:r>
          </w:p>
        </w:tc>
        <w:tc>
          <w:tcPr>
            <w:tcW w:w="824" w:type="pct"/>
            <w:hideMark/>
          </w:tcPr>
          <w:p w14:paraId="5C9342BA" w14:textId="77777777" w:rsidR="00B07597" w:rsidRPr="00B07597" w:rsidRDefault="00B07597" w:rsidP="00602F72">
            <w:pPr>
              <w:spacing w:line="259" w:lineRule="auto"/>
            </w:pPr>
            <w:r w:rsidRPr="00B07597">
              <w:t>23.95</w:t>
            </w:r>
          </w:p>
        </w:tc>
        <w:tc>
          <w:tcPr>
            <w:tcW w:w="813" w:type="pct"/>
            <w:hideMark/>
          </w:tcPr>
          <w:p w14:paraId="1873CBEA" w14:textId="77777777" w:rsidR="00B07597" w:rsidRPr="00B07597" w:rsidRDefault="00B07597" w:rsidP="00602F72">
            <w:pPr>
              <w:spacing w:line="259" w:lineRule="auto"/>
            </w:pPr>
            <w:r w:rsidRPr="00B07597">
              <w:t>19.48–28.42</w:t>
            </w:r>
          </w:p>
        </w:tc>
        <w:tc>
          <w:tcPr>
            <w:tcW w:w="709" w:type="pct"/>
            <w:hideMark/>
          </w:tcPr>
          <w:p w14:paraId="2D628A87" w14:textId="77777777" w:rsidR="00B07597" w:rsidRPr="00B07597" w:rsidRDefault="00B07597" w:rsidP="00602F72">
            <w:pPr>
              <w:spacing w:line="259" w:lineRule="auto"/>
            </w:pPr>
            <w:r w:rsidRPr="00B07597">
              <w:t>21.66</w:t>
            </w:r>
          </w:p>
        </w:tc>
        <w:tc>
          <w:tcPr>
            <w:tcW w:w="813" w:type="pct"/>
            <w:hideMark/>
          </w:tcPr>
          <w:p w14:paraId="38693190" w14:textId="77777777" w:rsidR="00B07597" w:rsidRPr="00B07597" w:rsidRDefault="00B07597" w:rsidP="00602F72">
            <w:pPr>
              <w:spacing w:line="259" w:lineRule="auto"/>
            </w:pPr>
            <w:r w:rsidRPr="00B07597">
              <w:t>14.01–29.32</w:t>
            </w:r>
          </w:p>
        </w:tc>
        <w:tc>
          <w:tcPr>
            <w:tcW w:w="371" w:type="pct"/>
            <w:hideMark/>
          </w:tcPr>
          <w:p w14:paraId="369F36F5" w14:textId="77777777" w:rsidR="00B07597" w:rsidRPr="00B07597" w:rsidRDefault="00B07597" w:rsidP="00602F72">
            <w:pPr>
              <w:spacing w:line="259" w:lineRule="auto"/>
            </w:pPr>
            <w:r w:rsidRPr="00B07597">
              <w:t>.28</w:t>
            </w:r>
          </w:p>
        </w:tc>
      </w:tr>
      <w:tr w:rsidR="00B07597" w:rsidRPr="00B07597" w14:paraId="73E16F0D" w14:textId="77777777" w:rsidTr="00690E4B">
        <w:tc>
          <w:tcPr>
            <w:tcW w:w="1469" w:type="pct"/>
            <w:hideMark/>
          </w:tcPr>
          <w:p w14:paraId="0D379F9F" w14:textId="77777777" w:rsidR="00B07597" w:rsidRPr="00B07597" w:rsidRDefault="00B07597" w:rsidP="00690E4B">
            <w:pPr>
              <w:spacing w:line="259" w:lineRule="auto"/>
              <w:ind w:left="251"/>
            </w:pPr>
            <w:r w:rsidRPr="00B07597">
              <w:t> Posttreatment</w:t>
            </w:r>
          </w:p>
        </w:tc>
        <w:tc>
          <w:tcPr>
            <w:tcW w:w="824" w:type="pct"/>
            <w:hideMark/>
          </w:tcPr>
          <w:p w14:paraId="29F35002" w14:textId="77777777" w:rsidR="00B07597" w:rsidRPr="00B07597" w:rsidRDefault="00B07597" w:rsidP="00602F72">
            <w:pPr>
              <w:spacing w:line="259" w:lineRule="auto"/>
            </w:pPr>
            <w:r w:rsidRPr="00B07597">
              <w:t>6.90</w:t>
            </w:r>
          </w:p>
        </w:tc>
        <w:tc>
          <w:tcPr>
            <w:tcW w:w="813" w:type="pct"/>
            <w:hideMark/>
          </w:tcPr>
          <w:p w14:paraId="76512DDF" w14:textId="77777777" w:rsidR="00B07597" w:rsidRPr="00B07597" w:rsidRDefault="00B07597" w:rsidP="00602F72">
            <w:pPr>
              <w:spacing w:line="259" w:lineRule="auto"/>
            </w:pPr>
            <w:r w:rsidRPr="00B07597">
              <w:t>2.43–11.37</w:t>
            </w:r>
          </w:p>
        </w:tc>
        <w:tc>
          <w:tcPr>
            <w:tcW w:w="709" w:type="pct"/>
            <w:hideMark/>
          </w:tcPr>
          <w:p w14:paraId="2359B95A" w14:textId="77777777" w:rsidR="00B07597" w:rsidRPr="00B07597" w:rsidRDefault="00B07597" w:rsidP="00602F72">
            <w:pPr>
              <w:spacing w:line="259" w:lineRule="auto"/>
            </w:pPr>
            <w:r w:rsidRPr="00B07597">
              <w:t>7.00</w:t>
            </w:r>
          </w:p>
        </w:tc>
        <w:tc>
          <w:tcPr>
            <w:tcW w:w="813" w:type="pct"/>
            <w:hideMark/>
          </w:tcPr>
          <w:p w14:paraId="4428768E" w14:textId="77777777" w:rsidR="00B07597" w:rsidRPr="00B07597" w:rsidRDefault="00B07597" w:rsidP="00602F72">
            <w:pPr>
              <w:spacing w:line="259" w:lineRule="auto"/>
            </w:pPr>
            <w:r w:rsidRPr="00B07597">
              <w:t>0–14.65</w:t>
            </w:r>
          </w:p>
        </w:tc>
        <w:tc>
          <w:tcPr>
            <w:tcW w:w="371" w:type="pct"/>
            <w:hideMark/>
          </w:tcPr>
          <w:p w14:paraId="5F58FCA7" w14:textId="77777777" w:rsidR="00B07597" w:rsidRPr="00B07597" w:rsidRDefault="00B07597" w:rsidP="00602F72">
            <w:pPr>
              <w:spacing w:line="259" w:lineRule="auto"/>
            </w:pPr>
            <w:r w:rsidRPr="00B07597">
              <w:t>.01</w:t>
            </w:r>
          </w:p>
        </w:tc>
      </w:tr>
      <w:tr w:rsidR="00B07597" w:rsidRPr="00B07597" w14:paraId="76FF2974" w14:textId="77777777" w:rsidTr="00690E4B">
        <w:tc>
          <w:tcPr>
            <w:tcW w:w="1469" w:type="pct"/>
            <w:hideMark/>
          </w:tcPr>
          <w:p w14:paraId="2A6E4481" w14:textId="77777777" w:rsidR="00B07597" w:rsidRPr="00B07597" w:rsidRDefault="00B07597" w:rsidP="00690E4B">
            <w:pPr>
              <w:spacing w:line="259" w:lineRule="auto"/>
              <w:ind w:left="251"/>
            </w:pPr>
            <w:r w:rsidRPr="00B07597">
              <w:t> Long-term follow-up</w:t>
            </w:r>
          </w:p>
        </w:tc>
        <w:tc>
          <w:tcPr>
            <w:tcW w:w="824" w:type="pct"/>
            <w:hideMark/>
          </w:tcPr>
          <w:p w14:paraId="6346C93A" w14:textId="77777777" w:rsidR="00B07597" w:rsidRPr="00B07597" w:rsidRDefault="00B07597" w:rsidP="00602F72">
            <w:pPr>
              <w:spacing w:line="259" w:lineRule="auto"/>
            </w:pPr>
            <w:r w:rsidRPr="00B07597">
              <w:t>8.90</w:t>
            </w:r>
          </w:p>
        </w:tc>
        <w:tc>
          <w:tcPr>
            <w:tcW w:w="813" w:type="pct"/>
            <w:hideMark/>
          </w:tcPr>
          <w:p w14:paraId="2DA29109" w14:textId="77777777" w:rsidR="00B07597" w:rsidRPr="00B07597" w:rsidRDefault="00B07597" w:rsidP="00602F72">
            <w:pPr>
              <w:spacing w:line="259" w:lineRule="auto"/>
            </w:pPr>
            <w:r w:rsidRPr="00B07597">
              <w:t>4.43–13.37</w:t>
            </w:r>
          </w:p>
        </w:tc>
        <w:tc>
          <w:tcPr>
            <w:tcW w:w="709" w:type="pct"/>
            <w:hideMark/>
          </w:tcPr>
          <w:p w14:paraId="50A2CD60" w14:textId="77777777" w:rsidR="00B07597" w:rsidRPr="00B07597" w:rsidRDefault="00B07597" w:rsidP="00602F72">
            <w:pPr>
              <w:spacing w:line="259" w:lineRule="auto"/>
            </w:pPr>
            <w:r w:rsidRPr="00B07597">
              <w:t>12.00</w:t>
            </w:r>
          </w:p>
        </w:tc>
        <w:tc>
          <w:tcPr>
            <w:tcW w:w="813" w:type="pct"/>
            <w:hideMark/>
          </w:tcPr>
          <w:p w14:paraId="10ADC42E" w14:textId="77777777" w:rsidR="00B07597" w:rsidRPr="00B07597" w:rsidRDefault="00B07597" w:rsidP="00602F72">
            <w:pPr>
              <w:spacing w:line="259" w:lineRule="auto"/>
            </w:pPr>
            <w:r w:rsidRPr="00B07597">
              <w:t>4.34–19.65</w:t>
            </w:r>
          </w:p>
        </w:tc>
        <w:tc>
          <w:tcPr>
            <w:tcW w:w="371" w:type="pct"/>
            <w:hideMark/>
          </w:tcPr>
          <w:p w14:paraId="754BC631" w14:textId="77777777" w:rsidR="00B07597" w:rsidRPr="00B07597" w:rsidRDefault="00B07597" w:rsidP="00602F72">
            <w:pPr>
              <w:spacing w:line="259" w:lineRule="auto"/>
            </w:pPr>
            <w:r w:rsidRPr="00B07597">
              <w:t>.38</w:t>
            </w:r>
          </w:p>
        </w:tc>
      </w:tr>
    </w:tbl>
    <w:p w14:paraId="35E63776" w14:textId="77777777" w:rsidR="00B07597" w:rsidRPr="00B07597" w:rsidRDefault="00B07597" w:rsidP="00B07597">
      <w:pPr>
        <w:rPr>
          <w:vanish/>
        </w:rPr>
      </w:pPr>
    </w:p>
    <w:tbl>
      <w:tblPr>
        <w:tblStyle w:val="TableGrid"/>
        <w:tblW w:w="5000" w:type="pct"/>
        <w:tblLook w:val="04A0" w:firstRow="1" w:lastRow="0" w:firstColumn="1" w:lastColumn="0" w:noHBand="0" w:noVBand="1"/>
      </w:tblPr>
      <w:tblGrid>
        <w:gridCol w:w="2921"/>
        <w:gridCol w:w="1638"/>
        <w:gridCol w:w="1616"/>
        <w:gridCol w:w="1543"/>
        <w:gridCol w:w="1615"/>
        <w:gridCol w:w="737"/>
      </w:tblGrid>
      <w:tr w:rsidR="00C27FE0" w:rsidRPr="00690E4B" w14:paraId="47B210AD" w14:textId="77777777" w:rsidTr="00690E4B">
        <w:tc>
          <w:tcPr>
            <w:tcW w:w="1450" w:type="pct"/>
            <w:hideMark/>
          </w:tcPr>
          <w:bookmarkEnd w:id="25"/>
          <w:bookmarkEnd w:id="26"/>
          <w:p w14:paraId="5BEA6822" w14:textId="73A43395" w:rsidR="00C27FE0" w:rsidRPr="00690E4B" w:rsidRDefault="00C27FE0" w:rsidP="00602F72">
            <w:pPr>
              <w:spacing w:line="259" w:lineRule="auto"/>
              <w:rPr>
                <w:b/>
                <w:bCs/>
              </w:rPr>
            </w:pPr>
            <w:proofErr w:type="spellStart"/>
            <w:r w:rsidRPr="00690E4B">
              <w:rPr>
                <w:b/>
                <w:bCs/>
              </w:rPr>
              <w:t>Nonresponders</w:t>
            </w:r>
            <w:r w:rsidRPr="00690E4B">
              <w:rPr>
                <w:b/>
                <w:bCs/>
                <w:vertAlign w:val="superscript"/>
              </w:rPr>
              <w:t>b</w:t>
            </w:r>
            <w:proofErr w:type="spellEnd"/>
          </w:p>
        </w:tc>
        <w:tc>
          <w:tcPr>
            <w:tcW w:w="813" w:type="pct"/>
            <w:hideMark/>
          </w:tcPr>
          <w:p w14:paraId="14B4AF39" w14:textId="77777777" w:rsidR="00C27FE0" w:rsidRPr="00690E4B" w:rsidRDefault="00C27FE0" w:rsidP="00602F72">
            <w:pPr>
              <w:rPr>
                <w:b/>
                <w:bCs/>
              </w:rPr>
            </w:pPr>
            <w:r w:rsidRPr="00690E4B">
              <w:rPr>
                <w:b/>
                <w:bCs/>
              </w:rPr>
              <w:t>CBIT (n = 17)</w:t>
            </w:r>
          </w:p>
        </w:tc>
        <w:tc>
          <w:tcPr>
            <w:tcW w:w="802" w:type="pct"/>
          </w:tcPr>
          <w:p w14:paraId="4AA9B804" w14:textId="5EE51071" w:rsidR="00C27FE0" w:rsidRPr="00690E4B" w:rsidRDefault="00C27FE0" w:rsidP="00602F72">
            <w:pPr>
              <w:spacing w:line="259" w:lineRule="auto"/>
              <w:rPr>
                <w:b/>
                <w:bCs/>
              </w:rPr>
            </w:pPr>
          </w:p>
        </w:tc>
        <w:tc>
          <w:tcPr>
            <w:tcW w:w="766" w:type="pct"/>
            <w:hideMark/>
          </w:tcPr>
          <w:p w14:paraId="3C6D0E7A" w14:textId="77777777" w:rsidR="00C27FE0" w:rsidRPr="00690E4B" w:rsidRDefault="00C27FE0" w:rsidP="00602F72">
            <w:pPr>
              <w:rPr>
                <w:b/>
                <w:bCs/>
              </w:rPr>
            </w:pPr>
            <w:r w:rsidRPr="00690E4B">
              <w:rPr>
                <w:b/>
                <w:bCs/>
              </w:rPr>
              <w:t>PST (n = 36)</w:t>
            </w:r>
          </w:p>
        </w:tc>
        <w:tc>
          <w:tcPr>
            <w:tcW w:w="802" w:type="pct"/>
          </w:tcPr>
          <w:p w14:paraId="6C055F39" w14:textId="24CF3691" w:rsidR="00C27FE0" w:rsidRPr="00690E4B" w:rsidRDefault="00C27FE0" w:rsidP="00602F72">
            <w:pPr>
              <w:spacing w:line="259" w:lineRule="auto"/>
              <w:rPr>
                <w:b/>
                <w:bCs/>
              </w:rPr>
            </w:pPr>
          </w:p>
        </w:tc>
        <w:tc>
          <w:tcPr>
            <w:tcW w:w="366" w:type="pct"/>
            <w:hideMark/>
          </w:tcPr>
          <w:p w14:paraId="2522EB85" w14:textId="2C09CE05" w:rsidR="00C27FE0" w:rsidRPr="00690E4B" w:rsidRDefault="00C27FE0" w:rsidP="00602F72">
            <w:pPr>
              <w:spacing w:line="259" w:lineRule="auto"/>
              <w:rPr>
                <w:b/>
                <w:bCs/>
              </w:rPr>
            </w:pPr>
            <w:proofErr w:type="spellStart"/>
            <w:r w:rsidRPr="00690E4B">
              <w:rPr>
                <w:b/>
                <w:bCs/>
              </w:rPr>
              <w:t>ES</w:t>
            </w:r>
            <w:r w:rsidRPr="00690E4B">
              <w:rPr>
                <w:b/>
                <w:bCs/>
                <w:vertAlign w:val="superscript"/>
              </w:rPr>
              <w:t>a</w:t>
            </w:r>
            <w:proofErr w:type="spellEnd"/>
          </w:p>
        </w:tc>
      </w:tr>
      <w:tr w:rsidR="00C27FE0" w:rsidRPr="00B07597" w14:paraId="3B4416D5" w14:textId="77777777" w:rsidTr="00690E4B">
        <w:tc>
          <w:tcPr>
            <w:tcW w:w="1450" w:type="pct"/>
            <w:hideMark/>
          </w:tcPr>
          <w:p w14:paraId="1536A201" w14:textId="77777777" w:rsidR="00C27FE0" w:rsidRPr="00B07597" w:rsidRDefault="00C27FE0" w:rsidP="00602F72">
            <w:pPr>
              <w:spacing w:line="259" w:lineRule="auto"/>
            </w:pPr>
          </w:p>
        </w:tc>
        <w:tc>
          <w:tcPr>
            <w:tcW w:w="813" w:type="pct"/>
            <w:hideMark/>
          </w:tcPr>
          <w:p w14:paraId="6BF1BC14" w14:textId="77777777" w:rsidR="00C27FE0" w:rsidRPr="00B07597" w:rsidRDefault="00C27FE0" w:rsidP="00602F72">
            <w:pPr>
              <w:spacing w:line="259" w:lineRule="auto"/>
              <w:rPr>
                <w:b/>
                <w:bCs/>
              </w:rPr>
            </w:pPr>
            <w:r w:rsidRPr="00B07597">
              <w:rPr>
                <w:b/>
                <w:bCs/>
              </w:rPr>
              <w:t>Mean</w:t>
            </w:r>
          </w:p>
        </w:tc>
        <w:tc>
          <w:tcPr>
            <w:tcW w:w="802" w:type="pct"/>
            <w:hideMark/>
          </w:tcPr>
          <w:p w14:paraId="33C9428D" w14:textId="77777777" w:rsidR="00C27FE0" w:rsidRPr="00B07597" w:rsidRDefault="00C27FE0" w:rsidP="00602F72">
            <w:pPr>
              <w:spacing w:line="259" w:lineRule="auto"/>
              <w:rPr>
                <w:b/>
                <w:bCs/>
              </w:rPr>
            </w:pPr>
            <w:r w:rsidRPr="00B07597">
              <w:rPr>
                <w:b/>
                <w:bCs/>
              </w:rPr>
              <w:t>95% CI</w:t>
            </w:r>
          </w:p>
        </w:tc>
        <w:tc>
          <w:tcPr>
            <w:tcW w:w="766" w:type="pct"/>
            <w:hideMark/>
          </w:tcPr>
          <w:p w14:paraId="4B0AFBA8" w14:textId="77777777" w:rsidR="00C27FE0" w:rsidRPr="00B07597" w:rsidRDefault="00C27FE0" w:rsidP="00602F72">
            <w:pPr>
              <w:spacing w:line="259" w:lineRule="auto"/>
              <w:rPr>
                <w:b/>
                <w:bCs/>
              </w:rPr>
            </w:pPr>
            <w:r w:rsidRPr="00B07597">
              <w:rPr>
                <w:b/>
                <w:bCs/>
              </w:rPr>
              <w:t>Mean</w:t>
            </w:r>
          </w:p>
        </w:tc>
        <w:tc>
          <w:tcPr>
            <w:tcW w:w="802" w:type="pct"/>
            <w:hideMark/>
          </w:tcPr>
          <w:p w14:paraId="7F652D1A" w14:textId="77777777" w:rsidR="00C27FE0" w:rsidRPr="00B07597" w:rsidRDefault="00C27FE0" w:rsidP="00602F72">
            <w:pPr>
              <w:spacing w:line="259" w:lineRule="auto"/>
              <w:rPr>
                <w:b/>
                <w:bCs/>
              </w:rPr>
            </w:pPr>
            <w:r w:rsidRPr="00B07597">
              <w:rPr>
                <w:b/>
                <w:bCs/>
              </w:rPr>
              <w:t>95% CI</w:t>
            </w:r>
          </w:p>
        </w:tc>
        <w:tc>
          <w:tcPr>
            <w:tcW w:w="366" w:type="pct"/>
            <w:hideMark/>
          </w:tcPr>
          <w:p w14:paraId="67802CD0" w14:textId="77777777" w:rsidR="00C27FE0" w:rsidRPr="00B07597" w:rsidRDefault="00C27FE0" w:rsidP="00602F72">
            <w:pPr>
              <w:spacing w:line="259" w:lineRule="auto"/>
              <w:rPr>
                <w:b/>
                <w:bCs/>
              </w:rPr>
            </w:pPr>
          </w:p>
        </w:tc>
      </w:tr>
      <w:tr w:rsidR="00B07597" w:rsidRPr="00B07597" w14:paraId="40F643DD" w14:textId="77777777" w:rsidTr="00690E4B">
        <w:tc>
          <w:tcPr>
            <w:tcW w:w="1450" w:type="pct"/>
            <w:hideMark/>
          </w:tcPr>
          <w:p w14:paraId="3E2CB91A" w14:textId="77777777" w:rsidR="00B07597" w:rsidRPr="00B07597" w:rsidRDefault="00B07597" w:rsidP="00602F72">
            <w:pPr>
              <w:spacing w:line="259" w:lineRule="auto"/>
            </w:pPr>
            <w:r w:rsidRPr="00B07597">
              <w:t>YGTSS total tic score</w:t>
            </w:r>
          </w:p>
        </w:tc>
        <w:tc>
          <w:tcPr>
            <w:tcW w:w="813" w:type="pct"/>
            <w:hideMark/>
          </w:tcPr>
          <w:p w14:paraId="54C5FE79" w14:textId="77777777" w:rsidR="00B07597" w:rsidRPr="00B07597" w:rsidRDefault="00B07597" w:rsidP="00602F72">
            <w:pPr>
              <w:spacing w:line="259" w:lineRule="auto"/>
            </w:pPr>
          </w:p>
        </w:tc>
        <w:tc>
          <w:tcPr>
            <w:tcW w:w="802" w:type="pct"/>
            <w:hideMark/>
          </w:tcPr>
          <w:p w14:paraId="4AC0549A" w14:textId="77777777" w:rsidR="00B07597" w:rsidRPr="00B07597" w:rsidRDefault="00B07597" w:rsidP="00602F72">
            <w:pPr>
              <w:spacing w:line="259" w:lineRule="auto"/>
            </w:pPr>
          </w:p>
        </w:tc>
        <w:tc>
          <w:tcPr>
            <w:tcW w:w="766" w:type="pct"/>
            <w:hideMark/>
          </w:tcPr>
          <w:p w14:paraId="4F7A8052" w14:textId="77777777" w:rsidR="00B07597" w:rsidRPr="00B07597" w:rsidRDefault="00B07597" w:rsidP="00602F72">
            <w:pPr>
              <w:spacing w:line="259" w:lineRule="auto"/>
            </w:pPr>
          </w:p>
        </w:tc>
        <w:tc>
          <w:tcPr>
            <w:tcW w:w="802" w:type="pct"/>
            <w:hideMark/>
          </w:tcPr>
          <w:p w14:paraId="2999A49B" w14:textId="77777777" w:rsidR="00B07597" w:rsidRPr="00B07597" w:rsidRDefault="00B07597" w:rsidP="00602F72">
            <w:pPr>
              <w:spacing w:line="259" w:lineRule="auto"/>
            </w:pPr>
          </w:p>
        </w:tc>
        <w:tc>
          <w:tcPr>
            <w:tcW w:w="366" w:type="pct"/>
            <w:hideMark/>
          </w:tcPr>
          <w:p w14:paraId="064C877C" w14:textId="77777777" w:rsidR="00B07597" w:rsidRPr="00B07597" w:rsidRDefault="00B07597" w:rsidP="00602F72">
            <w:pPr>
              <w:spacing w:line="259" w:lineRule="auto"/>
            </w:pPr>
          </w:p>
        </w:tc>
      </w:tr>
      <w:tr w:rsidR="00B07597" w:rsidRPr="00B07597" w14:paraId="7FAC083F" w14:textId="77777777" w:rsidTr="00690E4B">
        <w:tc>
          <w:tcPr>
            <w:tcW w:w="1450" w:type="pct"/>
            <w:hideMark/>
          </w:tcPr>
          <w:p w14:paraId="42964861" w14:textId="77777777" w:rsidR="00B07597" w:rsidRPr="00B07597" w:rsidRDefault="00B07597" w:rsidP="00690E4B">
            <w:pPr>
              <w:spacing w:line="259" w:lineRule="auto"/>
              <w:ind w:left="341"/>
            </w:pPr>
            <w:r w:rsidRPr="00B07597">
              <w:t> Baseline</w:t>
            </w:r>
          </w:p>
        </w:tc>
        <w:tc>
          <w:tcPr>
            <w:tcW w:w="813" w:type="pct"/>
            <w:hideMark/>
          </w:tcPr>
          <w:p w14:paraId="1A639BF0" w14:textId="77777777" w:rsidR="00B07597" w:rsidRPr="00B07597" w:rsidRDefault="00B07597" w:rsidP="00602F72">
            <w:pPr>
              <w:spacing w:line="259" w:lineRule="auto"/>
            </w:pPr>
            <w:r w:rsidRPr="00B07597">
              <w:t>25.59</w:t>
            </w:r>
          </w:p>
        </w:tc>
        <w:tc>
          <w:tcPr>
            <w:tcW w:w="802" w:type="pct"/>
            <w:hideMark/>
          </w:tcPr>
          <w:p w14:paraId="7A6212D6" w14:textId="77777777" w:rsidR="00B07597" w:rsidRPr="00B07597" w:rsidRDefault="00B07597" w:rsidP="00602F72">
            <w:pPr>
              <w:spacing w:line="259" w:lineRule="auto"/>
            </w:pPr>
            <w:r w:rsidRPr="00B07597">
              <w:t>21.99–29.19</w:t>
            </w:r>
          </w:p>
        </w:tc>
        <w:tc>
          <w:tcPr>
            <w:tcW w:w="766" w:type="pct"/>
            <w:hideMark/>
          </w:tcPr>
          <w:p w14:paraId="1F7994FA" w14:textId="77777777" w:rsidR="00B07597" w:rsidRPr="00B07597" w:rsidRDefault="00B07597" w:rsidP="00602F72">
            <w:pPr>
              <w:spacing w:line="259" w:lineRule="auto"/>
            </w:pPr>
            <w:r w:rsidRPr="00B07597">
              <w:t>25.00</w:t>
            </w:r>
          </w:p>
        </w:tc>
        <w:tc>
          <w:tcPr>
            <w:tcW w:w="802" w:type="pct"/>
            <w:hideMark/>
          </w:tcPr>
          <w:p w14:paraId="165510C4" w14:textId="77777777" w:rsidR="00B07597" w:rsidRPr="00B07597" w:rsidRDefault="00B07597" w:rsidP="00602F72">
            <w:pPr>
              <w:spacing w:line="259" w:lineRule="auto"/>
            </w:pPr>
            <w:r w:rsidRPr="00B07597">
              <w:t>22.40–27.60</w:t>
            </w:r>
          </w:p>
        </w:tc>
        <w:tc>
          <w:tcPr>
            <w:tcW w:w="366" w:type="pct"/>
            <w:hideMark/>
          </w:tcPr>
          <w:p w14:paraId="5870EFCA" w14:textId="77777777" w:rsidR="00B07597" w:rsidRPr="00B07597" w:rsidRDefault="00B07597" w:rsidP="00602F72">
            <w:pPr>
              <w:spacing w:line="259" w:lineRule="auto"/>
            </w:pPr>
            <w:r w:rsidRPr="00B07597">
              <w:t>0.10</w:t>
            </w:r>
          </w:p>
        </w:tc>
      </w:tr>
      <w:tr w:rsidR="00B07597" w:rsidRPr="00B07597" w14:paraId="3A5A8293" w14:textId="77777777" w:rsidTr="00690E4B">
        <w:tc>
          <w:tcPr>
            <w:tcW w:w="1450" w:type="pct"/>
            <w:hideMark/>
          </w:tcPr>
          <w:p w14:paraId="05C5605C" w14:textId="77777777" w:rsidR="00B07597" w:rsidRPr="00B07597" w:rsidRDefault="00B07597" w:rsidP="00690E4B">
            <w:pPr>
              <w:spacing w:line="259" w:lineRule="auto"/>
              <w:ind w:left="341"/>
            </w:pPr>
            <w:r w:rsidRPr="00B07597">
              <w:t> Posttreatment</w:t>
            </w:r>
          </w:p>
        </w:tc>
        <w:tc>
          <w:tcPr>
            <w:tcW w:w="813" w:type="pct"/>
            <w:hideMark/>
          </w:tcPr>
          <w:p w14:paraId="000E6C7D" w14:textId="77777777" w:rsidR="00B07597" w:rsidRPr="00B07597" w:rsidRDefault="00B07597" w:rsidP="00602F72">
            <w:pPr>
              <w:spacing w:line="259" w:lineRule="auto"/>
            </w:pPr>
            <w:r w:rsidRPr="00B07597">
              <w:t>21.61</w:t>
            </w:r>
          </w:p>
        </w:tc>
        <w:tc>
          <w:tcPr>
            <w:tcW w:w="802" w:type="pct"/>
            <w:hideMark/>
          </w:tcPr>
          <w:p w14:paraId="44649A54" w14:textId="77777777" w:rsidR="00B07597" w:rsidRPr="00B07597" w:rsidRDefault="00B07597" w:rsidP="00602F72">
            <w:pPr>
              <w:spacing w:line="259" w:lineRule="auto"/>
            </w:pPr>
            <w:r w:rsidRPr="00B07597">
              <w:t>18.01–25.20</w:t>
            </w:r>
          </w:p>
        </w:tc>
        <w:tc>
          <w:tcPr>
            <w:tcW w:w="766" w:type="pct"/>
            <w:hideMark/>
          </w:tcPr>
          <w:p w14:paraId="628154B8" w14:textId="77777777" w:rsidR="00B07597" w:rsidRPr="00B07597" w:rsidRDefault="00B07597" w:rsidP="00602F72">
            <w:pPr>
              <w:spacing w:line="259" w:lineRule="auto"/>
            </w:pPr>
            <w:r w:rsidRPr="00B07597">
              <w:t>23.51</w:t>
            </w:r>
          </w:p>
        </w:tc>
        <w:tc>
          <w:tcPr>
            <w:tcW w:w="802" w:type="pct"/>
            <w:hideMark/>
          </w:tcPr>
          <w:p w14:paraId="169BF3E8" w14:textId="77777777" w:rsidR="00B07597" w:rsidRPr="00B07597" w:rsidRDefault="00B07597" w:rsidP="00602F72">
            <w:pPr>
              <w:spacing w:line="259" w:lineRule="auto"/>
            </w:pPr>
            <w:r w:rsidRPr="00B07597">
              <w:t>20.90–26.12</w:t>
            </w:r>
          </w:p>
        </w:tc>
        <w:tc>
          <w:tcPr>
            <w:tcW w:w="366" w:type="pct"/>
            <w:hideMark/>
          </w:tcPr>
          <w:p w14:paraId="77E8D5AF" w14:textId="77777777" w:rsidR="00B07597" w:rsidRPr="00B07597" w:rsidRDefault="00B07597" w:rsidP="00602F72">
            <w:pPr>
              <w:spacing w:line="259" w:lineRule="auto"/>
            </w:pPr>
            <w:r w:rsidRPr="00B07597">
              <w:t>0.32</w:t>
            </w:r>
          </w:p>
        </w:tc>
      </w:tr>
      <w:tr w:rsidR="00B07597" w:rsidRPr="00B07597" w14:paraId="26DB1A92" w14:textId="77777777" w:rsidTr="00690E4B">
        <w:tc>
          <w:tcPr>
            <w:tcW w:w="1450" w:type="pct"/>
            <w:hideMark/>
          </w:tcPr>
          <w:p w14:paraId="3D501FBD" w14:textId="77777777" w:rsidR="00B07597" w:rsidRPr="00B07597" w:rsidRDefault="00B07597" w:rsidP="00690E4B">
            <w:pPr>
              <w:spacing w:line="259" w:lineRule="auto"/>
              <w:ind w:left="341"/>
            </w:pPr>
            <w:r w:rsidRPr="00B07597">
              <w:t> Long-term follow-up</w:t>
            </w:r>
          </w:p>
        </w:tc>
        <w:tc>
          <w:tcPr>
            <w:tcW w:w="813" w:type="pct"/>
            <w:hideMark/>
          </w:tcPr>
          <w:p w14:paraId="45DE6370" w14:textId="77777777" w:rsidR="00B07597" w:rsidRPr="00B07597" w:rsidRDefault="00B07597" w:rsidP="00602F72">
            <w:pPr>
              <w:spacing w:line="259" w:lineRule="auto"/>
            </w:pPr>
            <w:r w:rsidRPr="00B07597">
              <w:t>18.73</w:t>
            </w:r>
          </w:p>
        </w:tc>
        <w:tc>
          <w:tcPr>
            <w:tcW w:w="802" w:type="pct"/>
            <w:hideMark/>
          </w:tcPr>
          <w:p w14:paraId="7F9987FD" w14:textId="77777777" w:rsidR="00B07597" w:rsidRPr="00B07597" w:rsidRDefault="00B07597" w:rsidP="00602F72">
            <w:pPr>
              <w:spacing w:line="259" w:lineRule="auto"/>
            </w:pPr>
            <w:r w:rsidRPr="00B07597">
              <w:t>15.14–22.33</w:t>
            </w:r>
          </w:p>
        </w:tc>
        <w:tc>
          <w:tcPr>
            <w:tcW w:w="766" w:type="pct"/>
            <w:hideMark/>
          </w:tcPr>
          <w:p w14:paraId="4002FFFA" w14:textId="77777777" w:rsidR="00B07597" w:rsidRPr="00B07597" w:rsidRDefault="00B07597" w:rsidP="00602F72">
            <w:pPr>
              <w:spacing w:line="259" w:lineRule="auto"/>
            </w:pPr>
            <w:r w:rsidRPr="00B07597">
              <w:t>16.43</w:t>
            </w:r>
          </w:p>
        </w:tc>
        <w:tc>
          <w:tcPr>
            <w:tcW w:w="802" w:type="pct"/>
            <w:hideMark/>
          </w:tcPr>
          <w:p w14:paraId="4E22F874" w14:textId="77777777" w:rsidR="00B07597" w:rsidRPr="00B07597" w:rsidRDefault="00B07597" w:rsidP="00602F72">
            <w:pPr>
              <w:spacing w:line="259" w:lineRule="auto"/>
            </w:pPr>
            <w:r w:rsidRPr="00B07597">
              <w:t>13.83–19.03</w:t>
            </w:r>
          </w:p>
        </w:tc>
        <w:tc>
          <w:tcPr>
            <w:tcW w:w="366" w:type="pct"/>
            <w:hideMark/>
          </w:tcPr>
          <w:p w14:paraId="2EA263CA" w14:textId="77777777" w:rsidR="00B07597" w:rsidRPr="00B07597" w:rsidRDefault="00B07597" w:rsidP="00602F72">
            <w:pPr>
              <w:spacing w:line="259" w:lineRule="auto"/>
            </w:pPr>
            <w:r w:rsidRPr="00B07597">
              <w:t>0.39</w:t>
            </w:r>
          </w:p>
        </w:tc>
      </w:tr>
      <w:tr w:rsidR="00B07597" w:rsidRPr="00B07597" w14:paraId="53182E83" w14:textId="77777777" w:rsidTr="00690E4B">
        <w:tc>
          <w:tcPr>
            <w:tcW w:w="1450" w:type="pct"/>
            <w:hideMark/>
          </w:tcPr>
          <w:p w14:paraId="3E9712E1" w14:textId="77777777" w:rsidR="00B07597" w:rsidRPr="00B07597" w:rsidRDefault="00B07597" w:rsidP="00602F72">
            <w:pPr>
              <w:spacing w:line="259" w:lineRule="auto"/>
            </w:pPr>
            <w:r w:rsidRPr="00B07597">
              <w:t>YGTSS impairment score</w:t>
            </w:r>
          </w:p>
        </w:tc>
        <w:tc>
          <w:tcPr>
            <w:tcW w:w="813" w:type="pct"/>
            <w:hideMark/>
          </w:tcPr>
          <w:p w14:paraId="44BC1249" w14:textId="77777777" w:rsidR="00B07597" w:rsidRPr="00B07597" w:rsidRDefault="00B07597" w:rsidP="00602F72">
            <w:pPr>
              <w:spacing w:line="259" w:lineRule="auto"/>
            </w:pPr>
          </w:p>
        </w:tc>
        <w:tc>
          <w:tcPr>
            <w:tcW w:w="802" w:type="pct"/>
            <w:hideMark/>
          </w:tcPr>
          <w:p w14:paraId="7E165E78" w14:textId="77777777" w:rsidR="00B07597" w:rsidRPr="00B07597" w:rsidRDefault="00B07597" w:rsidP="00602F72">
            <w:pPr>
              <w:spacing w:line="259" w:lineRule="auto"/>
            </w:pPr>
          </w:p>
        </w:tc>
        <w:tc>
          <w:tcPr>
            <w:tcW w:w="766" w:type="pct"/>
            <w:hideMark/>
          </w:tcPr>
          <w:p w14:paraId="3B332DA3" w14:textId="77777777" w:rsidR="00B07597" w:rsidRPr="00B07597" w:rsidRDefault="00B07597" w:rsidP="00602F72">
            <w:pPr>
              <w:spacing w:line="259" w:lineRule="auto"/>
            </w:pPr>
          </w:p>
        </w:tc>
        <w:tc>
          <w:tcPr>
            <w:tcW w:w="802" w:type="pct"/>
            <w:hideMark/>
          </w:tcPr>
          <w:p w14:paraId="356A8C6C" w14:textId="77777777" w:rsidR="00B07597" w:rsidRPr="00B07597" w:rsidRDefault="00B07597" w:rsidP="00602F72">
            <w:pPr>
              <w:spacing w:line="259" w:lineRule="auto"/>
            </w:pPr>
          </w:p>
        </w:tc>
        <w:tc>
          <w:tcPr>
            <w:tcW w:w="366" w:type="pct"/>
            <w:hideMark/>
          </w:tcPr>
          <w:p w14:paraId="5399ECA4" w14:textId="77777777" w:rsidR="00B07597" w:rsidRPr="00B07597" w:rsidRDefault="00B07597" w:rsidP="00602F72">
            <w:pPr>
              <w:spacing w:line="259" w:lineRule="auto"/>
            </w:pPr>
          </w:p>
        </w:tc>
      </w:tr>
      <w:tr w:rsidR="00B07597" w:rsidRPr="00B07597" w14:paraId="685D86F4" w14:textId="77777777" w:rsidTr="00690E4B">
        <w:tc>
          <w:tcPr>
            <w:tcW w:w="1450" w:type="pct"/>
            <w:hideMark/>
          </w:tcPr>
          <w:p w14:paraId="61BD36BF" w14:textId="77777777" w:rsidR="00B07597" w:rsidRPr="00B07597" w:rsidRDefault="00B07597" w:rsidP="00690E4B">
            <w:pPr>
              <w:spacing w:line="259" w:lineRule="auto"/>
              <w:ind w:left="341"/>
            </w:pPr>
            <w:r w:rsidRPr="00B07597">
              <w:t> Baseline</w:t>
            </w:r>
          </w:p>
        </w:tc>
        <w:tc>
          <w:tcPr>
            <w:tcW w:w="813" w:type="pct"/>
            <w:hideMark/>
          </w:tcPr>
          <w:p w14:paraId="32EA3174" w14:textId="77777777" w:rsidR="00B07597" w:rsidRPr="00B07597" w:rsidRDefault="00B07597" w:rsidP="00602F72">
            <w:pPr>
              <w:spacing w:line="259" w:lineRule="auto"/>
            </w:pPr>
            <w:r w:rsidRPr="00B07597">
              <w:t>26.31</w:t>
            </w:r>
          </w:p>
        </w:tc>
        <w:tc>
          <w:tcPr>
            <w:tcW w:w="802" w:type="pct"/>
            <w:hideMark/>
          </w:tcPr>
          <w:p w14:paraId="5D77F07A" w14:textId="77777777" w:rsidR="00B07597" w:rsidRPr="00B07597" w:rsidRDefault="00B07597" w:rsidP="00602F72">
            <w:pPr>
              <w:spacing w:line="259" w:lineRule="auto"/>
            </w:pPr>
            <w:r w:rsidRPr="00B07597">
              <w:t>21.72–30.90</w:t>
            </w:r>
          </w:p>
        </w:tc>
        <w:tc>
          <w:tcPr>
            <w:tcW w:w="766" w:type="pct"/>
            <w:hideMark/>
          </w:tcPr>
          <w:p w14:paraId="5D516125" w14:textId="77777777" w:rsidR="00B07597" w:rsidRPr="00B07597" w:rsidRDefault="00B07597" w:rsidP="00602F72">
            <w:pPr>
              <w:spacing w:line="259" w:lineRule="auto"/>
            </w:pPr>
            <w:r w:rsidRPr="00B07597">
              <w:t>23.48</w:t>
            </w:r>
          </w:p>
        </w:tc>
        <w:tc>
          <w:tcPr>
            <w:tcW w:w="802" w:type="pct"/>
            <w:hideMark/>
          </w:tcPr>
          <w:p w14:paraId="1608A6B4" w14:textId="77777777" w:rsidR="00B07597" w:rsidRPr="00B07597" w:rsidRDefault="00B07597" w:rsidP="00602F72">
            <w:pPr>
              <w:spacing w:line="259" w:lineRule="auto"/>
            </w:pPr>
            <w:r w:rsidRPr="00B07597">
              <w:t>20.17–26.79</w:t>
            </w:r>
          </w:p>
        </w:tc>
        <w:tc>
          <w:tcPr>
            <w:tcW w:w="366" w:type="pct"/>
            <w:hideMark/>
          </w:tcPr>
          <w:p w14:paraId="64F00E32" w14:textId="77777777" w:rsidR="00B07597" w:rsidRPr="00B07597" w:rsidRDefault="00B07597" w:rsidP="00602F72">
            <w:pPr>
              <w:spacing w:line="259" w:lineRule="auto"/>
            </w:pPr>
            <w:r w:rsidRPr="00B07597">
              <w:t>0.34</w:t>
            </w:r>
          </w:p>
        </w:tc>
      </w:tr>
      <w:tr w:rsidR="00B07597" w:rsidRPr="00B07597" w14:paraId="0B7071E3" w14:textId="77777777" w:rsidTr="00690E4B">
        <w:tc>
          <w:tcPr>
            <w:tcW w:w="1450" w:type="pct"/>
            <w:hideMark/>
          </w:tcPr>
          <w:p w14:paraId="670F22F8" w14:textId="77777777" w:rsidR="00B07597" w:rsidRPr="00B07597" w:rsidRDefault="00B07597" w:rsidP="00690E4B">
            <w:pPr>
              <w:spacing w:line="259" w:lineRule="auto"/>
              <w:ind w:left="341"/>
            </w:pPr>
            <w:r w:rsidRPr="00B07597">
              <w:t> Posttreatment</w:t>
            </w:r>
          </w:p>
        </w:tc>
        <w:tc>
          <w:tcPr>
            <w:tcW w:w="813" w:type="pct"/>
            <w:hideMark/>
          </w:tcPr>
          <w:p w14:paraId="4ABD6640" w14:textId="77777777" w:rsidR="00B07597" w:rsidRPr="00B07597" w:rsidRDefault="00B07597" w:rsidP="00602F72">
            <w:pPr>
              <w:spacing w:line="259" w:lineRule="auto"/>
            </w:pPr>
            <w:r w:rsidRPr="00B07597">
              <w:t>19.61</w:t>
            </w:r>
          </w:p>
        </w:tc>
        <w:tc>
          <w:tcPr>
            <w:tcW w:w="802" w:type="pct"/>
            <w:hideMark/>
          </w:tcPr>
          <w:p w14:paraId="5F087D24" w14:textId="77777777" w:rsidR="00B07597" w:rsidRPr="00B07597" w:rsidRDefault="00B07597" w:rsidP="00602F72">
            <w:pPr>
              <w:spacing w:line="259" w:lineRule="auto"/>
            </w:pPr>
            <w:r w:rsidRPr="00B07597">
              <w:t>15.03–24.20</w:t>
            </w:r>
          </w:p>
        </w:tc>
        <w:tc>
          <w:tcPr>
            <w:tcW w:w="766" w:type="pct"/>
            <w:hideMark/>
          </w:tcPr>
          <w:p w14:paraId="63B5AA63" w14:textId="77777777" w:rsidR="00B07597" w:rsidRPr="00B07597" w:rsidRDefault="00B07597" w:rsidP="00602F72">
            <w:pPr>
              <w:spacing w:line="259" w:lineRule="auto"/>
            </w:pPr>
            <w:r w:rsidRPr="00B07597">
              <w:t>18.13</w:t>
            </w:r>
          </w:p>
        </w:tc>
        <w:tc>
          <w:tcPr>
            <w:tcW w:w="802" w:type="pct"/>
            <w:hideMark/>
          </w:tcPr>
          <w:p w14:paraId="4B568FC6" w14:textId="77777777" w:rsidR="00B07597" w:rsidRPr="00B07597" w:rsidRDefault="00B07597" w:rsidP="00602F72">
            <w:pPr>
              <w:spacing w:line="259" w:lineRule="auto"/>
            </w:pPr>
            <w:r w:rsidRPr="00B07597">
              <w:t>14.80–21.46</w:t>
            </w:r>
          </w:p>
        </w:tc>
        <w:tc>
          <w:tcPr>
            <w:tcW w:w="366" w:type="pct"/>
            <w:hideMark/>
          </w:tcPr>
          <w:p w14:paraId="52D689C7" w14:textId="77777777" w:rsidR="00B07597" w:rsidRPr="00B07597" w:rsidRDefault="00B07597" w:rsidP="00602F72">
            <w:pPr>
              <w:spacing w:line="259" w:lineRule="auto"/>
            </w:pPr>
            <w:r w:rsidRPr="00B07597">
              <w:t>0.18</w:t>
            </w:r>
          </w:p>
        </w:tc>
      </w:tr>
      <w:tr w:rsidR="00B07597" w:rsidRPr="00B07597" w14:paraId="75508BCB" w14:textId="77777777" w:rsidTr="00690E4B">
        <w:tc>
          <w:tcPr>
            <w:tcW w:w="1450" w:type="pct"/>
            <w:hideMark/>
          </w:tcPr>
          <w:p w14:paraId="73CDB5BA" w14:textId="77777777" w:rsidR="00B07597" w:rsidRPr="00B07597" w:rsidRDefault="00B07597" w:rsidP="00690E4B">
            <w:pPr>
              <w:spacing w:line="259" w:lineRule="auto"/>
              <w:ind w:left="341"/>
            </w:pPr>
            <w:r w:rsidRPr="00B07597">
              <w:t> Long-term follow-up</w:t>
            </w:r>
          </w:p>
        </w:tc>
        <w:tc>
          <w:tcPr>
            <w:tcW w:w="813" w:type="pct"/>
            <w:hideMark/>
          </w:tcPr>
          <w:p w14:paraId="35C19D7A" w14:textId="77777777" w:rsidR="00B07597" w:rsidRPr="00B07597" w:rsidRDefault="00B07597" w:rsidP="00602F72">
            <w:pPr>
              <w:spacing w:line="259" w:lineRule="auto"/>
            </w:pPr>
            <w:r w:rsidRPr="00B07597">
              <w:t>10.52</w:t>
            </w:r>
          </w:p>
        </w:tc>
        <w:tc>
          <w:tcPr>
            <w:tcW w:w="802" w:type="pct"/>
            <w:hideMark/>
          </w:tcPr>
          <w:p w14:paraId="5FC3235D" w14:textId="77777777" w:rsidR="00B07597" w:rsidRPr="00B07597" w:rsidRDefault="00B07597" w:rsidP="00602F72">
            <w:pPr>
              <w:spacing w:line="259" w:lineRule="auto"/>
            </w:pPr>
            <w:r w:rsidRPr="00B07597">
              <w:t>5.93–15.10</w:t>
            </w:r>
          </w:p>
        </w:tc>
        <w:tc>
          <w:tcPr>
            <w:tcW w:w="766" w:type="pct"/>
            <w:hideMark/>
          </w:tcPr>
          <w:p w14:paraId="5C30A304" w14:textId="77777777" w:rsidR="00B07597" w:rsidRPr="00B07597" w:rsidRDefault="00B07597" w:rsidP="00602F72">
            <w:pPr>
              <w:spacing w:line="259" w:lineRule="auto"/>
            </w:pPr>
            <w:r w:rsidRPr="00B07597">
              <w:t>11.15</w:t>
            </w:r>
          </w:p>
        </w:tc>
        <w:tc>
          <w:tcPr>
            <w:tcW w:w="802" w:type="pct"/>
            <w:hideMark/>
          </w:tcPr>
          <w:p w14:paraId="50EAB070" w14:textId="77777777" w:rsidR="00B07597" w:rsidRPr="00B07597" w:rsidRDefault="00B07597" w:rsidP="00602F72">
            <w:pPr>
              <w:spacing w:line="259" w:lineRule="auto"/>
            </w:pPr>
            <w:r w:rsidRPr="00B07597">
              <w:t>7.84–14.46</w:t>
            </w:r>
          </w:p>
        </w:tc>
        <w:tc>
          <w:tcPr>
            <w:tcW w:w="366" w:type="pct"/>
            <w:hideMark/>
          </w:tcPr>
          <w:p w14:paraId="567F8650" w14:textId="77777777" w:rsidR="00B07597" w:rsidRPr="00B07597" w:rsidRDefault="00B07597" w:rsidP="00602F72">
            <w:pPr>
              <w:spacing w:line="259" w:lineRule="auto"/>
            </w:pPr>
            <w:r w:rsidRPr="00B07597">
              <w:t>0.08</w:t>
            </w:r>
          </w:p>
        </w:tc>
      </w:tr>
    </w:tbl>
    <w:p w14:paraId="2E0FD7B1" w14:textId="065FC612" w:rsidR="00B07597" w:rsidRPr="00B07597" w:rsidRDefault="00B07597" w:rsidP="00602F72">
      <w:pPr>
        <w:pStyle w:val="NoSpacing"/>
      </w:pPr>
      <w:r w:rsidRPr="00B07597">
        <w:t>Note: Data are presented estimated means for baseline, posttreatment, and long-term follow-up by treatment condition and treatment response status based on the mixed effects model. CBIT = Comprehensive Behavioral Intervention for Tics; ES = effect sizes; PST = Psychoeducation and Supportive Therapy; YGTSS = Yale Global Tic Severity Scale.</w:t>
      </w:r>
    </w:p>
    <w:p w14:paraId="166BDE83" w14:textId="1827D91E" w:rsidR="00B07597" w:rsidRPr="00B07597" w:rsidRDefault="00690E4B" w:rsidP="00602F72">
      <w:pPr>
        <w:pStyle w:val="NoSpacing"/>
      </w:pPr>
      <w:r w:rsidRPr="00690E4B">
        <w:rPr>
          <w:vertAlign w:val="superscript"/>
        </w:rPr>
        <w:t>a</w:t>
      </w:r>
      <w:r w:rsidR="003E2D22">
        <w:t xml:space="preserve"> </w:t>
      </w:r>
      <w:r w:rsidR="00B07597" w:rsidRPr="00B07597">
        <w:t>Treatment response status was determined by the Clinical Global Impressions−Improvement score, which was administered by an independent evaluator masked to treatment condition.</w:t>
      </w:r>
    </w:p>
    <w:p w14:paraId="21DB4EA9" w14:textId="4AD3F68D" w:rsidR="00B07597" w:rsidRPr="00B07597" w:rsidRDefault="00690E4B" w:rsidP="00602F72">
      <w:pPr>
        <w:pStyle w:val="NoSpacing"/>
      </w:pPr>
      <w:r w:rsidRPr="00690E4B">
        <w:rPr>
          <w:vertAlign w:val="superscript"/>
        </w:rPr>
        <w:t>b</w:t>
      </w:r>
      <w:r w:rsidR="003E2D22">
        <w:t xml:space="preserve"> </w:t>
      </w:r>
      <w:r w:rsidR="00B07597" w:rsidRPr="00B07597">
        <w:t xml:space="preserve">Effect sizes were calculated by subtracting the change in YGTSS scores in </w:t>
      </w:r>
      <w:proofErr w:type="spellStart"/>
      <w:r w:rsidR="00B07597" w:rsidRPr="00B07597">
        <w:t>nonresponders</w:t>
      </w:r>
      <w:proofErr w:type="spellEnd"/>
      <w:r w:rsidR="00B07597" w:rsidRPr="00B07597">
        <w:t xml:space="preserve"> from responders divided by the SD for the full sample at baseline.</w:t>
      </w:r>
    </w:p>
    <w:p w14:paraId="6319000D" w14:textId="77777777" w:rsidR="00602F72" w:rsidRDefault="00602F72" w:rsidP="00B07597"/>
    <w:p w14:paraId="75656FC0" w14:textId="742FA6A5" w:rsidR="00B07597" w:rsidRPr="00B07597" w:rsidRDefault="00B07597" w:rsidP="00B07597">
      <w:r w:rsidRPr="00B07597">
        <w:t xml:space="preserve">There was a noticeable difference in clinically meaningful improvement experienced from baseline to the LTF visit for tic severity across the 4 groups. CBIT responders had a higher occurrence of clinically meaningful improvement (n = 17, 80.9%), whereas the other groups displayed a similar occurrence of clinically meaningful improvement (CBIT </w:t>
      </w:r>
      <w:proofErr w:type="spellStart"/>
      <w:r w:rsidRPr="00B07597">
        <w:t>nonresponders</w:t>
      </w:r>
      <w:proofErr w:type="spellEnd"/>
      <w:r w:rsidRPr="00B07597">
        <w:t xml:space="preserve">: n = 9, 52.9%; PST responders: n = 3; 50%; PST </w:t>
      </w:r>
      <w:proofErr w:type="spellStart"/>
      <w:r w:rsidRPr="00B07597">
        <w:t>nonresponders</w:t>
      </w:r>
      <w:proofErr w:type="spellEnd"/>
      <w:r w:rsidRPr="00B07597">
        <w:t xml:space="preserve">: n = 20; 55.6%). Follow-up comparisons between CBIT responders and PST </w:t>
      </w:r>
      <w:proofErr w:type="spellStart"/>
      <w:r w:rsidRPr="00B07597">
        <w:t>nonresponders</w:t>
      </w:r>
      <w:proofErr w:type="spellEnd"/>
      <w:r w:rsidRPr="00B07597">
        <w:t xml:space="preserve"> suggest that the between-group difference only approached statistical significance (χ</w:t>
      </w:r>
      <w:r w:rsidRPr="00B07597">
        <w:rPr>
          <w:vertAlign w:val="superscript"/>
        </w:rPr>
        <w:t>2</w:t>
      </w:r>
      <w:r w:rsidRPr="00B07597">
        <w:t> = 3.76, </w:t>
      </w:r>
      <w:r w:rsidRPr="00B07597">
        <w:rPr>
          <w:i/>
          <w:iCs/>
        </w:rPr>
        <w:t>p</w:t>
      </w:r>
      <w:r w:rsidRPr="00B07597">
        <w:t> = .05, Cramer’s </w:t>
      </w:r>
      <w:r w:rsidRPr="00B07597">
        <w:rPr>
          <w:i/>
          <w:iCs/>
        </w:rPr>
        <w:t>V</w:t>
      </w:r>
      <w:r w:rsidRPr="00B07597">
        <w:t> = 0.26).</w:t>
      </w:r>
    </w:p>
    <w:p w14:paraId="4F7D0818" w14:textId="77777777" w:rsidR="00B07597" w:rsidRPr="00B07597" w:rsidRDefault="00B07597" w:rsidP="003E2D22">
      <w:pPr>
        <w:pStyle w:val="Heading2"/>
      </w:pPr>
      <w:r w:rsidRPr="00B07597">
        <w:t>Effect of Treatment Group and Responder Status on Partial Remission at LTF Assessment</w:t>
      </w:r>
    </w:p>
    <w:p w14:paraId="0AAC5790" w14:textId="77777777" w:rsidR="00B07597" w:rsidRPr="00B07597" w:rsidRDefault="00B07597" w:rsidP="00B07597">
      <w:r w:rsidRPr="00B07597">
        <w:t>For acute treatment responders, treatment condition was found to influence partial remission rates (χ</w:t>
      </w:r>
      <w:r w:rsidRPr="00B07597">
        <w:rPr>
          <w:vertAlign w:val="superscript"/>
        </w:rPr>
        <w:t>2</w:t>
      </w:r>
      <w:r w:rsidRPr="00B07597">
        <w:t> = 8.31, </w:t>
      </w:r>
      <w:r w:rsidRPr="00B07597">
        <w:rPr>
          <w:i/>
          <w:iCs/>
        </w:rPr>
        <w:t>p</w:t>
      </w:r>
      <w:r w:rsidRPr="00B07597">
        <w:t> &lt; .004, Cramer’s </w:t>
      </w:r>
      <w:r w:rsidRPr="00B07597">
        <w:rPr>
          <w:i/>
          <w:iCs/>
        </w:rPr>
        <w:t>V</w:t>
      </w:r>
      <w:r w:rsidRPr="00B07597">
        <w:t xml:space="preserve"> = 0.56). Specifically, 14 CBIT participants (67%) met this threshold, but no PST participants did. However, for acute treatment </w:t>
      </w:r>
      <w:proofErr w:type="spellStart"/>
      <w:r w:rsidRPr="00B07597">
        <w:t>nonresponders</w:t>
      </w:r>
      <w:proofErr w:type="spellEnd"/>
      <w:r w:rsidRPr="00B07597">
        <w:t>, there was no difference between treatment groups and the rates of partial remission (χ</w:t>
      </w:r>
      <w:r w:rsidRPr="00B07597">
        <w:rPr>
          <w:vertAlign w:val="superscript"/>
        </w:rPr>
        <w:t>2</w:t>
      </w:r>
      <w:r w:rsidRPr="00B07597">
        <w:t> = 0.23, </w:t>
      </w:r>
      <w:r w:rsidRPr="00B07597">
        <w:rPr>
          <w:i/>
          <w:iCs/>
        </w:rPr>
        <w:t>p</w:t>
      </w:r>
      <w:r w:rsidRPr="00B07597">
        <w:t> = .63).</w:t>
      </w:r>
    </w:p>
    <w:p w14:paraId="10A7F6CC" w14:textId="77777777" w:rsidR="00B07597" w:rsidRPr="00B07597" w:rsidRDefault="00B07597" w:rsidP="003E2D22">
      <w:pPr>
        <w:pStyle w:val="Heading2"/>
      </w:pPr>
      <w:r w:rsidRPr="00B07597">
        <w:t>Long-term Tic Impairment Outcomes by Treatment Group and Responder Status</w:t>
      </w:r>
    </w:p>
    <w:p w14:paraId="16B3AE87" w14:textId="585550FC" w:rsidR="00B07597" w:rsidRPr="00B07597" w:rsidRDefault="00B07597" w:rsidP="00B07597">
      <w:r w:rsidRPr="00B07597">
        <w:t>The random intercept, main effect for treatment group and time, and the treatment by time interaction were all significant (Table 2</w:t>
      </w:r>
      <w:bookmarkEnd w:id="22"/>
      <w:r w:rsidRPr="00B07597">
        <w:t xml:space="preserve">). Follow-up comparisons revealed that treatment responders at week 10 had less tic impairment compared to treatment </w:t>
      </w:r>
      <w:proofErr w:type="spellStart"/>
      <w:r w:rsidRPr="00B07597">
        <w:t>nonresponders</w:t>
      </w:r>
      <w:proofErr w:type="spellEnd"/>
      <w:r w:rsidRPr="00B07597">
        <w:t xml:space="preserve"> (</w:t>
      </w:r>
      <w:proofErr w:type="spellStart"/>
      <w:r w:rsidRPr="00B07597">
        <w:t>mean</w:t>
      </w:r>
      <w:r w:rsidRPr="00B07597">
        <w:rPr>
          <w:vertAlign w:val="subscript"/>
        </w:rPr>
        <w:t>diff</w:t>
      </w:r>
      <w:proofErr w:type="spellEnd"/>
      <w:r w:rsidRPr="00B07597">
        <w:t> = 4.80, </w:t>
      </w:r>
      <w:r w:rsidRPr="00B07597">
        <w:rPr>
          <w:i/>
          <w:iCs/>
        </w:rPr>
        <w:t>p</w:t>
      </w:r>
      <w:r w:rsidRPr="00B07597">
        <w:t> = .027). In addition, there was a decrease in tic impairment from baseline to posttreatment (</w:t>
      </w:r>
      <w:proofErr w:type="spellStart"/>
      <w:r w:rsidRPr="00B07597">
        <w:t>mean</w:t>
      </w:r>
      <w:r w:rsidRPr="00B07597">
        <w:rPr>
          <w:vertAlign w:val="subscript"/>
        </w:rPr>
        <w:t>diff</w:t>
      </w:r>
      <w:proofErr w:type="spellEnd"/>
      <w:r w:rsidRPr="00B07597">
        <w:t> = 10.94, </w:t>
      </w:r>
      <w:r w:rsidRPr="00B07597">
        <w:rPr>
          <w:i/>
          <w:iCs/>
        </w:rPr>
        <w:t>p</w:t>
      </w:r>
      <w:r w:rsidRPr="00B07597">
        <w:t> &lt; .001), with a nonsignificant increase from posttreatment to the LTF visit (</w:t>
      </w:r>
      <w:proofErr w:type="spellStart"/>
      <w:r w:rsidRPr="00B07597">
        <w:t>mean</w:t>
      </w:r>
      <w:r w:rsidRPr="00B07597">
        <w:rPr>
          <w:vertAlign w:val="subscript"/>
        </w:rPr>
        <w:t>diff</w:t>
      </w:r>
      <w:proofErr w:type="spellEnd"/>
      <w:r w:rsidRPr="00B07597">
        <w:t> = 2.27, </w:t>
      </w:r>
      <w:r w:rsidRPr="00B07597">
        <w:rPr>
          <w:i/>
          <w:iCs/>
        </w:rPr>
        <w:t>p</w:t>
      </w:r>
      <w:r w:rsidRPr="00B07597">
        <w:t xml:space="preserve"> = .341). Further examination of the treatment response by time interaction identified a significant difference between treatment responders and </w:t>
      </w:r>
      <w:proofErr w:type="spellStart"/>
      <w:r w:rsidRPr="00B07597">
        <w:t>nonresponders</w:t>
      </w:r>
      <w:proofErr w:type="spellEnd"/>
      <w:r w:rsidRPr="00B07597">
        <w:t xml:space="preserve"> at the posttreatment follow-up (</w:t>
      </w:r>
      <w:proofErr w:type="spellStart"/>
      <w:r w:rsidRPr="00B07597">
        <w:t>mean</w:t>
      </w:r>
      <w:r w:rsidRPr="00B07597">
        <w:rPr>
          <w:vertAlign w:val="subscript"/>
        </w:rPr>
        <w:t>diff</w:t>
      </w:r>
      <w:proofErr w:type="spellEnd"/>
      <w:r w:rsidRPr="00B07597">
        <w:t> = 11.93, </w:t>
      </w:r>
      <w:r w:rsidRPr="00B07597">
        <w:rPr>
          <w:i/>
          <w:iCs/>
        </w:rPr>
        <w:t>p</w:t>
      </w:r>
      <w:r w:rsidRPr="00B07597">
        <w:t> &lt; .001), but no significant differences were found at either baseline (</w:t>
      </w:r>
      <w:r w:rsidRPr="00B07597">
        <w:rPr>
          <w:i/>
          <w:iCs/>
        </w:rPr>
        <w:t>p</w:t>
      </w:r>
      <w:r w:rsidRPr="00B07597">
        <w:t> = .44) or the LTF (</w:t>
      </w:r>
      <w:r w:rsidRPr="00B07597">
        <w:rPr>
          <w:i/>
          <w:iCs/>
        </w:rPr>
        <w:t>p =</w:t>
      </w:r>
      <w:r w:rsidRPr="00B07597">
        <w:t xml:space="preserve"> .89) between responders and </w:t>
      </w:r>
      <w:proofErr w:type="spellStart"/>
      <w:r w:rsidRPr="00B07597">
        <w:t>nonresponders</w:t>
      </w:r>
      <w:proofErr w:type="spellEnd"/>
      <w:r w:rsidRPr="00B07597">
        <w:t>. Indeed, tic impairment decreased substantially for treatment responders at posttreatment, but all participants achieved comparable tic impairment scores by the long-term follow-up (</w:t>
      </w:r>
      <w:bookmarkStart w:id="27" w:name="bfig2"/>
      <w:r w:rsidRPr="00B07597">
        <w:t>Figure 2</w:t>
      </w:r>
      <w:bookmarkEnd w:id="27"/>
      <w:r w:rsidRPr="00B07597">
        <w:t>, Table 3</w:t>
      </w:r>
      <w:bookmarkEnd w:id="24"/>
      <w:r w:rsidRPr="00B07597">
        <w:t>).</w:t>
      </w:r>
    </w:p>
    <w:p w14:paraId="063B3049" w14:textId="49B1F0E1" w:rsidR="00B07597" w:rsidRPr="00B07597" w:rsidRDefault="00B07597" w:rsidP="00B07597">
      <w:r w:rsidRPr="00B07597">
        <w:rPr>
          <w:noProof/>
        </w:rPr>
        <w:drawing>
          <wp:inline distT="0" distB="0" distL="0" distR="0" wp14:anchorId="040F7826" wp14:editId="07182D10">
            <wp:extent cx="5200650" cy="24193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0650" cy="2419350"/>
                    </a:xfrm>
                    <a:prstGeom prst="rect">
                      <a:avLst/>
                    </a:prstGeom>
                    <a:noFill/>
                    <a:ln>
                      <a:noFill/>
                    </a:ln>
                  </pic:spPr>
                </pic:pic>
              </a:graphicData>
            </a:graphic>
          </wp:inline>
        </w:drawing>
      </w:r>
    </w:p>
    <w:p w14:paraId="05490A09" w14:textId="77777777" w:rsidR="00B07597" w:rsidRPr="00B07597" w:rsidRDefault="00B07597" w:rsidP="00690E4B">
      <w:pPr>
        <w:pStyle w:val="NoSpacing"/>
      </w:pPr>
      <w:r w:rsidRPr="00B07597">
        <w:t>Figure 2. Tic Impairment Scores on the Yale Global Tic Severity Scale Across Time by Treatment Condition and Treatment Response Status</w:t>
      </w:r>
    </w:p>
    <w:p w14:paraId="5E12B736" w14:textId="77777777" w:rsidR="00B07597" w:rsidRPr="00B07597" w:rsidRDefault="00B07597" w:rsidP="00690E4B">
      <w:pPr>
        <w:pStyle w:val="NoSpacing"/>
      </w:pPr>
      <w:r w:rsidRPr="00B07597">
        <w:rPr>
          <w:b/>
          <w:bCs/>
          <w:i/>
          <w:iCs/>
        </w:rPr>
        <w:t>Note:</w:t>
      </w:r>
      <w:r w:rsidRPr="00B07597">
        <w:t> </w:t>
      </w:r>
      <w:r w:rsidRPr="00B07597">
        <w:rPr>
          <w:i/>
          <w:iCs/>
        </w:rPr>
        <w:t>CBIT = Comprehensive Behavioral Intervention for Tics; PST = persistent tic disorders; YGTSS = Yale Global Tic Severity Scale.</w:t>
      </w:r>
    </w:p>
    <w:p w14:paraId="0F0B7873" w14:textId="77777777" w:rsidR="00B07597" w:rsidRPr="00B07597" w:rsidRDefault="00B07597" w:rsidP="003E2D22">
      <w:pPr>
        <w:pStyle w:val="Heading1"/>
      </w:pPr>
      <w:r w:rsidRPr="00B07597">
        <w:t>Discussion</w:t>
      </w:r>
    </w:p>
    <w:p w14:paraId="4618817C" w14:textId="63B081EF" w:rsidR="00B07597" w:rsidRPr="00B07597" w:rsidRDefault="00B07597" w:rsidP="00B07597">
      <w:r w:rsidRPr="00B07597">
        <w:t>This study is the first longitudinal study of a fully characterized and treated sample of children and adolescents with PTD. Among those who received CBIT, initially assessed in childhood (mean age = 11 years) and reassessed 11 years later, tic severity and impairment decreased significantly, with 40% reporting at least partial remission of their index tic disorder. It is notable that this rate of tic reduction was lower than the 60% to 80% partial remission rates reported in other longitudinal studies.</w:t>
      </w:r>
      <w:r w:rsidRPr="00B07597">
        <w:rPr>
          <w:vertAlign w:val="superscript"/>
        </w:rPr>
        <w:t>12</w:t>
      </w:r>
      <w:bookmarkEnd w:id="15"/>
      <w:r w:rsidRPr="00B07597">
        <w:rPr>
          <w:vertAlign w:val="superscript"/>
        </w:rPr>
        <w:t>,</w:t>
      </w:r>
      <w:bookmarkStart w:id="28" w:name="bbib19"/>
      <w:r w:rsidRPr="00B07597">
        <w:rPr>
          <w:vertAlign w:val="superscript"/>
        </w:rPr>
        <w:t>19</w:t>
      </w:r>
      <w:bookmarkEnd w:id="28"/>
      <w:r w:rsidRPr="00B07597">
        <w:t> However, youth who responded to CBIT in the original trial were far more likely (67%) to achieve at least partial tic remission at follow-up than those who responded to supportive therapy (0%), even after controlling for potential effects of other interventions received over the 11-year follow-up interval. Although tic severity scores were significantly lower for CBIT as compared to PST responders at follow-up, tic impairment scores at follow-up did not differ across the 2 treatment groups, perhaps illustrating adaptation to tics that comes with age.</w:t>
      </w:r>
      <w:bookmarkStart w:id="29" w:name="bbib20"/>
      <w:r w:rsidRPr="00B07597">
        <w:rPr>
          <w:vertAlign w:val="superscript"/>
        </w:rPr>
        <w:t>20</w:t>
      </w:r>
      <w:bookmarkEnd w:id="29"/>
    </w:p>
    <w:p w14:paraId="352C443F" w14:textId="57C0763A" w:rsidR="00B07597" w:rsidRPr="00B07597" w:rsidRDefault="00B07597" w:rsidP="00B07597">
      <w:r w:rsidRPr="00B07597">
        <w:t>Although this study lends support to the merits of early intervention for tics with behavior therapy, there are some notable limitations. First, these findings must be considered with the caveat that, although the proportion of initial CBIT and PST responders participating in this follow-up study was similar, the actual number of PST treatment responders included in these analyses was low (n = 6). Second, there were many participants who received some form of adjunctive intervention (</w:t>
      </w:r>
      <w:proofErr w:type="spellStart"/>
      <w:r w:rsidRPr="00B07597">
        <w:t>eg</w:t>
      </w:r>
      <w:proofErr w:type="spellEnd"/>
      <w:r w:rsidRPr="00B07597">
        <w:t xml:space="preserve">, cognitive therapy, cognitive behavioral therapy, supportive therapy, multiple therapies) in the 11-year interim, and reducing concomitant problems such as stress or anxiety might also influence tic severity. Although the distribution of participants receiving adjunctive therapies was not significantly different between treatment groups (CBIT vs PST), between responders and </w:t>
      </w:r>
      <w:proofErr w:type="spellStart"/>
      <w:r w:rsidRPr="00B07597">
        <w:t>nonresponders</w:t>
      </w:r>
      <w:proofErr w:type="spellEnd"/>
      <w:r w:rsidRPr="00B07597">
        <w:t>, or between those reporting high vs low severity at follow-up, the nature of our design cannot fully measure the effects of cumulative care. Third, the YGTSS reporting period of 1 week may not fully capture participants’ tic severity, given the fluctuating nature of tics. Although evaluators use all available information when assessing participants’ current level of functioning, tic severity, and tic impairment, the YGTSS remains the gold standard used in tic research, and this limitation is by no means unique to this study. Finally, other limitations include the potential effects of extraneous variables during the 10-year interim period and the veracity of recall among participants, many of whom were relatively young at the time of treatment. Despite careful assessment of the time course and additional interventions received between posttreatment and follow-up, this study relied on subjective memory of participants instead of systematic periodic assessment.</w:t>
      </w:r>
    </w:p>
    <w:p w14:paraId="7E42E253" w14:textId="5E2703B3" w:rsidR="00B07597" w:rsidRPr="00B07597" w:rsidRDefault="00B07597" w:rsidP="00B07597">
      <w:r w:rsidRPr="00B07597">
        <w:t>Despite these limitations, this study represents the longest systematic prospective follow-up intervals of youth with PTDs, and the longest of its kind for individuals receiving CBIT.</w:t>
      </w:r>
      <w:bookmarkStart w:id="30" w:name="bbib21"/>
      <w:r w:rsidRPr="00B07597">
        <w:rPr>
          <w:vertAlign w:val="superscript"/>
        </w:rPr>
        <w:t>21</w:t>
      </w:r>
      <w:bookmarkEnd w:id="30"/>
      <w:r w:rsidRPr="00B07597">
        <w:t> Given the durability of treatment response among youth who receive behavior therapy at earlier ages, guidelines recommending CBIT as the first-line intervention appear to be warranted.</w:t>
      </w:r>
      <w:r w:rsidRPr="003A407C">
        <w:rPr>
          <w:vertAlign w:val="superscript"/>
        </w:rPr>
        <w:t>3</w:t>
      </w:r>
      <w:bookmarkEnd w:id="4"/>
      <w:r w:rsidRPr="003A407C">
        <w:rPr>
          <w:vertAlign w:val="superscript"/>
        </w:rPr>
        <w:t>, 4</w:t>
      </w:r>
      <w:bookmarkEnd w:id="5"/>
      <w:r w:rsidRPr="003A407C">
        <w:rPr>
          <w:vertAlign w:val="superscript"/>
        </w:rPr>
        <w:t>, 5</w:t>
      </w:r>
      <w:bookmarkEnd w:id="6"/>
      <w:r w:rsidRPr="003A407C">
        <w:rPr>
          <w:vertAlign w:val="superscript"/>
        </w:rPr>
        <w:t>, 6</w:t>
      </w:r>
      <w:bookmarkEnd w:id="7"/>
      <w:r w:rsidRPr="00B07597">
        <w:t> There are currently no data available to suggest that similar long-term improvements are likely to be maintained a decade after discontinuing tic medications. Investigation of CBIT as an early preventive intervention also merits attention, as learning early tic suppression skills may change the course of tic severity over time.</w:t>
      </w:r>
      <w:bookmarkStart w:id="31" w:name="bbib22"/>
      <w:r w:rsidRPr="003A407C">
        <w:rPr>
          <w:vertAlign w:val="superscript"/>
        </w:rPr>
        <w:t>22</w:t>
      </w:r>
      <w:bookmarkEnd w:id="31"/>
      <w:r w:rsidRPr="003A407C">
        <w:rPr>
          <w:vertAlign w:val="superscript"/>
        </w:rPr>
        <w:t>, </w:t>
      </w:r>
      <w:bookmarkStart w:id="32" w:name="bbib23"/>
      <w:r w:rsidRPr="003A407C">
        <w:rPr>
          <w:vertAlign w:val="superscript"/>
        </w:rPr>
        <w:t>23</w:t>
      </w:r>
      <w:bookmarkEnd w:id="32"/>
      <w:r w:rsidRPr="003A407C">
        <w:rPr>
          <w:vertAlign w:val="superscript"/>
        </w:rPr>
        <w:t>, </w:t>
      </w:r>
      <w:bookmarkStart w:id="33" w:name="bbib24"/>
      <w:r w:rsidRPr="003A407C">
        <w:rPr>
          <w:vertAlign w:val="superscript"/>
        </w:rPr>
        <w:t>24</w:t>
      </w:r>
      <w:bookmarkEnd w:id="33"/>
      <w:r w:rsidRPr="00B07597">
        <w:t> In addition, future research is needed to determine the extent to which successful management of tics with CBIT may change the course of overall functional impairment, quality of life indicators, and later development or severity of comorbid conditions (</w:t>
      </w:r>
      <w:proofErr w:type="spellStart"/>
      <w:r w:rsidRPr="00B07597">
        <w:t>eg</w:t>
      </w:r>
      <w:proofErr w:type="spellEnd"/>
      <w:r w:rsidRPr="00B07597">
        <w:t>, anxiety, depression, substance use). Further efforts should be undertaken by researchers, clinicians, and organizations with knowledge of PTDs to promote awareness and accessibility of CBIT.</w:t>
      </w:r>
      <w:bookmarkStart w:id="34" w:name="bbib25"/>
      <w:r w:rsidRPr="00B07597">
        <w:rPr>
          <w:vertAlign w:val="superscript"/>
        </w:rPr>
        <w:t>25</w:t>
      </w:r>
      <w:bookmarkEnd w:id="34"/>
    </w:p>
    <w:p w14:paraId="66F18841" w14:textId="77777777" w:rsidR="00B07597" w:rsidRPr="00B07597" w:rsidRDefault="00B07597" w:rsidP="00B07597">
      <w:r w:rsidRPr="00B07597">
        <w:t xml:space="preserve">The authors would like to thank Christopher Bauer, MS, of Medical College of Wisconsin, Mina </w:t>
      </w:r>
      <w:proofErr w:type="spellStart"/>
      <w:r w:rsidRPr="00B07597">
        <w:t>Yadegar</w:t>
      </w:r>
      <w:proofErr w:type="spellEnd"/>
      <w:r w:rsidRPr="00B07597">
        <w:t>, PsyD, of Weill Cornell Medical School, Silvia Orellana, BA, of UCLA, Madeline Rasch, MSW, of UCLA, and Caitlin Choy, MSW, of UCLA.</w:t>
      </w:r>
    </w:p>
    <w:p w14:paraId="5B051A6D" w14:textId="77777777" w:rsidR="00B07597" w:rsidRPr="00B07597" w:rsidRDefault="00B07597" w:rsidP="00690E4B">
      <w:pPr>
        <w:pStyle w:val="Heading1"/>
      </w:pPr>
      <w:r w:rsidRPr="00B07597">
        <w:t>References</w:t>
      </w:r>
    </w:p>
    <w:p w14:paraId="4CE2452F" w14:textId="5F400AB2" w:rsidR="00B07597" w:rsidRPr="00B07597" w:rsidRDefault="00B07597" w:rsidP="00690E4B">
      <w:pPr>
        <w:spacing w:after="0"/>
        <w:ind w:left="720" w:hanging="720"/>
      </w:pPr>
      <w:r w:rsidRPr="00B07597">
        <w:t>1</w:t>
      </w:r>
      <w:r w:rsidR="003E2D22">
        <w:t xml:space="preserve"> </w:t>
      </w:r>
      <w:r w:rsidRPr="00B07597">
        <w:t>M.E. </w:t>
      </w:r>
      <w:proofErr w:type="spellStart"/>
      <w:r w:rsidRPr="00B07597">
        <w:t>Hirschtritt</w:t>
      </w:r>
      <w:proofErr w:type="spellEnd"/>
      <w:r w:rsidRPr="00B07597">
        <w:t>, P.C. Lee, D.L. </w:t>
      </w:r>
      <w:proofErr w:type="spellStart"/>
      <w:r w:rsidRPr="00B07597">
        <w:t>Pauls</w:t>
      </w:r>
      <w:proofErr w:type="spellEnd"/>
      <w:r w:rsidRPr="00B07597">
        <w:t>, </w:t>
      </w:r>
      <w:r w:rsidRPr="00B07597">
        <w:rPr>
          <w:i/>
          <w:iCs/>
        </w:rPr>
        <w:t>et al.</w:t>
      </w:r>
      <w:r w:rsidR="003E2D22">
        <w:t xml:space="preserve"> </w:t>
      </w:r>
      <w:r w:rsidRPr="00B07597">
        <w:rPr>
          <w:b/>
          <w:bCs/>
        </w:rPr>
        <w:t>Lifetime prevalence, age of risk, and genetic relationships of comorbid psychiatric disorders in Tourette syndrome</w:t>
      </w:r>
      <w:r w:rsidR="003E2D22">
        <w:t xml:space="preserve"> </w:t>
      </w:r>
      <w:r w:rsidRPr="00B07597">
        <w:t>JAMA Psychiatry, 72 (2015), pp. 325-333, 10.1001/jamapsychiatry.2014.2650</w:t>
      </w:r>
    </w:p>
    <w:p w14:paraId="07DB080F" w14:textId="13BC45D9" w:rsidR="00B07597" w:rsidRPr="00B07597" w:rsidRDefault="00B07597" w:rsidP="00690E4B">
      <w:pPr>
        <w:spacing w:after="0"/>
        <w:ind w:left="720" w:hanging="720"/>
      </w:pPr>
      <w:r w:rsidRPr="00B07597">
        <w:t>2</w:t>
      </w:r>
      <w:r w:rsidR="003E2D22">
        <w:t xml:space="preserve"> </w:t>
      </w:r>
      <w:r w:rsidRPr="00B07597">
        <w:t>T. </w:t>
      </w:r>
      <w:proofErr w:type="spellStart"/>
      <w:r w:rsidRPr="00B07597">
        <w:t>Pringsheim</w:t>
      </w:r>
      <w:proofErr w:type="spellEnd"/>
      <w:r w:rsidRPr="00B07597">
        <w:t>, M.S. Okun, K. Müller-</w:t>
      </w:r>
      <w:proofErr w:type="spellStart"/>
      <w:r w:rsidRPr="00B07597">
        <w:t>Vahl</w:t>
      </w:r>
      <w:proofErr w:type="spellEnd"/>
      <w:r w:rsidRPr="00B07597">
        <w:t>, </w:t>
      </w:r>
      <w:r w:rsidRPr="00B07597">
        <w:rPr>
          <w:i/>
          <w:iCs/>
        </w:rPr>
        <w:t>et al.</w:t>
      </w:r>
      <w:r w:rsidR="003E2D22">
        <w:t xml:space="preserve"> </w:t>
      </w:r>
      <w:r w:rsidRPr="00B07597">
        <w:rPr>
          <w:b/>
          <w:bCs/>
        </w:rPr>
        <w:t>Practice guideline recommendations summary: treatment of tics in people with Tourette syndrome and chronic tic disorders</w:t>
      </w:r>
      <w:r w:rsidR="003E2D22">
        <w:t xml:space="preserve"> </w:t>
      </w:r>
      <w:r w:rsidRPr="00B07597">
        <w:t>Neurology, 92 (2019), pp. 896-906, 10.1212/WNL.0000000000007466</w:t>
      </w:r>
    </w:p>
    <w:p w14:paraId="7B4D7ED0" w14:textId="474A7FFA" w:rsidR="00B07597" w:rsidRPr="00B07597" w:rsidRDefault="00B07597" w:rsidP="00690E4B">
      <w:pPr>
        <w:spacing w:after="0"/>
        <w:ind w:left="720" w:hanging="720"/>
      </w:pPr>
      <w:r w:rsidRPr="00B07597">
        <w:t>3</w:t>
      </w:r>
      <w:r w:rsidR="003E2D22">
        <w:t xml:space="preserve"> </w:t>
      </w:r>
      <w:r w:rsidRPr="00B07597">
        <w:t>C. </w:t>
      </w:r>
      <w:proofErr w:type="spellStart"/>
      <w:r w:rsidRPr="00B07597">
        <w:t>Verdellen</w:t>
      </w:r>
      <w:proofErr w:type="spellEnd"/>
      <w:r w:rsidRPr="00B07597">
        <w:t xml:space="preserve">, J. van de </w:t>
      </w:r>
      <w:proofErr w:type="spellStart"/>
      <w:r w:rsidRPr="00B07597">
        <w:t>Griendt</w:t>
      </w:r>
      <w:proofErr w:type="spellEnd"/>
      <w:r w:rsidRPr="00B07597">
        <w:t>, A. Hartmann, T. Murphy, ESSTS Guidelines Group</w:t>
      </w:r>
      <w:r w:rsidR="003E2D22">
        <w:t xml:space="preserve"> </w:t>
      </w:r>
      <w:r w:rsidRPr="00B07597">
        <w:rPr>
          <w:b/>
          <w:bCs/>
        </w:rPr>
        <w:t xml:space="preserve">European clinical guidelines for Tourette syndrome and other tic disorders. Part III: </w:t>
      </w:r>
      <w:proofErr w:type="spellStart"/>
      <w:r w:rsidRPr="00B07597">
        <w:rPr>
          <w:b/>
          <w:bCs/>
        </w:rPr>
        <w:t>behavioural</w:t>
      </w:r>
      <w:proofErr w:type="spellEnd"/>
      <w:r w:rsidRPr="00B07597">
        <w:rPr>
          <w:b/>
          <w:bCs/>
        </w:rPr>
        <w:t xml:space="preserve"> and psychosocial interventions</w:t>
      </w:r>
      <w:r w:rsidR="003E2D22">
        <w:t xml:space="preserve"> </w:t>
      </w:r>
      <w:proofErr w:type="spellStart"/>
      <w:r w:rsidRPr="00B07597">
        <w:t>Eur</w:t>
      </w:r>
      <w:proofErr w:type="spellEnd"/>
      <w:r w:rsidRPr="00B07597">
        <w:t xml:space="preserve"> Child </w:t>
      </w:r>
      <w:proofErr w:type="spellStart"/>
      <w:r w:rsidRPr="00B07597">
        <w:t>Adolesc</w:t>
      </w:r>
      <w:proofErr w:type="spellEnd"/>
      <w:r w:rsidRPr="00B07597">
        <w:t xml:space="preserve"> Psychiatry, 20 (2011), pp. 197-207, 10.1007/s00787-011-0167-3</w:t>
      </w:r>
    </w:p>
    <w:p w14:paraId="42D28F89" w14:textId="2B718F58" w:rsidR="00B07597" w:rsidRPr="00B07597" w:rsidRDefault="00B07597" w:rsidP="00690E4B">
      <w:pPr>
        <w:spacing w:after="0"/>
        <w:ind w:left="720" w:hanging="720"/>
      </w:pPr>
      <w:r w:rsidRPr="00B07597">
        <w:t>4</w:t>
      </w:r>
      <w:r w:rsidR="003E2D22">
        <w:t xml:space="preserve"> </w:t>
      </w:r>
      <w:r w:rsidRPr="00B07597">
        <w:t>T. Steeves, B.D. McKinlay, D. Gorman, </w:t>
      </w:r>
      <w:r w:rsidRPr="00B07597">
        <w:rPr>
          <w:i/>
          <w:iCs/>
        </w:rPr>
        <w:t>et al.</w:t>
      </w:r>
      <w:r w:rsidR="003E2D22">
        <w:t xml:space="preserve"> </w:t>
      </w:r>
      <w:r w:rsidRPr="00B07597">
        <w:rPr>
          <w:b/>
          <w:bCs/>
        </w:rPr>
        <w:t xml:space="preserve">Canadian guidelines for the evidence-based treatment of tic disorders: </w:t>
      </w:r>
      <w:proofErr w:type="spellStart"/>
      <w:r w:rsidRPr="00B07597">
        <w:rPr>
          <w:b/>
          <w:bCs/>
        </w:rPr>
        <w:t>behavioural</w:t>
      </w:r>
      <w:proofErr w:type="spellEnd"/>
      <w:r w:rsidRPr="00B07597">
        <w:rPr>
          <w:b/>
          <w:bCs/>
        </w:rPr>
        <w:t xml:space="preserve"> therapy, deep brain</w:t>
      </w:r>
      <w:r w:rsidR="003E2D22">
        <w:rPr>
          <w:b/>
          <w:bCs/>
        </w:rPr>
        <w:t xml:space="preserve"> </w:t>
      </w:r>
      <w:r w:rsidRPr="00B07597">
        <w:rPr>
          <w:b/>
          <w:bCs/>
        </w:rPr>
        <w:t>stimulation, and transcranial magnetic stimulation</w:t>
      </w:r>
      <w:r w:rsidR="003E2D22">
        <w:t xml:space="preserve"> </w:t>
      </w:r>
      <w:r w:rsidRPr="00B07597">
        <w:t>Can J Psychiatry, 57 (2012), pp. 144-151, 10.1177/070674371205700303</w:t>
      </w:r>
    </w:p>
    <w:p w14:paraId="32459066" w14:textId="7622F3D5" w:rsidR="00B07597" w:rsidRPr="00B07597" w:rsidRDefault="00B07597" w:rsidP="00690E4B">
      <w:pPr>
        <w:spacing w:after="0"/>
        <w:ind w:left="720" w:hanging="720"/>
      </w:pPr>
      <w:r w:rsidRPr="00B07597">
        <w:t>5</w:t>
      </w:r>
      <w:r w:rsidR="003E2D22">
        <w:t xml:space="preserve"> </w:t>
      </w:r>
      <w:r w:rsidRPr="00B07597">
        <w:t>T.K. Murphy, A.B. Lewin, E.A. Storch, S. Stock</w:t>
      </w:r>
    </w:p>
    <w:p w14:paraId="64C653D8" w14:textId="2DAEBE00" w:rsidR="00B07597" w:rsidRPr="00B07597" w:rsidRDefault="00B07597" w:rsidP="00690E4B">
      <w:pPr>
        <w:spacing w:after="0"/>
        <w:ind w:left="720" w:hanging="720"/>
      </w:pPr>
      <w:r w:rsidRPr="00B07597">
        <w:rPr>
          <w:b/>
          <w:bCs/>
        </w:rPr>
        <w:t>American Academy of Child and Adolescent Psychiatry (AACAP) Committee on Quality Issues (CQI). Practice parameter for the assessment and treatment of children and adolescents with tic disorders</w:t>
      </w:r>
      <w:r w:rsidR="003E2D22">
        <w:t xml:space="preserve"> </w:t>
      </w:r>
      <w:r w:rsidRPr="00B07597">
        <w:t xml:space="preserve">J Am </w:t>
      </w:r>
      <w:proofErr w:type="spellStart"/>
      <w:r w:rsidRPr="00B07597">
        <w:t>Acad</w:t>
      </w:r>
      <w:proofErr w:type="spellEnd"/>
      <w:r w:rsidRPr="00B07597">
        <w:t xml:space="preserve"> Child </w:t>
      </w:r>
      <w:proofErr w:type="spellStart"/>
      <w:r w:rsidRPr="00B07597">
        <w:t>Adolesc</w:t>
      </w:r>
      <w:proofErr w:type="spellEnd"/>
      <w:r w:rsidRPr="00B07597">
        <w:t xml:space="preserve"> Psychiatry, 52 (2013), pp. 1341-1359, 10.1016/j.jaac.2013.09.015</w:t>
      </w:r>
    </w:p>
    <w:p w14:paraId="6BA9C844" w14:textId="07807D3C" w:rsidR="00B07597" w:rsidRPr="00B07597" w:rsidRDefault="00B07597" w:rsidP="00690E4B">
      <w:pPr>
        <w:spacing w:after="0"/>
        <w:ind w:left="720" w:hanging="720"/>
      </w:pPr>
      <w:r w:rsidRPr="00B07597">
        <w:t>6</w:t>
      </w:r>
      <w:r w:rsidR="003E2D22">
        <w:t xml:space="preserve"> </w:t>
      </w:r>
      <w:r w:rsidRPr="00B07597">
        <w:t>T. </w:t>
      </w:r>
      <w:proofErr w:type="spellStart"/>
      <w:r w:rsidRPr="00B07597">
        <w:t>Pringsheim</w:t>
      </w:r>
      <w:proofErr w:type="spellEnd"/>
      <w:r w:rsidRPr="00B07597">
        <w:t>, Y. Holler-</w:t>
      </w:r>
      <w:proofErr w:type="spellStart"/>
      <w:r w:rsidRPr="00B07597">
        <w:t>Managan</w:t>
      </w:r>
      <w:proofErr w:type="spellEnd"/>
      <w:r w:rsidRPr="00B07597">
        <w:t>, M.S. Okun, </w:t>
      </w:r>
      <w:r w:rsidRPr="00B07597">
        <w:rPr>
          <w:i/>
          <w:iCs/>
        </w:rPr>
        <w:t>et al.</w:t>
      </w:r>
      <w:r w:rsidR="003E2D22">
        <w:t xml:space="preserve"> </w:t>
      </w:r>
      <w:r w:rsidRPr="00B07597">
        <w:rPr>
          <w:b/>
          <w:bCs/>
        </w:rPr>
        <w:t>Comprehensive systematic review summary: treatment of tics in people with Tourette syndrome and chronic tic disorders</w:t>
      </w:r>
      <w:r w:rsidR="003E2D22">
        <w:t xml:space="preserve"> </w:t>
      </w:r>
      <w:r w:rsidRPr="00B07597">
        <w:t>Neurology, 92 (2019), pp. 907-915, 10.1212/WNL.0000000000007467</w:t>
      </w:r>
    </w:p>
    <w:p w14:paraId="0DCFAA3E" w14:textId="62AFCAAC" w:rsidR="00B07597" w:rsidRPr="00B07597" w:rsidRDefault="00B07597" w:rsidP="00690E4B">
      <w:pPr>
        <w:spacing w:after="0"/>
        <w:ind w:left="720" w:hanging="720"/>
      </w:pPr>
      <w:r w:rsidRPr="00B07597">
        <w:t>7</w:t>
      </w:r>
      <w:r w:rsidR="003E2D22">
        <w:t xml:space="preserve"> </w:t>
      </w:r>
      <w:r w:rsidRPr="00B07597">
        <w:t>N.H. </w:t>
      </w:r>
      <w:proofErr w:type="spellStart"/>
      <w:r w:rsidRPr="00B07597">
        <w:t>Azrin</w:t>
      </w:r>
      <w:proofErr w:type="spellEnd"/>
      <w:r w:rsidRPr="00B07597">
        <w:t>, R.G. Nunn</w:t>
      </w:r>
      <w:r w:rsidR="003E2D22">
        <w:t xml:space="preserve"> </w:t>
      </w:r>
      <w:r w:rsidRPr="00B07597">
        <w:rPr>
          <w:b/>
          <w:bCs/>
        </w:rPr>
        <w:t>Habit-reversal: a method of eliminating nervous habits and tics</w:t>
      </w:r>
      <w:r w:rsidR="003E2D22">
        <w:t xml:space="preserve"> </w:t>
      </w:r>
      <w:proofErr w:type="spellStart"/>
      <w:r w:rsidRPr="00B07597">
        <w:t>Behav</w:t>
      </w:r>
      <w:proofErr w:type="spellEnd"/>
      <w:r w:rsidRPr="00B07597">
        <w:t xml:space="preserve"> Res </w:t>
      </w:r>
      <w:proofErr w:type="spellStart"/>
      <w:r w:rsidRPr="00B07597">
        <w:t>Ther</w:t>
      </w:r>
      <w:proofErr w:type="spellEnd"/>
      <w:r w:rsidRPr="00B07597">
        <w:t>, 11 (1973), pp. 619-628, 10.1016/0005-7967(73)90119-8</w:t>
      </w:r>
    </w:p>
    <w:p w14:paraId="665C7532" w14:textId="5CCF28A6" w:rsidR="00B07597" w:rsidRPr="00B07597" w:rsidRDefault="00B07597" w:rsidP="00690E4B">
      <w:pPr>
        <w:spacing w:after="0"/>
        <w:ind w:left="720" w:hanging="720"/>
      </w:pPr>
      <w:r w:rsidRPr="00B07597">
        <w:t>8</w:t>
      </w:r>
      <w:r w:rsidR="003E2D22">
        <w:t xml:space="preserve"> </w:t>
      </w:r>
      <w:r w:rsidRPr="00B07597">
        <w:t>J. </w:t>
      </w:r>
      <w:proofErr w:type="spellStart"/>
      <w:r w:rsidRPr="00B07597">
        <w:t>Piacentini</w:t>
      </w:r>
      <w:proofErr w:type="spellEnd"/>
      <w:r w:rsidRPr="00B07597">
        <w:t>, D.W. Woods, L. </w:t>
      </w:r>
      <w:proofErr w:type="spellStart"/>
      <w:r w:rsidRPr="00B07597">
        <w:t>Scahill</w:t>
      </w:r>
      <w:proofErr w:type="spellEnd"/>
      <w:r w:rsidRPr="00B07597">
        <w:t>, </w:t>
      </w:r>
      <w:r w:rsidRPr="00B07597">
        <w:rPr>
          <w:i/>
          <w:iCs/>
        </w:rPr>
        <w:t>et al.</w:t>
      </w:r>
      <w:r w:rsidR="003E2D22">
        <w:t xml:space="preserve"> </w:t>
      </w:r>
      <w:r w:rsidRPr="00B07597">
        <w:rPr>
          <w:b/>
          <w:bCs/>
        </w:rPr>
        <w:t>Behavior therapy for children with Tourette disorder: a randomized controlled trial</w:t>
      </w:r>
      <w:r w:rsidR="003E2D22">
        <w:t xml:space="preserve"> </w:t>
      </w:r>
      <w:r w:rsidRPr="00B07597">
        <w:t>JAMA, 303 (2010), pp. 1929-1937, 10.1001/jama.2010.607</w:t>
      </w:r>
    </w:p>
    <w:p w14:paraId="5A0864FD" w14:textId="3B272F7E" w:rsidR="00B07597" w:rsidRPr="00B07597" w:rsidRDefault="00B07597" w:rsidP="00690E4B">
      <w:pPr>
        <w:spacing w:after="0"/>
        <w:ind w:left="720" w:hanging="720"/>
      </w:pPr>
      <w:r w:rsidRPr="00B07597">
        <w:t>9</w:t>
      </w:r>
      <w:r w:rsidR="003E2D22">
        <w:t xml:space="preserve"> </w:t>
      </w:r>
      <w:r w:rsidRPr="00B07597">
        <w:t>S. Wilhelm, T. Deckersbach, B.J. Coffey, A. Bohne, A.L. Peterson, L. Baer</w:t>
      </w:r>
      <w:r w:rsidR="003E2D22">
        <w:t xml:space="preserve"> </w:t>
      </w:r>
      <w:r w:rsidRPr="00B07597">
        <w:rPr>
          <w:b/>
          <w:bCs/>
        </w:rPr>
        <w:t>Habit reversal versus supportive psychotherapy for Tourette’s disorder: a randomized controlled trial</w:t>
      </w:r>
      <w:r w:rsidR="003E2D22">
        <w:t xml:space="preserve"> </w:t>
      </w:r>
      <w:r w:rsidRPr="00B07597">
        <w:t>Am J Psychiatry, 160 (2003), pp. 1175-1177, 10.1176/appi.ajp.160.6.1175</w:t>
      </w:r>
    </w:p>
    <w:p w14:paraId="7F7C0812" w14:textId="2F01D994" w:rsidR="00B07597" w:rsidRPr="00B07597" w:rsidRDefault="00B07597" w:rsidP="00690E4B">
      <w:pPr>
        <w:spacing w:after="0"/>
        <w:ind w:left="720" w:hanging="720"/>
      </w:pPr>
      <w:r w:rsidRPr="00B07597">
        <w:t>10</w:t>
      </w:r>
      <w:r w:rsidR="003E2D22">
        <w:t xml:space="preserve"> </w:t>
      </w:r>
      <w:r w:rsidRPr="00B07597">
        <w:t>T.L. Lowe, M.R. </w:t>
      </w:r>
      <w:proofErr w:type="spellStart"/>
      <w:r w:rsidRPr="00B07597">
        <w:t>Capriotti</w:t>
      </w:r>
      <w:proofErr w:type="spellEnd"/>
      <w:r w:rsidRPr="00B07597">
        <w:t>, K. </w:t>
      </w:r>
      <w:proofErr w:type="spellStart"/>
      <w:r w:rsidRPr="00B07597">
        <w:t>McBurnett</w:t>
      </w:r>
      <w:proofErr w:type="spellEnd"/>
      <w:r w:rsidR="003E2D22">
        <w:t xml:space="preserve"> </w:t>
      </w:r>
      <w:r w:rsidRPr="00B07597">
        <w:rPr>
          <w:b/>
          <w:bCs/>
        </w:rPr>
        <w:t>Long-term follow-up of patients with Tourette’s syndrome</w:t>
      </w:r>
      <w:r w:rsidR="003E2D22">
        <w:t xml:space="preserve"> </w:t>
      </w:r>
      <w:r w:rsidRPr="00B07597">
        <w:t xml:space="preserve">Mov </w:t>
      </w:r>
      <w:proofErr w:type="spellStart"/>
      <w:r w:rsidRPr="00B07597">
        <w:t>Disord</w:t>
      </w:r>
      <w:proofErr w:type="spellEnd"/>
      <w:r w:rsidRPr="00B07597">
        <w:t xml:space="preserve"> Clin </w:t>
      </w:r>
      <w:proofErr w:type="spellStart"/>
      <w:r w:rsidRPr="00B07597">
        <w:t>Pract</w:t>
      </w:r>
      <w:proofErr w:type="spellEnd"/>
      <w:r w:rsidRPr="00B07597">
        <w:t>, 6 (2019), pp. 40-45, 10.1002/mdc3.12696</w:t>
      </w:r>
    </w:p>
    <w:p w14:paraId="327334F0" w14:textId="5CD9D0E2" w:rsidR="00B07597" w:rsidRPr="00B07597" w:rsidRDefault="00B07597" w:rsidP="00690E4B">
      <w:pPr>
        <w:spacing w:after="0"/>
        <w:ind w:left="720" w:hanging="720"/>
      </w:pPr>
      <w:r w:rsidRPr="00B07597">
        <w:t>11</w:t>
      </w:r>
      <w:r w:rsidR="003E2D22">
        <w:t xml:space="preserve"> </w:t>
      </w:r>
      <w:r w:rsidRPr="00B07597">
        <w:t>M.H. Bloch, J.F. </w:t>
      </w:r>
      <w:proofErr w:type="spellStart"/>
      <w:r w:rsidRPr="00B07597">
        <w:t>Leckman</w:t>
      </w:r>
      <w:proofErr w:type="spellEnd"/>
      <w:r w:rsidR="003E2D22">
        <w:t xml:space="preserve"> </w:t>
      </w:r>
      <w:r w:rsidRPr="00B07597">
        <w:rPr>
          <w:b/>
          <w:bCs/>
        </w:rPr>
        <w:t>Clinical course of Tourette syndrome</w:t>
      </w:r>
      <w:r w:rsidR="003E2D22">
        <w:t xml:space="preserve"> </w:t>
      </w:r>
      <w:r w:rsidRPr="00B07597">
        <w:t>J </w:t>
      </w:r>
      <w:proofErr w:type="spellStart"/>
      <w:r w:rsidRPr="00B07597">
        <w:t>Psychosom</w:t>
      </w:r>
      <w:proofErr w:type="spellEnd"/>
      <w:r w:rsidRPr="00B07597">
        <w:t xml:space="preserve"> Res, 67 (2009), pp. 497-501, 10.1016/j.jpsychores.2009.09.002</w:t>
      </w:r>
    </w:p>
    <w:p w14:paraId="14C5C605" w14:textId="217E5A81" w:rsidR="00B07597" w:rsidRPr="00B07597" w:rsidRDefault="00B07597" w:rsidP="00690E4B">
      <w:pPr>
        <w:spacing w:after="0"/>
        <w:ind w:left="720" w:hanging="720"/>
      </w:pPr>
      <w:r w:rsidRPr="00B07597">
        <w:t>12</w:t>
      </w:r>
      <w:r w:rsidR="003E2D22">
        <w:t xml:space="preserve"> </w:t>
      </w:r>
      <w:r w:rsidRPr="00B07597">
        <w:t>J.F. </w:t>
      </w:r>
      <w:proofErr w:type="spellStart"/>
      <w:r w:rsidRPr="00B07597">
        <w:t>Leckman</w:t>
      </w:r>
      <w:proofErr w:type="spellEnd"/>
      <w:r w:rsidRPr="00B07597">
        <w:t>, M.A. Riddle, M.T. Hardin, </w:t>
      </w:r>
      <w:r w:rsidRPr="00B07597">
        <w:rPr>
          <w:i/>
          <w:iCs/>
        </w:rPr>
        <w:t>et al.</w:t>
      </w:r>
      <w:r w:rsidR="003E2D22">
        <w:t xml:space="preserve"> </w:t>
      </w:r>
      <w:r w:rsidRPr="00B07597">
        <w:rPr>
          <w:b/>
          <w:bCs/>
        </w:rPr>
        <w:t>The Yale Global Tic Severity Scale: initial testing of a clinician-rated scale of tic severity</w:t>
      </w:r>
      <w:r w:rsidR="003E2D22">
        <w:t xml:space="preserve"> </w:t>
      </w:r>
      <w:r w:rsidRPr="00B07597">
        <w:t xml:space="preserve">J Am </w:t>
      </w:r>
      <w:proofErr w:type="spellStart"/>
      <w:r w:rsidRPr="00B07597">
        <w:t>Acad</w:t>
      </w:r>
      <w:proofErr w:type="spellEnd"/>
      <w:r w:rsidRPr="00B07597">
        <w:t xml:space="preserve"> Child </w:t>
      </w:r>
      <w:proofErr w:type="spellStart"/>
      <w:r w:rsidRPr="00B07597">
        <w:t>Adolesc</w:t>
      </w:r>
      <w:proofErr w:type="spellEnd"/>
      <w:r w:rsidRPr="00B07597">
        <w:t xml:space="preserve"> Psychiatry, 28 (1989), pp. 566-573, 10.1097/00004583-198907000-00015</w:t>
      </w:r>
    </w:p>
    <w:p w14:paraId="7D4F4ADB" w14:textId="637C1B57" w:rsidR="00B07597" w:rsidRPr="00B07597" w:rsidRDefault="00B07597" w:rsidP="00690E4B">
      <w:pPr>
        <w:spacing w:after="0"/>
        <w:ind w:left="720" w:hanging="720"/>
      </w:pPr>
      <w:r w:rsidRPr="00B07597">
        <w:t>13</w:t>
      </w:r>
      <w:r w:rsidR="003E2D22">
        <w:t xml:space="preserve"> </w:t>
      </w:r>
      <w:r w:rsidRPr="00B07597">
        <w:t>J.F. McGuire, J. </w:t>
      </w:r>
      <w:proofErr w:type="spellStart"/>
      <w:r w:rsidRPr="00B07597">
        <w:t>Piacentini</w:t>
      </w:r>
      <w:proofErr w:type="spellEnd"/>
      <w:r w:rsidRPr="00B07597">
        <w:t>, E.A. Storch, </w:t>
      </w:r>
      <w:r w:rsidRPr="00B07597">
        <w:rPr>
          <w:i/>
          <w:iCs/>
        </w:rPr>
        <w:t>et al.</w:t>
      </w:r>
      <w:r w:rsidR="003E2D22">
        <w:t xml:space="preserve"> </w:t>
      </w:r>
      <w:r w:rsidRPr="00B07597">
        <w:rPr>
          <w:b/>
          <w:bCs/>
        </w:rPr>
        <w:t>A multicenter examination and strategic revisions of the Yale Global Tic Severity Scale</w:t>
      </w:r>
      <w:r w:rsidR="003E2D22">
        <w:t xml:space="preserve"> </w:t>
      </w:r>
      <w:r w:rsidRPr="00B07597">
        <w:t>Neurology, 90 (2018), pp. e1711-e1719, 10.1212/WNL.0000000000005474</w:t>
      </w:r>
    </w:p>
    <w:p w14:paraId="1550833B" w14:textId="5EFE5DD7" w:rsidR="00B07597" w:rsidRPr="00B07597" w:rsidRDefault="00B07597" w:rsidP="00690E4B">
      <w:pPr>
        <w:spacing w:after="0"/>
        <w:ind w:left="720" w:hanging="720"/>
      </w:pPr>
      <w:r w:rsidRPr="00B07597">
        <w:t>14</w:t>
      </w:r>
      <w:r w:rsidR="003E2D22">
        <w:t xml:space="preserve"> </w:t>
      </w:r>
      <w:r w:rsidRPr="00B07597">
        <w:t>Jeon, J.T. Walkup, D.W. Woods, </w:t>
      </w:r>
      <w:r w:rsidRPr="00B07597">
        <w:rPr>
          <w:i/>
          <w:iCs/>
        </w:rPr>
        <w:t>et al.</w:t>
      </w:r>
      <w:r w:rsidR="003E2D22">
        <w:t xml:space="preserve"> </w:t>
      </w:r>
      <w:r w:rsidRPr="00B07597">
        <w:rPr>
          <w:b/>
          <w:bCs/>
        </w:rPr>
        <w:t>Detecting a clinically meaningful change in tic severity in Tourette syndrome: a comparison of three methods</w:t>
      </w:r>
      <w:r w:rsidR="003E2D22">
        <w:t xml:space="preserve"> </w:t>
      </w:r>
      <w:proofErr w:type="spellStart"/>
      <w:r w:rsidRPr="00B07597">
        <w:t>Contemp</w:t>
      </w:r>
      <w:proofErr w:type="spellEnd"/>
      <w:r w:rsidRPr="00B07597">
        <w:t xml:space="preserve"> Clinical Trials, 36 (2013), pp. 414-420, 10.1016/j.cct.2013.08.012</w:t>
      </w:r>
    </w:p>
    <w:p w14:paraId="24D3FEB9" w14:textId="1C231313" w:rsidR="00B07597" w:rsidRPr="00B07597" w:rsidRDefault="00B07597" w:rsidP="00690E4B">
      <w:pPr>
        <w:spacing w:after="0"/>
        <w:ind w:left="720" w:hanging="720"/>
      </w:pPr>
      <w:r w:rsidRPr="00B07597">
        <w:t>15</w:t>
      </w:r>
      <w:r w:rsidR="003E2D22">
        <w:t xml:space="preserve"> </w:t>
      </w:r>
      <w:r w:rsidRPr="00B07597">
        <w:t>D.V. Sheehan, Y. </w:t>
      </w:r>
      <w:proofErr w:type="spellStart"/>
      <w:r w:rsidRPr="00B07597">
        <w:t>Lecrubier</w:t>
      </w:r>
      <w:proofErr w:type="spellEnd"/>
      <w:r w:rsidRPr="00B07597">
        <w:t>, K.H. Sheehan, </w:t>
      </w:r>
      <w:r w:rsidRPr="00B07597">
        <w:rPr>
          <w:i/>
          <w:iCs/>
        </w:rPr>
        <w:t>et al.</w:t>
      </w:r>
      <w:r w:rsidR="003E2D22">
        <w:t xml:space="preserve"> </w:t>
      </w:r>
      <w:r w:rsidRPr="00B07597">
        <w:rPr>
          <w:b/>
          <w:bCs/>
        </w:rPr>
        <w:t>The Mini-International Neuropsychiatric Interview (MINI): the development and validation of a structured diagnostic psychiatric interview for DSM-IV and ICD-10</w:t>
      </w:r>
      <w:r w:rsidR="003E2D22">
        <w:t xml:space="preserve"> </w:t>
      </w:r>
      <w:r w:rsidRPr="00B07597">
        <w:t>J Clin Psychiatry, 59 (Suppl 20) (1998), pp. 22-33</w:t>
      </w:r>
    </w:p>
    <w:p w14:paraId="1E3D646C" w14:textId="4690A7F4" w:rsidR="00B07597" w:rsidRPr="00B07597" w:rsidRDefault="00B07597" w:rsidP="00690E4B">
      <w:pPr>
        <w:spacing w:after="0"/>
        <w:ind w:left="720" w:hanging="720"/>
      </w:pPr>
      <w:r w:rsidRPr="00B07597">
        <w:t>16</w:t>
      </w:r>
      <w:r w:rsidR="003E2D22">
        <w:t xml:space="preserve"> </w:t>
      </w:r>
      <w:r w:rsidRPr="00B07597">
        <w:t>N.R. </w:t>
      </w:r>
      <w:proofErr w:type="spellStart"/>
      <w:r w:rsidRPr="00B07597">
        <w:t>Pinninti</w:t>
      </w:r>
      <w:proofErr w:type="spellEnd"/>
      <w:r w:rsidRPr="00B07597">
        <w:t>, H. Madison, E. Musser, D. </w:t>
      </w:r>
      <w:proofErr w:type="spellStart"/>
      <w:r w:rsidRPr="00B07597">
        <w:t>Rissmiller</w:t>
      </w:r>
      <w:proofErr w:type="spellEnd"/>
      <w:r w:rsidR="003E2D22">
        <w:t xml:space="preserve"> </w:t>
      </w:r>
      <w:r w:rsidRPr="00B07597">
        <w:rPr>
          <w:b/>
          <w:bCs/>
        </w:rPr>
        <w:t>MINI International Neuropsychiatric Schedule: clinical utility and patient acceptance</w:t>
      </w:r>
      <w:r w:rsidR="003E2D22">
        <w:t xml:space="preserve"> </w:t>
      </w:r>
      <w:proofErr w:type="spellStart"/>
      <w:r w:rsidRPr="00B07597">
        <w:t>Eur</w:t>
      </w:r>
      <w:proofErr w:type="spellEnd"/>
      <w:r w:rsidRPr="00B07597">
        <w:t xml:space="preserve"> Psychiatry, 18 (2003), pp. 361-364, 10.1016/j.eurpsy.2003.03.004</w:t>
      </w:r>
    </w:p>
    <w:p w14:paraId="16201423" w14:textId="12C9B449" w:rsidR="00B07597" w:rsidRPr="00B07597" w:rsidRDefault="00B07597" w:rsidP="00690E4B">
      <w:pPr>
        <w:spacing w:after="0"/>
        <w:ind w:left="720" w:hanging="720"/>
      </w:pPr>
      <w:r w:rsidRPr="00B07597">
        <w:t>17</w:t>
      </w:r>
      <w:r w:rsidR="003E2D22">
        <w:t xml:space="preserve"> </w:t>
      </w:r>
      <w:r w:rsidRPr="00B07597">
        <w:t>W. Guy, R. </w:t>
      </w:r>
      <w:proofErr w:type="spellStart"/>
      <w:r w:rsidRPr="00B07597">
        <w:t>Bonato</w:t>
      </w:r>
      <w:proofErr w:type="spellEnd"/>
      <w:r w:rsidRPr="00B07597">
        <w:t> (Eds.), CGI: Clinical Global Impressions, National Institute of Mental Health, Chevy Chase, MD (1970)</w:t>
      </w:r>
    </w:p>
    <w:p w14:paraId="792BF62E" w14:textId="388944EB" w:rsidR="00B07597" w:rsidRPr="00B07597" w:rsidRDefault="00B07597" w:rsidP="00690E4B">
      <w:pPr>
        <w:spacing w:after="0"/>
        <w:ind w:left="720" w:hanging="720"/>
      </w:pPr>
      <w:r w:rsidRPr="00B07597">
        <w:t>18</w:t>
      </w:r>
      <w:r w:rsidR="003E2D22">
        <w:t xml:space="preserve"> </w:t>
      </w:r>
      <w:r w:rsidRPr="00B07597">
        <w:t>D. Shaffer, M.S. Gould, J. </w:t>
      </w:r>
      <w:proofErr w:type="spellStart"/>
      <w:r w:rsidRPr="00B07597">
        <w:t>Brasic</w:t>
      </w:r>
      <w:proofErr w:type="spellEnd"/>
      <w:r w:rsidRPr="00B07597">
        <w:t>, </w:t>
      </w:r>
      <w:r w:rsidRPr="00B07597">
        <w:rPr>
          <w:i/>
          <w:iCs/>
        </w:rPr>
        <w:t>et al.</w:t>
      </w:r>
      <w:r w:rsidR="003E2D22">
        <w:t xml:space="preserve"> </w:t>
      </w:r>
      <w:r w:rsidRPr="00B07597">
        <w:rPr>
          <w:b/>
          <w:bCs/>
        </w:rPr>
        <w:t>A Children’s Global Assessment Scale (CGAS)</w:t>
      </w:r>
      <w:r w:rsidR="003E2D22">
        <w:t xml:space="preserve"> </w:t>
      </w:r>
      <w:r w:rsidRPr="00B07597">
        <w:t>Arch Gen Psychiatry, 40 (1983), pp. 1228-1231, 10.1001/archpsyc.1983.01790100074010</w:t>
      </w:r>
    </w:p>
    <w:p w14:paraId="20D78461" w14:textId="36AABE2E" w:rsidR="00B07597" w:rsidRPr="00B07597" w:rsidRDefault="00B07597" w:rsidP="00690E4B">
      <w:pPr>
        <w:spacing w:after="0"/>
        <w:ind w:left="720" w:hanging="720"/>
      </w:pPr>
      <w:r w:rsidRPr="00B07597">
        <w:t>19</w:t>
      </w:r>
      <w:r w:rsidR="003E2D22">
        <w:t xml:space="preserve"> </w:t>
      </w:r>
      <w:r w:rsidRPr="00B07597">
        <w:t>M.H. Bloch, B.S. Peterson, L. </w:t>
      </w:r>
      <w:proofErr w:type="spellStart"/>
      <w:r w:rsidRPr="00B07597">
        <w:t>Scahill</w:t>
      </w:r>
      <w:proofErr w:type="spellEnd"/>
      <w:r w:rsidRPr="00B07597">
        <w:t>, </w:t>
      </w:r>
      <w:r w:rsidRPr="00B07597">
        <w:rPr>
          <w:i/>
          <w:iCs/>
        </w:rPr>
        <w:t>et al.</w:t>
      </w:r>
      <w:r w:rsidR="003E2D22">
        <w:t xml:space="preserve"> </w:t>
      </w:r>
      <w:r w:rsidRPr="00B07597">
        <w:rPr>
          <w:b/>
          <w:bCs/>
        </w:rPr>
        <w:t>Adulthood outcome of tic and obsessive-compulsive symptom severity in children with Tourette syndrome</w:t>
      </w:r>
      <w:r w:rsidR="003E2D22">
        <w:t xml:space="preserve"> </w:t>
      </w:r>
      <w:r w:rsidRPr="00B07597">
        <w:t xml:space="preserve">Arch </w:t>
      </w:r>
      <w:proofErr w:type="spellStart"/>
      <w:r w:rsidRPr="00B07597">
        <w:t>Pediatr</w:t>
      </w:r>
      <w:proofErr w:type="spellEnd"/>
      <w:r w:rsidRPr="00B07597">
        <w:t xml:space="preserve"> </w:t>
      </w:r>
      <w:proofErr w:type="spellStart"/>
      <w:r w:rsidRPr="00B07597">
        <w:t>Adolesc</w:t>
      </w:r>
      <w:proofErr w:type="spellEnd"/>
      <w:r w:rsidRPr="00B07597">
        <w:t xml:space="preserve"> Med, 160 (2006), pp. 65-69, 10.1001/archpedi.160.1.65</w:t>
      </w:r>
    </w:p>
    <w:p w14:paraId="7C036E5F" w14:textId="59F42CC4" w:rsidR="00B07597" w:rsidRPr="00B07597" w:rsidRDefault="00B07597" w:rsidP="00690E4B">
      <w:pPr>
        <w:spacing w:after="0"/>
        <w:ind w:left="720" w:hanging="720"/>
      </w:pPr>
      <w:r w:rsidRPr="00B07597">
        <w:t>20</w:t>
      </w:r>
      <w:r w:rsidR="003E2D22">
        <w:t xml:space="preserve"> </w:t>
      </w:r>
      <w:r w:rsidRPr="00B07597">
        <w:t>C. </w:t>
      </w:r>
      <w:proofErr w:type="spellStart"/>
      <w:r w:rsidRPr="00B07597">
        <w:t>Groth</w:t>
      </w:r>
      <w:proofErr w:type="spellEnd"/>
      <w:r w:rsidRPr="00B07597">
        <w:t xml:space="preserve">, N. Mol </w:t>
      </w:r>
      <w:proofErr w:type="spellStart"/>
      <w:r w:rsidRPr="00B07597">
        <w:t>Debes</w:t>
      </w:r>
      <w:proofErr w:type="spellEnd"/>
      <w:r w:rsidRPr="00B07597">
        <w:t>, C.U. Rask, T. Lange, L. </w:t>
      </w:r>
      <w:proofErr w:type="spellStart"/>
      <w:r w:rsidRPr="00B07597">
        <w:t>Skov</w:t>
      </w:r>
      <w:proofErr w:type="spellEnd"/>
      <w:r w:rsidR="003E2D22">
        <w:t xml:space="preserve"> </w:t>
      </w:r>
      <w:r w:rsidRPr="00B07597">
        <w:rPr>
          <w:b/>
          <w:bCs/>
        </w:rPr>
        <w:t>Course of Tourette syndrome and comorbidities in a large prospective clinical study</w:t>
      </w:r>
      <w:r w:rsidR="003E2D22">
        <w:t xml:space="preserve"> </w:t>
      </w:r>
      <w:r w:rsidRPr="00B07597">
        <w:t xml:space="preserve">J Am </w:t>
      </w:r>
      <w:proofErr w:type="spellStart"/>
      <w:r w:rsidRPr="00B07597">
        <w:t>Acad</w:t>
      </w:r>
      <w:proofErr w:type="spellEnd"/>
      <w:r w:rsidRPr="00B07597">
        <w:t xml:space="preserve"> Child </w:t>
      </w:r>
      <w:proofErr w:type="spellStart"/>
      <w:r w:rsidRPr="00B07597">
        <w:t>Adolesc</w:t>
      </w:r>
      <w:proofErr w:type="spellEnd"/>
      <w:r w:rsidRPr="00B07597">
        <w:t xml:space="preserve"> Psychiatry, 56 (2017), pp. 304-312, 10.1016/j.jaac.2017.01.010</w:t>
      </w:r>
    </w:p>
    <w:p w14:paraId="26A8010A" w14:textId="2A90AB27" w:rsidR="00B07597" w:rsidRPr="00B07597" w:rsidRDefault="00B07597" w:rsidP="00690E4B">
      <w:pPr>
        <w:spacing w:after="0"/>
        <w:ind w:left="720" w:hanging="720"/>
      </w:pPr>
      <w:r w:rsidRPr="00B07597">
        <w:t>21</w:t>
      </w:r>
      <w:r w:rsidR="003E2D22">
        <w:t xml:space="preserve"> </w:t>
      </w:r>
      <w:r w:rsidRPr="00B07597">
        <w:t>J.F. </w:t>
      </w:r>
      <w:proofErr w:type="spellStart"/>
      <w:r w:rsidRPr="00B07597">
        <w:t>Leckman</w:t>
      </w:r>
      <w:proofErr w:type="spellEnd"/>
      <w:r w:rsidR="003E2D22">
        <w:t xml:space="preserve"> </w:t>
      </w:r>
      <w:r w:rsidRPr="00B07597">
        <w:rPr>
          <w:b/>
          <w:bCs/>
        </w:rPr>
        <w:t>Phenomenology of tics and natural history of tic disorders</w:t>
      </w:r>
      <w:r w:rsidR="003E2D22">
        <w:t xml:space="preserve"> </w:t>
      </w:r>
      <w:r w:rsidRPr="00B07597">
        <w:t>Brain Dev, 25 (Suppl 1) (2003), pp. S24-S28, 10.1016/s0387-7604(03)90004-0</w:t>
      </w:r>
    </w:p>
    <w:p w14:paraId="75033FA3" w14:textId="0D67D3F5" w:rsidR="00B07597" w:rsidRPr="00B07597" w:rsidRDefault="00B07597" w:rsidP="00690E4B">
      <w:pPr>
        <w:spacing w:after="0"/>
        <w:ind w:left="720" w:hanging="720"/>
      </w:pPr>
      <w:r w:rsidRPr="00B07597">
        <w:t>22</w:t>
      </w:r>
      <w:r w:rsidR="003E2D22">
        <w:t xml:space="preserve"> </w:t>
      </w:r>
      <w:r w:rsidRPr="00B07597">
        <w:t>L. </w:t>
      </w:r>
      <w:proofErr w:type="spellStart"/>
      <w:r w:rsidRPr="00B07597">
        <w:t>Scahill</w:t>
      </w:r>
      <w:proofErr w:type="spellEnd"/>
      <w:r w:rsidRPr="00B07597">
        <w:t>, S.O. Dalsgaard, K. Bradbury</w:t>
      </w:r>
      <w:r w:rsidR="003E2D22">
        <w:t xml:space="preserve"> </w:t>
      </w:r>
      <w:r w:rsidRPr="00B07597">
        <w:rPr>
          <w:b/>
          <w:bCs/>
        </w:rPr>
        <w:t xml:space="preserve">The prevalence of Tourette syndrome and its relationship to clinical </w:t>
      </w:r>
      <w:proofErr w:type="gramStart"/>
      <w:r w:rsidRPr="00B07597">
        <w:rPr>
          <w:b/>
          <w:bCs/>
        </w:rPr>
        <w:t>features</w:t>
      </w:r>
      <w:r w:rsidR="003E2D22">
        <w:t xml:space="preserve">  </w:t>
      </w:r>
      <w:r w:rsidRPr="00B07597">
        <w:t>Tourette</w:t>
      </w:r>
      <w:proofErr w:type="gramEnd"/>
      <w:r w:rsidRPr="00B07597">
        <w:t xml:space="preserve"> Syndrome (2013), pp. 121-133</w:t>
      </w:r>
    </w:p>
    <w:p w14:paraId="7ECBA093" w14:textId="2D544CFD" w:rsidR="00B07597" w:rsidRPr="00B07597" w:rsidRDefault="00B07597" w:rsidP="00690E4B">
      <w:pPr>
        <w:spacing w:after="0"/>
        <w:ind w:left="720" w:hanging="720"/>
      </w:pPr>
      <w:r w:rsidRPr="00B07597">
        <w:t>23S.M. Bennett, M. </w:t>
      </w:r>
      <w:proofErr w:type="spellStart"/>
      <w:r w:rsidRPr="00B07597">
        <w:t>Capriotti</w:t>
      </w:r>
      <w:proofErr w:type="spellEnd"/>
      <w:r w:rsidRPr="00B07597">
        <w:t>, C. Bauer, </w:t>
      </w:r>
      <w:r w:rsidRPr="00B07597">
        <w:rPr>
          <w:i/>
          <w:iCs/>
        </w:rPr>
        <w:t>et al.</w:t>
      </w:r>
      <w:r w:rsidR="003E2D22">
        <w:t xml:space="preserve"> </w:t>
      </w:r>
      <w:r w:rsidRPr="00B07597">
        <w:rPr>
          <w:b/>
          <w:bCs/>
        </w:rPr>
        <w:t>Development and open trial of a psychosocial intervention for young children with chronic tics: the CBIT-JR Study</w:t>
      </w:r>
      <w:r w:rsidR="003E2D22">
        <w:t xml:space="preserve"> </w:t>
      </w:r>
      <w:proofErr w:type="spellStart"/>
      <w:r w:rsidRPr="00B07597">
        <w:t>Behav</w:t>
      </w:r>
      <w:proofErr w:type="spellEnd"/>
      <w:r w:rsidRPr="00B07597">
        <w:t xml:space="preserve"> </w:t>
      </w:r>
      <w:proofErr w:type="spellStart"/>
      <w:r w:rsidRPr="00B07597">
        <w:t>Ther</w:t>
      </w:r>
      <w:proofErr w:type="spellEnd"/>
      <w:r w:rsidRPr="00B07597">
        <w:t>, 51 (2020), pp. 659-669, 10.1016/j.beth.2019.10.004</w:t>
      </w:r>
    </w:p>
    <w:p w14:paraId="5FE58001" w14:textId="5B4A1BED" w:rsidR="00B07597" w:rsidRPr="00B07597" w:rsidRDefault="00B07597" w:rsidP="00690E4B">
      <w:pPr>
        <w:spacing w:after="0"/>
        <w:ind w:left="720" w:hanging="720"/>
      </w:pPr>
      <w:r w:rsidRPr="00B07597">
        <w:t>24</w:t>
      </w:r>
      <w:r w:rsidR="003E2D22">
        <w:t xml:space="preserve"> </w:t>
      </w:r>
      <w:r w:rsidRPr="00B07597">
        <w:t>S. Kim, D.J. Greene, A. </w:t>
      </w:r>
      <w:proofErr w:type="spellStart"/>
      <w:r w:rsidRPr="00B07597">
        <w:t>Robichaux-Viehoever</w:t>
      </w:r>
      <w:proofErr w:type="spellEnd"/>
      <w:r w:rsidRPr="00B07597">
        <w:t>, </w:t>
      </w:r>
      <w:r w:rsidRPr="00B07597">
        <w:rPr>
          <w:i/>
          <w:iCs/>
        </w:rPr>
        <w:t>et al.</w:t>
      </w:r>
      <w:r w:rsidR="003E2D22">
        <w:t xml:space="preserve"> </w:t>
      </w:r>
      <w:r w:rsidRPr="00B07597">
        <w:rPr>
          <w:b/>
          <w:bCs/>
        </w:rPr>
        <w:t xml:space="preserve">Tic </w:t>
      </w:r>
      <w:proofErr w:type="spellStart"/>
      <w:r w:rsidRPr="00B07597">
        <w:rPr>
          <w:b/>
          <w:bCs/>
        </w:rPr>
        <w:t>suppresion</w:t>
      </w:r>
      <w:proofErr w:type="spellEnd"/>
      <w:r w:rsidRPr="00B07597">
        <w:rPr>
          <w:b/>
          <w:bCs/>
        </w:rPr>
        <w:t xml:space="preserve"> in children with recent-onset tics predicts 1-year tic outcome</w:t>
      </w:r>
      <w:r w:rsidR="003E2D22">
        <w:t xml:space="preserve"> </w:t>
      </w:r>
      <w:r w:rsidRPr="00B07597">
        <w:t>J Child Neurol, 34 (2019), pp. 757-764, 10.1177/0883073819855531</w:t>
      </w:r>
    </w:p>
    <w:p w14:paraId="4C2C9E77" w14:textId="4950E90D" w:rsidR="00B07597" w:rsidRPr="00B0513E" w:rsidRDefault="00B07597" w:rsidP="00690E4B">
      <w:pPr>
        <w:spacing w:after="0"/>
        <w:ind w:left="720" w:hanging="720"/>
      </w:pPr>
      <w:r w:rsidRPr="00B07597">
        <w:t>25</w:t>
      </w:r>
      <w:r w:rsidR="003E2D22">
        <w:t xml:space="preserve"> </w:t>
      </w:r>
      <w:r w:rsidRPr="00B07597">
        <w:t>C. </w:t>
      </w:r>
      <w:proofErr w:type="spellStart"/>
      <w:r w:rsidRPr="00B07597">
        <w:t>Conelea</w:t>
      </w:r>
      <w:proofErr w:type="spellEnd"/>
      <w:r w:rsidRPr="00B07597">
        <w:t>, S. Bennett, M. </w:t>
      </w:r>
      <w:proofErr w:type="spellStart"/>
      <w:r w:rsidRPr="00B07597">
        <w:t>Capriotti</w:t>
      </w:r>
      <w:proofErr w:type="spellEnd"/>
      <w:r w:rsidRPr="00B07597">
        <w:t>, </w:t>
      </w:r>
      <w:r w:rsidRPr="00B07597">
        <w:rPr>
          <w:i/>
          <w:iCs/>
        </w:rPr>
        <w:t>et al.</w:t>
      </w:r>
      <w:r w:rsidR="003E2D22">
        <w:t xml:space="preserve"> </w:t>
      </w:r>
      <w:r w:rsidRPr="00B07597">
        <w:rPr>
          <w:b/>
          <w:bCs/>
        </w:rPr>
        <w:t>Treating Tourette Together: an agenda for patient-centered research focused on comprehensive behavior therapy for tics</w:t>
      </w:r>
      <w:r w:rsidR="003E2D22">
        <w:t xml:space="preserve"> </w:t>
      </w:r>
      <w:proofErr w:type="spellStart"/>
      <w:r w:rsidRPr="00B07597">
        <w:t>PsyArXiv</w:t>
      </w:r>
      <w:proofErr w:type="spellEnd"/>
      <w:r w:rsidRPr="00B07597">
        <w:t> (2020)</w:t>
      </w:r>
      <w:r w:rsidR="003E2D22">
        <w:t xml:space="preserve"> </w:t>
      </w:r>
      <w:r w:rsidR="003E2D22" w:rsidRPr="00B07597">
        <w:t>https://psyarxiv.com/kd2cz/</w:t>
      </w:r>
      <w:r w:rsidRPr="00B07597">
        <w:t>, Accessed 31st Aug 2020</w:t>
      </w:r>
    </w:p>
    <w:sectPr w:rsidR="00B07597" w:rsidRPr="00B0513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86E"/>
    <w:multiLevelType w:val="multilevel"/>
    <w:tmpl w:val="77CC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D25E06"/>
    <w:multiLevelType w:val="multilevel"/>
    <w:tmpl w:val="91CEF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4F7159"/>
    <w:multiLevelType w:val="multilevel"/>
    <w:tmpl w:val="827A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B203C"/>
    <w:multiLevelType w:val="multilevel"/>
    <w:tmpl w:val="8BC6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20007C"/>
    <w:multiLevelType w:val="multilevel"/>
    <w:tmpl w:val="88D25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A11E5A"/>
    <w:multiLevelType w:val="multilevel"/>
    <w:tmpl w:val="21E2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47220C"/>
    <w:multiLevelType w:val="multilevel"/>
    <w:tmpl w:val="C6B8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6584649">
    <w:abstractNumId w:val="3"/>
  </w:num>
  <w:num w:numId="2" w16cid:durableId="842009869">
    <w:abstractNumId w:val="6"/>
  </w:num>
  <w:num w:numId="3" w16cid:durableId="1488937130">
    <w:abstractNumId w:val="0"/>
  </w:num>
  <w:num w:numId="4" w16cid:durableId="1742751489">
    <w:abstractNumId w:val="5"/>
  </w:num>
  <w:num w:numId="5" w16cid:durableId="2002729073">
    <w:abstractNumId w:val="2"/>
  </w:num>
  <w:num w:numId="6" w16cid:durableId="2045397482">
    <w:abstractNumId w:val="4"/>
  </w:num>
  <w:num w:numId="7" w16cid:durableId="153557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RVb4KkWdNOFQLVqFW8KZLIJg5zttWWdA1TtvkyKseHn8AsgmQiFKFq15SJkmU+EKndlgGbqdmXz7KnFXw/rAJQ==" w:salt="jJAPDH1Gk8pHwyfk9bbX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74F"/>
    <w:rsid w:val="00154D34"/>
    <w:rsid w:val="00160E1F"/>
    <w:rsid w:val="00161372"/>
    <w:rsid w:val="001622DB"/>
    <w:rsid w:val="00163F71"/>
    <w:rsid w:val="00173556"/>
    <w:rsid w:val="0018114F"/>
    <w:rsid w:val="00181ADF"/>
    <w:rsid w:val="00183A38"/>
    <w:rsid w:val="001854EA"/>
    <w:rsid w:val="00185C26"/>
    <w:rsid w:val="00196C7C"/>
    <w:rsid w:val="001978D5"/>
    <w:rsid w:val="001A1C71"/>
    <w:rsid w:val="001A1DF4"/>
    <w:rsid w:val="001A34C4"/>
    <w:rsid w:val="001A6E58"/>
    <w:rsid w:val="001B6E76"/>
    <w:rsid w:val="001C3A3F"/>
    <w:rsid w:val="001D1087"/>
    <w:rsid w:val="001D2448"/>
    <w:rsid w:val="001D3ADE"/>
    <w:rsid w:val="001D58D3"/>
    <w:rsid w:val="001D776C"/>
    <w:rsid w:val="001D7BCC"/>
    <w:rsid w:val="001E0F0D"/>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504A"/>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BB2"/>
    <w:rsid w:val="0037755D"/>
    <w:rsid w:val="00381F0E"/>
    <w:rsid w:val="0038549B"/>
    <w:rsid w:val="0038628A"/>
    <w:rsid w:val="0038634F"/>
    <w:rsid w:val="00391C48"/>
    <w:rsid w:val="00394337"/>
    <w:rsid w:val="003A407C"/>
    <w:rsid w:val="003A437A"/>
    <w:rsid w:val="003A503E"/>
    <w:rsid w:val="003A6039"/>
    <w:rsid w:val="003B47FA"/>
    <w:rsid w:val="003B6208"/>
    <w:rsid w:val="003B7F8F"/>
    <w:rsid w:val="003C4172"/>
    <w:rsid w:val="003C437D"/>
    <w:rsid w:val="003C4456"/>
    <w:rsid w:val="003D3301"/>
    <w:rsid w:val="003D4641"/>
    <w:rsid w:val="003E05B7"/>
    <w:rsid w:val="003E0C0A"/>
    <w:rsid w:val="003E2D22"/>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018"/>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CA2"/>
    <w:rsid w:val="005673D1"/>
    <w:rsid w:val="00570F38"/>
    <w:rsid w:val="00573955"/>
    <w:rsid w:val="00580E33"/>
    <w:rsid w:val="005816D8"/>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4DB2"/>
    <w:rsid w:val="005E5F66"/>
    <w:rsid w:val="005F46EC"/>
    <w:rsid w:val="005F49C9"/>
    <w:rsid w:val="005F71CE"/>
    <w:rsid w:val="005F7A68"/>
    <w:rsid w:val="00601980"/>
    <w:rsid w:val="00602F72"/>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9C4"/>
    <w:rsid w:val="006871E0"/>
    <w:rsid w:val="00690E4B"/>
    <w:rsid w:val="00693175"/>
    <w:rsid w:val="00693B53"/>
    <w:rsid w:val="00693E40"/>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F64"/>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09A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1F5B"/>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244"/>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21"/>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5FC"/>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232E"/>
    <w:rsid w:val="00AE4078"/>
    <w:rsid w:val="00AE4230"/>
    <w:rsid w:val="00AE69D7"/>
    <w:rsid w:val="00AE71AA"/>
    <w:rsid w:val="00AF1374"/>
    <w:rsid w:val="00AF1E8A"/>
    <w:rsid w:val="00AF2DE8"/>
    <w:rsid w:val="00AF5947"/>
    <w:rsid w:val="00AF692A"/>
    <w:rsid w:val="00AF6D69"/>
    <w:rsid w:val="00AF7626"/>
    <w:rsid w:val="00B03D08"/>
    <w:rsid w:val="00B0513E"/>
    <w:rsid w:val="00B05BF7"/>
    <w:rsid w:val="00B0759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27FE0"/>
    <w:rsid w:val="00C3110E"/>
    <w:rsid w:val="00C313CA"/>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D5F"/>
    <w:rsid w:val="00C92F74"/>
    <w:rsid w:val="00CA11C5"/>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14"/>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EF8"/>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34E9"/>
    <w:rsid w:val="00F36D5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C8B"/>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52D14"/>
    <w:rPr>
      <w:color w:val="0563C1" w:themeColor="hyperlink"/>
      <w:u w:val="single"/>
    </w:rPr>
  </w:style>
  <w:style w:type="character" w:styleId="UnresolvedMention">
    <w:name w:val="Unresolved Mention"/>
    <w:basedOn w:val="DefaultParagraphFont"/>
    <w:uiPriority w:val="99"/>
    <w:semiHidden/>
    <w:unhideWhenUsed/>
    <w:rsid w:val="00D52D14"/>
    <w:rPr>
      <w:color w:val="605E5C"/>
      <w:shd w:val="clear" w:color="auto" w:fill="E1DFDD"/>
    </w:rPr>
  </w:style>
  <w:style w:type="paragraph" w:customStyle="1" w:styleId="msonormal0">
    <w:name w:val="msonormal"/>
    <w:basedOn w:val="Normal"/>
    <w:rsid w:val="006931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693175"/>
  </w:style>
  <w:style w:type="character" w:customStyle="1" w:styleId="pubyear">
    <w:name w:val="pubyear"/>
    <w:basedOn w:val="DefaultParagraphFont"/>
    <w:rsid w:val="00693175"/>
  </w:style>
  <w:style w:type="character" w:customStyle="1" w:styleId="articletitle">
    <w:name w:val="articletitle"/>
    <w:basedOn w:val="DefaultParagraphFont"/>
    <w:rsid w:val="00693175"/>
  </w:style>
  <w:style w:type="character" w:customStyle="1" w:styleId="vol">
    <w:name w:val="vol"/>
    <w:basedOn w:val="DefaultParagraphFont"/>
    <w:rsid w:val="00693175"/>
  </w:style>
  <w:style w:type="character" w:customStyle="1" w:styleId="pagefirst">
    <w:name w:val="pagefirst"/>
    <w:basedOn w:val="DefaultParagraphFont"/>
    <w:rsid w:val="00693175"/>
  </w:style>
  <w:style w:type="character" w:customStyle="1" w:styleId="pagelast">
    <w:name w:val="pagelast"/>
    <w:basedOn w:val="DefaultParagraphFont"/>
    <w:rsid w:val="00693175"/>
  </w:style>
  <w:style w:type="character" w:styleId="FollowedHyperlink">
    <w:name w:val="FollowedHyperlink"/>
    <w:basedOn w:val="DefaultParagraphFont"/>
    <w:uiPriority w:val="99"/>
    <w:semiHidden/>
    <w:unhideWhenUsed/>
    <w:rsid w:val="00693175"/>
    <w:rPr>
      <w:color w:val="800080"/>
      <w:u w:val="single"/>
    </w:rPr>
  </w:style>
  <w:style w:type="character" w:customStyle="1" w:styleId="openurl">
    <w:name w:val="openurl"/>
    <w:basedOn w:val="DefaultParagraphFont"/>
    <w:rsid w:val="00693175"/>
  </w:style>
  <w:style w:type="character" w:customStyle="1" w:styleId="booktitle0">
    <w:name w:val="booktitle"/>
    <w:basedOn w:val="DefaultParagraphFont"/>
    <w:rsid w:val="00693175"/>
  </w:style>
  <w:style w:type="character" w:customStyle="1" w:styleId="publisherlocation">
    <w:name w:val="publisherlocation"/>
    <w:basedOn w:val="DefaultParagraphFont"/>
    <w:rsid w:val="00693175"/>
  </w:style>
  <w:style w:type="character" w:customStyle="1" w:styleId="citedissue">
    <w:name w:val="citedissue"/>
    <w:basedOn w:val="DefaultParagraphFont"/>
    <w:rsid w:val="00693175"/>
  </w:style>
  <w:style w:type="character" w:customStyle="1" w:styleId="groupname">
    <w:name w:val="groupname"/>
    <w:basedOn w:val="DefaultParagraphFont"/>
    <w:rsid w:val="00693175"/>
  </w:style>
  <w:style w:type="paragraph" w:styleId="NormalWeb">
    <w:name w:val="Normal (Web)"/>
    <w:basedOn w:val="Normal"/>
    <w:uiPriority w:val="99"/>
    <w:semiHidden/>
    <w:unhideWhenUsed/>
    <w:rsid w:val="00B075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B075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07597"/>
  </w:style>
  <w:style w:type="character" w:customStyle="1" w:styleId="extra-detail-1">
    <w:name w:val="extra-detail-1"/>
    <w:basedOn w:val="DefaultParagraphFont"/>
    <w:rsid w:val="00B07597"/>
  </w:style>
  <w:style w:type="paragraph" w:customStyle="1" w:styleId="next">
    <w:name w:val="next"/>
    <w:basedOn w:val="Normal"/>
    <w:rsid w:val="00B075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07597"/>
  </w:style>
  <w:style w:type="character" w:customStyle="1" w:styleId="label">
    <w:name w:val="label"/>
    <w:basedOn w:val="DefaultParagraphFont"/>
    <w:rsid w:val="00B07597"/>
  </w:style>
  <w:style w:type="character" w:customStyle="1" w:styleId="screen-reader-only">
    <w:name w:val="screen-reader-only"/>
    <w:basedOn w:val="DefaultParagraphFont"/>
    <w:rsid w:val="00B07597"/>
  </w:style>
  <w:style w:type="paragraph" w:customStyle="1" w:styleId="legend">
    <w:name w:val="legend"/>
    <w:basedOn w:val="Normal"/>
    <w:rsid w:val="00B075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B07597"/>
  </w:style>
  <w:style w:type="character" w:customStyle="1" w:styleId="download-link-title">
    <w:name w:val="download-link-title"/>
    <w:basedOn w:val="DefaultParagraphFont"/>
    <w:rsid w:val="00B07597"/>
  </w:style>
  <w:style w:type="character" w:customStyle="1" w:styleId="text">
    <w:name w:val="text"/>
    <w:basedOn w:val="DefaultParagraphFont"/>
    <w:rsid w:val="00B07597"/>
  </w:style>
  <w:style w:type="paragraph" w:customStyle="1" w:styleId="message">
    <w:name w:val="message"/>
    <w:basedOn w:val="Normal"/>
    <w:rsid w:val="00B07597"/>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31504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26120">
      <w:bodyDiv w:val="1"/>
      <w:marLeft w:val="0"/>
      <w:marRight w:val="0"/>
      <w:marTop w:val="0"/>
      <w:marBottom w:val="0"/>
      <w:divBdr>
        <w:top w:val="none" w:sz="0" w:space="0" w:color="auto"/>
        <w:left w:val="none" w:sz="0" w:space="0" w:color="auto"/>
        <w:bottom w:val="none" w:sz="0" w:space="0" w:color="auto"/>
        <w:right w:val="none" w:sz="0" w:space="0" w:color="auto"/>
      </w:divBdr>
      <w:divsChild>
        <w:div w:id="1362515003">
          <w:marLeft w:val="0"/>
          <w:marRight w:val="0"/>
          <w:marTop w:val="0"/>
          <w:marBottom w:val="0"/>
          <w:divBdr>
            <w:top w:val="none" w:sz="0" w:space="0" w:color="auto"/>
            <w:left w:val="none" w:sz="0" w:space="0" w:color="auto"/>
            <w:bottom w:val="none" w:sz="0" w:space="0" w:color="auto"/>
            <w:right w:val="none" w:sz="0" w:space="0" w:color="auto"/>
          </w:divBdr>
          <w:divsChild>
            <w:div w:id="294876307">
              <w:marLeft w:val="0"/>
              <w:marRight w:val="0"/>
              <w:marTop w:val="0"/>
              <w:marBottom w:val="0"/>
              <w:divBdr>
                <w:top w:val="none" w:sz="0" w:space="0" w:color="auto"/>
                <w:left w:val="none" w:sz="0" w:space="0" w:color="auto"/>
                <w:bottom w:val="none" w:sz="0" w:space="0" w:color="auto"/>
                <w:right w:val="none" w:sz="0" w:space="0" w:color="auto"/>
              </w:divBdr>
            </w:div>
          </w:divsChild>
        </w:div>
        <w:div w:id="1234662492">
          <w:marLeft w:val="0"/>
          <w:marRight w:val="0"/>
          <w:marTop w:val="0"/>
          <w:marBottom w:val="0"/>
          <w:divBdr>
            <w:top w:val="none" w:sz="0" w:space="0" w:color="auto"/>
            <w:left w:val="none" w:sz="0" w:space="0" w:color="auto"/>
            <w:bottom w:val="none" w:sz="0" w:space="0" w:color="auto"/>
            <w:right w:val="none" w:sz="0" w:space="0" w:color="auto"/>
          </w:divBdr>
          <w:divsChild>
            <w:div w:id="34280972">
              <w:marLeft w:val="0"/>
              <w:marRight w:val="0"/>
              <w:marTop w:val="0"/>
              <w:marBottom w:val="0"/>
              <w:divBdr>
                <w:top w:val="none" w:sz="0" w:space="0" w:color="auto"/>
                <w:left w:val="none" w:sz="0" w:space="0" w:color="auto"/>
                <w:bottom w:val="none" w:sz="0" w:space="0" w:color="auto"/>
                <w:right w:val="none" w:sz="0" w:space="0" w:color="auto"/>
              </w:divBdr>
            </w:div>
            <w:div w:id="68311715">
              <w:marLeft w:val="0"/>
              <w:marRight w:val="0"/>
              <w:marTop w:val="0"/>
              <w:marBottom w:val="0"/>
              <w:divBdr>
                <w:top w:val="none" w:sz="0" w:space="0" w:color="auto"/>
                <w:left w:val="none" w:sz="0" w:space="0" w:color="auto"/>
                <w:bottom w:val="none" w:sz="0" w:space="0" w:color="auto"/>
                <w:right w:val="none" w:sz="0" w:space="0" w:color="auto"/>
              </w:divBdr>
            </w:div>
          </w:divsChild>
        </w:div>
        <w:div w:id="1348827178">
          <w:marLeft w:val="0"/>
          <w:marRight w:val="0"/>
          <w:marTop w:val="0"/>
          <w:marBottom w:val="0"/>
          <w:divBdr>
            <w:top w:val="none" w:sz="0" w:space="0" w:color="auto"/>
            <w:left w:val="none" w:sz="0" w:space="0" w:color="auto"/>
            <w:bottom w:val="none" w:sz="0" w:space="0" w:color="auto"/>
            <w:right w:val="none" w:sz="0" w:space="0" w:color="auto"/>
          </w:divBdr>
          <w:divsChild>
            <w:div w:id="1977835763">
              <w:marLeft w:val="0"/>
              <w:marRight w:val="0"/>
              <w:marTop w:val="0"/>
              <w:marBottom w:val="0"/>
              <w:divBdr>
                <w:top w:val="none" w:sz="0" w:space="0" w:color="auto"/>
                <w:left w:val="none" w:sz="0" w:space="0" w:color="auto"/>
                <w:bottom w:val="none" w:sz="0" w:space="0" w:color="auto"/>
                <w:right w:val="none" w:sz="0" w:space="0" w:color="auto"/>
              </w:divBdr>
            </w:div>
            <w:div w:id="1293367892">
              <w:marLeft w:val="0"/>
              <w:marRight w:val="0"/>
              <w:marTop w:val="0"/>
              <w:marBottom w:val="0"/>
              <w:divBdr>
                <w:top w:val="none" w:sz="0" w:space="0" w:color="auto"/>
                <w:left w:val="none" w:sz="0" w:space="0" w:color="auto"/>
                <w:bottom w:val="none" w:sz="0" w:space="0" w:color="auto"/>
                <w:right w:val="none" w:sz="0" w:space="0" w:color="auto"/>
              </w:divBdr>
            </w:div>
          </w:divsChild>
        </w:div>
        <w:div w:id="698434558">
          <w:marLeft w:val="0"/>
          <w:marRight w:val="0"/>
          <w:marTop w:val="0"/>
          <w:marBottom w:val="0"/>
          <w:divBdr>
            <w:top w:val="none" w:sz="0" w:space="0" w:color="auto"/>
            <w:left w:val="none" w:sz="0" w:space="0" w:color="auto"/>
            <w:bottom w:val="none" w:sz="0" w:space="0" w:color="auto"/>
            <w:right w:val="none" w:sz="0" w:space="0" w:color="auto"/>
          </w:divBdr>
          <w:divsChild>
            <w:div w:id="455834807">
              <w:marLeft w:val="0"/>
              <w:marRight w:val="0"/>
              <w:marTop w:val="0"/>
              <w:marBottom w:val="0"/>
              <w:divBdr>
                <w:top w:val="none" w:sz="0" w:space="0" w:color="auto"/>
                <w:left w:val="none" w:sz="0" w:space="0" w:color="auto"/>
                <w:bottom w:val="none" w:sz="0" w:space="0" w:color="auto"/>
                <w:right w:val="none" w:sz="0" w:space="0" w:color="auto"/>
              </w:divBdr>
              <w:divsChild>
                <w:div w:id="147922876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476069113">
      <w:bodyDiv w:val="1"/>
      <w:marLeft w:val="0"/>
      <w:marRight w:val="0"/>
      <w:marTop w:val="0"/>
      <w:marBottom w:val="0"/>
      <w:divBdr>
        <w:top w:val="none" w:sz="0" w:space="0" w:color="auto"/>
        <w:left w:val="none" w:sz="0" w:space="0" w:color="auto"/>
        <w:bottom w:val="none" w:sz="0" w:space="0" w:color="auto"/>
        <w:right w:val="none" w:sz="0" w:space="0" w:color="auto"/>
      </w:divBdr>
      <w:divsChild>
        <w:div w:id="528105193">
          <w:marLeft w:val="0"/>
          <w:marRight w:val="0"/>
          <w:marTop w:val="0"/>
          <w:marBottom w:val="0"/>
          <w:divBdr>
            <w:top w:val="none" w:sz="0" w:space="0" w:color="auto"/>
            <w:left w:val="none" w:sz="0" w:space="0" w:color="auto"/>
            <w:bottom w:val="none" w:sz="0" w:space="0" w:color="auto"/>
            <w:right w:val="none" w:sz="0" w:space="0" w:color="auto"/>
          </w:divBdr>
        </w:div>
        <w:div w:id="299463569">
          <w:marLeft w:val="0"/>
          <w:marRight w:val="0"/>
          <w:marTop w:val="0"/>
          <w:marBottom w:val="0"/>
          <w:divBdr>
            <w:top w:val="none" w:sz="0" w:space="0" w:color="auto"/>
            <w:left w:val="none" w:sz="0" w:space="0" w:color="auto"/>
            <w:bottom w:val="none" w:sz="0" w:space="0" w:color="auto"/>
            <w:right w:val="none" w:sz="0" w:space="0" w:color="auto"/>
          </w:divBdr>
        </w:div>
        <w:div w:id="436826848">
          <w:marLeft w:val="0"/>
          <w:marRight w:val="0"/>
          <w:marTop w:val="0"/>
          <w:marBottom w:val="0"/>
          <w:divBdr>
            <w:top w:val="none" w:sz="0" w:space="0" w:color="auto"/>
            <w:left w:val="none" w:sz="0" w:space="0" w:color="auto"/>
            <w:bottom w:val="none" w:sz="0" w:space="0" w:color="auto"/>
            <w:right w:val="none" w:sz="0" w:space="0" w:color="auto"/>
          </w:divBdr>
        </w:div>
        <w:div w:id="703796707">
          <w:marLeft w:val="0"/>
          <w:marRight w:val="0"/>
          <w:marTop w:val="0"/>
          <w:marBottom w:val="0"/>
          <w:divBdr>
            <w:top w:val="none" w:sz="0" w:space="0" w:color="auto"/>
            <w:left w:val="none" w:sz="0" w:space="0" w:color="auto"/>
            <w:bottom w:val="none" w:sz="0" w:space="0" w:color="auto"/>
            <w:right w:val="none" w:sz="0" w:space="0" w:color="auto"/>
          </w:divBdr>
        </w:div>
        <w:div w:id="762914097">
          <w:marLeft w:val="0"/>
          <w:marRight w:val="0"/>
          <w:marTop w:val="0"/>
          <w:marBottom w:val="0"/>
          <w:divBdr>
            <w:top w:val="none" w:sz="0" w:space="0" w:color="auto"/>
            <w:left w:val="none" w:sz="0" w:space="0" w:color="auto"/>
            <w:bottom w:val="none" w:sz="0" w:space="0" w:color="auto"/>
            <w:right w:val="none" w:sz="0" w:space="0" w:color="auto"/>
          </w:divBdr>
        </w:div>
        <w:div w:id="1856576359">
          <w:marLeft w:val="0"/>
          <w:marRight w:val="0"/>
          <w:marTop w:val="0"/>
          <w:marBottom w:val="0"/>
          <w:divBdr>
            <w:top w:val="none" w:sz="0" w:space="0" w:color="auto"/>
            <w:left w:val="none" w:sz="0" w:space="0" w:color="auto"/>
            <w:bottom w:val="none" w:sz="0" w:space="0" w:color="auto"/>
            <w:right w:val="none" w:sz="0" w:space="0" w:color="auto"/>
          </w:divBdr>
        </w:div>
        <w:div w:id="1620839475">
          <w:marLeft w:val="0"/>
          <w:marRight w:val="0"/>
          <w:marTop w:val="0"/>
          <w:marBottom w:val="0"/>
          <w:divBdr>
            <w:top w:val="none" w:sz="0" w:space="0" w:color="auto"/>
            <w:left w:val="none" w:sz="0" w:space="0" w:color="auto"/>
            <w:bottom w:val="none" w:sz="0" w:space="0" w:color="auto"/>
            <w:right w:val="none" w:sz="0" w:space="0" w:color="auto"/>
          </w:divBdr>
        </w:div>
        <w:div w:id="341975114">
          <w:marLeft w:val="0"/>
          <w:marRight w:val="0"/>
          <w:marTop w:val="0"/>
          <w:marBottom w:val="0"/>
          <w:divBdr>
            <w:top w:val="none" w:sz="0" w:space="0" w:color="auto"/>
            <w:left w:val="none" w:sz="0" w:space="0" w:color="auto"/>
            <w:bottom w:val="none" w:sz="0" w:space="0" w:color="auto"/>
            <w:right w:val="none" w:sz="0" w:space="0" w:color="auto"/>
          </w:divBdr>
        </w:div>
        <w:div w:id="958101527">
          <w:marLeft w:val="0"/>
          <w:marRight w:val="0"/>
          <w:marTop w:val="0"/>
          <w:marBottom w:val="0"/>
          <w:divBdr>
            <w:top w:val="none" w:sz="0" w:space="0" w:color="auto"/>
            <w:left w:val="none" w:sz="0" w:space="0" w:color="auto"/>
            <w:bottom w:val="none" w:sz="0" w:space="0" w:color="auto"/>
            <w:right w:val="none" w:sz="0" w:space="0" w:color="auto"/>
          </w:divBdr>
        </w:div>
        <w:div w:id="1122383985">
          <w:marLeft w:val="0"/>
          <w:marRight w:val="0"/>
          <w:marTop w:val="0"/>
          <w:marBottom w:val="0"/>
          <w:divBdr>
            <w:top w:val="none" w:sz="0" w:space="0" w:color="auto"/>
            <w:left w:val="none" w:sz="0" w:space="0" w:color="auto"/>
            <w:bottom w:val="none" w:sz="0" w:space="0" w:color="auto"/>
            <w:right w:val="none" w:sz="0" w:space="0" w:color="auto"/>
          </w:divBdr>
        </w:div>
        <w:div w:id="1727070496">
          <w:marLeft w:val="0"/>
          <w:marRight w:val="0"/>
          <w:marTop w:val="0"/>
          <w:marBottom w:val="0"/>
          <w:divBdr>
            <w:top w:val="none" w:sz="0" w:space="0" w:color="auto"/>
            <w:left w:val="none" w:sz="0" w:space="0" w:color="auto"/>
            <w:bottom w:val="none" w:sz="0" w:space="0" w:color="auto"/>
            <w:right w:val="none" w:sz="0" w:space="0" w:color="auto"/>
          </w:divBdr>
        </w:div>
        <w:div w:id="714933706">
          <w:marLeft w:val="0"/>
          <w:marRight w:val="0"/>
          <w:marTop w:val="0"/>
          <w:marBottom w:val="0"/>
          <w:divBdr>
            <w:top w:val="none" w:sz="0" w:space="0" w:color="auto"/>
            <w:left w:val="none" w:sz="0" w:space="0" w:color="auto"/>
            <w:bottom w:val="none" w:sz="0" w:space="0" w:color="auto"/>
            <w:right w:val="none" w:sz="0" w:space="0" w:color="auto"/>
          </w:divBdr>
        </w:div>
        <w:div w:id="641083390">
          <w:marLeft w:val="0"/>
          <w:marRight w:val="0"/>
          <w:marTop w:val="0"/>
          <w:marBottom w:val="0"/>
          <w:divBdr>
            <w:top w:val="none" w:sz="0" w:space="0" w:color="auto"/>
            <w:left w:val="none" w:sz="0" w:space="0" w:color="auto"/>
            <w:bottom w:val="none" w:sz="0" w:space="0" w:color="auto"/>
            <w:right w:val="none" w:sz="0" w:space="0" w:color="auto"/>
          </w:divBdr>
        </w:div>
        <w:div w:id="1007901994">
          <w:marLeft w:val="0"/>
          <w:marRight w:val="0"/>
          <w:marTop w:val="0"/>
          <w:marBottom w:val="0"/>
          <w:divBdr>
            <w:top w:val="none" w:sz="0" w:space="0" w:color="auto"/>
            <w:left w:val="none" w:sz="0" w:space="0" w:color="auto"/>
            <w:bottom w:val="none" w:sz="0" w:space="0" w:color="auto"/>
            <w:right w:val="none" w:sz="0" w:space="0" w:color="auto"/>
          </w:divBdr>
        </w:div>
        <w:div w:id="745223553">
          <w:marLeft w:val="0"/>
          <w:marRight w:val="0"/>
          <w:marTop w:val="0"/>
          <w:marBottom w:val="0"/>
          <w:divBdr>
            <w:top w:val="none" w:sz="0" w:space="0" w:color="auto"/>
            <w:left w:val="none" w:sz="0" w:space="0" w:color="auto"/>
            <w:bottom w:val="none" w:sz="0" w:space="0" w:color="auto"/>
            <w:right w:val="none" w:sz="0" w:space="0" w:color="auto"/>
          </w:divBdr>
        </w:div>
        <w:div w:id="501050462">
          <w:marLeft w:val="0"/>
          <w:marRight w:val="0"/>
          <w:marTop w:val="0"/>
          <w:marBottom w:val="0"/>
          <w:divBdr>
            <w:top w:val="none" w:sz="0" w:space="0" w:color="auto"/>
            <w:left w:val="none" w:sz="0" w:space="0" w:color="auto"/>
            <w:bottom w:val="none" w:sz="0" w:space="0" w:color="auto"/>
            <w:right w:val="none" w:sz="0" w:space="0" w:color="auto"/>
          </w:divBdr>
        </w:div>
        <w:div w:id="183911230">
          <w:marLeft w:val="0"/>
          <w:marRight w:val="0"/>
          <w:marTop w:val="0"/>
          <w:marBottom w:val="0"/>
          <w:divBdr>
            <w:top w:val="none" w:sz="0" w:space="0" w:color="auto"/>
            <w:left w:val="none" w:sz="0" w:space="0" w:color="auto"/>
            <w:bottom w:val="none" w:sz="0" w:space="0" w:color="auto"/>
            <w:right w:val="none" w:sz="0" w:space="0" w:color="auto"/>
          </w:divBdr>
        </w:div>
        <w:div w:id="722411718">
          <w:marLeft w:val="0"/>
          <w:marRight w:val="0"/>
          <w:marTop w:val="0"/>
          <w:marBottom w:val="0"/>
          <w:divBdr>
            <w:top w:val="none" w:sz="0" w:space="0" w:color="auto"/>
            <w:left w:val="none" w:sz="0" w:space="0" w:color="auto"/>
            <w:bottom w:val="none" w:sz="0" w:space="0" w:color="auto"/>
            <w:right w:val="none" w:sz="0" w:space="0" w:color="auto"/>
          </w:divBdr>
        </w:div>
        <w:div w:id="1620799134">
          <w:marLeft w:val="0"/>
          <w:marRight w:val="0"/>
          <w:marTop w:val="0"/>
          <w:marBottom w:val="0"/>
          <w:divBdr>
            <w:top w:val="none" w:sz="0" w:space="0" w:color="auto"/>
            <w:left w:val="none" w:sz="0" w:space="0" w:color="auto"/>
            <w:bottom w:val="none" w:sz="0" w:space="0" w:color="auto"/>
            <w:right w:val="none" w:sz="0" w:space="0" w:color="auto"/>
          </w:divBdr>
        </w:div>
        <w:div w:id="1199662031">
          <w:marLeft w:val="0"/>
          <w:marRight w:val="0"/>
          <w:marTop w:val="0"/>
          <w:marBottom w:val="0"/>
          <w:divBdr>
            <w:top w:val="none" w:sz="0" w:space="0" w:color="auto"/>
            <w:left w:val="none" w:sz="0" w:space="0" w:color="auto"/>
            <w:bottom w:val="none" w:sz="0" w:space="0" w:color="auto"/>
            <w:right w:val="none" w:sz="0" w:space="0" w:color="auto"/>
          </w:divBdr>
        </w:div>
        <w:div w:id="416681691">
          <w:marLeft w:val="0"/>
          <w:marRight w:val="0"/>
          <w:marTop w:val="0"/>
          <w:marBottom w:val="0"/>
          <w:divBdr>
            <w:top w:val="none" w:sz="0" w:space="0" w:color="auto"/>
            <w:left w:val="none" w:sz="0" w:space="0" w:color="auto"/>
            <w:bottom w:val="none" w:sz="0" w:space="0" w:color="auto"/>
            <w:right w:val="none" w:sz="0" w:space="0" w:color="auto"/>
          </w:divBdr>
        </w:div>
        <w:div w:id="1928227582">
          <w:marLeft w:val="0"/>
          <w:marRight w:val="0"/>
          <w:marTop w:val="0"/>
          <w:marBottom w:val="0"/>
          <w:divBdr>
            <w:top w:val="none" w:sz="0" w:space="0" w:color="auto"/>
            <w:left w:val="none" w:sz="0" w:space="0" w:color="auto"/>
            <w:bottom w:val="none" w:sz="0" w:space="0" w:color="auto"/>
            <w:right w:val="none" w:sz="0" w:space="0" w:color="auto"/>
          </w:divBdr>
        </w:div>
        <w:div w:id="1054499591">
          <w:marLeft w:val="0"/>
          <w:marRight w:val="0"/>
          <w:marTop w:val="0"/>
          <w:marBottom w:val="0"/>
          <w:divBdr>
            <w:top w:val="none" w:sz="0" w:space="0" w:color="auto"/>
            <w:left w:val="none" w:sz="0" w:space="0" w:color="auto"/>
            <w:bottom w:val="none" w:sz="0" w:space="0" w:color="auto"/>
            <w:right w:val="none" w:sz="0" w:space="0" w:color="auto"/>
          </w:divBdr>
        </w:div>
        <w:div w:id="543642075">
          <w:marLeft w:val="0"/>
          <w:marRight w:val="0"/>
          <w:marTop w:val="0"/>
          <w:marBottom w:val="0"/>
          <w:divBdr>
            <w:top w:val="none" w:sz="0" w:space="0" w:color="auto"/>
            <w:left w:val="none" w:sz="0" w:space="0" w:color="auto"/>
            <w:bottom w:val="none" w:sz="0" w:space="0" w:color="auto"/>
            <w:right w:val="none" w:sz="0" w:space="0" w:color="auto"/>
          </w:divBdr>
        </w:div>
        <w:div w:id="1393963600">
          <w:marLeft w:val="0"/>
          <w:marRight w:val="0"/>
          <w:marTop w:val="0"/>
          <w:marBottom w:val="0"/>
          <w:divBdr>
            <w:top w:val="none" w:sz="0" w:space="0" w:color="auto"/>
            <w:left w:val="none" w:sz="0" w:space="0" w:color="auto"/>
            <w:bottom w:val="none" w:sz="0" w:space="0" w:color="auto"/>
            <w:right w:val="none" w:sz="0" w:space="0" w:color="auto"/>
          </w:divBdr>
        </w:div>
        <w:div w:id="1281765720">
          <w:marLeft w:val="0"/>
          <w:marRight w:val="0"/>
          <w:marTop w:val="0"/>
          <w:marBottom w:val="0"/>
          <w:divBdr>
            <w:top w:val="none" w:sz="0" w:space="0" w:color="auto"/>
            <w:left w:val="none" w:sz="0" w:space="0" w:color="auto"/>
            <w:bottom w:val="none" w:sz="0" w:space="0" w:color="auto"/>
            <w:right w:val="none" w:sz="0" w:space="0" w:color="auto"/>
          </w:divBdr>
        </w:div>
        <w:div w:id="66415790">
          <w:marLeft w:val="0"/>
          <w:marRight w:val="0"/>
          <w:marTop w:val="0"/>
          <w:marBottom w:val="0"/>
          <w:divBdr>
            <w:top w:val="none" w:sz="0" w:space="0" w:color="auto"/>
            <w:left w:val="none" w:sz="0" w:space="0" w:color="auto"/>
            <w:bottom w:val="none" w:sz="0" w:space="0" w:color="auto"/>
            <w:right w:val="none" w:sz="0" w:space="0" w:color="auto"/>
          </w:divBdr>
        </w:div>
        <w:div w:id="2128115621">
          <w:marLeft w:val="0"/>
          <w:marRight w:val="0"/>
          <w:marTop w:val="0"/>
          <w:marBottom w:val="0"/>
          <w:divBdr>
            <w:top w:val="none" w:sz="0" w:space="0" w:color="auto"/>
            <w:left w:val="none" w:sz="0" w:space="0" w:color="auto"/>
            <w:bottom w:val="none" w:sz="0" w:space="0" w:color="auto"/>
            <w:right w:val="none" w:sz="0" w:space="0" w:color="auto"/>
          </w:divBdr>
        </w:div>
        <w:div w:id="232278498">
          <w:marLeft w:val="0"/>
          <w:marRight w:val="0"/>
          <w:marTop w:val="0"/>
          <w:marBottom w:val="0"/>
          <w:divBdr>
            <w:top w:val="none" w:sz="0" w:space="0" w:color="auto"/>
            <w:left w:val="none" w:sz="0" w:space="0" w:color="auto"/>
            <w:bottom w:val="none" w:sz="0" w:space="0" w:color="auto"/>
            <w:right w:val="none" w:sz="0" w:space="0" w:color="auto"/>
          </w:divBdr>
        </w:div>
        <w:div w:id="200290429">
          <w:marLeft w:val="0"/>
          <w:marRight w:val="0"/>
          <w:marTop w:val="0"/>
          <w:marBottom w:val="0"/>
          <w:divBdr>
            <w:top w:val="none" w:sz="0" w:space="0" w:color="auto"/>
            <w:left w:val="none" w:sz="0" w:space="0" w:color="auto"/>
            <w:bottom w:val="none" w:sz="0" w:space="0" w:color="auto"/>
            <w:right w:val="none" w:sz="0" w:space="0" w:color="auto"/>
          </w:divBdr>
        </w:div>
        <w:div w:id="1049838955">
          <w:marLeft w:val="0"/>
          <w:marRight w:val="0"/>
          <w:marTop w:val="0"/>
          <w:marBottom w:val="0"/>
          <w:divBdr>
            <w:top w:val="none" w:sz="0" w:space="0" w:color="auto"/>
            <w:left w:val="none" w:sz="0" w:space="0" w:color="auto"/>
            <w:bottom w:val="none" w:sz="0" w:space="0" w:color="auto"/>
            <w:right w:val="none" w:sz="0" w:space="0" w:color="auto"/>
          </w:divBdr>
        </w:div>
        <w:div w:id="1189832862">
          <w:marLeft w:val="0"/>
          <w:marRight w:val="0"/>
          <w:marTop w:val="0"/>
          <w:marBottom w:val="0"/>
          <w:divBdr>
            <w:top w:val="none" w:sz="0" w:space="0" w:color="auto"/>
            <w:left w:val="none" w:sz="0" w:space="0" w:color="auto"/>
            <w:bottom w:val="none" w:sz="0" w:space="0" w:color="auto"/>
            <w:right w:val="none" w:sz="0" w:space="0" w:color="auto"/>
          </w:divBdr>
        </w:div>
        <w:div w:id="449056523">
          <w:marLeft w:val="0"/>
          <w:marRight w:val="0"/>
          <w:marTop w:val="0"/>
          <w:marBottom w:val="0"/>
          <w:divBdr>
            <w:top w:val="none" w:sz="0" w:space="0" w:color="auto"/>
            <w:left w:val="none" w:sz="0" w:space="0" w:color="auto"/>
            <w:bottom w:val="none" w:sz="0" w:space="0" w:color="auto"/>
            <w:right w:val="none" w:sz="0" w:space="0" w:color="auto"/>
          </w:divBdr>
        </w:div>
        <w:div w:id="595866277">
          <w:marLeft w:val="0"/>
          <w:marRight w:val="0"/>
          <w:marTop w:val="0"/>
          <w:marBottom w:val="0"/>
          <w:divBdr>
            <w:top w:val="none" w:sz="0" w:space="0" w:color="auto"/>
            <w:left w:val="none" w:sz="0" w:space="0" w:color="auto"/>
            <w:bottom w:val="none" w:sz="0" w:space="0" w:color="auto"/>
            <w:right w:val="none" w:sz="0" w:space="0" w:color="auto"/>
          </w:divBdr>
        </w:div>
        <w:div w:id="1835415950">
          <w:marLeft w:val="0"/>
          <w:marRight w:val="0"/>
          <w:marTop w:val="0"/>
          <w:marBottom w:val="0"/>
          <w:divBdr>
            <w:top w:val="none" w:sz="0" w:space="0" w:color="auto"/>
            <w:left w:val="none" w:sz="0" w:space="0" w:color="auto"/>
            <w:bottom w:val="none" w:sz="0" w:space="0" w:color="auto"/>
            <w:right w:val="none" w:sz="0" w:space="0" w:color="auto"/>
          </w:divBdr>
        </w:div>
        <w:div w:id="493766975">
          <w:marLeft w:val="0"/>
          <w:marRight w:val="0"/>
          <w:marTop w:val="0"/>
          <w:marBottom w:val="0"/>
          <w:divBdr>
            <w:top w:val="none" w:sz="0" w:space="0" w:color="auto"/>
            <w:left w:val="none" w:sz="0" w:space="0" w:color="auto"/>
            <w:bottom w:val="none" w:sz="0" w:space="0" w:color="auto"/>
            <w:right w:val="none" w:sz="0" w:space="0" w:color="auto"/>
          </w:divBdr>
        </w:div>
        <w:div w:id="352803264">
          <w:marLeft w:val="0"/>
          <w:marRight w:val="0"/>
          <w:marTop w:val="0"/>
          <w:marBottom w:val="0"/>
          <w:divBdr>
            <w:top w:val="none" w:sz="0" w:space="0" w:color="auto"/>
            <w:left w:val="none" w:sz="0" w:space="0" w:color="auto"/>
            <w:bottom w:val="none" w:sz="0" w:space="0" w:color="auto"/>
            <w:right w:val="none" w:sz="0" w:space="0" w:color="auto"/>
          </w:divBdr>
        </w:div>
        <w:div w:id="1207595990">
          <w:marLeft w:val="0"/>
          <w:marRight w:val="0"/>
          <w:marTop w:val="0"/>
          <w:marBottom w:val="0"/>
          <w:divBdr>
            <w:top w:val="none" w:sz="0" w:space="0" w:color="auto"/>
            <w:left w:val="none" w:sz="0" w:space="0" w:color="auto"/>
            <w:bottom w:val="none" w:sz="0" w:space="0" w:color="auto"/>
            <w:right w:val="none" w:sz="0" w:space="0" w:color="auto"/>
          </w:divBdr>
        </w:div>
        <w:div w:id="1957714753">
          <w:marLeft w:val="0"/>
          <w:marRight w:val="0"/>
          <w:marTop w:val="0"/>
          <w:marBottom w:val="0"/>
          <w:divBdr>
            <w:top w:val="none" w:sz="0" w:space="0" w:color="auto"/>
            <w:left w:val="none" w:sz="0" w:space="0" w:color="auto"/>
            <w:bottom w:val="none" w:sz="0" w:space="0" w:color="auto"/>
            <w:right w:val="none" w:sz="0" w:space="0" w:color="auto"/>
          </w:divBdr>
        </w:div>
        <w:div w:id="1674062987">
          <w:marLeft w:val="0"/>
          <w:marRight w:val="0"/>
          <w:marTop w:val="0"/>
          <w:marBottom w:val="0"/>
          <w:divBdr>
            <w:top w:val="none" w:sz="0" w:space="0" w:color="auto"/>
            <w:left w:val="none" w:sz="0" w:space="0" w:color="auto"/>
            <w:bottom w:val="none" w:sz="0" w:space="0" w:color="auto"/>
            <w:right w:val="none" w:sz="0" w:space="0" w:color="auto"/>
          </w:divBdr>
        </w:div>
        <w:div w:id="1791389047">
          <w:marLeft w:val="0"/>
          <w:marRight w:val="0"/>
          <w:marTop w:val="0"/>
          <w:marBottom w:val="0"/>
          <w:divBdr>
            <w:top w:val="none" w:sz="0" w:space="0" w:color="auto"/>
            <w:left w:val="none" w:sz="0" w:space="0" w:color="auto"/>
            <w:bottom w:val="none" w:sz="0" w:space="0" w:color="auto"/>
            <w:right w:val="none" w:sz="0" w:space="0" w:color="auto"/>
          </w:divBdr>
        </w:div>
        <w:div w:id="618032875">
          <w:marLeft w:val="0"/>
          <w:marRight w:val="0"/>
          <w:marTop w:val="0"/>
          <w:marBottom w:val="0"/>
          <w:divBdr>
            <w:top w:val="none" w:sz="0" w:space="0" w:color="auto"/>
            <w:left w:val="none" w:sz="0" w:space="0" w:color="auto"/>
            <w:bottom w:val="none" w:sz="0" w:space="0" w:color="auto"/>
            <w:right w:val="none" w:sz="0" w:space="0" w:color="auto"/>
          </w:divBdr>
        </w:div>
        <w:div w:id="1129400052">
          <w:marLeft w:val="0"/>
          <w:marRight w:val="0"/>
          <w:marTop w:val="0"/>
          <w:marBottom w:val="0"/>
          <w:divBdr>
            <w:top w:val="none" w:sz="0" w:space="0" w:color="auto"/>
            <w:left w:val="none" w:sz="0" w:space="0" w:color="auto"/>
            <w:bottom w:val="none" w:sz="0" w:space="0" w:color="auto"/>
            <w:right w:val="none" w:sz="0" w:space="0" w:color="auto"/>
          </w:divBdr>
        </w:div>
        <w:div w:id="359166565">
          <w:marLeft w:val="0"/>
          <w:marRight w:val="0"/>
          <w:marTop w:val="0"/>
          <w:marBottom w:val="0"/>
          <w:divBdr>
            <w:top w:val="none" w:sz="0" w:space="0" w:color="auto"/>
            <w:left w:val="none" w:sz="0" w:space="0" w:color="auto"/>
            <w:bottom w:val="none" w:sz="0" w:space="0" w:color="auto"/>
            <w:right w:val="none" w:sz="0" w:space="0" w:color="auto"/>
          </w:divBdr>
        </w:div>
        <w:div w:id="1110585593">
          <w:marLeft w:val="0"/>
          <w:marRight w:val="0"/>
          <w:marTop w:val="0"/>
          <w:marBottom w:val="0"/>
          <w:divBdr>
            <w:top w:val="none" w:sz="0" w:space="0" w:color="auto"/>
            <w:left w:val="none" w:sz="0" w:space="0" w:color="auto"/>
            <w:bottom w:val="none" w:sz="0" w:space="0" w:color="auto"/>
            <w:right w:val="none" w:sz="0" w:space="0" w:color="auto"/>
          </w:divBdr>
        </w:div>
        <w:div w:id="1347756244">
          <w:marLeft w:val="0"/>
          <w:marRight w:val="0"/>
          <w:marTop w:val="0"/>
          <w:marBottom w:val="0"/>
          <w:divBdr>
            <w:top w:val="none" w:sz="0" w:space="0" w:color="auto"/>
            <w:left w:val="none" w:sz="0" w:space="0" w:color="auto"/>
            <w:bottom w:val="none" w:sz="0" w:space="0" w:color="auto"/>
            <w:right w:val="none" w:sz="0" w:space="0" w:color="auto"/>
          </w:divBdr>
        </w:div>
        <w:div w:id="1988044150">
          <w:marLeft w:val="0"/>
          <w:marRight w:val="0"/>
          <w:marTop w:val="0"/>
          <w:marBottom w:val="0"/>
          <w:divBdr>
            <w:top w:val="none" w:sz="0" w:space="0" w:color="auto"/>
            <w:left w:val="none" w:sz="0" w:space="0" w:color="auto"/>
            <w:bottom w:val="none" w:sz="0" w:space="0" w:color="auto"/>
            <w:right w:val="none" w:sz="0" w:space="0" w:color="auto"/>
          </w:divBdr>
        </w:div>
        <w:div w:id="1017007064">
          <w:marLeft w:val="0"/>
          <w:marRight w:val="0"/>
          <w:marTop w:val="0"/>
          <w:marBottom w:val="0"/>
          <w:divBdr>
            <w:top w:val="none" w:sz="0" w:space="0" w:color="auto"/>
            <w:left w:val="none" w:sz="0" w:space="0" w:color="auto"/>
            <w:bottom w:val="none" w:sz="0" w:space="0" w:color="auto"/>
            <w:right w:val="none" w:sz="0" w:space="0" w:color="auto"/>
          </w:divBdr>
        </w:div>
        <w:div w:id="1149402726">
          <w:marLeft w:val="0"/>
          <w:marRight w:val="0"/>
          <w:marTop w:val="0"/>
          <w:marBottom w:val="0"/>
          <w:divBdr>
            <w:top w:val="none" w:sz="0" w:space="0" w:color="auto"/>
            <w:left w:val="none" w:sz="0" w:space="0" w:color="auto"/>
            <w:bottom w:val="none" w:sz="0" w:space="0" w:color="auto"/>
            <w:right w:val="none" w:sz="0" w:space="0" w:color="auto"/>
          </w:divBdr>
        </w:div>
        <w:div w:id="1310136735">
          <w:marLeft w:val="0"/>
          <w:marRight w:val="0"/>
          <w:marTop w:val="0"/>
          <w:marBottom w:val="0"/>
          <w:divBdr>
            <w:top w:val="none" w:sz="0" w:space="0" w:color="auto"/>
            <w:left w:val="none" w:sz="0" w:space="0" w:color="auto"/>
            <w:bottom w:val="none" w:sz="0" w:space="0" w:color="auto"/>
            <w:right w:val="none" w:sz="0" w:space="0" w:color="auto"/>
          </w:divBdr>
        </w:div>
        <w:div w:id="2085956426">
          <w:marLeft w:val="0"/>
          <w:marRight w:val="0"/>
          <w:marTop w:val="0"/>
          <w:marBottom w:val="0"/>
          <w:divBdr>
            <w:top w:val="none" w:sz="0" w:space="0" w:color="auto"/>
            <w:left w:val="none" w:sz="0" w:space="0" w:color="auto"/>
            <w:bottom w:val="none" w:sz="0" w:space="0" w:color="auto"/>
            <w:right w:val="none" w:sz="0" w:space="0" w:color="auto"/>
          </w:divBdr>
        </w:div>
        <w:div w:id="1556237635">
          <w:marLeft w:val="0"/>
          <w:marRight w:val="0"/>
          <w:marTop w:val="0"/>
          <w:marBottom w:val="0"/>
          <w:divBdr>
            <w:top w:val="none" w:sz="0" w:space="0" w:color="auto"/>
            <w:left w:val="none" w:sz="0" w:space="0" w:color="auto"/>
            <w:bottom w:val="none" w:sz="0" w:space="0" w:color="auto"/>
            <w:right w:val="none" w:sz="0" w:space="0" w:color="auto"/>
          </w:divBdr>
        </w:div>
      </w:divsChild>
    </w:div>
    <w:div w:id="707804538">
      <w:bodyDiv w:val="1"/>
      <w:marLeft w:val="0"/>
      <w:marRight w:val="0"/>
      <w:marTop w:val="0"/>
      <w:marBottom w:val="0"/>
      <w:divBdr>
        <w:top w:val="none" w:sz="0" w:space="0" w:color="auto"/>
        <w:left w:val="none" w:sz="0" w:space="0" w:color="auto"/>
        <w:bottom w:val="none" w:sz="0" w:space="0" w:color="auto"/>
        <w:right w:val="none" w:sz="0" w:space="0" w:color="auto"/>
      </w:divBdr>
      <w:divsChild>
        <w:div w:id="2043557316">
          <w:marLeft w:val="0"/>
          <w:marRight w:val="0"/>
          <w:marTop w:val="0"/>
          <w:marBottom w:val="0"/>
          <w:divBdr>
            <w:top w:val="none" w:sz="0" w:space="0" w:color="auto"/>
            <w:left w:val="none" w:sz="0" w:space="0" w:color="auto"/>
            <w:bottom w:val="none" w:sz="0" w:space="0" w:color="auto"/>
            <w:right w:val="none" w:sz="0" w:space="0" w:color="auto"/>
          </w:divBdr>
          <w:divsChild>
            <w:div w:id="748498613">
              <w:marLeft w:val="0"/>
              <w:marRight w:val="0"/>
              <w:marTop w:val="0"/>
              <w:marBottom w:val="120"/>
              <w:divBdr>
                <w:top w:val="none" w:sz="0" w:space="0" w:color="auto"/>
                <w:left w:val="none" w:sz="0" w:space="0" w:color="auto"/>
                <w:bottom w:val="none" w:sz="0" w:space="0" w:color="auto"/>
                <w:right w:val="none" w:sz="0" w:space="0" w:color="auto"/>
              </w:divBdr>
              <w:divsChild>
                <w:div w:id="1948925437">
                  <w:marLeft w:val="0"/>
                  <w:marRight w:val="0"/>
                  <w:marTop w:val="0"/>
                  <w:marBottom w:val="0"/>
                  <w:divBdr>
                    <w:top w:val="none" w:sz="0" w:space="0" w:color="auto"/>
                    <w:left w:val="none" w:sz="0" w:space="0" w:color="auto"/>
                    <w:bottom w:val="none" w:sz="0" w:space="0" w:color="auto"/>
                    <w:right w:val="none" w:sz="0" w:space="0" w:color="auto"/>
                  </w:divBdr>
                </w:div>
                <w:div w:id="508836360">
                  <w:marLeft w:val="0"/>
                  <w:marRight w:val="0"/>
                  <w:marTop w:val="0"/>
                  <w:marBottom w:val="0"/>
                  <w:divBdr>
                    <w:top w:val="none" w:sz="0" w:space="0" w:color="auto"/>
                    <w:left w:val="none" w:sz="0" w:space="0" w:color="auto"/>
                    <w:bottom w:val="none" w:sz="0" w:space="0" w:color="auto"/>
                    <w:right w:val="none" w:sz="0" w:space="0" w:color="auto"/>
                  </w:divBdr>
                </w:div>
                <w:div w:id="1285229149">
                  <w:marLeft w:val="0"/>
                  <w:marRight w:val="0"/>
                  <w:marTop w:val="0"/>
                  <w:marBottom w:val="0"/>
                  <w:divBdr>
                    <w:top w:val="none" w:sz="0" w:space="0" w:color="auto"/>
                    <w:left w:val="none" w:sz="0" w:space="0" w:color="auto"/>
                    <w:bottom w:val="none" w:sz="0" w:space="0" w:color="auto"/>
                    <w:right w:val="none" w:sz="0" w:space="0" w:color="auto"/>
                  </w:divBdr>
                </w:div>
                <w:div w:id="6355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555899">
          <w:marLeft w:val="0"/>
          <w:marRight w:val="0"/>
          <w:marTop w:val="0"/>
          <w:marBottom w:val="480"/>
          <w:divBdr>
            <w:top w:val="none" w:sz="0" w:space="0" w:color="auto"/>
            <w:left w:val="none" w:sz="0" w:space="0" w:color="auto"/>
            <w:bottom w:val="single" w:sz="12" w:space="24" w:color="EBEBEB"/>
            <w:right w:val="none" w:sz="0" w:space="0" w:color="auto"/>
          </w:divBdr>
          <w:divsChild>
            <w:div w:id="1910262933">
              <w:marLeft w:val="0"/>
              <w:marRight w:val="0"/>
              <w:marTop w:val="0"/>
              <w:marBottom w:val="0"/>
              <w:divBdr>
                <w:top w:val="none" w:sz="0" w:space="0" w:color="auto"/>
                <w:left w:val="none" w:sz="0" w:space="0" w:color="auto"/>
                <w:bottom w:val="none" w:sz="0" w:space="0" w:color="auto"/>
                <w:right w:val="none" w:sz="0" w:space="0" w:color="auto"/>
              </w:divBdr>
              <w:divsChild>
                <w:div w:id="421997080">
                  <w:marLeft w:val="0"/>
                  <w:marRight w:val="0"/>
                  <w:marTop w:val="0"/>
                  <w:marBottom w:val="0"/>
                  <w:divBdr>
                    <w:top w:val="none" w:sz="0" w:space="0" w:color="auto"/>
                    <w:left w:val="none" w:sz="0" w:space="0" w:color="auto"/>
                    <w:bottom w:val="none" w:sz="0" w:space="0" w:color="auto"/>
                    <w:right w:val="none" w:sz="0" w:space="0" w:color="auto"/>
                  </w:divBdr>
                </w:div>
                <w:div w:id="1645813985">
                  <w:marLeft w:val="0"/>
                  <w:marRight w:val="0"/>
                  <w:marTop w:val="0"/>
                  <w:marBottom w:val="0"/>
                  <w:divBdr>
                    <w:top w:val="none" w:sz="0" w:space="0" w:color="auto"/>
                    <w:left w:val="none" w:sz="0" w:space="0" w:color="auto"/>
                    <w:bottom w:val="none" w:sz="0" w:space="0" w:color="auto"/>
                    <w:right w:val="none" w:sz="0" w:space="0" w:color="auto"/>
                  </w:divBdr>
                </w:div>
                <w:div w:id="1820993144">
                  <w:marLeft w:val="0"/>
                  <w:marRight w:val="0"/>
                  <w:marTop w:val="0"/>
                  <w:marBottom w:val="0"/>
                  <w:divBdr>
                    <w:top w:val="none" w:sz="0" w:space="0" w:color="auto"/>
                    <w:left w:val="none" w:sz="0" w:space="0" w:color="auto"/>
                    <w:bottom w:val="none" w:sz="0" w:space="0" w:color="auto"/>
                    <w:right w:val="none" w:sz="0" w:space="0" w:color="auto"/>
                  </w:divBdr>
                </w:div>
                <w:div w:id="142005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76506">
          <w:marLeft w:val="0"/>
          <w:marRight w:val="0"/>
          <w:marTop w:val="0"/>
          <w:marBottom w:val="0"/>
          <w:divBdr>
            <w:top w:val="none" w:sz="0" w:space="0" w:color="auto"/>
            <w:left w:val="none" w:sz="0" w:space="0" w:color="auto"/>
            <w:bottom w:val="none" w:sz="0" w:space="0" w:color="auto"/>
            <w:right w:val="none" w:sz="0" w:space="0" w:color="auto"/>
          </w:divBdr>
          <w:divsChild>
            <w:div w:id="1286278648">
              <w:marLeft w:val="0"/>
              <w:marRight w:val="0"/>
              <w:marTop w:val="0"/>
              <w:marBottom w:val="0"/>
              <w:divBdr>
                <w:top w:val="none" w:sz="0" w:space="0" w:color="auto"/>
                <w:left w:val="none" w:sz="0" w:space="0" w:color="auto"/>
                <w:bottom w:val="none" w:sz="0" w:space="0" w:color="auto"/>
                <w:right w:val="none" w:sz="0" w:space="0" w:color="auto"/>
              </w:divBdr>
              <w:divsChild>
                <w:div w:id="649095095">
                  <w:marLeft w:val="0"/>
                  <w:marRight w:val="0"/>
                  <w:marTop w:val="0"/>
                  <w:marBottom w:val="0"/>
                  <w:divBdr>
                    <w:top w:val="none" w:sz="0" w:space="0" w:color="auto"/>
                    <w:left w:val="none" w:sz="0" w:space="0" w:color="auto"/>
                    <w:bottom w:val="none" w:sz="0" w:space="0" w:color="auto"/>
                    <w:right w:val="none" w:sz="0" w:space="0" w:color="auto"/>
                  </w:divBdr>
                  <w:divsChild>
                    <w:div w:id="968973606">
                      <w:marLeft w:val="0"/>
                      <w:marRight w:val="0"/>
                      <w:marTop w:val="240"/>
                      <w:marBottom w:val="240"/>
                      <w:divBdr>
                        <w:top w:val="single" w:sz="12" w:space="0" w:color="EBEBEB"/>
                        <w:left w:val="none" w:sz="0" w:space="0" w:color="auto"/>
                        <w:bottom w:val="single" w:sz="12" w:space="0" w:color="EBEBEB"/>
                        <w:right w:val="none" w:sz="0" w:space="0" w:color="auto"/>
                      </w:divBdr>
                      <w:divsChild>
                        <w:div w:id="7436425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81191550">
                  <w:marLeft w:val="0"/>
                  <w:marRight w:val="0"/>
                  <w:marTop w:val="0"/>
                  <w:marBottom w:val="0"/>
                  <w:divBdr>
                    <w:top w:val="none" w:sz="0" w:space="0" w:color="auto"/>
                    <w:left w:val="none" w:sz="0" w:space="0" w:color="auto"/>
                    <w:bottom w:val="none" w:sz="0" w:space="0" w:color="auto"/>
                    <w:right w:val="none" w:sz="0" w:space="0" w:color="auto"/>
                  </w:divBdr>
                  <w:divsChild>
                    <w:div w:id="1692023230">
                      <w:marLeft w:val="0"/>
                      <w:marRight w:val="0"/>
                      <w:marTop w:val="240"/>
                      <w:marBottom w:val="240"/>
                      <w:divBdr>
                        <w:top w:val="single" w:sz="12" w:space="0" w:color="EBEBEB"/>
                        <w:left w:val="none" w:sz="0" w:space="0" w:color="auto"/>
                        <w:bottom w:val="single" w:sz="12" w:space="0" w:color="EBEBEB"/>
                        <w:right w:val="none" w:sz="0" w:space="0" w:color="auto"/>
                      </w:divBdr>
                      <w:divsChild>
                        <w:div w:id="1511674188">
                          <w:marLeft w:val="0"/>
                          <w:marRight w:val="0"/>
                          <w:marTop w:val="240"/>
                          <w:marBottom w:val="240"/>
                          <w:divBdr>
                            <w:top w:val="none" w:sz="0" w:space="0" w:color="auto"/>
                            <w:left w:val="none" w:sz="0" w:space="0" w:color="auto"/>
                            <w:bottom w:val="none" w:sz="0" w:space="0" w:color="auto"/>
                            <w:right w:val="none" w:sz="0" w:space="0" w:color="auto"/>
                          </w:divBdr>
                        </w:div>
                      </w:divsChild>
                    </w:div>
                    <w:div w:id="1647247765">
                      <w:marLeft w:val="0"/>
                      <w:marRight w:val="0"/>
                      <w:marTop w:val="240"/>
                      <w:marBottom w:val="240"/>
                      <w:divBdr>
                        <w:top w:val="single" w:sz="12" w:space="0" w:color="EBEBEB"/>
                        <w:left w:val="none" w:sz="0" w:space="0" w:color="auto"/>
                        <w:bottom w:val="single" w:sz="12" w:space="0" w:color="EBEBEB"/>
                        <w:right w:val="none" w:sz="0" w:space="0" w:color="auto"/>
                      </w:divBdr>
                      <w:divsChild>
                        <w:div w:id="9668160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604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671832">
          <w:marLeft w:val="0"/>
          <w:marRight w:val="0"/>
          <w:marTop w:val="0"/>
          <w:marBottom w:val="0"/>
          <w:divBdr>
            <w:top w:val="none" w:sz="0" w:space="0" w:color="auto"/>
            <w:left w:val="none" w:sz="0" w:space="0" w:color="auto"/>
            <w:bottom w:val="none" w:sz="0" w:space="0" w:color="auto"/>
            <w:right w:val="none" w:sz="0" w:space="0" w:color="auto"/>
          </w:divBdr>
          <w:divsChild>
            <w:div w:id="52823566">
              <w:marLeft w:val="0"/>
              <w:marRight w:val="0"/>
              <w:marTop w:val="0"/>
              <w:marBottom w:val="0"/>
              <w:divBdr>
                <w:top w:val="none" w:sz="0" w:space="0" w:color="auto"/>
                <w:left w:val="none" w:sz="0" w:space="0" w:color="auto"/>
                <w:bottom w:val="none" w:sz="0" w:space="0" w:color="auto"/>
                <w:right w:val="none" w:sz="0" w:space="0" w:color="auto"/>
              </w:divBdr>
            </w:div>
          </w:divsChild>
        </w:div>
        <w:div w:id="167794705">
          <w:marLeft w:val="0"/>
          <w:marRight w:val="0"/>
          <w:marTop w:val="0"/>
          <w:marBottom w:val="0"/>
          <w:divBdr>
            <w:top w:val="none" w:sz="0" w:space="0" w:color="auto"/>
            <w:left w:val="none" w:sz="0" w:space="0" w:color="auto"/>
            <w:bottom w:val="none" w:sz="0" w:space="0" w:color="auto"/>
            <w:right w:val="none" w:sz="0" w:space="0" w:color="auto"/>
          </w:divBdr>
        </w:div>
        <w:div w:id="1522620268">
          <w:marLeft w:val="0"/>
          <w:marRight w:val="0"/>
          <w:marTop w:val="0"/>
          <w:marBottom w:val="0"/>
          <w:divBdr>
            <w:top w:val="none" w:sz="0" w:space="0" w:color="auto"/>
            <w:left w:val="none" w:sz="0" w:space="0" w:color="auto"/>
            <w:bottom w:val="none" w:sz="0" w:space="0" w:color="auto"/>
            <w:right w:val="none" w:sz="0" w:space="0" w:color="auto"/>
          </w:divBdr>
          <w:divsChild>
            <w:div w:id="1230652330">
              <w:marLeft w:val="0"/>
              <w:marRight w:val="360"/>
              <w:marTop w:val="0"/>
              <w:marBottom w:val="0"/>
              <w:divBdr>
                <w:top w:val="none" w:sz="0" w:space="0" w:color="auto"/>
                <w:left w:val="none" w:sz="0" w:space="0" w:color="auto"/>
                <w:bottom w:val="none" w:sz="0" w:space="0" w:color="auto"/>
                <w:right w:val="none" w:sz="0" w:space="0" w:color="auto"/>
              </w:divBdr>
              <w:divsChild>
                <w:div w:id="8785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8552">
          <w:marLeft w:val="0"/>
          <w:marRight w:val="0"/>
          <w:marTop w:val="0"/>
          <w:marBottom w:val="0"/>
          <w:divBdr>
            <w:top w:val="none" w:sz="0" w:space="0" w:color="auto"/>
            <w:left w:val="none" w:sz="0" w:space="0" w:color="auto"/>
            <w:bottom w:val="none" w:sz="0" w:space="0" w:color="auto"/>
            <w:right w:val="none" w:sz="0" w:space="0" w:color="auto"/>
          </w:divBdr>
          <w:divsChild>
            <w:div w:id="1745640609">
              <w:marLeft w:val="0"/>
              <w:marRight w:val="0"/>
              <w:marTop w:val="0"/>
              <w:marBottom w:val="0"/>
              <w:divBdr>
                <w:top w:val="none" w:sz="0" w:space="0" w:color="auto"/>
                <w:left w:val="none" w:sz="0" w:space="0" w:color="auto"/>
                <w:bottom w:val="none" w:sz="0" w:space="0" w:color="auto"/>
                <w:right w:val="none" w:sz="0" w:space="0" w:color="auto"/>
              </w:divBdr>
            </w:div>
          </w:divsChild>
        </w:div>
        <w:div w:id="1467354990">
          <w:marLeft w:val="0"/>
          <w:marRight w:val="0"/>
          <w:marTop w:val="0"/>
          <w:marBottom w:val="0"/>
          <w:divBdr>
            <w:top w:val="none" w:sz="0" w:space="0" w:color="auto"/>
            <w:left w:val="none" w:sz="0" w:space="0" w:color="auto"/>
            <w:bottom w:val="none" w:sz="0" w:space="0" w:color="auto"/>
            <w:right w:val="none" w:sz="0" w:space="0" w:color="auto"/>
          </w:divBdr>
        </w:div>
        <w:div w:id="754479897">
          <w:marLeft w:val="0"/>
          <w:marRight w:val="0"/>
          <w:marTop w:val="0"/>
          <w:marBottom w:val="0"/>
          <w:divBdr>
            <w:top w:val="none" w:sz="0" w:space="0" w:color="auto"/>
            <w:left w:val="none" w:sz="0" w:space="0" w:color="auto"/>
            <w:bottom w:val="none" w:sz="0" w:space="0" w:color="auto"/>
            <w:right w:val="none" w:sz="0" w:space="0" w:color="auto"/>
          </w:divBdr>
          <w:divsChild>
            <w:div w:id="2023169124">
              <w:marLeft w:val="0"/>
              <w:marRight w:val="360"/>
              <w:marTop w:val="0"/>
              <w:marBottom w:val="0"/>
              <w:divBdr>
                <w:top w:val="none" w:sz="0" w:space="0" w:color="auto"/>
                <w:left w:val="none" w:sz="0" w:space="0" w:color="auto"/>
                <w:bottom w:val="none" w:sz="0" w:space="0" w:color="auto"/>
                <w:right w:val="none" w:sz="0" w:space="0" w:color="auto"/>
              </w:divBdr>
            </w:div>
          </w:divsChild>
        </w:div>
        <w:div w:id="1236015417">
          <w:marLeft w:val="0"/>
          <w:marRight w:val="0"/>
          <w:marTop w:val="0"/>
          <w:marBottom w:val="0"/>
          <w:divBdr>
            <w:top w:val="none" w:sz="0" w:space="0" w:color="auto"/>
            <w:left w:val="none" w:sz="0" w:space="0" w:color="auto"/>
            <w:bottom w:val="none" w:sz="0" w:space="0" w:color="auto"/>
            <w:right w:val="none" w:sz="0" w:space="0" w:color="auto"/>
          </w:divBdr>
          <w:divsChild>
            <w:div w:id="652757039">
              <w:marLeft w:val="0"/>
              <w:marRight w:val="0"/>
              <w:marTop w:val="0"/>
              <w:marBottom w:val="0"/>
              <w:divBdr>
                <w:top w:val="none" w:sz="0" w:space="0" w:color="auto"/>
                <w:left w:val="none" w:sz="0" w:space="0" w:color="auto"/>
                <w:bottom w:val="none" w:sz="0" w:space="0" w:color="auto"/>
                <w:right w:val="none" w:sz="0" w:space="0" w:color="auto"/>
              </w:divBdr>
            </w:div>
          </w:divsChild>
        </w:div>
        <w:div w:id="723255651">
          <w:marLeft w:val="0"/>
          <w:marRight w:val="0"/>
          <w:marTop w:val="0"/>
          <w:marBottom w:val="0"/>
          <w:divBdr>
            <w:top w:val="none" w:sz="0" w:space="0" w:color="auto"/>
            <w:left w:val="none" w:sz="0" w:space="0" w:color="auto"/>
            <w:bottom w:val="none" w:sz="0" w:space="0" w:color="auto"/>
            <w:right w:val="none" w:sz="0" w:space="0" w:color="auto"/>
          </w:divBdr>
        </w:div>
        <w:div w:id="1876310449">
          <w:marLeft w:val="0"/>
          <w:marRight w:val="0"/>
          <w:marTop w:val="0"/>
          <w:marBottom w:val="0"/>
          <w:divBdr>
            <w:top w:val="none" w:sz="0" w:space="0" w:color="auto"/>
            <w:left w:val="none" w:sz="0" w:space="0" w:color="auto"/>
            <w:bottom w:val="none" w:sz="0" w:space="0" w:color="auto"/>
            <w:right w:val="none" w:sz="0" w:space="0" w:color="auto"/>
          </w:divBdr>
          <w:divsChild>
            <w:div w:id="666900538">
              <w:marLeft w:val="0"/>
              <w:marRight w:val="360"/>
              <w:marTop w:val="0"/>
              <w:marBottom w:val="0"/>
              <w:divBdr>
                <w:top w:val="none" w:sz="0" w:space="0" w:color="auto"/>
                <w:left w:val="none" w:sz="0" w:space="0" w:color="auto"/>
                <w:bottom w:val="none" w:sz="0" w:space="0" w:color="auto"/>
                <w:right w:val="none" w:sz="0" w:space="0" w:color="auto"/>
              </w:divBdr>
              <w:divsChild>
                <w:div w:id="9053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80101">
          <w:marLeft w:val="0"/>
          <w:marRight w:val="0"/>
          <w:marTop w:val="0"/>
          <w:marBottom w:val="0"/>
          <w:divBdr>
            <w:top w:val="none" w:sz="0" w:space="0" w:color="auto"/>
            <w:left w:val="none" w:sz="0" w:space="0" w:color="auto"/>
            <w:bottom w:val="none" w:sz="0" w:space="0" w:color="auto"/>
            <w:right w:val="none" w:sz="0" w:space="0" w:color="auto"/>
          </w:divBdr>
          <w:divsChild>
            <w:div w:id="1192375383">
              <w:marLeft w:val="0"/>
              <w:marRight w:val="0"/>
              <w:marTop w:val="0"/>
              <w:marBottom w:val="0"/>
              <w:divBdr>
                <w:top w:val="none" w:sz="0" w:space="0" w:color="auto"/>
                <w:left w:val="none" w:sz="0" w:space="0" w:color="auto"/>
                <w:bottom w:val="none" w:sz="0" w:space="0" w:color="auto"/>
                <w:right w:val="none" w:sz="0" w:space="0" w:color="auto"/>
              </w:divBdr>
            </w:div>
          </w:divsChild>
        </w:div>
        <w:div w:id="1846552262">
          <w:marLeft w:val="0"/>
          <w:marRight w:val="0"/>
          <w:marTop w:val="0"/>
          <w:marBottom w:val="0"/>
          <w:divBdr>
            <w:top w:val="none" w:sz="0" w:space="0" w:color="auto"/>
            <w:left w:val="none" w:sz="0" w:space="0" w:color="auto"/>
            <w:bottom w:val="none" w:sz="0" w:space="0" w:color="auto"/>
            <w:right w:val="none" w:sz="0" w:space="0" w:color="auto"/>
          </w:divBdr>
        </w:div>
        <w:div w:id="605692008">
          <w:marLeft w:val="0"/>
          <w:marRight w:val="0"/>
          <w:marTop w:val="0"/>
          <w:marBottom w:val="0"/>
          <w:divBdr>
            <w:top w:val="none" w:sz="0" w:space="0" w:color="auto"/>
            <w:left w:val="none" w:sz="0" w:space="0" w:color="auto"/>
            <w:bottom w:val="none" w:sz="0" w:space="0" w:color="auto"/>
            <w:right w:val="none" w:sz="0" w:space="0" w:color="auto"/>
          </w:divBdr>
          <w:divsChild>
            <w:div w:id="2054501093">
              <w:marLeft w:val="0"/>
              <w:marRight w:val="360"/>
              <w:marTop w:val="0"/>
              <w:marBottom w:val="0"/>
              <w:divBdr>
                <w:top w:val="none" w:sz="0" w:space="0" w:color="auto"/>
                <w:left w:val="none" w:sz="0" w:space="0" w:color="auto"/>
                <w:bottom w:val="none" w:sz="0" w:space="0" w:color="auto"/>
                <w:right w:val="none" w:sz="0" w:space="0" w:color="auto"/>
              </w:divBdr>
            </w:div>
          </w:divsChild>
        </w:div>
        <w:div w:id="1610431715">
          <w:marLeft w:val="0"/>
          <w:marRight w:val="0"/>
          <w:marTop w:val="0"/>
          <w:marBottom w:val="0"/>
          <w:divBdr>
            <w:top w:val="none" w:sz="0" w:space="0" w:color="auto"/>
            <w:left w:val="none" w:sz="0" w:space="0" w:color="auto"/>
            <w:bottom w:val="none" w:sz="0" w:space="0" w:color="auto"/>
            <w:right w:val="none" w:sz="0" w:space="0" w:color="auto"/>
          </w:divBdr>
          <w:divsChild>
            <w:div w:id="1192449696">
              <w:marLeft w:val="0"/>
              <w:marRight w:val="0"/>
              <w:marTop w:val="0"/>
              <w:marBottom w:val="0"/>
              <w:divBdr>
                <w:top w:val="none" w:sz="0" w:space="0" w:color="auto"/>
                <w:left w:val="none" w:sz="0" w:space="0" w:color="auto"/>
                <w:bottom w:val="none" w:sz="0" w:space="0" w:color="auto"/>
                <w:right w:val="none" w:sz="0" w:space="0" w:color="auto"/>
              </w:divBdr>
            </w:div>
          </w:divsChild>
        </w:div>
        <w:div w:id="1782534754">
          <w:marLeft w:val="0"/>
          <w:marRight w:val="0"/>
          <w:marTop w:val="0"/>
          <w:marBottom w:val="0"/>
          <w:divBdr>
            <w:top w:val="none" w:sz="0" w:space="0" w:color="auto"/>
            <w:left w:val="none" w:sz="0" w:space="0" w:color="auto"/>
            <w:bottom w:val="none" w:sz="0" w:space="0" w:color="auto"/>
            <w:right w:val="none" w:sz="0" w:space="0" w:color="auto"/>
          </w:divBdr>
        </w:div>
        <w:div w:id="495729069">
          <w:marLeft w:val="0"/>
          <w:marRight w:val="0"/>
          <w:marTop w:val="0"/>
          <w:marBottom w:val="0"/>
          <w:divBdr>
            <w:top w:val="none" w:sz="0" w:space="0" w:color="auto"/>
            <w:left w:val="none" w:sz="0" w:space="0" w:color="auto"/>
            <w:bottom w:val="none" w:sz="0" w:space="0" w:color="auto"/>
            <w:right w:val="none" w:sz="0" w:space="0" w:color="auto"/>
          </w:divBdr>
        </w:div>
        <w:div w:id="896547027">
          <w:marLeft w:val="0"/>
          <w:marRight w:val="0"/>
          <w:marTop w:val="0"/>
          <w:marBottom w:val="0"/>
          <w:divBdr>
            <w:top w:val="none" w:sz="0" w:space="0" w:color="auto"/>
            <w:left w:val="none" w:sz="0" w:space="0" w:color="auto"/>
            <w:bottom w:val="none" w:sz="0" w:space="0" w:color="auto"/>
            <w:right w:val="none" w:sz="0" w:space="0" w:color="auto"/>
          </w:divBdr>
          <w:divsChild>
            <w:div w:id="904141654">
              <w:marLeft w:val="0"/>
              <w:marRight w:val="0"/>
              <w:marTop w:val="0"/>
              <w:marBottom w:val="0"/>
              <w:divBdr>
                <w:top w:val="none" w:sz="0" w:space="0" w:color="auto"/>
                <w:left w:val="none" w:sz="0" w:space="0" w:color="auto"/>
                <w:bottom w:val="none" w:sz="0" w:space="0" w:color="auto"/>
                <w:right w:val="none" w:sz="0" w:space="0" w:color="auto"/>
              </w:divBdr>
            </w:div>
          </w:divsChild>
        </w:div>
        <w:div w:id="530338714">
          <w:marLeft w:val="0"/>
          <w:marRight w:val="0"/>
          <w:marTop w:val="0"/>
          <w:marBottom w:val="0"/>
          <w:divBdr>
            <w:top w:val="none" w:sz="0" w:space="0" w:color="auto"/>
            <w:left w:val="none" w:sz="0" w:space="0" w:color="auto"/>
            <w:bottom w:val="none" w:sz="0" w:space="0" w:color="auto"/>
            <w:right w:val="none" w:sz="0" w:space="0" w:color="auto"/>
          </w:divBdr>
        </w:div>
        <w:div w:id="1584339377">
          <w:marLeft w:val="0"/>
          <w:marRight w:val="0"/>
          <w:marTop w:val="0"/>
          <w:marBottom w:val="0"/>
          <w:divBdr>
            <w:top w:val="none" w:sz="0" w:space="0" w:color="auto"/>
            <w:left w:val="none" w:sz="0" w:space="0" w:color="auto"/>
            <w:bottom w:val="none" w:sz="0" w:space="0" w:color="auto"/>
            <w:right w:val="none" w:sz="0" w:space="0" w:color="auto"/>
          </w:divBdr>
          <w:divsChild>
            <w:div w:id="1365667293">
              <w:marLeft w:val="0"/>
              <w:marRight w:val="360"/>
              <w:marTop w:val="0"/>
              <w:marBottom w:val="0"/>
              <w:divBdr>
                <w:top w:val="none" w:sz="0" w:space="0" w:color="auto"/>
                <w:left w:val="none" w:sz="0" w:space="0" w:color="auto"/>
                <w:bottom w:val="none" w:sz="0" w:space="0" w:color="auto"/>
                <w:right w:val="none" w:sz="0" w:space="0" w:color="auto"/>
              </w:divBdr>
            </w:div>
          </w:divsChild>
        </w:div>
        <w:div w:id="633756215">
          <w:marLeft w:val="0"/>
          <w:marRight w:val="0"/>
          <w:marTop w:val="0"/>
          <w:marBottom w:val="0"/>
          <w:divBdr>
            <w:top w:val="none" w:sz="0" w:space="0" w:color="auto"/>
            <w:left w:val="none" w:sz="0" w:space="0" w:color="auto"/>
            <w:bottom w:val="none" w:sz="0" w:space="0" w:color="auto"/>
            <w:right w:val="none" w:sz="0" w:space="0" w:color="auto"/>
          </w:divBdr>
          <w:divsChild>
            <w:div w:id="919489722">
              <w:marLeft w:val="0"/>
              <w:marRight w:val="0"/>
              <w:marTop w:val="0"/>
              <w:marBottom w:val="0"/>
              <w:divBdr>
                <w:top w:val="none" w:sz="0" w:space="0" w:color="auto"/>
                <w:left w:val="none" w:sz="0" w:space="0" w:color="auto"/>
                <w:bottom w:val="none" w:sz="0" w:space="0" w:color="auto"/>
                <w:right w:val="none" w:sz="0" w:space="0" w:color="auto"/>
              </w:divBdr>
            </w:div>
          </w:divsChild>
        </w:div>
        <w:div w:id="224872597">
          <w:marLeft w:val="0"/>
          <w:marRight w:val="0"/>
          <w:marTop w:val="0"/>
          <w:marBottom w:val="0"/>
          <w:divBdr>
            <w:top w:val="none" w:sz="0" w:space="0" w:color="auto"/>
            <w:left w:val="none" w:sz="0" w:space="0" w:color="auto"/>
            <w:bottom w:val="none" w:sz="0" w:space="0" w:color="auto"/>
            <w:right w:val="none" w:sz="0" w:space="0" w:color="auto"/>
          </w:divBdr>
        </w:div>
        <w:div w:id="117728852">
          <w:marLeft w:val="0"/>
          <w:marRight w:val="0"/>
          <w:marTop w:val="0"/>
          <w:marBottom w:val="0"/>
          <w:divBdr>
            <w:top w:val="none" w:sz="0" w:space="0" w:color="auto"/>
            <w:left w:val="none" w:sz="0" w:space="0" w:color="auto"/>
            <w:bottom w:val="none" w:sz="0" w:space="0" w:color="auto"/>
            <w:right w:val="none" w:sz="0" w:space="0" w:color="auto"/>
          </w:divBdr>
        </w:div>
        <w:div w:id="1489134257">
          <w:marLeft w:val="0"/>
          <w:marRight w:val="0"/>
          <w:marTop w:val="0"/>
          <w:marBottom w:val="0"/>
          <w:divBdr>
            <w:top w:val="none" w:sz="0" w:space="0" w:color="auto"/>
            <w:left w:val="none" w:sz="0" w:space="0" w:color="auto"/>
            <w:bottom w:val="none" w:sz="0" w:space="0" w:color="auto"/>
            <w:right w:val="none" w:sz="0" w:space="0" w:color="auto"/>
          </w:divBdr>
          <w:divsChild>
            <w:div w:id="1490948973">
              <w:marLeft w:val="0"/>
              <w:marRight w:val="0"/>
              <w:marTop w:val="0"/>
              <w:marBottom w:val="0"/>
              <w:divBdr>
                <w:top w:val="none" w:sz="0" w:space="0" w:color="auto"/>
                <w:left w:val="none" w:sz="0" w:space="0" w:color="auto"/>
                <w:bottom w:val="none" w:sz="0" w:space="0" w:color="auto"/>
                <w:right w:val="none" w:sz="0" w:space="0" w:color="auto"/>
              </w:divBdr>
            </w:div>
          </w:divsChild>
        </w:div>
        <w:div w:id="869219589">
          <w:marLeft w:val="0"/>
          <w:marRight w:val="0"/>
          <w:marTop w:val="0"/>
          <w:marBottom w:val="0"/>
          <w:divBdr>
            <w:top w:val="none" w:sz="0" w:space="0" w:color="auto"/>
            <w:left w:val="none" w:sz="0" w:space="0" w:color="auto"/>
            <w:bottom w:val="none" w:sz="0" w:space="0" w:color="auto"/>
            <w:right w:val="none" w:sz="0" w:space="0" w:color="auto"/>
          </w:divBdr>
        </w:div>
        <w:div w:id="142894150">
          <w:marLeft w:val="0"/>
          <w:marRight w:val="0"/>
          <w:marTop w:val="0"/>
          <w:marBottom w:val="0"/>
          <w:divBdr>
            <w:top w:val="none" w:sz="0" w:space="0" w:color="auto"/>
            <w:left w:val="none" w:sz="0" w:space="0" w:color="auto"/>
            <w:bottom w:val="none" w:sz="0" w:space="0" w:color="auto"/>
            <w:right w:val="none" w:sz="0" w:space="0" w:color="auto"/>
          </w:divBdr>
          <w:divsChild>
            <w:div w:id="1331329953">
              <w:marLeft w:val="0"/>
              <w:marRight w:val="360"/>
              <w:marTop w:val="0"/>
              <w:marBottom w:val="0"/>
              <w:divBdr>
                <w:top w:val="none" w:sz="0" w:space="0" w:color="auto"/>
                <w:left w:val="none" w:sz="0" w:space="0" w:color="auto"/>
                <w:bottom w:val="none" w:sz="0" w:space="0" w:color="auto"/>
                <w:right w:val="none" w:sz="0" w:space="0" w:color="auto"/>
              </w:divBdr>
              <w:divsChild>
                <w:div w:id="32571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569305">
          <w:marLeft w:val="0"/>
          <w:marRight w:val="0"/>
          <w:marTop w:val="0"/>
          <w:marBottom w:val="0"/>
          <w:divBdr>
            <w:top w:val="none" w:sz="0" w:space="0" w:color="auto"/>
            <w:left w:val="none" w:sz="0" w:space="0" w:color="auto"/>
            <w:bottom w:val="none" w:sz="0" w:space="0" w:color="auto"/>
            <w:right w:val="none" w:sz="0" w:space="0" w:color="auto"/>
          </w:divBdr>
          <w:divsChild>
            <w:div w:id="2021662527">
              <w:marLeft w:val="0"/>
              <w:marRight w:val="0"/>
              <w:marTop w:val="0"/>
              <w:marBottom w:val="0"/>
              <w:divBdr>
                <w:top w:val="none" w:sz="0" w:space="0" w:color="auto"/>
                <w:left w:val="none" w:sz="0" w:space="0" w:color="auto"/>
                <w:bottom w:val="none" w:sz="0" w:space="0" w:color="auto"/>
                <w:right w:val="none" w:sz="0" w:space="0" w:color="auto"/>
              </w:divBdr>
            </w:div>
          </w:divsChild>
        </w:div>
        <w:div w:id="313460171">
          <w:marLeft w:val="0"/>
          <w:marRight w:val="0"/>
          <w:marTop w:val="0"/>
          <w:marBottom w:val="0"/>
          <w:divBdr>
            <w:top w:val="none" w:sz="0" w:space="0" w:color="auto"/>
            <w:left w:val="none" w:sz="0" w:space="0" w:color="auto"/>
            <w:bottom w:val="none" w:sz="0" w:space="0" w:color="auto"/>
            <w:right w:val="none" w:sz="0" w:space="0" w:color="auto"/>
          </w:divBdr>
        </w:div>
        <w:div w:id="1783458585">
          <w:marLeft w:val="0"/>
          <w:marRight w:val="0"/>
          <w:marTop w:val="0"/>
          <w:marBottom w:val="0"/>
          <w:divBdr>
            <w:top w:val="none" w:sz="0" w:space="0" w:color="auto"/>
            <w:left w:val="none" w:sz="0" w:space="0" w:color="auto"/>
            <w:bottom w:val="none" w:sz="0" w:space="0" w:color="auto"/>
            <w:right w:val="none" w:sz="0" w:space="0" w:color="auto"/>
          </w:divBdr>
          <w:divsChild>
            <w:div w:id="1119177993">
              <w:marLeft w:val="0"/>
              <w:marRight w:val="360"/>
              <w:marTop w:val="0"/>
              <w:marBottom w:val="0"/>
              <w:divBdr>
                <w:top w:val="none" w:sz="0" w:space="0" w:color="auto"/>
                <w:left w:val="none" w:sz="0" w:space="0" w:color="auto"/>
                <w:bottom w:val="none" w:sz="0" w:space="0" w:color="auto"/>
                <w:right w:val="none" w:sz="0" w:space="0" w:color="auto"/>
              </w:divBdr>
            </w:div>
          </w:divsChild>
        </w:div>
        <w:div w:id="1512185424">
          <w:marLeft w:val="0"/>
          <w:marRight w:val="0"/>
          <w:marTop w:val="0"/>
          <w:marBottom w:val="0"/>
          <w:divBdr>
            <w:top w:val="none" w:sz="0" w:space="0" w:color="auto"/>
            <w:left w:val="none" w:sz="0" w:space="0" w:color="auto"/>
            <w:bottom w:val="none" w:sz="0" w:space="0" w:color="auto"/>
            <w:right w:val="none" w:sz="0" w:space="0" w:color="auto"/>
          </w:divBdr>
          <w:divsChild>
            <w:div w:id="1115833808">
              <w:marLeft w:val="0"/>
              <w:marRight w:val="0"/>
              <w:marTop w:val="0"/>
              <w:marBottom w:val="0"/>
              <w:divBdr>
                <w:top w:val="none" w:sz="0" w:space="0" w:color="auto"/>
                <w:left w:val="none" w:sz="0" w:space="0" w:color="auto"/>
                <w:bottom w:val="none" w:sz="0" w:space="0" w:color="auto"/>
                <w:right w:val="none" w:sz="0" w:space="0" w:color="auto"/>
              </w:divBdr>
            </w:div>
          </w:divsChild>
        </w:div>
        <w:div w:id="71589590">
          <w:marLeft w:val="0"/>
          <w:marRight w:val="0"/>
          <w:marTop w:val="0"/>
          <w:marBottom w:val="0"/>
          <w:divBdr>
            <w:top w:val="none" w:sz="0" w:space="0" w:color="auto"/>
            <w:left w:val="none" w:sz="0" w:space="0" w:color="auto"/>
            <w:bottom w:val="none" w:sz="0" w:space="0" w:color="auto"/>
            <w:right w:val="none" w:sz="0" w:space="0" w:color="auto"/>
          </w:divBdr>
        </w:div>
        <w:div w:id="1220478436">
          <w:marLeft w:val="0"/>
          <w:marRight w:val="0"/>
          <w:marTop w:val="0"/>
          <w:marBottom w:val="0"/>
          <w:divBdr>
            <w:top w:val="none" w:sz="0" w:space="0" w:color="auto"/>
            <w:left w:val="none" w:sz="0" w:space="0" w:color="auto"/>
            <w:bottom w:val="none" w:sz="0" w:space="0" w:color="auto"/>
            <w:right w:val="none" w:sz="0" w:space="0" w:color="auto"/>
          </w:divBdr>
          <w:divsChild>
            <w:div w:id="418525756">
              <w:marLeft w:val="0"/>
              <w:marRight w:val="360"/>
              <w:marTop w:val="0"/>
              <w:marBottom w:val="0"/>
              <w:divBdr>
                <w:top w:val="none" w:sz="0" w:space="0" w:color="auto"/>
                <w:left w:val="none" w:sz="0" w:space="0" w:color="auto"/>
                <w:bottom w:val="none" w:sz="0" w:space="0" w:color="auto"/>
                <w:right w:val="none" w:sz="0" w:space="0" w:color="auto"/>
              </w:divBdr>
              <w:divsChild>
                <w:div w:id="132258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431452">
          <w:marLeft w:val="0"/>
          <w:marRight w:val="0"/>
          <w:marTop w:val="0"/>
          <w:marBottom w:val="0"/>
          <w:divBdr>
            <w:top w:val="none" w:sz="0" w:space="0" w:color="auto"/>
            <w:left w:val="none" w:sz="0" w:space="0" w:color="auto"/>
            <w:bottom w:val="none" w:sz="0" w:space="0" w:color="auto"/>
            <w:right w:val="none" w:sz="0" w:space="0" w:color="auto"/>
          </w:divBdr>
          <w:divsChild>
            <w:div w:id="1977758286">
              <w:marLeft w:val="0"/>
              <w:marRight w:val="0"/>
              <w:marTop w:val="0"/>
              <w:marBottom w:val="0"/>
              <w:divBdr>
                <w:top w:val="none" w:sz="0" w:space="0" w:color="auto"/>
                <w:left w:val="none" w:sz="0" w:space="0" w:color="auto"/>
                <w:bottom w:val="none" w:sz="0" w:space="0" w:color="auto"/>
                <w:right w:val="none" w:sz="0" w:space="0" w:color="auto"/>
              </w:divBdr>
            </w:div>
          </w:divsChild>
        </w:div>
        <w:div w:id="1574464514">
          <w:marLeft w:val="0"/>
          <w:marRight w:val="0"/>
          <w:marTop w:val="0"/>
          <w:marBottom w:val="0"/>
          <w:divBdr>
            <w:top w:val="none" w:sz="0" w:space="0" w:color="auto"/>
            <w:left w:val="none" w:sz="0" w:space="0" w:color="auto"/>
            <w:bottom w:val="none" w:sz="0" w:space="0" w:color="auto"/>
            <w:right w:val="none" w:sz="0" w:space="0" w:color="auto"/>
          </w:divBdr>
        </w:div>
        <w:div w:id="663779315">
          <w:marLeft w:val="0"/>
          <w:marRight w:val="0"/>
          <w:marTop w:val="0"/>
          <w:marBottom w:val="0"/>
          <w:divBdr>
            <w:top w:val="none" w:sz="0" w:space="0" w:color="auto"/>
            <w:left w:val="none" w:sz="0" w:space="0" w:color="auto"/>
            <w:bottom w:val="none" w:sz="0" w:space="0" w:color="auto"/>
            <w:right w:val="none" w:sz="0" w:space="0" w:color="auto"/>
          </w:divBdr>
        </w:div>
        <w:div w:id="2128624501">
          <w:marLeft w:val="0"/>
          <w:marRight w:val="0"/>
          <w:marTop w:val="0"/>
          <w:marBottom w:val="0"/>
          <w:divBdr>
            <w:top w:val="none" w:sz="0" w:space="0" w:color="auto"/>
            <w:left w:val="none" w:sz="0" w:space="0" w:color="auto"/>
            <w:bottom w:val="none" w:sz="0" w:space="0" w:color="auto"/>
            <w:right w:val="none" w:sz="0" w:space="0" w:color="auto"/>
          </w:divBdr>
          <w:divsChild>
            <w:div w:id="1106652280">
              <w:marLeft w:val="0"/>
              <w:marRight w:val="0"/>
              <w:marTop w:val="0"/>
              <w:marBottom w:val="0"/>
              <w:divBdr>
                <w:top w:val="none" w:sz="0" w:space="0" w:color="auto"/>
                <w:left w:val="none" w:sz="0" w:space="0" w:color="auto"/>
                <w:bottom w:val="none" w:sz="0" w:space="0" w:color="auto"/>
                <w:right w:val="none" w:sz="0" w:space="0" w:color="auto"/>
              </w:divBdr>
            </w:div>
          </w:divsChild>
        </w:div>
        <w:div w:id="127549352">
          <w:marLeft w:val="0"/>
          <w:marRight w:val="0"/>
          <w:marTop w:val="0"/>
          <w:marBottom w:val="0"/>
          <w:divBdr>
            <w:top w:val="none" w:sz="0" w:space="0" w:color="auto"/>
            <w:left w:val="none" w:sz="0" w:space="0" w:color="auto"/>
            <w:bottom w:val="none" w:sz="0" w:space="0" w:color="auto"/>
            <w:right w:val="none" w:sz="0" w:space="0" w:color="auto"/>
          </w:divBdr>
        </w:div>
        <w:div w:id="593511173">
          <w:marLeft w:val="0"/>
          <w:marRight w:val="0"/>
          <w:marTop w:val="0"/>
          <w:marBottom w:val="0"/>
          <w:divBdr>
            <w:top w:val="none" w:sz="0" w:space="0" w:color="auto"/>
            <w:left w:val="none" w:sz="0" w:space="0" w:color="auto"/>
            <w:bottom w:val="none" w:sz="0" w:space="0" w:color="auto"/>
            <w:right w:val="none" w:sz="0" w:space="0" w:color="auto"/>
          </w:divBdr>
        </w:div>
        <w:div w:id="722754928">
          <w:marLeft w:val="0"/>
          <w:marRight w:val="0"/>
          <w:marTop w:val="0"/>
          <w:marBottom w:val="0"/>
          <w:divBdr>
            <w:top w:val="none" w:sz="0" w:space="0" w:color="auto"/>
            <w:left w:val="none" w:sz="0" w:space="0" w:color="auto"/>
            <w:bottom w:val="none" w:sz="0" w:space="0" w:color="auto"/>
            <w:right w:val="none" w:sz="0" w:space="0" w:color="auto"/>
          </w:divBdr>
          <w:divsChild>
            <w:div w:id="751389732">
              <w:marLeft w:val="0"/>
              <w:marRight w:val="0"/>
              <w:marTop w:val="0"/>
              <w:marBottom w:val="0"/>
              <w:divBdr>
                <w:top w:val="none" w:sz="0" w:space="0" w:color="auto"/>
                <w:left w:val="none" w:sz="0" w:space="0" w:color="auto"/>
                <w:bottom w:val="none" w:sz="0" w:space="0" w:color="auto"/>
                <w:right w:val="none" w:sz="0" w:space="0" w:color="auto"/>
              </w:divBdr>
            </w:div>
          </w:divsChild>
        </w:div>
        <w:div w:id="1139032083">
          <w:marLeft w:val="0"/>
          <w:marRight w:val="0"/>
          <w:marTop w:val="0"/>
          <w:marBottom w:val="0"/>
          <w:divBdr>
            <w:top w:val="none" w:sz="0" w:space="0" w:color="auto"/>
            <w:left w:val="none" w:sz="0" w:space="0" w:color="auto"/>
            <w:bottom w:val="none" w:sz="0" w:space="0" w:color="auto"/>
            <w:right w:val="none" w:sz="0" w:space="0" w:color="auto"/>
          </w:divBdr>
        </w:div>
        <w:div w:id="39400360">
          <w:marLeft w:val="0"/>
          <w:marRight w:val="0"/>
          <w:marTop w:val="0"/>
          <w:marBottom w:val="0"/>
          <w:divBdr>
            <w:top w:val="none" w:sz="0" w:space="0" w:color="auto"/>
            <w:left w:val="none" w:sz="0" w:space="0" w:color="auto"/>
            <w:bottom w:val="none" w:sz="0" w:space="0" w:color="auto"/>
            <w:right w:val="none" w:sz="0" w:space="0" w:color="auto"/>
          </w:divBdr>
          <w:divsChild>
            <w:div w:id="746195408">
              <w:marLeft w:val="0"/>
              <w:marRight w:val="360"/>
              <w:marTop w:val="0"/>
              <w:marBottom w:val="0"/>
              <w:divBdr>
                <w:top w:val="none" w:sz="0" w:space="0" w:color="auto"/>
                <w:left w:val="none" w:sz="0" w:space="0" w:color="auto"/>
                <w:bottom w:val="none" w:sz="0" w:space="0" w:color="auto"/>
                <w:right w:val="none" w:sz="0" w:space="0" w:color="auto"/>
              </w:divBdr>
            </w:div>
          </w:divsChild>
        </w:div>
        <w:div w:id="221213587">
          <w:marLeft w:val="0"/>
          <w:marRight w:val="0"/>
          <w:marTop w:val="0"/>
          <w:marBottom w:val="0"/>
          <w:divBdr>
            <w:top w:val="none" w:sz="0" w:space="0" w:color="auto"/>
            <w:left w:val="none" w:sz="0" w:space="0" w:color="auto"/>
            <w:bottom w:val="none" w:sz="0" w:space="0" w:color="auto"/>
            <w:right w:val="none" w:sz="0" w:space="0" w:color="auto"/>
          </w:divBdr>
          <w:divsChild>
            <w:div w:id="1038160627">
              <w:marLeft w:val="0"/>
              <w:marRight w:val="0"/>
              <w:marTop w:val="0"/>
              <w:marBottom w:val="0"/>
              <w:divBdr>
                <w:top w:val="none" w:sz="0" w:space="0" w:color="auto"/>
                <w:left w:val="none" w:sz="0" w:space="0" w:color="auto"/>
                <w:bottom w:val="none" w:sz="0" w:space="0" w:color="auto"/>
                <w:right w:val="none" w:sz="0" w:space="0" w:color="auto"/>
              </w:divBdr>
            </w:div>
          </w:divsChild>
        </w:div>
        <w:div w:id="1858738942">
          <w:marLeft w:val="0"/>
          <w:marRight w:val="0"/>
          <w:marTop w:val="0"/>
          <w:marBottom w:val="0"/>
          <w:divBdr>
            <w:top w:val="none" w:sz="0" w:space="0" w:color="auto"/>
            <w:left w:val="none" w:sz="0" w:space="0" w:color="auto"/>
            <w:bottom w:val="none" w:sz="0" w:space="0" w:color="auto"/>
            <w:right w:val="none" w:sz="0" w:space="0" w:color="auto"/>
          </w:divBdr>
        </w:div>
        <w:div w:id="134445839">
          <w:marLeft w:val="0"/>
          <w:marRight w:val="0"/>
          <w:marTop w:val="0"/>
          <w:marBottom w:val="0"/>
          <w:divBdr>
            <w:top w:val="none" w:sz="0" w:space="0" w:color="auto"/>
            <w:left w:val="none" w:sz="0" w:space="0" w:color="auto"/>
            <w:bottom w:val="none" w:sz="0" w:space="0" w:color="auto"/>
            <w:right w:val="none" w:sz="0" w:space="0" w:color="auto"/>
          </w:divBdr>
        </w:div>
        <w:div w:id="2111313427">
          <w:marLeft w:val="0"/>
          <w:marRight w:val="0"/>
          <w:marTop w:val="0"/>
          <w:marBottom w:val="0"/>
          <w:divBdr>
            <w:top w:val="none" w:sz="0" w:space="0" w:color="auto"/>
            <w:left w:val="none" w:sz="0" w:space="0" w:color="auto"/>
            <w:bottom w:val="none" w:sz="0" w:space="0" w:color="auto"/>
            <w:right w:val="none" w:sz="0" w:space="0" w:color="auto"/>
          </w:divBdr>
          <w:divsChild>
            <w:div w:id="430973557">
              <w:marLeft w:val="0"/>
              <w:marRight w:val="0"/>
              <w:marTop w:val="0"/>
              <w:marBottom w:val="0"/>
              <w:divBdr>
                <w:top w:val="none" w:sz="0" w:space="0" w:color="auto"/>
                <w:left w:val="none" w:sz="0" w:space="0" w:color="auto"/>
                <w:bottom w:val="none" w:sz="0" w:space="0" w:color="auto"/>
                <w:right w:val="none" w:sz="0" w:space="0" w:color="auto"/>
              </w:divBdr>
            </w:div>
          </w:divsChild>
        </w:div>
        <w:div w:id="1554460590">
          <w:marLeft w:val="0"/>
          <w:marRight w:val="0"/>
          <w:marTop w:val="0"/>
          <w:marBottom w:val="0"/>
          <w:divBdr>
            <w:top w:val="none" w:sz="0" w:space="0" w:color="auto"/>
            <w:left w:val="none" w:sz="0" w:space="0" w:color="auto"/>
            <w:bottom w:val="none" w:sz="0" w:space="0" w:color="auto"/>
            <w:right w:val="none" w:sz="0" w:space="0" w:color="auto"/>
          </w:divBdr>
        </w:div>
        <w:div w:id="732852223">
          <w:marLeft w:val="0"/>
          <w:marRight w:val="0"/>
          <w:marTop w:val="0"/>
          <w:marBottom w:val="0"/>
          <w:divBdr>
            <w:top w:val="none" w:sz="0" w:space="0" w:color="auto"/>
            <w:left w:val="none" w:sz="0" w:space="0" w:color="auto"/>
            <w:bottom w:val="none" w:sz="0" w:space="0" w:color="auto"/>
            <w:right w:val="none" w:sz="0" w:space="0" w:color="auto"/>
          </w:divBdr>
        </w:div>
        <w:div w:id="1233737087">
          <w:marLeft w:val="0"/>
          <w:marRight w:val="0"/>
          <w:marTop w:val="0"/>
          <w:marBottom w:val="0"/>
          <w:divBdr>
            <w:top w:val="none" w:sz="0" w:space="0" w:color="auto"/>
            <w:left w:val="none" w:sz="0" w:space="0" w:color="auto"/>
            <w:bottom w:val="none" w:sz="0" w:space="0" w:color="auto"/>
            <w:right w:val="none" w:sz="0" w:space="0" w:color="auto"/>
          </w:divBdr>
          <w:divsChild>
            <w:div w:id="888497227">
              <w:marLeft w:val="0"/>
              <w:marRight w:val="0"/>
              <w:marTop w:val="0"/>
              <w:marBottom w:val="0"/>
              <w:divBdr>
                <w:top w:val="none" w:sz="0" w:space="0" w:color="auto"/>
                <w:left w:val="none" w:sz="0" w:space="0" w:color="auto"/>
                <w:bottom w:val="none" w:sz="0" w:space="0" w:color="auto"/>
                <w:right w:val="none" w:sz="0" w:space="0" w:color="auto"/>
              </w:divBdr>
            </w:div>
          </w:divsChild>
        </w:div>
        <w:div w:id="461462453">
          <w:marLeft w:val="0"/>
          <w:marRight w:val="0"/>
          <w:marTop w:val="0"/>
          <w:marBottom w:val="0"/>
          <w:divBdr>
            <w:top w:val="none" w:sz="0" w:space="0" w:color="auto"/>
            <w:left w:val="none" w:sz="0" w:space="0" w:color="auto"/>
            <w:bottom w:val="none" w:sz="0" w:space="0" w:color="auto"/>
            <w:right w:val="none" w:sz="0" w:space="0" w:color="auto"/>
          </w:divBdr>
        </w:div>
        <w:div w:id="1062171244">
          <w:marLeft w:val="0"/>
          <w:marRight w:val="0"/>
          <w:marTop w:val="0"/>
          <w:marBottom w:val="0"/>
          <w:divBdr>
            <w:top w:val="none" w:sz="0" w:space="0" w:color="auto"/>
            <w:left w:val="none" w:sz="0" w:space="0" w:color="auto"/>
            <w:bottom w:val="none" w:sz="0" w:space="0" w:color="auto"/>
            <w:right w:val="none" w:sz="0" w:space="0" w:color="auto"/>
          </w:divBdr>
        </w:div>
        <w:div w:id="1296915075">
          <w:marLeft w:val="0"/>
          <w:marRight w:val="0"/>
          <w:marTop w:val="0"/>
          <w:marBottom w:val="0"/>
          <w:divBdr>
            <w:top w:val="none" w:sz="0" w:space="0" w:color="auto"/>
            <w:left w:val="none" w:sz="0" w:space="0" w:color="auto"/>
            <w:bottom w:val="none" w:sz="0" w:space="0" w:color="auto"/>
            <w:right w:val="none" w:sz="0" w:space="0" w:color="auto"/>
          </w:divBdr>
        </w:div>
        <w:div w:id="1851330852">
          <w:marLeft w:val="0"/>
          <w:marRight w:val="0"/>
          <w:marTop w:val="0"/>
          <w:marBottom w:val="0"/>
          <w:divBdr>
            <w:top w:val="none" w:sz="0" w:space="0" w:color="auto"/>
            <w:left w:val="none" w:sz="0" w:space="0" w:color="auto"/>
            <w:bottom w:val="none" w:sz="0" w:space="0" w:color="auto"/>
            <w:right w:val="none" w:sz="0" w:space="0" w:color="auto"/>
          </w:divBdr>
        </w:div>
        <w:div w:id="1955742501">
          <w:marLeft w:val="0"/>
          <w:marRight w:val="0"/>
          <w:marTop w:val="0"/>
          <w:marBottom w:val="0"/>
          <w:divBdr>
            <w:top w:val="none" w:sz="0" w:space="0" w:color="auto"/>
            <w:left w:val="none" w:sz="0" w:space="0" w:color="auto"/>
            <w:bottom w:val="none" w:sz="0" w:space="0" w:color="auto"/>
            <w:right w:val="none" w:sz="0" w:space="0" w:color="auto"/>
          </w:divBdr>
          <w:divsChild>
            <w:div w:id="312367313">
              <w:marLeft w:val="0"/>
              <w:marRight w:val="0"/>
              <w:marTop w:val="0"/>
              <w:marBottom w:val="0"/>
              <w:divBdr>
                <w:top w:val="none" w:sz="0" w:space="0" w:color="auto"/>
                <w:left w:val="none" w:sz="0" w:space="0" w:color="auto"/>
                <w:bottom w:val="none" w:sz="0" w:space="0" w:color="auto"/>
                <w:right w:val="none" w:sz="0" w:space="0" w:color="auto"/>
              </w:divBdr>
            </w:div>
          </w:divsChild>
        </w:div>
        <w:div w:id="191118831">
          <w:marLeft w:val="0"/>
          <w:marRight w:val="0"/>
          <w:marTop w:val="0"/>
          <w:marBottom w:val="0"/>
          <w:divBdr>
            <w:top w:val="none" w:sz="0" w:space="0" w:color="auto"/>
            <w:left w:val="none" w:sz="0" w:space="0" w:color="auto"/>
            <w:bottom w:val="none" w:sz="0" w:space="0" w:color="auto"/>
            <w:right w:val="none" w:sz="0" w:space="0" w:color="auto"/>
          </w:divBdr>
        </w:div>
        <w:div w:id="880093556">
          <w:marLeft w:val="0"/>
          <w:marRight w:val="0"/>
          <w:marTop w:val="0"/>
          <w:marBottom w:val="0"/>
          <w:divBdr>
            <w:top w:val="none" w:sz="0" w:space="0" w:color="auto"/>
            <w:left w:val="none" w:sz="0" w:space="0" w:color="auto"/>
            <w:bottom w:val="none" w:sz="0" w:space="0" w:color="auto"/>
            <w:right w:val="none" w:sz="0" w:space="0" w:color="auto"/>
          </w:divBdr>
          <w:divsChild>
            <w:div w:id="1209801344">
              <w:marLeft w:val="0"/>
              <w:marRight w:val="360"/>
              <w:marTop w:val="0"/>
              <w:marBottom w:val="0"/>
              <w:divBdr>
                <w:top w:val="none" w:sz="0" w:space="0" w:color="auto"/>
                <w:left w:val="none" w:sz="0" w:space="0" w:color="auto"/>
                <w:bottom w:val="none" w:sz="0" w:space="0" w:color="auto"/>
                <w:right w:val="none" w:sz="0" w:space="0" w:color="auto"/>
              </w:divBdr>
              <w:divsChild>
                <w:div w:id="18417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8065">
          <w:marLeft w:val="0"/>
          <w:marRight w:val="0"/>
          <w:marTop w:val="0"/>
          <w:marBottom w:val="0"/>
          <w:divBdr>
            <w:top w:val="none" w:sz="0" w:space="0" w:color="auto"/>
            <w:left w:val="none" w:sz="0" w:space="0" w:color="auto"/>
            <w:bottom w:val="none" w:sz="0" w:space="0" w:color="auto"/>
            <w:right w:val="none" w:sz="0" w:space="0" w:color="auto"/>
          </w:divBdr>
          <w:divsChild>
            <w:div w:id="1483421777">
              <w:marLeft w:val="0"/>
              <w:marRight w:val="0"/>
              <w:marTop w:val="0"/>
              <w:marBottom w:val="0"/>
              <w:divBdr>
                <w:top w:val="none" w:sz="0" w:space="0" w:color="auto"/>
                <w:left w:val="none" w:sz="0" w:space="0" w:color="auto"/>
                <w:bottom w:val="none" w:sz="0" w:space="0" w:color="auto"/>
                <w:right w:val="none" w:sz="0" w:space="0" w:color="auto"/>
              </w:divBdr>
            </w:div>
          </w:divsChild>
        </w:div>
        <w:div w:id="605313364">
          <w:marLeft w:val="0"/>
          <w:marRight w:val="0"/>
          <w:marTop w:val="0"/>
          <w:marBottom w:val="0"/>
          <w:divBdr>
            <w:top w:val="none" w:sz="0" w:space="0" w:color="auto"/>
            <w:left w:val="none" w:sz="0" w:space="0" w:color="auto"/>
            <w:bottom w:val="none" w:sz="0" w:space="0" w:color="auto"/>
            <w:right w:val="none" w:sz="0" w:space="0" w:color="auto"/>
          </w:divBdr>
        </w:div>
        <w:div w:id="1431584442">
          <w:marLeft w:val="0"/>
          <w:marRight w:val="0"/>
          <w:marTop w:val="0"/>
          <w:marBottom w:val="0"/>
          <w:divBdr>
            <w:top w:val="none" w:sz="0" w:space="0" w:color="auto"/>
            <w:left w:val="none" w:sz="0" w:space="0" w:color="auto"/>
            <w:bottom w:val="none" w:sz="0" w:space="0" w:color="auto"/>
            <w:right w:val="none" w:sz="0" w:space="0" w:color="auto"/>
          </w:divBdr>
          <w:divsChild>
            <w:div w:id="704990819">
              <w:marLeft w:val="0"/>
              <w:marRight w:val="360"/>
              <w:marTop w:val="0"/>
              <w:marBottom w:val="0"/>
              <w:divBdr>
                <w:top w:val="none" w:sz="0" w:space="0" w:color="auto"/>
                <w:left w:val="none" w:sz="0" w:space="0" w:color="auto"/>
                <w:bottom w:val="none" w:sz="0" w:space="0" w:color="auto"/>
                <w:right w:val="none" w:sz="0" w:space="0" w:color="auto"/>
              </w:divBdr>
              <w:divsChild>
                <w:div w:id="3330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3905">
          <w:marLeft w:val="0"/>
          <w:marRight w:val="0"/>
          <w:marTop w:val="0"/>
          <w:marBottom w:val="0"/>
          <w:divBdr>
            <w:top w:val="none" w:sz="0" w:space="0" w:color="auto"/>
            <w:left w:val="none" w:sz="0" w:space="0" w:color="auto"/>
            <w:bottom w:val="none" w:sz="0" w:space="0" w:color="auto"/>
            <w:right w:val="none" w:sz="0" w:space="0" w:color="auto"/>
          </w:divBdr>
          <w:divsChild>
            <w:div w:id="222260464">
              <w:marLeft w:val="0"/>
              <w:marRight w:val="0"/>
              <w:marTop w:val="0"/>
              <w:marBottom w:val="0"/>
              <w:divBdr>
                <w:top w:val="none" w:sz="0" w:space="0" w:color="auto"/>
                <w:left w:val="none" w:sz="0" w:space="0" w:color="auto"/>
                <w:bottom w:val="none" w:sz="0" w:space="0" w:color="auto"/>
                <w:right w:val="none" w:sz="0" w:space="0" w:color="auto"/>
              </w:divBdr>
            </w:div>
          </w:divsChild>
        </w:div>
        <w:div w:id="493379771">
          <w:marLeft w:val="0"/>
          <w:marRight w:val="0"/>
          <w:marTop w:val="0"/>
          <w:marBottom w:val="0"/>
          <w:divBdr>
            <w:top w:val="none" w:sz="0" w:space="0" w:color="auto"/>
            <w:left w:val="none" w:sz="0" w:space="0" w:color="auto"/>
            <w:bottom w:val="none" w:sz="0" w:space="0" w:color="auto"/>
            <w:right w:val="none" w:sz="0" w:space="0" w:color="auto"/>
          </w:divBdr>
        </w:div>
        <w:div w:id="183129578">
          <w:marLeft w:val="0"/>
          <w:marRight w:val="0"/>
          <w:marTop w:val="0"/>
          <w:marBottom w:val="0"/>
          <w:divBdr>
            <w:top w:val="none" w:sz="0" w:space="0" w:color="auto"/>
            <w:left w:val="none" w:sz="0" w:space="0" w:color="auto"/>
            <w:bottom w:val="none" w:sz="0" w:space="0" w:color="auto"/>
            <w:right w:val="none" w:sz="0" w:space="0" w:color="auto"/>
          </w:divBdr>
        </w:div>
        <w:div w:id="462384147">
          <w:marLeft w:val="0"/>
          <w:marRight w:val="0"/>
          <w:marTop w:val="0"/>
          <w:marBottom w:val="0"/>
          <w:divBdr>
            <w:top w:val="none" w:sz="0" w:space="0" w:color="auto"/>
            <w:left w:val="none" w:sz="0" w:space="0" w:color="auto"/>
            <w:bottom w:val="none" w:sz="0" w:space="0" w:color="auto"/>
            <w:right w:val="none" w:sz="0" w:space="0" w:color="auto"/>
          </w:divBdr>
          <w:divsChild>
            <w:div w:id="157507161">
              <w:marLeft w:val="0"/>
              <w:marRight w:val="0"/>
              <w:marTop w:val="0"/>
              <w:marBottom w:val="0"/>
              <w:divBdr>
                <w:top w:val="none" w:sz="0" w:space="0" w:color="auto"/>
                <w:left w:val="none" w:sz="0" w:space="0" w:color="auto"/>
                <w:bottom w:val="none" w:sz="0" w:space="0" w:color="auto"/>
                <w:right w:val="none" w:sz="0" w:space="0" w:color="auto"/>
              </w:divBdr>
            </w:div>
          </w:divsChild>
        </w:div>
        <w:div w:id="962616106">
          <w:marLeft w:val="0"/>
          <w:marRight w:val="0"/>
          <w:marTop w:val="0"/>
          <w:marBottom w:val="0"/>
          <w:divBdr>
            <w:top w:val="none" w:sz="0" w:space="0" w:color="auto"/>
            <w:left w:val="none" w:sz="0" w:space="0" w:color="auto"/>
            <w:bottom w:val="none" w:sz="0" w:space="0" w:color="auto"/>
            <w:right w:val="none" w:sz="0" w:space="0" w:color="auto"/>
          </w:divBdr>
        </w:div>
        <w:div w:id="2017461234">
          <w:marLeft w:val="0"/>
          <w:marRight w:val="0"/>
          <w:marTop w:val="0"/>
          <w:marBottom w:val="0"/>
          <w:divBdr>
            <w:top w:val="none" w:sz="0" w:space="0" w:color="auto"/>
            <w:left w:val="none" w:sz="0" w:space="0" w:color="auto"/>
            <w:bottom w:val="none" w:sz="0" w:space="0" w:color="auto"/>
            <w:right w:val="none" w:sz="0" w:space="0" w:color="auto"/>
          </w:divBdr>
        </w:div>
        <w:div w:id="662779536">
          <w:marLeft w:val="0"/>
          <w:marRight w:val="0"/>
          <w:marTop w:val="0"/>
          <w:marBottom w:val="0"/>
          <w:divBdr>
            <w:top w:val="none" w:sz="0" w:space="0" w:color="auto"/>
            <w:left w:val="none" w:sz="0" w:space="0" w:color="auto"/>
            <w:bottom w:val="none" w:sz="0" w:space="0" w:color="auto"/>
            <w:right w:val="none" w:sz="0" w:space="0" w:color="auto"/>
          </w:divBdr>
          <w:divsChild>
            <w:div w:id="1637951762">
              <w:marLeft w:val="0"/>
              <w:marRight w:val="0"/>
              <w:marTop w:val="0"/>
              <w:marBottom w:val="0"/>
              <w:divBdr>
                <w:top w:val="none" w:sz="0" w:space="0" w:color="auto"/>
                <w:left w:val="none" w:sz="0" w:space="0" w:color="auto"/>
                <w:bottom w:val="none" w:sz="0" w:space="0" w:color="auto"/>
                <w:right w:val="none" w:sz="0" w:space="0" w:color="auto"/>
              </w:divBdr>
            </w:div>
          </w:divsChild>
        </w:div>
        <w:div w:id="1454707846">
          <w:marLeft w:val="0"/>
          <w:marRight w:val="0"/>
          <w:marTop w:val="0"/>
          <w:marBottom w:val="0"/>
          <w:divBdr>
            <w:top w:val="none" w:sz="0" w:space="0" w:color="auto"/>
            <w:left w:val="none" w:sz="0" w:space="0" w:color="auto"/>
            <w:bottom w:val="none" w:sz="0" w:space="0" w:color="auto"/>
            <w:right w:val="none" w:sz="0" w:space="0" w:color="auto"/>
          </w:divBdr>
        </w:div>
        <w:div w:id="1964076013">
          <w:marLeft w:val="0"/>
          <w:marRight w:val="0"/>
          <w:marTop w:val="0"/>
          <w:marBottom w:val="0"/>
          <w:divBdr>
            <w:top w:val="none" w:sz="0" w:space="0" w:color="auto"/>
            <w:left w:val="none" w:sz="0" w:space="0" w:color="auto"/>
            <w:bottom w:val="none" w:sz="0" w:space="0" w:color="auto"/>
            <w:right w:val="none" w:sz="0" w:space="0" w:color="auto"/>
          </w:divBdr>
        </w:div>
        <w:div w:id="719327065">
          <w:marLeft w:val="0"/>
          <w:marRight w:val="0"/>
          <w:marTop w:val="0"/>
          <w:marBottom w:val="0"/>
          <w:divBdr>
            <w:top w:val="none" w:sz="0" w:space="0" w:color="auto"/>
            <w:left w:val="none" w:sz="0" w:space="0" w:color="auto"/>
            <w:bottom w:val="none" w:sz="0" w:space="0" w:color="auto"/>
            <w:right w:val="none" w:sz="0" w:space="0" w:color="auto"/>
          </w:divBdr>
          <w:divsChild>
            <w:div w:id="146942490">
              <w:marLeft w:val="0"/>
              <w:marRight w:val="0"/>
              <w:marTop w:val="0"/>
              <w:marBottom w:val="0"/>
              <w:divBdr>
                <w:top w:val="none" w:sz="0" w:space="0" w:color="auto"/>
                <w:left w:val="none" w:sz="0" w:space="0" w:color="auto"/>
                <w:bottom w:val="none" w:sz="0" w:space="0" w:color="auto"/>
                <w:right w:val="none" w:sz="0" w:space="0" w:color="auto"/>
              </w:divBdr>
            </w:div>
          </w:divsChild>
        </w:div>
        <w:div w:id="1587837031">
          <w:marLeft w:val="0"/>
          <w:marRight w:val="0"/>
          <w:marTop w:val="0"/>
          <w:marBottom w:val="0"/>
          <w:divBdr>
            <w:top w:val="none" w:sz="0" w:space="0" w:color="auto"/>
            <w:left w:val="none" w:sz="0" w:space="0" w:color="auto"/>
            <w:bottom w:val="none" w:sz="0" w:space="0" w:color="auto"/>
            <w:right w:val="none" w:sz="0" w:space="0" w:color="auto"/>
          </w:divBdr>
        </w:div>
        <w:div w:id="958881526">
          <w:marLeft w:val="0"/>
          <w:marRight w:val="0"/>
          <w:marTop w:val="0"/>
          <w:marBottom w:val="0"/>
          <w:divBdr>
            <w:top w:val="none" w:sz="0" w:space="0" w:color="auto"/>
            <w:left w:val="none" w:sz="0" w:space="0" w:color="auto"/>
            <w:bottom w:val="none" w:sz="0" w:space="0" w:color="auto"/>
            <w:right w:val="none" w:sz="0" w:space="0" w:color="auto"/>
          </w:divBdr>
        </w:div>
        <w:div w:id="253588412">
          <w:marLeft w:val="0"/>
          <w:marRight w:val="0"/>
          <w:marTop w:val="0"/>
          <w:marBottom w:val="0"/>
          <w:divBdr>
            <w:top w:val="none" w:sz="0" w:space="0" w:color="auto"/>
            <w:left w:val="none" w:sz="0" w:space="0" w:color="auto"/>
            <w:bottom w:val="none" w:sz="0" w:space="0" w:color="auto"/>
            <w:right w:val="none" w:sz="0" w:space="0" w:color="auto"/>
          </w:divBdr>
          <w:divsChild>
            <w:div w:id="781072098">
              <w:marLeft w:val="0"/>
              <w:marRight w:val="0"/>
              <w:marTop w:val="0"/>
              <w:marBottom w:val="0"/>
              <w:divBdr>
                <w:top w:val="none" w:sz="0" w:space="0" w:color="auto"/>
                <w:left w:val="none" w:sz="0" w:space="0" w:color="auto"/>
                <w:bottom w:val="none" w:sz="0" w:space="0" w:color="auto"/>
                <w:right w:val="none" w:sz="0" w:space="0" w:color="auto"/>
              </w:divBdr>
            </w:div>
          </w:divsChild>
        </w:div>
        <w:div w:id="559052616">
          <w:marLeft w:val="0"/>
          <w:marRight w:val="0"/>
          <w:marTop w:val="0"/>
          <w:marBottom w:val="0"/>
          <w:divBdr>
            <w:top w:val="none" w:sz="0" w:space="0" w:color="auto"/>
            <w:left w:val="none" w:sz="0" w:space="0" w:color="auto"/>
            <w:bottom w:val="none" w:sz="0" w:space="0" w:color="auto"/>
            <w:right w:val="none" w:sz="0" w:space="0" w:color="auto"/>
          </w:divBdr>
        </w:div>
        <w:div w:id="949626027">
          <w:marLeft w:val="0"/>
          <w:marRight w:val="0"/>
          <w:marTop w:val="0"/>
          <w:marBottom w:val="0"/>
          <w:divBdr>
            <w:top w:val="none" w:sz="0" w:space="0" w:color="auto"/>
            <w:left w:val="none" w:sz="0" w:space="0" w:color="auto"/>
            <w:bottom w:val="none" w:sz="0" w:space="0" w:color="auto"/>
            <w:right w:val="none" w:sz="0" w:space="0" w:color="auto"/>
          </w:divBdr>
          <w:divsChild>
            <w:div w:id="935820795">
              <w:marLeft w:val="0"/>
              <w:marRight w:val="360"/>
              <w:marTop w:val="0"/>
              <w:marBottom w:val="0"/>
              <w:divBdr>
                <w:top w:val="none" w:sz="0" w:space="0" w:color="auto"/>
                <w:left w:val="none" w:sz="0" w:space="0" w:color="auto"/>
                <w:bottom w:val="none" w:sz="0" w:space="0" w:color="auto"/>
                <w:right w:val="none" w:sz="0" w:space="0" w:color="auto"/>
              </w:divBdr>
            </w:div>
          </w:divsChild>
        </w:div>
        <w:div w:id="1705671009">
          <w:marLeft w:val="0"/>
          <w:marRight w:val="0"/>
          <w:marTop w:val="0"/>
          <w:marBottom w:val="0"/>
          <w:divBdr>
            <w:top w:val="none" w:sz="0" w:space="0" w:color="auto"/>
            <w:left w:val="none" w:sz="0" w:space="0" w:color="auto"/>
            <w:bottom w:val="none" w:sz="0" w:space="0" w:color="auto"/>
            <w:right w:val="none" w:sz="0" w:space="0" w:color="auto"/>
          </w:divBdr>
          <w:divsChild>
            <w:div w:id="1006205393">
              <w:marLeft w:val="0"/>
              <w:marRight w:val="0"/>
              <w:marTop w:val="0"/>
              <w:marBottom w:val="0"/>
              <w:divBdr>
                <w:top w:val="none" w:sz="0" w:space="0" w:color="auto"/>
                <w:left w:val="none" w:sz="0" w:space="0" w:color="auto"/>
                <w:bottom w:val="none" w:sz="0" w:space="0" w:color="auto"/>
                <w:right w:val="none" w:sz="0" w:space="0" w:color="auto"/>
              </w:divBdr>
            </w:div>
          </w:divsChild>
        </w:div>
        <w:div w:id="635378626">
          <w:marLeft w:val="0"/>
          <w:marRight w:val="0"/>
          <w:marTop w:val="0"/>
          <w:marBottom w:val="0"/>
          <w:divBdr>
            <w:top w:val="none" w:sz="0" w:space="0" w:color="auto"/>
            <w:left w:val="none" w:sz="0" w:space="0" w:color="auto"/>
            <w:bottom w:val="none" w:sz="0" w:space="0" w:color="auto"/>
            <w:right w:val="none" w:sz="0" w:space="0" w:color="auto"/>
          </w:divBdr>
        </w:div>
        <w:div w:id="1868175614">
          <w:marLeft w:val="0"/>
          <w:marRight w:val="0"/>
          <w:marTop w:val="0"/>
          <w:marBottom w:val="0"/>
          <w:divBdr>
            <w:top w:val="none" w:sz="0" w:space="0" w:color="auto"/>
            <w:left w:val="none" w:sz="0" w:space="0" w:color="auto"/>
            <w:bottom w:val="none" w:sz="0" w:space="0" w:color="auto"/>
            <w:right w:val="none" w:sz="0" w:space="0" w:color="auto"/>
          </w:divBdr>
        </w:div>
        <w:div w:id="1627350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aac.2021.08.02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9F6C8812-F367-404F-B3A7-4098E779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4981</Words>
  <Characters>28398</Characters>
  <Application>Microsoft Office Word</Application>
  <DocSecurity>8</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35</cp:revision>
  <dcterms:created xsi:type="dcterms:W3CDTF">2022-10-06T18:10:00Z</dcterms:created>
  <dcterms:modified xsi:type="dcterms:W3CDTF">2022-11-16T18:21:00Z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