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93746E" w:rsidRDefault="000A7622" w:rsidP="00900D37">
      <w:pPr>
        <w:pStyle w:val="Default"/>
        <w:spacing w:line="240" w:lineRule="auto"/>
        <w:rPr>
          <w:rFonts w:asciiTheme="minorHAnsi" w:hAnsiTheme="minorHAnsi" w:cstheme="minorHAnsi"/>
          <w:sz w:val="22"/>
          <w:szCs w:val="22"/>
        </w:rPr>
      </w:pPr>
      <w:bookmarkStart w:id="0" w:name="_GoBack"/>
      <w:bookmarkEnd w:id="0"/>
    </w:p>
    <w:p w14:paraId="2538F7F5" w14:textId="77777777" w:rsidR="000A7622" w:rsidRPr="0093746E" w:rsidRDefault="000A7622" w:rsidP="00900D37">
      <w:pPr>
        <w:autoSpaceDE w:val="0"/>
        <w:autoSpaceDN w:val="0"/>
        <w:adjustRightInd w:val="0"/>
        <w:spacing w:line="240" w:lineRule="auto"/>
        <w:rPr>
          <w:rFonts w:cstheme="minorHAnsi"/>
          <w:b/>
          <w:bCs/>
          <w:color w:val="316192"/>
          <w:sz w:val="28"/>
          <w:szCs w:val="26"/>
        </w:rPr>
      </w:pPr>
      <w:bookmarkStart w:id="1" w:name="_Hlk505159787"/>
      <w:bookmarkStart w:id="2" w:name="_Hlk510431162"/>
      <w:r w:rsidRPr="0093746E">
        <w:rPr>
          <w:rFonts w:cstheme="minorHAnsi"/>
          <w:b/>
          <w:bCs/>
          <w:color w:val="316192"/>
          <w:sz w:val="28"/>
          <w:szCs w:val="26"/>
        </w:rPr>
        <w:t>Marquette University</w:t>
      </w:r>
    </w:p>
    <w:p w14:paraId="158D4B9F" w14:textId="77777777" w:rsidR="000A7622" w:rsidRPr="0093746E" w:rsidRDefault="000A7622" w:rsidP="00900D37">
      <w:pPr>
        <w:autoSpaceDE w:val="0"/>
        <w:autoSpaceDN w:val="0"/>
        <w:adjustRightInd w:val="0"/>
        <w:spacing w:line="240" w:lineRule="auto"/>
        <w:rPr>
          <w:rFonts w:cstheme="minorHAnsi"/>
          <w:b/>
          <w:bCs/>
          <w:color w:val="316192"/>
          <w:sz w:val="40"/>
          <w:szCs w:val="36"/>
        </w:rPr>
      </w:pPr>
      <w:proofErr w:type="spellStart"/>
      <w:r w:rsidRPr="0093746E">
        <w:rPr>
          <w:rFonts w:cstheme="minorHAnsi"/>
          <w:b/>
          <w:bCs/>
          <w:color w:val="316192"/>
          <w:sz w:val="40"/>
          <w:szCs w:val="36"/>
        </w:rPr>
        <w:t>e-Publications@Marquette</w:t>
      </w:r>
      <w:proofErr w:type="spellEnd"/>
    </w:p>
    <w:p w14:paraId="689ACF87" w14:textId="77777777" w:rsidR="000A7622" w:rsidRPr="0093746E" w:rsidRDefault="000A7622" w:rsidP="00900D37">
      <w:pPr>
        <w:autoSpaceDE w:val="0"/>
        <w:autoSpaceDN w:val="0"/>
        <w:adjustRightInd w:val="0"/>
        <w:spacing w:line="240" w:lineRule="auto"/>
        <w:rPr>
          <w:rFonts w:cstheme="minorHAnsi"/>
          <w:b/>
          <w:bCs/>
          <w:i/>
          <w:iCs/>
        </w:rPr>
      </w:pPr>
    </w:p>
    <w:p w14:paraId="161853CC" w14:textId="7DD2CCA7" w:rsidR="000A7622" w:rsidRPr="0093746E" w:rsidRDefault="0074532F" w:rsidP="00900D37">
      <w:pPr>
        <w:autoSpaceDE w:val="0"/>
        <w:autoSpaceDN w:val="0"/>
        <w:adjustRightInd w:val="0"/>
        <w:spacing w:line="240" w:lineRule="auto"/>
        <w:rPr>
          <w:rFonts w:cstheme="minorHAnsi"/>
          <w:b/>
          <w:bCs/>
          <w:i/>
          <w:iCs/>
          <w:sz w:val="32"/>
          <w:szCs w:val="32"/>
        </w:rPr>
      </w:pPr>
      <w:r>
        <w:rPr>
          <w:rFonts w:cstheme="minorHAnsi"/>
          <w:b/>
          <w:bCs/>
          <w:i/>
          <w:iCs/>
          <w:sz w:val="32"/>
          <w:szCs w:val="32"/>
        </w:rPr>
        <w:br/>
        <w:t xml:space="preserve">Nursing </w:t>
      </w:r>
      <w:r w:rsidR="000A7622" w:rsidRPr="0093746E">
        <w:rPr>
          <w:rFonts w:cstheme="minorHAnsi"/>
          <w:b/>
          <w:bCs/>
          <w:i/>
          <w:iCs/>
          <w:sz w:val="32"/>
          <w:szCs w:val="32"/>
        </w:rPr>
        <w:t>Faculty Research and Publications/</w:t>
      </w:r>
      <w:r w:rsidR="00735C37" w:rsidRPr="0093746E">
        <w:rPr>
          <w:rFonts w:cstheme="minorHAnsi"/>
          <w:b/>
          <w:bCs/>
          <w:i/>
          <w:iCs/>
          <w:sz w:val="32"/>
          <w:szCs w:val="32"/>
        </w:rPr>
        <w:t xml:space="preserve">College of </w:t>
      </w:r>
      <w:r>
        <w:rPr>
          <w:rFonts w:cstheme="minorHAnsi"/>
          <w:b/>
          <w:bCs/>
          <w:i/>
          <w:iCs/>
          <w:sz w:val="32"/>
          <w:szCs w:val="32"/>
        </w:rPr>
        <w:t>Nursing</w:t>
      </w:r>
    </w:p>
    <w:bookmarkEnd w:id="1"/>
    <w:p w14:paraId="3E538636" w14:textId="77777777" w:rsidR="000A7622" w:rsidRPr="0093746E" w:rsidRDefault="000A7622" w:rsidP="00900D37">
      <w:pPr>
        <w:spacing w:line="240" w:lineRule="auto"/>
        <w:jc w:val="center"/>
        <w:rPr>
          <w:rFonts w:cstheme="minorHAnsi"/>
          <w:b/>
          <w:bCs/>
          <w:i/>
          <w:iCs/>
        </w:rPr>
      </w:pPr>
    </w:p>
    <w:p w14:paraId="25509BF0" w14:textId="691CDF65" w:rsidR="000A7622" w:rsidRPr="0093746E" w:rsidRDefault="000A7622" w:rsidP="00900D37">
      <w:pPr>
        <w:spacing w:line="240" w:lineRule="auto"/>
        <w:jc w:val="center"/>
        <w:rPr>
          <w:rFonts w:cstheme="minorHAnsi"/>
          <w:sz w:val="24"/>
          <w:szCs w:val="24"/>
        </w:rPr>
      </w:pPr>
      <w:r w:rsidRPr="0093746E">
        <w:rPr>
          <w:rFonts w:cstheme="minorHAnsi"/>
          <w:b/>
          <w:bCs/>
          <w:i/>
          <w:iCs/>
          <w:sz w:val="24"/>
          <w:szCs w:val="24"/>
        </w:rPr>
        <w:t xml:space="preserve">This paper is NOT THE PUBLISHED VERSION; </w:t>
      </w:r>
      <w:r w:rsidRPr="0093746E">
        <w:rPr>
          <w:rFonts w:cstheme="minorHAnsi"/>
          <w:b/>
          <w:bCs/>
          <w:sz w:val="24"/>
          <w:szCs w:val="24"/>
        </w:rPr>
        <w:t xml:space="preserve">but the author’s final, peer-reviewed manuscript. </w:t>
      </w:r>
      <w:r w:rsidRPr="0093746E">
        <w:rPr>
          <w:rFonts w:cstheme="minorHAnsi"/>
          <w:sz w:val="24"/>
          <w:szCs w:val="24"/>
        </w:rPr>
        <w:t>The published version may be accessed by following the link in th</w:t>
      </w:r>
      <w:r w:rsidR="00B87538" w:rsidRPr="0093746E">
        <w:rPr>
          <w:rFonts w:cstheme="minorHAnsi"/>
          <w:sz w:val="24"/>
          <w:szCs w:val="24"/>
        </w:rPr>
        <w:t>e</w:t>
      </w:r>
      <w:r w:rsidRPr="0093746E">
        <w:rPr>
          <w:rFonts w:cstheme="minorHAnsi"/>
          <w:sz w:val="24"/>
          <w:szCs w:val="24"/>
        </w:rPr>
        <w:t xml:space="preserve"> citation below.</w:t>
      </w:r>
    </w:p>
    <w:p w14:paraId="207B0342" w14:textId="77777777" w:rsidR="000A7622" w:rsidRPr="0093746E" w:rsidRDefault="000A7622" w:rsidP="00900D37">
      <w:pPr>
        <w:spacing w:line="240" w:lineRule="auto"/>
        <w:jc w:val="center"/>
        <w:rPr>
          <w:rFonts w:cstheme="minorHAnsi"/>
          <w:sz w:val="24"/>
          <w:szCs w:val="24"/>
        </w:rPr>
      </w:pPr>
    </w:p>
    <w:p w14:paraId="2A38AFE1" w14:textId="496F58A1" w:rsidR="000A7622" w:rsidRPr="0093746E" w:rsidRDefault="007C4416" w:rsidP="00900D37">
      <w:pPr>
        <w:spacing w:line="240" w:lineRule="auto"/>
        <w:rPr>
          <w:rFonts w:cstheme="minorHAnsi"/>
          <w:sz w:val="24"/>
          <w:szCs w:val="24"/>
        </w:rPr>
      </w:pPr>
      <w:r w:rsidRPr="0093746E">
        <w:rPr>
          <w:rFonts w:cstheme="minorHAnsi"/>
          <w:i/>
          <w:sz w:val="24"/>
          <w:szCs w:val="24"/>
          <w:lang w:val="fr-FR"/>
        </w:rPr>
        <w:t>Western Journal of Nursing Research</w:t>
      </w:r>
      <w:r w:rsidR="000A7622" w:rsidRPr="0093746E">
        <w:rPr>
          <w:rFonts w:cstheme="minorHAnsi"/>
          <w:sz w:val="24"/>
          <w:szCs w:val="24"/>
          <w:lang w:val="fr-FR"/>
        </w:rPr>
        <w:t>, (</w:t>
      </w:r>
      <w:r w:rsidR="00A57BA4" w:rsidRPr="0093746E">
        <w:rPr>
          <w:rFonts w:cstheme="minorHAnsi"/>
          <w:sz w:val="24"/>
          <w:szCs w:val="24"/>
          <w:lang w:val="fr-FR"/>
        </w:rPr>
        <w:t>2018</w:t>
      </w:r>
      <w:r w:rsidR="000A7622" w:rsidRPr="0093746E">
        <w:rPr>
          <w:rFonts w:cstheme="minorHAnsi"/>
          <w:sz w:val="24"/>
          <w:szCs w:val="24"/>
          <w:lang w:val="fr-FR"/>
        </w:rPr>
        <w:t>)</w:t>
      </w:r>
      <w:r w:rsidR="00A57BA4" w:rsidRPr="0093746E">
        <w:rPr>
          <w:rFonts w:cstheme="minorHAnsi"/>
          <w:sz w:val="24"/>
          <w:szCs w:val="24"/>
          <w:lang w:val="fr-FR"/>
        </w:rPr>
        <w:t xml:space="preserve"> Online before print</w:t>
      </w:r>
      <w:r w:rsidR="000A7622" w:rsidRPr="0093746E">
        <w:rPr>
          <w:rFonts w:cstheme="minorHAnsi"/>
          <w:sz w:val="24"/>
          <w:szCs w:val="24"/>
          <w:lang w:val="fr-FR"/>
        </w:rPr>
        <w:t xml:space="preserve">. </w:t>
      </w:r>
      <w:hyperlink r:id="rId8" w:history="1">
        <w:r w:rsidR="000A7622" w:rsidRPr="00921E4A">
          <w:rPr>
            <w:rFonts w:cstheme="minorHAnsi"/>
            <w:color w:val="0070C0"/>
            <w:sz w:val="24"/>
            <w:szCs w:val="24"/>
            <w:u w:val="single"/>
            <w:lang w:val="fr-FR"/>
          </w:rPr>
          <w:t>DOI</w:t>
        </w:r>
      </w:hyperlink>
      <w:r w:rsidR="000A7622" w:rsidRPr="0093746E">
        <w:rPr>
          <w:rFonts w:cstheme="minorHAnsi"/>
          <w:sz w:val="24"/>
          <w:szCs w:val="24"/>
          <w:lang w:val="fr-FR"/>
        </w:rPr>
        <w:t xml:space="preserve">. </w:t>
      </w:r>
      <w:r w:rsidR="000A7622" w:rsidRPr="0093746E">
        <w:rPr>
          <w:rFonts w:cstheme="minorHAnsi"/>
          <w:sz w:val="24"/>
          <w:szCs w:val="24"/>
        </w:rPr>
        <w:t xml:space="preserve">This article is © </w:t>
      </w:r>
      <w:r w:rsidR="00380E06" w:rsidRPr="0093746E">
        <w:rPr>
          <w:rFonts w:cstheme="minorHAnsi"/>
          <w:sz w:val="24"/>
          <w:szCs w:val="24"/>
        </w:rPr>
        <w:t>Sage Publications</w:t>
      </w:r>
      <w:r w:rsidR="000A7622" w:rsidRPr="0093746E">
        <w:rPr>
          <w:rFonts w:cstheme="minorHAnsi"/>
          <w:sz w:val="24"/>
          <w:szCs w:val="24"/>
        </w:rPr>
        <w:t xml:space="preserve"> and permission has been granted for this version to appear in </w:t>
      </w:r>
      <w:hyperlink r:id="rId9" w:history="1">
        <w:proofErr w:type="spellStart"/>
        <w:r w:rsidR="000A7622" w:rsidRPr="00921E4A">
          <w:rPr>
            <w:rFonts w:cstheme="minorHAnsi"/>
            <w:color w:val="0070C0"/>
            <w:sz w:val="24"/>
            <w:szCs w:val="24"/>
            <w:u w:val="single"/>
          </w:rPr>
          <w:t>e-Publications@Marquette</w:t>
        </w:r>
        <w:proofErr w:type="spellEnd"/>
      </w:hyperlink>
      <w:r w:rsidR="000A7622" w:rsidRPr="00921E4A">
        <w:rPr>
          <w:rFonts w:cstheme="minorHAnsi"/>
          <w:color w:val="0070C0"/>
          <w:sz w:val="24"/>
          <w:szCs w:val="24"/>
        </w:rPr>
        <w:t xml:space="preserve">. </w:t>
      </w:r>
      <w:r w:rsidR="00380E06" w:rsidRPr="0093746E">
        <w:rPr>
          <w:rFonts w:cstheme="minorHAnsi"/>
          <w:sz w:val="24"/>
          <w:szCs w:val="24"/>
        </w:rPr>
        <w:t>Sage Publications</w:t>
      </w:r>
      <w:r w:rsidR="000A7622" w:rsidRPr="0093746E">
        <w:rPr>
          <w:rFonts w:cstheme="minorHAnsi"/>
          <w:sz w:val="24"/>
          <w:szCs w:val="24"/>
        </w:rPr>
        <w:t xml:space="preserve"> does not grant permission for this article to be further copied/distributed or hosted elsewhere without the express permission from</w:t>
      </w:r>
      <w:r w:rsidR="00380E06" w:rsidRPr="0093746E">
        <w:rPr>
          <w:rFonts w:cstheme="minorHAnsi"/>
          <w:sz w:val="24"/>
          <w:szCs w:val="24"/>
        </w:rPr>
        <w:t xml:space="preserve"> Sage Publications</w:t>
      </w:r>
      <w:r w:rsidR="000A7622" w:rsidRPr="0093746E">
        <w:rPr>
          <w:rFonts w:cstheme="minorHAnsi"/>
          <w:sz w:val="24"/>
          <w:szCs w:val="24"/>
        </w:rPr>
        <w:t xml:space="preserve">. </w:t>
      </w:r>
      <w:bookmarkEnd w:id="2"/>
    </w:p>
    <w:p w14:paraId="4E40725E" w14:textId="692888E3" w:rsidR="00115F37" w:rsidRPr="0093746E" w:rsidRDefault="00115F37" w:rsidP="00900D37">
      <w:pPr>
        <w:spacing w:line="240" w:lineRule="auto"/>
        <w:rPr>
          <w:rFonts w:cstheme="minorHAnsi"/>
          <w:sz w:val="24"/>
          <w:szCs w:val="24"/>
        </w:rPr>
      </w:pPr>
    </w:p>
    <w:p w14:paraId="7E9726F2" w14:textId="70297548" w:rsidR="0026150E" w:rsidRPr="0093746E" w:rsidRDefault="0026150E" w:rsidP="008A45F2">
      <w:pPr>
        <w:pStyle w:val="Title"/>
        <w:rPr>
          <w:rFonts w:asciiTheme="minorHAnsi" w:hAnsiTheme="minorHAnsi" w:cstheme="minorHAnsi"/>
        </w:rPr>
      </w:pPr>
      <w:r w:rsidRPr="0093746E">
        <w:rPr>
          <w:rFonts w:asciiTheme="minorHAnsi" w:hAnsiTheme="minorHAnsi" w:cstheme="minorHAnsi"/>
        </w:rPr>
        <w:t xml:space="preserve">Predeath Grief, Resourcefulness, and Perceived Stress Among Caregivers of Partners </w:t>
      </w:r>
      <w:r w:rsidR="008A45F2" w:rsidRPr="0093746E">
        <w:rPr>
          <w:rFonts w:asciiTheme="minorHAnsi" w:hAnsiTheme="minorHAnsi" w:cstheme="minorHAnsi"/>
        </w:rPr>
        <w:t>w</w:t>
      </w:r>
      <w:r w:rsidRPr="0093746E">
        <w:rPr>
          <w:rFonts w:asciiTheme="minorHAnsi" w:hAnsiTheme="minorHAnsi" w:cstheme="minorHAnsi"/>
        </w:rPr>
        <w:t>ith Young-Onset Dementia</w:t>
      </w:r>
    </w:p>
    <w:p w14:paraId="531856CA" w14:textId="07BDFB1E" w:rsidR="0026150E" w:rsidRPr="0093746E" w:rsidRDefault="0026150E" w:rsidP="00900D37">
      <w:pPr>
        <w:spacing w:line="240" w:lineRule="auto"/>
        <w:rPr>
          <w:rFonts w:cstheme="minorHAnsi"/>
          <w:sz w:val="24"/>
          <w:szCs w:val="24"/>
        </w:rPr>
      </w:pPr>
    </w:p>
    <w:p w14:paraId="65004C6F" w14:textId="330C5907" w:rsidR="0026150E" w:rsidRPr="00921E4A" w:rsidRDefault="0026150E" w:rsidP="00921E4A">
      <w:pPr>
        <w:pStyle w:val="NoSpacing"/>
        <w:rPr>
          <w:b/>
          <w:sz w:val="28"/>
        </w:rPr>
      </w:pPr>
      <w:r w:rsidRPr="00921E4A">
        <w:rPr>
          <w:rStyle w:val="Hyperlink"/>
          <w:b/>
          <w:color w:val="auto"/>
          <w:sz w:val="28"/>
          <w:u w:val="none"/>
        </w:rPr>
        <w:t xml:space="preserve">Karie </w:t>
      </w:r>
      <w:proofErr w:type="spellStart"/>
      <w:r w:rsidRPr="00921E4A">
        <w:rPr>
          <w:rStyle w:val="Hyperlink"/>
          <w:b/>
          <w:color w:val="auto"/>
          <w:sz w:val="28"/>
          <w:u w:val="none"/>
        </w:rPr>
        <w:t>Ruekert</w:t>
      </w:r>
      <w:proofErr w:type="spellEnd"/>
      <w:r w:rsidRPr="00921E4A">
        <w:rPr>
          <w:rStyle w:val="Hyperlink"/>
          <w:b/>
          <w:color w:val="auto"/>
          <w:sz w:val="28"/>
          <w:u w:val="none"/>
        </w:rPr>
        <w:t xml:space="preserve"> Kobiske</w:t>
      </w:r>
    </w:p>
    <w:p w14:paraId="75FD4ACC" w14:textId="0A9C8531" w:rsidR="00B65DAC" w:rsidRPr="00921E4A" w:rsidRDefault="0026150E" w:rsidP="008A45F2">
      <w:pPr>
        <w:pStyle w:val="NoSpacing"/>
        <w:rPr>
          <w:rStyle w:val="Hyperlink"/>
          <w:rFonts w:cstheme="minorHAnsi"/>
          <w:color w:val="0070C0"/>
        </w:rPr>
      </w:pPr>
      <w:r w:rsidRPr="00921E4A">
        <w:rPr>
          <w:rFonts w:cstheme="minorHAnsi"/>
        </w:rPr>
        <w:t>Marquette University, Milwaukee, WI, USA</w:t>
      </w:r>
    </w:p>
    <w:p w14:paraId="1B49B3FD" w14:textId="55032DB5" w:rsidR="0026150E" w:rsidRPr="00921E4A" w:rsidRDefault="0026150E" w:rsidP="00921E4A">
      <w:pPr>
        <w:pStyle w:val="NoSpacing"/>
        <w:rPr>
          <w:rStyle w:val="contribdegrees"/>
          <w:b/>
          <w:sz w:val="28"/>
        </w:rPr>
      </w:pPr>
      <w:r w:rsidRPr="00921E4A">
        <w:rPr>
          <w:rStyle w:val="Hyperlink"/>
          <w:b/>
          <w:color w:val="auto"/>
          <w:sz w:val="28"/>
          <w:u w:val="none"/>
        </w:rPr>
        <w:t>Abir K. Bekhet</w:t>
      </w:r>
    </w:p>
    <w:p w14:paraId="4A8199BD" w14:textId="04E81204" w:rsidR="00B65DAC" w:rsidRPr="00921E4A" w:rsidRDefault="0026150E" w:rsidP="008A45F2">
      <w:pPr>
        <w:pStyle w:val="NoSpacing"/>
        <w:rPr>
          <w:rStyle w:val="Hyperlink"/>
          <w:rFonts w:cstheme="minorHAnsi"/>
          <w:color w:val="0070C0"/>
        </w:rPr>
      </w:pPr>
      <w:r w:rsidRPr="00921E4A">
        <w:rPr>
          <w:rFonts w:cstheme="minorHAnsi"/>
        </w:rPr>
        <w:t>Marquette University, Milwaukee, WI, USA</w:t>
      </w:r>
    </w:p>
    <w:p w14:paraId="1CE1BDC1" w14:textId="112B7058" w:rsidR="0026150E" w:rsidRPr="00921E4A" w:rsidRDefault="0026150E" w:rsidP="00921E4A">
      <w:pPr>
        <w:pStyle w:val="NoSpacing"/>
        <w:rPr>
          <w:rStyle w:val="contribdegrees"/>
          <w:b/>
          <w:sz w:val="28"/>
        </w:rPr>
      </w:pPr>
      <w:r w:rsidRPr="00921E4A">
        <w:rPr>
          <w:rStyle w:val="Hyperlink"/>
          <w:b/>
          <w:color w:val="auto"/>
          <w:sz w:val="28"/>
          <w:u w:val="none"/>
        </w:rPr>
        <w:t>Mauricio Garnier-Villarreal</w:t>
      </w:r>
    </w:p>
    <w:p w14:paraId="6A953A32" w14:textId="7BFC26A5" w:rsidR="00B65DAC" w:rsidRPr="00921E4A" w:rsidRDefault="0026150E" w:rsidP="008A45F2">
      <w:pPr>
        <w:pStyle w:val="NoSpacing"/>
        <w:rPr>
          <w:rStyle w:val="Hyperlink"/>
          <w:rFonts w:cstheme="minorHAnsi"/>
          <w:color w:val="0070C0"/>
        </w:rPr>
      </w:pPr>
      <w:r w:rsidRPr="00921E4A">
        <w:rPr>
          <w:rFonts w:cstheme="minorHAnsi"/>
        </w:rPr>
        <w:t>Marquette University, Milwaukee, WI, USA</w:t>
      </w:r>
    </w:p>
    <w:p w14:paraId="255F1170" w14:textId="68F3C338" w:rsidR="0026150E" w:rsidRPr="00921E4A" w:rsidRDefault="0026150E" w:rsidP="00921E4A">
      <w:pPr>
        <w:pStyle w:val="NoSpacing"/>
        <w:rPr>
          <w:rStyle w:val="contribdegrees"/>
          <w:b/>
          <w:sz w:val="28"/>
        </w:rPr>
      </w:pPr>
      <w:r w:rsidRPr="00921E4A">
        <w:rPr>
          <w:rStyle w:val="Hyperlink"/>
          <w:b/>
          <w:color w:val="auto"/>
          <w:sz w:val="28"/>
          <w:u w:val="none"/>
        </w:rPr>
        <w:t>Marilyn Frenn</w:t>
      </w:r>
    </w:p>
    <w:p w14:paraId="0A9FAD1B" w14:textId="37EFCD97" w:rsidR="0026150E" w:rsidRPr="00921E4A" w:rsidRDefault="0026150E" w:rsidP="008A45F2">
      <w:pPr>
        <w:pStyle w:val="NoSpacing"/>
        <w:rPr>
          <w:rFonts w:cstheme="minorHAnsi"/>
        </w:rPr>
      </w:pPr>
      <w:r w:rsidRPr="00921E4A">
        <w:rPr>
          <w:rFonts w:cstheme="minorHAnsi"/>
        </w:rPr>
        <w:t>Marquette University, Milwaukee, WI, USA</w:t>
      </w:r>
    </w:p>
    <w:p w14:paraId="345B8D8F" w14:textId="66375EC8" w:rsidR="00C41D82" w:rsidRPr="0093746E" w:rsidRDefault="00C41D82" w:rsidP="00B65DAC">
      <w:pPr>
        <w:pStyle w:val="Heading1"/>
        <w:rPr>
          <w:rFonts w:asciiTheme="minorHAnsi" w:hAnsiTheme="minorHAnsi" w:cstheme="minorHAnsi"/>
          <w:color w:val="auto"/>
        </w:rPr>
      </w:pPr>
      <w:r w:rsidRPr="0093746E">
        <w:rPr>
          <w:rFonts w:asciiTheme="minorHAnsi" w:hAnsiTheme="minorHAnsi" w:cstheme="minorHAnsi"/>
          <w:color w:val="auto"/>
        </w:rPr>
        <w:t>Abstract</w:t>
      </w:r>
    </w:p>
    <w:p w14:paraId="37527015" w14:textId="77777777" w:rsidR="00C41D82" w:rsidRPr="0093746E" w:rsidRDefault="00C41D82" w:rsidP="0053729A">
      <w:pPr>
        <w:pStyle w:val="NoSpacing"/>
        <w:rPr>
          <w:rFonts w:cstheme="minorHAnsi"/>
        </w:rPr>
      </w:pPr>
      <w:r w:rsidRPr="0093746E">
        <w:rPr>
          <w:rFonts w:cstheme="minorHAnsi"/>
        </w:rPr>
        <w:t xml:space="preserve">More than 200,000 Americans are currently diagnosed with young-onset dementia (YOD). YOD is dementia diagnosed prior to the age of 65. Most persons of YOD are cared for by their partners. Using the theoretical framework of Resilience Theory, this cross-sectional, correlational study examined the moderating effects of personal and social resourcefulness on the relationship between predeath grief and perceived stress among 104 YOD caregiving partners (life partners/spouses) using an online survey platform. Results indicated a large positive correlation between predeath grief and caregiver perceived stress (r = .65; p &lt; .001). Together predeath </w:t>
      </w:r>
      <w:r w:rsidRPr="0093746E">
        <w:rPr>
          <w:rFonts w:cstheme="minorHAnsi"/>
        </w:rPr>
        <w:lastRenderedPageBreak/>
        <w:t>grief, personal resourcefulness and social resourcefulness explained 51.5% of the variance in perceived stress. Personal resourcefulness did not moderate the relationship. Social resourcefulness did positively moderate this relationship between predeath grief and perceived stress. These findings allow for a better understanding of the caregiving experience for a partner with YOD and creates opportunities for future research studies.</w:t>
      </w:r>
    </w:p>
    <w:p w14:paraId="70A293E4" w14:textId="77777777" w:rsidR="00C41D82" w:rsidRPr="0093746E" w:rsidRDefault="00C41D82" w:rsidP="00B65DAC">
      <w:pPr>
        <w:pStyle w:val="Heading1"/>
        <w:rPr>
          <w:rFonts w:asciiTheme="minorHAnsi" w:hAnsiTheme="minorHAnsi" w:cstheme="minorHAnsi"/>
          <w:color w:val="auto"/>
        </w:rPr>
      </w:pPr>
      <w:r w:rsidRPr="0093746E">
        <w:rPr>
          <w:rFonts w:asciiTheme="minorHAnsi" w:hAnsiTheme="minorHAnsi" w:cstheme="minorHAnsi"/>
          <w:color w:val="auto"/>
        </w:rPr>
        <w:t>Keywords </w:t>
      </w:r>
    </w:p>
    <w:p w14:paraId="77D6B0F1" w14:textId="2317B35C" w:rsidR="00B65DAC" w:rsidRPr="0093746E" w:rsidRDefault="00977022" w:rsidP="0053729A">
      <w:pPr>
        <w:pStyle w:val="NoSpacing"/>
        <w:rPr>
          <w:rFonts w:cstheme="minorHAnsi"/>
        </w:rPr>
      </w:pPr>
      <w:hyperlink r:id="rId10" w:history="1">
        <w:r w:rsidR="00BF2C0E" w:rsidRPr="00921E4A">
          <w:rPr>
            <w:rStyle w:val="Hyperlink"/>
            <w:rFonts w:cstheme="minorHAnsi"/>
            <w:color w:val="0070C0"/>
          </w:rPr>
          <w:t>caregiver stress</w:t>
        </w:r>
      </w:hyperlink>
      <w:r w:rsidR="00BF2C0E" w:rsidRPr="0093746E">
        <w:rPr>
          <w:rFonts w:cstheme="minorHAnsi"/>
        </w:rPr>
        <w:t>, </w:t>
      </w:r>
      <w:hyperlink r:id="rId11" w:history="1">
        <w:r w:rsidR="00BF2C0E" w:rsidRPr="00921E4A">
          <w:rPr>
            <w:rStyle w:val="Hyperlink"/>
            <w:rFonts w:cstheme="minorHAnsi"/>
            <w:color w:val="0070C0"/>
          </w:rPr>
          <w:t>partner</w:t>
        </w:r>
      </w:hyperlink>
      <w:r w:rsidR="00BF2C0E" w:rsidRPr="0093746E">
        <w:rPr>
          <w:rFonts w:cstheme="minorHAnsi"/>
        </w:rPr>
        <w:t>, </w:t>
      </w:r>
      <w:hyperlink r:id="rId12" w:history="1">
        <w:r w:rsidR="00BF2C0E" w:rsidRPr="00921E4A">
          <w:rPr>
            <w:rStyle w:val="Hyperlink"/>
            <w:rFonts w:cstheme="minorHAnsi"/>
            <w:color w:val="0070C0"/>
          </w:rPr>
          <w:t>predeath grief</w:t>
        </w:r>
      </w:hyperlink>
      <w:r w:rsidR="00BF2C0E" w:rsidRPr="0093746E">
        <w:rPr>
          <w:rFonts w:cstheme="minorHAnsi"/>
        </w:rPr>
        <w:t>, </w:t>
      </w:r>
      <w:hyperlink r:id="rId13" w:history="1">
        <w:r w:rsidR="00BF2C0E" w:rsidRPr="00921E4A">
          <w:rPr>
            <w:rStyle w:val="Hyperlink"/>
            <w:rFonts w:cstheme="minorHAnsi"/>
            <w:color w:val="0070C0"/>
          </w:rPr>
          <w:t>resourcefulness</w:t>
        </w:r>
      </w:hyperlink>
      <w:r w:rsidR="00BF2C0E" w:rsidRPr="0093746E">
        <w:rPr>
          <w:rFonts w:cstheme="minorHAnsi"/>
        </w:rPr>
        <w:t>, </w:t>
      </w:r>
      <w:hyperlink r:id="rId14" w:history="1">
        <w:r w:rsidR="00BF2C0E" w:rsidRPr="00921E4A">
          <w:rPr>
            <w:rStyle w:val="Hyperlink"/>
            <w:rFonts w:cstheme="minorHAnsi"/>
            <w:color w:val="0070C0"/>
          </w:rPr>
          <w:t>young-onset dementia</w:t>
        </w:r>
      </w:hyperlink>
    </w:p>
    <w:p w14:paraId="2F7323FB" w14:textId="27943A88" w:rsidR="00B65DAC" w:rsidRPr="0093746E" w:rsidRDefault="00B65DAC" w:rsidP="00B65DAC">
      <w:pPr>
        <w:pStyle w:val="Heading1"/>
        <w:rPr>
          <w:rFonts w:asciiTheme="minorHAnsi" w:hAnsiTheme="minorHAnsi" w:cstheme="minorHAnsi"/>
          <w:color w:val="auto"/>
        </w:rPr>
      </w:pPr>
      <w:r w:rsidRPr="0093746E">
        <w:rPr>
          <w:rFonts w:asciiTheme="minorHAnsi" w:hAnsiTheme="minorHAnsi" w:cstheme="minorHAnsi"/>
          <w:color w:val="auto"/>
        </w:rPr>
        <w:t>Introduction</w:t>
      </w:r>
    </w:p>
    <w:p w14:paraId="6B125F4B" w14:textId="024F18B2" w:rsidR="00BF2C0E" w:rsidRPr="0093746E" w:rsidRDefault="00BF2C0E" w:rsidP="0053729A">
      <w:pPr>
        <w:pStyle w:val="NoSpacing"/>
        <w:rPr>
          <w:rFonts w:cstheme="minorHAnsi"/>
        </w:rPr>
      </w:pPr>
      <w:r w:rsidRPr="0093746E">
        <w:rPr>
          <w:rFonts w:cstheme="minorHAnsi"/>
        </w:rPr>
        <w:t>Currently, more than 200,000 Americans are diagnosed with young-onset dementia (YOD). YOD is any form of dementia, including Alzheimer’s disease that occurs prior to the age of 65 years (</w:t>
      </w:r>
      <w:hyperlink r:id="rId15" w:history="1">
        <w:r w:rsidRPr="00921E4A">
          <w:rPr>
            <w:rStyle w:val="Hyperlink"/>
            <w:rFonts w:cstheme="minorHAnsi"/>
            <w:color w:val="0070C0"/>
          </w:rPr>
          <w:t>Alzheimer’s Association, 2018</w:t>
        </w:r>
      </w:hyperlink>
      <w:r w:rsidRPr="0093746E">
        <w:rPr>
          <w:rFonts w:cstheme="minorHAnsi"/>
        </w:rPr>
        <w:t>). This number is thought to underrepresent the actual incidence of YOD due to a delay in diagnosis, which frequently results from an initial misdiagnosis by primary care health professionals (</w:t>
      </w:r>
      <w:hyperlink r:id="rId16" w:history="1">
        <w:r w:rsidRPr="00921E4A">
          <w:rPr>
            <w:rStyle w:val="Hyperlink"/>
            <w:rFonts w:cstheme="minorHAnsi"/>
            <w:color w:val="0070C0"/>
          </w:rPr>
          <w:t>Alzheimer’s Association, 2018</w:t>
        </w:r>
      </w:hyperlink>
      <w:r w:rsidRPr="0093746E">
        <w:rPr>
          <w:rFonts w:cstheme="minorHAnsi"/>
        </w:rPr>
        <w:t>). Also, in many circumstances, there is a delay in seeking a diagnosis due to a perceived stigma by patients and families (</w:t>
      </w:r>
      <w:hyperlink r:id="rId17" w:history="1">
        <w:r w:rsidRPr="00921E4A">
          <w:rPr>
            <w:rStyle w:val="Hyperlink"/>
            <w:rFonts w:cstheme="minorHAnsi"/>
            <w:color w:val="0070C0"/>
          </w:rPr>
          <w:t>Alzheimer’s Association, 2018</w:t>
        </w:r>
      </w:hyperlink>
      <w:r w:rsidRPr="0093746E">
        <w:rPr>
          <w:rFonts w:cstheme="minorHAnsi"/>
        </w:rPr>
        <w:t xml:space="preserve">). YOD has been used interchangeably with the terms “early-onset dementia” and “early-onset </w:t>
      </w:r>
      <w:proofErr w:type="spellStart"/>
      <w:r w:rsidRPr="0093746E">
        <w:rPr>
          <w:rFonts w:cstheme="minorHAnsi"/>
        </w:rPr>
        <w:t>alzheimer’s</w:t>
      </w:r>
      <w:proofErr w:type="spellEnd"/>
      <w:r w:rsidRPr="0093746E">
        <w:rPr>
          <w:rFonts w:cstheme="minorHAnsi"/>
        </w:rPr>
        <w:t xml:space="preserve"> disease” (</w:t>
      </w:r>
      <w:hyperlink r:id="rId18" w:history="1">
        <w:r w:rsidRPr="00921E4A">
          <w:rPr>
            <w:rStyle w:val="Hyperlink"/>
            <w:rFonts w:cstheme="minorHAnsi"/>
            <w:color w:val="0070C0"/>
          </w:rPr>
          <w:t>Alzheimer’s Association, 2006</w:t>
        </w:r>
      </w:hyperlink>
      <w:r w:rsidRPr="0093746E">
        <w:rPr>
          <w:rFonts w:cstheme="minorHAnsi"/>
        </w:rPr>
        <w:t>). Practitioners prefer the term YOD to avoid confusion between the staging of dementia as “early dementia” or “early Alzheimer’s disease” versus diagnosis prior to the age of 65 (</w:t>
      </w:r>
      <w:hyperlink r:id="rId19" w:history="1">
        <w:r w:rsidRPr="00921E4A">
          <w:rPr>
            <w:rStyle w:val="Hyperlink"/>
            <w:rFonts w:cstheme="minorHAnsi"/>
            <w:color w:val="0070C0"/>
          </w:rPr>
          <w:t>Alzheimer’s Association, 2018</w:t>
        </w:r>
      </w:hyperlink>
      <w:r w:rsidRPr="0093746E">
        <w:rPr>
          <w:rFonts w:cstheme="minorHAnsi"/>
        </w:rPr>
        <w:t>). YOD has occurred as early as people in their 20s and 30s but is more commonly seen in people in their 40s and 50s (</w:t>
      </w:r>
      <w:hyperlink r:id="rId20" w:history="1">
        <w:r w:rsidRPr="00921E4A">
          <w:rPr>
            <w:rStyle w:val="Hyperlink"/>
            <w:rFonts w:cstheme="minorHAnsi"/>
            <w:color w:val="0070C0"/>
          </w:rPr>
          <w:t>Alzheimer’s Association, 2018</w:t>
        </w:r>
      </w:hyperlink>
      <w:r w:rsidRPr="0093746E">
        <w:rPr>
          <w:rFonts w:cstheme="minorHAnsi"/>
        </w:rPr>
        <w:t>). Caregiving for a partner with YOD creates challenges resulting from changes in relationships and household dynamics (</w:t>
      </w:r>
      <w:hyperlink r:id="rId21" w:history="1">
        <w:r w:rsidRPr="00921E4A">
          <w:rPr>
            <w:rStyle w:val="Hyperlink"/>
            <w:rFonts w:cstheme="minorHAnsi"/>
            <w:color w:val="0070C0"/>
          </w:rPr>
          <w:t>Alzheimer’s Association, 2006</w:t>
        </w:r>
      </w:hyperlink>
      <w:r w:rsidRPr="0093746E">
        <w:rPr>
          <w:rFonts w:cstheme="minorHAnsi"/>
        </w:rPr>
        <w:t>; </w:t>
      </w:r>
      <w:hyperlink r:id="rId22" w:history="1">
        <w:r w:rsidRPr="00921E4A">
          <w:rPr>
            <w:rStyle w:val="Hyperlink"/>
            <w:rFonts w:cstheme="minorHAnsi"/>
            <w:color w:val="0070C0"/>
          </w:rPr>
          <w:t>Flynn &amp; Mulcahy, 2013</w:t>
        </w:r>
      </w:hyperlink>
      <w:r w:rsidRPr="0093746E">
        <w:rPr>
          <w:rFonts w:cstheme="minorHAnsi"/>
        </w:rPr>
        <w:t>).</w:t>
      </w:r>
    </w:p>
    <w:p w14:paraId="3ADEB669" w14:textId="77777777" w:rsidR="00BF2C0E" w:rsidRPr="0093746E" w:rsidRDefault="00BF2C0E" w:rsidP="00B65DAC">
      <w:pPr>
        <w:pStyle w:val="Heading1"/>
        <w:rPr>
          <w:rFonts w:asciiTheme="minorHAnsi" w:hAnsiTheme="minorHAnsi" w:cstheme="minorHAnsi"/>
          <w:color w:val="auto"/>
        </w:rPr>
      </w:pPr>
      <w:bookmarkStart w:id="3" w:name="_i1"/>
      <w:bookmarkEnd w:id="3"/>
      <w:r w:rsidRPr="0093746E">
        <w:rPr>
          <w:rFonts w:asciiTheme="minorHAnsi" w:hAnsiTheme="minorHAnsi" w:cstheme="minorHAnsi"/>
          <w:color w:val="auto"/>
        </w:rPr>
        <w:t>YOD and Caregiving Partners</w:t>
      </w:r>
    </w:p>
    <w:p w14:paraId="0D089EDB" w14:textId="77777777" w:rsidR="00BF2C0E" w:rsidRPr="0093746E" w:rsidRDefault="00BF2C0E" w:rsidP="0053729A">
      <w:pPr>
        <w:pStyle w:val="NoSpacing"/>
        <w:rPr>
          <w:rFonts w:cstheme="minorHAnsi"/>
        </w:rPr>
      </w:pPr>
      <w:r w:rsidRPr="0093746E">
        <w:rPr>
          <w:rFonts w:cstheme="minorHAnsi"/>
        </w:rPr>
        <w:t>Caregiving for a partner (life partner/spouse) diagnosed with YOD has unique challenges including multiple losses resulting from the functional, cognitive, and behavioral declines which can be demanding and stressful for the caregiver (</w:t>
      </w:r>
      <w:hyperlink r:id="rId23" w:history="1">
        <w:r w:rsidRPr="00921E4A">
          <w:rPr>
            <w:rStyle w:val="Hyperlink"/>
            <w:rFonts w:cstheme="minorHAnsi"/>
            <w:color w:val="0070C0"/>
          </w:rPr>
          <w:t>Alzheimer’s Association, 2006</w:t>
        </w:r>
      </w:hyperlink>
      <w:r w:rsidRPr="0093746E">
        <w:rPr>
          <w:rFonts w:cstheme="minorHAnsi"/>
        </w:rPr>
        <w:t>; </w:t>
      </w:r>
      <w:hyperlink r:id="rId24" w:history="1">
        <w:r w:rsidRPr="00921E4A">
          <w:rPr>
            <w:rStyle w:val="Hyperlink"/>
            <w:rFonts w:cstheme="minorHAnsi"/>
            <w:color w:val="0070C0"/>
          </w:rPr>
          <w:t>Flynn &amp; Mulcahy, 2013</w:t>
        </w:r>
      </w:hyperlink>
      <w:r w:rsidRPr="0093746E">
        <w:rPr>
          <w:rFonts w:cstheme="minorHAnsi"/>
        </w:rPr>
        <w:t>; </w:t>
      </w:r>
      <w:hyperlink r:id="rId25" w:history="1">
        <w:r w:rsidRPr="00921E4A">
          <w:rPr>
            <w:rStyle w:val="Hyperlink"/>
            <w:rFonts w:cstheme="minorHAnsi"/>
            <w:color w:val="0070C0"/>
          </w:rPr>
          <w:t xml:space="preserve">Romero, Ott, &amp; </w:t>
        </w:r>
        <w:proofErr w:type="spellStart"/>
        <w:r w:rsidRPr="00921E4A">
          <w:rPr>
            <w:rStyle w:val="Hyperlink"/>
            <w:rFonts w:cstheme="minorHAnsi"/>
            <w:color w:val="0070C0"/>
          </w:rPr>
          <w:t>Kelber</w:t>
        </w:r>
        <w:proofErr w:type="spellEnd"/>
        <w:r w:rsidRPr="00921E4A">
          <w:rPr>
            <w:rStyle w:val="Hyperlink"/>
            <w:rFonts w:cstheme="minorHAnsi"/>
            <w:color w:val="0070C0"/>
          </w:rPr>
          <w:t>, 2014</w:t>
        </w:r>
      </w:hyperlink>
      <w:r w:rsidRPr="0093746E">
        <w:rPr>
          <w:rFonts w:cstheme="minorHAnsi"/>
        </w:rPr>
        <w:t>; </w:t>
      </w:r>
      <w:hyperlink r:id="rId26" w:history="1">
        <w:r w:rsidRPr="00921E4A">
          <w:rPr>
            <w:rStyle w:val="Hyperlink"/>
            <w:rFonts w:cstheme="minorHAnsi"/>
            <w:color w:val="0070C0"/>
          </w:rPr>
          <w:t xml:space="preserve">van Vliet, de </w:t>
        </w:r>
        <w:proofErr w:type="spellStart"/>
        <w:r w:rsidRPr="00921E4A">
          <w:rPr>
            <w:rStyle w:val="Hyperlink"/>
            <w:rFonts w:cstheme="minorHAnsi"/>
            <w:color w:val="0070C0"/>
          </w:rPr>
          <w:t>Vugt</w:t>
        </w:r>
        <w:proofErr w:type="spellEnd"/>
        <w:r w:rsidRPr="00921E4A">
          <w:rPr>
            <w:rStyle w:val="Hyperlink"/>
            <w:rFonts w:cstheme="minorHAnsi"/>
            <w:color w:val="0070C0"/>
          </w:rPr>
          <w:t xml:space="preserve">, Bakker, Koopmans, &amp; </w:t>
        </w:r>
        <w:proofErr w:type="spellStart"/>
        <w:r w:rsidRPr="00921E4A">
          <w:rPr>
            <w:rStyle w:val="Hyperlink"/>
            <w:rFonts w:cstheme="minorHAnsi"/>
            <w:color w:val="0070C0"/>
          </w:rPr>
          <w:t>Verhey</w:t>
        </w:r>
        <w:proofErr w:type="spellEnd"/>
        <w:r w:rsidRPr="00921E4A">
          <w:rPr>
            <w:rStyle w:val="Hyperlink"/>
            <w:rFonts w:cstheme="minorHAnsi"/>
            <w:color w:val="0070C0"/>
          </w:rPr>
          <w:t>, 2010</w:t>
        </w:r>
      </w:hyperlink>
      <w:r w:rsidRPr="0093746E">
        <w:rPr>
          <w:rFonts w:cstheme="minorHAnsi"/>
        </w:rPr>
        <w:t>). These losses experienced by the caregiver of a partner diagnosed with YOD may result in predeath grief (PDG). PDG may contribute to high levels of burden and stress that are often reported by caregivers of partners with YOD. High levels of stress have resulted in increased incidence of depression, anxiety, hopelessness, as well as development or exacerbation of chronic illness such as cardiovascular disease along with increased mortality for these caregivers (</w:t>
      </w:r>
      <w:hyperlink r:id="rId27" w:history="1">
        <w:r w:rsidRPr="00921E4A">
          <w:rPr>
            <w:rStyle w:val="Hyperlink"/>
            <w:rFonts w:cstheme="minorHAnsi"/>
            <w:color w:val="0070C0"/>
          </w:rPr>
          <w:t>Alzheimer’s Association, 2006</w:t>
        </w:r>
      </w:hyperlink>
      <w:r w:rsidRPr="0093746E">
        <w:rPr>
          <w:rFonts w:cstheme="minorHAnsi"/>
        </w:rPr>
        <w: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Petriwskyj</w:t>
      </w:r>
      <w:proofErr w:type="spellEnd"/>
      <w:r w:rsidRPr="00921E4A">
        <w:rPr>
          <w:rStyle w:val="Hyperlink"/>
          <w:rFonts w:cstheme="minorHAnsi"/>
          <w:color w:val="0070C0"/>
        </w:rPr>
        <w:t xml:space="preserve">, Parker, </w:t>
      </w:r>
      <w:proofErr w:type="spellStart"/>
      <w:r w:rsidRPr="00921E4A">
        <w:rPr>
          <w:rStyle w:val="Hyperlink"/>
          <w:rFonts w:cstheme="minorHAnsi"/>
          <w:color w:val="0070C0"/>
        </w:rPr>
        <w:t>O’Dwyer</w:t>
      </w:r>
      <w:proofErr w:type="spellEnd"/>
      <w:r w:rsidRPr="00921E4A">
        <w:rPr>
          <w:rStyle w:val="Hyperlink"/>
          <w:rFonts w:cstheme="minorHAnsi"/>
          <w:color w:val="0070C0"/>
        </w:rPr>
        <w:t xml:space="preserve">, Moyle, &amp; </w:t>
      </w:r>
      <w:proofErr w:type="spellStart"/>
      <w:r w:rsidRPr="00921E4A">
        <w:rPr>
          <w:rStyle w:val="Hyperlink"/>
          <w:rFonts w:cstheme="minorHAnsi"/>
          <w:color w:val="0070C0"/>
        </w:rPr>
        <w:t>Nucifora</w:t>
      </w:r>
      <w:proofErr w:type="spellEnd"/>
      <w:r w:rsidRPr="00921E4A">
        <w:rPr>
          <w:rStyle w:val="Hyperlink"/>
          <w:rFonts w:cstheme="minorHAnsi"/>
          <w:color w:val="0070C0"/>
        </w:rPr>
        <w:t>, 2016</w:t>
      </w:r>
      <w:r w:rsidRPr="0093746E">
        <w:rPr>
          <w:rFonts w:cstheme="minorHAnsi"/>
        </w:rPr>
        <w:fldChar w:fldCharType="end"/>
      </w:r>
      <w:r w:rsidRPr="0093746E">
        <w:rPr>
          <w:rFonts w:cstheme="minorHAnsi"/>
        </w:rPr>
        <w:t>).</w:t>
      </w:r>
    </w:p>
    <w:p w14:paraId="15C26344" w14:textId="77777777" w:rsidR="00FF61A7" w:rsidRPr="0093746E" w:rsidRDefault="00FF61A7" w:rsidP="0053729A">
      <w:pPr>
        <w:pStyle w:val="NoSpacing"/>
        <w:rPr>
          <w:rFonts w:cstheme="minorHAnsi"/>
        </w:rPr>
      </w:pPr>
    </w:p>
    <w:p w14:paraId="1EC300B1" w14:textId="21640938" w:rsidR="00BF2C0E" w:rsidRPr="0093746E" w:rsidRDefault="00BF2C0E" w:rsidP="0053729A">
      <w:pPr>
        <w:pStyle w:val="NoSpacing"/>
        <w:rPr>
          <w:rFonts w:cstheme="minorHAnsi"/>
        </w:rPr>
      </w:pPr>
      <w:r w:rsidRPr="0093746E">
        <w:rPr>
          <w:rFonts w:cstheme="minorHAnsi"/>
        </w:rPr>
        <w:t>PDG exposes family members to the risk of maladaptation and depression as they watched the social and intellectual death of their loved one due to dementia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Marwit</w:t>
      </w:r>
      <w:proofErr w:type="spellEnd"/>
      <w:r w:rsidRPr="00921E4A">
        <w:rPr>
          <w:rStyle w:val="Hyperlink"/>
          <w:rFonts w:cstheme="minorHAnsi"/>
          <w:color w:val="0070C0"/>
        </w:rPr>
        <w:t xml:space="preserve"> &amp; Meuser, 2005</w:t>
      </w:r>
      <w:r w:rsidRPr="0093746E">
        <w:rPr>
          <w:rFonts w:cstheme="minorHAnsi"/>
        </w:rPr>
        <w:fldChar w:fldCharType="end"/>
      </w:r>
      <w:r w:rsidRPr="0093746E">
        <w:rPr>
          <w:rFonts w:cstheme="minorHAnsi"/>
        </w:rPr>
        <w:t>). </w:t>
      </w:r>
      <w:hyperlink r:id="rId28" w:history="1">
        <w:r w:rsidRPr="00921E4A">
          <w:rPr>
            <w:rStyle w:val="Hyperlink"/>
            <w:rFonts w:cstheme="minorHAnsi"/>
            <w:color w:val="0070C0"/>
          </w:rPr>
          <w:t xml:space="preserve">Lindauer and </w:t>
        </w:r>
        <w:proofErr w:type="spellStart"/>
        <w:r w:rsidRPr="00921E4A">
          <w:rPr>
            <w:rStyle w:val="Hyperlink"/>
            <w:rFonts w:cstheme="minorHAnsi"/>
            <w:color w:val="0070C0"/>
          </w:rPr>
          <w:t>Harvath</w:t>
        </w:r>
        <w:proofErr w:type="spellEnd"/>
        <w:r w:rsidRPr="00921E4A">
          <w:rPr>
            <w:rStyle w:val="Hyperlink"/>
            <w:rFonts w:cstheme="minorHAnsi"/>
            <w:color w:val="0070C0"/>
          </w:rPr>
          <w:t xml:space="preserve"> (2014)</w:t>
        </w:r>
      </w:hyperlink>
      <w:r w:rsidRPr="0093746E">
        <w:rPr>
          <w:rFonts w:cstheme="minorHAnsi"/>
        </w:rPr>
        <w:t>defined the concept of PDG in caregivers of persons diagnosed with dementia as the “emotional and physical response to the perceived loss in a valued care recipient” (p. 2203). Caregivers of partners with YOD experienced PDG in the loss of the reciprocal relationship (</w:t>
      </w:r>
      <w:hyperlink r:id="rId29" w:history="1">
        <w:r w:rsidRPr="00921E4A">
          <w:rPr>
            <w:rStyle w:val="Hyperlink"/>
            <w:rFonts w:cstheme="minorHAnsi"/>
            <w:color w:val="0070C0"/>
          </w:rPr>
          <w:t xml:space="preserve">Lindauer &amp; </w:t>
        </w:r>
        <w:proofErr w:type="spellStart"/>
        <w:r w:rsidRPr="00921E4A">
          <w:rPr>
            <w:rStyle w:val="Hyperlink"/>
            <w:rFonts w:cstheme="minorHAnsi"/>
            <w:color w:val="0070C0"/>
          </w:rPr>
          <w:t>Harvath</w:t>
        </w:r>
        <w:proofErr w:type="spellEnd"/>
        <w:r w:rsidRPr="00921E4A">
          <w:rPr>
            <w:rStyle w:val="Hyperlink"/>
            <w:rFonts w:cstheme="minorHAnsi"/>
            <w:color w:val="0070C0"/>
          </w:rPr>
          <w:t>, 2014</w:t>
        </w:r>
      </w:hyperlink>
      <w:r w:rsidRPr="0093746E">
        <w:rPr>
          <w:rFonts w:cstheme="minorHAnsi"/>
        </w:rPr>
        <w: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Marwit</w:t>
      </w:r>
      <w:proofErr w:type="spellEnd"/>
      <w:r w:rsidRPr="00921E4A">
        <w:rPr>
          <w:rStyle w:val="Hyperlink"/>
          <w:rFonts w:cstheme="minorHAnsi"/>
          <w:color w:val="0070C0"/>
        </w:rPr>
        <w:t xml:space="preserve"> &amp; Meuser, 2005</w:t>
      </w:r>
      <w:r w:rsidRPr="0093746E">
        <w:rPr>
          <w:rFonts w:cstheme="minorHAnsi"/>
        </w:rPr>
        <w:fldChar w:fldCharType="end"/>
      </w:r>
      <w:r w:rsidRPr="0093746E">
        <w:rPr>
          <w:rFonts w:cstheme="minorHAnsi"/>
        </w:rPr>
        <w:t>) which has been associated with sadness, loneliness, and frustration (</w:t>
      </w:r>
      <w:hyperlink r:id="rId30" w:history="1">
        <w:r w:rsidRPr="00921E4A">
          <w:rPr>
            <w:rStyle w:val="Hyperlink"/>
            <w:rFonts w:cstheme="minorHAnsi"/>
            <w:color w:val="0070C0"/>
          </w:rPr>
          <w:t>Flynn &amp; Mulcahy, 2013</w:t>
        </w:r>
      </w:hyperlink>
      <w:r w:rsidRPr="0093746E">
        <w:rPr>
          <w:rFonts w:cstheme="minorHAnsi"/>
        </w:rPr>
        <w:t>). This differs from anticipatory grief since with PDG there is a disruption in the relationship and in the communication with the partner, resulting in a loss of personhood (</w:t>
      </w:r>
      <w:hyperlink r:id="rId31" w:history="1">
        <w:r w:rsidRPr="00921E4A">
          <w:rPr>
            <w:rStyle w:val="Hyperlink"/>
            <w:rFonts w:cstheme="minorHAnsi"/>
            <w:color w:val="0070C0"/>
          </w:rPr>
          <w:t xml:space="preserve">Lindauer &amp; </w:t>
        </w:r>
        <w:proofErr w:type="spellStart"/>
        <w:r w:rsidRPr="00921E4A">
          <w:rPr>
            <w:rStyle w:val="Hyperlink"/>
            <w:rFonts w:cstheme="minorHAnsi"/>
            <w:color w:val="0070C0"/>
          </w:rPr>
          <w:t>Harvath</w:t>
        </w:r>
        <w:proofErr w:type="spellEnd"/>
        <w:r w:rsidRPr="00921E4A">
          <w:rPr>
            <w:rStyle w:val="Hyperlink"/>
            <w:rFonts w:cstheme="minorHAnsi"/>
            <w:color w:val="0070C0"/>
          </w:rPr>
          <w:t>, 2014</w:t>
        </w:r>
      </w:hyperlink>
      <w:r w:rsidRPr="0093746E">
        <w:rPr>
          <w:rFonts w:cstheme="minorHAnsi"/>
        </w:rPr>
        <w: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Marwit</w:t>
      </w:r>
      <w:proofErr w:type="spellEnd"/>
      <w:r w:rsidRPr="00921E4A">
        <w:rPr>
          <w:rStyle w:val="Hyperlink"/>
          <w:rFonts w:cstheme="minorHAnsi"/>
          <w:color w:val="0070C0"/>
        </w:rPr>
        <w:t xml:space="preserve"> &amp; Meuser, 2005</w:t>
      </w:r>
      <w:r w:rsidRPr="0093746E">
        <w:rPr>
          <w:rFonts w:cstheme="minorHAnsi"/>
        </w:rPr>
        <w:fldChar w:fldCharType="end"/>
      </w:r>
      <w:r w:rsidRPr="0093746E">
        <w:rPr>
          <w:rFonts w:cstheme="minorHAnsi"/>
        </w:rPr>
        <w:t>). The care partner may be experiencing a loss of the partner “who used to be” even when the partner is still present in a physical sense.</w:t>
      </w:r>
    </w:p>
    <w:p w14:paraId="504C0A5A" w14:textId="77777777" w:rsidR="00FF61A7" w:rsidRPr="0093746E" w:rsidRDefault="00FF61A7" w:rsidP="0053729A">
      <w:pPr>
        <w:pStyle w:val="NoSpacing"/>
        <w:rPr>
          <w:rFonts w:cstheme="minorHAnsi"/>
        </w:rPr>
      </w:pPr>
    </w:p>
    <w:p w14:paraId="39FE4491" w14:textId="5D66EAD6" w:rsidR="00BF2C0E" w:rsidRPr="0093746E" w:rsidRDefault="00BF2C0E" w:rsidP="0053729A">
      <w:pPr>
        <w:pStyle w:val="NoSpacing"/>
        <w:rPr>
          <w:rFonts w:cstheme="minorHAnsi"/>
        </w:rPr>
      </w:pPr>
      <w:r w:rsidRPr="0093746E">
        <w:rPr>
          <w:rFonts w:cstheme="minorHAnsi"/>
        </w:rPr>
        <w:t>Caregiving partners of a person diagnosed with YOD also experience PDG with the losses associated with job loss, financial loss, companionship loss, social loss, and other personal loss. These other personal losses include loss of personal freedom, recreation opportunities, personal identity, and personal health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Svanberg</w:t>
      </w:r>
      <w:proofErr w:type="spellEnd"/>
      <w:r w:rsidRPr="00921E4A">
        <w:rPr>
          <w:rStyle w:val="Hyperlink"/>
          <w:rFonts w:cstheme="minorHAnsi"/>
          <w:color w:val="0070C0"/>
        </w:rPr>
        <w:t>, Spector, &amp; Stott, 2011</w:t>
      </w:r>
      <w:r w:rsidRPr="0093746E">
        <w:rPr>
          <w:rFonts w:cstheme="minorHAnsi"/>
        </w:rPr>
        <w:fldChar w:fldCharType="end"/>
      </w:r>
      <w:r w:rsidRPr="0093746E">
        <w:rPr>
          <w:rFonts w:cstheme="minorHAnsi"/>
        </w:rPr>
        <w: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Wawrziczny</w:t>
      </w:r>
      <w:proofErr w:type="spellEnd"/>
      <w:r w:rsidRPr="00921E4A">
        <w:rPr>
          <w:rStyle w:val="Hyperlink"/>
          <w:rFonts w:cstheme="minorHAnsi"/>
          <w:color w:val="0070C0"/>
        </w:rPr>
        <w:t xml:space="preserve">, </w:t>
      </w:r>
      <w:proofErr w:type="spellStart"/>
      <w:r w:rsidRPr="00921E4A">
        <w:rPr>
          <w:rStyle w:val="Hyperlink"/>
          <w:rFonts w:cstheme="minorHAnsi"/>
          <w:color w:val="0070C0"/>
        </w:rPr>
        <w:t>Pasquier</w:t>
      </w:r>
      <w:proofErr w:type="spellEnd"/>
      <w:r w:rsidRPr="00921E4A">
        <w:rPr>
          <w:rStyle w:val="Hyperlink"/>
          <w:rFonts w:cstheme="minorHAnsi"/>
          <w:color w:val="0070C0"/>
        </w:rPr>
        <w:t xml:space="preserve">, Ducharme, </w:t>
      </w:r>
      <w:proofErr w:type="spellStart"/>
      <w:r w:rsidRPr="00921E4A">
        <w:rPr>
          <w:rStyle w:val="Hyperlink"/>
          <w:rFonts w:cstheme="minorHAnsi"/>
          <w:color w:val="0070C0"/>
        </w:rPr>
        <w:t>Kergoat</w:t>
      </w:r>
      <w:proofErr w:type="spellEnd"/>
      <w:r w:rsidRPr="00921E4A">
        <w:rPr>
          <w:rStyle w:val="Hyperlink"/>
          <w:rFonts w:cstheme="minorHAnsi"/>
          <w:color w:val="0070C0"/>
        </w:rPr>
        <w:t>, &amp; Antoine, 2017</w:t>
      </w:r>
      <w:r w:rsidRPr="0093746E">
        <w:rPr>
          <w:rFonts w:cstheme="minorHAnsi"/>
        </w:rPr>
        <w:fldChar w:fldCharType="end"/>
      </w:r>
      <w:r w:rsidRPr="0093746E">
        <w:rPr>
          <w:rFonts w:cstheme="minorHAnsi"/>
        </w:rPr>
        <w:t xml:space="preserve">). In addition, there is ambiguous loss that occurs when the life partner is physically present but not able to be part of the dynamic psychosocial </w:t>
      </w:r>
      <w:r w:rsidRPr="0093746E">
        <w:rPr>
          <w:rFonts w:cstheme="minorHAnsi"/>
        </w:rPr>
        <w:lastRenderedPageBreak/>
        <w:t>relationship between the couple (</w:t>
      </w:r>
      <w:hyperlink r:id="rId32" w:history="1">
        <w:r w:rsidRPr="00921E4A">
          <w:rPr>
            <w:rStyle w:val="Hyperlink"/>
            <w:rFonts w:cstheme="minorHAnsi"/>
            <w:color w:val="0070C0"/>
          </w:rPr>
          <w:t>Frank, 2007</w:t>
        </w:r>
      </w:hyperlink>
      <w:r w:rsidRPr="0093746E">
        <w:rPr>
          <w:rFonts w:cstheme="minorHAnsi"/>
        </w:rPr>
        <w: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Svanberg</w:t>
      </w:r>
      <w:proofErr w:type="spellEnd"/>
      <w:r w:rsidRPr="00921E4A">
        <w:rPr>
          <w:rStyle w:val="Hyperlink"/>
          <w:rFonts w:cstheme="minorHAnsi"/>
          <w:color w:val="0070C0"/>
        </w:rPr>
        <w:t xml:space="preserve"> et al., 2011</w:t>
      </w:r>
      <w:r w:rsidRPr="0093746E">
        <w:rPr>
          <w:rFonts w:cstheme="minorHAnsi"/>
        </w:rPr>
        <w:fldChar w:fldCharType="end"/>
      </w:r>
      <w:r w:rsidRPr="0093746E">
        <w:rPr>
          <w:rFonts w:cstheme="minorHAnsi"/>
        </w:rPr>
        <w:t>). The partner also faces the loss of future hopes and dreams which includes the loss of all the plans the couple may have made prior to the YOD diagnosis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Wawrziczny</w:t>
      </w:r>
      <w:proofErr w:type="spellEnd"/>
      <w:r w:rsidRPr="00921E4A">
        <w:rPr>
          <w:rStyle w:val="Hyperlink"/>
          <w:rFonts w:cstheme="minorHAnsi"/>
          <w:color w:val="0070C0"/>
        </w:rPr>
        <w:t xml:space="preserve"> et al., 2017</w:t>
      </w:r>
      <w:r w:rsidRPr="0093746E">
        <w:rPr>
          <w:rFonts w:cstheme="minorHAnsi"/>
        </w:rPr>
        <w:fldChar w:fldCharType="end"/>
      </w:r>
      <w:r w:rsidRPr="0093746E">
        <w:rPr>
          <w:rFonts w:cstheme="minorHAnsi"/>
        </w:rPr>
        <w:t>).</w:t>
      </w:r>
    </w:p>
    <w:p w14:paraId="04A2EDE1" w14:textId="77777777" w:rsidR="00FF61A7" w:rsidRPr="0093746E" w:rsidRDefault="00FF61A7" w:rsidP="0053729A">
      <w:pPr>
        <w:pStyle w:val="NoSpacing"/>
        <w:rPr>
          <w:rFonts w:cstheme="minorHAnsi"/>
        </w:rPr>
      </w:pPr>
    </w:p>
    <w:p w14:paraId="6A994657" w14:textId="10360D25" w:rsidR="00BF2C0E" w:rsidRPr="0093746E" w:rsidRDefault="00BF2C0E" w:rsidP="0053729A">
      <w:pPr>
        <w:pStyle w:val="NoSpacing"/>
        <w:rPr>
          <w:rFonts w:cstheme="minorHAnsi"/>
        </w:rPr>
      </w:pPr>
      <w:r w:rsidRPr="0093746E">
        <w:rPr>
          <w:rFonts w:cstheme="minorHAnsi"/>
        </w:rPr>
        <w:t>For caregivers of persons with YOD, PDG also results from a continual loss that occurs because of the disease trajectory with new losses occurring as the dementia progresses (</w:t>
      </w:r>
      <w:hyperlink r:id="rId33" w:history="1">
        <w:r w:rsidRPr="00921E4A">
          <w:rPr>
            <w:rStyle w:val="Hyperlink"/>
            <w:rFonts w:cstheme="minorHAnsi"/>
            <w:color w:val="0070C0"/>
          </w:rPr>
          <w:t xml:space="preserve">Lindauer &amp; </w:t>
        </w:r>
        <w:proofErr w:type="spellStart"/>
        <w:r w:rsidRPr="00921E4A">
          <w:rPr>
            <w:rStyle w:val="Hyperlink"/>
            <w:rFonts w:cstheme="minorHAnsi"/>
            <w:color w:val="0070C0"/>
          </w:rPr>
          <w:t>Harvath</w:t>
        </w:r>
        <w:proofErr w:type="spellEnd"/>
        <w:r w:rsidRPr="00921E4A">
          <w:rPr>
            <w:rStyle w:val="Hyperlink"/>
            <w:rFonts w:cstheme="minorHAnsi"/>
            <w:color w:val="0070C0"/>
          </w:rPr>
          <w:t>, 2014</w:t>
        </w:r>
      </w:hyperlink>
      <w:r w:rsidRPr="0093746E">
        <w:rPr>
          <w:rFonts w:cstheme="minorHAnsi"/>
        </w:rPr>
        <w:t>). With the progressive deterioration in functioning experienced with a YOD diagnosis, losses continue to cascade as the care recipient moves from the inability to work outside the home to inability to help around the house to inability to care for self (</w:t>
      </w:r>
      <w:hyperlink r:id="rId34" w:history="1">
        <w:r w:rsidRPr="00921E4A">
          <w:rPr>
            <w:rStyle w:val="Hyperlink"/>
            <w:rFonts w:cstheme="minorHAnsi"/>
            <w:color w:val="0070C0"/>
          </w:rPr>
          <w:t>Alzheimer’s Association, 2006</w:t>
        </w:r>
      </w:hyperlink>
      <w:r w:rsidRPr="0093746E">
        <w:rPr>
          <w:rFonts w:cstheme="minorHAnsi"/>
        </w:rPr>
        <w:t>; </w:t>
      </w:r>
      <w:hyperlink r:id="rId35" w:history="1">
        <w:r w:rsidRPr="00921E4A">
          <w:rPr>
            <w:rStyle w:val="Hyperlink"/>
            <w:rFonts w:cstheme="minorHAnsi"/>
            <w:color w:val="0070C0"/>
          </w:rPr>
          <w:t xml:space="preserve">Meuser, </w:t>
        </w:r>
        <w:proofErr w:type="spellStart"/>
        <w:r w:rsidRPr="00921E4A">
          <w:rPr>
            <w:rStyle w:val="Hyperlink"/>
            <w:rFonts w:cstheme="minorHAnsi"/>
            <w:color w:val="0070C0"/>
          </w:rPr>
          <w:t>Marwit</w:t>
        </w:r>
        <w:proofErr w:type="spellEnd"/>
        <w:r w:rsidRPr="00921E4A">
          <w:rPr>
            <w:rStyle w:val="Hyperlink"/>
            <w:rFonts w:cstheme="minorHAnsi"/>
            <w:color w:val="0070C0"/>
          </w:rPr>
          <w:t>, &amp; Sanders, 2004</w:t>
        </w:r>
      </w:hyperlink>
      <w:r w:rsidRPr="0093746E">
        <w:rPr>
          <w:rFonts w:cstheme="minorHAnsi"/>
        </w:rPr>
        <w:t>). In addition, the care recipient slowly loses the ability to actively engage in social settings and in the reciprocal relationship with the caregiving partner (</w:t>
      </w:r>
      <w:hyperlink r:id="rId36" w:history="1">
        <w:r w:rsidRPr="00921E4A">
          <w:rPr>
            <w:rStyle w:val="Hyperlink"/>
            <w:rFonts w:cstheme="minorHAnsi"/>
            <w:color w:val="0070C0"/>
          </w:rPr>
          <w:t>Alzheimer’s Association, 2006</w:t>
        </w:r>
      </w:hyperlink>
      <w:r w:rsidRPr="0093746E">
        <w:rPr>
          <w:rFonts w:cstheme="minorHAnsi"/>
        </w:rPr>
        <w:t>; </w:t>
      </w:r>
      <w:hyperlink r:id="rId37" w:history="1">
        <w:r w:rsidRPr="00921E4A">
          <w:rPr>
            <w:rStyle w:val="Hyperlink"/>
            <w:rFonts w:cstheme="minorHAnsi"/>
            <w:color w:val="0070C0"/>
          </w:rPr>
          <w:t xml:space="preserve">Lindauer &amp; </w:t>
        </w:r>
        <w:proofErr w:type="spellStart"/>
        <w:r w:rsidRPr="00921E4A">
          <w:rPr>
            <w:rStyle w:val="Hyperlink"/>
            <w:rFonts w:cstheme="minorHAnsi"/>
            <w:color w:val="0070C0"/>
          </w:rPr>
          <w:t>Harvath</w:t>
        </w:r>
        <w:proofErr w:type="spellEnd"/>
        <w:r w:rsidRPr="00921E4A">
          <w:rPr>
            <w:rStyle w:val="Hyperlink"/>
            <w:rFonts w:cstheme="minorHAnsi"/>
            <w:color w:val="0070C0"/>
          </w:rPr>
          <w:t>, 2014</w:t>
        </w:r>
      </w:hyperlink>
      <w:r w:rsidRPr="0093746E">
        <w:rPr>
          <w:rFonts w:cstheme="minorHAnsi"/>
        </w:rPr>
        <w: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Marwit</w:t>
      </w:r>
      <w:proofErr w:type="spellEnd"/>
      <w:r w:rsidRPr="00921E4A">
        <w:rPr>
          <w:rStyle w:val="Hyperlink"/>
          <w:rFonts w:cstheme="minorHAnsi"/>
          <w:color w:val="0070C0"/>
        </w:rPr>
        <w:t xml:space="preserve"> &amp; Meuser, 2005</w:t>
      </w:r>
      <w:r w:rsidRPr="0093746E">
        <w:rPr>
          <w:rFonts w:cstheme="minorHAnsi"/>
        </w:rPr>
        <w:fldChar w:fldCharType="end"/>
      </w:r>
      <w:r w:rsidRPr="0093746E">
        <w:rPr>
          <w:rFonts w:cstheme="minorHAnsi"/>
        </w:rPr>
        <w: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Millenaar</w:t>
      </w:r>
      <w:proofErr w:type="spellEnd"/>
      <w:r w:rsidRPr="00921E4A">
        <w:rPr>
          <w:rStyle w:val="Hyperlink"/>
          <w:rFonts w:cstheme="minorHAnsi"/>
          <w:color w:val="0070C0"/>
        </w:rPr>
        <w:t xml:space="preserve"> et al., 2016</w:t>
      </w:r>
      <w:r w:rsidRPr="0093746E">
        <w:rPr>
          <w:rFonts w:cstheme="minorHAnsi"/>
        </w:rPr>
        <w:fldChar w:fldCharType="end"/>
      </w:r>
      <w:r w:rsidRPr="0093746E">
        <w:rPr>
          <w:rFonts w:cstheme="minorHAnsi"/>
        </w:rPr>
        <w: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Warchol-Biedermann</w:t>
      </w:r>
      <w:proofErr w:type="spellEnd"/>
      <w:r w:rsidRPr="00921E4A">
        <w:rPr>
          <w:rStyle w:val="Hyperlink"/>
          <w:rFonts w:cstheme="minorHAnsi"/>
          <w:color w:val="0070C0"/>
        </w:rPr>
        <w:t xml:space="preserve"> et al., 2014</w:t>
      </w:r>
      <w:r w:rsidRPr="0093746E">
        <w:rPr>
          <w:rFonts w:cstheme="minorHAnsi"/>
        </w:rPr>
        <w:fldChar w:fldCharType="end"/>
      </w:r>
      <w:r w:rsidRPr="0093746E">
        <w:rPr>
          <w:rFonts w:cstheme="minorHAnsi"/>
        </w:rPr>
        <w:t>). This downward spiral of losses compounds PDG as the caregiving partner grieves for their previous life together (</w:t>
      </w:r>
      <w:hyperlink r:id="rId38" w:history="1">
        <w:r w:rsidRPr="00921E4A">
          <w:rPr>
            <w:rStyle w:val="Hyperlink"/>
            <w:rFonts w:cstheme="minorHAnsi"/>
            <w:color w:val="0070C0"/>
          </w:rPr>
          <w:t>Alzheimer’s Association, 2006</w:t>
        </w:r>
      </w:hyperlink>
      <w:r w:rsidRPr="0093746E">
        <w:rPr>
          <w:rFonts w:cstheme="minorHAnsi"/>
        </w:rPr>
        <w:t>; </w:t>
      </w:r>
      <w:hyperlink r:id="rId39" w:history="1">
        <w:r w:rsidRPr="00921E4A">
          <w:rPr>
            <w:rStyle w:val="Hyperlink"/>
            <w:rFonts w:cstheme="minorHAnsi"/>
            <w:color w:val="0070C0"/>
          </w:rPr>
          <w:t>Meuser et al., 2004</w:t>
        </w:r>
      </w:hyperlink>
      <w:r w:rsidRPr="0093746E">
        <w:rPr>
          <w:rFonts w:cstheme="minorHAnsi"/>
        </w:rPr>
        <w: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Millenaar</w:t>
      </w:r>
      <w:proofErr w:type="spellEnd"/>
      <w:r w:rsidRPr="00921E4A">
        <w:rPr>
          <w:rStyle w:val="Hyperlink"/>
          <w:rFonts w:cstheme="minorHAnsi"/>
          <w:color w:val="0070C0"/>
        </w:rPr>
        <w:t xml:space="preserve"> et al., 2016</w:t>
      </w:r>
      <w:r w:rsidRPr="0093746E">
        <w:rPr>
          <w:rFonts w:cstheme="minorHAnsi"/>
        </w:rPr>
        <w:fldChar w:fldCharType="end"/>
      </w:r>
      <w:r w:rsidRPr="0093746E">
        <w:rPr>
          <w:rFonts w:cstheme="minorHAnsi"/>
        </w:rPr>
        <w: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Warchol-Biedermann</w:t>
      </w:r>
      <w:proofErr w:type="spellEnd"/>
      <w:r w:rsidRPr="00921E4A">
        <w:rPr>
          <w:rStyle w:val="Hyperlink"/>
          <w:rFonts w:cstheme="minorHAnsi"/>
          <w:color w:val="0070C0"/>
        </w:rPr>
        <w:t xml:space="preserve"> et al., 2014</w:t>
      </w:r>
      <w:r w:rsidRPr="0093746E">
        <w:rPr>
          <w:rFonts w:cstheme="minorHAnsi"/>
        </w:rPr>
        <w:fldChar w:fldCharType="end"/>
      </w:r>
      <w:r w:rsidRPr="0093746E">
        <w:rPr>
          <w:rFonts w:cstheme="minorHAnsi"/>
        </w:rPr>
        <w:t>).</w:t>
      </w:r>
    </w:p>
    <w:p w14:paraId="214B460A" w14:textId="77777777" w:rsidR="00FF61A7" w:rsidRPr="0093746E" w:rsidRDefault="00FF61A7" w:rsidP="0053729A">
      <w:pPr>
        <w:pStyle w:val="NoSpacing"/>
        <w:rPr>
          <w:rFonts w:cstheme="minorHAnsi"/>
        </w:rPr>
      </w:pPr>
    </w:p>
    <w:p w14:paraId="152C6561" w14:textId="798C955F" w:rsidR="00BF2C0E" w:rsidRPr="0093746E" w:rsidRDefault="00BF2C0E" w:rsidP="0053729A">
      <w:pPr>
        <w:pStyle w:val="NoSpacing"/>
        <w:rPr>
          <w:rFonts w:cstheme="minorHAnsi"/>
        </w:rPr>
      </w:pPr>
      <w:r w:rsidRPr="0093746E">
        <w:rPr>
          <w:rFonts w:cstheme="minorHAnsi"/>
        </w:rPr>
        <w:t>Resourcefulness skills have been found to be a protective factor for caregivers of persons with dementias diagnosed after the age of 65 (</w:t>
      </w:r>
      <w:hyperlink r:id="rId40" w:history="1">
        <w:r w:rsidRPr="00921E4A">
          <w:rPr>
            <w:rStyle w:val="Hyperlink"/>
            <w:rFonts w:cstheme="minorHAnsi"/>
            <w:color w:val="0070C0"/>
          </w:rPr>
          <w:t>Bekhet, 2013</w:t>
        </w:r>
      </w:hyperlink>
      <w:r w:rsidRPr="0093746E">
        <w:rPr>
          <w:rFonts w:cstheme="minorHAnsi"/>
        </w:rPr>
        <w: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Zauszniewski</w:t>
      </w:r>
      <w:proofErr w:type="spellEnd"/>
      <w:r w:rsidRPr="00921E4A">
        <w:rPr>
          <w:rStyle w:val="Hyperlink"/>
          <w:rFonts w:cstheme="minorHAnsi"/>
          <w:color w:val="0070C0"/>
        </w:rPr>
        <w:t xml:space="preserve">, Lau, &amp; </w:t>
      </w:r>
      <w:proofErr w:type="spellStart"/>
      <w:r w:rsidRPr="00921E4A">
        <w:rPr>
          <w:rStyle w:val="Hyperlink"/>
          <w:rFonts w:cstheme="minorHAnsi"/>
          <w:color w:val="0070C0"/>
        </w:rPr>
        <w:t>Tithiphontumrong</w:t>
      </w:r>
      <w:proofErr w:type="spellEnd"/>
      <w:r w:rsidRPr="00921E4A">
        <w:rPr>
          <w:rStyle w:val="Hyperlink"/>
          <w:rFonts w:cstheme="minorHAnsi"/>
          <w:color w:val="0070C0"/>
        </w:rPr>
        <w:t>, 2006</w:t>
      </w:r>
      <w:r w:rsidRPr="0093746E">
        <w:rPr>
          <w:rFonts w:cstheme="minorHAnsi"/>
        </w:rPr>
        <w:fldChar w:fldCharType="end"/>
      </w:r>
      <w:r w:rsidRPr="0093746E">
        <w:rPr>
          <w:rFonts w:cstheme="minorHAnsi"/>
        </w:rPr>
        <w:t>). Resourcefulness was originally defined as behaviors and skills that allow for adjustment against disruption (</w:t>
      </w:r>
      <w:hyperlink r:id="rId41" w:history="1">
        <w:r w:rsidRPr="00921E4A">
          <w:rPr>
            <w:rStyle w:val="Hyperlink"/>
            <w:rFonts w:cstheme="minorHAnsi"/>
            <w:color w:val="0070C0"/>
          </w:rPr>
          <w:t>Rosenbaum, 1990</w:t>
        </w:r>
      </w:hyperlink>
      <w:r w:rsidRPr="0093746E">
        <w:rPr>
          <w:rFonts w:cstheme="minorHAnsi"/>
        </w:rPr>
        <w:t>). More recent definitions of resourcefulness include two complimentary parts known as personal resourcefulness and social resourcefulness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Zauszniewski</w:t>
      </w:r>
      <w:proofErr w:type="spellEnd"/>
      <w:r w:rsidRPr="00921E4A">
        <w:rPr>
          <w:rStyle w:val="Hyperlink"/>
          <w:rFonts w:cstheme="minorHAnsi"/>
          <w:color w:val="0070C0"/>
        </w:rPr>
        <w:t xml:space="preserve"> et al., 2006</w:t>
      </w:r>
      <w:r w:rsidRPr="0093746E">
        <w:rPr>
          <w:rFonts w:cstheme="minorHAnsi"/>
        </w:rPr>
        <w:fldChar w:fldCharType="end"/>
      </w:r>
      <w:r w:rsidRPr="0093746E">
        <w:rPr>
          <w:rFonts w:cstheme="minorHAnsi"/>
        </w:rPr>
        <w:t>). Personal resourcefulness is the ability to function and maintain daily independence often referred to as “self-help” (</w:t>
      </w:r>
      <w:hyperlink r:id="rId42" w:history="1">
        <w:r w:rsidRPr="00921E4A">
          <w:rPr>
            <w:rStyle w:val="Hyperlink"/>
            <w:rFonts w:cstheme="minorHAnsi"/>
            <w:color w:val="0070C0"/>
          </w:rPr>
          <w:t>Bekhet, 2013</w:t>
        </w:r>
      </w:hyperlink>
      <w:r w:rsidRPr="0093746E">
        <w:rPr>
          <w:rFonts w:cstheme="minorHAnsi"/>
        </w:rPr>
        <w: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Zauszniewski</w:t>
      </w:r>
      <w:proofErr w:type="spellEnd"/>
      <w:r w:rsidRPr="00921E4A">
        <w:rPr>
          <w:rStyle w:val="Hyperlink"/>
          <w:rFonts w:cstheme="minorHAnsi"/>
          <w:color w:val="0070C0"/>
        </w:rPr>
        <w:t xml:space="preserve"> et al., 2006</w:t>
      </w:r>
      <w:r w:rsidRPr="0093746E">
        <w:rPr>
          <w:rFonts w:cstheme="minorHAnsi"/>
        </w:rPr>
        <w:fldChar w:fldCharType="end"/>
      </w:r>
      <w:r w:rsidRPr="0093746E">
        <w:rPr>
          <w:rFonts w:cstheme="minorHAnsi"/>
        </w:rPr>
        <w:t>). Whereas, social resourcefulness (help seeking) is the ability to seek out, find, and ask for help when needed (</w:t>
      </w:r>
      <w:hyperlink r:id="rId43" w:history="1">
        <w:r w:rsidRPr="00921E4A">
          <w:rPr>
            <w:rStyle w:val="Hyperlink"/>
            <w:rFonts w:cstheme="minorHAnsi"/>
            <w:color w:val="0070C0"/>
          </w:rPr>
          <w:t>Bekhet, 2013</w:t>
        </w:r>
      </w:hyperlink>
      <w:r w:rsidRPr="0093746E">
        <w:rPr>
          <w:rFonts w:cstheme="minorHAnsi"/>
        </w:rPr>
        <w: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Zauszniewski</w:t>
      </w:r>
      <w:proofErr w:type="spellEnd"/>
      <w:r w:rsidRPr="00921E4A">
        <w:rPr>
          <w:rStyle w:val="Hyperlink"/>
          <w:rFonts w:cstheme="minorHAnsi"/>
          <w:color w:val="0070C0"/>
        </w:rPr>
        <w:t xml:space="preserve"> et al., 2006</w:t>
      </w:r>
      <w:r w:rsidRPr="0093746E">
        <w:rPr>
          <w:rFonts w:cstheme="minorHAnsi"/>
        </w:rPr>
        <w:fldChar w:fldCharType="end"/>
      </w:r>
      <w:r w:rsidRPr="0093746E">
        <w:rPr>
          <w:rFonts w:cstheme="minorHAnsi"/>
        </w:rPr>
        <w:t>). Social resourcefulness is an external process of seeking assistance from other individuals or agencies when one is no longer able to successfully manage on one’s own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Zauszniewski</w:t>
      </w:r>
      <w:proofErr w:type="spellEnd"/>
      <w:r w:rsidRPr="00921E4A">
        <w:rPr>
          <w:rStyle w:val="Hyperlink"/>
          <w:rFonts w:cstheme="minorHAnsi"/>
          <w:color w:val="0070C0"/>
        </w:rPr>
        <w:t xml:space="preserve"> et al., 2006</w:t>
      </w:r>
      <w:r w:rsidRPr="0093746E">
        <w:rPr>
          <w:rFonts w:cstheme="minorHAnsi"/>
        </w:rPr>
        <w:fldChar w:fldCharType="end"/>
      </w:r>
      <w:r w:rsidRPr="0093746E">
        <w:rPr>
          <w:rFonts w:cstheme="minorHAnsi"/>
        </w:rPr>
        <w:t>). The ability to self-help and seek-help are behaviors that are important for managing stressful situations and cope with adverse events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Zauszniewski</w:t>
      </w:r>
      <w:proofErr w:type="spellEnd"/>
      <w:r w:rsidRPr="00921E4A">
        <w:rPr>
          <w:rStyle w:val="Hyperlink"/>
          <w:rFonts w:cstheme="minorHAnsi"/>
          <w:color w:val="0070C0"/>
        </w:rPr>
        <w:t xml:space="preserve"> et al., 2006</w:t>
      </w:r>
      <w:r w:rsidRPr="0093746E">
        <w:rPr>
          <w:rFonts w:cstheme="minorHAnsi"/>
        </w:rPr>
        <w:fldChar w:fldCharType="end"/>
      </w:r>
      <w:r w:rsidRPr="0093746E">
        <w:rPr>
          <w:rFonts w:cstheme="minorHAnsi"/>
        </w:rPr>
        <w:t>). Both personal and social resourcefulness skills are important for optimizing well-being, health promotion, and health maintenance.</w:t>
      </w:r>
    </w:p>
    <w:p w14:paraId="7DD266FA" w14:textId="77777777" w:rsidR="00FF61A7" w:rsidRPr="0093746E" w:rsidRDefault="00FF61A7" w:rsidP="0053729A">
      <w:pPr>
        <w:pStyle w:val="NoSpacing"/>
        <w:rPr>
          <w:rFonts w:cstheme="minorHAnsi"/>
        </w:rPr>
      </w:pPr>
    </w:p>
    <w:p w14:paraId="6339F1AF" w14:textId="5FCAB018" w:rsidR="00BF2C0E" w:rsidRPr="0093746E" w:rsidRDefault="00BF2C0E" w:rsidP="0053729A">
      <w:pPr>
        <w:pStyle w:val="NoSpacing"/>
        <w:rPr>
          <w:rFonts w:cstheme="minorHAnsi"/>
        </w:rPr>
      </w:pPr>
      <w:r w:rsidRPr="0093746E">
        <w:rPr>
          <w:rFonts w:cstheme="minorHAnsi"/>
        </w:rPr>
        <w:t>Caregiver perceived stress (PS) is the result of how unpredictable, uncontrolled, and overloaded an individual finds life events which is a frequent experience of caregivers of partners with YOD (</w:t>
      </w:r>
      <w:hyperlink r:id="rId44" w:history="1">
        <w:r w:rsidRPr="00921E4A">
          <w:rPr>
            <w:rStyle w:val="Hyperlink"/>
            <w:rFonts w:cstheme="minorHAnsi"/>
            <w:color w:val="0070C0"/>
          </w:rPr>
          <w:t xml:space="preserve">Cohen, </w:t>
        </w:r>
        <w:proofErr w:type="spellStart"/>
        <w:r w:rsidRPr="00921E4A">
          <w:rPr>
            <w:rStyle w:val="Hyperlink"/>
            <w:rFonts w:cstheme="minorHAnsi"/>
            <w:color w:val="0070C0"/>
          </w:rPr>
          <w:t>Kamarck</w:t>
        </w:r>
        <w:proofErr w:type="spellEnd"/>
        <w:r w:rsidRPr="00921E4A">
          <w:rPr>
            <w:rStyle w:val="Hyperlink"/>
            <w:rFonts w:cstheme="minorHAnsi"/>
            <w:color w:val="0070C0"/>
          </w:rPr>
          <w:t xml:space="preserve">, &amp; </w:t>
        </w:r>
        <w:proofErr w:type="spellStart"/>
        <w:r w:rsidRPr="00921E4A">
          <w:rPr>
            <w:rStyle w:val="Hyperlink"/>
            <w:rFonts w:cstheme="minorHAnsi"/>
            <w:color w:val="0070C0"/>
          </w:rPr>
          <w:t>Mermelstein</w:t>
        </w:r>
        <w:proofErr w:type="spellEnd"/>
        <w:r w:rsidRPr="00921E4A">
          <w:rPr>
            <w:rStyle w:val="Hyperlink"/>
            <w:rFonts w:cstheme="minorHAnsi"/>
            <w:color w:val="0070C0"/>
          </w:rPr>
          <w:t>, 1983</w:t>
        </w:r>
      </w:hyperlink>
      <w:r w:rsidRPr="0093746E">
        <w:rPr>
          <w:rFonts w:cstheme="minorHAnsi"/>
        </w:rPr>
        <w:t>). In </w:t>
      </w:r>
      <w:hyperlink r:id="rId45" w:history="1">
        <w:r w:rsidRPr="00921E4A">
          <w:rPr>
            <w:rStyle w:val="Hyperlink"/>
            <w:rFonts w:cstheme="minorHAnsi"/>
            <w:color w:val="0070C0"/>
          </w:rPr>
          <w:t>2004</w:t>
        </w:r>
      </w:hyperlink>
      <w:r w:rsidRPr="0093746E">
        <w:rPr>
          <w:rFonts w:cstheme="minorHAnsi"/>
        </w:rPr>
        <w:t>, the Alzheimer’s Association and National Alliance on Caregiving concluded that caregivers for persons with dementia carry a uniquely heavy caregiving burden due to the physically and emotionally demanding caregiving role of persons with dementia resulting in high levels of stress and taking a heavy toll on family life (</w:t>
      </w:r>
      <w:hyperlink r:id="rId46" w:history="1">
        <w:r w:rsidRPr="00921E4A">
          <w:rPr>
            <w:rStyle w:val="Hyperlink"/>
            <w:rFonts w:cstheme="minorHAnsi"/>
            <w:color w:val="0070C0"/>
          </w:rPr>
          <w:t>Wilks &amp; Croom, 2008</w:t>
        </w:r>
      </w:hyperlink>
      <w:r w:rsidRPr="0093746E">
        <w:rPr>
          <w:rFonts w:cstheme="minorHAnsi"/>
        </w:rPr>
        <w:t>). </w:t>
      </w:r>
      <w:hyperlink r:id="rId47" w:history="1">
        <w:r w:rsidRPr="00921E4A">
          <w:rPr>
            <w:rStyle w:val="Hyperlink"/>
            <w:rFonts w:cstheme="minorHAnsi"/>
            <w:color w:val="0070C0"/>
          </w:rPr>
          <w:t>Allen and colleagues (2017)</w:t>
        </w:r>
      </w:hyperlink>
      <w:r w:rsidRPr="0093746E">
        <w:rPr>
          <w:rFonts w:cstheme="minorHAnsi"/>
        </w:rPr>
        <w:t> concluded, in a systematic review examining the psychobiological burden of caregiving for persons with dementia, the chronic stress of dementia caregiving results in sustained elevated cortisol level and altered immune functioning associated with depression and the development or exacerbation of chronic illness. This physical stress of YOD caregiving can exacerbate existing conditions specifically high blood pressure and diabetes (</w:t>
      </w:r>
      <w:hyperlink r:id="rId48" w:history="1">
        <w:r w:rsidRPr="00921E4A">
          <w:rPr>
            <w:rStyle w:val="Hyperlink"/>
            <w:rFonts w:cstheme="minorHAnsi"/>
            <w:color w:val="0070C0"/>
          </w:rPr>
          <w:t>Alzheimer’s Association, 2018</w:t>
        </w:r>
      </w:hyperlink>
      <w:r w:rsidRPr="0093746E">
        <w:rPr>
          <w:rFonts w:cstheme="minorHAnsi"/>
        </w:rPr>
        <w:t>). Also, caregivers of partners diagnosed with YOD reported the development of depression secondary to their caregiving experience (</w:t>
      </w:r>
      <w:hyperlink r:id="rId49" w:history="1">
        <w:r w:rsidRPr="00921E4A">
          <w:rPr>
            <w:rStyle w:val="Hyperlink"/>
            <w:rFonts w:cstheme="minorHAnsi"/>
            <w:color w:val="0070C0"/>
          </w:rPr>
          <w:t>van Vliet et al., 2010</w:t>
        </w:r>
      </w:hyperlink>
      <w:r w:rsidRPr="0093746E">
        <w:rPr>
          <w:rFonts w:cstheme="minorHAnsi"/>
        </w:rPr>
        <w:t>).</w:t>
      </w:r>
    </w:p>
    <w:p w14:paraId="30B2E9C7" w14:textId="77777777" w:rsidR="00FF61A7" w:rsidRPr="0093746E" w:rsidRDefault="00FF61A7" w:rsidP="0053729A">
      <w:pPr>
        <w:pStyle w:val="NoSpacing"/>
        <w:rPr>
          <w:rFonts w:cstheme="minorHAnsi"/>
        </w:rPr>
      </w:pPr>
    </w:p>
    <w:p w14:paraId="40F9B04C" w14:textId="0BC571FF" w:rsidR="00BF2C0E" w:rsidRPr="0093746E" w:rsidRDefault="00BF2C0E" w:rsidP="0053729A">
      <w:pPr>
        <w:pStyle w:val="NoSpacing"/>
        <w:rPr>
          <w:rFonts w:cstheme="minorHAnsi"/>
        </w:rPr>
      </w:pPr>
      <w:r w:rsidRPr="0093746E">
        <w:rPr>
          <w:rFonts w:cstheme="minorHAnsi"/>
        </w:rPr>
        <w:t>Resilience has been defined as “the process of adapting well in the face of adversity, trauma, tragedy, threats or even significant sources of stress” (</w:t>
      </w:r>
      <w:hyperlink r:id="rId50" w:history="1">
        <w:r w:rsidRPr="00921E4A">
          <w:rPr>
            <w:rStyle w:val="Hyperlink"/>
            <w:rFonts w:cstheme="minorHAnsi"/>
            <w:color w:val="0070C0"/>
          </w:rPr>
          <w:t>American Psychological Association, 2014</w:t>
        </w:r>
      </w:hyperlink>
      <w:r w:rsidRPr="0093746E">
        <w:rPr>
          <w:rFonts w:cstheme="minorHAnsi"/>
        </w:rPr>
        <w:t>, p. 4). Resilience theory proposes resilience as a dynamic process of balancing risk and protective factors in the face of adversity. Protective factors can enhance resilience by balancing out risk factors which allow for greater opportunity for positive adaptation (</w:t>
      </w:r>
      <w:hyperlink r:id="rId51" w:history="1">
        <w:r w:rsidRPr="00921E4A">
          <w:rPr>
            <w:rStyle w:val="Hyperlink"/>
            <w:rFonts w:cstheme="minorHAnsi"/>
            <w:color w:val="0070C0"/>
          </w:rPr>
          <w:t>Rutter, 1985</w:t>
        </w:r>
      </w:hyperlink>
      <w:r w:rsidRPr="0093746E">
        <w:rPr>
          <w:rFonts w:cstheme="minorHAnsi"/>
        </w:rPr>
        <w:t>). Resilience in caregivers of partners diagnosed with YOD is important for enhancing overall well-being for both the caregiver and the partner diagnosed with YOD during this devastating illness (</w:t>
      </w:r>
      <w:hyperlink r:id="rId52" w:history="1">
        <w:r w:rsidRPr="00921E4A">
          <w:rPr>
            <w:rStyle w:val="Hyperlink"/>
            <w:rFonts w:cstheme="minorHAnsi"/>
            <w:color w:val="0070C0"/>
          </w:rPr>
          <w:t xml:space="preserve">Ducharme, </w:t>
        </w:r>
        <w:proofErr w:type="spellStart"/>
        <w:r w:rsidRPr="00921E4A">
          <w:rPr>
            <w:rStyle w:val="Hyperlink"/>
            <w:rFonts w:cstheme="minorHAnsi"/>
            <w:color w:val="0070C0"/>
          </w:rPr>
          <w:t>Kergoat</w:t>
        </w:r>
        <w:proofErr w:type="spellEnd"/>
        <w:r w:rsidRPr="00921E4A">
          <w:rPr>
            <w:rStyle w:val="Hyperlink"/>
            <w:rFonts w:cstheme="minorHAnsi"/>
            <w:color w:val="0070C0"/>
          </w:rPr>
          <w:t xml:space="preserve">, Antoine, </w:t>
        </w:r>
        <w:proofErr w:type="spellStart"/>
        <w:r w:rsidRPr="00921E4A">
          <w:rPr>
            <w:rStyle w:val="Hyperlink"/>
            <w:rFonts w:cstheme="minorHAnsi"/>
            <w:color w:val="0070C0"/>
          </w:rPr>
          <w:t>Pasquier</w:t>
        </w:r>
        <w:proofErr w:type="spellEnd"/>
        <w:r w:rsidRPr="00921E4A">
          <w:rPr>
            <w:rStyle w:val="Hyperlink"/>
            <w:rFonts w:cstheme="minorHAnsi"/>
            <w:color w:val="0070C0"/>
          </w:rPr>
          <w:t>, &amp; Coulombe, 2013</w:t>
        </w:r>
      </w:hyperlink>
      <w:r w:rsidRPr="0093746E">
        <w:rPr>
          <w:rFonts w:cstheme="minorHAnsi"/>
        </w:rPr>
        <w:t>; </w:t>
      </w:r>
      <w:hyperlink r:id="rId53" w:history="1">
        <w:r w:rsidRPr="00921E4A">
          <w:rPr>
            <w:rStyle w:val="Hyperlink"/>
            <w:rFonts w:cstheme="minorHAnsi"/>
            <w:color w:val="0070C0"/>
          </w:rPr>
          <w:t>Flynn &amp; Mulcahy, 2013</w:t>
        </w:r>
      </w:hyperlink>
      <w:r w:rsidRPr="0093746E">
        <w:rPr>
          <w:rFonts w:cstheme="minorHAnsi"/>
        </w:rPr>
        <w:t>).</w:t>
      </w:r>
    </w:p>
    <w:p w14:paraId="45ED38C3" w14:textId="77777777" w:rsidR="00BF2C0E" w:rsidRPr="0093746E" w:rsidRDefault="00BF2C0E" w:rsidP="00B65DAC">
      <w:pPr>
        <w:pStyle w:val="Heading1"/>
        <w:rPr>
          <w:rFonts w:asciiTheme="minorHAnsi" w:hAnsiTheme="minorHAnsi" w:cstheme="minorHAnsi"/>
          <w:color w:val="auto"/>
        </w:rPr>
      </w:pPr>
      <w:bookmarkStart w:id="4" w:name="_i2"/>
      <w:bookmarkEnd w:id="4"/>
      <w:r w:rsidRPr="0093746E">
        <w:rPr>
          <w:rFonts w:asciiTheme="minorHAnsi" w:hAnsiTheme="minorHAnsi" w:cstheme="minorHAnsi"/>
          <w:color w:val="auto"/>
        </w:rPr>
        <w:lastRenderedPageBreak/>
        <w:t>Purpose</w:t>
      </w:r>
    </w:p>
    <w:p w14:paraId="38A772EC" w14:textId="77777777" w:rsidR="00BF2C0E" w:rsidRPr="0093746E" w:rsidRDefault="00BF2C0E" w:rsidP="0053729A">
      <w:pPr>
        <w:pStyle w:val="NoSpacing"/>
        <w:rPr>
          <w:rFonts w:cstheme="minorHAnsi"/>
        </w:rPr>
      </w:pPr>
      <w:r w:rsidRPr="0093746E">
        <w:rPr>
          <w:rFonts w:cstheme="minorHAnsi"/>
        </w:rPr>
        <w:t>The purpose of this study was to investigate the moderating effects of both personal resourcefulness and social resourcefulness on the relationship between PDG and PS of caregivers of partners diagnosed with YOD using the theoretical framework of Resilience Theory.</w:t>
      </w:r>
    </w:p>
    <w:p w14:paraId="0AF098A9" w14:textId="77777777" w:rsidR="00BF2C0E" w:rsidRPr="0093746E" w:rsidRDefault="00BF2C0E" w:rsidP="00B65DAC">
      <w:pPr>
        <w:pStyle w:val="Heading2"/>
        <w:rPr>
          <w:rFonts w:asciiTheme="minorHAnsi" w:hAnsiTheme="minorHAnsi" w:cstheme="minorHAnsi"/>
          <w:color w:val="auto"/>
        </w:rPr>
      </w:pPr>
      <w:r w:rsidRPr="0093746E">
        <w:rPr>
          <w:rFonts w:asciiTheme="minorHAnsi" w:hAnsiTheme="minorHAnsi" w:cstheme="minorHAnsi"/>
          <w:color w:val="auto"/>
        </w:rPr>
        <w:t>Hypotheses</w:t>
      </w:r>
    </w:p>
    <w:p w14:paraId="4B1D4577" w14:textId="77777777" w:rsidR="00BF2C0E" w:rsidRPr="0093746E" w:rsidRDefault="00BF2C0E" w:rsidP="0053729A">
      <w:pPr>
        <w:pStyle w:val="ListParagraph"/>
        <w:rPr>
          <w:rFonts w:cstheme="minorHAnsi"/>
        </w:rPr>
      </w:pPr>
      <w:r w:rsidRPr="0093746E">
        <w:rPr>
          <w:rFonts w:cstheme="minorHAnsi"/>
          <w:b/>
          <w:bCs/>
        </w:rPr>
        <w:t>Hypothesis 1 (H1):</w:t>
      </w:r>
      <w:r w:rsidRPr="0093746E">
        <w:rPr>
          <w:rFonts w:cstheme="minorHAnsi"/>
        </w:rPr>
        <w:t> Caregiver PDG has a positive association with PS in caregivers of a partner with YOD.</w:t>
      </w:r>
    </w:p>
    <w:p w14:paraId="3CFEB74E" w14:textId="77777777" w:rsidR="00BF2C0E" w:rsidRPr="0093746E" w:rsidRDefault="00BF2C0E" w:rsidP="0053729A">
      <w:pPr>
        <w:pStyle w:val="ListParagraph"/>
        <w:rPr>
          <w:rFonts w:cstheme="minorHAnsi"/>
        </w:rPr>
      </w:pPr>
      <w:r w:rsidRPr="0093746E">
        <w:rPr>
          <w:rFonts w:cstheme="minorHAnsi"/>
          <w:b/>
          <w:bCs/>
        </w:rPr>
        <w:t>Hypothesis 2 (H2):</w:t>
      </w:r>
      <w:r w:rsidRPr="0093746E">
        <w:rPr>
          <w:rFonts w:cstheme="minorHAnsi"/>
        </w:rPr>
        <w:t> Personal resourcefulness moderates the relationship between PDG and PS in caregivers of a partner with YOD.</w:t>
      </w:r>
    </w:p>
    <w:p w14:paraId="12CAF358" w14:textId="77777777" w:rsidR="00BF2C0E" w:rsidRPr="0093746E" w:rsidRDefault="00BF2C0E" w:rsidP="0053729A">
      <w:pPr>
        <w:pStyle w:val="ListParagraph"/>
        <w:rPr>
          <w:rFonts w:cstheme="minorHAnsi"/>
        </w:rPr>
      </w:pPr>
      <w:r w:rsidRPr="0093746E">
        <w:rPr>
          <w:rFonts w:cstheme="minorHAnsi"/>
          <w:b/>
          <w:bCs/>
        </w:rPr>
        <w:t>Hypothesis 3 (H3):</w:t>
      </w:r>
      <w:r w:rsidRPr="0093746E">
        <w:rPr>
          <w:rFonts w:cstheme="minorHAnsi"/>
        </w:rPr>
        <w:t> Social resourcefulness moderates the relationship between PDG and PS in caregivers of a partner with YOD.</w:t>
      </w:r>
    </w:p>
    <w:p w14:paraId="0EE63FCD" w14:textId="77777777" w:rsidR="00BF2C0E" w:rsidRPr="0093746E" w:rsidRDefault="00BF2C0E" w:rsidP="00B65DAC">
      <w:pPr>
        <w:pStyle w:val="Heading1"/>
        <w:rPr>
          <w:rFonts w:asciiTheme="minorHAnsi" w:hAnsiTheme="minorHAnsi" w:cstheme="minorHAnsi"/>
          <w:color w:val="auto"/>
        </w:rPr>
      </w:pPr>
      <w:bookmarkStart w:id="5" w:name="_i4"/>
      <w:bookmarkEnd w:id="5"/>
      <w:r w:rsidRPr="0093746E">
        <w:rPr>
          <w:rFonts w:asciiTheme="minorHAnsi" w:hAnsiTheme="minorHAnsi" w:cstheme="minorHAnsi"/>
          <w:color w:val="auto"/>
        </w:rPr>
        <w:t>Method</w:t>
      </w:r>
    </w:p>
    <w:p w14:paraId="322A643B" w14:textId="77777777" w:rsidR="00BF2C0E" w:rsidRPr="0093746E" w:rsidRDefault="00BF2C0E" w:rsidP="00B65DAC">
      <w:pPr>
        <w:pStyle w:val="Heading2"/>
        <w:rPr>
          <w:rFonts w:asciiTheme="minorHAnsi" w:hAnsiTheme="minorHAnsi" w:cstheme="minorHAnsi"/>
          <w:color w:val="auto"/>
          <w:sz w:val="27"/>
          <w:szCs w:val="27"/>
        </w:rPr>
      </w:pPr>
      <w:r w:rsidRPr="0093746E">
        <w:rPr>
          <w:rFonts w:asciiTheme="minorHAnsi" w:hAnsiTheme="minorHAnsi" w:cstheme="minorHAnsi"/>
          <w:color w:val="auto"/>
        </w:rPr>
        <w:t>Design</w:t>
      </w:r>
    </w:p>
    <w:p w14:paraId="1F53ED39" w14:textId="77777777" w:rsidR="00BF2C0E" w:rsidRPr="0093746E" w:rsidRDefault="00BF2C0E" w:rsidP="0053729A">
      <w:pPr>
        <w:pStyle w:val="NoSpacing"/>
        <w:rPr>
          <w:rFonts w:cstheme="minorHAnsi"/>
        </w:rPr>
      </w:pPr>
      <w:r w:rsidRPr="0093746E">
        <w:rPr>
          <w:rFonts w:cstheme="minorHAnsi"/>
        </w:rPr>
        <w:t>The study used a cross-sectional, correlational design to assess the moderating effects of personal and social resourcefulness on the relationship of PDG and PS of YOD caregiving partners through the online survey platform of Qualtrics. Institutional review board (IRB) approval was obtained from Marquette University prior to the initiation of the study, recruitment of caregivers of YOD, or collection of data.</w:t>
      </w:r>
    </w:p>
    <w:p w14:paraId="71C0699D" w14:textId="77777777" w:rsidR="00BF2C0E" w:rsidRPr="0093746E" w:rsidRDefault="00BF2C0E" w:rsidP="00B65DAC">
      <w:pPr>
        <w:pStyle w:val="Heading2"/>
        <w:rPr>
          <w:rFonts w:asciiTheme="minorHAnsi" w:hAnsiTheme="minorHAnsi" w:cstheme="minorHAnsi"/>
          <w:color w:val="auto"/>
        </w:rPr>
      </w:pPr>
      <w:r w:rsidRPr="0093746E">
        <w:rPr>
          <w:rFonts w:asciiTheme="minorHAnsi" w:hAnsiTheme="minorHAnsi" w:cstheme="minorHAnsi"/>
          <w:color w:val="auto"/>
        </w:rPr>
        <w:t>Recruitment Strategy</w:t>
      </w:r>
    </w:p>
    <w:p w14:paraId="7DA097EE" w14:textId="77777777" w:rsidR="00BF2C0E" w:rsidRPr="0093746E" w:rsidRDefault="00BF2C0E" w:rsidP="0053729A">
      <w:pPr>
        <w:pStyle w:val="NoSpacing"/>
        <w:rPr>
          <w:rFonts w:cstheme="minorHAnsi"/>
        </w:rPr>
      </w:pPr>
      <w:r w:rsidRPr="0093746E">
        <w:rPr>
          <w:rFonts w:cstheme="minorHAnsi"/>
        </w:rPr>
        <w:t>A convenience sample was obtained by recruiting potential subjects via IRB preapproved fliers emailed to Alzheimer’s Associations throughout Wisconsin and the United States, Departments of Aging and Disability in the State of Wisconsin, University of Kansas Alzheimer’s Disease Center, Dominantly Inherited Alzheimer’s Network (DIAN) Project Expanded Registry and word of mouth until the desired sample size is reached. Fliers contained a link to the survey. Participants then accessed the study at their convenience.</w:t>
      </w:r>
    </w:p>
    <w:p w14:paraId="14F174E2" w14:textId="77777777" w:rsidR="00BF2C0E" w:rsidRPr="0093746E" w:rsidRDefault="00BF2C0E" w:rsidP="00B65DAC">
      <w:pPr>
        <w:pStyle w:val="Heading2"/>
        <w:rPr>
          <w:rFonts w:asciiTheme="minorHAnsi" w:hAnsiTheme="minorHAnsi" w:cstheme="minorHAnsi"/>
          <w:color w:val="auto"/>
        </w:rPr>
      </w:pPr>
      <w:r w:rsidRPr="0093746E">
        <w:rPr>
          <w:rFonts w:asciiTheme="minorHAnsi" w:hAnsiTheme="minorHAnsi" w:cstheme="minorHAnsi"/>
          <w:color w:val="auto"/>
        </w:rPr>
        <w:t>Sample</w:t>
      </w:r>
    </w:p>
    <w:p w14:paraId="0E1DB97A" w14:textId="77777777" w:rsidR="00BF2C0E" w:rsidRPr="0093746E" w:rsidRDefault="00BF2C0E" w:rsidP="0053729A">
      <w:pPr>
        <w:pStyle w:val="NoSpacing"/>
        <w:rPr>
          <w:rFonts w:cstheme="minorHAnsi"/>
        </w:rPr>
      </w:pPr>
      <w:r w:rsidRPr="0093746E">
        <w:rPr>
          <w:rFonts w:cstheme="minorHAnsi"/>
        </w:rPr>
        <w:t xml:space="preserve">The study included a convenience sample of 104 caregivers of partners (life partner/spouse) diagnosed with YOD who </w:t>
      </w:r>
      <w:proofErr w:type="gramStart"/>
      <w:r w:rsidRPr="0093746E">
        <w:rPr>
          <w:rFonts w:cstheme="minorHAnsi"/>
        </w:rPr>
        <w:t>were 18 years</w:t>
      </w:r>
      <w:proofErr w:type="gramEnd"/>
      <w:r w:rsidRPr="0093746E">
        <w:rPr>
          <w:rFonts w:cstheme="minorHAnsi"/>
        </w:rPr>
        <w:t xml:space="preserve"> or older and able to read and understand the English language, operate computers, and navigate the Internet. Sample size of 100 (N = 100) was determined using G*Power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Faul</w:t>
      </w:r>
      <w:proofErr w:type="spellEnd"/>
      <w:r w:rsidRPr="00921E4A">
        <w:rPr>
          <w:rStyle w:val="Hyperlink"/>
          <w:rFonts w:cstheme="minorHAnsi"/>
          <w:color w:val="0070C0"/>
        </w:rPr>
        <w:t xml:space="preserve">, </w:t>
      </w:r>
      <w:proofErr w:type="spellStart"/>
      <w:r w:rsidRPr="00921E4A">
        <w:rPr>
          <w:rStyle w:val="Hyperlink"/>
          <w:rFonts w:cstheme="minorHAnsi"/>
          <w:color w:val="0070C0"/>
        </w:rPr>
        <w:t>Erdfelder</w:t>
      </w:r>
      <w:proofErr w:type="spellEnd"/>
      <w:r w:rsidRPr="00921E4A">
        <w:rPr>
          <w:rStyle w:val="Hyperlink"/>
          <w:rFonts w:cstheme="minorHAnsi"/>
          <w:color w:val="0070C0"/>
        </w:rPr>
        <w:t>, Lang, &amp; Buchner, 2007</w:t>
      </w:r>
      <w:r w:rsidRPr="0093746E">
        <w:rPr>
          <w:rFonts w:cstheme="minorHAnsi"/>
        </w:rPr>
        <w:fldChar w:fldCharType="end"/>
      </w:r>
      <w:r w:rsidRPr="0093746E">
        <w:rPr>
          <w:rFonts w:cstheme="minorHAnsi"/>
        </w:rPr>
        <w:t>) with an α = .05, β = .8, and f2 = .1 for a small to medium effect size.</w:t>
      </w:r>
    </w:p>
    <w:p w14:paraId="256139B7" w14:textId="77777777" w:rsidR="00BF2C0E" w:rsidRPr="0093746E" w:rsidRDefault="00BF2C0E" w:rsidP="00B65DAC">
      <w:pPr>
        <w:pStyle w:val="Heading2"/>
        <w:rPr>
          <w:rFonts w:asciiTheme="minorHAnsi" w:hAnsiTheme="minorHAnsi" w:cstheme="minorHAnsi"/>
          <w:color w:val="auto"/>
        </w:rPr>
      </w:pPr>
      <w:r w:rsidRPr="0093746E">
        <w:rPr>
          <w:rFonts w:asciiTheme="minorHAnsi" w:hAnsiTheme="minorHAnsi" w:cstheme="minorHAnsi"/>
          <w:color w:val="auto"/>
        </w:rPr>
        <w:t>Data Collection Procedure</w:t>
      </w:r>
    </w:p>
    <w:p w14:paraId="1DEFE465" w14:textId="77777777" w:rsidR="00BF2C0E" w:rsidRPr="0093746E" w:rsidRDefault="00BF2C0E" w:rsidP="0053729A">
      <w:pPr>
        <w:pStyle w:val="NoSpacing"/>
        <w:rPr>
          <w:rFonts w:cstheme="minorHAnsi"/>
        </w:rPr>
      </w:pPr>
      <w:r w:rsidRPr="0093746E">
        <w:rPr>
          <w:rFonts w:cstheme="minorHAnsi"/>
        </w:rPr>
        <w:t>The initial screen of the survey provided participants with background information for the study, resources for participants if needed, and an agreement for their informed consent to participate or opt out of survey. Participants were informed that their participation in the study was voluntary, Internet protocol (IP) addresses would not be identified, and they could withdraw at any time without penalty. Contact information for the Alzheimer’s Association, Wisconsin Family Caregiver Support Program, and State of Wisconsin resources was provided prior to participate in the study. Participants who declined the study were not identified and the data were not collected. If participants clicked yes on the informed consent screen, the survey began with measures for the construct of PDG, followed by PS and then personal and social resourcefulness. The final screen of the survey included demographic information asking participants gender, age, education, income, and self-rated health questions. Participants were able to opt out of the survey at any time. At the completion of the surveys, participants were thanked for their participation and linked to a US$20.00 gift card. Data were collected for 104 surveys via the online survey platform of Qualtrics from fall 2017 through spring 2018.</w:t>
      </w:r>
    </w:p>
    <w:p w14:paraId="1719B20A" w14:textId="77777777" w:rsidR="00BF2C0E" w:rsidRPr="0093746E" w:rsidRDefault="00BF2C0E" w:rsidP="00B65DAC">
      <w:pPr>
        <w:pStyle w:val="Heading2"/>
        <w:rPr>
          <w:rFonts w:asciiTheme="minorHAnsi" w:hAnsiTheme="minorHAnsi" w:cstheme="minorHAnsi"/>
          <w:color w:val="auto"/>
        </w:rPr>
      </w:pPr>
      <w:r w:rsidRPr="0093746E">
        <w:rPr>
          <w:rFonts w:asciiTheme="minorHAnsi" w:hAnsiTheme="minorHAnsi" w:cstheme="minorHAnsi"/>
          <w:color w:val="auto"/>
        </w:rPr>
        <w:t>Instruments</w:t>
      </w:r>
    </w:p>
    <w:p w14:paraId="4FCFD7B7" w14:textId="77777777" w:rsidR="00BF2C0E" w:rsidRPr="0093746E" w:rsidRDefault="00BF2C0E" w:rsidP="002958BB">
      <w:pPr>
        <w:pStyle w:val="Heading3"/>
        <w:rPr>
          <w:rFonts w:asciiTheme="minorHAnsi" w:hAnsiTheme="minorHAnsi" w:cstheme="minorHAnsi"/>
          <w:b/>
          <w:bCs/>
          <w:color w:val="auto"/>
        </w:rPr>
      </w:pPr>
      <w:r w:rsidRPr="0093746E">
        <w:rPr>
          <w:rFonts w:asciiTheme="minorHAnsi" w:hAnsiTheme="minorHAnsi" w:cstheme="minorHAnsi"/>
          <w:color w:val="auto"/>
        </w:rPr>
        <w:t>The independent variable: PDG</w:t>
      </w:r>
    </w:p>
    <w:p w14:paraId="73935627" w14:textId="77777777" w:rsidR="00BF2C0E" w:rsidRPr="0093746E" w:rsidRDefault="00BF2C0E" w:rsidP="0053729A">
      <w:pPr>
        <w:pStyle w:val="NoSpacing"/>
        <w:rPr>
          <w:rFonts w:cstheme="minorHAnsi"/>
        </w:rPr>
      </w:pPr>
      <w:r w:rsidRPr="0093746E">
        <w:rPr>
          <w:rFonts w:cstheme="minorHAnsi"/>
        </w:rPr>
        <w:t xml:space="preserve">PDG was measured using the </w:t>
      </w:r>
      <w:proofErr w:type="spellStart"/>
      <w:r w:rsidRPr="0093746E">
        <w:rPr>
          <w:rFonts w:cstheme="minorHAnsi"/>
        </w:rPr>
        <w:t>Marwit</w:t>
      </w:r>
      <w:proofErr w:type="spellEnd"/>
      <w:r w:rsidRPr="0093746E">
        <w:rPr>
          <w:rFonts w:cstheme="minorHAnsi"/>
        </w:rPr>
        <w:t xml:space="preserve"> Meuser Caregiver Grief Inventory Short Form, which has acceptable interitem correlation as demonstrated by a Cronbach’s alpha of .96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Marwit</w:t>
      </w:r>
      <w:proofErr w:type="spellEnd"/>
      <w:r w:rsidRPr="00921E4A">
        <w:rPr>
          <w:rStyle w:val="Hyperlink"/>
          <w:rFonts w:cstheme="minorHAnsi"/>
          <w:color w:val="0070C0"/>
        </w:rPr>
        <w:t xml:space="preserve"> &amp; Meuser, 2005</w:t>
      </w:r>
      <w:r w:rsidRPr="0093746E">
        <w:rPr>
          <w:rFonts w:cstheme="minorHAnsi"/>
        </w:rPr>
        <w:fldChar w:fldCharType="end"/>
      </w:r>
      <w:r w:rsidRPr="0093746E">
        <w:rPr>
          <w:rFonts w:cstheme="minorHAnsi"/>
        </w:rPr>
        <w:t xml:space="preserve">). This 18-item instrument uses 5-point Likert-type scale ranging from 1 (strongly disagree) to 5 (strongly agree). Scores can be </w:t>
      </w:r>
      <w:r w:rsidRPr="0093746E">
        <w:rPr>
          <w:rFonts w:cstheme="minorHAnsi"/>
        </w:rPr>
        <w:lastRenderedPageBreak/>
        <w:t>determined by summing the points associated with the chosen Likert-type responses with total scores ranging from 18 to 90. Higher scores indicate greater grief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Marwit</w:t>
      </w:r>
      <w:proofErr w:type="spellEnd"/>
      <w:r w:rsidRPr="00921E4A">
        <w:rPr>
          <w:rStyle w:val="Hyperlink"/>
          <w:rFonts w:cstheme="minorHAnsi"/>
          <w:color w:val="0070C0"/>
        </w:rPr>
        <w:t xml:space="preserve"> &amp; Meuser, 2002</w:t>
      </w:r>
      <w:r w:rsidRPr="0093746E">
        <w:rPr>
          <w:rFonts w:cstheme="minorHAnsi"/>
        </w:rPr>
        <w:fldChar w:fldCharType="end"/>
      </w:r>
      <w:r w:rsidRPr="0093746E">
        <w:rPr>
          <w:rFonts w:cstheme="minorHAnsi"/>
        </w:rPr>
        <w:t>). Examples of items include “I’ve had to give up a great deal to be a caregiver” (Personal Sacrifice Burden), “I have this empty, sick feeling knowing that my loved one is gone” (Heartfelt Sadness and Longing), and “The people closest to me do not understand what I’m going through” (Worry and Felt Isolation)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Marwit</w:t>
      </w:r>
      <w:proofErr w:type="spellEnd"/>
      <w:r w:rsidRPr="00921E4A">
        <w:rPr>
          <w:rStyle w:val="Hyperlink"/>
          <w:rFonts w:cstheme="minorHAnsi"/>
          <w:color w:val="0070C0"/>
        </w:rPr>
        <w:t xml:space="preserve"> &amp; Meuser, 2005</w:t>
      </w:r>
      <w:r w:rsidRPr="0093746E">
        <w:rPr>
          <w:rFonts w:cstheme="minorHAnsi"/>
        </w:rPr>
        <w:fldChar w:fldCharType="end"/>
      </w:r>
      <w:r w:rsidRPr="0093746E">
        <w:rPr>
          <w:rFonts w:cstheme="minorHAnsi"/>
        </w:rPr>
        <w:t>, p. 199).</w:t>
      </w:r>
    </w:p>
    <w:p w14:paraId="6A83732B" w14:textId="77777777" w:rsidR="00921E4A" w:rsidRDefault="00921E4A" w:rsidP="002958BB">
      <w:pPr>
        <w:pStyle w:val="Heading3"/>
        <w:rPr>
          <w:rFonts w:asciiTheme="minorHAnsi" w:hAnsiTheme="minorHAnsi" w:cstheme="minorHAnsi"/>
          <w:color w:val="auto"/>
        </w:rPr>
      </w:pPr>
    </w:p>
    <w:p w14:paraId="765D0BBA" w14:textId="25773D9D" w:rsidR="00BF2C0E" w:rsidRPr="0093746E" w:rsidRDefault="00BF2C0E" w:rsidP="002958BB">
      <w:pPr>
        <w:pStyle w:val="Heading3"/>
        <w:rPr>
          <w:rFonts w:asciiTheme="minorHAnsi" w:hAnsiTheme="minorHAnsi" w:cstheme="minorHAnsi"/>
          <w:color w:val="auto"/>
        </w:rPr>
      </w:pPr>
      <w:r w:rsidRPr="0093746E">
        <w:rPr>
          <w:rFonts w:asciiTheme="minorHAnsi" w:hAnsiTheme="minorHAnsi" w:cstheme="minorHAnsi"/>
          <w:color w:val="auto"/>
        </w:rPr>
        <w:t>The moderating variable: Resourcefulness</w:t>
      </w:r>
    </w:p>
    <w:p w14:paraId="6A97DE9F" w14:textId="77777777" w:rsidR="00BF2C0E" w:rsidRPr="0093746E" w:rsidRDefault="00BF2C0E" w:rsidP="0053729A">
      <w:pPr>
        <w:pStyle w:val="NoSpacing"/>
        <w:rPr>
          <w:rFonts w:cstheme="minorHAnsi"/>
        </w:rPr>
      </w:pPr>
      <w:r w:rsidRPr="0093746E">
        <w:rPr>
          <w:rFonts w:cstheme="minorHAnsi"/>
        </w:rPr>
        <w:t>Resourcefulness was measured using the Resourcefulness Scale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Zauszniewski</w:t>
      </w:r>
      <w:proofErr w:type="spellEnd"/>
      <w:r w:rsidRPr="00921E4A">
        <w:rPr>
          <w:rStyle w:val="Hyperlink"/>
          <w:rFonts w:cstheme="minorHAnsi"/>
          <w:color w:val="0070C0"/>
        </w:rPr>
        <w:t xml:space="preserve"> et al., 2006</w:t>
      </w:r>
      <w:r w:rsidRPr="0093746E">
        <w:rPr>
          <w:rFonts w:cstheme="minorHAnsi"/>
        </w:rPr>
        <w:fldChar w:fldCharType="end"/>
      </w:r>
      <w:r w:rsidRPr="0093746E">
        <w:rPr>
          <w:rFonts w:cstheme="minorHAnsi"/>
        </w:rPr>
        <w:t>). The 28-item Resourcefulness Scale has two different subscales; personal resourcefulness (16 items) and social resourcefulness (12 items). The Resourcefulness Scale uses 6-point Likert-type scale ranging from 0 (not at all like me) to 5 (very much like me). The 28 item Resourcefulness Scale scores range from 0 to 140 with higher scores indicating greater resourcefulness. Cronbach’s alpha for the full scale, the Social Resourcefulness subscale, and the Personal Resourcefulness subscale were .85, .79, and .83, respectively. The personal resourcefulness subscale has 16 items with scores ranging from 0 to 80 and higher scores indicative of greater personal resourcefulness skills. An example of a personal resourcefulness item includes “When I am faced with a number of things to do, I usually plan my work”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Zauszniewski</w:t>
      </w:r>
      <w:proofErr w:type="spellEnd"/>
      <w:r w:rsidRPr="00921E4A">
        <w:rPr>
          <w:rStyle w:val="Hyperlink"/>
          <w:rFonts w:cstheme="minorHAnsi"/>
          <w:color w:val="0070C0"/>
        </w:rPr>
        <w:t xml:space="preserve"> et al., 2006</w:t>
      </w:r>
      <w:r w:rsidRPr="0093746E">
        <w:rPr>
          <w:rFonts w:cstheme="minorHAnsi"/>
        </w:rPr>
        <w:fldChar w:fldCharType="end"/>
      </w:r>
      <w:r w:rsidRPr="0093746E">
        <w:rPr>
          <w:rFonts w:cstheme="minorHAnsi"/>
        </w:rPr>
        <w:t>). The social resourcefulness subscale has 12 items with scores ranging from 0 to 60 and higher scores indicative of greater social resourcefulness skills. An example of a social resourcefulness item includes “When I am feeling sad, it helps to talk to other people”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Zauszniewski</w:t>
      </w:r>
      <w:proofErr w:type="spellEnd"/>
      <w:r w:rsidRPr="00921E4A">
        <w:rPr>
          <w:rStyle w:val="Hyperlink"/>
          <w:rFonts w:cstheme="minorHAnsi"/>
          <w:color w:val="0070C0"/>
        </w:rPr>
        <w:t xml:space="preserve"> et al., 2006</w:t>
      </w:r>
      <w:r w:rsidRPr="0093746E">
        <w:rPr>
          <w:rFonts w:cstheme="minorHAnsi"/>
        </w:rPr>
        <w:fldChar w:fldCharType="end"/>
      </w:r>
      <w:r w:rsidRPr="0093746E">
        <w:rPr>
          <w:rFonts w:cstheme="minorHAnsi"/>
        </w:rPr>
        <w:t>). For this study Personal Resourcefulness subscale scores and Social Resourcefulness subscale scores were examined independently.</w:t>
      </w:r>
    </w:p>
    <w:p w14:paraId="0D30D565" w14:textId="77777777" w:rsidR="00921E4A" w:rsidRDefault="00921E4A" w:rsidP="002958BB">
      <w:pPr>
        <w:pStyle w:val="Heading3"/>
        <w:rPr>
          <w:rFonts w:asciiTheme="minorHAnsi" w:hAnsiTheme="minorHAnsi" w:cstheme="minorHAnsi"/>
          <w:color w:val="auto"/>
        </w:rPr>
      </w:pPr>
    </w:p>
    <w:p w14:paraId="5F4463EF" w14:textId="6377FCF9" w:rsidR="00BF2C0E" w:rsidRPr="0093746E" w:rsidRDefault="00BF2C0E" w:rsidP="002958BB">
      <w:pPr>
        <w:pStyle w:val="Heading3"/>
        <w:rPr>
          <w:rFonts w:asciiTheme="minorHAnsi" w:hAnsiTheme="minorHAnsi" w:cstheme="minorHAnsi"/>
          <w:color w:val="auto"/>
        </w:rPr>
      </w:pPr>
      <w:r w:rsidRPr="0093746E">
        <w:rPr>
          <w:rFonts w:asciiTheme="minorHAnsi" w:hAnsiTheme="minorHAnsi" w:cstheme="minorHAnsi"/>
          <w:color w:val="auto"/>
        </w:rPr>
        <w:t>The dependent variable: Caregiver stress</w:t>
      </w:r>
    </w:p>
    <w:p w14:paraId="5DBAB06C" w14:textId="77777777" w:rsidR="00BF2C0E" w:rsidRPr="0093746E" w:rsidRDefault="00BF2C0E" w:rsidP="0053729A">
      <w:pPr>
        <w:pStyle w:val="NoSpacing"/>
        <w:rPr>
          <w:rFonts w:cstheme="minorHAnsi"/>
        </w:rPr>
      </w:pPr>
      <w:r w:rsidRPr="0093746E">
        <w:rPr>
          <w:rFonts w:cstheme="minorHAnsi"/>
        </w:rPr>
        <w:t>PS for caregivers of YOD was measured using the 14-item Perceived Stress Scale. The Cronbach’s alpha for the Perceived Stress Scale ranged from .84 to .86 (</w:t>
      </w:r>
      <w:hyperlink r:id="rId54" w:history="1">
        <w:r w:rsidRPr="00921E4A">
          <w:rPr>
            <w:rStyle w:val="Hyperlink"/>
            <w:rFonts w:cstheme="minorHAnsi"/>
            <w:color w:val="0070C0"/>
          </w:rPr>
          <w:t>Cohen et al., 1983</w:t>
        </w:r>
      </w:hyperlink>
      <w:r w:rsidRPr="0093746E">
        <w:rPr>
          <w:rFonts w:cstheme="minorHAnsi"/>
        </w:rPr>
        <w:t>). This 14-item Perceived Stress Scale uses a 5-point Likert-type scale ranging from 0 (never) to 4 (very often). Respondents are asked to respond, “fairly quickly” in a global sense about their feelings to statements such as “In the last month, how often have you been upset because of something that happened unexpected?” (</w:t>
      </w:r>
      <w:hyperlink r:id="rId55" w:history="1">
        <w:r w:rsidRPr="00921E4A">
          <w:rPr>
            <w:rStyle w:val="Hyperlink"/>
            <w:rFonts w:cstheme="minorHAnsi"/>
            <w:color w:val="0070C0"/>
          </w:rPr>
          <w:t>Cohen et al., 1983</w:t>
        </w:r>
      </w:hyperlink>
      <w:r w:rsidRPr="0093746E">
        <w:rPr>
          <w:rFonts w:cstheme="minorHAnsi"/>
        </w:rPr>
        <w:t>, p. 394). Results are obtained by using the mean across items. Seven items need to be reverse scored (</w:t>
      </w:r>
      <w:hyperlink r:id="rId56" w:history="1">
        <w:r w:rsidRPr="00921E4A">
          <w:rPr>
            <w:rStyle w:val="Hyperlink"/>
            <w:rFonts w:cstheme="minorHAnsi"/>
            <w:color w:val="0070C0"/>
          </w:rPr>
          <w:t>Cohen et al., 1983</w:t>
        </w:r>
      </w:hyperlink>
      <w:r w:rsidRPr="0093746E">
        <w:rPr>
          <w:rFonts w:cstheme="minorHAnsi"/>
        </w:rPr>
        <w:t>). Higher scores indicate higher PS (</w:t>
      </w:r>
      <w:hyperlink r:id="rId57" w:history="1">
        <w:r w:rsidRPr="00921E4A">
          <w:rPr>
            <w:rStyle w:val="Hyperlink"/>
            <w:rFonts w:cstheme="minorHAnsi"/>
            <w:color w:val="0070C0"/>
          </w:rPr>
          <w:t>Cohen et al., 1983</w:t>
        </w:r>
      </w:hyperlink>
      <w:r w:rsidRPr="0093746E">
        <w:rPr>
          <w:rFonts w:cstheme="minorHAnsi"/>
        </w:rPr>
        <w:t>).</w:t>
      </w:r>
    </w:p>
    <w:p w14:paraId="5E0F0EF3" w14:textId="77777777" w:rsidR="00BF2C0E" w:rsidRPr="0093746E" w:rsidRDefault="00BF2C0E" w:rsidP="002958BB">
      <w:pPr>
        <w:pStyle w:val="Heading2"/>
        <w:rPr>
          <w:rFonts w:asciiTheme="minorHAnsi" w:hAnsiTheme="minorHAnsi" w:cstheme="minorHAnsi"/>
          <w:color w:val="auto"/>
        </w:rPr>
      </w:pPr>
      <w:r w:rsidRPr="0093746E">
        <w:rPr>
          <w:rFonts w:asciiTheme="minorHAnsi" w:hAnsiTheme="minorHAnsi" w:cstheme="minorHAnsi"/>
          <w:color w:val="auto"/>
        </w:rPr>
        <w:t>Data Analysis</w:t>
      </w:r>
    </w:p>
    <w:p w14:paraId="02BD79D1" w14:textId="77777777" w:rsidR="00BF2C0E" w:rsidRPr="0093746E" w:rsidRDefault="00BF2C0E" w:rsidP="0053729A">
      <w:pPr>
        <w:pStyle w:val="NoSpacing"/>
        <w:rPr>
          <w:rFonts w:cstheme="minorHAnsi"/>
        </w:rPr>
      </w:pPr>
      <w:r w:rsidRPr="0093746E">
        <w:rPr>
          <w:rFonts w:cstheme="minorHAnsi"/>
        </w:rPr>
        <w:t>Data analysis was performed using R (</w:t>
      </w:r>
      <w:hyperlink r:id="rId58" w:history="1">
        <w:r w:rsidRPr="00921E4A">
          <w:rPr>
            <w:rStyle w:val="Hyperlink"/>
            <w:rFonts w:cstheme="minorHAnsi"/>
            <w:color w:val="0070C0"/>
          </w:rPr>
          <w:t>R Core Team, 2018</w:t>
        </w:r>
      </w:hyperlink>
      <w:r w:rsidRPr="0093746E">
        <w:rPr>
          <w:rFonts w:cstheme="minorHAnsi"/>
        </w:rPr>
        <w:t xml:space="preserve">) with the packages </w:t>
      </w:r>
      <w:proofErr w:type="spellStart"/>
      <w:r w:rsidRPr="0093746E">
        <w:rPr>
          <w:rFonts w:cstheme="minorHAnsi"/>
        </w:rPr>
        <w:t>lavaan</w:t>
      </w:r>
      <w:proofErr w:type="spellEnd"/>
      <w:r w:rsidRPr="0093746E">
        <w:rPr>
          <w:rFonts w:cstheme="minorHAnsi"/>
        </w:rPr>
        <w:t xml:space="preserve">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Rosseel</w:t>
      </w:r>
      <w:proofErr w:type="spellEnd"/>
      <w:r w:rsidRPr="00921E4A">
        <w:rPr>
          <w:rStyle w:val="Hyperlink"/>
          <w:rFonts w:cstheme="minorHAnsi"/>
          <w:color w:val="0070C0"/>
        </w:rPr>
        <w:t>, 2012</w:t>
      </w:r>
      <w:r w:rsidRPr="0093746E">
        <w:rPr>
          <w:rFonts w:cstheme="minorHAnsi"/>
        </w:rPr>
        <w:fldChar w:fldCharType="end"/>
      </w:r>
      <w:r w:rsidRPr="0093746E">
        <w:rPr>
          <w:rFonts w:cstheme="minorHAnsi"/>
        </w:rPr>
        <w:t xml:space="preserve">) and </w:t>
      </w:r>
      <w:proofErr w:type="spellStart"/>
      <w:r w:rsidRPr="0093746E">
        <w:rPr>
          <w:rFonts w:cstheme="minorHAnsi"/>
        </w:rPr>
        <w:t>semTools</w:t>
      </w:r>
      <w:proofErr w:type="spellEnd"/>
      <w:r w:rsidRPr="0093746E">
        <w:rPr>
          <w:rFonts w:cstheme="minorHAnsi"/>
        </w:rPr>
        <w:t xml:space="preserve">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semTools</w:t>
      </w:r>
      <w:proofErr w:type="spellEnd"/>
      <w:r w:rsidRPr="00921E4A">
        <w:rPr>
          <w:rStyle w:val="Hyperlink"/>
          <w:rFonts w:cstheme="minorHAnsi"/>
          <w:color w:val="0070C0"/>
        </w:rPr>
        <w:t xml:space="preserve"> Contributors, 2018</w:t>
      </w:r>
      <w:r w:rsidRPr="0093746E">
        <w:rPr>
          <w:rFonts w:cstheme="minorHAnsi"/>
        </w:rPr>
        <w:fldChar w:fldCharType="end"/>
      </w:r>
      <w:r w:rsidRPr="0093746E">
        <w:rPr>
          <w:rFonts w:cstheme="minorHAnsi"/>
        </w:rPr>
        <w:t>). The reliability was evaluated with the maximal reliability (MR) coefficient, which measures reliability of a scale, unlike Cronbach’s alpha which estimates interitem correlation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Raykov</w:t>
      </w:r>
      <w:proofErr w:type="spellEnd"/>
      <w:r w:rsidRPr="00921E4A">
        <w:rPr>
          <w:rStyle w:val="Hyperlink"/>
          <w:rFonts w:cstheme="minorHAnsi"/>
          <w:color w:val="0070C0"/>
        </w:rPr>
        <w:t>, 2012</w:t>
      </w:r>
      <w:r w:rsidRPr="0093746E">
        <w:rPr>
          <w:rFonts w:cstheme="minorHAnsi"/>
        </w:rPr>
        <w:fldChar w:fldCharType="end"/>
      </w:r>
      <w:r w:rsidRPr="0093746E">
        <w:rPr>
          <w:rFonts w:cstheme="minorHAnsi"/>
        </w:rPr>
        <w:t>). Mean scores for all instruments were used for statistical analysis. The initial relation between PDG and PS was set as a linear correlation to answer H1. To answer H2 and H3, regression models were used. To evaluate the moderating effect of personal resourcefulness and social resourcefulness on the regression of PDG on PS, interactions between PDG and the resourcefulness scores were calculated (PDG × Personal Resourcefulness, and PDG × Social Resourcefulness) are added as predictors of PS. The relevance of the interactions was tested by the p value of the interaction regressions and the change in R2 when the interactions are included, and finally by plotting and probing the interaction effects (</w:t>
      </w:r>
      <w:hyperlink r:id="rId59" w:history="1">
        <w:r w:rsidRPr="00921E4A">
          <w:rPr>
            <w:rStyle w:val="Hyperlink"/>
            <w:rFonts w:cstheme="minorHAnsi"/>
            <w:color w:val="0070C0"/>
          </w:rPr>
          <w:t>Darlington &amp; Hayes, 2017</w:t>
        </w:r>
      </w:hyperlink>
      <w:r w:rsidRPr="0093746E">
        <w:rPr>
          <w:rFonts w:cstheme="minorHAnsi"/>
        </w:rPr>
        <w:t>). Plotting and probing the interaction estimates the intercept and slope for the regression of interest (PDG → PS) conditional on the moderating variables, allowing for the evaluation of how personal resourcefulness and/or social resourcefulness change the regression. These regressions were evaluated in the framework of Structural Equation Modeling with path analysis (</w:t>
      </w:r>
      <w:hyperlink r:id="rId60" w:history="1">
        <w:r w:rsidRPr="00921E4A">
          <w:rPr>
            <w:rStyle w:val="Hyperlink"/>
            <w:rFonts w:cstheme="minorHAnsi"/>
            <w:color w:val="0070C0"/>
          </w:rPr>
          <w:t>Kline, 2016</w:t>
        </w:r>
      </w:hyperlink>
      <w:r w:rsidRPr="0093746E">
        <w:rPr>
          <w:rFonts w:cstheme="minorHAnsi"/>
        </w:rPr>
        <w:t>). Missing data were handled with Full Information Maximum Likelihood.</w:t>
      </w:r>
    </w:p>
    <w:p w14:paraId="39F6EBDE" w14:textId="77777777" w:rsidR="00BF2C0E" w:rsidRPr="0093746E" w:rsidRDefault="00BF2C0E" w:rsidP="002958BB">
      <w:pPr>
        <w:pStyle w:val="Heading1"/>
        <w:rPr>
          <w:rFonts w:asciiTheme="minorHAnsi" w:hAnsiTheme="minorHAnsi" w:cstheme="minorHAnsi"/>
          <w:color w:val="auto"/>
        </w:rPr>
      </w:pPr>
      <w:bookmarkStart w:id="6" w:name="_i14"/>
      <w:bookmarkEnd w:id="6"/>
      <w:r w:rsidRPr="0093746E">
        <w:rPr>
          <w:rFonts w:asciiTheme="minorHAnsi" w:hAnsiTheme="minorHAnsi" w:cstheme="minorHAnsi"/>
          <w:color w:val="auto"/>
        </w:rPr>
        <w:lastRenderedPageBreak/>
        <w:t>Results</w:t>
      </w:r>
    </w:p>
    <w:p w14:paraId="50C36C2E" w14:textId="77777777" w:rsidR="00BF2C0E" w:rsidRPr="0093746E" w:rsidRDefault="00BF2C0E" w:rsidP="002958BB">
      <w:pPr>
        <w:pStyle w:val="Heading2"/>
        <w:rPr>
          <w:rFonts w:asciiTheme="minorHAnsi" w:hAnsiTheme="minorHAnsi" w:cstheme="minorHAnsi"/>
          <w:color w:val="auto"/>
          <w:sz w:val="27"/>
          <w:szCs w:val="27"/>
        </w:rPr>
      </w:pPr>
      <w:r w:rsidRPr="0093746E">
        <w:rPr>
          <w:rFonts w:asciiTheme="minorHAnsi" w:hAnsiTheme="minorHAnsi" w:cstheme="minorHAnsi"/>
          <w:color w:val="auto"/>
        </w:rPr>
        <w:t>Descriptive Statistics</w:t>
      </w:r>
    </w:p>
    <w:p w14:paraId="741A0AF5" w14:textId="77777777" w:rsidR="00BF2C0E" w:rsidRPr="0093746E" w:rsidRDefault="00BF2C0E" w:rsidP="0053729A">
      <w:pPr>
        <w:pStyle w:val="NoSpacing"/>
        <w:rPr>
          <w:rFonts w:cstheme="minorHAnsi"/>
        </w:rPr>
      </w:pPr>
      <w:r w:rsidRPr="0093746E">
        <w:rPr>
          <w:rFonts w:cstheme="minorHAnsi"/>
        </w:rPr>
        <w:t xml:space="preserve">The sample consisted of 104 caregivers of partners diagnosed with YOD. The participants age ranged from 27 years old to 80 years old with a mean age of 58.27 (SD = 11.21). The participants had been caregiving for their partner in a range from 1 to 20 years with a mean of 5.93 (SD = 3.36). </w:t>
      </w:r>
      <w:proofErr w:type="gramStart"/>
      <w:r w:rsidRPr="0093746E">
        <w:rPr>
          <w:rFonts w:cstheme="minorHAnsi"/>
        </w:rPr>
        <w:t>The majority of</w:t>
      </w:r>
      <w:proofErr w:type="gramEnd"/>
      <w:r w:rsidRPr="0093746E">
        <w:rPr>
          <w:rFonts w:cstheme="minorHAnsi"/>
        </w:rPr>
        <w:t xml:space="preserve"> participants indicated that they were White (94.74%), female (65.26%), with a college or higher education (82.11%), and an annual household income between US$50,000 and US$100,000 (50.53%). The remaining participants indicated that they were Asian (2.11%), Hispanic (2.11%) or African American (1.05%). The majority of participants indicated that they had not received professional counseling, which was defined as a fee for service with a person licensed in therapy, related to their caregiving experience (58.95%) with most rating their health in the previous month as fair or better (92.63%). The remaining participants rated their health in the past month as poor (6.32%) or terrible (1.05%).</w:t>
      </w:r>
    </w:p>
    <w:p w14:paraId="26234893" w14:textId="77777777" w:rsidR="00BF2C0E" w:rsidRPr="0093746E" w:rsidRDefault="00BF2C0E" w:rsidP="002958BB">
      <w:pPr>
        <w:pStyle w:val="Heading2"/>
        <w:rPr>
          <w:rFonts w:asciiTheme="minorHAnsi" w:hAnsiTheme="minorHAnsi" w:cstheme="minorHAnsi"/>
          <w:color w:val="auto"/>
        </w:rPr>
      </w:pPr>
      <w:r w:rsidRPr="0093746E">
        <w:rPr>
          <w:rFonts w:asciiTheme="minorHAnsi" w:hAnsiTheme="minorHAnsi" w:cstheme="minorHAnsi"/>
          <w:color w:val="auto"/>
        </w:rPr>
        <w:t>Data Analysis Results</w:t>
      </w:r>
    </w:p>
    <w:p w14:paraId="32A3F4B6" w14:textId="56323E0A" w:rsidR="00BF2C0E" w:rsidRPr="0093746E" w:rsidRDefault="00BF2C0E" w:rsidP="0053729A">
      <w:pPr>
        <w:pStyle w:val="NoSpacing"/>
        <w:rPr>
          <w:rFonts w:cstheme="minorHAnsi"/>
        </w:rPr>
      </w:pPr>
      <w:r w:rsidRPr="0093746E">
        <w:rPr>
          <w:rFonts w:cstheme="minorHAnsi"/>
        </w:rPr>
        <w:t>The total score for scales of interest were created by averaging the item scores. The mean and standard deviations for the total scale scores are presented in </w:t>
      </w:r>
      <w:hyperlink r:id="rId61" w:history="1">
        <w:r w:rsidRPr="00921E4A">
          <w:rPr>
            <w:rStyle w:val="Hyperlink"/>
            <w:rFonts w:cstheme="minorHAnsi"/>
            <w:color w:val="0070C0"/>
          </w:rPr>
          <w:t>Table 1</w:t>
        </w:r>
      </w:hyperlink>
      <w:r w:rsidRPr="0093746E">
        <w:rPr>
          <w:rFonts w:cstheme="minorHAnsi"/>
        </w:rPr>
        <w:t> along with the MR coefficient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Raykov</w:t>
      </w:r>
      <w:proofErr w:type="spellEnd"/>
      <w:r w:rsidRPr="00921E4A">
        <w:rPr>
          <w:rStyle w:val="Hyperlink"/>
          <w:rFonts w:cstheme="minorHAnsi"/>
          <w:color w:val="0070C0"/>
        </w:rPr>
        <w:t>, 2012</w:t>
      </w:r>
      <w:r w:rsidRPr="0093746E">
        <w:rPr>
          <w:rFonts w:cstheme="minorHAnsi"/>
        </w:rPr>
        <w:fldChar w:fldCharType="end"/>
      </w:r>
      <w:r w:rsidRPr="0093746E">
        <w:rPr>
          <w:rFonts w:cstheme="minorHAnsi"/>
        </w:rPr>
        <w:t>). The MR coefficient showed that the scales have high reliability, indicating proper precision of measurement.</w:t>
      </w:r>
    </w:p>
    <w:p w14:paraId="6082F7F9" w14:textId="77777777" w:rsidR="003D0E5C" w:rsidRPr="0093746E" w:rsidRDefault="003D0E5C" w:rsidP="00976120">
      <w:pPr>
        <w:pStyle w:val="NoSpacing"/>
        <w:rPr>
          <w:rFonts w:cstheme="minorHAnsi"/>
        </w:rPr>
      </w:pPr>
    </w:p>
    <w:p w14:paraId="5E5D84EC" w14:textId="1B205076" w:rsidR="00BF2C0E" w:rsidRPr="0093746E" w:rsidRDefault="00BF2C0E" w:rsidP="003903F1">
      <w:pPr>
        <w:pStyle w:val="NoSpacing"/>
        <w:rPr>
          <w:rFonts w:cstheme="minorHAnsi"/>
        </w:rPr>
      </w:pPr>
      <w:r w:rsidRPr="0093746E">
        <w:rPr>
          <w:rStyle w:val="captionlabel"/>
          <w:rFonts w:cstheme="minorHAnsi"/>
          <w:b/>
        </w:rPr>
        <w:t>Table 1.</w:t>
      </w:r>
      <w:r w:rsidRPr="0093746E">
        <w:rPr>
          <w:rFonts w:cstheme="minorHAnsi"/>
        </w:rPr>
        <w:t> Summary of Instruments, Descriptive and Reliabilities (N = 104).</w:t>
      </w:r>
    </w:p>
    <w:tbl>
      <w:tblPr>
        <w:tblStyle w:val="TableGridLight"/>
        <w:tblW w:w="0" w:type="auto"/>
        <w:tblLook w:val="04A0" w:firstRow="1" w:lastRow="0" w:firstColumn="1" w:lastColumn="0" w:noHBand="0" w:noVBand="1"/>
      </w:tblPr>
      <w:tblGrid>
        <w:gridCol w:w="2199"/>
        <w:gridCol w:w="1908"/>
        <w:gridCol w:w="1184"/>
        <w:gridCol w:w="860"/>
        <w:gridCol w:w="1132"/>
        <w:gridCol w:w="981"/>
        <w:gridCol w:w="1806"/>
      </w:tblGrid>
      <w:tr w:rsidR="0093746E" w:rsidRPr="0093746E" w14:paraId="37F8CD09" w14:textId="060A2A58" w:rsidTr="00C07C49">
        <w:tc>
          <w:tcPr>
            <w:tcW w:w="0" w:type="auto"/>
            <w:vAlign w:val="bottom"/>
          </w:tcPr>
          <w:p w14:paraId="546AEACA" w14:textId="57B13E42" w:rsidR="008054B6" w:rsidRPr="0093746E" w:rsidRDefault="008054B6" w:rsidP="006320F7">
            <w:pPr>
              <w:pStyle w:val="NoSpacing"/>
              <w:rPr>
                <w:rFonts w:cstheme="minorHAnsi"/>
                <w:b/>
              </w:rPr>
            </w:pPr>
            <w:r w:rsidRPr="0093746E">
              <w:rPr>
                <w:rFonts w:cstheme="minorHAnsi"/>
                <w:b/>
              </w:rPr>
              <w:t>Variables/Concepts</w:t>
            </w:r>
          </w:p>
        </w:tc>
        <w:tc>
          <w:tcPr>
            <w:tcW w:w="0" w:type="auto"/>
            <w:vAlign w:val="bottom"/>
          </w:tcPr>
          <w:p w14:paraId="24BE1B4E" w14:textId="1DF29E67" w:rsidR="008054B6" w:rsidRPr="0093746E" w:rsidRDefault="008054B6" w:rsidP="006320F7">
            <w:pPr>
              <w:pStyle w:val="NoSpacing"/>
              <w:rPr>
                <w:rFonts w:cstheme="minorHAnsi"/>
                <w:b/>
              </w:rPr>
            </w:pPr>
            <w:r w:rsidRPr="0093746E">
              <w:rPr>
                <w:rFonts w:cstheme="minorHAnsi"/>
                <w:b/>
              </w:rPr>
              <w:t>Measures</w:t>
            </w:r>
          </w:p>
        </w:tc>
        <w:tc>
          <w:tcPr>
            <w:tcW w:w="0" w:type="auto"/>
            <w:vAlign w:val="bottom"/>
          </w:tcPr>
          <w:p w14:paraId="2C2A4399" w14:textId="674413FE" w:rsidR="008054B6" w:rsidRPr="0093746E" w:rsidRDefault="008054B6" w:rsidP="006320F7">
            <w:pPr>
              <w:pStyle w:val="NoSpacing"/>
              <w:rPr>
                <w:rFonts w:cstheme="minorHAnsi"/>
                <w:b/>
              </w:rPr>
            </w:pPr>
            <w:r w:rsidRPr="0093746E">
              <w:rPr>
                <w:rFonts w:cstheme="minorHAnsi"/>
                <w:b/>
              </w:rPr>
              <w:t>Number of Items</w:t>
            </w:r>
          </w:p>
        </w:tc>
        <w:tc>
          <w:tcPr>
            <w:tcW w:w="0" w:type="auto"/>
            <w:vAlign w:val="bottom"/>
          </w:tcPr>
          <w:p w14:paraId="6C700A43" w14:textId="016A771C" w:rsidR="008054B6" w:rsidRPr="0093746E" w:rsidRDefault="008054B6" w:rsidP="006320F7">
            <w:pPr>
              <w:pStyle w:val="NoSpacing"/>
              <w:rPr>
                <w:rFonts w:cstheme="minorHAnsi"/>
                <w:b/>
              </w:rPr>
            </w:pPr>
            <w:r w:rsidRPr="0093746E">
              <w:rPr>
                <w:rFonts w:cstheme="minorHAnsi"/>
                <w:b/>
              </w:rPr>
              <w:t>M (SD)</w:t>
            </w:r>
          </w:p>
        </w:tc>
        <w:tc>
          <w:tcPr>
            <w:tcW w:w="0" w:type="auto"/>
            <w:vAlign w:val="bottom"/>
          </w:tcPr>
          <w:p w14:paraId="2146A9B2" w14:textId="510BEEAE" w:rsidR="008054B6" w:rsidRPr="0093746E" w:rsidRDefault="008054B6" w:rsidP="006320F7">
            <w:pPr>
              <w:pStyle w:val="NoSpacing"/>
              <w:rPr>
                <w:rFonts w:cstheme="minorHAnsi"/>
                <w:b/>
              </w:rPr>
            </w:pPr>
            <w:r w:rsidRPr="0093746E">
              <w:rPr>
                <w:rFonts w:cstheme="minorHAnsi"/>
                <w:b/>
              </w:rPr>
              <w:t>Possible Range</w:t>
            </w:r>
          </w:p>
        </w:tc>
        <w:tc>
          <w:tcPr>
            <w:tcW w:w="0" w:type="auto"/>
            <w:vAlign w:val="bottom"/>
          </w:tcPr>
          <w:p w14:paraId="2EE8E729" w14:textId="2CB75C07" w:rsidR="008054B6" w:rsidRPr="0093746E" w:rsidRDefault="008054B6" w:rsidP="006320F7">
            <w:pPr>
              <w:pStyle w:val="NoSpacing"/>
              <w:rPr>
                <w:rFonts w:cstheme="minorHAnsi"/>
                <w:b/>
              </w:rPr>
            </w:pPr>
            <w:r w:rsidRPr="0093746E">
              <w:rPr>
                <w:rFonts w:cstheme="minorHAnsi"/>
                <w:b/>
              </w:rPr>
              <w:t>Actual Scores</w:t>
            </w:r>
          </w:p>
        </w:tc>
        <w:tc>
          <w:tcPr>
            <w:tcW w:w="0" w:type="auto"/>
            <w:vAlign w:val="bottom"/>
          </w:tcPr>
          <w:p w14:paraId="4F071B41" w14:textId="488C06C3" w:rsidR="008054B6" w:rsidRPr="0093746E" w:rsidRDefault="008054B6" w:rsidP="006320F7">
            <w:pPr>
              <w:pStyle w:val="NoSpacing"/>
              <w:rPr>
                <w:rFonts w:cstheme="minorHAnsi"/>
                <w:b/>
              </w:rPr>
            </w:pPr>
            <w:r w:rsidRPr="0093746E">
              <w:rPr>
                <w:rFonts w:cstheme="minorHAnsi"/>
                <w:b/>
              </w:rPr>
              <w:t>Reliability Reported in This Study MR</w:t>
            </w:r>
          </w:p>
        </w:tc>
      </w:tr>
      <w:tr w:rsidR="0093746E" w:rsidRPr="0093746E" w14:paraId="6F08A847" w14:textId="6AFD6B40" w:rsidTr="00C07C49">
        <w:tc>
          <w:tcPr>
            <w:tcW w:w="0" w:type="auto"/>
          </w:tcPr>
          <w:p w14:paraId="5EDEB480" w14:textId="3B255A9D" w:rsidR="008054B6" w:rsidRPr="0093746E" w:rsidRDefault="00BA4032" w:rsidP="00A825CD">
            <w:pPr>
              <w:pStyle w:val="NoSpacing"/>
              <w:rPr>
                <w:rFonts w:cstheme="minorHAnsi"/>
              </w:rPr>
            </w:pPr>
            <w:r w:rsidRPr="0093746E">
              <w:rPr>
                <w:rFonts w:cstheme="minorHAnsi"/>
              </w:rPr>
              <w:t>Independent predeath grief</w:t>
            </w:r>
          </w:p>
        </w:tc>
        <w:tc>
          <w:tcPr>
            <w:tcW w:w="0" w:type="auto"/>
          </w:tcPr>
          <w:p w14:paraId="1A09EB60" w14:textId="77777777" w:rsidR="00B03388" w:rsidRPr="0093746E" w:rsidRDefault="00B03388" w:rsidP="00A825CD">
            <w:pPr>
              <w:pStyle w:val="NoSpacing"/>
              <w:rPr>
                <w:rFonts w:cstheme="minorHAnsi"/>
              </w:rPr>
            </w:pPr>
            <w:proofErr w:type="spellStart"/>
            <w:r w:rsidRPr="0093746E">
              <w:rPr>
                <w:rFonts w:cstheme="minorHAnsi"/>
              </w:rPr>
              <w:t>Marwit</w:t>
            </w:r>
            <w:proofErr w:type="spellEnd"/>
            <w:r w:rsidRPr="0093746E">
              <w:rPr>
                <w:rFonts w:cstheme="minorHAnsi"/>
              </w:rPr>
              <w:t xml:space="preserve"> Meuser</w:t>
            </w:r>
          </w:p>
          <w:p w14:paraId="0997890F" w14:textId="77777777" w:rsidR="00B03388" w:rsidRPr="0093746E" w:rsidRDefault="00B03388" w:rsidP="00A825CD">
            <w:pPr>
              <w:pStyle w:val="NoSpacing"/>
              <w:rPr>
                <w:rFonts w:cstheme="minorHAnsi"/>
              </w:rPr>
            </w:pPr>
            <w:r w:rsidRPr="0093746E">
              <w:rPr>
                <w:rFonts w:cstheme="minorHAnsi"/>
              </w:rPr>
              <w:t>Caregiver Grief</w:t>
            </w:r>
          </w:p>
          <w:p w14:paraId="20BF715D" w14:textId="634472F0" w:rsidR="008054B6" w:rsidRPr="0093746E" w:rsidRDefault="00B03388" w:rsidP="00A825CD">
            <w:pPr>
              <w:pStyle w:val="NoSpacing"/>
              <w:rPr>
                <w:rFonts w:cstheme="minorHAnsi"/>
              </w:rPr>
            </w:pPr>
            <w:r w:rsidRPr="0093746E">
              <w:rPr>
                <w:rFonts w:cstheme="minorHAnsi"/>
              </w:rPr>
              <w:t>Inventory–Short Form</w:t>
            </w:r>
            <w:r w:rsidRPr="0093746E">
              <w:rPr>
                <w:rFonts w:cstheme="minorHAnsi"/>
                <w:vertAlign w:val="superscript"/>
              </w:rPr>
              <w:t>a</w:t>
            </w:r>
          </w:p>
        </w:tc>
        <w:tc>
          <w:tcPr>
            <w:tcW w:w="0" w:type="auto"/>
          </w:tcPr>
          <w:p w14:paraId="6B6CAE9C" w14:textId="47A99838" w:rsidR="008054B6" w:rsidRPr="0093746E" w:rsidRDefault="00675F81" w:rsidP="00A825CD">
            <w:pPr>
              <w:pStyle w:val="NoSpacing"/>
              <w:rPr>
                <w:rFonts w:cstheme="minorHAnsi"/>
              </w:rPr>
            </w:pPr>
            <w:r w:rsidRPr="0093746E">
              <w:rPr>
                <w:rFonts w:cstheme="minorHAnsi"/>
              </w:rPr>
              <w:t>18</w:t>
            </w:r>
          </w:p>
        </w:tc>
        <w:tc>
          <w:tcPr>
            <w:tcW w:w="0" w:type="auto"/>
          </w:tcPr>
          <w:p w14:paraId="43738EDB" w14:textId="1D819DFE" w:rsidR="008054B6" w:rsidRPr="0093746E" w:rsidRDefault="00675F81" w:rsidP="00A825CD">
            <w:pPr>
              <w:pStyle w:val="NoSpacing"/>
              <w:rPr>
                <w:rFonts w:cstheme="minorHAnsi"/>
              </w:rPr>
            </w:pPr>
            <w:r w:rsidRPr="0093746E">
              <w:rPr>
                <w:rFonts w:cstheme="minorHAnsi"/>
              </w:rPr>
              <w:t>3.54 (0.78)</w:t>
            </w:r>
          </w:p>
        </w:tc>
        <w:tc>
          <w:tcPr>
            <w:tcW w:w="0" w:type="auto"/>
          </w:tcPr>
          <w:p w14:paraId="433C4EE3" w14:textId="6496D46E" w:rsidR="008054B6" w:rsidRPr="0093746E" w:rsidRDefault="00675F81" w:rsidP="00A825CD">
            <w:pPr>
              <w:pStyle w:val="NoSpacing"/>
              <w:rPr>
                <w:rFonts w:cstheme="minorHAnsi"/>
              </w:rPr>
            </w:pPr>
            <w:r w:rsidRPr="0093746E">
              <w:rPr>
                <w:rFonts w:cstheme="minorHAnsi"/>
              </w:rPr>
              <w:t>18-90</w:t>
            </w:r>
          </w:p>
        </w:tc>
        <w:tc>
          <w:tcPr>
            <w:tcW w:w="0" w:type="auto"/>
          </w:tcPr>
          <w:p w14:paraId="7BAB2072" w14:textId="49B18A46" w:rsidR="008054B6" w:rsidRPr="0093746E" w:rsidRDefault="00395766" w:rsidP="00A825CD">
            <w:pPr>
              <w:pStyle w:val="NoSpacing"/>
              <w:rPr>
                <w:rFonts w:cstheme="minorHAnsi"/>
              </w:rPr>
            </w:pPr>
            <w:r w:rsidRPr="0093746E">
              <w:rPr>
                <w:rFonts w:cstheme="minorHAnsi"/>
              </w:rPr>
              <w:t>18-90</w:t>
            </w:r>
          </w:p>
        </w:tc>
        <w:tc>
          <w:tcPr>
            <w:tcW w:w="0" w:type="auto"/>
          </w:tcPr>
          <w:p w14:paraId="17085496" w14:textId="55F58C09" w:rsidR="008054B6" w:rsidRPr="0093746E" w:rsidRDefault="00395766" w:rsidP="00A825CD">
            <w:pPr>
              <w:pStyle w:val="NoSpacing"/>
              <w:rPr>
                <w:rFonts w:cstheme="minorHAnsi"/>
              </w:rPr>
            </w:pPr>
            <w:r w:rsidRPr="0093746E">
              <w:rPr>
                <w:rFonts w:cstheme="minorHAnsi"/>
              </w:rPr>
              <w:t>.938</w:t>
            </w:r>
          </w:p>
        </w:tc>
      </w:tr>
      <w:tr w:rsidR="0093746E" w:rsidRPr="0093746E" w14:paraId="554D5BDB" w14:textId="6482AABD" w:rsidTr="00C07C49">
        <w:tc>
          <w:tcPr>
            <w:tcW w:w="0" w:type="auto"/>
          </w:tcPr>
          <w:p w14:paraId="35BDEAEF" w14:textId="77777777" w:rsidR="00BA4032" w:rsidRPr="0093746E" w:rsidRDefault="00BA4032" w:rsidP="00A825CD">
            <w:pPr>
              <w:pStyle w:val="NoSpacing"/>
              <w:rPr>
                <w:rFonts w:cstheme="minorHAnsi"/>
              </w:rPr>
            </w:pPr>
            <w:r w:rsidRPr="0093746E">
              <w:rPr>
                <w:rFonts w:cstheme="minorHAnsi"/>
              </w:rPr>
              <w:t>Dependent</w:t>
            </w:r>
          </w:p>
          <w:p w14:paraId="3A2C972A" w14:textId="7E447C1E" w:rsidR="008054B6" w:rsidRPr="0093746E" w:rsidRDefault="00BA4032" w:rsidP="00A825CD">
            <w:pPr>
              <w:pStyle w:val="NoSpacing"/>
              <w:rPr>
                <w:rFonts w:cstheme="minorHAnsi"/>
              </w:rPr>
            </w:pPr>
            <w:r w:rsidRPr="0093746E">
              <w:rPr>
                <w:rFonts w:cstheme="minorHAnsi"/>
              </w:rPr>
              <w:t>Perceived stress</w:t>
            </w:r>
          </w:p>
        </w:tc>
        <w:tc>
          <w:tcPr>
            <w:tcW w:w="0" w:type="auto"/>
          </w:tcPr>
          <w:p w14:paraId="5BB00B56" w14:textId="189B2057" w:rsidR="008054B6" w:rsidRPr="0093746E" w:rsidRDefault="00A47197" w:rsidP="00A825CD">
            <w:pPr>
              <w:pStyle w:val="NoSpacing"/>
              <w:rPr>
                <w:rFonts w:cstheme="minorHAnsi"/>
              </w:rPr>
            </w:pPr>
            <w:r w:rsidRPr="0093746E">
              <w:rPr>
                <w:rFonts w:cstheme="minorHAnsi"/>
              </w:rPr>
              <w:t>Perceived Stress Scale 14</w:t>
            </w:r>
            <w:r w:rsidRPr="0093746E">
              <w:rPr>
                <w:rFonts w:cstheme="minorHAnsi"/>
                <w:vertAlign w:val="superscript"/>
              </w:rPr>
              <w:t>b</w:t>
            </w:r>
          </w:p>
        </w:tc>
        <w:tc>
          <w:tcPr>
            <w:tcW w:w="0" w:type="auto"/>
          </w:tcPr>
          <w:p w14:paraId="0BAFBD5C" w14:textId="44E70E5D" w:rsidR="008054B6" w:rsidRPr="0093746E" w:rsidRDefault="00395766" w:rsidP="00A825CD">
            <w:pPr>
              <w:pStyle w:val="NoSpacing"/>
              <w:rPr>
                <w:rFonts w:cstheme="minorHAnsi"/>
              </w:rPr>
            </w:pPr>
            <w:r w:rsidRPr="0093746E">
              <w:rPr>
                <w:rFonts w:cstheme="minorHAnsi"/>
              </w:rPr>
              <w:t>14</w:t>
            </w:r>
          </w:p>
        </w:tc>
        <w:tc>
          <w:tcPr>
            <w:tcW w:w="0" w:type="auto"/>
          </w:tcPr>
          <w:p w14:paraId="70002119" w14:textId="3B98FEB4" w:rsidR="008054B6" w:rsidRPr="0093746E" w:rsidRDefault="00395766" w:rsidP="00A825CD">
            <w:pPr>
              <w:pStyle w:val="NoSpacing"/>
              <w:rPr>
                <w:rFonts w:cstheme="minorHAnsi"/>
              </w:rPr>
            </w:pPr>
            <w:r w:rsidRPr="0093746E">
              <w:rPr>
                <w:rFonts w:cstheme="minorHAnsi"/>
              </w:rPr>
              <w:t>2.13 (0.75)</w:t>
            </w:r>
          </w:p>
        </w:tc>
        <w:tc>
          <w:tcPr>
            <w:tcW w:w="0" w:type="auto"/>
          </w:tcPr>
          <w:p w14:paraId="5002C281" w14:textId="0F9B9E66" w:rsidR="008054B6" w:rsidRPr="0093746E" w:rsidRDefault="00395766" w:rsidP="00A825CD">
            <w:pPr>
              <w:pStyle w:val="NoSpacing"/>
              <w:rPr>
                <w:rFonts w:cstheme="minorHAnsi"/>
              </w:rPr>
            </w:pPr>
            <w:r w:rsidRPr="0093746E">
              <w:rPr>
                <w:rFonts w:cstheme="minorHAnsi"/>
              </w:rPr>
              <w:t>0-56</w:t>
            </w:r>
          </w:p>
        </w:tc>
        <w:tc>
          <w:tcPr>
            <w:tcW w:w="0" w:type="auto"/>
          </w:tcPr>
          <w:p w14:paraId="14ECA39C" w14:textId="7BC9C16F" w:rsidR="008054B6" w:rsidRPr="0093746E" w:rsidRDefault="00395766" w:rsidP="00A825CD">
            <w:pPr>
              <w:pStyle w:val="NoSpacing"/>
              <w:rPr>
                <w:rFonts w:cstheme="minorHAnsi"/>
              </w:rPr>
            </w:pPr>
            <w:r w:rsidRPr="0093746E">
              <w:rPr>
                <w:rFonts w:cstheme="minorHAnsi"/>
              </w:rPr>
              <w:t>0-53</w:t>
            </w:r>
          </w:p>
        </w:tc>
        <w:tc>
          <w:tcPr>
            <w:tcW w:w="0" w:type="auto"/>
          </w:tcPr>
          <w:p w14:paraId="03DCF8D8" w14:textId="727BC152" w:rsidR="008054B6" w:rsidRPr="0093746E" w:rsidRDefault="00395766" w:rsidP="00A825CD">
            <w:pPr>
              <w:pStyle w:val="NoSpacing"/>
              <w:rPr>
                <w:rFonts w:cstheme="minorHAnsi"/>
              </w:rPr>
            </w:pPr>
            <w:r w:rsidRPr="0093746E">
              <w:rPr>
                <w:rFonts w:cstheme="minorHAnsi"/>
              </w:rPr>
              <w:t>.939</w:t>
            </w:r>
          </w:p>
        </w:tc>
      </w:tr>
      <w:tr w:rsidR="0093746E" w:rsidRPr="0093746E" w14:paraId="1BAC8729" w14:textId="5E752015" w:rsidTr="00C07C49">
        <w:tc>
          <w:tcPr>
            <w:tcW w:w="0" w:type="auto"/>
          </w:tcPr>
          <w:p w14:paraId="13C9C5A4" w14:textId="62EE3D03" w:rsidR="008054B6" w:rsidRPr="0093746E" w:rsidRDefault="00BA4032" w:rsidP="00A825CD">
            <w:pPr>
              <w:pStyle w:val="NoSpacing"/>
              <w:rPr>
                <w:rFonts w:cstheme="minorHAnsi"/>
              </w:rPr>
            </w:pPr>
            <w:r w:rsidRPr="0093746E">
              <w:rPr>
                <w:rFonts w:cstheme="minorHAnsi"/>
              </w:rPr>
              <w:t>Moderating resourcefulness</w:t>
            </w:r>
          </w:p>
        </w:tc>
        <w:tc>
          <w:tcPr>
            <w:tcW w:w="0" w:type="auto"/>
          </w:tcPr>
          <w:p w14:paraId="3EAFD954" w14:textId="3107791B" w:rsidR="008054B6" w:rsidRPr="0093746E" w:rsidRDefault="00ED54B1" w:rsidP="00A825CD">
            <w:pPr>
              <w:pStyle w:val="NoSpacing"/>
              <w:rPr>
                <w:rFonts w:cstheme="minorHAnsi"/>
              </w:rPr>
            </w:pPr>
            <w:r w:rsidRPr="0093746E">
              <w:rPr>
                <w:rFonts w:cstheme="minorHAnsi"/>
              </w:rPr>
              <w:t xml:space="preserve">Resourcefulness </w:t>
            </w:r>
            <w:proofErr w:type="spellStart"/>
            <w:r w:rsidRPr="0093746E">
              <w:rPr>
                <w:rFonts w:cstheme="minorHAnsi"/>
              </w:rPr>
              <w:t>Scale</w:t>
            </w:r>
            <w:r w:rsidRPr="0093746E">
              <w:rPr>
                <w:rFonts w:cstheme="minorHAnsi"/>
                <w:vertAlign w:val="superscript"/>
              </w:rPr>
              <w:t>c</w:t>
            </w:r>
            <w:proofErr w:type="spellEnd"/>
          </w:p>
        </w:tc>
        <w:tc>
          <w:tcPr>
            <w:tcW w:w="0" w:type="auto"/>
          </w:tcPr>
          <w:p w14:paraId="7B31408E" w14:textId="5E85AD5E" w:rsidR="008054B6" w:rsidRPr="0093746E" w:rsidRDefault="00A825CD" w:rsidP="00A825CD">
            <w:pPr>
              <w:pStyle w:val="NoSpacing"/>
              <w:rPr>
                <w:rFonts w:cstheme="minorHAnsi"/>
              </w:rPr>
            </w:pPr>
            <w:r w:rsidRPr="0093746E">
              <w:rPr>
                <w:rFonts w:cstheme="minorHAnsi"/>
              </w:rPr>
              <w:t>28</w:t>
            </w:r>
          </w:p>
        </w:tc>
        <w:tc>
          <w:tcPr>
            <w:tcW w:w="0" w:type="auto"/>
          </w:tcPr>
          <w:p w14:paraId="2B868E02" w14:textId="77777777" w:rsidR="008054B6" w:rsidRPr="0093746E" w:rsidRDefault="008054B6" w:rsidP="00A825CD">
            <w:pPr>
              <w:pStyle w:val="NoSpacing"/>
              <w:rPr>
                <w:rFonts w:cstheme="minorHAnsi"/>
              </w:rPr>
            </w:pPr>
          </w:p>
        </w:tc>
        <w:tc>
          <w:tcPr>
            <w:tcW w:w="0" w:type="auto"/>
          </w:tcPr>
          <w:p w14:paraId="6402B778" w14:textId="66FEDFDC" w:rsidR="008054B6" w:rsidRPr="0093746E" w:rsidRDefault="00A825CD" w:rsidP="00A825CD">
            <w:pPr>
              <w:pStyle w:val="NoSpacing"/>
              <w:rPr>
                <w:rFonts w:cstheme="minorHAnsi"/>
              </w:rPr>
            </w:pPr>
            <w:r w:rsidRPr="0093746E">
              <w:rPr>
                <w:rFonts w:cstheme="minorHAnsi"/>
              </w:rPr>
              <w:t>0-140</w:t>
            </w:r>
          </w:p>
        </w:tc>
        <w:tc>
          <w:tcPr>
            <w:tcW w:w="0" w:type="auto"/>
          </w:tcPr>
          <w:p w14:paraId="57456124" w14:textId="78DD80AF" w:rsidR="008054B6" w:rsidRPr="0093746E" w:rsidRDefault="00A825CD" w:rsidP="00A825CD">
            <w:pPr>
              <w:pStyle w:val="NoSpacing"/>
              <w:rPr>
                <w:rFonts w:cstheme="minorHAnsi"/>
              </w:rPr>
            </w:pPr>
            <w:r w:rsidRPr="0093746E">
              <w:rPr>
                <w:rFonts w:cstheme="minorHAnsi"/>
              </w:rPr>
              <w:t>38-113</w:t>
            </w:r>
          </w:p>
        </w:tc>
        <w:tc>
          <w:tcPr>
            <w:tcW w:w="0" w:type="auto"/>
          </w:tcPr>
          <w:p w14:paraId="4E5C9E1E" w14:textId="77777777" w:rsidR="008054B6" w:rsidRPr="0093746E" w:rsidRDefault="008054B6" w:rsidP="00A825CD">
            <w:pPr>
              <w:pStyle w:val="NoSpacing"/>
              <w:rPr>
                <w:rFonts w:cstheme="minorHAnsi"/>
              </w:rPr>
            </w:pPr>
          </w:p>
        </w:tc>
      </w:tr>
      <w:tr w:rsidR="0093746E" w:rsidRPr="0093746E" w14:paraId="6D032F39" w14:textId="0F1C754C" w:rsidTr="00C07C49">
        <w:tc>
          <w:tcPr>
            <w:tcW w:w="0" w:type="auto"/>
          </w:tcPr>
          <w:p w14:paraId="44C9E4A5" w14:textId="0E57FA52" w:rsidR="008054B6" w:rsidRPr="0093746E" w:rsidRDefault="00BA4032" w:rsidP="00A825CD">
            <w:pPr>
              <w:pStyle w:val="NoSpacing"/>
              <w:rPr>
                <w:rFonts w:cstheme="minorHAnsi"/>
              </w:rPr>
            </w:pPr>
            <w:r w:rsidRPr="0093746E">
              <w:rPr>
                <w:rFonts w:cstheme="minorHAnsi"/>
              </w:rPr>
              <w:t>Subscale</w:t>
            </w:r>
          </w:p>
        </w:tc>
        <w:tc>
          <w:tcPr>
            <w:tcW w:w="0" w:type="auto"/>
          </w:tcPr>
          <w:p w14:paraId="105562FD" w14:textId="20B5D4F0" w:rsidR="008054B6" w:rsidRPr="0093746E" w:rsidRDefault="00675F81" w:rsidP="00A825CD">
            <w:pPr>
              <w:pStyle w:val="NoSpacing"/>
              <w:rPr>
                <w:rFonts w:cstheme="minorHAnsi"/>
              </w:rPr>
            </w:pPr>
            <w:r w:rsidRPr="0093746E">
              <w:rPr>
                <w:rFonts w:cstheme="minorHAnsi"/>
              </w:rPr>
              <w:t>Social resourcefulness</w:t>
            </w:r>
          </w:p>
        </w:tc>
        <w:tc>
          <w:tcPr>
            <w:tcW w:w="0" w:type="auto"/>
          </w:tcPr>
          <w:p w14:paraId="36C33D9B" w14:textId="36EB28D2" w:rsidR="008054B6" w:rsidRPr="0093746E" w:rsidRDefault="00A825CD" w:rsidP="00A825CD">
            <w:pPr>
              <w:pStyle w:val="NoSpacing"/>
              <w:rPr>
                <w:rFonts w:cstheme="minorHAnsi"/>
              </w:rPr>
            </w:pPr>
            <w:r w:rsidRPr="0093746E">
              <w:rPr>
                <w:rFonts w:cstheme="minorHAnsi"/>
              </w:rPr>
              <w:t>12</w:t>
            </w:r>
          </w:p>
        </w:tc>
        <w:tc>
          <w:tcPr>
            <w:tcW w:w="0" w:type="auto"/>
          </w:tcPr>
          <w:p w14:paraId="7B1F37E6" w14:textId="38C8DDC3" w:rsidR="008054B6" w:rsidRPr="0093746E" w:rsidRDefault="00A825CD" w:rsidP="00A825CD">
            <w:pPr>
              <w:pStyle w:val="NoSpacing"/>
              <w:rPr>
                <w:rFonts w:cstheme="minorHAnsi"/>
              </w:rPr>
            </w:pPr>
            <w:r w:rsidRPr="0093746E">
              <w:rPr>
                <w:rFonts w:cstheme="minorHAnsi"/>
              </w:rPr>
              <w:t>2.24 (0.91)</w:t>
            </w:r>
          </w:p>
        </w:tc>
        <w:tc>
          <w:tcPr>
            <w:tcW w:w="0" w:type="auto"/>
          </w:tcPr>
          <w:p w14:paraId="77B07587" w14:textId="6F5533A3" w:rsidR="008054B6" w:rsidRPr="0093746E" w:rsidRDefault="00A825CD" w:rsidP="00A825CD">
            <w:pPr>
              <w:pStyle w:val="NoSpacing"/>
              <w:rPr>
                <w:rFonts w:cstheme="minorHAnsi"/>
              </w:rPr>
            </w:pPr>
            <w:r w:rsidRPr="0093746E">
              <w:rPr>
                <w:rFonts w:cstheme="minorHAnsi"/>
              </w:rPr>
              <w:t>0-60</w:t>
            </w:r>
          </w:p>
        </w:tc>
        <w:tc>
          <w:tcPr>
            <w:tcW w:w="0" w:type="auto"/>
          </w:tcPr>
          <w:p w14:paraId="4799A95D" w14:textId="4CD720F8" w:rsidR="008054B6" w:rsidRPr="0093746E" w:rsidRDefault="00A825CD" w:rsidP="00A825CD">
            <w:pPr>
              <w:pStyle w:val="NoSpacing"/>
              <w:rPr>
                <w:rFonts w:cstheme="minorHAnsi"/>
              </w:rPr>
            </w:pPr>
            <w:r w:rsidRPr="0093746E">
              <w:rPr>
                <w:rFonts w:cstheme="minorHAnsi"/>
              </w:rPr>
              <w:t>2-60</w:t>
            </w:r>
          </w:p>
        </w:tc>
        <w:tc>
          <w:tcPr>
            <w:tcW w:w="0" w:type="auto"/>
          </w:tcPr>
          <w:p w14:paraId="51CCA306" w14:textId="00441371" w:rsidR="008054B6" w:rsidRPr="0093746E" w:rsidRDefault="00A825CD" w:rsidP="00A825CD">
            <w:pPr>
              <w:pStyle w:val="NoSpacing"/>
              <w:rPr>
                <w:rFonts w:cstheme="minorHAnsi"/>
              </w:rPr>
            </w:pPr>
            <w:r w:rsidRPr="0093746E">
              <w:rPr>
                <w:rFonts w:cstheme="minorHAnsi"/>
              </w:rPr>
              <w:t>.919</w:t>
            </w:r>
          </w:p>
        </w:tc>
      </w:tr>
      <w:tr w:rsidR="0093746E" w:rsidRPr="0093746E" w14:paraId="0E26B79F" w14:textId="09A521A3" w:rsidTr="00C07C49">
        <w:tc>
          <w:tcPr>
            <w:tcW w:w="0" w:type="auto"/>
          </w:tcPr>
          <w:p w14:paraId="2E3780C3" w14:textId="3F939711" w:rsidR="008054B6" w:rsidRPr="0093746E" w:rsidRDefault="00BA4032" w:rsidP="00A825CD">
            <w:pPr>
              <w:pStyle w:val="NoSpacing"/>
              <w:rPr>
                <w:rFonts w:cstheme="minorHAnsi"/>
              </w:rPr>
            </w:pPr>
            <w:r w:rsidRPr="0093746E">
              <w:rPr>
                <w:rFonts w:cstheme="minorHAnsi"/>
              </w:rPr>
              <w:t>Subscale</w:t>
            </w:r>
          </w:p>
        </w:tc>
        <w:tc>
          <w:tcPr>
            <w:tcW w:w="0" w:type="auto"/>
          </w:tcPr>
          <w:p w14:paraId="225397C7" w14:textId="39A4AE66" w:rsidR="008054B6" w:rsidRPr="0093746E" w:rsidRDefault="00675F81" w:rsidP="00A825CD">
            <w:pPr>
              <w:pStyle w:val="NoSpacing"/>
              <w:rPr>
                <w:rFonts w:cstheme="minorHAnsi"/>
              </w:rPr>
            </w:pPr>
            <w:r w:rsidRPr="0093746E">
              <w:rPr>
                <w:rFonts w:cstheme="minorHAnsi"/>
              </w:rPr>
              <w:t>Personal resourcefulness</w:t>
            </w:r>
          </w:p>
        </w:tc>
        <w:tc>
          <w:tcPr>
            <w:tcW w:w="0" w:type="auto"/>
          </w:tcPr>
          <w:p w14:paraId="7BF26616" w14:textId="7C379692" w:rsidR="008054B6" w:rsidRPr="0093746E" w:rsidRDefault="00A825CD" w:rsidP="00A825CD">
            <w:pPr>
              <w:pStyle w:val="NoSpacing"/>
              <w:rPr>
                <w:rFonts w:cstheme="minorHAnsi"/>
              </w:rPr>
            </w:pPr>
            <w:r w:rsidRPr="0093746E">
              <w:rPr>
                <w:rFonts w:cstheme="minorHAnsi"/>
              </w:rPr>
              <w:t>16</w:t>
            </w:r>
          </w:p>
        </w:tc>
        <w:tc>
          <w:tcPr>
            <w:tcW w:w="0" w:type="auto"/>
          </w:tcPr>
          <w:p w14:paraId="1D434E0F" w14:textId="788247FE" w:rsidR="008054B6" w:rsidRPr="0093746E" w:rsidRDefault="00A825CD" w:rsidP="00A825CD">
            <w:pPr>
              <w:pStyle w:val="NoSpacing"/>
              <w:rPr>
                <w:rFonts w:cstheme="minorHAnsi"/>
              </w:rPr>
            </w:pPr>
            <w:r w:rsidRPr="0093746E">
              <w:rPr>
                <w:rFonts w:cstheme="minorHAnsi"/>
              </w:rPr>
              <w:t>3.18 (0.82)</w:t>
            </w:r>
          </w:p>
        </w:tc>
        <w:tc>
          <w:tcPr>
            <w:tcW w:w="0" w:type="auto"/>
          </w:tcPr>
          <w:p w14:paraId="3A1656DD" w14:textId="4147A31B" w:rsidR="008054B6" w:rsidRPr="0093746E" w:rsidRDefault="00A825CD" w:rsidP="00A825CD">
            <w:pPr>
              <w:pStyle w:val="NoSpacing"/>
              <w:rPr>
                <w:rFonts w:cstheme="minorHAnsi"/>
              </w:rPr>
            </w:pPr>
            <w:r w:rsidRPr="0093746E">
              <w:rPr>
                <w:rFonts w:cstheme="minorHAnsi"/>
              </w:rPr>
              <w:t>0-80</w:t>
            </w:r>
          </w:p>
        </w:tc>
        <w:tc>
          <w:tcPr>
            <w:tcW w:w="0" w:type="auto"/>
          </w:tcPr>
          <w:p w14:paraId="060F25B8" w14:textId="6D58A7AB" w:rsidR="008054B6" w:rsidRPr="0093746E" w:rsidRDefault="00A825CD" w:rsidP="00A825CD">
            <w:pPr>
              <w:pStyle w:val="NoSpacing"/>
              <w:rPr>
                <w:rFonts w:cstheme="minorHAnsi"/>
              </w:rPr>
            </w:pPr>
            <w:r w:rsidRPr="0093746E">
              <w:rPr>
                <w:rFonts w:cstheme="minorHAnsi"/>
              </w:rPr>
              <w:t>0-74</w:t>
            </w:r>
          </w:p>
        </w:tc>
        <w:tc>
          <w:tcPr>
            <w:tcW w:w="0" w:type="auto"/>
          </w:tcPr>
          <w:p w14:paraId="1F082689" w14:textId="2D8B2BD8" w:rsidR="008054B6" w:rsidRPr="0093746E" w:rsidRDefault="00A825CD" w:rsidP="00A825CD">
            <w:pPr>
              <w:pStyle w:val="NoSpacing"/>
              <w:rPr>
                <w:rFonts w:cstheme="minorHAnsi"/>
              </w:rPr>
            </w:pPr>
            <w:r w:rsidRPr="0093746E">
              <w:rPr>
                <w:rFonts w:cstheme="minorHAnsi"/>
              </w:rPr>
              <w:t>.885</w:t>
            </w:r>
          </w:p>
        </w:tc>
      </w:tr>
    </w:tbl>
    <w:p w14:paraId="6F9277F1" w14:textId="7CB2CD1D" w:rsidR="002B3E96" w:rsidRPr="0093746E" w:rsidRDefault="006320F7" w:rsidP="002B3E96">
      <w:pPr>
        <w:pStyle w:val="NoSpacing"/>
        <w:rPr>
          <w:rFonts w:cstheme="minorHAnsi"/>
          <w:sz w:val="20"/>
        </w:rPr>
      </w:pPr>
      <w:r w:rsidRPr="0093746E">
        <w:rPr>
          <w:rFonts w:cstheme="minorHAnsi"/>
          <w:i/>
          <w:sz w:val="20"/>
        </w:rPr>
        <w:t>Note</w:t>
      </w:r>
      <w:r w:rsidR="002B3E96" w:rsidRPr="0093746E">
        <w:rPr>
          <w:rFonts w:cstheme="minorHAnsi"/>
          <w:i/>
          <w:sz w:val="20"/>
        </w:rPr>
        <w:t>.</w:t>
      </w:r>
      <w:r w:rsidR="002B3E96" w:rsidRPr="0093746E">
        <w:rPr>
          <w:rFonts w:cstheme="minorHAnsi"/>
          <w:sz w:val="20"/>
        </w:rPr>
        <w:t xml:space="preserve"> MR </w:t>
      </w:r>
      <w:r w:rsidR="002B3E96" w:rsidRPr="0093746E">
        <w:rPr>
          <w:rFonts w:eastAsia="MathematicalPiLTStd" w:cstheme="minorHAnsi"/>
          <w:sz w:val="20"/>
        </w:rPr>
        <w:t xml:space="preserve">= </w:t>
      </w:r>
      <w:r w:rsidR="002B3E96" w:rsidRPr="0093746E">
        <w:rPr>
          <w:rFonts w:cstheme="minorHAnsi"/>
          <w:sz w:val="20"/>
        </w:rPr>
        <w:t>maximal reliability.</w:t>
      </w:r>
    </w:p>
    <w:p w14:paraId="611048CB" w14:textId="77777777" w:rsidR="002B3E96" w:rsidRPr="0093746E" w:rsidRDefault="002B3E96" w:rsidP="002B3E96">
      <w:pPr>
        <w:pStyle w:val="NoSpacing"/>
        <w:rPr>
          <w:rFonts w:cstheme="minorHAnsi"/>
          <w:sz w:val="20"/>
        </w:rPr>
      </w:pPr>
      <w:proofErr w:type="spellStart"/>
      <w:proofErr w:type="gramStart"/>
      <w:r w:rsidRPr="0093746E">
        <w:rPr>
          <w:rFonts w:cstheme="minorHAnsi"/>
          <w:sz w:val="20"/>
        </w:rPr>
        <w:t>a.Marwit</w:t>
      </w:r>
      <w:proofErr w:type="spellEnd"/>
      <w:proofErr w:type="gramEnd"/>
      <w:r w:rsidRPr="0093746E">
        <w:rPr>
          <w:rFonts w:cstheme="minorHAnsi"/>
          <w:sz w:val="20"/>
        </w:rPr>
        <w:t xml:space="preserve"> and Meuser (2005).</w:t>
      </w:r>
    </w:p>
    <w:p w14:paraId="48C5717B" w14:textId="77777777" w:rsidR="002B3E96" w:rsidRPr="0093746E" w:rsidRDefault="002B3E96" w:rsidP="002B3E96">
      <w:pPr>
        <w:pStyle w:val="NoSpacing"/>
        <w:rPr>
          <w:rFonts w:cstheme="minorHAnsi"/>
          <w:sz w:val="20"/>
        </w:rPr>
      </w:pPr>
      <w:proofErr w:type="spellStart"/>
      <w:proofErr w:type="gramStart"/>
      <w:r w:rsidRPr="0093746E">
        <w:rPr>
          <w:rFonts w:cstheme="minorHAnsi"/>
          <w:sz w:val="20"/>
        </w:rPr>
        <w:t>b.Cohen</w:t>
      </w:r>
      <w:proofErr w:type="spellEnd"/>
      <w:proofErr w:type="gramEnd"/>
      <w:r w:rsidRPr="0093746E">
        <w:rPr>
          <w:rFonts w:cstheme="minorHAnsi"/>
          <w:sz w:val="20"/>
        </w:rPr>
        <w:t xml:space="preserve">, </w:t>
      </w:r>
      <w:proofErr w:type="spellStart"/>
      <w:r w:rsidRPr="0093746E">
        <w:rPr>
          <w:rFonts w:cstheme="minorHAnsi"/>
          <w:sz w:val="20"/>
        </w:rPr>
        <w:t>Kamarck</w:t>
      </w:r>
      <w:proofErr w:type="spellEnd"/>
      <w:r w:rsidRPr="0093746E">
        <w:rPr>
          <w:rFonts w:cstheme="minorHAnsi"/>
          <w:sz w:val="20"/>
        </w:rPr>
        <w:t xml:space="preserve">, and </w:t>
      </w:r>
      <w:proofErr w:type="spellStart"/>
      <w:r w:rsidRPr="0093746E">
        <w:rPr>
          <w:rFonts w:cstheme="minorHAnsi"/>
          <w:sz w:val="20"/>
        </w:rPr>
        <w:t>Mermelstein</w:t>
      </w:r>
      <w:proofErr w:type="spellEnd"/>
      <w:r w:rsidRPr="0093746E">
        <w:rPr>
          <w:rFonts w:cstheme="minorHAnsi"/>
          <w:sz w:val="20"/>
        </w:rPr>
        <w:t xml:space="preserve"> (1983).</w:t>
      </w:r>
    </w:p>
    <w:p w14:paraId="36E96558" w14:textId="5C8D2A80" w:rsidR="00696DDE" w:rsidRPr="00921E4A" w:rsidRDefault="002B3E96" w:rsidP="00921E4A">
      <w:pPr>
        <w:pStyle w:val="NoSpacing"/>
        <w:rPr>
          <w:rFonts w:cstheme="minorHAnsi"/>
          <w:sz w:val="20"/>
        </w:rPr>
      </w:pPr>
      <w:proofErr w:type="spellStart"/>
      <w:r w:rsidRPr="0093746E">
        <w:rPr>
          <w:rFonts w:cstheme="minorHAnsi"/>
          <w:sz w:val="20"/>
        </w:rPr>
        <w:t>c.Zauszniewski</w:t>
      </w:r>
      <w:proofErr w:type="spellEnd"/>
      <w:r w:rsidRPr="0093746E">
        <w:rPr>
          <w:rFonts w:cstheme="minorHAnsi"/>
          <w:sz w:val="20"/>
        </w:rPr>
        <w:t xml:space="preserve">, Lau, and </w:t>
      </w:r>
      <w:proofErr w:type="spellStart"/>
      <w:r w:rsidRPr="0093746E">
        <w:rPr>
          <w:rFonts w:cstheme="minorHAnsi"/>
          <w:sz w:val="20"/>
        </w:rPr>
        <w:t>Tithiphontumrong</w:t>
      </w:r>
      <w:proofErr w:type="spellEnd"/>
      <w:r w:rsidRPr="0093746E">
        <w:rPr>
          <w:rFonts w:cstheme="minorHAnsi"/>
          <w:sz w:val="20"/>
        </w:rPr>
        <w:t xml:space="preserve"> (2006).</w:t>
      </w:r>
    </w:p>
    <w:p w14:paraId="1889F543" w14:textId="482E651A" w:rsidR="00BF2C0E" w:rsidRPr="0093746E" w:rsidRDefault="00BF2C0E" w:rsidP="00696DDE">
      <w:pPr>
        <w:rPr>
          <w:rFonts w:cstheme="minorHAnsi"/>
          <w:sz w:val="24"/>
          <w:szCs w:val="24"/>
        </w:rPr>
      </w:pPr>
      <w:r w:rsidRPr="0093746E">
        <w:rPr>
          <w:rFonts w:cstheme="minorHAnsi"/>
          <w:b/>
          <w:bCs/>
        </w:rPr>
        <w:t>H1:</w:t>
      </w:r>
      <w:r w:rsidRPr="0093746E">
        <w:rPr>
          <w:rFonts w:cstheme="minorHAnsi"/>
        </w:rPr>
        <w:t> Caregiver PDG has a positive association with caregiver PS in caregivers of a partner with YOD.</w:t>
      </w:r>
    </w:p>
    <w:p w14:paraId="7F92C5DB" w14:textId="582CC054" w:rsidR="00BF2C0E" w:rsidRPr="0093746E" w:rsidRDefault="00977022" w:rsidP="00976120">
      <w:pPr>
        <w:pStyle w:val="NoSpacing"/>
        <w:rPr>
          <w:rFonts w:cstheme="minorHAnsi"/>
        </w:rPr>
      </w:pPr>
      <w:hyperlink r:id="rId62" w:history="1">
        <w:r w:rsidR="00BF2C0E" w:rsidRPr="00921E4A">
          <w:rPr>
            <w:rStyle w:val="Hyperlink"/>
            <w:rFonts w:cstheme="minorHAnsi"/>
            <w:color w:val="0070C0"/>
          </w:rPr>
          <w:t>Table 2</w:t>
        </w:r>
      </w:hyperlink>
      <w:r w:rsidR="00BF2C0E" w:rsidRPr="0093746E">
        <w:rPr>
          <w:rFonts w:cstheme="minorHAnsi"/>
        </w:rPr>
        <w:t> demonstrates the correlation between scales. The relationship between PDG and PS (H1), demonstrated a large positive correlation (</w:t>
      </w:r>
      <w:r w:rsidR="00BF2C0E" w:rsidRPr="0093746E">
        <w:rPr>
          <w:rFonts w:cstheme="minorHAnsi"/>
          <w:i/>
          <w:iCs/>
        </w:rPr>
        <w:t>r</w:t>
      </w:r>
      <w:r w:rsidR="00BF2C0E" w:rsidRPr="0093746E">
        <w:rPr>
          <w:rFonts w:cstheme="minorHAnsi"/>
        </w:rPr>
        <w:t> = 0.649, </w:t>
      </w:r>
      <w:r w:rsidR="00BF2C0E" w:rsidRPr="0093746E">
        <w:rPr>
          <w:rFonts w:cstheme="minorHAnsi"/>
          <w:i/>
          <w:iCs/>
        </w:rPr>
        <w:t>p</w:t>
      </w:r>
      <w:r w:rsidR="00BF2C0E" w:rsidRPr="0093746E">
        <w:rPr>
          <w:rFonts w:cstheme="minorHAnsi"/>
        </w:rPr>
        <w:t xml:space="preserve"> &lt; .001). This </w:t>
      </w:r>
      <w:proofErr w:type="gramStart"/>
      <w:r w:rsidR="00BF2C0E" w:rsidRPr="0093746E">
        <w:rPr>
          <w:rFonts w:cstheme="minorHAnsi"/>
        </w:rPr>
        <w:t>lead</w:t>
      </w:r>
      <w:proofErr w:type="gramEnd"/>
      <w:r w:rsidR="00BF2C0E" w:rsidRPr="0093746E">
        <w:rPr>
          <w:rFonts w:cstheme="minorHAnsi"/>
        </w:rPr>
        <w:t xml:space="preserve"> to an </w:t>
      </w:r>
      <w:r w:rsidR="00BF2C0E" w:rsidRPr="0093746E">
        <w:rPr>
          <w:rFonts w:cstheme="minorHAnsi"/>
          <w:i/>
          <w:iCs/>
        </w:rPr>
        <w:t>R</w:t>
      </w:r>
      <w:r w:rsidR="00BF2C0E" w:rsidRPr="0093746E">
        <w:rPr>
          <w:rFonts w:cstheme="minorHAnsi"/>
          <w:vertAlign w:val="superscript"/>
        </w:rPr>
        <w:t>2</w:t>
      </w:r>
      <w:r w:rsidR="00BF2C0E" w:rsidRPr="0093746E">
        <w:rPr>
          <w:rFonts w:cstheme="minorHAnsi"/>
        </w:rPr>
        <w:t> = 0.42.</w:t>
      </w:r>
    </w:p>
    <w:p w14:paraId="10173B13" w14:textId="77777777" w:rsidR="003903F1" w:rsidRPr="0093746E" w:rsidRDefault="003903F1" w:rsidP="003903F1">
      <w:pPr>
        <w:pStyle w:val="NoSpacing"/>
        <w:rPr>
          <w:rFonts w:cstheme="minorHAnsi"/>
        </w:rPr>
      </w:pPr>
    </w:p>
    <w:p w14:paraId="3C65092D" w14:textId="01F5DDEF" w:rsidR="00BF2C0E" w:rsidRPr="0093746E" w:rsidRDefault="00BF2C0E" w:rsidP="003903F1">
      <w:pPr>
        <w:pStyle w:val="NoSpacing"/>
        <w:rPr>
          <w:rFonts w:cstheme="minorHAnsi"/>
        </w:rPr>
      </w:pPr>
      <w:r w:rsidRPr="0093746E">
        <w:rPr>
          <w:rStyle w:val="captionlabel"/>
          <w:rFonts w:cstheme="minorHAnsi"/>
          <w:b/>
        </w:rPr>
        <w:t>Table 2.</w:t>
      </w:r>
      <w:r w:rsidRPr="0093746E">
        <w:rPr>
          <w:rFonts w:cstheme="minorHAnsi"/>
        </w:rPr>
        <w:t> Correlations Between Scales (N = 104).</w:t>
      </w:r>
    </w:p>
    <w:tbl>
      <w:tblPr>
        <w:tblStyle w:val="TableGridLight"/>
        <w:tblW w:w="0" w:type="auto"/>
        <w:tblLook w:val="04A0" w:firstRow="1" w:lastRow="0" w:firstColumn="1" w:lastColumn="0" w:noHBand="0" w:noVBand="1"/>
      </w:tblPr>
      <w:tblGrid>
        <w:gridCol w:w="710"/>
        <w:gridCol w:w="783"/>
        <w:gridCol w:w="783"/>
        <w:gridCol w:w="674"/>
        <w:gridCol w:w="530"/>
      </w:tblGrid>
      <w:tr w:rsidR="0093746E" w:rsidRPr="0093746E" w14:paraId="24CAB123" w14:textId="77777777" w:rsidTr="00C07C49">
        <w:trPr>
          <w:trHeight w:val="322"/>
        </w:trPr>
        <w:tc>
          <w:tcPr>
            <w:tcW w:w="0" w:type="auto"/>
          </w:tcPr>
          <w:p w14:paraId="5D70A422" w14:textId="77777777" w:rsidR="009C1EF3" w:rsidRPr="0093746E" w:rsidRDefault="009C1EF3" w:rsidP="008A162E">
            <w:pPr>
              <w:pStyle w:val="NoSpacing"/>
              <w:rPr>
                <w:rFonts w:cstheme="minorHAnsi"/>
              </w:rPr>
            </w:pPr>
          </w:p>
        </w:tc>
        <w:tc>
          <w:tcPr>
            <w:tcW w:w="0" w:type="auto"/>
          </w:tcPr>
          <w:p w14:paraId="455591E1" w14:textId="388C0400" w:rsidR="009C1EF3" w:rsidRPr="0093746E" w:rsidRDefault="00284205" w:rsidP="008A162E">
            <w:pPr>
              <w:pStyle w:val="NoSpacing"/>
              <w:rPr>
                <w:rFonts w:cstheme="minorHAnsi"/>
              </w:rPr>
            </w:pPr>
            <w:proofErr w:type="spellStart"/>
            <w:r w:rsidRPr="0093746E">
              <w:rPr>
                <w:rFonts w:cstheme="minorHAnsi"/>
              </w:rPr>
              <w:t>PDG</w:t>
            </w:r>
            <w:r w:rsidR="004A50B9" w:rsidRPr="0093746E">
              <w:rPr>
                <w:rFonts w:cstheme="minorHAnsi"/>
              </w:rPr>
              <w:t>a</w:t>
            </w:r>
            <w:proofErr w:type="spellEnd"/>
          </w:p>
        </w:tc>
        <w:tc>
          <w:tcPr>
            <w:tcW w:w="0" w:type="auto"/>
          </w:tcPr>
          <w:p w14:paraId="7ECA434B" w14:textId="1628DBFC" w:rsidR="009C1EF3" w:rsidRPr="0093746E" w:rsidRDefault="00284205" w:rsidP="008A162E">
            <w:pPr>
              <w:pStyle w:val="NoSpacing"/>
              <w:rPr>
                <w:rFonts w:cstheme="minorHAnsi"/>
              </w:rPr>
            </w:pPr>
            <w:proofErr w:type="spellStart"/>
            <w:r w:rsidRPr="0093746E">
              <w:rPr>
                <w:rFonts w:cstheme="minorHAnsi"/>
              </w:rPr>
              <w:t>PS</w:t>
            </w:r>
            <w:r w:rsidR="004A50B9" w:rsidRPr="0093746E">
              <w:rPr>
                <w:rFonts w:cstheme="minorHAnsi"/>
              </w:rPr>
              <w:t>b</w:t>
            </w:r>
            <w:proofErr w:type="spellEnd"/>
          </w:p>
        </w:tc>
        <w:tc>
          <w:tcPr>
            <w:tcW w:w="0" w:type="auto"/>
          </w:tcPr>
          <w:p w14:paraId="30849D4B" w14:textId="3B839465" w:rsidR="009C1EF3" w:rsidRPr="0093746E" w:rsidRDefault="004A50B9" w:rsidP="008A162E">
            <w:pPr>
              <w:pStyle w:val="NoSpacing"/>
              <w:rPr>
                <w:rFonts w:cstheme="minorHAnsi"/>
              </w:rPr>
            </w:pPr>
            <w:proofErr w:type="spellStart"/>
            <w:r w:rsidRPr="0093746E">
              <w:rPr>
                <w:rFonts w:cstheme="minorHAnsi"/>
              </w:rPr>
              <w:t>PRc</w:t>
            </w:r>
            <w:proofErr w:type="spellEnd"/>
          </w:p>
        </w:tc>
        <w:tc>
          <w:tcPr>
            <w:tcW w:w="0" w:type="auto"/>
          </w:tcPr>
          <w:p w14:paraId="6A930243" w14:textId="6AEADB10" w:rsidR="009C1EF3" w:rsidRPr="0093746E" w:rsidRDefault="004A50B9" w:rsidP="008A162E">
            <w:pPr>
              <w:pStyle w:val="NoSpacing"/>
              <w:rPr>
                <w:rFonts w:cstheme="minorHAnsi"/>
              </w:rPr>
            </w:pPr>
            <w:proofErr w:type="spellStart"/>
            <w:r w:rsidRPr="0093746E">
              <w:rPr>
                <w:rFonts w:cstheme="minorHAnsi"/>
              </w:rPr>
              <w:t>SRc</w:t>
            </w:r>
            <w:proofErr w:type="spellEnd"/>
          </w:p>
        </w:tc>
      </w:tr>
      <w:tr w:rsidR="0093746E" w:rsidRPr="0093746E" w14:paraId="5D89C1D0" w14:textId="77777777" w:rsidTr="00C07C49">
        <w:trPr>
          <w:trHeight w:val="304"/>
        </w:trPr>
        <w:tc>
          <w:tcPr>
            <w:tcW w:w="0" w:type="auto"/>
          </w:tcPr>
          <w:p w14:paraId="0EFA5BAB" w14:textId="38D0A4F3" w:rsidR="009C1EF3" w:rsidRPr="0093746E" w:rsidRDefault="004A50B9" w:rsidP="008A162E">
            <w:pPr>
              <w:pStyle w:val="NoSpacing"/>
              <w:rPr>
                <w:rFonts w:cstheme="minorHAnsi"/>
              </w:rPr>
            </w:pPr>
            <w:proofErr w:type="spellStart"/>
            <w:r w:rsidRPr="0093746E">
              <w:rPr>
                <w:rFonts w:cstheme="minorHAnsi"/>
              </w:rPr>
              <w:t>PDGa</w:t>
            </w:r>
            <w:proofErr w:type="spellEnd"/>
          </w:p>
        </w:tc>
        <w:tc>
          <w:tcPr>
            <w:tcW w:w="0" w:type="auto"/>
          </w:tcPr>
          <w:p w14:paraId="359B5B54" w14:textId="08D565C8" w:rsidR="009C1EF3" w:rsidRPr="0093746E" w:rsidRDefault="008A162E" w:rsidP="008A162E">
            <w:pPr>
              <w:pStyle w:val="NoSpacing"/>
              <w:rPr>
                <w:rFonts w:cstheme="minorHAnsi"/>
              </w:rPr>
            </w:pPr>
            <w:r w:rsidRPr="0093746E">
              <w:rPr>
                <w:rFonts w:cstheme="minorHAnsi"/>
              </w:rPr>
              <w:t>1</w:t>
            </w:r>
          </w:p>
        </w:tc>
        <w:tc>
          <w:tcPr>
            <w:tcW w:w="0" w:type="auto"/>
          </w:tcPr>
          <w:p w14:paraId="240B85CD" w14:textId="77777777" w:rsidR="009C1EF3" w:rsidRPr="0093746E" w:rsidRDefault="009C1EF3" w:rsidP="008A162E">
            <w:pPr>
              <w:pStyle w:val="NoSpacing"/>
              <w:rPr>
                <w:rFonts w:cstheme="minorHAnsi"/>
              </w:rPr>
            </w:pPr>
          </w:p>
        </w:tc>
        <w:tc>
          <w:tcPr>
            <w:tcW w:w="0" w:type="auto"/>
          </w:tcPr>
          <w:p w14:paraId="6918CC9B" w14:textId="77777777" w:rsidR="009C1EF3" w:rsidRPr="0093746E" w:rsidRDefault="009C1EF3" w:rsidP="008A162E">
            <w:pPr>
              <w:pStyle w:val="NoSpacing"/>
              <w:rPr>
                <w:rFonts w:cstheme="minorHAnsi"/>
              </w:rPr>
            </w:pPr>
          </w:p>
        </w:tc>
        <w:tc>
          <w:tcPr>
            <w:tcW w:w="0" w:type="auto"/>
          </w:tcPr>
          <w:p w14:paraId="776E4CEB" w14:textId="77777777" w:rsidR="009C1EF3" w:rsidRPr="0093746E" w:rsidRDefault="009C1EF3" w:rsidP="008A162E">
            <w:pPr>
              <w:pStyle w:val="NoSpacing"/>
              <w:rPr>
                <w:rFonts w:cstheme="minorHAnsi"/>
              </w:rPr>
            </w:pPr>
          </w:p>
        </w:tc>
      </w:tr>
      <w:tr w:rsidR="0093746E" w:rsidRPr="0093746E" w14:paraId="7825C2CE" w14:textId="77777777" w:rsidTr="00C07C49">
        <w:trPr>
          <w:trHeight w:val="322"/>
        </w:trPr>
        <w:tc>
          <w:tcPr>
            <w:tcW w:w="0" w:type="auto"/>
          </w:tcPr>
          <w:p w14:paraId="08DD3EE1" w14:textId="2FAECD7E" w:rsidR="009C1EF3" w:rsidRPr="0093746E" w:rsidRDefault="004A50B9" w:rsidP="008A162E">
            <w:pPr>
              <w:pStyle w:val="NoSpacing"/>
              <w:rPr>
                <w:rFonts w:cstheme="minorHAnsi"/>
              </w:rPr>
            </w:pPr>
            <w:proofErr w:type="spellStart"/>
            <w:r w:rsidRPr="0093746E">
              <w:rPr>
                <w:rFonts w:cstheme="minorHAnsi"/>
              </w:rPr>
              <w:t>PSb</w:t>
            </w:r>
            <w:proofErr w:type="spellEnd"/>
          </w:p>
        </w:tc>
        <w:tc>
          <w:tcPr>
            <w:tcW w:w="0" w:type="auto"/>
          </w:tcPr>
          <w:p w14:paraId="2AC1E9F3" w14:textId="3E959FE9" w:rsidR="009C1EF3" w:rsidRPr="0093746E" w:rsidRDefault="008A162E" w:rsidP="008A162E">
            <w:pPr>
              <w:pStyle w:val="NoSpacing"/>
              <w:rPr>
                <w:rFonts w:cstheme="minorHAnsi"/>
              </w:rPr>
            </w:pPr>
            <w:r w:rsidRPr="0093746E">
              <w:rPr>
                <w:rFonts w:cstheme="minorHAnsi"/>
              </w:rPr>
              <w:t>.649*</w:t>
            </w:r>
          </w:p>
        </w:tc>
        <w:tc>
          <w:tcPr>
            <w:tcW w:w="0" w:type="auto"/>
          </w:tcPr>
          <w:p w14:paraId="6C38C932" w14:textId="0D248072" w:rsidR="009C1EF3" w:rsidRPr="0093746E" w:rsidRDefault="008A162E" w:rsidP="008A162E">
            <w:pPr>
              <w:pStyle w:val="NoSpacing"/>
              <w:rPr>
                <w:rFonts w:cstheme="minorHAnsi"/>
              </w:rPr>
            </w:pPr>
            <w:r w:rsidRPr="0093746E">
              <w:rPr>
                <w:rFonts w:cstheme="minorHAnsi"/>
              </w:rPr>
              <w:t>1</w:t>
            </w:r>
          </w:p>
        </w:tc>
        <w:tc>
          <w:tcPr>
            <w:tcW w:w="0" w:type="auto"/>
          </w:tcPr>
          <w:p w14:paraId="598B6CA9" w14:textId="77777777" w:rsidR="009C1EF3" w:rsidRPr="0093746E" w:rsidRDefault="009C1EF3" w:rsidP="008A162E">
            <w:pPr>
              <w:pStyle w:val="NoSpacing"/>
              <w:rPr>
                <w:rFonts w:cstheme="minorHAnsi"/>
              </w:rPr>
            </w:pPr>
          </w:p>
        </w:tc>
        <w:tc>
          <w:tcPr>
            <w:tcW w:w="0" w:type="auto"/>
          </w:tcPr>
          <w:p w14:paraId="54D48601" w14:textId="77777777" w:rsidR="009C1EF3" w:rsidRPr="0093746E" w:rsidRDefault="009C1EF3" w:rsidP="008A162E">
            <w:pPr>
              <w:pStyle w:val="NoSpacing"/>
              <w:rPr>
                <w:rFonts w:cstheme="minorHAnsi"/>
              </w:rPr>
            </w:pPr>
          </w:p>
        </w:tc>
      </w:tr>
      <w:tr w:rsidR="0093746E" w:rsidRPr="0093746E" w14:paraId="33FA8D2B" w14:textId="77777777" w:rsidTr="00C07C49">
        <w:trPr>
          <w:trHeight w:val="304"/>
        </w:trPr>
        <w:tc>
          <w:tcPr>
            <w:tcW w:w="0" w:type="auto"/>
          </w:tcPr>
          <w:p w14:paraId="5BAF4EFF" w14:textId="7CD2BF65" w:rsidR="009C1EF3" w:rsidRPr="0093746E" w:rsidRDefault="004A50B9" w:rsidP="008A162E">
            <w:pPr>
              <w:pStyle w:val="NoSpacing"/>
              <w:rPr>
                <w:rFonts w:cstheme="minorHAnsi"/>
              </w:rPr>
            </w:pPr>
            <w:proofErr w:type="spellStart"/>
            <w:r w:rsidRPr="0093746E">
              <w:rPr>
                <w:rFonts w:cstheme="minorHAnsi"/>
              </w:rPr>
              <w:t>PRc</w:t>
            </w:r>
            <w:proofErr w:type="spellEnd"/>
          </w:p>
        </w:tc>
        <w:tc>
          <w:tcPr>
            <w:tcW w:w="0" w:type="auto"/>
          </w:tcPr>
          <w:p w14:paraId="6F7677B5" w14:textId="6C1ABA3F" w:rsidR="009C1EF3" w:rsidRPr="0093746E" w:rsidRDefault="008A162E" w:rsidP="008A162E">
            <w:pPr>
              <w:pStyle w:val="NoSpacing"/>
              <w:rPr>
                <w:rFonts w:cstheme="minorHAnsi"/>
              </w:rPr>
            </w:pPr>
            <w:r w:rsidRPr="0093746E">
              <w:rPr>
                <w:rFonts w:cstheme="minorHAnsi"/>
              </w:rPr>
              <w:t>.070</w:t>
            </w:r>
          </w:p>
        </w:tc>
        <w:tc>
          <w:tcPr>
            <w:tcW w:w="0" w:type="auto"/>
          </w:tcPr>
          <w:p w14:paraId="2EDB4A40" w14:textId="2A050789" w:rsidR="009C1EF3" w:rsidRPr="0093746E" w:rsidRDefault="008A162E" w:rsidP="008A162E">
            <w:pPr>
              <w:pStyle w:val="NoSpacing"/>
              <w:rPr>
                <w:rFonts w:cstheme="minorHAnsi"/>
              </w:rPr>
            </w:pPr>
            <w:r w:rsidRPr="0093746E">
              <w:rPr>
                <w:rFonts w:cstheme="minorHAnsi"/>
              </w:rPr>
              <w:t>-.177</w:t>
            </w:r>
          </w:p>
        </w:tc>
        <w:tc>
          <w:tcPr>
            <w:tcW w:w="0" w:type="auto"/>
          </w:tcPr>
          <w:p w14:paraId="2DBC3784" w14:textId="1DFEE21F" w:rsidR="009C1EF3" w:rsidRPr="0093746E" w:rsidRDefault="008A162E" w:rsidP="008A162E">
            <w:pPr>
              <w:pStyle w:val="NoSpacing"/>
              <w:rPr>
                <w:rFonts w:cstheme="minorHAnsi"/>
              </w:rPr>
            </w:pPr>
            <w:r w:rsidRPr="0093746E">
              <w:rPr>
                <w:rFonts w:cstheme="minorHAnsi"/>
              </w:rPr>
              <w:t>1</w:t>
            </w:r>
          </w:p>
        </w:tc>
        <w:tc>
          <w:tcPr>
            <w:tcW w:w="0" w:type="auto"/>
          </w:tcPr>
          <w:p w14:paraId="28AA9A9F" w14:textId="77777777" w:rsidR="009C1EF3" w:rsidRPr="0093746E" w:rsidRDefault="009C1EF3" w:rsidP="008A162E">
            <w:pPr>
              <w:pStyle w:val="NoSpacing"/>
              <w:rPr>
                <w:rFonts w:cstheme="minorHAnsi"/>
              </w:rPr>
            </w:pPr>
          </w:p>
        </w:tc>
      </w:tr>
      <w:tr w:rsidR="0093746E" w:rsidRPr="0093746E" w14:paraId="3E0B184A" w14:textId="77777777" w:rsidTr="00C07C49">
        <w:trPr>
          <w:trHeight w:val="322"/>
        </w:trPr>
        <w:tc>
          <w:tcPr>
            <w:tcW w:w="0" w:type="auto"/>
          </w:tcPr>
          <w:p w14:paraId="2E06886F" w14:textId="6B07BCD2" w:rsidR="009C1EF3" w:rsidRPr="0093746E" w:rsidRDefault="004A50B9" w:rsidP="008A162E">
            <w:pPr>
              <w:pStyle w:val="NoSpacing"/>
              <w:rPr>
                <w:rFonts w:cstheme="minorHAnsi"/>
              </w:rPr>
            </w:pPr>
            <w:proofErr w:type="spellStart"/>
            <w:r w:rsidRPr="0093746E">
              <w:rPr>
                <w:rFonts w:cstheme="minorHAnsi"/>
              </w:rPr>
              <w:t>SRc</w:t>
            </w:r>
            <w:proofErr w:type="spellEnd"/>
          </w:p>
        </w:tc>
        <w:tc>
          <w:tcPr>
            <w:tcW w:w="0" w:type="auto"/>
          </w:tcPr>
          <w:p w14:paraId="4BACCDAF" w14:textId="27A9CDDC" w:rsidR="009C1EF3" w:rsidRPr="0093746E" w:rsidRDefault="008A162E" w:rsidP="008A162E">
            <w:pPr>
              <w:pStyle w:val="NoSpacing"/>
              <w:rPr>
                <w:rFonts w:cstheme="minorHAnsi"/>
              </w:rPr>
            </w:pPr>
            <w:r w:rsidRPr="0093746E">
              <w:rPr>
                <w:rFonts w:cstheme="minorHAnsi"/>
              </w:rPr>
              <w:t>-.198*</w:t>
            </w:r>
          </w:p>
        </w:tc>
        <w:tc>
          <w:tcPr>
            <w:tcW w:w="0" w:type="auto"/>
          </w:tcPr>
          <w:p w14:paraId="3F5B97BA" w14:textId="0D5C609A" w:rsidR="009C1EF3" w:rsidRPr="0093746E" w:rsidRDefault="008A162E" w:rsidP="008A162E">
            <w:pPr>
              <w:pStyle w:val="NoSpacing"/>
              <w:rPr>
                <w:rFonts w:cstheme="minorHAnsi"/>
              </w:rPr>
            </w:pPr>
            <w:r w:rsidRPr="0093746E">
              <w:rPr>
                <w:rFonts w:cstheme="minorHAnsi"/>
              </w:rPr>
              <w:t>-.327*</w:t>
            </w:r>
          </w:p>
        </w:tc>
        <w:tc>
          <w:tcPr>
            <w:tcW w:w="0" w:type="auto"/>
          </w:tcPr>
          <w:p w14:paraId="37D89CA7" w14:textId="1FE30034" w:rsidR="009C1EF3" w:rsidRPr="0093746E" w:rsidRDefault="008A162E" w:rsidP="008A162E">
            <w:pPr>
              <w:pStyle w:val="NoSpacing"/>
              <w:rPr>
                <w:rFonts w:cstheme="minorHAnsi"/>
              </w:rPr>
            </w:pPr>
            <w:r w:rsidRPr="0093746E">
              <w:rPr>
                <w:rFonts w:cstheme="minorHAnsi"/>
              </w:rPr>
              <w:t>-.041</w:t>
            </w:r>
          </w:p>
        </w:tc>
        <w:tc>
          <w:tcPr>
            <w:tcW w:w="0" w:type="auto"/>
          </w:tcPr>
          <w:p w14:paraId="0BFE8398" w14:textId="0E39271E" w:rsidR="009C1EF3" w:rsidRPr="0093746E" w:rsidRDefault="008A162E" w:rsidP="008A162E">
            <w:pPr>
              <w:pStyle w:val="NoSpacing"/>
              <w:rPr>
                <w:rFonts w:cstheme="minorHAnsi"/>
              </w:rPr>
            </w:pPr>
            <w:r w:rsidRPr="0093746E">
              <w:rPr>
                <w:rFonts w:cstheme="minorHAnsi"/>
              </w:rPr>
              <w:t>1</w:t>
            </w:r>
          </w:p>
        </w:tc>
      </w:tr>
    </w:tbl>
    <w:p w14:paraId="504FCD00" w14:textId="7510A05F" w:rsidR="009C1EF3" w:rsidRPr="00921E4A" w:rsidRDefault="008A162E" w:rsidP="003903F1">
      <w:pPr>
        <w:pStyle w:val="NoSpacing"/>
        <w:rPr>
          <w:rFonts w:cstheme="minorHAnsi"/>
          <w:sz w:val="20"/>
        </w:rPr>
      </w:pPr>
      <w:r w:rsidRPr="00921E4A">
        <w:rPr>
          <w:rFonts w:cstheme="minorHAnsi"/>
          <w:i/>
          <w:sz w:val="20"/>
        </w:rPr>
        <w:lastRenderedPageBreak/>
        <w:t>Note.</w:t>
      </w:r>
      <w:r w:rsidRPr="00921E4A">
        <w:rPr>
          <w:rFonts w:cstheme="minorHAnsi"/>
          <w:sz w:val="20"/>
        </w:rPr>
        <w:t xml:space="preserve"> PDG = predeath grief; PS = perceived stress; PR = personal resourcefulness; SR = social resourcefulness. </w:t>
      </w:r>
    </w:p>
    <w:p w14:paraId="19E5561F" w14:textId="1880C2D4" w:rsidR="008A162E" w:rsidRPr="00921E4A" w:rsidRDefault="008A162E" w:rsidP="008A162E">
      <w:pPr>
        <w:pStyle w:val="NoSpacing"/>
        <w:numPr>
          <w:ilvl w:val="0"/>
          <w:numId w:val="31"/>
        </w:numPr>
        <w:rPr>
          <w:rFonts w:cstheme="minorHAnsi"/>
          <w:sz w:val="20"/>
        </w:rPr>
      </w:pPr>
      <w:r w:rsidRPr="00921E4A">
        <w:rPr>
          <w:rFonts w:cstheme="minorHAnsi"/>
          <w:sz w:val="20"/>
        </w:rPr>
        <w:t xml:space="preserve">PDG as measured by </w:t>
      </w:r>
      <w:proofErr w:type="spellStart"/>
      <w:r w:rsidRPr="00921E4A">
        <w:rPr>
          <w:rFonts w:cstheme="minorHAnsi"/>
          <w:sz w:val="20"/>
        </w:rPr>
        <w:t>Marwit</w:t>
      </w:r>
      <w:proofErr w:type="spellEnd"/>
      <w:r w:rsidRPr="00921E4A">
        <w:rPr>
          <w:rFonts w:cstheme="minorHAnsi"/>
          <w:sz w:val="20"/>
        </w:rPr>
        <w:t xml:space="preserve"> Meuser Caregiver Greif Inventory—Short Form.</w:t>
      </w:r>
    </w:p>
    <w:p w14:paraId="3682BD5F" w14:textId="7BF7B2DD" w:rsidR="008A162E" w:rsidRPr="00921E4A" w:rsidRDefault="008A162E" w:rsidP="008A162E">
      <w:pPr>
        <w:pStyle w:val="NoSpacing"/>
        <w:numPr>
          <w:ilvl w:val="0"/>
          <w:numId w:val="31"/>
        </w:numPr>
        <w:rPr>
          <w:rFonts w:cstheme="minorHAnsi"/>
          <w:sz w:val="20"/>
        </w:rPr>
      </w:pPr>
      <w:r w:rsidRPr="00921E4A">
        <w:rPr>
          <w:rFonts w:cstheme="minorHAnsi"/>
          <w:sz w:val="20"/>
        </w:rPr>
        <w:t xml:space="preserve">PS as measured by Perceived Stress Scale 14. </w:t>
      </w:r>
    </w:p>
    <w:p w14:paraId="6895BE12" w14:textId="0E7F18E9" w:rsidR="008A162E" w:rsidRPr="00921E4A" w:rsidRDefault="00523311" w:rsidP="008A162E">
      <w:pPr>
        <w:pStyle w:val="NoSpacing"/>
        <w:numPr>
          <w:ilvl w:val="0"/>
          <w:numId w:val="31"/>
        </w:numPr>
        <w:rPr>
          <w:rFonts w:cstheme="minorHAnsi"/>
          <w:sz w:val="20"/>
        </w:rPr>
      </w:pPr>
      <w:r w:rsidRPr="00921E4A">
        <w:rPr>
          <w:rFonts w:cstheme="minorHAnsi"/>
          <w:sz w:val="20"/>
        </w:rPr>
        <w:t>PR and SR as measured by the Resourcefulness Scale.</w:t>
      </w:r>
    </w:p>
    <w:p w14:paraId="0B1DD253" w14:textId="0E2C9726" w:rsidR="00BF2C0E" w:rsidRDefault="00523311" w:rsidP="00921E4A">
      <w:pPr>
        <w:pStyle w:val="NoSpacing"/>
        <w:ind w:left="360"/>
        <w:rPr>
          <w:rFonts w:cstheme="minorHAnsi"/>
          <w:sz w:val="20"/>
        </w:rPr>
      </w:pPr>
      <w:r w:rsidRPr="00921E4A">
        <w:rPr>
          <w:rFonts w:cstheme="minorHAnsi"/>
          <w:sz w:val="20"/>
        </w:rPr>
        <w:t>*p &lt; .05</w:t>
      </w:r>
    </w:p>
    <w:p w14:paraId="5FAF3D0F" w14:textId="77777777" w:rsidR="00921E4A" w:rsidRPr="00921E4A" w:rsidRDefault="00921E4A" w:rsidP="00921E4A">
      <w:pPr>
        <w:pStyle w:val="NoSpacing"/>
        <w:ind w:left="360"/>
        <w:rPr>
          <w:rFonts w:cstheme="minorHAnsi"/>
          <w:sz w:val="20"/>
        </w:rPr>
      </w:pPr>
    </w:p>
    <w:p w14:paraId="1D81AD6B" w14:textId="77777777" w:rsidR="00BF2C0E" w:rsidRPr="0093746E" w:rsidRDefault="00BF2C0E" w:rsidP="003903F1">
      <w:pPr>
        <w:pStyle w:val="NoSpacing"/>
        <w:rPr>
          <w:rFonts w:cstheme="minorHAnsi"/>
          <w:sz w:val="24"/>
          <w:szCs w:val="24"/>
        </w:rPr>
      </w:pPr>
      <w:r w:rsidRPr="0093746E">
        <w:rPr>
          <w:rFonts w:cstheme="minorHAnsi"/>
          <w:b/>
          <w:bCs/>
        </w:rPr>
        <w:t>H2:</w:t>
      </w:r>
      <w:r w:rsidRPr="0093746E">
        <w:rPr>
          <w:rFonts w:cstheme="minorHAnsi"/>
        </w:rPr>
        <w:t> Personal resourcefulness moderates the relationship between PDG and caregiver PS in caregivers of a partner with YOD.</w:t>
      </w:r>
    </w:p>
    <w:p w14:paraId="12E6A024" w14:textId="51EF297C" w:rsidR="00BF2C0E" w:rsidRPr="0093746E" w:rsidRDefault="00BF2C0E" w:rsidP="003903F1">
      <w:pPr>
        <w:pStyle w:val="NoSpacing"/>
        <w:rPr>
          <w:rFonts w:cstheme="minorHAnsi"/>
        </w:rPr>
      </w:pPr>
      <w:r w:rsidRPr="0093746E">
        <w:rPr>
          <w:rFonts w:cstheme="minorHAnsi"/>
          <w:b/>
          <w:bCs/>
        </w:rPr>
        <w:t>H3:</w:t>
      </w:r>
      <w:r w:rsidRPr="0093746E">
        <w:rPr>
          <w:rFonts w:cstheme="minorHAnsi"/>
        </w:rPr>
        <w:t> Social resourcefulness moderates the relationship between PDG and caregiver PS in caregivers of a partner with YOD.</w:t>
      </w:r>
    </w:p>
    <w:p w14:paraId="5F175BAD" w14:textId="77777777" w:rsidR="003903F1" w:rsidRPr="0093746E" w:rsidRDefault="003903F1" w:rsidP="003903F1">
      <w:pPr>
        <w:pStyle w:val="NoSpacing"/>
        <w:rPr>
          <w:rFonts w:cstheme="minorHAnsi"/>
        </w:rPr>
      </w:pPr>
    </w:p>
    <w:p w14:paraId="349A3662" w14:textId="5797C628" w:rsidR="00BF2C0E" w:rsidRPr="0093746E" w:rsidRDefault="00BF2C0E" w:rsidP="003E5FFB">
      <w:pPr>
        <w:pStyle w:val="NoSpacing"/>
        <w:rPr>
          <w:rFonts w:cstheme="minorHAnsi"/>
        </w:rPr>
      </w:pPr>
      <w:r w:rsidRPr="0093746E">
        <w:rPr>
          <w:rFonts w:cstheme="minorHAnsi"/>
        </w:rPr>
        <w:t>To answer H2 and H3, two regression models were estimated. The first is the main effects model where PS is predicted by PDG, social resourcefulness, and personal resourcefulness. The second model included the same predictors and added the interactions PDG × Social Resourcefulness and PDG × Personal Resourcefulness and tested for moderation of the relationship between PDG and PS (</w:t>
      </w:r>
      <w:hyperlink r:id="rId63" w:tooltip="Open Figure Viewer" w:history="1">
        <w:r w:rsidRPr="00921E4A">
          <w:rPr>
            <w:rStyle w:val="Hyperlink"/>
            <w:rFonts w:cstheme="minorHAnsi"/>
            <w:color w:val="0070C0"/>
          </w:rPr>
          <w:t>Figure 1</w:t>
        </w:r>
      </w:hyperlink>
      <w:r w:rsidRPr="0093746E">
        <w:rPr>
          <w:rFonts w:cstheme="minorHAnsi"/>
        </w:rPr>
        <w:t>).</w:t>
      </w:r>
    </w:p>
    <w:p w14:paraId="7499CBC3" w14:textId="77777777" w:rsidR="003E5FFB" w:rsidRPr="0093746E" w:rsidRDefault="003E5FFB" w:rsidP="003E5FFB">
      <w:pPr>
        <w:pStyle w:val="NoSpacing"/>
        <w:rPr>
          <w:rFonts w:cstheme="minorHAnsi"/>
        </w:rPr>
      </w:pPr>
    </w:p>
    <w:p w14:paraId="1B251503" w14:textId="1521FC11" w:rsidR="00BF2C0E" w:rsidRPr="0093746E" w:rsidRDefault="00BF2C0E" w:rsidP="00BF2C0E">
      <w:pPr>
        <w:shd w:val="clear" w:color="auto" w:fill="FFFFFF"/>
        <w:spacing w:line="390" w:lineRule="atLeast"/>
        <w:rPr>
          <w:rFonts w:cstheme="minorHAnsi"/>
        </w:rPr>
      </w:pPr>
      <w:r w:rsidRPr="0093746E">
        <w:rPr>
          <w:rFonts w:cstheme="minorHAnsi"/>
          <w:noProof/>
        </w:rPr>
        <w:drawing>
          <wp:inline distT="0" distB="0" distL="0" distR="0" wp14:anchorId="2C407E7D" wp14:editId="25A060CA">
            <wp:extent cx="4762500" cy="2952750"/>
            <wp:effectExtent l="0" t="0" r="0" b="0"/>
            <wp:docPr id="3" name="Picture 3" descr="Figure 1. Path analysis (N = 104)&#10;                    ">
              <a:hlinkClick xmlns:a="http://schemas.openxmlformats.org/drawingml/2006/main" r:id="rId16"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0;                        figure&#10;                    ">
                      <a:hlinkClick r:id="rId16" tooltip="&quot;Open Figure Viewer&quot;"/>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762500" cy="2952750"/>
                    </a:xfrm>
                    <a:prstGeom prst="rect">
                      <a:avLst/>
                    </a:prstGeom>
                    <a:noFill/>
                    <a:ln>
                      <a:noFill/>
                    </a:ln>
                  </pic:spPr>
                </pic:pic>
              </a:graphicData>
            </a:graphic>
          </wp:inline>
        </w:drawing>
      </w:r>
    </w:p>
    <w:p w14:paraId="78A3CB89" w14:textId="77777777" w:rsidR="00BF2C0E" w:rsidRPr="0093746E" w:rsidRDefault="00BF2C0E" w:rsidP="003903F1">
      <w:pPr>
        <w:pStyle w:val="NoSpacing"/>
        <w:rPr>
          <w:rFonts w:cstheme="minorHAnsi"/>
        </w:rPr>
      </w:pPr>
      <w:r w:rsidRPr="0093746E">
        <w:rPr>
          <w:rStyle w:val="captionlabel"/>
          <w:rFonts w:cstheme="minorHAnsi"/>
          <w:b/>
          <w:bCs/>
        </w:rPr>
        <w:t>Figure 1.</w:t>
      </w:r>
      <w:r w:rsidRPr="0093746E">
        <w:rPr>
          <w:rFonts w:cstheme="minorHAnsi"/>
        </w:rPr>
        <w:t> Path analysis (N = 104).</w:t>
      </w:r>
    </w:p>
    <w:p w14:paraId="4C94FEA2" w14:textId="77777777" w:rsidR="00921E4A" w:rsidRDefault="00921E4A" w:rsidP="00BB6E40">
      <w:pPr>
        <w:pStyle w:val="NoSpacing"/>
        <w:rPr>
          <w:rFonts w:cstheme="minorHAnsi"/>
        </w:rPr>
      </w:pPr>
    </w:p>
    <w:p w14:paraId="3EC4307E" w14:textId="72F21823" w:rsidR="00BF2C0E" w:rsidRPr="0093746E" w:rsidRDefault="00BF2C0E" w:rsidP="00BB6E40">
      <w:pPr>
        <w:pStyle w:val="NoSpacing"/>
        <w:rPr>
          <w:rFonts w:cstheme="minorHAnsi"/>
        </w:rPr>
      </w:pPr>
      <w:r w:rsidRPr="0093746E">
        <w:rPr>
          <w:rFonts w:cstheme="minorHAnsi"/>
        </w:rPr>
        <w:t xml:space="preserve">In the main effects model, PDG, personal resourcefulness, and social resourcefulness explained 51.5% of the variance in PS. When PDG, social resourcefulness, and personal resourcefulness are set to 0, the expected PS scores is 1.097 (SE = 0.362, p = .002). For the slopes, when PDG increases by 1 unit, PS increases by 0.596 units (SE = 0.596. p &lt; .001). As social resourcefulness increases by </w:t>
      </w:r>
      <w:proofErr w:type="gramStart"/>
      <w:r w:rsidRPr="0093746E">
        <w:rPr>
          <w:rFonts w:cstheme="minorHAnsi"/>
        </w:rPr>
        <w:t>1 unit</w:t>
      </w:r>
      <w:proofErr w:type="gramEnd"/>
      <w:r w:rsidRPr="0093746E">
        <w:rPr>
          <w:rFonts w:cstheme="minorHAnsi"/>
        </w:rPr>
        <w:t xml:space="preserve"> PS decreases, by 0.177 units (SE = 0.061, p = .004). Finally, as personal resourcefulness increases by 1 unit, PS decreases by 0.212 (SE = 0.067, p .001). These are the conditional effects, while keeping every other predictor constant.</w:t>
      </w:r>
    </w:p>
    <w:p w14:paraId="070B250E" w14:textId="77777777" w:rsidR="00917226" w:rsidRPr="0093746E" w:rsidRDefault="00917226" w:rsidP="00BB6E40">
      <w:pPr>
        <w:pStyle w:val="NoSpacing"/>
        <w:rPr>
          <w:rFonts w:cstheme="minorHAnsi"/>
        </w:rPr>
      </w:pPr>
    </w:p>
    <w:p w14:paraId="07853701" w14:textId="77777777" w:rsidR="00BF2C0E" w:rsidRPr="0093746E" w:rsidRDefault="00BF2C0E" w:rsidP="00BB6E40">
      <w:pPr>
        <w:pStyle w:val="NoSpacing"/>
        <w:rPr>
          <w:rFonts w:cstheme="minorHAnsi"/>
        </w:rPr>
      </w:pPr>
      <w:r w:rsidRPr="0093746E">
        <w:rPr>
          <w:rFonts w:cstheme="minorHAnsi"/>
        </w:rPr>
        <w:t xml:space="preserve">When interactions are added to the regression, the R2 increases by .04. Looking at the slopes for the interactions, the null hypothesis is rejected being equal to 0 only for the interaction between PDG × Social Resourcefulness, indicating that the relation between PDG → PS is only moderated by social resourcefulness levels. Moderation testing continued for social resourcefulness only since this was the only relevant interaction effect. Simple intercepts and slopes were tested to determine regression PDG → PS at different levels of social resourcefulness. Medium social resourcefulness was set as the average social resourcefulness for the sample, low was set as the M – 1 SD, and high was set as the M + 1 SD. At all three levels the social resourcefulness slope was different from 0 (p &lt; .05). As social resourcefulness increased the intercept decreased while the regression </w:t>
      </w:r>
      <w:r w:rsidRPr="0093746E">
        <w:rPr>
          <w:rFonts w:cstheme="minorHAnsi"/>
        </w:rPr>
        <w:lastRenderedPageBreak/>
        <w:t>slope increased with a low social resourcefulness slope of 0.536 (SE = 0.235, p = .023), medium resourcefulness slope of 0.664 (SE = 0.235 p = .001), and high resourcefulness slope of 0.793 (SE = 0.180, p = &lt;.001). Finally, PDG → PS was evaluated at continuous values of social resourcefulness. The intercept and slope were tested at social resourcefulness values ranging from ranging from 0 to 5 in 0.1 increments at 51 possible social resourcefulness values. For the intercept, as social resourcefulness increased the intercept decreased, ranging from 2.099 to −1.178. For the slope (PDG → PS) only when social resourcefulness was higher than 1, the null hypothesis of being equal to 0 (p &lt; .05) was rejected. As social resourcefulness increased the slope PDG → PS increased ranging from 0.503 to 1.052. This demonstrates that caregivers of partners with YOD with higher social resourcefulness skills also had stronger relation between PDG and PS.</w:t>
      </w:r>
    </w:p>
    <w:p w14:paraId="1C9BE40D" w14:textId="77777777" w:rsidR="00BF2C0E" w:rsidRPr="0093746E" w:rsidRDefault="00BF2C0E" w:rsidP="00DE5DC6">
      <w:pPr>
        <w:pStyle w:val="Heading1"/>
        <w:rPr>
          <w:rFonts w:asciiTheme="minorHAnsi" w:hAnsiTheme="minorHAnsi" w:cstheme="minorHAnsi"/>
          <w:color w:val="auto"/>
        </w:rPr>
      </w:pPr>
      <w:bookmarkStart w:id="7" w:name="_i20"/>
      <w:bookmarkEnd w:id="7"/>
      <w:r w:rsidRPr="0093746E">
        <w:rPr>
          <w:rFonts w:asciiTheme="minorHAnsi" w:hAnsiTheme="minorHAnsi" w:cstheme="minorHAnsi"/>
          <w:color w:val="auto"/>
        </w:rPr>
        <w:t>Discussion</w:t>
      </w:r>
    </w:p>
    <w:p w14:paraId="23889387" w14:textId="50625301" w:rsidR="00BF2C0E" w:rsidRPr="0093746E" w:rsidRDefault="00BF2C0E" w:rsidP="003903F1">
      <w:pPr>
        <w:pStyle w:val="NoSpacing"/>
        <w:rPr>
          <w:rFonts w:cstheme="minorHAnsi"/>
        </w:rPr>
      </w:pPr>
      <w:r w:rsidRPr="0093746E">
        <w:rPr>
          <w:rFonts w:cstheme="minorHAnsi"/>
        </w:rPr>
        <w:t>To date, this is the first study that investigated the possible moderating effect of personal and social resourcefulness on the relationship between PDG and PS among YOD caregivers. The results of the current study indicated that there was a high positive correlation between PDG and PS. This in fact is similar, in part, to the results of previous research that showed that caregiver well-being is negatively impacted by PDG as the ever-increasing caregiving demands place these caregivers at risk for long term mental and physical health consequences including possible premature death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Paun</w:t>
      </w:r>
      <w:proofErr w:type="spellEnd"/>
      <w:r w:rsidRPr="00921E4A">
        <w:rPr>
          <w:rStyle w:val="Hyperlink"/>
          <w:rFonts w:cstheme="minorHAnsi"/>
          <w:color w:val="0070C0"/>
        </w:rPr>
        <w:t xml:space="preserve"> et al., 2015</w:t>
      </w:r>
      <w:r w:rsidRPr="0093746E">
        <w:rPr>
          <w:rFonts w:cstheme="minorHAnsi"/>
        </w:rPr>
        <w:fldChar w:fldCharType="end"/>
      </w:r>
      <w:r w:rsidRPr="0093746E">
        <w:rPr>
          <w:rFonts w:cstheme="minorHAnsi"/>
        </w:rPr>
        <w:t>).</w:t>
      </w:r>
    </w:p>
    <w:p w14:paraId="67172D92" w14:textId="77777777" w:rsidR="000B1618" w:rsidRPr="0093746E" w:rsidRDefault="000B1618" w:rsidP="003903F1">
      <w:pPr>
        <w:pStyle w:val="NoSpacing"/>
        <w:rPr>
          <w:rFonts w:cstheme="minorHAnsi"/>
        </w:rPr>
      </w:pPr>
    </w:p>
    <w:p w14:paraId="49905C7D" w14:textId="7F3C1C91" w:rsidR="00BF2C0E" w:rsidRPr="0093746E" w:rsidRDefault="00BF2C0E" w:rsidP="003903F1">
      <w:pPr>
        <w:pStyle w:val="NoSpacing"/>
        <w:rPr>
          <w:rFonts w:cstheme="minorHAnsi"/>
        </w:rPr>
      </w:pPr>
      <w:r w:rsidRPr="0093746E">
        <w:rPr>
          <w:rFonts w:cstheme="minorHAnsi"/>
        </w:rPr>
        <w:t>In this study, PDG accounted for 42% shared variance of caregiver stress. Caregivers of YOD report high levels of caregiver stress (</w:t>
      </w:r>
      <w:hyperlink r:id="rId65" w:history="1">
        <w:r w:rsidRPr="00921E4A">
          <w:rPr>
            <w:rStyle w:val="Hyperlink"/>
            <w:rFonts w:cstheme="minorHAnsi"/>
            <w:color w:val="0070C0"/>
          </w:rPr>
          <w:t>Ducharme et al., 2013</w:t>
        </w:r>
      </w:hyperlink>
      <w:r w:rsidRPr="0093746E">
        <w:rPr>
          <w:rFonts w:cstheme="minorHAnsi"/>
        </w:rPr>
        <w:t>). Much of this stress can be accounted for with the multiple loses caregivers of partners diagnosed with YOD face. The multiple losses of PDG affecting finances and social and personal relationships combined with the loss of personhood of the partner diagnosed with YOD (</w:t>
      </w:r>
      <w:hyperlink r:id="rId66" w:history="1">
        <w:r w:rsidRPr="00921E4A">
          <w:rPr>
            <w:rStyle w:val="Hyperlink"/>
            <w:rFonts w:cstheme="minorHAnsi"/>
            <w:color w:val="0070C0"/>
          </w:rPr>
          <w:t>Frank, 2007</w:t>
        </w:r>
      </w:hyperlink>
      <w:r w:rsidRPr="0093746E">
        <w:rPr>
          <w:rFonts w:cstheme="minorHAnsi"/>
        </w:rPr>
        <w: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Svanberg</w:t>
      </w:r>
      <w:proofErr w:type="spellEnd"/>
      <w:r w:rsidRPr="00921E4A">
        <w:rPr>
          <w:rStyle w:val="Hyperlink"/>
          <w:rFonts w:cstheme="minorHAnsi"/>
          <w:color w:val="0070C0"/>
        </w:rPr>
        <w:t xml:space="preserve"> et al., 2011</w:t>
      </w:r>
      <w:r w:rsidRPr="0093746E">
        <w:rPr>
          <w:rFonts w:cstheme="minorHAnsi"/>
        </w:rPr>
        <w:fldChar w:fldCharType="end"/>
      </w:r>
      <w:r w:rsidRPr="0093746E">
        <w:rPr>
          <w:rFonts w:cstheme="minorHAnsi"/>
        </w:rPr>
        <w: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Wawrziczny</w:t>
      </w:r>
      <w:proofErr w:type="spellEnd"/>
      <w:r w:rsidRPr="00921E4A">
        <w:rPr>
          <w:rStyle w:val="Hyperlink"/>
          <w:rFonts w:cstheme="minorHAnsi"/>
          <w:color w:val="0070C0"/>
        </w:rPr>
        <w:t xml:space="preserve"> et al., 2017</w:t>
      </w:r>
      <w:r w:rsidRPr="0093746E">
        <w:rPr>
          <w:rFonts w:cstheme="minorHAnsi"/>
        </w:rPr>
        <w:fldChar w:fldCharType="end"/>
      </w:r>
      <w:r w:rsidRPr="0093746E">
        <w:rPr>
          <w:rFonts w:cstheme="minorHAnsi"/>
        </w:rPr>
        <w:t>) contribute to the heavy burden and stress of caregiving partners of YOD (</w:t>
      </w:r>
      <w:hyperlink r:id="rId67" w:history="1">
        <w:r w:rsidRPr="00921E4A">
          <w:rPr>
            <w:rStyle w:val="Hyperlink"/>
            <w:rFonts w:cstheme="minorHAnsi"/>
            <w:color w:val="0070C0"/>
          </w:rPr>
          <w:t>Allen et al., 2017</w:t>
        </w:r>
      </w:hyperlink>
      <w:r w:rsidRPr="0093746E">
        <w:rPr>
          <w:rFonts w:cstheme="minorHAnsi"/>
        </w:rPr>
        <w:t>; </w:t>
      </w:r>
      <w:hyperlink r:id="rId68" w:history="1">
        <w:r w:rsidRPr="00921E4A">
          <w:rPr>
            <w:rStyle w:val="Hyperlink"/>
            <w:rFonts w:cstheme="minorHAnsi"/>
            <w:color w:val="0070C0"/>
          </w:rPr>
          <w:t>Alzheimer’s Association, 2018</w:t>
        </w:r>
      </w:hyperlink>
      <w:r w:rsidRPr="0093746E">
        <w:rPr>
          <w:rFonts w:cstheme="minorHAnsi"/>
        </w:rPr>
        <w:t>). Programs, interventions, and resources that address the specific losses faced by caregiver of partners with YOD may decrease part of the caregiver stress.</w:t>
      </w:r>
    </w:p>
    <w:p w14:paraId="4020E169" w14:textId="77777777" w:rsidR="000B1618" w:rsidRPr="0093746E" w:rsidRDefault="000B1618" w:rsidP="003903F1">
      <w:pPr>
        <w:pStyle w:val="NoSpacing"/>
        <w:rPr>
          <w:rFonts w:cstheme="minorHAnsi"/>
        </w:rPr>
      </w:pPr>
    </w:p>
    <w:p w14:paraId="4238F4F6" w14:textId="48744100" w:rsidR="00BF2C0E" w:rsidRPr="0093746E" w:rsidRDefault="00BF2C0E" w:rsidP="003903F1">
      <w:pPr>
        <w:pStyle w:val="NoSpacing"/>
        <w:rPr>
          <w:rFonts w:cstheme="minorHAnsi"/>
        </w:rPr>
      </w:pPr>
      <w:r w:rsidRPr="0093746E">
        <w:rPr>
          <w:rFonts w:cstheme="minorHAnsi"/>
        </w:rPr>
        <w:t>Personal resourcefulness, self-help, was not found to moderate the relationship of PDG and PS in this study. The scale items indicators of personal resourcefulness address coping skills such as visualization and time management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Zauszniewski</w:t>
      </w:r>
      <w:proofErr w:type="spellEnd"/>
      <w:r w:rsidRPr="00921E4A">
        <w:rPr>
          <w:rStyle w:val="Hyperlink"/>
          <w:rFonts w:cstheme="minorHAnsi"/>
          <w:color w:val="0070C0"/>
        </w:rPr>
        <w:t xml:space="preserve"> et al., 2006</w:t>
      </w:r>
      <w:r w:rsidRPr="0093746E">
        <w:rPr>
          <w:rFonts w:cstheme="minorHAnsi"/>
        </w:rPr>
        <w:fldChar w:fldCharType="end"/>
      </w:r>
      <w:r w:rsidRPr="0093746E">
        <w:rPr>
          <w:rFonts w:cstheme="minorHAnsi"/>
        </w:rPr>
        <w:t xml:space="preserve">) that may or may not have been learned and would have been derived after social resourcefulness or help seeking has occurred. In fact, YOD consists of a series of continual, compounded losses. </w:t>
      </w:r>
      <w:proofErr w:type="gramStart"/>
      <w:r w:rsidRPr="0093746E">
        <w:rPr>
          <w:rFonts w:cstheme="minorHAnsi"/>
        </w:rPr>
        <w:t>Similar to</w:t>
      </w:r>
      <w:proofErr w:type="gramEnd"/>
      <w:r w:rsidRPr="0093746E">
        <w:rPr>
          <w:rFonts w:cstheme="minorHAnsi"/>
        </w:rPr>
        <w:t xml:space="preserve"> a tsunami, waves of loss continue to roll in never quite allowing the caregiver to completely adjust to the previous loss. This continual disease progression may not allow the caregiver to fully develop necessary personal resourcefulness skills as they function from one crisis to the next.</w:t>
      </w:r>
    </w:p>
    <w:p w14:paraId="2EEE7E42" w14:textId="77777777" w:rsidR="000B1618" w:rsidRPr="0093746E" w:rsidRDefault="000B1618" w:rsidP="003903F1">
      <w:pPr>
        <w:pStyle w:val="NoSpacing"/>
        <w:rPr>
          <w:rFonts w:cstheme="minorHAnsi"/>
        </w:rPr>
      </w:pPr>
    </w:p>
    <w:p w14:paraId="1E1A5B22" w14:textId="0E6E7AFA" w:rsidR="00BF2C0E" w:rsidRPr="0093746E" w:rsidRDefault="00BF2C0E" w:rsidP="003903F1">
      <w:pPr>
        <w:pStyle w:val="NoSpacing"/>
        <w:rPr>
          <w:rFonts w:cstheme="minorHAnsi"/>
        </w:rPr>
      </w:pPr>
      <w:r w:rsidRPr="0093746E">
        <w:rPr>
          <w:rFonts w:cstheme="minorHAnsi"/>
        </w:rPr>
        <w:t>The positive moderation of social resourcefulness, help seeking, on the relationship of PDG and PS in caregivers of partners with YOD means that as social resourcefulness increased, the relationship between PDG and PS increased. Although H3 predicted social resourcefulness would moderate the relationship, the a priori thought was for a negative moderation. The scale item indicators of social resourcefulness indicate that the assistance one is receiving from seeking help from others is helpful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Zauszniewski</w:t>
      </w:r>
      <w:proofErr w:type="spellEnd"/>
      <w:r w:rsidRPr="00921E4A">
        <w:rPr>
          <w:rStyle w:val="Hyperlink"/>
          <w:rFonts w:cstheme="minorHAnsi"/>
          <w:color w:val="0070C0"/>
        </w:rPr>
        <w:t xml:space="preserve"> et al., 2006</w:t>
      </w:r>
      <w:r w:rsidRPr="0093746E">
        <w:rPr>
          <w:rFonts w:cstheme="minorHAnsi"/>
        </w:rPr>
        <w:fldChar w:fldCharType="end"/>
      </w:r>
      <w:r w:rsidRPr="0093746E">
        <w:rPr>
          <w:rFonts w:cstheme="minorHAnsi"/>
        </w:rPr>
        <w:t xml:space="preserve">). It is possible that caregivers of partners with YOD are not experiencing positive support from seeking help from others. Another possible explanation may be related to the age of caregivers reported in this study; with a mean age of 58 years old, </w:t>
      </w:r>
      <w:proofErr w:type="gramStart"/>
      <w:r w:rsidRPr="0093746E">
        <w:rPr>
          <w:rFonts w:cstheme="minorHAnsi"/>
        </w:rPr>
        <w:t>the majority of</w:t>
      </w:r>
      <w:proofErr w:type="gramEnd"/>
      <w:r w:rsidRPr="0093746E">
        <w:rPr>
          <w:rFonts w:cstheme="minorHAnsi"/>
        </w:rPr>
        <w:t xml:space="preserve"> caregivers in this study were of working age prior to retirement. These caregivers may have been searching for age appropriate resources and experienced increased stress as they reached out to find resources and found none. This thought is in alignment with </w:t>
      </w:r>
      <w:hyperlink r:id="rId69" w:history="1">
        <w:r w:rsidRPr="00921E4A">
          <w:rPr>
            <w:rStyle w:val="Hyperlink"/>
            <w:rFonts w:cstheme="minorHAnsi"/>
            <w:color w:val="0070C0"/>
          </w:rPr>
          <w:t xml:space="preserve">Carter, </w:t>
        </w:r>
        <w:proofErr w:type="spellStart"/>
        <w:r w:rsidRPr="00921E4A">
          <w:rPr>
            <w:rStyle w:val="Hyperlink"/>
            <w:rFonts w:cstheme="minorHAnsi"/>
            <w:color w:val="0070C0"/>
          </w:rPr>
          <w:t>Oyebode</w:t>
        </w:r>
        <w:proofErr w:type="spellEnd"/>
        <w:r w:rsidRPr="00921E4A">
          <w:rPr>
            <w:rStyle w:val="Hyperlink"/>
            <w:rFonts w:cstheme="minorHAnsi"/>
            <w:color w:val="0070C0"/>
          </w:rPr>
          <w:t>, and Koopmans’s (2018)</w:t>
        </w:r>
      </w:hyperlink>
      <w:r w:rsidRPr="0093746E">
        <w:rPr>
          <w:rFonts w:cstheme="minorHAnsi"/>
        </w:rPr>
        <w:t> report that resources and services for both people with and caregivers of persons with YOD are “largely lacking” (p. 470). Also,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Wawrziczny</w:t>
      </w:r>
      <w:proofErr w:type="spellEnd"/>
      <w:r w:rsidRPr="00921E4A">
        <w:rPr>
          <w:rStyle w:val="Hyperlink"/>
          <w:rFonts w:cstheme="minorHAnsi"/>
          <w:color w:val="0070C0"/>
        </w:rPr>
        <w:t xml:space="preserve"> and colleagues (2017)</w:t>
      </w:r>
      <w:r w:rsidRPr="0093746E">
        <w:rPr>
          <w:rFonts w:cstheme="minorHAnsi"/>
        </w:rPr>
        <w:fldChar w:fldCharType="end"/>
      </w:r>
      <w:r w:rsidRPr="0093746E">
        <w:rPr>
          <w:rFonts w:cstheme="minorHAnsi"/>
        </w:rPr>
        <w:t> found that caregivers of YOD experience frustration in their abilities to navigate the system to locate resources and services for their partner and for themselves. In a systematic review,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Millenaar</w:t>
      </w:r>
      <w:proofErr w:type="spellEnd"/>
      <w:r w:rsidRPr="00921E4A">
        <w:rPr>
          <w:rStyle w:val="Hyperlink"/>
          <w:rFonts w:cstheme="minorHAnsi"/>
          <w:color w:val="0070C0"/>
        </w:rPr>
        <w:t xml:space="preserve"> and colleagues (2016)</w:t>
      </w:r>
      <w:r w:rsidRPr="0093746E">
        <w:rPr>
          <w:rFonts w:cstheme="minorHAnsi"/>
        </w:rPr>
        <w:fldChar w:fldCharType="end"/>
      </w:r>
      <w:r w:rsidRPr="0093746E">
        <w:rPr>
          <w:rFonts w:cstheme="minorHAnsi"/>
        </w:rPr>
        <w:t xml:space="preserve"> found six themes that support the difficulty of YOD caregivers in which two themes speak directly to the YOD caregiver’s frustrations with accessing services and with finding appropriate services. YOD caregivers with high social resourcefulness as they search for and reach out for </w:t>
      </w:r>
      <w:r w:rsidRPr="0093746E">
        <w:rPr>
          <w:rFonts w:cstheme="minorHAnsi"/>
        </w:rPr>
        <w:lastRenderedPageBreak/>
        <w:t>resources and services to meet their needs may experience high levels of frustration which add to and increase their PDG and stress.</w:t>
      </w:r>
    </w:p>
    <w:p w14:paraId="3F7089DC" w14:textId="77777777" w:rsidR="000B1618" w:rsidRPr="0093746E" w:rsidRDefault="000B1618" w:rsidP="003903F1">
      <w:pPr>
        <w:pStyle w:val="NoSpacing"/>
        <w:rPr>
          <w:rFonts w:cstheme="minorHAnsi"/>
        </w:rPr>
      </w:pPr>
    </w:p>
    <w:p w14:paraId="7426F20D" w14:textId="5B6589DF" w:rsidR="00BF2C0E" w:rsidRPr="0093746E" w:rsidRDefault="00BF2C0E" w:rsidP="003903F1">
      <w:pPr>
        <w:pStyle w:val="NoSpacing"/>
        <w:rPr>
          <w:rFonts w:cstheme="minorHAnsi"/>
        </w:rPr>
      </w:pPr>
      <w:r w:rsidRPr="0093746E">
        <w:rPr>
          <w:rFonts w:cstheme="minorHAnsi"/>
        </w:rPr>
        <w:t>Previous research has shown positive outcomes on psychological well-being for traditional dementia caregivers who are resilient (</w:t>
      </w:r>
      <w:hyperlink r:id="rId70" w:history="1">
        <w:r w:rsidRPr="00921E4A">
          <w:rPr>
            <w:rStyle w:val="Hyperlink"/>
            <w:rFonts w:cstheme="minorHAnsi"/>
            <w:color w:val="0070C0"/>
          </w:rPr>
          <w:t xml:space="preserve">Gibson, Andersen, &amp; </w:t>
        </w:r>
        <w:proofErr w:type="spellStart"/>
        <w:r w:rsidRPr="00921E4A">
          <w:rPr>
            <w:rStyle w:val="Hyperlink"/>
            <w:rFonts w:cstheme="minorHAnsi"/>
            <w:color w:val="0070C0"/>
          </w:rPr>
          <w:t>Acocks</w:t>
        </w:r>
        <w:proofErr w:type="spellEnd"/>
        <w:r w:rsidRPr="00921E4A">
          <w:rPr>
            <w:rStyle w:val="Hyperlink"/>
            <w:rFonts w:cstheme="minorHAnsi"/>
            <w:color w:val="0070C0"/>
          </w:rPr>
          <w:t>, 2014</w:t>
        </w:r>
      </w:hyperlink>
      <w:r w:rsidRPr="0093746E">
        <w:rPr>
          <w:rFonts w:cstheme="minorHAnsi"/>
        </w:rPr>
        <w:t>). Resourcefulness has been shown to be a protective factor thereby enhancing resilience in caregivers (</w:t>
      </w:r>
      <w:hyperlink r:id="rId71" w:history="1">
        <w:r w:rsidRPr="00921E4A">
          <w:rPr>
            <w:rStyle w:val="Hyperlink"/>
            <w:rFonts w:cstheme="minorHAnsi"/>
            <w:color w:val="0070C0"/>
          </w:rPr>
          <w:t>Bekhet, 2013</w:t>
        </w:r>
      </w:hyperlink>
      <w:r w:rsidRPr="0093746E">
        <w:rPr>
          <w:rFonts w:cstheme="minorHAnsi"/>
        </w:rPr>
        <w: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Zauszniewski</w:t>
      </w:r>
      <w:proofErr w:type="spellEnd"/>
      <w:r w:rsidRPr="00921E4A">
        <w:rPr>
          <w:rStyle w:val="Hyperlink"/>
          <w:rFonts w:cstheme="minorHAnsi"/>
          <w:color w:val="0070C0"/>
        </w:rPr>
        <w:t xml:space="preserve"> et al., 2006</w:t>
      </w:r>
      <w:r w:rsidRPr="0093746E">
        <w:rPr>
          <w:rFonts w:cstheme="minorHAnsi"/>
        </w:rPr>
        <w:fldChar w:fldCharType="end"/>
      </w:r>
      <w:r w:rsidRPr="0093746E">
        <w:rPr>
          <w:rFonts w:cstheme="minorHAnsi"/>
        </w:rPr>
        <w:t>). In fact, the ability to self-help and seek-help are behaviors that are important for managing stressful situations and coping with adverse events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Zauszniewski</w:t>
      </w:r>
      <w:proofErr w:type="spellEnd"/>
      <w:r w:rsidRPr="00921E4A">
        <w:rPr>
          <w:rStyle w:val="Hyperlink"/>
          <w:rFonts w:cstheme="minorHAnsi"/>
          <w:color w:val="0070C0"/>
        </w:rPr>
        <w:t xml:space="preserve"> et al., 2006</w:t>
      </w:r>
      <w:r w:rsidRPr="0093746E">
        <w:rPr>
          <w:rFonts w:cstheme="minorHAnsi"/>
        </w:rPr>
        <w:fldChar w:fldCharType="end"/>
      </w:r>
      <w:r w:rsidRPr="0093746E">
        <w:rPr>
          <w:rFonts w:cstheme="minorHAnsi"/>
        </w:rPr>
        <w:t>).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Zauszniewski</w:t>
      </w:r>
      <w:proofErr w:type="spellEnd"/>
      <w:r w:rsidRPr="00921E4A">
        <w:rPr>
          <w:rStyle w:val="Hyperlink"/>
          <w:rFonts w:cstheme="minorHAnsi"/>
          <w:color w:val="0070C0"/>
        </w:rPr>
        <w:t xml:space="preserve">, </w:t>
      </w:r>
      <w:proofErr w:type="spellStart"/>
      <w:r w:rsidRPr="00921E4A">
        <w:rPr>
          <w:rStyle w:val="Hyperlink"/>
          <w:rFonts w:cstheme="minorHAnsi"/>
          <w:color w:val="0070C0"/>
        </w:rPr>
        <w:t>Lekhak</w:t>
      </w:r>
      <w:proofErr w:type="spellEnd"/>
      <w:r w:rsidRPr="00921E4A">
        <w:rPr>
          <w:rStyle w:val="Hyperlink"/>
          <w:rFonts w:cstheme="minorHAnsi"/>
          <w:color w:val="0070C0"/>
        </w:rPr>
        <w:t xml:space="preserve">, Au, </w:t>
      </w:r>
      <w:proofErr w:type="spellStart"/>
      <w:r w:rsidRPr="00921E4A">
        <w:rPr>
          <w:rStyle w:val="Hyperlink"/>
          <w:rFonts w:cstheme="minorHAnsi"/>
          <w:color w:val="0070C0"/>
        </w:rPr>
        <w:t>Yolpant</w:t>
      </w:r>
      <w:proofErr w:type="spellEnd"/>
      <w:r w:rsidRPr="00921E4A">
        <w:rPr>
          <w:rStyle w:val="Hyperlink"/>
          <w:rFonts w:cstheme="minorHAnsi"/>
          <w:color w:val="0070C0"/>
        </w:rPr>
        <w:t>, and Morris (2015)</w:t>
      </w:r>
      <w:r w:rsidRPr="0093746E">
        <w:rPr>
          <w:rFonts w:cstheme="minorHAnsi"/>
        </w:rPr>
        <w:fldChar w:fldCharType="end"/>
      </w:r>
      <w:r w:rsidRPr="0093746E">
        <w:rPr>
          <w:rFonts w:cstheme="minorHAnsi"/>
        </w:rPr>
        <w:t> found in a sample size of 126 female caregivers that 75% had scores that indicated a moderate to high need for resourcefulness training. In addition,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Zauszniewski’s</w:t>
      </w:r>
      <w:proofErr w:type="spellEnd"/>
      <w:r w:rsidRPr="00921E4A">
        <w:rPr>
          <w:rStyle w:val="Hyperlink"/>
          <w:rFonts w:cstheme="minorHAnsi"/>
          <w:color w:val="0070C0"/>
        </w:rPr>
        <w:t xml:space="preserve"> et al. (2015)</w:t>
      </w:r>
      <w:r w:rsidRPr="0093746E">
        <w:rPr>
          <w:rFonts w:cstheme="minorHAnsi"/>
        </w:rPr>
        <w:fldChar w:fldCharType="end"/>
      </w:r>
      <w:r w:rsidRPr="0093746E">
        <w:rPr>
          <w:rFonts w:cstheme="minorHAnsi"/>
        </w:rPr>
        <w:t> results indicated that caregivers of persons with dementia could benefit from resourcefulness skill training to decrease caregiver stress. In a descriptive, cross-sectional study with 73 dementia caregivers, </w:t>
      </w:r>
      <w:hyperlink r:id="rId72" w:history="1">
        <w:r w:rsidRPr="00921E4A">
          <w:rPr>
            <w:rStyle w:val="Hyperlink"/>
            <w:rFonts w:cstheme="minorHAnsi"/>
            <w:color w:val="0070C0"/>
          </w:rPr>
          <w:t>Bekhet (2015)</w:t>
        </w:r>
      </w:hyperlink>
      <w:r w:rsidRPr="0093746E">
        <w:rPr>
          <w:rFonts w:cstheme="minorHAnsi"/>
        </w:rPr>
        <w:t> found that caregivers with greater social resourcefulness had scores indicating greater psychological well-being. Resourcefulness skill building was associated with a decrease in caregiver burden and stress in these studies. In sum, previous research with traditional dementia caregivers showed that resourcefulness skills are a protective factor and can enhance adaptation and well-being (</w:t>
      </w:r>
      <w:proofErr w:type="spellStart"/>
      <w:r w:rsidRPr="0093746E">
        <w:rPr>
          <w:rFonts w:cstheme="minorHAnsi"/>
        </w:rPr>
        <w:fldChar w:fldCharType="begin"/>
      </w:r>
      <w:r w:rsidRPr="0093746E">
        <w:rPr>
          <w:rFonts w:cstheme="minorHAnsi"/>
        </w:rPr>
        <w:instrText xml:space="preserve"> HYPERLINK "https://journals.sagepub.com/doi/10.1177/0193945918806689" </w:instrText>
      </w:r>
      <w:r w:rsidRPr="0093746E">
        <w:rPr>
          <w:rFonts w:cstheme="minorHAnsi"/>
        </w:rPr>
        <w:fldChar w:fldCharType="separate"/>
      </w:r>
      <w:r w:rsidRPr="00921E4A">
        <w:rPr>
          <w:rStyle w:val="Hyperlink"/>
          <w:rFonts w:cstheme="minorHAnsi"/>
          <w:color w:val="0070C0"/>
        </w:rPr>
        <w:t>Zauszniewski</w:t>
      </w:r>
      <w:proofErr w:type="spellEnd"/>
      <w:r w:rsidRPr="00921E4A">
        <w:rPr>
          <w:rStyle w:val="Hyperlink"/>
          <w:rFonts w:cstheme="minorHAnsi"/>
          <w:color w:val="0070C0"/>
        </w:rPr>
        <w:t xml:space="preserve"> et al., 2006</w:t>
      </w:r>
      <w:r w:rsidRPr="0093746E">
        <w:rPr>
          <w:rFonts w:cstheme="minorHAnsi"/>
        </w:rPr>
        <w:fldChar w:fldCharType="end"/>
      </w:r>
      <w:r w:rsidRPr="0093746E">
        <w:rPr>
          <w:rFonts w:cstheme="minorHAnsi"/>
        </w:rPr>
        <w:t>). Therefore, it is important to better understand the lived experience of being a caregiver of someone with YOD and the resources needed as well as quality of the social resourcefulness. For example, caregivers with high social resourcefulness might seek help from others (one of the items on the Social Resourcefulness Scale) but find that the support is not available or that others do not understand their needs as a caregiver, making their PDG and stress even higher. Although caregiving for someone with dementia is a challenge at any age, rather than having help of adult children, caregivers of partners with YOD may also be parenting children still in the home. Unlike those with traditional dementia, friends and families may still expect caregivers of partners with YOD to be reciprocally providing interest and support for family and community social interactions.</w:t>
      </w:r>
    </w:p>
    <w:p w14:paraId="61671EC1" w14:textId="77777777" w:rsidR="000B1618" w:rsidRPr="0093746E" w:rsidRDefault="000B1618" w:rsidP="003903F1">
      <w:pPr>
        <w:pStyle w:val="NoSpacing"/>
        <w:rPr>
          <w:rFonts w:cstheme="minorHAnsi"/>
        </w:rPr>
      </w:pPr>
    </w:p>
    <w:p w14:paraId="1520E099" w14:textId="4C13BDC9" w:rsidR="00BF2C0E" w:rsidRPr="0093746E" w:rsidRDefault="00BF2C0E" w:rsidP="003903F1">
      <w:pPr>
        <w:pStyle w:val="NoSpacing"/>
        <w:rPr>
          <w:rFonts w:cstheme="minorHAnsi"/>
        </w:rPr>
      </w:pPr>
      <w:r w:rsidRPr="0093746E">
        <w:rPr>
          <w:rFonts w:cstheme="minorHAnsi"/>
        </w:rPr>
        <w:t>As the detrimental effects of caregiver stress has been well documented, an assessment of variables that can be protective and enhance resilience in the face of risk will lead to intervention studies that have the potential to decrease PS and enhance caregiver well-being. One risk factor that may contribute to caregiver stress is PDG. Developing resources and services that address YOD caregiver PDG may be one path to decrease caregiver stress. Researchers agree that the mediator variable addresses how or why events occur while the moderator variable addresses when events will hold (</w:t>
      </w:r>
      <w:hyperlink r:id="rId73" w:history="1">
        <w:r w:rsidRPr="00921E4A">
          <w:rPr>
            <w:rStyle w:val="Hyperlink"/>
            <w:rFonts w:cstheme="minorHAnsi"/>
            <w:color w:val="0070C0"/>
          </w:rPr>
          <w:t>Baron &amp; Kenny, 1986</w:t>
        </w:r>
      </w:hyperlink>
      <w:r w:rsidRPr="0093746E">
        <w:rPr>
          <w:rFonts w:cstheme="minorHAnsi"/>
        </w:rPr>
        <w:t>; </w:t>
      </w:r>
      <w:hyperlink r:id="rId74" w:history="1">
        <w:r w:rsidRPr="00921E4A">
          <w:rPr>
            <w:rStyle w:val="Hyperlink"/>
            <w:rFonts w:cstheme="minorHAnsi"/>
            <w:color w:val="0070C0"/>
          </w:rPr>
          <w:t>Bennett, 2000</w:t>
        </w:r>
      </w:hyperlink>
      <w:r w:rsidRPr="0093746E">
        <w:rPr>
          <w:rFonts w:cstheme="minorHAnsi"/>
        </w:rPr>
        <w:t>). Therefore, future research might look at possible mediator effects of personal resourcefulness in relation to PDG and PS. More research is needed to properly identify needed resources and services for this population. Using methodological triangulation, that is, across methods design to combine both quantitative and qualitative data would be beneficial in providing more comprehensive data that would enhance understanding of the studied phenomena (</w:t>
      </w:r>
      <w:hyperlink r:id="rId75" w:history="1">
        <w:r w:rsidRPr="00921E4A">
          <w:rPr>
            <w:rStyle w:val="Hyperlink"/>
            <w:rFonts w:cstheme="minorHAnsi"/>
            <w:color w:val="0070C0"/>
          </w:rPr>
          <w:t xml:space="preserve">Bekhet &amp; </w:t>
        </w:r>
        <w:proofErr w:type="spellStart"/>
        <w:r w:rsidRPr="00921E4A">
          <w:rPr>
            <w:rStyle w:val="Hyperlink"/>
            <w:rFonts w:cstheme="minorHAnsi"/>
            <w:color w:val="0070C0"/>
          </w:rPr>
          <w:t>Zauszniewski</w:t>
        </w:r>
        <w:proofErr w:type="spellEnd"/>
        <w:r w:rsidRPr="00921E4A">
          <w:rPr>
            <w:rStyle w:val="Hyperlink"/>
            <w:rFonts w:cstheme="minorHAnsi"/>
            <w:color w:val="0070C0"/>
          </w:rPr>
          <w:t>, 2012</w:t>
        </w:r>
      </w:hyperlink>
      <w:r w:rsidRPr="0093746E">
        <w:rPr>
          <w:rFonts w:cstheme="minorHAnsi"/>
        </w:rPr>
        <w:t>). Therefore, further studies that incorporate methodological triangulation are recommended.</w:t>
      </w:r>
    </w:p>
    <w:p w14:paraId="2C64A289" w14:textId="77777777" w:rsidR="000B1618" w:rsidRPr="0093746E" w:rsidRDefault="000B1618" w:rsidP="003903F1">
      <w:pPr>
        <w:pStyle w:val="NoSpacing"/>
        <w:rPr>
          <w:rFonts w:cstheme="minorHAnsi"/>
        </w:rPr>
      </w:pPr>
    </w:p>
    <w:p w14:paraId="29551B6F" w14:textId="2BBC256E" w:rsidR="00BF2C0E" w:rsidRPr="0093746E" w:rsidRDefault="00BF2C0E" w:rsidP="003903F1">
      <w:pPr>
        <w:pStyle w:val="NoSpacing"/>
        <w:rPr>
          <w:rFonts w:cstheme="minorHAnsi"/>
        </w:rPr>
      </w:pPr>
      <w:r w:rsidRPr="0093746E">
        <w:rPr>
          <w:rFonts w:cstheme="minorHAnsi"/>
        </w:rPr>
        <w:t>Caregivers of partners with YOD are searching for meaningful support and resources to address their needs (</w:t>
      </w:r>
      <w:hyperlink r:id="rId76" w:history="1">
        <w:r w:rsidRPr="00921E4A">
          <w:rPr>
            <w:rStyle w:val="Hyperlink"/>
            <w:rFonts w:cstheme="minorHAnsi"/>
            <w:color w:val="0070C0"/>
          </w:rPr>
          <w:t>Ducharme et al., 2013</w:t>
        </w:r>
      </w:hyperlink>
      <w:r w:rsidRPr="0093746E">
        <w:rPr>
          <w:rFonts w:cstheme="minorHAnsi"/>
        </w:rPr>
        <w:t>; </w:t>
      </w:r>
      <w:hyperlink r:id="rId77" w:history="1">
        <w:r w:rsidRPr="00921E4A">
          <w:rPr>
            <w:rStyle w:val="Hyperlink"/>
            <w:rFonts w:cstheme="minorHAnsi"/>
            <w:color w:val="0070C0"/>
          </w:rPr>
          <w:t>Flynn &amp; Mulcahy, 2013</w:t>
        </w:r>
      </w:hyperlink>
      <w:r w:rsidRPr="0093746E">
        <w:rPr>
          <w:rFonts w:cstheme="minorHAnsi"/>
        </w:rPr>
        <w:t>; </w:t>
      </w:r>
      <w:hyperlink r:id="rId78" w:history="1">
        <w:r w:rsidRPr="00921E4A">
          <w:rPr>
            <w:rStyle w:val="Hyperlink"/>
            <w:rFonts w:cstheme="minorHAnsi"/>
            <w:color w:val="0070C0"/>
          </w:rPr>
          <w:t>Gibson et al., 2014</w:t>
        </w:r>
      </w:hyperlink>
      <w:r w:rsidRPr="0093746E">
        <w:rPr>
          <w:rFonts w:cstheme="minorHAnsi"/>
        </w:rPr>
        <w:t>). Development of proper programming, interventions, resources, and support systems, is predicted to decrease caregiver stress along with an overall increase in caregiver well-being (</w:t>
      </w:r>
      <w:hyperlink r:id="rId79" w:history="1">
        <w:r w:rsidRPr="00921E4A">
          <w:rPr>
            <w:rStyle w:val="Hyperlink"/>
            <w:rFonts w:cstheme="minorHAnsi"/>
            <w:color w:val="0070C0"/>
          </w:rPr>
          <w:t>Deist &amp; Greeff, 2015</w:t>
        </w:r>
      </w:hyperlink>
      <w:r w:rsidRPr="0093746E">
        <w:rPr>
          <w:rFonts w:cstheme="minorHAnsi"/>
        </w:rPr>
        <w:t>). It is recommended that health care professionals consider the needs of the caregiving partner as well as the person diagnosed with YOD. Referrals to specialty services or programming related to loss along with education on loss and PDG may be helpful.</w:t>
      </w:r>
    </w:p>
    <w:p w14:paraId="6BF4C79F" w14:textId="77777777" w:rsidR="000B1618" w:rsidRPr="0093746E" w:rsidRDefault="000B1618" w:rsidP="003903F1">
      <w:pPr>
        <w:pStyle w:val="NoSpacing"/>
        <w:rPr>
          <w:rFonts w:cstheme="minorHAnsi"/>
        </w:rPr>
      </w:pPr>
    </w:p>
    <w:p w14:paraId="410A4099" w14:textId="289B16B9" w:rsidR="00BF2C0E" w:rsidRPr="0093746E" w:rsidRDefault="00BF2C0E" w:rsidP="003903F1">
      <w:pPr>
        <w:pStyle w:val="NoSpacing"/>
        <w:rPr>
          <w:rFonts w:cstheme="minorHAnsi"/>
        </w:rPr>
      </w:pPr>
      <w:r w:rsidRPr="0093746E">
        <w:rPr>
          <w:rFonts w:cstheme="minorHAnsi"/>
        </w:rPr>
        <w:t xml:space="preserve">Limitations to this study include the use of convenience sample that was recruited by and responded using an online platform. Participants in this study needed to have access to and working knowledge of computers and the Internet. Therefore, the results of the study will be generalizable only to those who are using the Internet. There are potential </w:t>
      </w:r>
      <w:proofErr w:type="spellStart"/>
      <w:r w:rsidRPr="0093746E">
        <w:rPr>
          <w:rFonts w:cstheme="minorHAnsi"/>
        </w:rPr>
        <w:t>covariants</w:t>
      </w:r>
      <w:proofErr w:type="spellEnd"/>
      <w:r w:rsidRPr="0093746E">
        <w:rPr>
          <w:rFonts w:cstheme="minorHAnsi"/>
        </w:rPr>
        <w:t xml:space="preserve"> that were not addressed in this initial study such as the stage of the disease the person with dementia is in, the length of time the partner has been caregiving, current access and use of </w:t>
      </w:r>
      <w:r w:rsidRPr="0093746E">
        <w:rPr>
          <w:rFonts w:cstheme="minorHAnsi"/>
        </w:rPr>
        <w:lastRenderedPageBreak/>
        <w:t xml:space="preserve">resources, and use of a support system for caregiving. Additional limitation includes the cross-sectional design format as this </w:t>
      </w:r>
      <w:proofErr w:type="gramStart"/>
      <w:r w:rsidRPr="0093746E">
        <w:rPr>
          <w:rFonts w:cstheme="minorHAnsi"/>
        </w:rPr>
        <w:t>takes into account</w:t>
      </w:r>
      <w:proofErr w:type="gramEnd"/>
      <w:r w:rsidRPr="0093746E">
        <w:rPr>
          <w:rFonts w:cstheme="minorHAnsi"/>
        </w:rPr>
        <w:t xml:space="preserve"> a person’s responses at one moment in time. Dementia caregiving is a lengthy experience with fluctuations expected in a person’s responses which may be dependent on occurring events at the time. Future studies may include longitudinal studies that evaluate these variables and how they may change over time. In addition, future studies may identify the different characteristics of stress related to PDG in YOD caregiving partners.</w:t>
      </w:r>
    </w:p>
    <w:p w14:paraId="60C389B4" w14:textId="77777777" w:rsidR="000B1618" w:rsidRPr="0093746E" w:rsidRDefault="000B1618" w:rsidP="00DE5DC6">
      <w:pPr>
        <w:pStyle w:val="NoSpacing"/>
        <w:rPr>
          <w:rFonts w:cstheme="minorHAnsi"/>
        </w:rPr>
      </w:pPr>
    </w:p>
    <w:p w14:paraId="415D0E2A" w14:textId="77777777" w:rsidR="00BF2C0E" w:rsidRPr="0093746E" w:rsidRDefault="00BF2C0E" w:rsidP="00D15AC9">
      <w:pPr>
        <w:pStyle w:val="NoSpacing"/>
        <w:rPr>
          <w:rFonts w:cstheme="minorHAnsi"/>
        </w:rPr>
      </w:pPr>
      <w:r w:rsidRPr="0093746E">
        <w:rPr>
          <w:rStyle w:val="Heading1Char"/>
          <w:rFonts w:asciiTheme="minorHAnsi" w:hAnsiTheme="minorHAnsi" w:cstheme="minorHAnsi"/>
          <w:color w:val="auto"/>
        </w:rPr>
        <w:t>Declaration of Conflicting Interests</w:t>
      </w:r>
      <w:r w:rsidRPr="0093746E">
        <w:rPr>
          <w:rFonts w:cstheme="minorHAnsi"/>
        </w:rPr>
        <w:br/>
        <w:t>The author(s) declared no potential conflicts of interest with respect to the research, authorship, and/or publication of this article.</w:t>
      </w:r>
    </w:p>
    <w:p w14:paraId="1C05008E" w14:textId="77777777" w:rsidR="0053729A" w:rsidRPr="0093746E" w:rsidRDefault="0053729A" w:rsidP="00D15AC9">
      <w:pPr>
        <w:pStyle w:val="NoSpacing"/>
        <w:rPr>
          <w:rStyle w:val="Heading1Char"/>
          <w:rFonts w:asciiTheme="minorHAnsi" w:hAnsiTheme="minorHAnsi" w:cstheme="minorHAnsi"/>
          <w:color w:val="auto"/>
        </w:rPr>
      </w:pPr>
    </w:p>
    <w:p w14:paraId="2E9D3710" w14:textId="0D5778E0" w:rsidR="00FD0D47" w:rsidRPr="0093746E" w:rsidRDefault="00BF2C0E" w:rsidP="00D15AC9">
      <w:pPr>
        <w:pStyle w:val="NoSpacing"/>
        <w:rPr>
          <w:rFonts w:cstheme="minorHAnsi"/>
        </w:rPr>
      </w:pPr>
      <w:r w:rsidRPr="0093746E">
        <w:rPr>
          <w:rStyle w:val="Heading1Char"/>
          <w:rFonts w:asciiTheme="minorHAnsi" w:hAnsiTheme="minorHAnsi" w:cstheme="minorHAnsi"/>
          <w:color w:val="auto"/>
        </w:rPr>
        <w:t>Funding</w:t>
      </w:r>
      <w:r w:rsidRPr="0093746E">
        <w:rPr>
          <w:rFonts w:cstheme="minorHAnsi"/>
        </w:rPr>
        <w:br/>
        <w:t>The author(s) received no financial support for the research, authorship, and/or publication of this article.</w:t>
      </w:r>
    </w:p>
    <w:p w14:paraId="21A2F2F6" w14:textId="747162D2" w:rsidR="00BF2C0E" w:rsidRPr="0093746E" w:rsidRDefault="00BF2C0E" w:rsidP="00D15AC9">
      <w:pPr>
        <w:pStyle w:val="Heading1"/>
        <w:rPr>
          <w:rFonts w:asciiTheme="minorHAnsi" w:hAnsiTheme="minorHAnsi" w:cstheme="minorHAnsi"/>
          <w:color w:val="auto"/>
        </w:rPr>
      </w:pPr>
      <w:bookmarkStart w:id="8" w:name="_i21"/>
      <w:bookmarkEnd w:id="8"/>
      <w:r w:rsidRPr="0093746E">
        <w:rPr>
          <w:rFonts w:asciiTheme="minorHAnsi" w:hAnsiTheme="minorHAnsi" w:cstheme="minorHAnsi"/>
          <w:color w:val="auto"/>
        </w:rPr>
        <w:t>References</w:t>
      </w:r>
    </w:p>
    <w:p w14:paraId="51FED9F9" w14:textId="3C96F1F6" w:rsidR="00BB3AAE" w:rsidRPr="0093746E" w:rsidRDefault="00BB3AAE" w:rsidP="003903F1">
      <w:pPr>
        <w:pStyle w:val="NoSpacing"/>
        <w:ind w:left="720" w:hanging="720"/>
        <w:rPr>
          <w:rStyle w:val="ref-xlink"/>
          <w:rFonts w:cstheme="minorHAnsi"/>
        </w:rPr>
      </w:pPr>
      <w:r w:rsidRPr="0093746E">
        <w:rPr>
          <w:rFonts w:cstheme="minorHAnsi"/>
        </w:rPr>
        <w:t xml:space="preserve">Allen, A. P., Curran, E. A., Duggan, A., </w:t>
      </w:r>
      <w:proofErr w:type="spellStart"/>
      <w:r w:rsidRPr="0093746E">
        <w:rPr>
          <w:rFonts w:cstheme="minorHAnsi"/>
        </w:rPr>
        <w:t>Cryan</w:t>
      </w:r>
      <w:proofErr w:type="spellEnd"/>
      <w:r w:rsidRPr="0093746E">
        <w:rPr>
          <w:rFonts w:cstheme="minorHAnsi"/>
        </w:rPr>
        <w:t xml:space="preserve">, J. F., </w:t>
      </w:r>
      <w:proofErr w:type="spellStart"/>
      <w:r w:rsidRPr="0093746E">
        <w:rPr>
          <w:rFonts w:cstheme="minorHAnsi"/>
        </w:rPr>
        <w:t>Chorcorain</w:t>
      </w:r>
      <w:proofErr w:type="spellEnd"/>
      <w:r w:rsidRPr="0093746E">
        <w:rPr>
          <w:rFonts w:cstheme="minorHAnsi"/>
        </w:rPr>
        <w:t xml:space="preserve">, A. N., </w:t>
      </w:r>
      <w:proofErr w:type="spellStart"/>
      <w:r w:rsidRPr="0093746E">
        <w:rPr>
          <w:rFonts w:cstheme="minorHAnsi"/>
        </w:rPr>
        <w:t>Dinan</w:t>
      </w:r>
      <w:proofErr w:type="spellEnd"/>
      <w:r w:rsidRPr="0093746E">
        <w:rPr>
          <w:rFonts w:cstheme="minorHAnsi"/>
        </w:rPr>
        <w:t>, T. G., . . . Clarke, G. (</w:t>
      </w:r>
      <w:r w:rsidRPr="0093746E">
        <w:rPr>
          <w:rStyle w:val="nlmyear"/>
          <w:rFonts w:cstheme="minorHAnsi"/>
        </w:rPr>
        <w:t>2017</w:t>
      </w:r>
      <w:r w:rsidRPr="0093746E">
        <w:rPr>
          <w:rFonts w:cstheme="minorHAnsi"/>
        </w:rPr>
        <w:t>). </w:t>
      </w:r>
      <w:r w:rsidRPr="0093746E">
        <w:rPr>
          <w:rStyle w:val="nlmarticle-title"/>
          <w:rFonts w:cstheme="minorHAnsi"/>
        </w:rPr>
        <w:t>A systematic review of the psychobiological burden of informal caregiving for patients with dementia: Focus on cognitive biological markers of stress</w:t>
      </w:r>
      <w:r w:rsidRPr="0093746E">
        <w:rPr>
          <w:rFonts w:cstheme="minorHAnsi"/>
        </w:rPr>
        <w:t>. Neuroscience &amp; Biobehavioral Reviews, 73, </w:t>
      </w:r>
      <w:r w:rsidRPr="0093746E">
        <w:rPr>
          <w:rStyle w:val="nlmfpage"/>
          <w:rFonts w:cstheme="minorHAnsi"/>
        </w:rPr>
        <w:t>123</w:t>
      </w:r>
      <w:r w:rsidRPr="0093746E">
        <w:rPr>
          <w:rFonts w:cstheme="minorHAnsi"/>
        </w:rPr>
        <w:t>-</w:t>
      </w:r>
      <w:r w:rsidRPr="0093746E">
        <w:rPr>
          <w:rStyle w:val="nlmlpage"/>
          <w:rFonts w:cstheme="minorHAnsi"/>
        </w:rPr>
        <w:t>164</w:t>
      </w:r>
      <w:r w:rsidRPr="0093746E">
        <w:rPr>
          <w:rFonts w:cstheme="minorHAnsi"/>
        </w:rPr>
        <w:t xml:space="preserve">. </w:t>
      </w:r>
      <w:proofErr w:type="gramStart"/>
      <w:r w:rsidRPr="0093746E">
        <w:rPr>
          <w:rFonts w:cstheme="minorHAnsi"/>
        </w:rPr>
        <w:t>doi:</w:t>
      </w:r>
      <w:r w:rsidRPr="0093746E">
        <w:rPr>
          <w:rStyle w:val="nlmpub-id"/>
          <w:rFonts w:cstheme="minorHAnsi"/>
        </w:rPr>
        <w:t>10.1016/j.neubiorev</w:t>
      </w:r>
      <w:proofErr w:type="gramEnd"/>
      <w:r w:rsidRPr="0093746E">
        <w:rPr>
          <w:rStyle w:val="nlmpub-id"/>
          <w:rFonts w:cstheme="minorHAnsi"/>
        </w:rPr>
        <w:t>.2016.12.006</w:t>
      </w:r>
      <w:r w:rsidRPr="0093746E">
        <w:rPr>
          <w:rFonts w:cstheme="minorHAnsi"/>
        </w:rPr>
        <w:t> </w:t>
      </w:r>
    </w:p>
    <w:p w14:paraId="2C5FB8D1" w14:textId="2ED855C3" w:rsidR="00BB3AAE" w:rsidRPr="0093746E" w:rsidRDefault="00BB3AAE" w:rsidP="003903F1">
      <w:pPr>
        <w:pStyle w:val="NoSpacing"/>
        <w:ind w:left="720" w:hanging="720"/>
        <w:rPr>
          <w:rStyle w:val="ref-google"/>
          <w:rFonts w:cstheme="minorHAnsi"/>
        </w:rPr>
      </w:pPr>
      <w:r w:rsidRPr="0093746E">
        <w:rPr>
          <w:rFonts w:cstheme="minorHAnsi"/>
        </w:rPr>
        <w:t xml:space="preserve">Alzheimer’s </w:t>
      </w:r>
      <w:proofErr w:type="gramStart"/>
      <w:r w:rsidRPr="0093746E">
        <w:rPr>
          <w:rFonts w:cstheme="minorHAnsi"/>
        </w:rPr>
        <w:t>Association .</w:t>
      </w:r>
      <w:proofErr w:type="gramEnd"/>
      <w:r w:rsidRPr="0093746E">
        <w:rPr>
          <w:rFonts w:cstheme="minorHAnsi"/>
        </w:rPr>
        <w:t xml:space="preserve"> (</w:t>
      </w:r>
      <w:r w:rsidRPr="0093746E">
        <w:rPr>
          <w:rStyle w:val="nlmyear"/>
          <w:rFonts w:cstheme="minorHAnsi"/>
        </w:rPr>
        <w:t>2006</w:t>
      </w:r>
      <w:r w:rsidRPr="0093746E">
        <w:rPr>
          <w:rFonts w:cstheme="minorHAnsi"/>
        </w:rPr>
        <w:t>). Early onset dementia: A national challenge, a future crisis. Retrieved from </w:t>
      </w:r>
      <w:hyperlink r:id="rId80" w:tgtFrame="_blank" w:history="1">
        <w:r w:rsidRPr="00921E4A">
          <w:rPr>
            <w:rStyle w:val="Hyperlink"/>
            <w:rFonts w:cstheme="minorHAnsi"/>
            <w:color w:val="0070C0"/>
          </w:rPr>
          <w:t>https://www.alz.org/national/documents/report_earlyonset_full.pdf</w:t>
        </w:r>
      </w:hyperlink>
      <w:r w:rsidRPr="0093746E">
        <w:rPr>
          <w:rFonts w:cstheme="minorHAnsi"/>
        </w:rPr>
        <w:t> </w:t>
      </w:r>
    </w:p>
    <w:p w14:paraId="5DC39891" w14:textId="21D6CA76" w:rsidR="00BB3AAE" w:rsidRPr="0093746E" w:rsidRDefault="00BB3AAE" w:rsidP="003903F1">
      <w:pPr>
        <w:pStyle w:val="NoSpacing"/>
        <w:ind w:left="720" w:hanging="720"/>
        <w:rPr>
          <w:rFonts w:cstheme="minorHAnsi"/>
        </w:rPr>
      </w:pPr>
      <w:r w:rsidRPr="0093746E">
        <w:rPr>
          <w:rFonts w:cstheme="minorHAnsi"/>
        </w:rPr>
        <w:t xml:space="preserve">Alzheimer’s </w:t>
      </w:r>
      <w:proofErr w:type="gramStart"/>
      <w:r w:rsidRPr="0093746E">
        <w:rPr>
          <w:rFonts w:cstheme="minorHAnsi"/>
        </w:rPr>
        <w:t>Association .</w:t>
      </w:r>
      <w:proofErr w:type="gramEnd"/>
      <w:r w:rsidRPr="0093746E">
        <w:rPr>
          <w:rFonts w:cstheme="minorHAnsi"/>
        </w:rPr>
        <w:t xml:space="preserve"> (</w:t>
      </w:r>
      <w:r w:rsidRPr="0093746E">
        <w:rPr>
          <w:rStyle w:val="nlmyear"/>
          <w:rFonts w:cstheme="minorHAnsi"/>
        </w:rPr>
        <w:t>2018</w:t>
      </w:r>
      <w:r w:rsidRPr="0093746E">
        <w:rPr>
          <w:rFonts w:cstheme="minorHAnsi"/>
        </w:rPr>
        <w:t>). 2018 Alzheimer’s disease facts and figures. Retrieved from </w:t>
      </w:r>
      <w:hyperlink r:id="rId81" w:tgtFrame="_blank" w:history="1">
        <w:r w:rsidRPr="00921E4A">
          <w:rPr>
            <w:rStyle w:val="Hyperlink"/>
            <w:rFonts w:cstheme="minorHAnsi"/>
            <w:color w:val="0070C0"/>
          </w:rPr>
          <w:t>https://www.alz.org/media/HomeOffice/Facts%20and%20Figures/facts-and-figures.pdf</w:t>
        </w:r>
      </w:hyperlink>
      <w:r w:rsidRPr="0093746E">
        <w:rPr>
          <w:rFonts w:cstheme="minorHAnsi"/>
        </w:rPr>
        <w:t> </w:t>
      </w:r>
    </w:p>
    <w:p w14:paraId="7FDC2596" w14:textId="5719603A" w:rsidR="00BB3AAE" w:rsidRPr="0093746E" w:rsidRDefault="00BB3AAE" w:rsidP="003903F1">
      <w:pPr>
        <w:pStyle w:val="NoSpacing"/>
        <w:ind w:left="720" w:hanging="720"/>
        <w:rPr>
          <w:rFonts w:cstheme="minorHAnsi"/>
        </w:rPr>
      </w:pPr>
      <w:r w:rsidRPr="0093746E">
        <w:rPr>
          <w:rFonts w:cstheme="minorHAnsi"/>
        </w:rPr>
        <w:t xml:space="preserve">Alzheimer’s Association and National Alliance for </w:t>
      </w:r>
      <w:proofErr w:type="gramStart"/>
      <w:r w:rsidRPr="0093746E">
        <w:rPr>
          <w:rFonts w:cstheme="minorHAnsi"/>
        </w:rPr>
        <w:t>Caregiving .</w:t>
      </w:r>
      <w:proofErr w:type="gramEnd"/>
      <w:r w:rsidRPr="0093746E">
        <w:rPr>
          <w:rFonts w:cstheme="minorHAnsi"/>
        </w:rPr>
        <w:t xml:space="preserve"> (</w:t>
      </w:r>
      <w:r w:rsidRPr="0093746E">
        <w:rPr>
          <w:rStyle w:val="nlmyear"/>
          <w:rFonts w:cstheme="minorHAnsi"/>
        </w:rPr>
        <w:t>2004</w:t>
      </w:r>
      <w:r w:rsidRPr="0093746E">
        <w:rPr>
          <w:rFonts w:cstheme="minorHAnsi"/>
        </w:rPr>
        <w:t>). Families care: Alzheimer’s caregiving in the United States. Retrieved from </w:t>
      </w:r>
      <w:hyperlink r:id="rId82" w:tgtFrame="_blank" w:history="1">
        <w:r w:rsidRPr="00921E4A">
          <w:rPr>
            <w:rStyle w:val="Hyperlink"/>
            <w:rFonts w:cstheme="minorHAnsi"/>
            <w:color w:val="0070C0"/>
          </w:rPr>
          <w:t>https://www.alz.org/national/documents/report_familiescare.pdf</w:t>
        </w:r>
      </w:hyperlink>
      <w:r w:rsidRPr="0093746E">
        <w:rPr>
          <w:rFonts w:cstheme="minorHAnsi"/>
        </w:rPr>
        <w:t> </w:t>
      </w:r>
    </w:p>
    <w:p w14:paraId="42E17147" w14:textId="66E0350F" w:rsidR="00BB3AAE" w:rsidRPr="0093746E" w:rsidRDefault="00BB3AAE" w:rsidP="003903F1">
      <w:pPr>
        <w:pStyle w:val="NoSpacing"/>
        <w:ind w:left="720" w:hanging="720"/>
        <w:rPr>
          <w:rFonts w:cstheme="minorHAnsi"/>
        </w:rPr>
      </w:pPr>
      <w:r w:rsidRPr="0093746E">
        <w:rPr>
          <w:rFonts w:cstheme="minorHAnsi"/>
        </w:rPr>
        <w:t xml:space="preserve">American Psychological </w:t>
      </w:r>
      <w:proofErr w:type="gramStart"/>
      <w:r w:rsidRPr="0093746E">
        <w:rPr>
          <w:rFonts w:cstheme="minorHAnsi"/>
        </w:rPr>
        <w:t>Association .</w:t>
      </w:r>
      <w:proofErr w:type="gramEnd"/>
      <w:r w:rsidRPr="0093746E">
        <w:rPr>
          <w:rFonts w:cstheme="minorHAnsi"/>
        </w:rPr>
        <w:t xml:space="preserve"> (</w:t>
      </w:r>
      <w:r w:rsidRPr="0093746E">
        <w:rPr>
          <w:rStyle w:val="nlmyear"/>
          <w:rFonts w:cstheme="minorHAnsi"/>
        </w:rPr>
        <w:t>2014</w:t>
      </w:r>
      <w:r w:rsidRPr="0093746E">
        <w:rPr>
          <w:rFonts w:cstheme="minorHAnsi"/>
        </w:rPr>
        <w:t>). The road to resilience. Retrieved from </w:t>
      </w:r>
      <w:hyperlink r:id="rId83" w:tgtFrame="_blank" w:history="1">
        <w:r w:rsidRPr="00921E4A">
          <w:rPr>
            <w:rStyle w:val="Hyperlink"/>
            <w:rFonts w:cstheme="minorHAnsi"/>
            <w:color w:val="0070C0"/>
          </w:rPr>
          <w:t>http://www.apa.org/helpcenter/road-resilience.aspx</w:t>
        </w:r>
      </w:hyperlink>
      <w:r w:rsidRPr="0093746E">
        <w:rPr>
          <w:rFonts w:cstheme="minorHAnsi"/>
        </w:rPr>
        <w:t> </w:t>
      </w:r>
    </w:p>
    <w:p w14:paraId="521D4063" w14:textId="09994AD6" w:rsidR="00BB3AAE" w:rsidRPr="0093746E" w:rsidRDefault="00BB3AAE" w:rsidP="003903F1">
      <w:pPr>
        <w:pStyle w:val="NoSpacing"/>
        <w:ind w:left="720" w:hanging="720"/>
        <w:rPr>
          <w:rFonts w:cstheme="minorHAnsi"/>
        </w:rPr>
      </w:pPr>
      <w:r w:rsidRPr="0093746E">
        <w:rPr>
          <w:rFonts w:cstheme="minorHAnsi"/>
        </w:rPr>
        <w:t>Baron, R. M., Kenny, D. A. (</w:t>
      </w:r>
      <w:r w:rsidRPr="0093746E">
        <w:rPr>
          <w:rStyle w:val="nlmyear"/>
          <w:rFonts w:cstheme="minorHAnsi"/>
        </w:rPr>
        <w:t>1986</w:t>
      </w:r>
      <w:r w:rsidRPr="0093746E">
        <w:rPr>
          <w:rFonts w:cstheme="minorHAnsi"/>
        </w:rPr>
        <w:t>). </w:t>
      </w:r>
      <w:r w:rsidRPr="0093746E">
        <w:rPr>
          <w:rStyle w:val="nlmarticle-title"/>
          <w:rFonts w:cstheme="minorHAnsi"/>
        </w:rPr>
        <w:t>The moderator-mediator variable distinction in social psychological research: Conceptual, strategic, and statistical considerations</w:t>
      </w:r>
      <w:r w:rsidRPr="0093746E">
        <w:rPr>
          <w:rFonts w:cstheme="minorHAnsi"/>
        </w:rPr>
        <w:t>. Journal of Personality and Social Psychology, 51, </w:t>
      </w:r>
      <w:r w:rsidRPr="0093746E">
        <w:rPr>
          <w:rStyle w:val="nlmfpage"/>
          <w:rFonts w:cstheme="minorHAnsi"/>
        </w:rPr>
        <w:t>1173</w:t>
      </w:r>
      <w:r w:rsidRPr="0093746E">
        <w:rPr>
          <w:rFonts w:cstheme="minorHAnsi"/>
        </w:rPr>
        <w:t>-</w:t>
      </w:r>
      <w:r w:rsidRPr="0093746E">
        <w:rPr>
          <w:rStyle w:val="nlmlpage"/>
          <w:rFonts w:cstheme="minorHAnsi"/>
        </w:rPr>
        <w:t>1182</w:t>
      </w:r>
      <w:r w:rsidRPr="0093746E">
        <w:rPr>
          <w:rFonts w:cstheme="minorHAnsi"/>
        </w:rPr>
        <w:t>. </w:t>
      </w:r>
    </w:p>
    <w:p w14:paraId="428E583F" w14:textId="0C9669DF" w:rsidR="00BB3AAE" w:rsidRPr="0093746E" w:rsidRDefault="00BB3AAE" w:rsidP="003903F1">
      <w:pPr>
        <w:pStyle w:val="NoSpacing"/>
        <w:ind w:left="720" w:hanging="720"/>
        <w:rPr>
          <w:rFonts w:cstheme="minorHAnsi"/>
        </w:rPr>
      </w:pPr>
      <w:r w:rsidRPr="0093746E">
        <w:rPr>
          <w:rFonts w:cstheme="minorHAnsi"/>
        </w:rPr>
        <w:t>Bekhet, A. K. (</w:t>
      </w:r>
      <w:r w:rsidRPr="0093746E">
        <w:rPr>
          <w:rStyle w:val="nlmyear"/>
          <w:rFonts w:cstheme="minorHAnsi"/>
        </w:rPr>
        <w:t>2013</w:t>
      </w:r>
      <w:r w:rsidRPr="0093746E">
        <w:rPr>
          <w:rFonts w:cstheme="minorHAnsi"/>
        </w:rPr>
        <w:t>). </w:t>
      </w:r>
      <w:r w:rsidRPr="0093746E">
        <w:rPr>
          <w:rStyle w:val="nlmarticle-title"/>
          <w:rFonts w:cstheme="minorHAnsi"/>
        </w:rPr>
        <w:t>Effects of positive cognitions and resourcefulness on caregiver burden among caregivers of persons with dementia</w:t>
      </w:r>
      <w:r w:rsidRPr="0093746E">
        <w:rPr>
          <w:rFonts w:cstheme="minorHAnsi"/>
        </w:rPr>
        <w:t>. International Journal of Mental Health Nursing, 2, </w:t>
      </w:r>
      <w:r w:rsidRPr="0093746E">
        <w:rPr>
          <w:rStyle w:val="nlmfpage"/>
          <w:rFonts w:cstheme="minorHAnsi"/>
        </w:rPr>
        <w:t>340</w:t>
      </w:r>
      <w:r w:rsidRPr="0093746E">
        <w:rPr>
          <w:rFonts w:cstheme="minorHAnsi"/>
        </w:rPr>
        <w:t>-</w:t>
      </w:r>
      <w:r w:rsidRPr="0093746E">
        <w:rPr>
          <w:rStyle w:val="nlmlpage"/>
          <w:rFonts w:cstheme="minorHAnsi"/>
        </w:rPr>
        <w:t>346</w:t>
      </w:r>
      <w:r w:rsidRPr="0093746E">
        <w:rPr>
          <w:rFonts w:cstheme="minorHAnsi"/>
        </w:rPr>
        <w:t>. doi:</w:t>
      </w:r>
      <w:r w:rsidRPr="0093746E">
        <w:rPr>
          <w:rStyle w:val="nlmpub-id"/>
          <w:rFonts w:cstheme="minorHAnsi"/>
        </w:rPr>
        <w:t>10.1111/j.1447-0349.</w:t>
      </w:r>
      <w:proofErr w:type="gramStart"/>
      <w:r w:rsidRPr="0093746E">
        <w:rPr>
          <w:rStyle w:val="nlmpub-id"/>
          <w:rFonts w:cstheme="minorHAnsi"/>
        </w:rPr>
        <w:t>2012.00877.x</w:t>
      </w:r>
      <w:proofErr w:type="gramEnd"/>
      <w:r w:rsidRPr="0093746E">
        <w:rPr>
          <w:rFonts w:cstheme="minorHAnsi"/>
        </w:rPr>
        <w:t> </w:t>
      </w:r>
    </w:p>
    <w:p w14:paraId="0EA26701" w14:textId="169053FE" w:rsidR="00BB3AAE" w:rsidRPr="0093746E" w:rsidRDefault="00BB3AAE" w:rsidP="003903F1">
      <w:pPr>
        <w:pStyle w:val="NoSpacing"/>
        <w:ind w:left="720" w:hanging="720"/>
        <w:rPr>
          <w:rFonts w:cstheme="minorHAnsi"/>
        </w:rPr>
      </w:pPr>
      <w:r w:rsidRPr="0093746E">
        <w:rPr>
          <w:rFonts w:cstheme="minorHAnsi"/>
        </w:rPr>
        <w:t>Bekhet, A. K. (</w:t>
      </w:r>
      <w:r w:rsidRPr="0093746E">
        <w:rPr>
          <w:rStyle w:val="nlmyear"/>
          <w:rFonts w:cstheme="minorHAnsi"/>
        </w:rPr>
        <w:t>2015</w:t>
      </w:r>
      <w:r w:rsidRPr="0093746E">
        <w:rPr>
          <w:rFonts w:cstheme="minorHAnsi"/>
        </w:rPr>
        <w:t>). </w:t>
      </w:r>
      <w:r w:rsidRPr="0093746E">
        <w:rPr>
          <w:rStyle w:val="nlmarticle-title"/>
          <w:rFonts w:cstheme="minorHAnsi"/>
        </w:rPr>
        <w:t>Resourcefulness in African American and Caucasian American caregivers of persons with dementia: Associations with perceived burden, depression, anxiety, positive cognitions, and psychological well-being</w:t>
      </w:r>
      <w:r w:rsidRPr="0093746E">
        <w:rPr>
          <w:rFonts w:cstheme="minorHAnsi"/>
        </w:rPr>
        <w:t>. Perspectives in Psychiatric Care, 51, </w:t>
      </w:r>
      <w:r w:rsidRPr="0093746E">
        <w:rPr>
          <w:rStyle w:val="nlmfpage"/>
          <w:rFonts w:cstheme="minorHAnsi"/>
        </w:rPr>
        <w:t>285</w:t>
      </w:r>
      <w:r w:rsidRPr="0093746E">
        <w:rPr>
          <w:rFonts w:cstheme="minorHAnsi"/>
        </w:rPr>
        <w:t>-</w:t>
      </w:r>
      <w:r w:rsidRPr="0093746E">
        <w:rPr>
          <w:rStyle w:val="nlmlpage"/>
          <w:rFonts w:cstheme="minorHAnsi"/>
        </w:rPr>
        <w:t>294</w:t>
      </w:r>
      <w:r w:rsidRPr="0093746E">
        <w:rPr>
          <w:rFonts w:cstheme="minorHAnsi"/>
        </w:rPr>
        <w:t>. doi:</w:t>
      </w:r>
      <w:r w:rsidRPr="0093746E">
        <w:rPr>
          <w:rStyle w:val="nlmpub-id"/>
          <w:rFonts w:cstheme="minorHAnsi"/>
        </w:rPr>
        <w:t>10.1111/ppc.12095</w:t>
      </w:r>
      <w:r w:rsidRPr="0093746E">
        <w:rPr>
          <w:rFonts w:cstheme="minorHAnsi"/>
        </w:rPr>
        <w:t> </w:t>
      </w:r>
    </w:p>
    <w:p w14:paraId="6EEC9E82" w14:textId="384CB79B" w:rsidR="00BB3AAE" w:rsidRPr="0093746E" w:rsidRDefault="00BB3AAE" w:rsidP="003903F1">
      <w:pPr>
        <w:pStyle w:val="NoSpacing"/>
        <w:ind w:left="720" w:hanging="720"/>
        <w:rPr>
          <w:rFonts w:cstheme="minorHAnsi"/>
        </w:rPr>
      </w:pPr>
      <w:r w:rsidRPr="0093746E">
        <w:rPr>
          <w:rFonts w:cstheme="minorHAnsi"/>
        </w:rPr>
        <w:t xml:space="preserve">Bekhet, A. K., </w:t>
      </w:r>
      <w:proofErr w:type="spellStart"/>
      <w:r w:rsidRPr="0093746E">
        <w:rPr>
          <w:rFonts w:cstheme="minorHAnsi"/>
        </w:rPr>
        <w:t>Zauszniewski</w:t>
      </w:r>
      <w:proofErr w:type="spellEnd"/>
      <w:r w:rsidRPr="0093746E">
        <w:rPr>
          <w:rFonts w:cstheme="minorHAnsi"/>
        </w:rPr>
        <w:t>, J. (</w:t>
      </w:r>
      <w:r w:rsidRPr="0093746E">
        <w:rPr>
          <w:rStyle w:val="nlmyear"/>
          <w:rFonts w:cstheme="minorHAnsi"/>
        </w:rPr>
        <w:t>2012</w:t>
      </w:r>
      <w:r w:rsidRPr="0093746E">
        <w:rPr>
          <w:rFonts w:cstheme="minorHAnsi"/>
        </w:rPr>
        <w:t>). </w:t>
      </w:r>
      <w:r w:rsidRPr="0093746E">
        <w:rPr>
          <w:rStyle w:val="nlmarticle-title"/>
          <w:rFonts w:cstheme="minorHAnsi"/>
        </w:rPr>
        <w:t>Methodological triangulation: An approach to understanding data</w:t>
      </w:r>
      <w:r w:rsidRPr="0093746E">
        <w:rPr>
          <w:rFonts w:cstheme="minorHAnsi"/>
        </w:rPr>
        <w:t>. Nurse Researcher, 20, </w:t>
      </w:r>
      <w:r w:rsidRPr="0093746E">
        <w:rPr>
          <w:rStyle w:val="nlmfpage"/>
          <w:rFonts w:cstheme="minorHAnsi"/>
        </w:rPr>
        <w:t>40</w:t>
      </w:r>
      <w:r w:rsidRPr="0093746E">
        <w:rPr>
          <w:rFonts w:cstheme="minorHAnsi"/>
        </w:rPr>
        <w:t>-</w:t>
      </w:r>
      <w:r w:rsidRPr="0093746E">
        <w:rPr>
          <w:rStyle w:val="nlmlpage"/>
          <w:rFonts w:cstheme="minorHAnsi"/>
        </w:rPr>
        <w:t>43</w:t>
      </w:r>
      <w:r w:rsidRPr="0093746E">
        <w:rPr>
          <w:rFonts w:cstheme="minorHAnsi"/>
        </w:rPr>
        <w:t>. doi:</w:t>
      </w:r>
      <w:r w:rsidRPr="0093746E">
        <w:rPr>
          <w:rStyle w:val="nlmpub-id"/>
          <w:rFonts w:cstheme="minorHAnsi"/>
        </w:rPr>
        <w:t>10.7748/nr2012.11.20.2.40.c9442</w:t>
      </w:r>
      <w:r w:rsidRPr="0093746E">
        <w:rPr>
          <w:rFonts w:cstheme="minorHAnsi"/>
        </w:rPr>
        <w:t> </w:t>
      </w:r>
    </w:p>
    <w:p w14:paraId="64E767E4" w14:textId="2E800463" w:rsidR="00BB3AAE" w:rsidRPr="0093746E" w:rsidRDefault="00BB3AAE" w:rsidP="003903F1">
      <w:pPr>
        <w:pStyle w:val="NoSpacing"/>
        <w:ind w:left="720" w:hanging="720"/>
        <w:rPr>
          <w:rFonts w:cstheme="minorHAnsi"/>
        </w:rPr>
      </w:pPr>
      <w:r w:rsidRPr="0093746E">
        <w:rPr>
          <w:rFonts w:cstheme="minorHAnsi"/>
        </w:rPr>
        <w:t>Bennett, J. A. (</w:t>
      </w:r>
      <w:r w:rsidRPr="0093746E">
        <w:rPr>
          <w:rStyle w:val="nlmyear"/>
          <w:rFonts w:cstheme="minorHAnsi"/>
        </w:rPr>
        <w:t>2000</w:t>
      </w:r>
      <w:r w:rsidRPr="0093746E">
        <w:rPr>
          <w:rFonts w:cstheme="minorHAnsi"/>
        </w:rPr>
        <w:t>). </w:t>
      </w:r>
      <w:r w:rsidRPr="0093746E">
        <w:rPr>
          <w:rStyle w:val="nlmarticle-title"/>
          <w:rFonts w:cstheme="minorHAnsi"/>
        </w:rPr>
        <w:t>Focus on research methods: Mediator and moderator variables in nursing research</w:t>
      </w:r>
      <w:r w:rsidRPr="0093746E">
        <w:rPr>
          <w:rFonts w:cstheme="minorHAnsi"/>
        </w:rPr>
        <w:t>. Research in Nursing &amp; Health, 23, </w:t>
      </w:r>
      <w:r w:rsidRPr="0093746E">
        <w:rPr>
          <w:rStyle w:val="nlmfpage"/>
          <w:rFonts w:cstheme="minorHAnsi"/>
        </w:rPr>
        <w:t>415</w:t>
      </w:r>
      <w:r w:rsidRPr="0093746E">
        <w:rPr>
          <w:rFonts w:cstheme="minorHAnsi"/>
        </w:rPr>
        <w:t>-</w:t>
      </w:r>
      <w:r w:rsidRPr="0093746E">
        <w:rPr>
          <w:rStyle w:val="nlmlpage"/>
          <w:rFonts w:cstheme="minorHAnsi"/>
        </w:rPr>
        <w:t>420</w:t>
      </w:r>
      <w:r w:rsidRPr="0093746E">
        <w:rPr>
          <w:rFonts w:cstheme="minorHAnsi"/>
        </w:rPr>
        <w:t>. </w:t>
      </w:r>
    </w:p>
    <w:p w14:paraId="7F40BB8A" w14:textId="12635F3C" w:rsidR="00BB3AAE" w:rsidRPr="0093746E" w:rsidRDefault="00BB3AAE" w:rsidP="003903F1">
      <w:pPr>
        <w:pStyle w:val="NoSpacing"/>
        <w:ind w:left="720" w:hanging="720"/>
        <w:rPr>
          <w:rFonts w:cstheme="minorHAnsi"/>
        </w:rPr>
      </w:pPr>
      <w:r w:rsidRPr="0093746E">
        <w:rPr>
          <w:rFonts w:cstheme="minorHAnsi"/>
        </w:rPr>
        <w:t xml:space="preserve">Carter, J. E., </w:t>
      </w:r>
      <w:proofErr w:type="spellStart"/>
      <w:r w:rsidRPr="0093746E">
        <w:rPr>
          <w:rFonts w:cstheme="minorHAnsi"/>
        </w:rPr>
        <w:t>Oyebode</w:t>
      </w:r>
      <w:proofErr w:type="spellEnd"/>
      <w:r w:rsidRPr="0093746E">
        <w:rPr>
          <w:rFonts w:cstheme="minorHAnsi"/>
        </w:rPr>
        <w:t>, J. R., Koopmans, R. T. C. M. (</w:t>
      </w:r>
      <w:r w:rsidRPr="0093746E">
        <w:rPr>
          <w:rStyle w:val="nlmyear"/>
          <w:rFonts w:cstheme="minorHAnsi"/>
        </w:rPr>
        <w:t>2018</w:t>
      </w:r>
      <w:r w:rsidRPr="0093746E">
        <w:rPr>
          <w:rFonts w:cstheme="minorHAnsi"/>
        </w:rPr>
        <w:t>). </w:t>
      </w:r>
      <w:r w:rsidRPr="0093746E">
        <w:rPr>
          <w:rStyle w:val="nlmarticle-title"/>
          <w:rFonts w:cstheme="minorHAnsi"/>
        </w:rPr>
        <w:t>Young-onset dementia and the need for specialist care: A national and international perspective</w:t>
      </w:r>
      <w:r w:rsidRPr="0093746E">
        <w:rPr>
          <w:rFonts w:cstheme="minorHAnsi"/>
        </w:rPr>
        <w:t>. Aging &amp; Mental Health, 22, </w:t>
      </w:r>
      <w:r w:rsidRPr="0093746E">
        <w:rPr>
          <w:rStyle w:val="nlmfpage"/>
          <w:rFonts w:cstheme="minorHAnsi"/>
        </w:rPr>
        <w:t>468</w:t>
      </w:r>
      <w:r w:rsidRPr="0093746E">
        <w:rPr>
          <w:rFonts w:cstheme="minorHAnsi"/>
        </w:rPr>
        <w:t>-</w:t>
      </w:r>
      <w:r w:rsidRPr="0093746E">
        <w:rPr>
          <w:rStyle w:val="nlmlpage"/>
          <w:rFonts w:cstheme="minorHAnsi"/>
        </w:rPr>
        <w:t>473</w:t>
      </w:r>
      <w:r w:rsidRPr="0093746E">
        <w:rPr>
          <w:rFonts w:cstheme="minorHAnsi"/>
        </w:rPr>
        <w:t>. doi:</w:t>
      </w:r>
      <w:r w:rsidRPr="0093746E">
        <w:rPr>
          <w:rStyle w:val="nlmpub-id"/>
          <w:rFonts w:cstheme="minorHAnsi"/>
        </w:rPr>
        <w:t>10.1080/13607863.2016.1257563</w:t>
      </w:r>
      <w:r w:rsidRPr="0093746E">
        <w:rPr>
          <w:rFonts w:cstheme="minorHAnsi"/>
        </w:rPr>
        <w:t> </w:t>
      </w:r>
    </w:p>
    <w:p w14:paraId="1EF6022D" w14:textId="590DF9F8" w:rsidR="00BB3AAE" w:rsidRPr="0093746E" w:rsidRDefault="00BB3AAE" w:rsidP="003903F1">
      <w:pPr>
        <w:pStyle w:val="NoSpacing"/>
        <w:ind w:left="720" w:hanging="720"/>
        <w:rPr>
          <w:rFonts w:cstheme="minorHAnsi"/>
        </w:rPr>
      </w:pPr>
      <w:r w:rsidRPr="0093746E">
        <w:rPr>
          <w:rFonts w:cstheme="minorHAnsi"/>
        </w:rPr>
        <w:t xml:space="preserve">Cohen, S., </w:t>
      </w:r>
      <w:proofErr w:type="spellStart"/>
      <w:r w:rsidRPr="0093746E">
        <w:rPr>
          <w:rFonts w:cstheme="minorHAnsi"/>
        </w:rPr>
        <w:t>Kamarck</w:t>
      </w:r>
      <w:proofErr w:type="spellEnd"/>
      <w:r w:rsidRPr="0093746E">
        <w:rPr>
          <w:rFonts w:cstheme="minorHAnsi"/>
        </w:rPr>
        <w:t xml:space="preserve">, T., </w:t>
      </w:r>
      <w:proofErr w:type="spellStart"/>
      <w:r w:rsidRPr="0093746E">
        <w:rPr>
          <w:rFonts w:cstheme="minorHAnsi"/>
        </w:rPr>
        <w:t>Mermelstein</w:t>
      </w:r>
      <w:proofErr w:type="spellEnd"/>
      <w:r w:rsidRPr="0093746E">
        <w:rPr>
          <w:rFonts w:cstheme="minorHAnsi"/>
        </w:rPr>
        <w:t>, R. (</w:t>
      </w:r>
      <w:r w:rsidRPr="0093746E">
        <w:rPr>
          <w:rStyle w:val="nlmyear"/>
          <w:rFonts w:cstheme="minorHAnsi"/>
        </w:rPr>
        <w:t>1983</w:t>
      </w:r>
      <w:r w:rsidRPr="0093746E">
        <w:rPr>
          <w:rFonts w:cstheme="minorHAnsi"/>
        </w:rPr>
        <w:t>). </w:t>
      </w:r>
      <w:r w:rsidRPr="0093746E">
        <w:rPr>
          <w:rStyle w:val="nlmarticle-title"/>
          <w:rFonts w:cstheme="minorHAnsi"/>
        </w:rPr>
        <w:t>A global measure of perceived stress</w:t>
      </w:r>
      <w:r w:rsidRPr="0093746E">
        <w:rPr>
          <w:rFonts w:cstheme="minorHAnsi"/>
        </w:rPr>
        <w:t>. Journal of Health and Social Behavior, 24, </w:t>
      </w:r>
      <w:r w:rsidRPr="0093746E">
        <w:rPr>
          <w:rStyle w:val="nlmfpage"/>
          <w:rFonts w:cstheme="minorHAnsi"/>
        </w:rPr>
        <w:t>385</w:t>
      </w:r>
      <w:r w:rsidRPr="0093746E">
        <w:rPr>
          <w:rFonts w:cstheme="minorHAnsi"/>
        </w:rPr>
        <w:t>-</w:t>
      </w:r>
      <w:r w:rsidRPr="0093746E">
        <w:rPr>
          <w:rStyle w:val="nlmlpage"/>
          <w:rFonts w:cstheme="minorHAnsi"/>
        </w:rPr>
        <w:t>396</w:t>
      </w:r>
      <w:r w:rsidRPr="0093746E">
        <w:rPr>
          <w:rFonts w:cstheme="minorHAnsi"/>
        </w:rPr>
        <w:t>. </w:t>
      </w:r>
    </w:p>
    <w:p w14:paraId="75E269DA" w14:textId="6BABED47" w:rsidR="00BB3AAE" w:rsidRPr="0093746E" w:rsidRDefault="00BB3AAE" w:rsidP="003903F1">
      <w:pPr>
        <w:pStyle w:val="NoSpacing"/>
        <w:ind w:left="720" w:hanging="720"/>
        <w:rPr>
          <w:rFonts w:cstheme="minorHAnsi"/>
        </w:rPr>
      </w:pPr>
      <w:r w:rsidRPr="0093746E">
        <w:rPr>
          <w:rFonts w:cstheme="minorHAnsi"/>
        </w:rPr>
        <w:t>Darlington, R. B., Hayes, A. F. (</w:t>
      </w:r>
      <w:r w:rsidRPr="0093746E">
        <w:rPr>
          <w:rStyle w:val="nlmyear"/>
          <w:rFonts w:cstheme="minorHAnsi"/>
        </w:rPr>
        <w:t>2017</w:t>
      </w:r>
      <w:r w:rsidRPr="0093746E">
        <w:rPr>
          <w:rFonts w:cstheme="minorHAnsi"/>
        </w:rPr>
        <w:t>). Regression analysis and linear models: Concepts, applications, and implementation. </w:t>
      </w:r>
      <w:r w:rsidRPr="0093746E">
        <w:rPr>
          <w:rStyle w:val="nlmpublisher-loc"/>
          <w:rFonts w:cstheme="minorHAnsi"/>
        </w:rPr>
        <w:t>New York, NY</w:t>
      </w:r>
      <w:r w:rsidRPr="0093746E">
        <w:rPr>
          <w:rFonts w:cstheme="minorHAnsi"/>
        </w:rPr>
        <w:t>: </w:t>
      </w:r>
      <w:r w:rsidRPr="0093746E">
        <w:rPr>
          <w:rStyle w:val="nlmpublisher-name"/>
          <w:rFonts w:cstheme="minorHAnsi"/>
        </w:rPr>
        <w:t>Guilford Press</w:t>
      </w:r>
      <w:r w:rsidRPr="0093746E">
        <w:rPr>
          <w:rFonts w:cstheme="minorHAnsi"/>
        </w:rPr>
        <w:t>. </w:t>
      </w:r>
    </w:p>
    <w:p w14:paraId="685E1673" w14:textId="3FCED5F0" w:rsidR="00BB3AAE" w:rsidRPr="0093746E" w:rsidRDefault="00BB3AAE" w:rsidP="003903F1">
      <w:pPr>
        <w:pStyle w:val="NoSpacing"/>
        <w:ind w:left="720" w:hanging="720"/>
        <w:rPr>
          <w:rFonts w:cstheme="minorHAnsi"/>
        </w:rPr>
      </w:pPr>
      <w:r w:rsidRPr="0093746E">
        <w:rPr>
          <w:rFonts w:cstheme="minorHAnsi"/>
        </w:rPr>
        <w:t>Deist, M., Greeff, A. P. (</w:t>
      </w:r>
      <w:r w:rsidRPr="0093746E">
        <w:rPr>
          <w:rStyle w:val="nlmyear"/>
          <w:rFonts w:cstheme="minorHAnsi"/>
        </w:rPr>
        <w:t>2015</w:t>
      </w:r>
      <w:r w:rsidRPr="0093746E">
        <w:rPr>
          <w:rFonts w:cstheme="minorHAnsi"/>
        </w:rPr>
        <w:t>). </w:t>
      </w:r>
      <w:r w:rsidRPr="0093746E">
        <w:rPr>
          <w:rStyle w:val="nlmarticle-title"/>
          <w:rFonts w:cstheme="minorHAnsi"/>
        </w:rPr>
        <w:t>Resilience in families caring for a family member diagnosed with dementia</w:t>
      </w:r>
      <w:r w:rsidRPr="0093746E">
        <w:rPr>
          <w:rFonts w:cstheme="minorHAnsi"/>
        </w:rPr>
        <w:t>. Educational Gerontology, 41, </w:t>
      </w:r>
      <w:r w:rsidRPr="0093746E">
        <w:rPr>
          <w:rStyle w:val="nlmfpage"/>
          <w:rFonts w:cstheme="minorHAnsi"/>
        </w:rPr>
        <w:t>93</w:t>
      </w:r>
      <w:r w:rsidRPr="0093746E">
        <w:rPr>
          <w:rFonts w:cstheme="minorHAnsi"/>
        </w:rPr>
        <w:t>-</w:t>
      </w:r>
      <w:r w:rsidRPr="0093746E">
        <w:rPr>
          <w:rStyle w:val="nlmlpage"/>
          <w:rFonts w:cstheme="minorHAnsi"/>
        </w:rPr>
        <w:t>105</w:t>
      </w:r>
      <w:r w:rsidRPr="0093746E">
        <w:rPr>
          <w:rFonts w:cstheme="minorHAnsi"/>
        </w:rPr>
        <w:t>. doi:</w:t>
      </w:r>
      <w:r w:rsidRPr="0093746E">
        <w:rPr>
          <w:rStyle w:val="nlmpub-id"/>
          <w:rFonts w:cstheme="minorHAnsi"/>
        </w:rPr>
        <w:t>10.1080/03601277.2014.942146</w:t>
      </w:r>
      <w:r w:rsidRPr="0093746E">
        <w:rPr>
          <w:rFonts w:cstheme="minorHAnsi"/>
        </w:rPr>
        <w:t> </w:t>
      </w:r>
    </w:p>
    <w:p w14:paraId="03A3577B" w14:textId="6F59CC09" w:rsidR="00BB3AAE" w:rsidRPr="0093746E" w:rsidRDefault="00BB3AAE" w:rsidP="003903F1">
      <w:pPr>
        <w:pStyle w:val="NoSpacing"/>
        <w:ind w:left="720" w:hanging="720"/>
        <w:rPr>
          <w:rFonts w:cstheme="minorHAnsi"/>
        </w:rPr>
      </w:pPr>
      <w:r w:rsidRPr="0093746E">
        <w:rPr>
          <w:rFonts w:cstheme="minorHAnsi"/>
        </w:rPr>
        <w:lastRenderedPageBreak/>
        <w:t xml:space="preserve">Ducharme, F., </w:t>
      </w:r>
      <w:proofErr w:type="spellStart"/>
      <w:r w:rsidRPr="0093746E">
        <w:rPr>
          <w:rFonts w:cstheme="minorHAnsi"/>
        </w:rPr>
        <w:t>Kergoat</w:t>
      </w:r>
      <w:proofErr w:type="spellEnd"/>
      <w:r w:rsidRPr="0093746E">
        <w:rPr>
          <w:rFonts w:cstheme="minorHAnsi"/>
        </w:rPr>
        <w:t xml:space="preserve">, M., Antoine, P., </w:t>
      </w:r>
      <w:proofErr w:type="spellStart"/>
      <w:r w:rsidRPr="0093746E">
        <w:rPr>
          <w:rFonts w:cstheme="minorHAnsi"/>
        </w:rPr>
        <w:t>Pasquier</w:t>
      </w:r>
      <w:proofErr w:type="spellEnd"/>
      <w:r w:rsidRPr="0093746E">
        <w:rPr>
          <w:rFonts w:cstheme="minorHAnsi"/>
        </w:rPr>
        <w:t>, F., Coulombe, R. (</w:t>
      </w:r>
      <w:r w:rsidRPr="0093746E">
        <w:rPr>
          <w:rStyle w:val="nlmyear"/>
          <w:rFonts w:cstheme="minorHAnsi"/>
        </w:rPr>
        <w:t>2013</w:t>
      </w:r>
      <w:r w:rsidRPr="0093746E">
        <w:rPr>
          <w:rFonts w:cstheme="minorHAnsi"/>
        </w:rPr>
        <w:t>). </w:t>
      </w:r>
      <w:r w:rsidRPr="0093746E">
        <w:rPr>
          <w:rStyle w:val="nlmarticle-title"/>
          <w:rFonts w:cstheme="minorHAnsi"/>
        </w:rPr>
        <w:t>The unique experience of spouses in early-onset dementia</w:t>
      </w:r>
      <w:r w:rsidRPr="0093746E">
        <w:rPr>
          <w:rFonts w:cstheme="minorHAnsi"/>
        </w:rPr>
        <w:t>. The American Journal of Alzheimer’s Disease &amp; Other Dementias, 28, </w:t>
      </w:r>
      <w:r w:rsidRPr="0093746E">
        <w:rPr>
          <w:rStyle w:val="nlmfpage"/>
          <w:rFonts w:cstheme="minorHAnsi"/>
        </w:rPr>
        <w:t>634</w:t>
      </w:r>
      <w:r w:rsidRPr="0093746E">
        <w:rPr>
          <w:rFonts w:cstheme="minorHAnsi"/>
        </w:rPr>
        <w:t>-</w:t>
      </w:r>
      <w:r w:rsidRPr="0093746E">
        <w:rPr>
          <w:rStyle w:val="nlmlpage"/>
          <w:rFonts w:cstheme="minorHAnsi"/>
        </w:rPr>
        <w:t>641</w:t>
      </w:r>
      <w:r w:rsidRPr="0093746E">
        <w:rPr>
          <w:rFonts w:cstheme="minorHAnsi"/>
        </w:rPr>
        <w:t>. doi:</w:t>
      </w:r>
      <w:r w:rsidRPr="0093746E">
        <w:rPr>
          <w:rStyle w:val="nlmpub-id"/>
          <w:rFonts w:cstheme="minorHAnsi"/>
        </w:rPr>
        <w:t>10.1177/1533317513494443</w:t>
      </w:r>
      <w:r w:rsidRPr="0093746E">
        <w:rPr>
          <w:rFonts w:cstheme="minorHAnsi"/>
        </w:rPr>
        <w:t> </w:t>
      </w:r>
    </w:p>
    <w:p w14:paraId="3CE90202" w14:textId="7C32C583" w:rsidR="00BB3AAE" w:rsidRPr="0093746E" w:rsidRDefault="00BB3AAE" w:rsidP="003903F1">
      <w:pPr>
        <w:pStyle w:val="NoSpacing"/>
        <w:ind w:left="720" w:hanging="720"/>
        <w:rPr>
          <w:rStyle w:val="ref-xlink"/>
          <w:rFonts w:cstheme="minorHAnsi"/>
        </w:rPr>
      </w:pPr>
      <w:proofErr w:type="spellStart"/>
      <w:r w:rsidRPr="0093746E">
        <w:rPr>
          <w:rFonts w:cstheme="minorHAnsi"/>
        </w:rPr>
        <w:t>Faul</w:t>
      </w:r>
      <w:proofErr w:type="spellEnd"/>
      <w:r w:rsidRPr="0093746E">
        <w:rPr>
          <w:rFonts w:cstheme="minorHAnsi"/>
        </w:rPr>
        <w:t xml:space="preserve">, F., </w:t>
      </w:r>
      <w:proofErr w:type="spellStart"/>
      <w:r w:rsidRPr="0093746E">
        <w:rPr>
          <w:rFonts w:cstheme="minorHAnsi"/>
        </w:rPr>
        <w:t>Erdfelder</w:t>
      </w:r>
      <w:proofErr w:type="spellEnd"/>
      <w:r w:rsidRPr="0093746E">
        <w:rPr>
          <w:rFonts w:cstheme="minorHAnsi"/>
        </w:rPr>
        <w:t>, E., Lang, A.-G., Buchner, A. (</w:t>
      </w:r>
      <w:r w:rsidRPr="0093746E">
        <w:rPr>
          <w:rStyle w:val="nlmyear"/>
          <w:rFonts w:cstheme="minorHAnsi"/>
        </w:rPr>
        <w:t>2007</w:t>
      </w:r>
      <w:r w:rsidRPr="0093746E">
        <w:rPr>
          <w:rFonts w:cstheme="minorHAnsi"/>
        </w:rPr>
        <w:t>). </w:t>
      </w:r>
      <w:r w:rsidRPr="0093746E">
        <w:rPr>
          <w:rStyle w:val="nlmarticle-title"/>
          <w:rFonts w:cstheme="minorHAnsi"/>
        </w:rPr>
        <w:t>G*Power 3: A flexible statistical power analysis program for the social, behavioral, and biomedical sciences</w:t>
      </w:r>
      <w:r w:rsidRPr="0093746E">
        <w:rPr>
          <w:rFonts w:cstheme="minorHAnsi"/>
        </w:rPr>
        <w:t>. Behavior Research Methods, 39, </w:t>
      </w:r>
      <w:r w:rsidRPr="0093746E">
        <w:rPr>
          <w:rStyle w:val="nlmfpage"/>
          <w:rFonts w:cstheme="minorHAnsi"/>
        </w:rPr>
        <w:t>175</w:t>
      </w:r>
      <w:r w:rsidRPr="0093746E">
        <w:rPr>
          <w:rFonts w:cstheme="minorHAnsi"/>
        </w:rPr>
        <w:t>-</w:t>
      </w:r>
      <w:r w:rsidRPr="0093746E">
        <w:rPr>
          <w:rStyle w:val="nlmlpage"/>
          <w:rFonts w:cstheme="minorHAnsi"/>
        </w:rPr>
        <w:t>191</w:t>
      </w:r>
      <w:r w:rsidRPr="0093746E">
        <w:rPr>
          <w:rFonts w:cstheme="minorHAnsi"/>
        </w:rPr>
        <w:t>. doi:</w:t>
      </w:r>
      <w:r w:rsidRPr="0093746E">
        <w:rPr>
          <w:rStyle w:val="nlmpub-id"/>
          <w:rFonts w:cstheme="minorHAnsi"/>
        </w:rPr>
        <w:t>10.3758/BF0319346</w:t>
      </w:r>
      <w:r w:rsidRPr="0093746E">
        <w:rPr>
          <w:rFonts w:cstheme="minorHAnsi"/>
        </w:rPr>
        <w:t> </w:t>
      </w:r>
    </w:p>
    <w:p w14:paraId="7EB76152" w14:textId="48FFBE7F" w:rsidR="00BB3AAE" w:rsidRPr="0093746E" w:rsidRDefault="00BB3AAE" w:rsidP="003903F1">
      <w:pPr>
        <w:pStyle w:val="NoSpacing"/>
        <w:ind w:left="720" w:hanging="720"/>
        <w:rPr>
          <w:rStyle w:val="ref-xlink"/>
          <w:rFonts w:cstheme="minorHAnsi"/>
        </w:rPr>
      </w:pPr>
      <w:r w:rsidRPr="0093746E">
        <w:rPr>
          <w:rFonts w:cstheme="minorHAnsi"/>
        </w:rPr>
        <w:t>Flynn, R., Mulcahy, H. (</w:t>
      </w:r>
      <w:r w:rsidRPr="0093746E">
        <w:rPr>
          <w:rStyle w:val="nlmyear"/>
          <w:rFonts w:cstheme="minorHAnsi"/>
        </w:rPr>
        <w:t>2013</w:t>
      </w:r>
      <w:r w:rsidRPr="0093746E">
        <w:rPr>
          <w:rFonts w:cstheme="minorHAnsi"/>
        </w:rPr>
        <w:t>). </w:t>
      </w:r>
      <w:r w:rsidRPr="0093746E">
        <w:rPr>
          <w:rStyle w:val="nlmarticle-title"/>
          <w:rFonts w:cstheme="minorHAnsi"/>
        </w:rPr>
        <w:t xml:space="preserve">Early onset dementia: The impact on family </w:t>
      </w:r>
      <w:proofErr w:type="gramStart"/>
      <w:r w:rsidRPr="0093746E">
        <w:rPr>
          <w:rStyle w:val="nlmarticle-title"/>
          <w:rFonts w:cstheme="minorHAnsi"/>
        </w:rPr>
        <w:t>care-givers</w:t>
      </w:r>
      <w:proofErr w:type="gramEnd"/>
      <w:r w:rsidRPr="0093746E">
        <w:rPr>
          <w:rFonts w:cstheme="minorHAnsi"/>
        </w:rPr>
        <w:t>. British Journal of Community Nursing, 18, </w:t>
      </w:r>
      <w:r w:rsidRPr="0093746E">
        <w:rPr>
          <w:rStyle w:val="nlmfpage"/>
          <w:rFonts w:cstheme="minorHAnsi"/>
        </w:rPr>
        <w:t>598</w:t>
      </w:r>
      <w:r w:rsidRPr="0093746E">
        <w:rPr>
          <w:rFonts w:cstheme="minorHAnsi"/>
        </w:rPr>
        <w:t>-</w:t>
      </w:r>
      <w:r w:rsidRPr="0093746E">
        <w:rPr>
          <w:rStyle w:val="nlmlpage"/>
          <w:rFonts w:cstheme="minorHAnsi"/>
        </w:rPr>
        <w:t>606</w:t>
      </w:r>
      <w:r w:rsidRPr="0093746E">
        <w:rPr>
          <w:rFonts w:cstheme="minorHAnsi"/>
        </w:rPr>
        <w:t>. doi:</w:t>
      </w:r>
      <w:r w:rsidRPr="0093746E">
        <w:rPr>
          <w:rStyle w:val="nlmpub-id"/>
          <w:rFonts w:cstheme="minorHAnsi"/>
        </w:rPr>
        <w:t>10.1177/1471301216661427</w:t>
      </w:r>
      <w:r w:rsidRPr="0093746E">
        <w:rPr>
          <w:rFonts w:cstheme="minorHAnsi"/>
        </w:rPr>
        <w:t> </w:t>
      </w:r>
    </w:p>
    <w:p w14:paraId="0D39310B" w14:textId="10CF6F8F" w:rsidR="00BB3AAE" w:rsidRPr="0093746E" w:rsidRDefault="00BB3AAE" w:rsidP="003903F1">
      <w:pPr>
        <w:pStyle w:val="NoSpacing"/>
        <w:ind w:left="720" w:hanging="720"/>
        <w:rPr>
          <w:rFonts w:cstheme="minorHAnsi"/>
        </w:rPr>
      </w:pPr>
      <w:r w:rsidRPr="0093746E">
        <w:rPr>
          <w:rFonts w:cstheme="minorHAnsi"/>
        </w:rPr>
        <w:t>Frank, J. B. (</w:t>
      </w:r>
      <w:r w:rsidRPr="0093746E">
        <w:rPr>
          <w:rStyle w:val="nlmyear"/>
          <w:rFonts w:cstheme="minorHAnsi"/>
        </w:rPr>
        <w:t>2007</w:t>
      </w:r>
      <w:r w:rsidRPr="0093746E">
        <w:rPr>
          <w:rFonts w:cstheme="minorHAnsi"/>
        </w:rPr>
        <w:t>). </w:t>
      </w:r>
      <w:r w:rsidRPr="0093746E">
        <w:rPr>
          <w:rStyle w:val="nlmarticle-title"/>
          <w:rFonts w:cstheme="minorHAnsi"/>
        </w:rPr>
        <w:t>Evidence for grief as the major barrier faced by Alzheimer caregivers: A qualitative analysis</w:t>
      </w:r>
      <w:r w:rsidRPr="0093746E">
        <w:rPr>
          <w:rFonts w:cstheme="minorHAnsi"/>
        </w:rPr>
        <w:t>. American Journal of Alzheimer’s Disease and Other Dementias, 22, </w:t>
      </w:r>
      <w:r w:rsidRPr="0093746E">
        <w:rPr>
          <w:rStyle w:val="nlmfpage"/>
          <w:rFonts w:cstheme="minorHAnsi"/>
        </w:rPr>
        <w:t>516</w:t>
      </w:r>
      <w:r w:rsidRPr="0093746E">
        <w:rPr>
          <w:rFonts w:cstheme="minorHAnsi"/>
        </w:rPr>
        <w:t>-</w:t>
      </w:r>
      <w:r w:rsidRPr="0093746E">
        <w:rPr>
          <w:rStyle w:val="nlmlpage"/>
          <w:rFonts w:cstheme="minorHAnsi"/>
        </w:rPr>
        <w:t>527</w:t>
      </w:r>
      <w:r w:rsidRPr="0093746E">
        <w:rPr>
          <w:rFonts w:cstheme="minorHAnsi"/>
        </w:rPr>
        <w:t>. doi:</w:t>
      </w:r>
      <w:r w:rsidRPr="0093746E">
        <w:rPr>
          <w:rStyle w:val="nlmpub-id"/>
          <w:rFonts w:cstheme="minorHAnsi"/>
        </w:rPr>
        <w:t>10.1177/1533317507307787</w:t>
      </w:r>
      <w:r w:rsidRPr="0093746E">
        <w:rPr>
          <w:rFonts w:cstheme="minorHAnsi"/>
        </w:rPr>
        <w:t> </w:t>
      </w:r>
    </w:p>
    <w:p w14:paraId="0CF09B82" w14:textId="31F2177C" w:rsidR="00BB3AAE" w:rsidRPr="0093746E" w:rsidRDefault="00BB3AAE" w:rsidP="003903F1">
      <w:pPr>
        <w:pStyle w:val="NoSpacing"/>
        <w:ind w:left="720" w:hanging="720"/>
        <w:rPr>
          <w:rStyle w:val="ref-xlink"/>
          <w:rFonts w:cstheme="minorHAnsi"/>
        </w:rPr>
      </w:pPr>
      <w:r w:rsidRPr="0093746E">
        <w:rPr>
          <w:rFonts w:cstheme="minorHAnsi"/>
        </w:rPr>
        <w:t xml:space="preserve">Gibson, A. K., Andersen, K. A., </w:t>
      </w:r>
      <w:proofErr w:type="spellStart"/>
      <w:r w:rsidRPr="0093746E">
        <w:rPr>
          <w:rFonts w:cstheme="minorHAnsi"/>
        </w:rPr>
        <w:t>Acocks</w:t>
      </w:r>
      <w:proofErr w:type="spellEnd"/>
      <w:r w:rsidRPr="0093746E">
        <w:rPr>
          <w:rFonts w:cstheme="minorHAnsi"/>
        </w:rPr>
        <w:t>, S. (</w:t>
      </w:r>
      <w:r w:rsidRPr="0093746E">
        <w:rPr>
          <w:rStyle w:val="nlmyear"/>
          <w:rFonts w:cstheme="minorHAnsi"/>
        </w:rPr>
        <w:t>2014</w:t>
      </w:r>
      <w:r w:rsidRPr="0093746E">
        <w:rPr>
          <w:rFonts w:cstheme="minorHAnsi"/>
        </w:rPr>
        <w:t>). </w:t>
      </w:r>
      <w:r w:rsidRPr="0093746E">
        <w:rPr>
          <w:rStyle w:val="nlmarticle-title"/>
          <w:rFonts w:cstheme="minorHAnsi"/>
        </w:rPr>
        <w:t xml:space="preserve">Exploring the service and support needs of families with </w:t>
      </w:r>
      <w:proofErr w:type="gramStart"/>
      <w:r w:rsidRPr="0093746E">
        <w:rPr>
          <w:rStyle w:val="nlmarticle-title"/>
          <w:rFonts w:cstheme="minorHAnsi"/>
        </w:rPr>
        <w:t>early-onset</w:t>
      </w:r>
      <w:proofErr w:type="gramEnd"/>
      <w:r w:rsidRPr="0093746E">
        <w:rPr>
          <w:rStyle w:val="nlmarticle-title"/>
          <w:rFonts w:cstheme="minorHAnsi"/>
        </w:rPr>
        <w:t xml:space="preserve"> </w:t>
      </w:r>
      <w:proofErr w:type="spellStart"/>
      <w:r w:rsidRPr="0093746E">
        <w:rPr>
          <w:rStyle w:val="nlmarticle-title"/>
          <w:rFonts w:cstheme="minorHAnsi"/>
        </w:rPr>
        <w:t>alzheimer’s</w:t>
      </w:r>
      <w:proofErr w:type="spellEnd"/>
      <w:r w:rsidRPr="0093746E">
        <w:rPr>
          <w:rStyle w:val="nlmarticle-title"/>
          <w:rFonts w:cstheme="minorHAnsi"/>
        </w:rPr>
        <w:t xml:space="preserve"> disease</w:t>
      </w:r>
      <w:r w:rsidRPr="0093746E">
        <w:rPr>
          <w:rFonts w:cstheme="minorHAnsi"/>
        </w:rPr>
        <w:t>. American Journal of Alzheimer’s Disease &amp; Other Dementias, 29, </w:t>
      </w:r>
      <w:r w:rsidRPr="0093746E">
        <w:rPr>
          <w:rStyle w:val="nlmfpage"/>
          <w:rFonts w:cstheme="minorHAnsi"/>
        </w:rPr>
        <w:t>596</w:t>
      </w:r>
      <w:r w:rsidRPr="0093746E">
        <w:rPr>
          <w:rFonts w:cstheme="minorHAnsi"/>
        </w:rPr>
        <w:t>-</w:t>
      </w:r>
      <w:r w:rsidRPr="0093746E">
        <w:rPr>
          <w:rStyle w:val="nlmlpage"/>
          <w:rFonts w:cstheme="minorHAnsi"/>
        </w:rPr>
        <w:t>600</w:t>
      </w:r>
      <w:r w:rsidRPr="0093746E">
        <w:rPr>
          <w:rFonts w:cstheme="minorHAnsi"/>
        </w:rPr>
        <w:t>. doi:</w:t>
      </w:r>
      <w:r w:rsidRPr="0093746E">
        <w:rPr>
          <w:rStyle w:val="nlmpub-id"/>
          <w:rFonts w:cstheme="minorHAnsi"/>
        </w:rPr>
        <w:t>10.1177/1533317514558160</w:t>
      </w:r>
      <w:r w:rsidRPr="0093746E">
        <w:rPr>
          <w:rFonts w:cstheme="minorHAnsi"/>
        </w:rPr>
        <w:t> </w:t>
      </w:r>
    </w:p>
    <w:p w14:paraId="760EF9C0" w14:textId="386AA441" w:rsidR="00BB3AAE" w:rsidRPr="0093746E" w:rsidRDefault="00BB3AAE" w:rsidP="003903F1">
      <w:pPr>
        <w:pStyle w:val="NoSpacing"/>
        <w:ind w:left="720" w:hanging="720"/>
        <w:rPr>
          <w:rFonts w:cstheme="minorHAnsi"/>
        </w:rPr>
      </w:pPr>
      <w:r w:rsidRPr="0093746E">
        <w:rPr>
          <w:rFonts w:cstheme="minorHAnsi"/>
        </w:rPr>
        <w:t>Kline, R. B. (</w:t>
      </w:r>
      <w:r w:rsidRPr="0093746E">
        <w:rPr>
          <w:rStyle w:val="nlmyear"/>
          <w:rFonts w:cstheme="minorHAnsi"/>
        </w:rPr>
        <w:t>2016</w:t>
      </w:r>
      <w:r w:rsidRPr="0093746E">
        <w:rPr>
          <w:rFonts w:cstheme="minorHAnsi"/>
        </w:rPr>
        <w:t>). Principles and practice of structural equation modeling (</w:t>
      </w:r>
      <w:r w:rsidRPr="0093746E">
        <w:rPr>
          <w:rStyle w:val="nlmedition"/>
          <w:rFonts w:cstheme="minorHAnsi"/>
        </w:rPr>
        <w:t>4th ed.</w:t>
      </w:r>
      <w:r w:rsidRPr="0093746E">
        <w:rPr>
          <w:rFonts w:cstheme="minorHAnsi"/>
        </w:rPr>
        <w:t>). </w:t>
      </w:r>
      <w:r w:rsidRPr="0093746E">
        <w:rPr>
          <w:rStyle w:val="nlmpublisher-loc"/>
          <w:rFonts w:cstheme="minorHAnsi"/>
        </w:rPr>
        <w:t>New York, NY</w:t>
      </w:r>
      <w:r w:rsidRPr="0093746E">
        <w:rPr>
          <w:rFonts w:cstheme="minorHAnsi"/>
        </w:rPr>
        <w:t>: </w:t>
      </w:r>
      <w:r w:rsidRPr="0093746E">
        <w:rPr>
          <w:rStyle w:val="nlmpublisher-name"/>
          <w:rFonts w:cstheme="minorHAnsi"/>
        </w:rPr>
        <w:t>Guilford Press</w:t>
      </w:r>
      <w:r w:rsidRPr="0093746E">
        <w:rPr>
          <w:rFonts w:cstheme="minorHAnsi"/>
        </w:rPr>
        <w:t>. </w:t>
      </w:r>
    </w:p>
    <w:p w14:paraId="637AB6BB" w14:textId="2F5F44C8" w:rsidR="00BB3AAE" w:rsidRPr="0093746E" w:rsidRDefault="00BB3AAE" w:rsidP="003903F1">
      <w:pPr>
        <w:pStyle w:val="NoSpacing"/>
        <w:ind w:left="720" w:hanging="720"/>
        <w:rPr>
          <w:rStyle w:val="ref-xlink"/>
          <w:rFonts w:cstheme="minorHAnsi"/>
        </w:rPr>
      </w:pPr>
      <w:r w:rsidRPr="0093746E">
        <w:rPr>
          <w:rFonts w:cstheme="minorHAnsi"/>
        </w:rPr>
        <w:t xml:space="preserve">Lindauer, A., </w:t>
      </w:r>
      <w:proofErr w:type="spellStart"/>
      <w:r w:rsidRPr="0093746E">
        <w:rPr>
          <w:rFonts w:cstheme="minorHAnsi"/>
        </w:rPr>
        <w:t>Harvath</w:t>
      </w:r>
      <w:proofErr w:type="spellEnd"/>
      <w:r w:rsidRPr="0093746E">
        <w:rPr>
          <w:rFonts w:cstheme="minorHAnsi"/>
        </w:rPr>
        <w:t>, T. A. (</w:t>
      </w:r>
      <w:r w:rsidRPr="0093746E">
        <w:rPr>
          <w:rStyle w:val="nlmyear"/>
          <w:rFonts w:cstheme="minorHAnsi"/>
        </w:rPr>
        <w:t>2014</w:t>
      </w:r>
      <w:r w:rsidRPr="0093746E">
        <w:rPr>
          <w:rFonts w:cstheme="minorHAnsi"/>
        </w:rPr>
        <w:t>). </w:t>
      </w:r>
      <w:r w:rsidRPr="0093746E">
        <w:rPr>
          <w:rStyle w:val="nlmarticle-title"/>
          <w:rFonts w:cstheme="minorHAnsi"/>
        </w:rPr>
        <w:t>Pre-death grief in the context of dementia caregiving: A concept analysis</w:t>
      </w:r>
      <w:r w:rsidRPr="0093746E">
        <w:rPr>
          <w:rFonts w:cstheme="minorHAnsi"/>
        </w:rPr>
        <w:t>. Journal of Advanced Nursing, 70, </w:t>
      </w:r>
      <w:r w:rsidRPr="0093746E">
        <w:rPr>
          <w:rStyle w:val="nlmfpage"/>
          <w:rFonts w:cstheme="minorHAnsi"/>
        </w:rPr>
        <w:t>2196</w:t>
      </w:r>
      <w:r w:rsidRPr="0093746E">
        <w:rPr>
          <w:rFonts w:cstheme="minorHAnsi"/>
        </w:rPr>
        <w:t>-</w:t>
      </w:r>
      <w:r w:rsidRPr="0093746E">
        <w:rPr>
          <w:rStyle w:val="nlmlpage"/>
          <w:rFonts w:cstheme="minorHAnsi"/>
        </w:rPr>
        <w:t>2207</w:t>
      </w:r>
      <w:r w:rsidRPr="0093746E">
        <w:rPr>
          <w:rFonts w:cstheme="minorHAnsi"/>
        </w:rPr>
        <w:t>. doi:</w:t>
      </w:r>
      <w:r w:rsidRPr="0093746E">
        <w:rPr>
          <w:rStyle w:val="nlmpub-id"/>
          <w:rFonts w:cstheme="minorHAnsi"/>
        </w:rPr>
        <w:t>10.1111/jan.12411</w:t>
      </w:r>
      <w:r w:rsidRPr="0093746E">
        <w:rPr>
          <w:rFonts w:cstheme="minorHAnsi"/>
        </w:rPr>
        <w:t> </w:t>
      </w:r>
    </w:p>
    <w:p w14:paraId="3412E773" w14:textId="1556A4C8" w:rsidR="00BB3AAE" w:rsidRPr="0093746E" w:rsidRDefault="00BB3AAE" w:rsidP="003903F1">
      <w:pPr>
        <w:pStyle w:val="NoSpacing"/>
        <w:ind w:left="720" w:hanging="720"/>
        <w:rPr>
          <w:rFonts w:cstheme="minorHAnsi"/>
        </w:rPr>
      </w:pPr>
      <w:proofErr w:type="spellStart"/>
      <w:r w:rsidRPr="0093746E">
        <w:rPr>
          <w:rFonts w:cstheme="minorHAnsi"/>
        </w:rPr>
        <w:t>Marwit</w:t>
      </w:r>
      <w:proofErr w:type="spellEnd"/>
      <w:r w:rsidRPr="0093746E">
        <w:rPr>
          <w:rFonts w:cstheme="minorHAnsi"/>
        </w:rPr>
        <w:t>, S. J., Meuser, T. M. (</w:t>
      </w:r>
      <w:r w:rsidRPr="0093746E">
        <w:rPr>
          <w:rStyle w:val="nlmyear"/>
          <w:rFonts w:cstheme="minorHAnsi"/>
        </w:rPr>
        <w:t>2002</w:t>
      </w:r>
      <w:r w:rsidRPr="0093746E">
        <w:rPr>
          <w:rFonts w:cstheme="minorHAnsi"/>
        </w:rPr>
        <w:t>). </w:t>
      </w:r>
      <w:r w:rsidRPr="0093746E">
        <w:rPr>
          <w:rStyle w:val="nlmarticle-title"/>
          <w:rFonts w:cstheme="minorHAnsi"/>
        </w:rPr>
        <w:t>Development and initial validation of an inventory to assess grief in caregivers of persons with Alzheimer’s disease</w:t>
      </w:r>
      <w:r w:rsidRPr="0093746E">
        <w:rPr>
          <w:rFonts w:cstheme="minorHAnsi"/>
        </w:rPr>
        <w:t>. The Gerontologist, 42, </w:t>
      </w:r>
      <w:r w:rsidRPr="0093746E">
        <w:rPr>
          <w:rStyle w:val="nlmfpage"/>
          <w:rFonts w:cstheme="minorHAnsi"/>
        </w:rPr>
        <w:t>751</w:t>
      </w:r>
      <w:r w:rsidRPr="0093746E">
        <w:rPr>
          <w:rFonts w:cstheme="minorHAnsi"/>
        </w:rPr>
        <w:t>-</w:t>
      </w:r>
      <w:r w:rsidRPr="0093746E">
        <w:rPr>
          <w:rStyle w:val="nlmlpage"/>
          <w:rFonts w:cstheme="minorHAnsi"/>
        </w:rPr>
        <w:t>765</w:t>
      </w:r>
      <w:r w:rsidRPr="0093746E">
        <w:rPr>
          <w:rFonts w:cstheme="minorHAnsi"/>
        </w:rPr>
        <w:t>. </w:t>
      </w:r>
    </w:p>
    <w:p w14:paraId="687B8C56" w14:textId="6385A667" w:rsidR="00BB3AAE" w:rsidRPr="0093746E" w:rsidRDefault="00BB3AAE" w:rsidP="003903F1">
      <w:pPr>
        <w:pStyle w:val="NoSpacing"/>
        <w:ind w:left="720" w:hanging="720"/>
        <w:rPr>
          <w:rFonts w:cstheme="minorHAnsi"/>
        </w:rPr>
      </w:pPr>
      <w:proofErr w:type="spellStart"/>
      <w:r w:rsidRPr="0093746E">
        <w:rPr>
          <w:rFonts w:cstheme="minorHAnsi"/>
        </w:rPr>
        <w:t>Marwit</w:t>
      </w:r>
      <w:proofErr w:type="spellEnd"/>
      <w:r w:rsidRPr="0093746E">
        <w:rPr>
          <w:rFonts w:cstheme="minorHAnsi"/>
        </w:rPr>
        <w:t>, S. J., Meuser, T. M. (</w:t>
      </w:r>
      <w:r w:rsidRPr="0093746E">
        <w:rPr>
          <w:rStyle w:val="nlmyear"/>
          <w:rFonts w:cstheme="minorHAnsi"/>
        </w:rPr>
        <w:t>2005</w:t>
      </w:r>
      <w:r w:rsidRPr="0093746E">
        <w:rPr>
          <w:rFonts w:cstheme="minorHAnsi"/>
        </w:rPr>
        <w:t>). </w:t>
      </w:r>
      <w:r w:rsidRPr="0093746E">
        <w:rPr>
          <w:rStyle w:val="nlmarticle-title"/>
          <w:rFonts w:cstheme="minorHAnsi"/>
        </w:rPr>
        <w:t>Development of a short form inventory to assess grief in caregivers of dementia patients</w:t>
      </w:r>
      <w:r w:rsidRPr="0093746E">
        <w:rPr>
          <w:rFonts w:cstheme="minorHAnsi"/>
        </w:rPr>
        <w:t>. Death Studies, 29, </w:t>
      </w:r>
      <w:r w:rsidRPr="0093746E">
        <w:rPr>
          <w:rStyle w:val="nlmfpage"/>
          <w:rFonts w:cstheme="minorHAnsi"/>
        </w:rPr>
        <w:t>191</w:t>
      </w:r>
      <w:r w:rsidRPr="0093746E">
        <w:rPr>
          <w:rFonts w:cstheme="minorHAnsi"/>
        </w:rPr>
        <w:t>-</w:t>
      </w:r>
      <w:r w:rsidRPr="0093746E">
        <w:rPr>
          <w:rStyle w:val="nlmlpage"/>
          <w:rFonts w:cstheme="minorHAnsi"/>
        </w:rPr>
        <w:t>205</w:t>
      </w:r>
      <w:r w:rsidRPr="0093746E">
        <w:rPr>
          <w:rFonts w:cstheme="minorHAnsi"/>
        </w:rPr>
        <w:t>. doi:</w:t>
      </w:r>
      <w:r w:rsidRPr="0093746E">
        <w:rPr>
          <w:rStyle w:val="nlmpub-id"/>
          <w:rFonts w:cstheme="minorHAnsi"/>
        </w:rPr>
        <w:t>10.1080/07481180590916335</w:t>
      </w:r>
      <w:r w:rsidRPr="0093746E">
        <w:rPr>
          <w:rFonts w:cstheme="minorHAnsi"/>
        </w:rPr>
        <w:t> </w:t>
      </w:r>
    </w:p>
    <w:p w14:paraId="571F7979" w14:textId="5093D1F1" w:rsidR="00BB3AAE" w:rsidRPr="0093746E" w:rsidRDefault="00BB3AAE" w:rsidP="003903F1">
      <w:pPr>
        <w:pStyle w:val="NoSpacing"/>
        <w:ind w:left="720" w:hanging="720"/>
        <w:rPr>
          <w:rFonts w:cstheme="minorHAnsi"/>
        </w:rPr>
      </w:pPr>
      <w:r w:rsidRPr="0093746E">
        <w:rPr>
          <w:rFonts w:cstheme="minorHAnsi"/>
        </w:rPr>
        <w:t xml:space="preserve">Meuser, T., </w:t>
      </w:r>
      <w:proofErr w:type="spellStart"/>
      <w:r w:rsidRPr="0093746E">
        <w:rPr>
          <w:rFonts w:cstheme="minorHAnsi"/>
        </w:rPr>
        <w:t>Marwit</w:t>
      </w:r>
      <w:proofErr w:type="spellEnd"/>
      <w:r w:rsidRPr="0093746E">
        <w:rPr>
          <w:rFonts w:cstheme="minorHAnsi"/>
        </w:rPr>
        <w:t>, S., Sanders, S. (</w:t>
      </w:r>
      <w:r w:rsidRPr="0093746E">
        <w:rPr>
          <w:rStyle w:val="nlmyear"/>
          <w:rFonts w:cstheme="minorHAnsi"/>
        </w:rPr>
        <w:t>2004</w:t>
      </w:r>
      <w:r w:rsidRPr="0093746E">
        <w:rPr>
          <w:rFonts w:cstheme="minorHAnsi"/>
        </w:rPr>
        <w:t>). </w:t>
      </w:r>
      <w:r w:rsidRPr="0093746E">
        <w:rPr>
          <w:rStyle w:val="nlmarticle-title"/>
          <w:rFonts w:cstheme="minorHAnsi"/>
        </w:rPr>
        <w:t>Assessing grief in family caregivers</w:t>
      </w:r>
      <w:r w:rsidRPr="0093746E">
        <w:rPr>
          <w:rFonts w:cstheme="minorHAnsi"/>
        </w:rPr>
        <w:t>. In Doka, K. J. (Ed.), Living with Grief: Alzheimer’s disease (pp. </w:t>
      </w:r>
      <w:r w:rsidRPr="0093746E">
        <w:rPr>
          <w:rStyle w:val="nlmfpage"/>
          <w:rFonts w:cstheme="minorHAnsi"/>
        </w:rPr>
        <w:t>169</w:t>
      </w:r>
      <w:r w:rsidRPr="0093746E">
        <w:rPr>
          <w:rFonts w:cstheme="minorHAnsi"/>
        </w:rPr>
        <w:t>-</w:t>
      </w:r>
      <w:r w:rsidRPr="0093746E">
        <w:rPr>
          <w:rStyle w:val="nlmlpage"/>
          <w:rFonts w:cstheme="minorHAnsi"/>
        </w:rPr>
        <w:t>198</w:t>
      </w:r>
      <w:r w:rsidRPr="0093746E">
        <w:rPr>
          <w:rFonts w:cstheme="minorHAnsi"/>
        </w:rPr>
        <w:t>). </w:t>
      </w:r>
      <w:r w:rsidRPr="0093746E">
        <w:rPr>
          <w:rStyle w:val="nlmpublisher-loc"/>
          <w:rFonts w:cstheme="minorHAnsi"/>
        </w:rPr>
        <w:t>Washington DC</w:t>
      </w:r>
      <w:r w:rsidRPr="0093746E">
        <w:rPr>
          <w:rFonts w:cstheme="minorHAnsi"/>
        </w:rPr>
        <w:t>: </w:t>
      </w:r>
      <w:r w:rsidRPr="0093746E">
        <w:rPr>
          <w:rStyle w:val="nlmpublisher-name"/>
          <w:rFonts w:cstheme="minorHAnsi"/>
        </w:rPr>
        <w:t>Hospice Foundation of America</w:t>
      </w:r>
      <w:r w:rsidRPr="0093746E">
        <w:rPr>
          <w:rFonts w:cstheme="minorHAnsi"/>
        </w:rPr>
        <w:t>. doi:</w:t>
      </w:r>
      <w:r w:rsidRPr="0093746E">
        <w:rPr>
          <w:rStyle w:val="nlmpub-id"/>
          <w:rFonts w:cstheme="minorHAnsi"/>
        </w:rPr>
        <w:t>10.1177/533317509333902.</w:t>
      </w:r>
      <w:r w:rsidRPr="0093746E">
        <w:rPr>
          <w:rFonts w:cstheme="minorHAnsi"/>
        </w:rPr>
        <w:t> </w:t>
      </w:r>
    </w:p>
    <w:p w14:paraId="1E8077A9" w14:textId="15479DDD" w:rsidR="00BB3AAE" w:rsidRPr="0093746E" w:rsidRDefault="00BB3AAE" w:rsidP="003903F1">
      <w:pPr>
        <w:pStyle w:val="NoSpacing"/>
        <w:ind w:left="720" w:hanging="720"/>
        <w:rPr>
          <w:rFonts w:cstheme="minorHAnsi"/>
        </w:rPr>
      </w:pPr>
      <w:proofErr w:type="spellStart"/>
      <w:r w:rsidRPr="0093746E">
        <w:rPr>
          <w:rFonts w:cstheme="minorHAnsi"/>
        </w:rPr>
        <w:t>Millenaar</w:t>
      </w:r>
      <w:proofErr w:type="spellEnd"/>
      <w:r w:rsidRPr="0093746E">
        <w:rPr>
          <w:rFonts w:cstheme="minorHAnsi"/>
        </w:rPr>
        <w:t xml:space="preserve">, J. K., Bakker, C., Koopmans, R. T. C. M., </w:t>
      </w:r>
      <w:proofErr w:type="spellStart"/>
      <w:r w:rsidRPr="0093746E">
        <w:rPr>
          <w:rFonts w:cstheme="minorHAnsi"/>
        </w:rPr>
        <w:t>Verhey</w:t>
      </w:r>
      <w:proofErr w:type="spellEnd"/>
      <w:r w:rsidRPr="0093746E">
        <w:rPr>
          <w:rFonts w:cstheme="minorHAnsi"/>
        </w:rPr>
        <w:t xml:space="preserve">, F. R. J., Kurz, A., de </w:t>
      </w:r>
      <w:proofErr w:type="spellStart"/>
      <w:r w:rsidRPr="0093746E">
        <w:rPr>
          <w:rFonts w:cstheme="minorHAnsi"/>
        </w:rPr>
        <w:t>Vugt</w:t>
      </w:r>
      <w:proofErr w:type="spellEnd"/>
      <w:r w:rsidRPr="0093746E">
        <w:rPr>
          <w:rFonts w:cstheme="minorHAnsi"/>
        </w:rPr>
        <w:t>, M. E. (</w:t>
      </w:r>
      <w:r w:rsidRPr="0093746E">
        <w:rPr>
          <w:rStyle w:val="nlmyear"/>
          <w:rFonts w:cstheme="minorHAnsi"/>
        </w:rPr>
        <w:t>2016</w:t>
      </w:r>
      <w:r w:rsidRPr="0093746E">
        <w:rPr>
          <w:rFonts w:cstheme="minorHAnsi"/>
        </w:rPr>
        <w:t>). </w:t>
      </w:r>
      <w:r w:rsidRPr="0093746E">
        <w:rPr>
          <w:rStyle w:val="nlmarticle-title"/>
          <w:rFonts w:cstheme="minorHAnsi"/>
        </w:rPr>
        <w:t>The care needs and experiences with the use of services of people with young- onset dementia and their caregivers: A systematic review</w:t>
      </w:r>
      <w:r w:rsidRPr="0093746E">
        <w:rPr>
          <w:rFonts w:cstheme="minorHAnsi"/>
        </w:rPr>
        <w:t>. International Journal of Geriatric Psychiatry, 31, </w:t>
      </w:r>
      <w:r w:rsidRPr="0093746E">
        <w:rPr>
          <w:rStyle w:val="nlmfpage"/>
          <w:rFonts w:cstheme="minorHAnsi"/>
        </w:rPr>
        <w:t>1261</w:t>
      </w:r>
      <w:r w:rsidRPr="0093746E">
        <w:rPr>
          <w:rFonts w:cstheme="minorHAnsi"/>
        </w:rPr>
        <w:t>-</w:t>
      </w:r>
      <w:r w:rsidRPr="0093746E">
        <w:rPr>
          <w:rStyle w:val="nlmlpage"/>
          <w:rFonts w:cstheme="minorHAnsi"/>
        </w:rPr>
        <w:t>1276</w:t>
      </w:r>
      <w:r w:rsidRPr="0093746E">
        <w:rPr>
          <w:rFonts w:cstheme="minorHAnsi"/>
        </w:rPr>
        <w:t>. doi:</w:t>
      </w:r>
      <w:r w:rsidRPr="0093746E">
        <w:rPr>
          <w:rStyle w:val="nlmpub-id"/>
          <w:rFonts w:cstheme="minorHAnsi"/>
        </w:rPr>
        <w:t>10.1002/gps.4502</w:t>
      </w:r>
      <w:r w:rsidRPr="0093746E">
        <w:rPr>
          <w:rFonts w:cstheme="minorHAnsi"/>
        </w:rPr>
        <w:t> </w:t>
      </w:r>
    </w:p>
    <w:p w14:paraId="52625E44" w14:textId="0222D80C" w:rsidR="00BB3AAE" w:rsidRPr="0093746E" w:rsidRDefault="00BB3AAE" w:rsidP="003903F1">
      <w:pPr>
        <w:pStyle w:val="NoSpacing"/>
        <w:ind w:left="720" w:hanging="720"/>
        <w:rPr>
          <w:rFonts w:cstheme="minorHAnsi"/>
        </w:rPr>
      </w:pPr>
      <w:proofErr w:type="spellStart"/>
      <w:r w:rsidRPr="0093746E">
        <w:rPr>
          <w:rFonts w:cstheme="minorHAnsi"/>
        </w:rPr>
        <w:t>Paun</w:t>
      </w:r>
      <w:proofErr w:type="spellEnd"/>
      <w:r w:rsidRPr="0093746E">
        <w:rPr>
          <w:rFonts w:cstheme="minorHAnsi"/>
        </w:rPr>
        <w:t xml:space="preserve">, O., </w:t>
      </w:r>
      <w:proofErr w:type="spellStart"/>
      <w:r w:rsidRPr="0093746E">
        <w:rPr>
          <w:rFonts w:cstheme="minorHAnsi"/>
        </w:rPr>
        <w:t>Farran</w:t>
      </w:r>
      <w:proofErr w:type="spellEnd"/>
      <w:r w:rsidRPr="0093746E">
        <w:rPr>
          <w:rFonts w:cstheme="minorHAnsi"/>
        </w:rPr>
        <w:t xml:space="preserve">, C. J., Fogg, L., </w:t>
      </w:r>
      <w:proofErr w:type="spellStart"/>
      <w:r w:rsidRPr="0093746E">
        <w:rPr>
          <w:rFonts w:cstheme="minorHAnsi"/>
        </w:rPr>
        <w:t>Loukissa</w:t>
      </w:r>
      <w:proofErr w:type="spellEnd"/>
      <w:r w:rsidRPr="0093746E">
        <w:rPr>
          <w:rFonts w:cstheme="minorHAnsi"/>
        </w:rPr>
        <w:t xml:space="preserve">, D., Thomas, P. E., </w:t>
      </w:r>
      <w:proofErr w:type="spellStart"/>
      <w:r w:rsidRPr="0093746E">
        <w:rPr>
          <w:rFonts w:cstheme="minorHAnsi"/>
        </w:rPr>
        <w:t>Hoyem</w:t>
      </w:r>
      <w:proofErr w:type="spellEnd"/>
      <w:r w:rsidRPr="0093746E">
        <w:rPr>
          <w:rFonts w:cstheme="minorHAnsi"/>
        </w:rPr>
        <w:t>, R. (</w:t>
      </w:r>
      <w:r w:rsidRPr="0093746E">
        <w:rPr>
          <w:rStyle w:val="nlmyear"/>
          <w:rFonts w:cstheme="minorHAnsi"/>
        </w:rPr>
        <w:t>2015</w:t>
      </w:r>
      <w:r w:rsidRPr="0093746E">
        <w:rPr>
          <w:rFonts w:cstheme="minorHAnsi"/>
        </w:rPr>
        <w:t>). </w:t>
      </w:r>
      <w:r w:rsidRPr="0093746E">
        <w:rPr>
          <w:rStyle w:val="nlmarticle-title"/>
          <w:rFonts w:cstheme="minorHAnsi"/>
        </w:rPr>
        <w:t>A chronic grief intervention for dementia family caregivers in long-term care</w:t>
      </w:r>
      <w:r w:rsidRPr="0093746E">
        <w:rPr>
          <w:rFonts w:cstheme="minorHAnsi"/>
        </w:rPr>
        <w:t>. Western Journal of Nursing Research, 37, </w:t>
      </w:r>
      <w:r w:rsidRPr="0093746E">
        <w:rPr>
          <w:rStyle w:val="nlmfpage"/>
          <w:rFonts w:cstheme="minorHAnsi"/>
        </w:rPr>
        <w:t>6</w:t>
      </w:r>
      <w:r w:rsidRPr="0093746E">
        <w:rPr>
          <w:rFonts w:cstheme="minorHAnsi"/>
        </w:rPr>
        <w:t>-</w:t>
      </w:r>
      <w:r w:rsidRPr="0093746E">
        <w:rPr>
          <w:rStyle w:val="nlmlpage"/>
          <w:rFonts w:cstheme="minorHAnsi"/>
        </w:rPr>
        <w:t>27</w:t>
      </w:r>
      <w:r w:rsidRPr="0093746E">
        <w:rPr>
          <w:rFonts w:cstheme="minorHAnsi"/>
        </w:rPr>
        <w:t>. doi:</w:t>
      </w:r>
      <w:r w:rsidRPr="0093746E">
        <w:rPr>
          <w:rStyle w:val="nlmpub-id"/>
          <w:rFonts w:cstheme="minorHAnsi"/>
        </w:rPr>
        <w:t>10.1177/0193945914521040</w:t>
      </w:r>
      <w:r w:rsidRPr="0093746E">
        <w:rPr>
          <w:rFonts w:cstheme="minorHAnsi"/>
        </w:rPr>
        <w:t> </w:t>
      </w:r>
    </w:p>
    <w:p w14:paraId="4AC78521" w14:textId="235E3298" w:rsidR="00BB3AAE" w:rsidRPr="0093746E" w:rsidRDefault="00BB3AAE" w:rsidP="003903F1">
      <w:pPr>
        <w:pStyle w:val="NoSpacing"/>
        <w:ind w:left="720" w:hanging="720"/>
        <w:rPr>
          <w:rFonts w:cstheme="minorHAnsi"/>
        </w:rPr>
      </w:pPr>
      <w:proofErr w:type="spellStart"/>
      <w:r w:rsidRPr="0093746E">
        <w:rPr>
          <w:rFonts w:cstheme="minorHAnsi"/>
        </w:rPr>
        <w:t>Petriwskyj</w:t>
      </w:r>
      <w:proofErr w:type="spellEnd"/>
      <w:r w:rsidRPr="0093746E">
        <w:rPr>
          <w:rFonts w:cstheme="minorHAnsi"/>
        </w:rPr>
        <w:t xml:space="preserve">, A., Parker, D., </w:t>
      </w:r>
      <w:proofErr w:type="spellStart"/>
      <w:r w:rsidRPr="0093746E">
        <w:rPr>
          <w:rFonts w:cstheme="minorHAnsi"/>
        </w:rPr>
        <w:t>O’Dwyer</w:t>
      </w:r>
      <w:proofErr w:type="spellEnd"/>
      <w:r w:rsidRPr="0093746E">
        <w:rPr>
          <w:rFonts w:cstheme="minorHAnsi"/>
        </w:rPr>
        <w:t xml:space="preserve">, S., Moyle, W., </w:t>
      </w:r>
      <w:proofErr w:type="spellStart"/>
      <w:r w:rsidRPr="0093746E">
        <w:rPr>
          <w:rFonts w:cstheme="minorHAnsi"/>
        </w:rPr>
        <w:t>Nucifora</w:t>
      </w:r>
      <w:proofErr w:type="spellEnd"/>
      <w:r w:rsidRPr="0093746E">
        <w:rPr>
          <w:rFonts w:cstheme="minorHAnsi"/>
        </w:rPr>
        <w:t>, N. (</w:t>
      </w:r>
      <w:r w:rsidRPr="0093746E">
        <w:rPr>
          <w:rStyle w:val="nlmyear"/>
          <w:rFonts w:cstheme="minorHAnsi"/>
        </w:rPr>
        <w:t>2016</w:t>
      </w:r>
      <w:r w:rsidRPr="0093746E">
        <w:rPr>
          <w:rFonts w:cstheme="minorHAnsi"/>
        </w:rPr>
        <w:t>). </w:t>
      </w:r>
      <w:r w:rsidRPr="0093746E">
        <w:rPr>
          <w:rStyle w:val="nlmarticle-title"/>
          <w:rFonts w:cstheme="minorHAnsi"/>
        </w:rPr>
        <w:t>Interventions to build resilience in family caregivers of people living with dementia: A comprehensive systematic review</w:t>
      </w:r>
      <w:r w:rsidRPr="0093746E">
        <w:rPr>
          <w:rFonts w:cstheme="minorHAnsi"/>
        </w:rPr>
        <w:t>. JBI Database of Systematic Reviews and Implementation Reports, 14, </w:t>
      </w:r>
      <w:r w:rsidRPr="0093746E">
        <w:rPr>
          <w:rStyle w:val="nlmfpage"/>
          <w:rFonts w:cstheme="minorHAnsi"/>
        </w:rPr>
        <w:t>238</w:t>
      </w:r>
      <w:r w:rsidRPr="0093746E">
        <w:rPr>
          <w:rFonts w:cstheme="minorHAnsi"/>
        </w:rPr>
        <w:t>-</w:t>
      </w:r>
      <w:r w:rsidRPr="0093746E">
        <w:rPr>
          <w:rStyle w:val="nlmlpage"/>
          <w:rFonts w:cstheme="minorHAnsi"/>
        </w:rPr>
        <w:t>273</w:t>
      </w:r>
      <w:r w:rsidRPr="0093746E">
        <w:rPr>
          <w:rFonts w:cstheme="minorHAnsi"/>
        </w:rPr>
        <w:t>. doi:</w:t>
      </w:r>
      <w:r w:rsidRPr="0093746E">
        <w:rPr>
          <w:rStyle w:val="nlmpub-id"/>
          <w:rFonts w:cstheme="minorHAnsi"/>
        </w:rPr>
        <w:t>10.11124/JBISRIR-2016-002555</w:t>
      </w:r>
      <w:r w:rsidRPr="0093746E">
        <w:rPr>
          <w:rFonts w:cstheme="minorHAnsi"/>
        </w:rPr>
        <w:t> </w:t>
      </w:r>
    </w:p>
    <w:p w14:paraId="027DEDA8" w14:textId="5B02DB72" w:rsidR="00BB3AAE" w:rsidRPr="0093746E" w:rsidRDefault="00BB3AAE" w:rsidP="003903F1">
      <w:pPr>
        <w:pStyle w:val="NoSpacing"/>
        <w:ind w:left="720" w:hanging="720"/>
        <w:rPr>
          <w:rFonts w:cstheme="minorHAnsi"/>
        </w:rPr>
      </w:pPr>
      <w:proofErr w:type="spellStart"/>
      <w:r w:rsidRPr="0093746E">
        <w:rPr>
          <w:rFonts w:cstheme="minorHAnsi"/>
        </w:rPr>
        <w:t>Raykov</w:t>
      </w:r>
      <w:proofErr w:type="spellEnd"/>
      <w:r w:rsidRPr="0093746E">
        <w:rPr>
          <w:rFonts w:cstheme="minorHAnsi"/>
        </w:rPr>
        <w:t>, T. (</w:t>
      </w:r>
      <w:r w:rsidRPr="0093746E">
        <w:rPr>
          <w:rStyle w:val="nlmyear"/>
          <w:rFonts w:cstheme="minorHAnsi"/>
        </w:rPr>
        <w:t>2012</w:t>
      </w:r>
      <w:r w:rsidRPr="0093746E">
        <w:rPr>
          <w:rFonts w:cstheme="minorHAnsi"/>
        </w:rPr>
        <w:t>). </w:t>
      </w:r>
      <w:r w:rsidRPr="0093746E">
        <w:rPr>
          <w:rStyle w:val="nlmarticle-title"/>
          <w:rFonts w:cstheme="minorHAnsi"/>
        </w:rPr>
        <w:t>Scale construction and development using structural equation modeling</w:t>
      </w:r>
      <w:r w:rsidRPr="0093746E">
        <w:rPr>
          <w:rFonts w:cstheme="minorHAnsi"/>
        </w:rPr>
        <w:t>. In Hoyle, R. H. (Ed.). Handbook of structural equation modeling (pp. </w:t>
      </w:r>
      <w:r w:rsidRPr="0093746E">
        <w:rPr>
          <w:rStyle w:val="nlmfpage"/>
          <w:rFonts w:cstheme="minorHAnsi"/>
        </w:rPr>
        <w:t>472</w:t>
      </w:r>
      <w:r w:rsidRPr="0093746E">
        <w:rPr>
          <w:rFonts w:cstheme="minorHAnsi"/>
        </w:rPr>
        <w:t>-</w:t>
      </w:r>
      <w:r w:rsidRPr="0093746E">
        <w:rPr>
          <w:rStyle w:val="nlmlpage"/>
          <w:rFonts w:cstheme="minorHAnsi"/>
        </w:rPr>
        <w:t>494</w:t>
      </w:r>
      <w:r w:rsidRPr="0093746E">
        <w:rPr>
          <w:rFonts w:cstheme="minorHAnsi"/>
        </w:rPr>
        <w:t>). </w:t>
      </w:r>
      <w:r w:rsidRPr="0093746E">
        <w:rPr>
          <w:rStyle w:val="nlmpublisher-loc"/>
          <w:rFonts w:cstheme="minorHAnsi"/>
        </w:rPr>
        <w:t>New York, NY</w:t>
      </w:r>
      <w:r w:rsidRPr="0093746E">
        <w:rPr>
          <w:rFonts w:cstheme="minorHAnsi"/>
        </w:rPr>
        <w:t>: </w:t>
      </w:r>
      <w:r w:rsidRPr="0093746E">
        <w:rPr>
          <w:rStyle w:val="nlmpublisher-name"/>
          <w:rFonts w:cstheme="minorHAnsi"/>
        </w:rPr>
        <w:t>Guilford Press</w:t>
      </w:r>
      <w:r w:rsidRPr="0093746E">
        <w:rPr>
          <w:rFonts w:cstheme="minorHAnsi"/>
        </w:rPr>
        <w:t>. </w:t>
      </w:r>
    </w:p>
    <w:p w14:paraId="1CA7936E" w14:textId="5C3AD6D6" w:rsidR="00BB3AAE" w:rsidRPr="0093746E" w:rsidRDefault="00BB3AAE" w:rsidP="003903F1">
      <w:pPr>
        <w:pStyle w:val="NoSpacing"/>
        <w:ind w:left="720" w:hanging="720"/>
        <w:rPr>
          <w:rFonts w:cstheme="minorHAnsi"/>
        </w:rPr>
      </w:pPr>
      <w:r w:rsidRPr="0093746E">
        <w:rPr>
          <w:rFonts w:cstheme="minorHAnsi"/>
        </w:rPr>
        <w:t xml:space="preserve">R Core </w:t>
      </w:r>
      <w:proofErr w:type="gramStart"/>
      <w:r w:rsidRPr="0093746E">
        <w:rPr>
          <w:rFonts w:cstheme="minorHAnsi"/>
        </w:rPr>
        <w:t>Team .</w:t>
      </w:r>
      <w:proofErr w:type="gramEnd"/>
      <w:r w:rsidRPr="0093746E">
        <w:rPr>
          <w:rFonts w:cstheme="minorHAnsi"/>
        </w:rPr>
        <w:t xml:space="preserve"> (</w:t>
      </w:r>
      <w:r w:rsidRPr="0093746E">
        <w:rPr>
          <w:rStyle w:val="nlmyear"/>
          <w:rFonts w:cstheme="minorHAnsi"/>
        </w:rPr>
        <w:t>2018</w:t>
      </w:r>
      <w:r w:rsidRPr="0093746E">
        <w:rPr>
          <w:rFonts w:cstheme="minorHAnsi"/>
        </w:rPr>
        <w:t>). R: A language and environment for statistical computing. </w:t>
      </w:r>
      <w:r w:rsidRPr="0093746E">
        <w:rPr>
          <w:rStyle w:val="nlmpublisher-loc"/>
          <w:rFonts w:cstheme="minorHAnsi"/>
        </w:rPr>
        <w:t>Vienna, Austria</w:t>
      </w:r>
      <w:r w:rsidRPr="0093746E">
        <w:rPr>
          <w:rFonts w:cstheme="minorHAnsi"/>
        </w:rPr>
        <w:t>: </w:t>
      </w:r>
      <w:r w:rsidRPr="0093746E">
        <w:rPr>
          <w:rStyle w:val="nlmpublisher-name"/>
          <w:rFonts w:cstheme="minorHAnsi"/>
        </w:rPr>
        <w:t>R Foundation for Statistical Computing</w:t>
      </w:r>
      <w:r w:rsidRPr="0093746E">
        <w:rPr>
          <w:rFonts w:cstheme="minorHAnsi"/>
        </w:rPr>
        <w:t>. Available from </w:t>
      </w:r>
      <w:hyperlink r:id="rId84" w:tgtFrame="_blank" w:history="1">
        <w:r w:rsidRPr="00921E4A">
          <w:rPr>
            <w:rStyle w:val="Hyperlink"/>
            <w:rFonts w:cstheme="minorHAnsi"/>
            <w:color w:val="0070C0"/>
          </w:rPr>
          <w:t>https://www.R-project.org/</w:t>
        </w:r>
      </w:hyperlink>
      <w:r w:rsidRPr="0093746E">
        <w:rPr>
          <w:rFonts w:cstheme="minorHAnsi"/>
        </w:rPr>
        <w:t> </w:t>
      </w:r>
    </w:p>
    <w:p w14:paraId="734A8765" w14:textId="60CF8B4E" w:rsidR="00BB3AAE" w:rsidRPr="0093746E" w:rsidRDefault="00BB3AAE" w:rsidP="003903F1">
      <w:pPr>
        <w:pStyle w:val="NoSpacing"/>
        <w:ind w:left="720" w:hanging="720"/>
        <w:rPr>
          <w:rStyle w:val="ref-xlink"/>
          <w:rFonts w:cstheme="minorHAnsi"/>
        </w:rPr>
      </w:pPr>
      <w:r w:rsidRPr="0093746E">
        <w:rPr>
          <w:rFonts w:cstheme="minorHAnsi"/>
        </w:rPr>
        <w:t xml:space="preserve">Romero, M. M., Ott, C. H., </w:t>
      </w:r>
      <w:proofErr w:type="spellStart"/>
      <w:r w:rsidRPr="0093746E">
        <w:rPr>
          <w:rFonts w:cstheme="minorHAnsi"/>
        </w:rPr>
        <w:t>Kelber</w:t>
      </w:r>
      <w:proofErr w:type="spellEnd"/>
      <w:r w:rsidRPr="0093746E">
        <w:rPr>
          <w:rFonts w:cstheme="minorHAnsi"/>
        </w:rPr>
        <w:t>, S. T. (</w:t>
      </w:r>
      <w:r w:rsidRPr="0093746E">
        <w:rPr>
          <w:rStyle w:val="nlmyear"/>
          <w:rFonts w:cstheme="minorHAnsi"/>
        </w:rPr>
        <w:t>2014</w:t>
      </w:r>
      <w:r w:rsidRPr="0093746E">
        <w:rPr>
          <w:rFonts w:cstheme="minorHAnsi"/>
        </w:rPr>
        <w:t>). </w:t>
      </w:r>
      <w:r w:rsidRPr="0093746E">
        <w:rPr>
          <w:rStyle w:val="nlmarticle-title"/>
          <w:rFonts w:cstheme="minorHAnsi"/>
        </w:rPr>
        <w:t>Predictors of grief in bereaved family caregivers of person’s with Alzheimer’s disease: A prospective study</w:t>
      </w:r>
      <w:r w:rsidRPr="0093746E">
        <w:rPr>
          <w:rFonts w:cstheme="minorHAnsi"/>
        </w:rPr>
        <w:t>. Death Studies, 38, </w:t>
      </w:r>
      <w:r w:rsidRPr="0093746E">
        <w:rPr>
          <w:rStyle w:val="nlmfpage"/>
          <w:rFonts w:cstheme="minorHAnsi"/>
        </w:rPr>
        <w:t>395</w:t>
      </w:r>
      <w:r w:rsidRPr="0093746E">
        <w:rPr>
          <w:rFonts w:cstheme="minorHAnsi"/>
        </w:rPr>
        <w:t>-</w:t>
      </w:r>
      <w:r w:rsidRPr="0093746E">
        <w:rPr>
          <w:rStyle w:val="nlmlpage"/>
          <w:rFonts w:cstheme="minorHAnsi"/>
        </w:rPr>
        <w:t>403</w:t>
      </w:r>
      <w:r w:rsidRPr="0093746E">
        <w:rPr>
          <w:rFonts w:cstheme="minorHAnsi"/>
        </w:rPr>
        <w:t>. doi:</w:t>
      </w:r>
      <w:r w:rsidRPr="0093746E">
        <w:rPr>
          <w:rStyle w:val="nlmpub-id"/>
          <w:rFonts w:cstheme="minorHAnsi"/>
        </w:rPr>
        <w:t>10.1080/07481187.2013.809031</w:t>
      </w:r>
      <w:r w:rsidRPr="0093746E">
        <w:rPr>
          <w:rFonts w:cstheme="minorHAnsi"/>
        </w:rPr>
        <w:t> </w:t>
      </w:r>
    </w:p>
    <w:p w14:paraId="51691E20" w14:textId="4714FCB6" w:rsidR="00BB3AAE" w:rsidRPr="0093746E" w:rsidRDefault="00BB3AAE" w:rsidP="003903F1">
      <w:pPr>
        <w:pStyle w:val="NoSpacing"/>
        <w:ind w:left="720" w:hanging="720"/>
        <w:rPr>
          <w:rFonts w:cstheme="minorHAnsi"/>
        </w:rPr>
      </w:pPr>
      <w:r w:rsidRPr="0093746E">
        <w:rPr>
          <w:rFonts w:cstheme="minorHAnsi"/>
        </w:rPr>
        <w:t>Rosenbaum, M. (</w:t>
      </w:r>
      <w:r w:rsidRPr="0093746E">
        <w:rPr>
          <w:rStyle w:val="nlmyear"/>
          <w:rFonts w:cstheme="minorHAnsi"/>
        </w:rPr>
        <w:t>1990</w:t>
      </w:r>
      <w:r w:rsidRPr="0093746E">
        <w:rPr>
          <w:rFonts w:cstheme="minorHAnsi"/>
        </w:rPr>
        <w:t>). Learned resourcefulness on coping skills, self-control, and adaptive behavior. </w:t>
      </w:r>
      <w:r w:rsidRPr="0093746E">
        <w:rPr>
          <w:rStyle w:val="nlmpublisher-loc"/>
          <w:rFonts w:cstheme="minorHAnsi"/>
        </w:rPr>
        <w:t>New York, NY</w:t>
      </w:r>
      <w:r w:rsidRPr="0093746E">
        <w:rPr>
          <w:rFonts w:cstheme="minorHAnsi"/>
        </w:rPr>
        <w:t>: </w:t>
      </w:r>
      <w:r w:rsidRPr="0093746E">
        <w:rPr>
          <w:rStyle w:val="nlmpublisher-name"/>
          <w:rFonts w:cstheme="minorHAnsi"/>
        </w:rPr>
        <w:t>Springer</w:t>
      </w:r>
      <w:r w:rsidRPr="0093746E">
        <w:rPr>
          <w:rFonts w:cstheme="minorHAnsi"/>
        </w:rPr>
        <w:t>. </w:t>
      </w:r>
    </w:p>
    <w:p w14:paraId="2C8CD643" w14:textId="4514AF25" w:rsidR="00BB3AAE" w:rsidRPr="0093746E" w:rsidRDefault="00BB3AAE" w:rsidP="003903F1">
      <w:pPr>
        <w:pStyle w:val="NoSpacing"/>
        <w:ind w:left="720" w:hanging="720"/>
        <w:rPr>
          <w:rFonts w:cstheme="minorHAnsi"/>
        </w:rPr>
      </w:pPr>
      <w:proofErr w:type="spellStart"/>
      <w:r w:rsidRPr="0093746E">
        <w:rPr>
          <w:rFonts w:cstheme="minorHAnsi"/>
        </w:rPr>
        <w:t>Rosseel</w:t>
      </w:r>
      <w:proofErr w:type="spellEnd"/>
      <w:r w:rsidRPr="0093746E">
        <w:rPr>
          <w:rFonts w:cstheme="minorHAnsi"/>
        </w:rPr>
        <w:t>, Y. (</w:t>
      </w:r>
      <w:r w:rsidRPr="0093746E">
        <w:rPr>
          <w:rStyle w:val="nlmyear"/>
          <w:rFonts w:cstheme="minorHAnsi"/>
        </w:rPr>
        <w:t>2012</w:t>
      </w:r>
      <w:r w:rsidRPr="0093746E">
        <w:rPr>
          <w:rFonts w:cstheme="minorHAnsi"/>
        </w:rPr>
        <w:t>). </w:t>
      </w:r>
      <w:proofErr w:type="spellStart"/>
      <w:r w:rsidRPr="0093746E">
        <w:rPr>
          <w:rStyle w:val="nlmarticle-title"/>
          <w:rFonts w:cstheme="minorHAnsi"/>
        </w:rPr>
        <w:t>lavaan</w:t>
      </w:r>
      <w:proofErr w:type="spellEnd"/>
      <w:r w:rsidRPr="0093746E">
        <w:rPr>
          <w:rStyle w:val="nlmarticle-title"/>
          <w:rFonts w:cstheme="minorHAnsi"/>
        </w:rPr>
        <w:t>: An R package for structural equation modeling</w:t>
      </w:r>
      <w:r w:rsidRPr="0093746E">
        <w:rPr>
          <w:rFonts w:cstheme="minorHAnsi"/>
        </w:rPr>
        <w:t>. Journal of Statistical Software, 48(2), </w:t>
      </w:r>
      <w:r w:rsidRPr="0093746E">
        <w:rPr>
          <w:rStyle w:val="nlmfpage"/>
          <w:rFonts w:cstheme="minorHAnsi"/>
        </w:rPr>
        <w:t>1</w:t>
      </w:r>
      <w:r w:rsidRPr="0093746E">
        <w:rPr>
          <w:rFonts w:cstheme="minorHAnsi"/>
        </w:rPr>
        <w:t>-</w:t>
      </w:r>
      <w:r w:rsidRPr="0093746E">
        <w:rPr>
          <w:rStyle w:val="nlmlpage"/>
          <w:rFonts w:cstheme="minorHAnsi"/>
        </w:rPr>
        <w:t>36</w:t>
      </w:r>
      <w:r w:rsidRPr="0093746E">
        <w:rPr>
          <w:rFonts w:cstheme="minorHAnsi"/>
        </w:rPr>
        <w:t>. </w:t>
      </w:r>
    </w:p>
    <w:p w14:paraId="73E60A5E" w14:textId="6494B496" w:rsidR="00BB3AAE" w:rsidRPr="0093746E" w:rsidRDefault="00BB3AAE" w:rsidP="003903F1">
      <w:pPr>
        <w:pStyle w:val="NoSpacing"/>
        <w:ind w:left="720" w:hanging="720"/>
        <w:rPr>
          <w:rStyle w:val="ref-xlink"/>
          <w:rFonts w:cstheme="minorHAnsi"/>
        </w:rPr>
      </w:pPr>
      <w:r w:rsidRPr="0093746E">
        <w:rPr>
          <w:rFonts w:cstheme="minorHAnsi"/>
        </w:rPr>
        <w:t>Rutter, M. (</w:t>
      </w:r>
      <w:r w:rsidRPr="0093746E">
        <w:rPr>
          <w:rStyle w:val="nlmyear"/>
          <w:rFonts w:cstheme="minorHAnsi"/>
        </w:rPr>
        <w:t>1985</w:t>
      </w:r>
      <w:r w:rsidRPr="0093746E">
        <w:rPr>
          <w:rFonts w:cstheme="minorHAnsi"/>
        </w:rPr>
        <w:t>). </w:t>
      </w:r>
      <w:r w:rsidRPr="0093746E">
        <w:rPr>
          <w:rStyle w:val="nlmarticle-title"/>
          <w:rFonts w:cstheme="minorHAnsi"/>
        </w:rPr>
        <w:t>Resilience in the face of adversity: Protective factors and resistance to psychiatric disorder</w:t>
      </w:r>
      <w:r w:rsidRPr="0093746E">
        <w:rPr>
          <w:rFonts w:cstheme="minorHAnsi"/>
        </w:rPr>
        <w:t>. British Journal of Psychiatry, 147, </w:t>
      </w:r>
      <w:r w:rsidRPr="0093746E">
        <w:rPr>
          <w:rStyle w:val="nlmfpage"/>
          <w:rFonts w:cstheme="minorHAnsi"/>
        </w:rPr>
        <w:t>598</w:t>
      </w:r>
      <w:r w:rsidRPr="0093746E">
        <w:rPr>
          <w:rFonts w:cstheme="minorHAnsi"/>
        </w:rPr>
        <w:t>-</w:t>
      </w:r>
      <w:r w:rsidRPr="0093746E">
        <w:rPr>
          <w:rStyle w:val="nlmlpage"/>
          <w:rFonts w:cstheme="minorHAnsi"/>
        </w:rPr>
        <w:t>611</w:t>
      </w:r>
      <w:r w:rsidRPr="0093746E">
        <w:rPr>
          <w:rFonts w:cstheme="minorHAnsi"/>
        </w:rPr>
        <w:t>. doi:</w:t>
      </w:r>
      <w:r w:rsidRPr="0093746E">
        <w:rPr>
          <w:rStyle w:val="nlmpub-id"/>
          <w:rFonts w:cstheme="minorHAnsi"/>
        </w:rPr>
        <w:t>10.1192/bjp.147.6.598</w:t>
      </w:r>
      <w:r w:rsidRPr="0093746E">
        <w:rPr>
          <w:rFonts w:cstheme="minorHAnsi"/>
        </w:rPr>
        <w:t> </w:t>
      </w:r>
    </w:p>
    <w:p w14:paraId="32540443" w14:textId="22943836" w:rsidR="00BB3AAE" w:rsidRPr="0093746E" w:rsidRDefault="00BB3AAE" w:rsidP="003903F1">
      <w:pPr>
        <w:pStyle w:val="NoSpacing"/>
        <w:ind w:left="720" w:hanging="720"/>
        <w:rPr>
          <w:rFonts w:cstheme="minorHAnsi"/>
        </w:rPr>
      </w:pPr>
      <w:proofErr w:type="spellStart"/>
      <w:r w:rsidRPr="0093746E">
        <w:rPr>
          <w:rFonts w:cstheme="minorHAnsi"/>
        </w:rPr>
        <w:t>semTools</w:t>
      </w:r>
      <w:proofErr w:type="spellEnd"/>
      <w:r w:rsidRPr="0093746E">
        <w:rPr>
          <w:rFonts w:cstheme="minorHAnsi"/>
        </w:rPr>
        <w:t xml:space="preserve"> </w:t>
      </w:r>
      <w:proofErr w:type="gramStart"/>
      <w:r w:rsidRPr="0093746E">
        <w:rPr>
          <w:rFonts w:cstheme="minorHAnsi"/>
        </w:rPr>
        <w:t>Contributors .</w:t>
      </w:r>
      <w:proofErr w:type="gramEnd"/>
      <w:r w:rsidRPr="0093746E">
        <w:rPr>
          <w:rFonts w:cstheme="minorHAnsi"/>
        </w:rPr>
        <w:t xml:space="preserve"> (</w:t>
      </w:r>
      <w:r w:rsidRPr="0093746E">
        <w:rPr>
          <w:rStyle w:val="nlmyear"/>
          <w:rFonts w:cstheme="minorHAnsi"/>
        </w:rPr>
        <w:t>2018</w:t>
      </w:r>
      <w:r w:rsidRPr="0093746E">
        <w:rPr>
          <w:rFonts w:cstheme="minorHAnsi"/>
        </w:rPr>
        <w:t>). </w:t>
      </w:r>
      <w:proofErr w:type="spellStart"/>
      <w:r w:rsidRPr="0093746E">
        <w:rPr>
          <w:rStyle w:val="nlmarticle-title"/>
          <w:rFonts w:cstheme="minorHAnsi"/>
        </w:rPr>
        <w:t>semTools</w:t>
      </w:r>
      <w:proofErr w:type="spellEnd"/>
      <w:r w:rsidRPr="0093746E">
        <w:rPr>
          <w:rStyle w:val="nlmarticle-title"/>
          <w:rFonts w:cstheme="minorHAnsi"/>
        </w:rPr>
        <w:t>: Useful tools for structural equation modeling (R Package Version 0.4-15.918)</w:t>
      </w:r>
      <w:r w:rsidRPr="0093746E">
        <w:rPr>
          <w:rFonts w:cstheme="minorHAnsi"/>
        </w:rPr>
        <w:t>. Retrieved from </w:t>
      </w:r>
      <w:hyperlink r:id="rId85" w:tgtFrame="_blank" w:history="1">
        <w:r w:rsidRPr="00921E4A">
          <w:rPr>
            <w:rStyle w:val="Hyperlink"/>
            <w:rFonts w:cstheme="minorHAnsi"/>
            <w:color w:val="0070C0"/>
          </w:rPr>
          <w:t>https://CRAN.R-project.org/package=semTools</w:t>
        </w:r>
      </w:hyperlink>
      <w:r w:rsidRPr="0093746E">
        <w:rPr>
          <w:rFonts w:cstheme="minorHAnsi"/>
        </w:rPr>
        <w:t> </w:t>
      </w:r>
    </w:p>
    <w:p w14:paraId="1989C0D0" w14:textId="7745A800" w:rsidR="00BB3AAE" w:rsidRPr="0093746E" w:rsidRDefault="00BB3AAE" w:rsidP="003903F1">
      <w:pPr>
        <w:pStyle w:val="NoSpacing"/>
        <w:ind w:left="720" w:hanging="720"/>
        <w:rPr>
          <w:rFonts w:cstheme="minorHAnsi"/>
        </w:rPr>
      </w:pPr>
      <w:proofErr w:type="spellStart"/>
      <w:r w:rsidRPr="0093746E">
        <w:rPr>
          <w:rFonts w:cstheme="minorHAnsi"/>
        </w:rPr>
        <w:lastRenderedPageBreak/>
        <w:t>Svanberg</w:t>
      </w:r>
      <w:proofErr w:type="spellEnd"/>
      <w:r w:rsidRPr="0093746E">
        <w:rPr>
          <w:rFonts w:cstheme="minorHAnsi"/>
        </w:rPr>
        <w:t>, E., Spector, A., Stott, J. (</w:t>
      </w:r>
      <w:r w:rsidRPr="0093746E">
        <w:rPr>
          <w:rStyle w:val="nlmyear"/>
          <w:rFonts w:cstheme="minorHAnsi"/>
        </w:rPr>
        <w:t>2011</w:t>
      </w:r>
      <w:r w:rsidRPr="0093746E">
        <w:rPr>
          <w:rFonts w:cstheme="minorHAnsi"/>
        </w:rPr>
        <w:t>). </w:t>
      </w:r>
      <w:r w:rsidRPr="0093746E">
        <w:rPr>
          <w:rStyle w:val="nlmarticle-title"/>
          <w:rFonts w:cstheme="minorHAnsi"/>
        </w:rPr>
        <w:t>The impact of young onset dementia on the family: A literature review</w:t>
      </w:r>
      <w:r w:rsidRPr="0093746E">
        <w:rPr>
          <w:rFonts w:cstheme="minorHAnsi"/>
        </w:rPr>
        <w:t>. International Psychogeriatrics, 23, </w:t>
      </w:r>
      <w:r w:rsidRPr="0093746E">
        <w:rPr>
          <w:rStyle w:val="nlmfpage"/>
          <w:rFonts w:cstheme="minorHAnsi"/>
        </w:rPr>
        <w:t>356</w:t>
      </w:r>
      <w:r w:rsidRPr="0093746E">
        <w:rPr>
          <w:rFonts w:cstheme="minorHAnsi"/>
        </w:rPr>
        <w:t>-</w:t>
      </w:r>
      <w:r w:rsidRPr="0093746E">
        <w:rPr>
          <w:rStyle w:val="nlmlpage"/>
          <w:rFonts w:cstheme="minorHAnsi"/>
        </w:rPr>
        <w:t>371</w:t>
      </w:r>
      <w:r w:rsidRPr="0093746E">
        <w:rPr>
          <w:rFonts w:cstheme="minorHAnsi"/>
        </w:rPr>
        <w:t>. doi:</w:t>
      </w:r>
      <w:r w:rsidRPr="0093746E">
        <w:rPr>
          <w:rStyle w:val="nlmpub-id"/>
          <w:rFonts w:cstheme="minorHAnsi"/>
        </w:rPr>
        <w:t>10.1017/S1041610210001353</w:t>
      </w:r>
      <w:r w:rsidRPr="0093746E">
        <w:rPr>
          <w:rFonts w:cstheme="minorHAnsi"/>
        </w:rPr>
        <w:t> </w:t>
      </w:r>
    </w:p>
    <w:p w14:paraId="6BAAB8B6" w14:textId="0CFD547A" w:rsidR="00BB3AAE" w:rsidRPr="0093746E" w:rsidRDefault="00BB3AAE" w:rsidP="003903F1">
      <w:pPr>
        <w:pStyle w:val="NoSpacing"/>
        <w:ind w:left="720" w:hanging="720"/>
        <w:rPr>
          <w:rFonts w:cstheme="minorHAnsi"/>
        </w:rPr>
      </w:pPr>
      <w:r w:rsidRPr="0093746E">
        <w:rPr>
          <w:rFonts w:cstheme="minorHAnsi"/>
        </w:rPr>
        <w:t xml:space="preserve">van Vliet, D., de </w:t>
      </w:r>
      <w:proofErr w:type="spellStart"/>
      <w:r w:rsidRPr="0093746E">
        <w:rPr>
          <w:rFonts w:cstheme="minorHAnsi"/>
        </w:rPr>
        <w:t>Vugt</w:t>
      </w:r>
      <w:proofErr w:type="spellEnd"/>
      <w:r w:rsidRPr="0093746E">
        <w:rPr>
          <w:rFonts w:cstheme="minorHAnsi"/>
        </w:rPr>
        <w:t xml:space="preserve">, M., Bakker, C., Koopmans, R., </w:t>
      </w:r>
      <w:proofErr w:type="spellStart"/>
      <w:r w:rsidRPr="0093746E">
        <w:rPr>
          <w:rFonts w:cstheme="minorHAnsi"/>
        </w:rPr>
        <w:t>Verhey</w:t>
      </w:r>
      <w:proofErr w:type="spellEnd"/>
      <w:r w:rsidRPr="0093746E">
        <w:rPr>
          <w:rFonts w:cstheme="minorHAnsi"/>
        </w:rPr>
        <w:t>, F. (</w:t>
      </w:r>
      <w:r w:rsidRPr="0093746E">
        <w:rPr>
          <w:rStyle w:val="nlmyear"/>
          <w:rFonts w:cstheme="minorHAnsi"/>
        </w:rPr>
        <w:t>2010</w:t>
      </w:r>
      <w:r w:rsidRPr="0093746E">
        <w:rPr>
          <w:rFonts w:cstheme="minorHAnsi"/>
        </w:rPr>
        <w:t>). </w:t>
      </w:r>
      <w:r w:rsidRPr="0093746E">
        <w:rPr>
          <w:rStyle w:val="nlmarticle-title"/>
          <w:rFonts w:cstheme="minorHAnsi"/>
        </w:rPr>
        <w:t>Impact of early onset dementia on caregivers: A review</w:t>
      </w:r>
      <w:r w:rsidRPr="0093746E">
        <w:rPr>
          <w:rFonts w:cstheme="minorHAnsi"/>
        </w:rPr>
        <w:t>. International Journal of Geriatric Psychiatry, 25, </w:t>
      </w:r>
      <w:r w:rsidRPr="0093746E">
        <w:rPr>
          <w:rStyle w:val="nlmfpage"/>
          <w:rFonts w:cstheme="minorHAnsi"/>
        </w:rPr>
        <w:t>1091</w:t>
      </w:r>
      <w:r w:rsidRPr="0093746E">
        <w:rPr>
          <w:rFonts w:cstheme="minorHAnsi"/>
        </w:rPr>
        <w:t>-</w:t>
      </w:r>
      <w:r w:rsidRPr="0093746E">
        <w:rPr>
          <w:rStyle w:val="nlmlpage"/>
          <w:rFonts w:cstheme="minorHAnsi"/>
        </w:rPr>
        <w:t>1100</w:t>
      </w:r>
      <w:r w:rsidRPr="0093746E">
        <w:rPr>
          <w:rFonts w:cstheme="minorHAnsi"/>
        </w:rPr>
        <w:t>. doi:</w:t>
      </w:r>
      <w:r w:rsidRPr="0093746E">
        <w:rPr>
          <w:rStyle w:val="nlmpub-id"/>
          <w:rFonts w:cstheme="minorHAnsi"/>
        </w:rPr>
        <w:t>10.1002/gps.2439</w:t>
      </w:r>
      <w:r w:rsidRPr="0093746E">
        <w:rPr>
          <w:rFonts w:cstheme="minorHAnsi"/>
        </w:rPr>
        <w:t> </w:t>
      </w:r>
    </w:p>
    <w:p w14:paraId="1B67EA20" w14:textId="3742005E" w:rsidR="00BB3AAE" w:rsidRPr="0093746E" w:rsidRDefault="00BB3AAE" w:rsidP="003903F1">
      <w:pPr>
        <w:pStyle w:val="NoSpacing"/>
        <w:ind w:left="720" w:hanging="720"/>
        <w:rPr>
          <w:rFonts w:cstheme="minorHAnsi"/>
        </w:rPr>
      </w:pPr>
      <w:proofErr w:type="spellStart"/>
      <w:r w:rsidRPr="0093746E">
        <w:rPr>
          <w:rFonts w:cstheme="minorHAnsi"/>
        </w:rPr>
        <w:t>Warchol-Biedermann</w:t>
      </w:r>
      <w:proofErr w:type="spellEnd"/>
      <w:r w:rsidRPr="0093746E">
        <w:rPr>
          <w:rFonts w:cstheme="minorHAnsi"/>
        </w:rPr>
        <w:t xml:space="preserve">, K., </w:t>
      </w:r>
      <w:proofErr w:type="spellStart"/>
      <w:r w:rsidRPr="0093746E">
        <w:rPr>
          <w:rFonts w:cstheme="minorHAnsi"/>
        </w:rPr>
        <w:t>Mojs</w:t>
      </w:r>
      <w:proofErr w:type="spellEnd"/>
      <w:r w:rsidRPr="0093746E">
        <w:rPr>
          <w:rFonts w:cstheme="minorHAnsi"/>
        </w:rPr>
        <w:t xml:space="preserve">, E., </w:t>
      </w:r>
      <w:proofErr w:type="spellStart"/>
      <w:r w:rsidRPr="0093746E">
        <w:rPr>
          <w:rFonts w:cstheme="minorHAnsi"/>
        </w:rPr>
        <w:t>Gregersen</w:t>
      </w:r>
      <w:proofErr w:type="spellEnd"/>
      <w:r w:rsidRPr="0093746E">
        <w:rPr>
          <w:rFonts w:cstheme="minorHAnsi"/>
        </w:rPr>
        <w:t xml:space="preserve">, R., </w:t>
      </w:r>
      <w:proofErr w:type="spellStart"/>
      <w:r w:rsidRPr="0093746E">
        <w:rPr>
          <w:rFonts w:cstheme="minorHAnsi"/>
        </w:rPr>
        <w:t>Maibom</w:t>
      </w:r>
      <w:proofErr w:type="spellEnd"/>
      <w:r w:rsidRPr="0093746E">
        <w:rPr>
          <w:rFonts w:cstheme="minorHAnsi"/>
        </w:rPr>
        <w:t>, K., Millan-</w:t>
      </w:r>
      <w:proofErr w:type="spellStart"/>
      <w:r w:rsidRPr="0093746E">
        <w:rPr>
          <w:rFonts w:cstheme="minorHAnsi"/>
        </w:rPr>
        <w:t>Calenti</w:t>
      </w:r>
      <w:proofErr w:type="spellEnd"/>
      <w:r w:rsidRPr="0093746E">
        <w:rPr>
          <w:rFonts w:cstheme="minorHAnsi"/>
        </w:rPr>
        <w:t xml:space="preserve">, J. C., </w:t>
      </w:r>
      <w:proofErr w:type="spellStart"/>
      <w:r w:rsidRPr="0093746E">
        <w:rPr>
          <w:rFonts w:cstheme="minorHAnsi"/>
        </w:rPr>
        <w:t>Madeda</w:t>
      </w:r>
      <w:proofErr w:type="spellEnd"/>
      <w:r w:rsidRPr="0093746E">
        <w:rPr>
          <w:rFonts w:cstheme="minorHAnsi"/>
        </w:rPr>
        <w:t>, A. (</w:t>
      </w:r>
      <w:r w:rsidRPr="0093746E">
        <w:rPr>
          <w:rStyle w:val="nlmyear"/>
          <w:rFonts w:cstheme="minorHAnsi"/>
        </w:rPr>
        <w:t>2014</w:t>
      </w:r>
      <w:r w:rsidRPr="0093746E">
        <w:rPr>
          <w:rFonts w:cstheme="minorHAnsi"/>
        </w:rPr>
        <w:t>). </w:t>
      </w:r>
      <w:r w:rsidRPr="0093746E">
        <w:rPr>
          <w:rStyle w:val="nlmarticle-title"/>
          <w:rFonts w:cstheme="minorHAnsi"/>
        </w:rPr>
        <w:t>What causes grief in dementia caregivers?</w:t>
      </w:r>
      <w:r w:rsidRPr="0093746E">
        <w:rPr>
          <w:rFonts w:cstheme="minorHAnsi"/>
        </w:rPr>
        <w:t> Archives of Gerontology and Geriatrics, 59, </w:t>
      </w:r>
      <w:r w:rsidRPr="0093746E">
        <w:rPr>
          <w:rStyle w:val="nlmfpage"/>
          <w:rFonts w:cstheme="minorHAnsi"/>
        </w:rPr>
        <w:t>462</w:t>
      </w:r>
      <w:r w:rsidRPr="0093746E">
        <w:rPr>
          <w:rFonts w:cstheme="minorHAnsi"/>
        </w:rPr>
        <w:t>-</w:t>
      </w:r>
      <w:r w:rsidRPr="0093746E">
        <w:rPr>
          <w:rStyle w:val="nlmlpage"/>
          <w:rFonts w:cstheme="minorHAnsi"/>
        </w:rPr>
        <w:t>467</w:t>
      </w:r>
      <w:r w:rsidRPr="0093746E">
        <w:rPr>
          <w:rFonts w:cstheme="minorHAnsi"/>
        </w:rPr>
        <w:t xml:space="preserve">. </w:t>
      </w:r>
      <w:proofErr w:type="gramStart"/>
      <w:r w:rsidRPr="0093746E">
        <w:rPr>
          <w:rFonts w:cstheme="minorHAnsi"/>
        </w:rPr>
        <w:t>doi:</w:t>
      </w:r>
      <w:r w:rsidRPr="0093746E">
        <w:rPr>
          <w:rStyle w:val="nlmpub-id"/>
          <w:rFonts w:cstheme="minorHAnsi"/>
        </w:rPr>
        <w:t>10.1016/j.achger</w:t>
      </w:r>
      <w:proofErr w:type="gramEnd"/>
      <w:r w:rsidRPr="0093746E">
        <w:rPr>
          <w:rStyle w:val="nlmpub-id"/>
          <w:rFonts w:cstheme="minorHAnsi"/>
        </w:rPr>
        <w:t>.2014.05.013</w:t>
      </w:r>
      <w:r w:rsidRPr="0093746E">
        <w:rPr>
          <w:rFonts w:cstheme="minorHAnsi"/>
        </w:rPr>
        <w:t> </w:t>
      </w:r>
    </w:p>
    <w:p w14:paraId="7AE271C5" w14:textId="7A557CD0" w:rsidR="00BB3AAE" w:rsidRPr="0093746E" w:rsidRDefault="00BB3AAE" w:rsidP="003903F1">
      <w:pPr>
        <w:pStyle w:val="NoSpacing"/>
        <w:ind w:left="720" w:hanging="720"/>
        <w:rPr>
          <w:rFonts w:cstheme="minorHAnsi"/>
        </w:rPr>
      </w:pPr>
      <w:proofErr w:type="spellStart"/>
      <w:r w:rsidRPr="0093746E">
        <w:rPr>
          <w:rFonts w:cstheme="minorHAnsi"/>
        </w:rPr>
        <w:t>Wawrziczny</w:t>
      </w:r>
      <w:proofErr w:type="spellEnd"/>
      <w:r w:rsidRPr="0093746E">
        <w:rPr>
          <w:rFonts w:cstheme="minorHAnsi"/>
        </w:rPr>
        <w:t xml:space="preserve">, E., </w:t>
      </w:r>
      <w:proofErr w:type="spellStart"/>
      <w:r w:rsidRPr="0093746E">
        <w:rPr>
          <w:rFonts w:cstheme="minorHAnsi"/>
        </w:rPr>
        <w:t>Pasquier</w:t>
      </w:r>
      <w:proofErr w:type="spellEnd"/>
      <w:r w:rsidRPr="0093746E">
        <w:rPr>
          <w:rFonts w:cstheme="minorHAnsi"/>
        </w:rPr>
        <w:t xml:space="preserve">, F., Ducharme, F., </w:t>
      </w:r>
      <w:proofErr w:type="spellStart"/>
      <w:r w:rsidRPr="0093746E">
        <w:rPr>
          <w:rFonts w:cstheme="minorHAnsi"/>
        </w:rPr>
        <w:t>Kergoat</w:t>
      </w:r>
      <w:proofErr w:type="spellEnd"/>
      <w:r w:rsidRPr="0093746E">
        <w:rPr>
          <w:rFonts w:cstheme="minorHAnsi"/>
        </w:rPr>
        <w:t>, M., Antoine, P. (</w:t>
      </w:r>
      <w:r w:rsidRPr="0093746E">
        <w:rPr>
          <w:rStyle w:val="nlmyear"/>
          <w:rFonts w:cstheme="minorHAnsi"/>
        </w:rPr>
        <w:t>2017</w:t>
      </w:r>
      <w:r w:rsidRPr="0093746E">
        <w:rPr>
          <w:rFonts w:cstheme="minorHAnsi"/>
        </w:rPr>
        <w:t>). </w:t>
      </w:r>
      <w:r w:rsidRPr="0093746E">
        <w:rPr>
          <w:rStyle w:val="nlmarticle-title"/>
          <w:rFonts w:cstheme="minorHAnsi"/>
        </w:rPr>
        <w:t>Do spouse caregivers of young and older persons with dementia have different needs? A comparative study</w:t>
      </w:r>
      <w:r w:rsidRPr="0093746E">
        <w:rPr>
          <w:rFonts w:cstheme="minorHAnsi"/>
        </w:rPr>
        <w:t>. Psychogeriatrics, 17, </w:t>
      </w:r>
      <w:r w:rsidRPr="0093746E">
        <w:rPr>
          <w:rStyle w:val="nlmfpage"/>
          <w:rFonts w:cstheme="minorHAnsi"/>
        </w:rPr>
        <w:t>282</w:t>
      </w:r>
      <w:r w:rsidRPr="0093746E">
        <w:rPr>
          <w:rFonts w:cstheme="minorHAnsi"/>
        </w:rPr>
        <w:t>-</w:t>
      </w:r>
      <w:r w:rsidRPr="0093746E">
        <w:rPr>
          <w:rStyle w:val="nlmlpage"/>
          <w:rFonts w:cstheme="minorHAnsi"/>
        </w:rPr>
        <w:t>291</w:t>
      </w:r>
      <w:r w:rsidRPr="0093746E">
        <w:rPr>
          <w:rFonts w:cstheme="minorHAnsi"/>
        </w:rPr>
        <w:t>. doi:</w:t>
      </w:r>
      <w:r w:rsidRPr="0093746E">
        <w:rPr>
          <w:rStyle w:val="nlmpub-id"/>
          <w:rFonts w:cstheme="minorHAnsi"/>
        </w:rPr>
        <w:t>10.1111/psyg.12234</w:t>
      </w:r>
      <w:r w:rsidRPr="0093746E">
        <w:rPr>
          <w:rFonts w:cstheme="minorHAnsi"/>
        </w:rPr>
        <w:t> </w:t>
      </w:r>
    </w:p>
    <w:p w14:paraId="2C77CE1B" w14:textId="1280699B" w:rsidR="00BB3AAE" w:rsidRPr="0093746E" w:rsidRDefault="00BB3AAE" w:rsidP="003903F1">
      <w:pPr>
        <w:pStyle w:val="NoSpacing"/>
        <w:ind w:left="720" w:hanging="720"/>
        <w:rPr>
          <w:rFonts w:cstheme="minorHAnsi"/>
        </w:rPr>
      </w:pPr>
      <w:r w:rsidRPr="0093746E">
        <w:rPr>
          <w:rFonts w:cstheme="minorHAnsi"/>
        </w:rPr>
        <w:t>Wilks, S. E., Croom, B. (</w:t>
      </w:r>
      <w:r w:rsidRPr="0093746E">
        <w:rPr>
          <w:rStyle w:val="nlmyear"/>
          <w:rFonts w:cstheme="minorHAnsi"/>
        </w:rPr>
        <w:t>2008</w:t>
      </w:r>
      <w:r w:rsidRPr="0093746E">
        <w:rPr>
          <w:rFonts w:cstheme="minorHAnsi"/>
        </w:rPr>
        <w:t>). </w:t>
      </w:r>
      <w:r w:rsidRPr="0093746E">
        <w:rPr>
          <w:rStyle w:val="nlmarticle-title"/>
          <w:rFonts w:cstheme="minorHAnsi"/>
        </w:rPr>
        <w:t>Perceived stress and resilience in Alzheimer’s disease caregivers: Testing moderation and mediation models of social support</w:t>
      </w:r>
      <w:r w:rsidRPr="0093746E">
        <w:rPr>
          <w:rFonts w:cstheme="minorHAnsi"/>
        </w:rPr>
        <w:t>. Aging &amp; Mental Health, 12, </w:t>
      </w:r>
      <w:r w:rsidRPr="0093746E">
        <w:rPr>
          <w:rStyle w:val="nlmfpage"/>
          <w:rFonts w:cstheme="minorHAnsi"/>
        </w:rPr>
        <w:t>357</w:t>
      </w:r>
      <w:r w:rsidRPr="0093746E">
        <w:rPr>
          <w:rFonts w:cstheme="minorHAnsi"/>
        </w:rPr>
        <w:t>-</w:t>
      </w:r>
      <w:r w:rsidRPr="0093746E">
        <w:rPr>
          <w:rStyle w:val="nlmlpage"/>
          <w:rFonts w:cstheme="minorHAnsi"/>
        </w:rPr>
        <w:t>365</w:t>
      </w:r>
      <w:r w:rsidRPr="0093746E">
        <w:rPr>
          <w:rFonts w:cstheme="minorHAnsi"/>
        </w:rPr>
        <w:t>. doi:</w:t>
      </w:r>
      <w:r w:rsidRPr="0093746E">
        <w:rPr>
          <w:rStyle w:val="nlmpub-id"/>
          <w:rFonts w:cstheme="minorHAnsi"/>
        </w:rPr>
        <w:t>10.1080/13607860801933323</w:t>
      </w:r>
      <w:r w:rsidRPr="0093746E">
        <w:rPr>
          <w:rFonts w:cstheme="minorHAnsi"/>
        </w:rPr>
        <w:t> </w:t>
      </w:r>
    </w:p>
    <w:p w14:paraId="328CC3F2" w14:textId="33F6A0D1" w:rsidR="00BB3AAE" w:rsidRPr="0093746E" w:rsidRDefault="00BB3AAE" w:rsidP="003903F1">
      <w:pPr>
        <w:pStyle w:val="NoSpacing"/>
        <w:ind w:left="720" w:hanging="720"/>
        <w:rPr>
          <w:rFonts w:cstheme="minorHAnsi"/>
        </w:rPr>
      </w:pPr>
      <w:proofErr w:type="spellStart"/>
      <w:r w:rsidRPr="0093746E">
        <w:rPr>
          <w:rFonts w:cstheme="minorHAnsi"/>
        </w:rPr>
        <w:t>Zauszniewski</w:t>
      </w:r>
      <w:proofErr w:type="spellEnd"/>
      <w:r w:rsidRPr="0093746E">
        <w:rPr>
          <w:rFonts w:cstheme="minorHAnsi"/>
        </w:rPr>
        <w:t xml:space="preserve">, J. A., Lau, C. Y., </w:t>
      </w:r>
      <w:proofErr w:type="spellStart"/>
      <w:r w:rsidRPr="0093746E">
        <w:rPr>
          <w:rFonts w:cstheme="minorHAnsi"/>
        </w:rPr>
        <w:t>Tithiphontumrong</w:t>
      </w:r>
      <w:proofErr w:type="spellEnd"/>
      <w:r w:rsidRPr="0093746E">
        <w:rPr>
          <w:rFonts w:cstheme="minorHAnsi"/>
        </w:rPr>
        <w:t>, S. (</w:t>
      </w:r>
      <w:r w:rsidRPr="0093746E">
        <w:rPr>
          <w:rStyle w:val="nlmyear"/>
          <w:rFonts w:cstheme="minorHAnsi"/>
        </w:rPr>
        <w:t>2006</w:t>
      </w:r>
      <w:r w:rsidRPr="0093746E">
        <w:rPr>
          <w:rFonts w:cstheme="minorHAnsi"/>
        </w:rPr>
        <w:t>). </w:t>
      </w:r>
      <w:r w:rsidRPr="0093746E">
        <w:rPr>
          <w:rStyle w:val="nlmarticle-title"/>
          <w:rFonts w:cstheme="minorHAnsi"/>
        </w:rPr>
        <w:t>Development and testing of a resourcefulness scale for older adults</w:t>
      </w:r>
      <w:r w:rsidRPr="0093746E">
        <w:rPr>
          <w:rFonts w:cstheme="minorHAnsi"/>
        </w:rPr>
        <w:t>. Journal of Nursing Measurement, 14, </w:t>
      </w:r>
      <w:r w:rsidRPr="0093746E">
        <w:rPr>
          <w:rStyle w:val="nlmfpage"/>
          <w:rFonts w:cstheme="minorHAnsi"/>
        </w:rPr>
        <w:t>57</w:t>
      </w:r>
      <w:r w:rsidRPr="0093746E">
        <w:rPr>
          <w:rFonts w:cstheme="minorHAnsi"/>
        </w:rPr>
        <w:t>-</w:t>
      </w:r>
      <w:r w:rsidRPr="0093746E">
        <w:rPr>
          <w:rStyle w:val="nlmlpage"/>
          <w:rFonts w:cstheme="minorHAnsi"/>
        </w:rPr>
        <w:t>68</w:t>
      </w:r>
      <w:r w:rsidRPr="0093746E">
        <w:rPr>
          <w:rFonts w:cstheme="minorHAnsi"/>
        </w:rPr>
        <w:t>. </w:t>
      </w:r>
    </w:p>
    <w:p w14:paraId="5E5B5F9E" w14:textId="17845177" w:rsidR="0026150E" w:rsidRPr="0093746E" w:rsidRDefault="00BB3AAE" w:rsidP="003903F1">
      <w:pPr>
        <w:pStyle w:val="NoSpacing"/>
        <w:ind w:left="720" w:hanging="720"/>
        <w:rPr>
          <w:rFonts w:cstheme="minorHAnsi"/>
        </w:rPr>
      </w:pPr>
      <w:proofErr w:type="spellStart"/>
      <w:r w:rsidRPr="0093746E">
        <w:rPr>
          <w:rFonts w:cstheme="minorHAnsi"/>
        </w:rPr>
        <w:t>Zauszniewski</w:t>
      </w:r>
      <w:proofErr w:type="spellEnd"/>
      <w:r w:rsidRPr="0093746E">
        <w:rPr>
          <w:rFonts w:cstheme="minorHAnsi"/>
        </w:rPr>
        <w:t xml:space="preserve">, J. A., </w:t>
      </w:r>
      <w:proofErr w:type="spellStart"/>
      <w:r w:rsidRPr="0093746E">
        <w:rPr>
          <w:rFonts w:cstheme="minorHAnsi"/>
        </w:rPr>
        <w:t>Lekhak</w:t>
      </w:r>
      <w:proofErr w:type="spellEnd"/>
      <w:r w:rsidRPr="0093746E">
        <w:rPr>
          <w:rFonts w:cstheme="minorHAnsi"/>
        </w:rPr>
        <w:t xml:space="preserve">, N., Au, T. Y., </w:t>
      </w:r>
      <w:proofErr w:type="spellStart"/>
      <w:r w:rsidRPr="0093746E">
        <w:rPr>
          <w:rFonts w:cstheme="minorHAnsi"/>
        </w:rPr>
        <w:t>Yolpant</w:t>
      </w:r>
      <w:proofErr w:type="spellEnd"/>
      <w:r w:rsidRPr="0093746E">
        <w:rPr>
          <w:rFonts w:cstheme="minorHAnsi"/>
        </w:rPr>
        <w:t>, W., Morris, D. L. (</w:t>
      </w:r>
      <w:r w:rsidRPr="0093746E">
        <w:rPr>
          <w:rStyle w:val="nlmyear"/>
          <w:rFonts w:cstheme="minorHAnsi"/>
        </w:rPr>
        <w:t>2015</w:t>
      </w:r>
      <w:r w:rsidRPr="0093746E">
        <w:rPr>
          <w:rFonts w:cstheme="minorHAnsi"/>
        </w:rPr>
        <w:t>). </w:t>
      </w:r>
      <w:r w:rsidRPr="0093746E">
        <w:rPr>
          <w:rStyle w:val="nlmarticle-title"/>
          <w:rFonts w:cstheme="minorHAnsi"/>
        </w:rPr>
        <w:t>Need for resourcefulness training for women caregivers of elders with dementia</w:t>
      </w:r>
      <w:r w:rsidRPr="0093746E">
        <w:rPr>
          <w:rFonts w:cstheme="minorHAnsi"/>
        </w:rPr>
        <w:t>. Issues in Mental Health Nursing, 36, </w:t>
      </w:r>
      <w:r w:rsidRPr="0093746E">
        <w:rPr>
          <w:rStyle w:val="nlmfpage"/>
          <w:rFonts w:cstheme="minorHAnsi"/>
        </w:rPr>
        <w:t>1007</w:t>
      </w:r>
      <w:r w:rsidRPr="0093746E">
        <w:rPr>
          <w:rFonts w:cstheme="minorHAnsi"/>
        </w:rPr>
        <w:t>-</w:t>
      </w:r>
      <w:r w:rsidRPr="0093746E">
        <w:rPr>
          <w:rStyle w:val="nlmlpage"/>
          <w:rFonts w:cstheme="minorHAnsi"/>
        </w:rPr>
        <w:t>1012</w:t>
      </w:r>
      <w:r w:rsidRPr="0093746E">
        <w:rPr>
          <w:rFonts w:cstheme="minorHAnsi"/>
        </w:rPr>
        <w:t>. doi:</w:t>
      </w:r>
      <w:r w:rsidRPr="0093746E">
        <w:rPr>
          <w:rStyle w:val="nlmpub-id"/>
          <w:rFonts w:cstheme="minorHAnsi"/>
        </w:rPr>
        <w:t>10.3109/01612840.2015.1075236</w:t>
      </w:r>
      <w:r w:rsidRPr="0093746E">
        <w:rPr>
          <w:rFonts w:cstheme="minorHAnsi"/>
        </w:rPr>
        <w:t> </w:t>
      </w:r>
    </w:p>
    <w:sectPr w:rsidR="0026150E" w:rsidRPr="0093746E"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thematicalPiLTStd">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5745A"/>
    <w:multiLevelType w:val="multilevel"/>
    <w:tmpl w:val="BF48A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B5AA0"/>
    <w:multiLevelType w:val="multilevel"/>
    <w:tmpl w:val="CECE6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8F7484"/>
    <w:multiLevelType w:val="multilevel"/>
    <w:tmpl w:val="80804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5A406E4"/>
    <w:multiLevelType w:val="hybridMultilevel"/>
    <w:tmpl w:val="162875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4"/>
  </w:num>
  <w:num w:numId="3">
    <w:abstractNumId w:val="9"/>
  </w:num>
  <w:num w:numId="4">
    <w:abstractNumId w:val="10"/>
  </w:num>
  <w:num w:numId="5">
    <w:abstractNumId w:val="12"/>
  </w:num>
  <w:num w:numId="6">
    <w:abstractNumId w:val="6"/>
  </w:num>
  <w:num w:numId="7">
    <w:abstractNumId w:val="15"/>
  </w:num>
  <w:num w:numId="8">
    <w:abstractNumId w:val="21"/>
  </w:num>
  <w:num w:numId="9">
    <w:abstractNumId w:val="17"/>
  </w:num>
  <w:num w:numId="10">
    <w:abstractNumId w:val="18"/>
  </w:num>
  <w:num w:numId="11">
    <w:abstractNumId w:val="5"/>
  </w:num>
  <w:num w:numId="12">
    <w:abstractNumId w:val="20"/>
  </w:num>
  <w:num w:numId="13">
    <w:abstractNumId w:val="14"/>
  </w:num>
  <w:num w:numId="14">
    <w:abstractNumId w:val="19"/>
  </w:num>
  <w:num w:numId="15">
    <w:abstractNumId w:val="25"/>
  </w:num>
  <w:num w:numId="16">
    <w:abstractNumId w:val="11"/>
  </w:num>
  <w:num w:numId="17">
    <w:abstractNumId w:val="28"/>
  </w:num>
  <w:num w:numId="18">
    <w:abstractNumId w:val="16"/>
  </w:num>
  <w:num w:numId="19">
    <w:abstractNumId w:val="2"/>
  </w:num>
  <w:num w:numId="20">
    <w:abstractNumId w:val="23"/>
  </w:num>
  <w:num w:numId="21">
    <w:abstractNumId w:val="22"/>
  </w:num>
  <w:num w:numId="22">
    <w:abstractNumId w:val="4"/>
  </w:num>
  <w:num w:numId="23">
    <w:abstractNumId w:val="27"/>
  </w:num>
  <w:num w:numId="24">
    <w:abstractNumId w:val="8"/>
  </w:num>
  <w:num w:numId="25">
    <w:abstractNumId w:val="30"/>
  </w:num>
  <w:num w:numId="26">
    <w:abstractNumId w:val="3"/>
  </w:num>
  <w:num w:numId="27">
    <w:abstractNumId w:val="29"/>
  </w:num>
  <w:num w:numId="28">
    <w:abstractNumId w:val="0"/>
  </w:num>
  <w:num w:numId="29">
    <w:abstractNumId w:val="13"/>
  </w:num>
  <w:num w:numId="30">
    <w:abstractNumId w:val="1"/>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K8Rzm4dQQP0DJ8OZyvUj8f7G4VOScSjk8EtYiNVmyMsftG37UDYVuePLV/qWiP/uNi2cyFFJ8o1iYMYEUoOyg==" w:salt="lMFkhSJkSdQ5Ndap6i8Fy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0E72"/>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618"/>
    <w:rsid w:val="000B1EEB"/>
    <w:rsid w:val="000B22D3"/>
    <w:rsid w:val="000B2768"/>
    <w:rsid w:val="000B3464"/>
    <w:rsid w:val="000B389E"/>
    <w:rsid w:val="000B501D"/>
    <w:rsid w:val="000B5170"/>
    <w:rsid w:val="000C0E5B"/>
    <w:rsid w:val="000C43B7"/>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5F37"/>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7615"/>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074D"/>
    <w:rsid w:val="00251132"/>
    <w:rsid w:val="002535DF"/>
    <w:rsid w:val="002558EB"/>
    <w:rsid w:val="00255B43"/>
    <w:rsid w:val="00255BDC"/>
    <w:rsid w:val="00255BEA"/>
    <w:rsid w:val="00261403"/>
    <w:rsid w:val="0026150E"/>
    <w:rsid w:val="00261F59"/>
    <w:rsid w:val="00272AF4"/>
    <w:rsid w:val="00276C06"/>
    <w:rsid w:val="00280198"/>
    <w:rsid w:val="00282094"/>
    <w:rsid w:val="00284205"/>
    <w:rsid w:val="002843BC"/>
    <w:rsid w:val="00284A84"/>
    <w:rsid w:val="0029129F"/>
    <w:rsid w:val="002958BB"/>
    <w:rsid w:val="00296B90"/>
    <w:rsid w:val="00297296"/>
    <w:rsid w:val="002A0668"/>
    <w:rsid w:val="002A6B8B"/>
    <w:rsid w:val="002A7FBB"/>
    <w:rsid w:val="002B1ED8"/>
    <w:rsid w:val="002B3E96"/>
    <w:rsid w:val="002B45EC"/>
    <w:rsid w:val="002B62C6"/>
    <w:rsid w:val="002C17A7"/>
    <w:rsid w:val="002C2DA5"/>
    <w:rsid w:val="002C4714"/>
    <w:rsid w:val="002C6160"/>
    <w:rsid w:val="002D02F2"/>
    <w:rsid w:val="002D28EA"/>
    <w:rsid w:val="002D51BB"/>
    <w:rsid w:val="002D5A75"/>
    <w:rsid w:val="002D5BAE"/>
    <w:rsid w:val="002D5DDC"/>
    <w:rsid w:val="002D6AA3"/>
    <w:rsid w:val="002E5C33"/>
    <w:rsid w:val="002E5D29"/>
    <w:rsid w:val="00300411"/>
    <w:rsid w:val="00300EE4"/>
    <w:rsid w:val="0030197F"/>
    <w:rsid w:val="0030223E"/>
    <w:rsid w:val="003024F2"/>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0E06"/>
    <w:rsid w:val="00381F0E"/>
    <w:rsid w:val="0038549B"/>
    <w:rsid w:val="0038628A"/>
    <w:rsid w:val="0038634F"/>
    <w:rsid w:val="003903F1"/>
    <w:rsid w:val="00391C48"/>
    <w:rsid w:val="00394337"/>
    <w:rsid w:val="00395766"/>
    <w:rsid w:val="003A437A"/>
    <w:rsid w:val="003A503E"/>
    <w:rsid w:val="003A6039"/>
    <w:rsid w:val="003B232A"/>
    <w:rsid w:val="003B47FA"/>
    <w:rsid w:val="003B6208"/>
    <w:rsid w:val="003B7F8F"/>
    <w:rsid w:val="003C4172"/>
    <w:rsid w:val="003C437D"/>
    <w:rsid w:val="003C4456"/>
    <w:rsid w:val="003D0E5C"/>
    <w:rsid w:val="003D3301"/>
    <w:rsid w:val="003D4641"/>
    <w:rsid w:val="003E05B7"/>
    <w:rsid w:val="003E0C0A"/>
    <w:rsid w:val="003E5FFB"/>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1C14"/>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09F"/>
    <w:rsid w:val="004834F0"/>
    <w:rsid w:val="00487185"/>
    <w:rsid w:val="004873AE"/>
    <w:rsid w:val="00487718"/>
    <w:rsid w:val="00490ABE"/>
    <w:rsid w:val="004932A8"/>
    <w:rsid w:val="00493B34"/>
    <w:rsid w:val="00497E47"/>
    <w:rsid w:val="004A0368"/>
    <w:rsid w:val="004A2715"/>
    <w:rsid w:val="004A2894"/>
    <w:rsid w:val="004A2B41"/>
    <w:rsid w:val="004A3B3E"/>
    <w:rsid w:val="004A50B9"/>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3311"/>
    <w:rsid w:val="0052658A"/>
    <w:rsid w:val="00533270"/>
    <w:rsid w:val="0053729A"/>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20F7"/>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5F81"/>
    <w:rsid w:val="006769E6"/>
    <w:rsid w:val="00676C63"/>
    <w:rsid w:val="00682333"/>
    <w:rsid w:val="006844CA"/>
    <w:rsid w:val="006871E0"/>
    <w:rsid w:val="00693B53"/>
    <w:rsid w:val="00696DDE"/>
    <w:rsid w:val="00697377"/>
    <w:rsid w:val="006A147C"/>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7E70"/>
    <w:rsid w:val="007065D3"/>
    <w:rsid w:val="007071B1"/>
    <w:rsid w:val="00707EC1"/>
    <w:rsid w:val="00710582"/>
    <w:rsid w:val="00714EE9"/>
    <w:rsid w:val="007246B0"/>
    <w:rsid w:val="007258CB"/>
    <w:rsid w:val="00730E29"/>
    <w:rsid w:val="00732FF6"/>
    <w:rsid w:val="00735393"/>
    <w:rsid w:val="00735C37"/>
    <w:rsid w:val="0074532F"/>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4416"/>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54B6"/>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A5A"/>
    <w:rsid w:val="00885E74"/>
    <w:rsid w:val="00886B14"/>
    <w:rsid w:val="008927F4"/>
    <w:rsid w:val="00893B58"/>
    <w:rsid w:val="00894E4C"/>
    <w:rsid w:val="0089642A"/>
    <w:rsid w:val="008A162E"/>
    <w:rsid w:val="008A1743"/>
    <w:rsid w:val="008A23DD"/>
    <w:rsid w:val="008A45F2"/>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0D37"/>
    <w:rsid w:val="0090248F"/>
    <w:rsid w:val="00902F25"/>
    <w:rsid w:val="0090407E"/>
    <w:rsid w:val="00905334"/>
    <w:rsid w:val="00907ABB"/>
    <w:rsid w:val="00911307"/>
    <w:rsid w:val="00915110"/>
    <w:rsid w:val="009151B5"/>
    <w:rsid w:val="00916ADA"/>
    <w:rsid w:val="00916C64"/>
    <w:rsid w:val="00917226"/>
    <w:rsid w:val="00921E4A"/>
    <w:rsid w:val="00925107"/>
    <w:rsid w:val="00925421"/>
    <w:rsid w:val="009267EE"/>
    <w:rsid w:val="00927998"/>
    <w:rsid w:val="00932185"/>
    <w:rsid w:val="009346E4"/>
    <w:rsid w:val="00935F23"/>
    <w:rsid w:val="009372D8"/>
    <w:rsid w:val="0093746E"/>
    <w:rsid w:val="00937D12"/>
    <w:rsid w:val="00940ED2"/>
    <w:rsid w:val="00946997"/>
    <w:rsid w:val="0094737A"/>
    <w:rsid w:val="00947B8B"/>
    <w:rsid w:val="00950094"/>
    <w:rsid w:val="0095139E"/>
    <w:rsid w:val="00951536"/>
    <w:rsid w:val="00952A60"/>
    <w:rsid w:val="00952B32"/>
    <w:rsid w:val="00952C61"/>
    <w:rsid w:val="00954B3E"/>
    <w:rsid w:val="009554A6"/>
    <w:rsid w:val="00956FEB"/>
    <w:rsid w:val="009650D5"/>
    <w:rsid w:val="0096535F"/>
    <w:rsid w:val="00965F35"/>
    <w:rsid w:val="00966500"/>
    <w:rsid w:val="009729A3"/>
    <w:rsid w:val="00976120"/>
    <w:rsid w:val="00977022"/>
    <w:rsid w:val="00977F1D"/>
    <w:rsid w:val="00982217"/>
    <w:rsid w:val="00984B39"/>
    <w:rsid w:val="00986A83"/>
    <w:rsid w:val="00990645"/>
    <w:rsid w:val="009A130B"/>
    <w:rsid w:val="009A2639"/>
    <w:rsid w:val="009A397F"/>
    <w:rsid w:val="009B4F83"/>
    <w:rsid w:val="009B6983"/>
    <w:rsid w:val="009C1EF3"/>
    <w:rsid w:val="009C5450"/>
    <w:rsid w:val="009C5716"/>
    <w:rsid w:val="009D316A"/>
    <w:rsid w:val="009D3527"/>
    <w:rsid w:val="009D5368"/>
    <w:rsid w:val="009D54DF"/>
    <w:rsid w:val="009E56AC"/>
    <w:rsid w:val="009E56AF"/>
    <w:rsid w:val="009E5E22"/>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197"/>
    <w:rsid w:val="00A47B50"/>
    <w:rsid w:val="00A50459"/>
    <w:rsid w:val="00A506CB"/>
    <w:rsid w:val="00A52369"/>
    <w:rsid w:val="00A52A88"/>
    <w:rsid w:val="00A55701"/>
    <w:rsid w:val="00A56ED1"/>
    <w:rsid w:val="00A57BA4"/>
    <w:rsid w:val="00A648A4"/>
    <w:rsid w:val="00A650B2"/>
    <w:rsid w:val="00A7290A"/>
    <w:rsid w:val="00A75006"/>
    <w:rsid w:val="00A81E28"/>
    <w:rsid w:val="00A825CD"/>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388"/>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5DAC"/>
    <w:rsid w:val="00B66AF1"/>
    <w:rsid w:val="00B70245"/>
    <w:rsid w:val="00B703C2"/>
    <w:rsid w:val="00B74E41"/>
    <w:rsid w:val="00B75BDF"/>
    <w:rsid w:val="00B7740D"/>
    <w:rsid w:val="00B82F58"/>
    <w:rsid w:val="00B839A9"/>
    <w:rsid w:val="00B84C63"/>
    <w:rsid w:val="00B86814"/>
    <w:rsid w:val="00B87538"/>
    <w:rsid w:val="00B910CB"/>
    <w:rsid w:val="00B91743"/>
    <w:rsid w:val="00B91D38"/>
    <w:rsid w:val="00B927D2"/>
    <w:rsid w:val="00B935A4"/>
    <w:rsid w:val="00B945E5"/>
    <w:rsid w:val="00B9636B"/>
    <w:rsid w:val="00B974AD"/>
    <w:rsid w:val="00BA22C6"/>
    <w:rsid w:val="00BA316D"/>
    <w:rsid w:val="00BA4032"/>
    <w:rsid w:val="00BA5FEF"/>
    <w:rsid w:val="00BA7628"/>
    <w:rsid w:val="00BB2130"/>
    <w:rsid w:val="00BB30B6"/>
    <w:rsid w:val="00BB3AAE"/>
    <w:rsid w:val="00BB40CB"/>
    <w:rsid w:val="00BB6E40"/>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2C0E"/>
    <w:rsid w:val="00BF6ECD"/>
    <w:rsid w:val="00BF790B"/>
    <w:rsid w:val="00C01E67"/>
    <w:rsid w:val="00C05302"/>
    <w:rsid w:val="00C06B6B"/>
    <w:rsid w:val="00C06F37"/>
    <w:rsid w:val="00C0799A"/>
    <w:rsid w:val="00C07C49"/>
    <w:rsid w:val="00C13438"/>
    <w:rsid w:val="00C170FF"/>
    <w:rsid w:val="00C173E1"/>
    <w:rsid w:val="00C2019E"/>
    <w:rsid w:val="00C27AEF"/>
    <w:rsid w:val="00C3110E"/>
    <w:rsid w:val="00C3466C"/>
    <w:rsid w:val="00C355FF"/>
    <w:rsid w:val="00C41A64"/>
    <w:rsid w:val="00C41D82"/>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4FB1"/>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0CD"/>
    <w:rsid w:val="00D02378"/>
    <w:rsid w:val="00D02BE9"/>
    <w:rsid w:val="00D101DD"/>
    <w:rsid w:val="00D14423"/>
    <w:rsid w:val="00D15AC9"/>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4F2"/>
    <w:rsid w:val="00DC7C2C"/>
    <w:rsid w:val="00DD2256"/>
    <w:rsid w:val="00DD4B55"/>
    <w:rsid w:val="00DD5871"/>
    <w:rsid w:val="00DE2F66"/>
    <w:rsid w:val="00DE4173"/>
    <w:rsid w:val="00DE4592"/>
    <w:rsid w:val="00DE5DC6"/>
    <w:rsid w:val="00DF6125"/>
    <w:rsid w:val="00E13E05"/>
    <w:rsid w:val="00E15784"/>
    <w:rsid w:val="00E16734"/>
    <w:rsid w:val="00E179BE"/>
    <w:rsid w:val="00E20401"/>
    <w:rsid w:val="00E229E0"/>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4908"/>
    <w:rsid w:val="00E7043E"/>
    <w:rsid w:val="00E747D9"/>
    <w:rsid w:val="00E75D5D"/>
    <w:rsid w:val="00E766CA"/>
    <w:rsid w:val="00E80F37"/>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055B"/>
    <w:rsid w:val="00ED1F77"/>
    <w:rsid w:val="00ED2540"/>
    <w:rsid w:val="00ED48A6"/>
    <w:rsid w:val="00ED521A"/>
    <w:rsid w:val="00ED54B1"/>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4DD8"/>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7B"/>
    <w:rsid w:val="00FC0EED"/>
    <w:rsid w:val="00FC11D2"/>
    <w:rsid w:val="00FC1405"/>
    <w:rsid w:val="00FD0D47"/>
    <w:rsid w:val="00FD0FFF"/>
    <w:rsid w:val="00FE03F8"/>
    <w:rsid w:val="00FE2208"/>
    <w:rsid w:val="00FE2769"/>
    <w:rsid w:val="00FE2ED0"/>
    <w:rsid w:val="00FE3038"/>
    <w:rsid w:val="00FE3C8C"/>
    <w:rsid w:val="00FE430B"/>
    <w:rsid w:val="00FE46AF"/>
    <w:rsid w:val="00FE73C3"/>
    <w:rsid w:val="00FF1F94"/>
    <w:rsid w:val="00FF2B49"/>
    <w:rsid w:val="00FF3001"/>
    <w:rsid w:val="00FF5582"/>
    <w:rsid w:val="00FF61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E4A"/>
  </w:style>
  <w:style w:type="paragraph" w:styleId="Heading1">
    <w:name w:val="heading 1"/>
    <w:basedOn w:val="Normal"/>
    <w:next w:val="Normal"/>
    <w:link w:val="Heading1Char"/>
    <w:uiPriority w:val="9"/>
    <w:qFormat/>
    <w:rsid w:val="00921E4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21E4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21E4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21E4A"/>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21E4A"/>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21E4A"/>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21E4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21E4A"/>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21E4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1E4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21E4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21E4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21E4A"/>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21E4A"/>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21E4A"/>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21E4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21E4A"/>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21E4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21E4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21E4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21E4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21E4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21E4A"/>
    <w:rPr>
      <w:color w:val="5A5A5A" w:themeColor="text1" w:themeTint="A5"/>
      <w:spacing w:val="15"/>
    </w:rPr>
  </w:style>
  <w:style w:type="character" w:styleId="Strong">
    <w:name w:val="Strong"/>
    <w:basedOn w:val="DefaultParagraphFont"/>
    <w:uiPriority w:val="22"/>
    <w:qFormat/>
    <w:rsid w:val="00921E4A"/>
    <w:rPr>
      <w:b/>
      <w:bCs/>
      <w:color w:val="auto"/>
    </w:rPr>
  </w:style>
  <w:style w:type="character" w:styleId="Emphasis">
    <w:name w:val="Emphasis"/>
    <w:basedOn w:val="DefaultParagraphFont"/>
    <w:uiPriority w:val="20"/>
    <w:qFormat/>
    <w:rsid w:val="00921E4A"/>
    <w:rPr>
      <w:i/>
      <w:iCs/>
      <w:color w:val="auto"/>
    </w:rPr>
  </w:style>
  <w:style w:type="paragraph" w:styleId="NoSpacing">
    <w:name w:val="No Spacing"/>
    <w:uiPriority w:val="1"/>
    <w:qFormat/>
    <w:rsid w:val="00921E4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21E4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21E4A"/>
    <w:rPr>
      <w:i/>
      <w:iCs/>
      <w:color w:val="404040" w:themeColor="text1" w:themeTint="BF"/>
    </w:rPr>
  </w:style>
  <w:style w:type="paragraph" w:styleId="IntenseQuote">
    <w:name w:val="Intense Quote"/>
    <w:basedOn w:val="Normal"/>
    <w:next w:val="Normal"/>
    <w:link w:val="IntenseQuoteChar"/>
    <w:uiPriority w:val="30"/>
    <w:qFormat/>
    <w:rsid w:val="00921E4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21E4A"/>
    <w:rPr>
      <w:i/>
      <w:iCs/>
      <w:color w:val="404040" w:themeColor="text1" w:themeTint="BF"/>
    </w:rPr>
  </w:style>
  <w:style w:type="character" w:styleId="SubtleEmphasis">
    <w:name w:val="Subtle Emphasis"/>
    <w:basedOn w:val="DefaultParagraphFont"/>
    <w:uiPriority w:val="19"/>
    <w:qFormat/>
    <w:rsid w:val="00921E4A"/>
    <w:rPr>
      <w:i/>
      <w:iCs/>
      <w:color w:val="404040" w:themeColor="text1" w:themeTint="BF"/>
    </w:rPr>
  </w:style>
  <w:style w:type="character" w:styleId="IntenseEmphasis">
    <w:name w:val="Intense Emphasis"/>
    <w:basedOn w:val="DefaultParagraphFont"/>
    <w:uiPriority w:val="21"/>
    <w:qFormat/>
    <w:rsid w:val="00921E4A"/>
    <w:rPr>
      <w:b/>
      <w:bCs/>
      <w:i/>
      <w:iCs/>
      <w:color w:val="auto"/>
    </w:rPr>
  </w:style>
  <w:style w:type="character" w:styleId="SubtleReference">
    <w:name w:val="Subtle Reference"/>
    <w:basedOn w:val="DefaultParagraphFont"/>
    <w:uiPriority w:val="31"/>
    <w:qFormat/>
    <w:rsid w:val="00921E4A"/>
    <w:rPr>
      <w:smallCaps/>
      <w:color w:val="404040" w:themeColor="text1" w:themeTint="BF"/>
    </w:rPr>
  </w:style>
  <w:style w:type="character" w:styleId="IntenseReference">
    <w:name w:val="Intense Reference"/>
    <w:basedOn w:val="DefaultParagraphFont"/>
    <w:uiPriority w:val="32"/>
    <w:qFormat/>
    <w:rsid w:val="00921E4A"/>
    <w:rPr>
      <w:b/>
      <w:bCs/>
      <w:smallCaps/>
      <w:color w:val="404040" w:themeColor="text1" w:themeTint="BF"/>
      <w:spacing w:val="5"/>
    </w:rPr>
  </w:style>
  <w:style w:type="character" w:styleId="BookTitle">
    <w:name w:val="Book Title"/>
    <w:basedOn w:val="DefaultParagraphFont"/>
    <w:uiPriority w:val="33"/>
    <w:qFormat/>
    <w:rsid w:val="00921E4A"/>
    <w:rPr>
      <w:b/>
      <w:bCs/>
      <w:i/>
      <w:iCs/>
      <w:spacing w:val="5"/>
    </w:rPr>
  </w:style>
  <w:style w:type="paragraph" w:styleId="TOCHeading">
    <w:name w:val="TOC Heading"/>
    <w:basedOn w:val="Heading1"/>
    <w:next w:val="Normal"/>
    <w:uiPriority w:val="39"/>
    <w:semiHidden/>
    <w:unhideWhenUsed/>
    <w:qFormat/>
    <w:rsid w:val="00921E4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ribdegrees">
    <w:name w:val="contribdegrees"/>
    <w:basedOn w:val="DefaultParagraphFont"/>
    <w:rsid w:val="0026150E"/>
  </w:style>
  <w:style w:type="paragraph" w:styleId="BalloonText">
    <w:name w:val="Balloon Text"/>
    <w:basedOn w:val="Normal"/>
    <w:link w:val="BalloonTextChar"/>
    <w:uiPriority w:val="99"/>
    <w:semiHidden/>
    <w:unhideWhenUsed/>
    <w:rsid w:val="002615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150E"/>
    <w:rPr>
      <w:rFonts w:ascii="Segoe UI" w:hAnsi="Segoe UI" w:cs="Segoe UI"/>
      <w:sz w:val="18"/>
      <w:szCs w:val="18"/>
    </w:rPr>
  </w:style>
  <w:style w:type="character" w:styleId="FollowedHyperlink">
    <w:name w:val="FollowedHyperlink"/>
    <w:basedOn w:val="DefaultParagraphFont"/>
    <w:uiPriority w:val="99"/>
    <w:semiHidden/>
    <w:unhideWhenUsed/>
    <w:rsid w:val="00BF2C0E"/>
    <w:rPr>
      <w:color w:val="800080"/>
      <w:u w:val="single"/>
    </w:rPr>
  </w:style>
  <w:style w:type="character" w:customStyle="1" w:styleId="captionlabel">
    <w:name w:val="captionlabel"/>
    <w:basedOn w:val="DefaultParagraphFont"/>
    <w:rsid w:val="00BF2C0E"/>
  </w:style>
  <w:style w:type="character" w:customStyle="1" w:styleId="figure">
    <w:name w:val="figure"/>
    <w:basedOn w:val="DefaultParagraphFont"/>
    <w:rsid w:val="00BF2C0E"/>
  </w:style>
  <w:style w:type="character" w:customStyle="1" w:styleId="overlay">
    <w:name w:val="overlay"/>
    <w:basedOn w:val="DefaultParagraphFont"/>
    <w:rsid w:val="00BF2C0E"/>
  </w:style>
  <w:style w:type="character" w:customStyle="1" w:styleId="nlmfn">
    <w:name w:val="nlm_fn"/>
    <w:basedOn w:val="DefaultParagraphFont"/>
    <w:rsid w:val="00BF2C0E"/>
  </w:style>
  <w:style w:type="character" w:customStyle="1" w:styleId="fn-label">
    <w:name w:val="fn-label"/>
    <w:basedOn w:val="DefaultParagraphFont"/>
    <w:rsid w:val="00BF2C0E"/>
  </w:style>
  <w:style w:type="character" w:customStyle="1" w:styleId="nlminline-graphic">
    <w:name w:val="nlm_inline-graphic"/>
    <w:basedOn w:val="DefaultParagraphFont"/>
    <w:rsid w:val="00BF2C0E"/>
  </w:style>
  <w:style w:type="character" w:customStyle="1" w:styleId="nlmyear">
    <w:name w:val="nlm_year"/>
    <w:basedOn w:val="DefaultParagraphFont"/>
    <w:rsid w:val="00BF2C0E"/>
  </w:style>
  <w:style w:type="character" w:customStyle="1" w:styleId="nlmarticle-title">
    <w:name w:val="nlm_article-title"/>
    <w:basedOn w:val="DefaultParagraphFont"/>
    <w:rsid w:val="00BF2C0E"/>
  </w:style>
  <w:style w:type="character" w:customStyle="1" w:styleId="nlmfpage">
    <w:name w:val="nlm_fpage"/>
    <w:basedOn w:val="DefaultParagraphFont"/>
    <w:rsid w:val="00BF2C0E"/>
  </w:style>
  <w:style w:type="character" w:customStyle="1" w:styleId="nlmlpage">
    <w:name w:val="nlm_lpage"/>
    <w:basedOn w:val="DefaultParagraphFont"/>
    <w:rsid w:val="00BF2C0E"/>
  </w:style>
  <w:style w:type="character" w:customStyle="1" w:styleId="nlmpub-id">
    <w:name w:val="nlm_pub-id"/>
    <w:basedOn w:val="DefaultParagraphFont"/>
    <w:rsid w:val="00BF2C0E"/>
  </w:style>
  <w:style w:type="character" w:customStyle="1" w:styleId="ref-google">
    <w:name w:val="ref-google"/>
    <w:basedOn w:val="DefaultParagraphFont"/>
    <w:rsid w:val="00BF2C0E"/>
  </w:style>
  <w:style w:type="character" w:customStyle="1" w:styleId="ref-xlink">
    <w:name w:val="ref-xlink"/>
    <w:basedOn w:val="DefaultParagraphFont"/>
    <w:rsid w:val="00BF2C0E"/>
  </w:style>
  <w:style w:type="character" w:customStyle="1" w:styleId="ref-sfxlink">
    <w:name w:val="ref-sfxlink"/>
    <w:basedOn w:val="DefaultParagraphFont"/>
    <w:rsid w:val="00BF2C0E"/>
  </w:style>
  <w:style w:type="character" w:customStyle="1" w:styleId="nlmpublisher-loc">
    <w:name w:val="nlm_publisher-loc"/>
    <w:basedOn w:val="DefaultParagraphFont"/>
    <w:rsid w:val="00BF2C0E"/>
  </w:style>
  <w:style w:type="character" w:customStyle="1" w:styleId="nlmpublisher-name">
    <w:name w:val="nlm_publisher-name"/>
    <w:basedOn w:val="DefaultParagraphFont"/>
    <w:rsid w:val="00BF2C0E"/>
  </w:style>
  <w:style w:type="character" w:customStyle="1" w:styleId="nlmedition">
    <w:name w:val="nlm_edition"/>
    <w:basedOn w:val="DefaultParagraphFont"/>
    <w:rsid w:val="00BF2C0E"/>
  </w:style>
  <w:style w:type="table" w:styleId="PlainTable1">
    <w:name w:val="Plain Table 1"/>
    <w:basedOn w:val="TableNormal"/>
    <w:uiPriority w:val="41"/>
    <w:rsid w:val="00F14DD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48924">
      <w:bodyDiv w:val="1"/>
      <w:marLeft w:val="0"/>
      <w:marRight w:val="0"/>
      <w:marTop w:val="0"/>
      <w:marBottom w:val="0"/>
      <w:divBdr>
        <w:top w:val="none" w:sz="0" w:space="0" w:color="auto"/>
        <w:left w:val="none" w:sz="0" w:space="0" w:color="auto"/>
        <w:bottom w:val="none" w:sz="0" w:space="0" w:color="auto"/>
        <w:right w:val="none" w:sz="0" w:space="0" w:color="auto"/>
      </w:divBdr>
      <w:divsChild>
        <w:div w:id="1708527912">
          <w:marLeft w:val="0"/>
          <w:marRight w:val="0"/>
          <w:marTop w:val="0"/>
          <w:marBottom w:val="0"/>
          <w:divBdr>
            <w:top w:val="single" w:sz="6" w:space="0" w:color="CCCCCC"/>
            <w:left w:val="single" w:sz="6" w:space="0" w:color="CCCCCC"/>
            <w:bottom w:val="single" w:sz="6" w:space="0" w:color="CCCCCC"/>
            <w:right w:val="single" w:sz="6" w:space="0" w:color="CCCCCC"/>
          </w:divBdr>
          <w:divsChild>
            <w:div w:id="1027174738">
              <w:marLeft w:val="0"/>
              <w:marRight w:val="0"/>
              <w:marTop w:val="0"/>
              <w:marBottom w:val="0"/>
              <w:divBdr>
                <w:top w:val="none" w:sz="0" w:space="0" w:color="auto"/>
                <w:left w:val="none" w:sz="0" w:space="0" w:color="auto"/>
                <w:bottom w:val="none" w:sz="0" w:space="0" w:color="auto"/>
                <w:right w:val="none" w:sz="0" w:space="0" w:color="auto"/>
              </w:divBdr>
            </w:div>
            <w:div w:id="1815831288">
              <w:marLeft w:val="0"/>
              <w:marRight w:val="0"/>
              <w:marTop w:val="0"/>
              <w:marBottom w:val="0"/>
              <w:divBdr>
                <w:top w:val="none" w:sz="0" w:space="0" w:color="auto"/>
                <w:left w:val="none" w:sz="0" w:space="0" w:color="auto"/>
                <w:bottom w:val="none" w:sz="0" w:space="0" w:color="auto"/>
                <w:right w:val="none" w:sz="0" w:space="0" w:color="auto"/>
              </w:divBdr>
              <w:divsChild>
                <w:div w:id="188497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096852">
          <w:marLeft w:val="0"/>
          <w:marRight w:val="0"/>
          <w:marTop w:val="0"/>
          <w:marBottom w:val="0"/>
          <w:divBdr>
            <w:top w:val="none" w:sz="0" w:space="0" w:color="auto"/>
            <w:left w:val="none" w:sz="0" w:space="0" w:color="auto"/>
            <w:bottom w:val="none" w:sz="0" w:space="0" w:color="auto"/>
            <w:right w:val="none" w:sz="0" w:space="0" w:color="auto"/>
          </w:divBdr>
        </w:div>
      </w:divsChild>
    </w:div>
    <w:div w:id="158279109">
      <w:bodyDiv w:val="1"/>
      <w:marLeft w:val="0"/>
      <w:marRight w:val="0"/>
      <w:marTop w:val="0"/>
      <w:marBottom w:val="0"/>
      <w:divBdr>
        <w:top w:val="none" w:sz="0" w:space="0" w:color="auto"/>
        <w:left w:val="none" w:sz="0" w:space="0" w:color="auto"/>
        <w:bottom w:val="none" w:sz="0" w:space="0" w:color="auto"/>
        <w:right w:val="none" w:sz="0" w:space="0" w:color="auto"/>
      </w:divBdr>
      <w:divsChild>
        <w:div w:id="1835486180">
          <w:marLeft w:val="0"/>
          <w:marRight w:val="0"/>
          <w:marTop w:val="0"/>
          <w:marBottom w:val="0"/>
          <w:divBdr>
            <w:top w:val="none" w:sz="0" w:space="0" w:color="auto"/>
            <w:left w:val="none" w:sz="0" w:space="0" w:color="auto"/>
            <w:bottom w:val="none" w:sz="0" w:space="0" w:color="auto"/>
            <w:right w:val="none" w:sz="0" w:space="0" w:color="auto"/>
          </w:divBdr>
          <w:divsChild>
            <w:div w:id="2016608635">
              <w:marLeft w:val="0"/>
              <w:marRight w:val="0"/>
              <w:marTop w:val="0"/>
              <w:marBottom w:val="0"/>
              <w:divBdr>
                <w:top w:val="none" w:sz="0" w:space="0" w:color="auto"/>
                <w:left w:val="none" w:sz="0" w:space="0" w:color="auto"/>
                <w:bottom w:val="none" w:sz="0" w:space="0" w:color="auto"/>
                <w:right w:val="none" w:sz="0" w:space="0" w:color="auto"/>
              </w:divBdr>
            </w:div>
            <w:div w:id="1098478449">
              <w:marLeft w:val="0"/>
              <w:marRight w:val="0"/>
              <w:marTop w:val="0"/>
              <w:marBottom w:val="0"/>
              <w:divBdr>
                <w:top w:val="none" w:sz="0" w:space="0" w:color="auto"/>
                <w:left w:val="none" w:sz="0" w:space="0" w:color="auto"/>
                <w:bottom w:val="none" w:sz="0" w:space="0" w:color="auto"/>
                <w:right w:val="none" w:sz="0" w:space="0" w:color="auto"/>
              </w:divBdr>
            </w:div>
          </w:divsChild>
        </w:div>
        <w:div w:id="866256189">
          <w:marLeft w:val="0"/>
          <w:marRight w:val="0"/>
          <w:marTop w:val="0"/>
          <w:marBottom w:val="150"/>
          <w:divBdr>
            <w:top w:val="none" w:sz="0" w:space="0" w:color="auto"/>
            <w:left w:val="none" w:sz="0" w:space="0" w:color="auto"/>
            <w:bottom w:val="single" w:sz="6" w:space="0" w:color="CCCCCC"/>
            <w:right w:val="none" w:sz="0" w:space="0" w:color="auto"/>
          </w:divBdr>
          <w:divsChild>
            <w:div w:id="457528457">
              <w:marLeft w:val="300"/>
              <w:marRight w:val="0"/>
              <w:marTop w:val="0"/>
              <w:marBottom w:val="450"/>
              <w:divBdr>
                <w:top w:val="none" w:sz="0" w:space="0" w:color="auto"/>
                <w:left w:val="none" w:sz="0" w:space="0" w:color="auto"/>
                <w:bottom w:val="none" w:sz="0" w:space="0" w:color="auto"/>
                <w:right w:val="none" w:sz="0" w:space="0" w:color="auto"/>
              </w:divBdr>
            </w:div>
          </w:divsChild>
        </w:div>
      </w:divsChild>
    </w:div>
    <w:div w:id="343746740">
      <w:bodyDiv w:val="1"/>
      <w:marLeft w:val="0"/>
      <w:marRight w:val="0"/>
      <w:marTop w:val="0"/>
      <w:marBottom w:val="0"/>
      <w:divBdr>
        <w:top w:val="none" w:sz="0" w:space="0" w:color="auto"/>
        <w:left w:val="none" w:sz="0" w:space="0" w:color="auto"/>
        <w:bottom w:val="none" w:sz="0" w:space="0" w:color="auto"/>
        <w:right w:val="none" w:sz="0" w:space="0" w:color="auto"/>
      </w:divBdr>
      <w:divsChild>
        <w:div w:id="1042245825">
          <w:marLeft w:val="0"/>
          <w:marRight w:val="0"/>
          <w:marTop w:val="0"/>
          <w:marBottom w:val="0"/>
          <w:divBdr>
            <w:top w:val="none" w:sz="0" w:space="0" w:color="auto"/>
            <w:left w:val="none" w:sz="0" w:space="0" w:color="auto"/>
            <w:bottom w:val="none" w:sz="0" w:space="0" w:color="auto"/>
            <w:right w:val="none" w:sz="0" w:space="0" w:color="auto"/>
          </w:divBdr>
          <w:divsChild>
            <w:div w:id="1556115022">
              <w:marLeft w:val="0"/>
              <w:marRight w:val="0"/>
              <w:marTop w:val="0"/>
              <w:marBottom w:val="0"/>
              <w:divBdr>
                <w:top w:val="none" w:sz="0" w:space="0" w:color="auto"/>
                <w:left w:val="none" w:sz="0" w:space="0" w:color="auto"/>
                <w:bottom w:val="none" w:sz="0" w:space="0" w:color="auto"/>
                <w:right w:val="none" w:sz="0" w:space="0" w:color="auto"/>
              </w:divBdr>
            </w:div>
          </w:divsChild>
        </w:div>
        <w:div w:id="1310400354">
          <w:marLeft w:val="0"/>
          <w:marRight w:val="0"/>
          <w:marTop w:val="0"/>
          <w:marBottom w:val="0"/>
          <w:divBdr>
            <w:top w:val="none" w:sz="0" w:space="0" w:color="auto"/>
            <w:left w:val="none" w:sz="0" w:space="0" w:color="auto"/>
            <w:bottom w:val="none" w:sz="0" w:space="0" w:color="auto"/>
            <w:right w:val="none" w:sz="0" w:space="0" w:color="auto"/>
          </w:divBdr>
          <w:divsChild>
            <w:div w:id="1727752784">
              <w:marLeft w:val="0"/>
              <w:marRight w:val="0"/>
              <w:marTop w:val="0"/>
              <w:marBottom w:val="0"/>
              <w:divBdr>
                <w:top w:val="none" w:sz="0" w:space="0" w:color="auto"/>
                <w:left w:val="none" w:sz="0" w:space="0" w:color="auto"/>
                <w:bottom w:val="none" w:sz="0" w:space="0" w:color="auto"/>
                <w:right w:val="none" w:sz="0" w:space="0" w:color="auto"/>
              </w:divBdr>
            </w:div>
            <w:div w:id="300890922">
              <w:marLeft w:val="0"/>
              <w:marRight w:val="0"/>
              <w:marTop w:val="0"/>
              <w:marBottom w:val="0"/>
              <w:divBdr>
                <w:top w:val="none" w:sz="0" w:space="0" w:color="auto"/>
                <w:left w:val="none" w:sz="0" w:space="0" w:color="auto"/>
                <w:bottom w:val="none" w:sz="0" w:space="0" w:color="auto"/>
                <w:right w:val="none" w:sz="0" w:space="0" w:color="auto"/>
              </w:divBdr>
              <w:divsChild>
                <w:div w:id="90218363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54071658">
          <w:marLeft w:val="0"/>
          <w:marRight w:val="0"/>
          <w:marTop w:val="0"/>
          <w:marBottom w:val="0"/>
          <w:divBdr>
            <w:top w:val="none" w:sz="0" w:space="0" w:color="auto"/>
            <w:left w:val="none" w:sz="0" w:space="0" w:color="auto"/>
            <w:bottom w:val="none" w:sz="0" w:space="0" w:color="auto"/>
            <w:right w:val="none" w:sz="0" w:space="0" w:color="auto"/>
          </w:divBdr>
          <w:divsChild>
            <w:div w:id="338430254">
              <w:marLeft w:val="0"/>
              <w:marRight w:val="0"/>
              <w:marTop w:val="0"/>
              <w:marBottom w:val="0"/>
              <w:divBdr>
                <w:top w:val="none" w:sz="0" w:space="0" w:color="auto"/>
                <w:left w:val="none" w:sz="0" w:space="0" w:color="auto"/>
                <w:bottom w:val="none" w:sz="0" w:space="0" w:color="auto"/>
                <w:right w:val="none" w:sz="0" w:space="0" w:color="auto"/>
              </w:divBdr>
            </w:div>
            <w:div w:id="1597833954">
              <w:marLeft w:val="0"/>
              <w:marRight w:val="0"/>
              <w:marTop w:val="0"/>
              <w:marBottom w:val="0"/>
              <w:divBdr>
                <w:top w:val="none" w:sz="0" w:space="0" w:color="auto"/>
                <w:left w:val="none" w:sz="0" w:space="0" w:color="auto"/>
                <w:bottom w:val="none" w:sz="0" w:space="0" w:color="auto"/>
                <w:right w:val="none" w:sz="0" w:space="0" w:color="auto"/>
              </w:divBdr>
              <w:divsChild>
                <w:div w:id="661546457">
                  <w:marLeft w:val="300"/>
                  <w:marRight w:val="0"/>
                  <w:marTop w:val="0"/>
                  <w:marBottom w:val="0"/>
                  <w:divBdr>
                    <w:top w:val="none" w:sz="0" w:space="0" w:color="auto"/>
                    <w:left w:val="none" w:sz="0" w:space="0" w:color="auto"/>
                    <w:bottom w:val="none" w:sz="0" w:space="0" w:color="auto"/>
                    <w:right w:val="none" w:sz="0" w:space="0" w:color="auto"/>
                  </w:divBdr>
                </w:div>
              </w:divsChild>
            </w:div>
            <w:div w:id="144906091">
              <w:marLeft w:val="0"/>
              <w:marRight w:val="0"/>
              <w:marTop w:val="0"/>
              <w:marBottom w:val="0"/>
              <w:divBdr>
                <w:top w:val="none" w:sz="0" w:space="0" w:color="auto"/>
                <w:left w:val="none" w:sz="0" w:space="0" w:color="auto"/>
                <w:bottom w:val="none" w:sz="0" w:space="0" w:color="auto"/>
                <w:right w:val="none" w:sz="0" w:space="0" w:color="auto"/>
              </w:divBdr>
              <w:divsChild>
                <w:div w:id="404768012">
                  <w:marLeft w:val="300"/>
                  <w:marRight w:val="0"/>
                  <w:marTop w:val="0"/>
                  <w:marBottom w:val="0"/>
                  <w:divBdr>
                    <w:top w:val="none" w:sz="0" w:space="0" w:color="auto"/>
                    <w:left w:val="none" w:sz="0" w:space="0" w:color="auto"/>
                    <w:bottom w:val="none" w:sz="0" w:space="0" w:color="auto"/>
                    <w:right w:val="none" w:sz="0" w:space="0" w:color="auto"/>
                  </w:divBdr>
                </w:div>
              </w:divsChild>
            </w:div>
            <w:div w:id="1944609399">
              <w:marLeft w:val="0"/>
              <w:marRight w:val="0"/>
              <w:marTop w:val="0"/>
              <w:marBottom w:val="0"/>
              <w:divBdr>
                <w:top w:val="none" w:sz="0" w:space="0" w:color="auto"/>
                <w:left w:val="none" w:sz="0" w:space="0" w:color="auto"/>
                <w:bottom w:val="none" w:sz="0" w:space="0" w:color="auto"/>
                <w:right w:val="none" w:sz="0" w:space="0" w:color="auto"/>
              </w:divBdr>
              <w:divsChild>
                <w:div w:id="2011447370">
                  <w:marLeft w:val="300"/>
                  <w:marRight w:val="0"/>
                  <w:marTop w:val="0"/>
                  <w:marBottom w:val="0"/>
                  <w:divBdr>
                    <w:top w:val="none" w:sz="0" w:space="0" w:color="auto"/>
                    <w:left w:val="none" w:sz="0" w:space="0" w:color="auto"/>
                    <w:bottom w:val="none" w:sz="0" w:space="0" w:color="auto"/>
                    <w:right w:val="none" w:sz="0" w:space="0" w:color="auto"/>
                  </w:divBdr>
                </w:div>
              </w:divsChild>
            </w:div>
            <w:div w:id="1883133635">
              <w:marLeft w:val="0"/>
              <w:marRight w:val="0"/>
              <w:marTop w:val="0"/>
              <w:marBottom w:val="0"/>
              <w:divBdr>
                <w:top w:val="none" w:sz="0" w:space="0" w:color="auto"/>
                <w:left w:val="none" w:sz="0" w:space="0" w:color="auto"/>
                <w:bottom w:val="none" w:sz="0" w:space="0" w:color="auto"/>
                <w:right w:val="none" w:sz="0" w:space="0" w:color="auto"/>
              </w:divBdr>
              <w:divsChild>
                <w:div w:id="352537908">
                  <w:marLeft w:val="300"/>
                  <w:marRight w:val="0"/>
                  <w:marTop w:val="0"/>
                  <w:marBottom w:val="0"/>
                  <w:divBdr>
                    <w:top w:val="none" w:sz="0" w:space="0" w:color="auto"/>
                    <w:left w:val="none" w:sz="0" w:space="0" w:color="auto"/>
                    <w:bottom w:val="none" w:sz="0" w:space="0" w:color="auto"/>
                    <w:right w:val="none" w:sz="0" w:space="0" w:color="auto"/>
                  </w:divBdr>
                </w:div>
              </w:divsChild>
            </w:div>
            <w:div w:id="1240285262">
              <w:marLeft w:val="0"/>
              <w:marRight w:val="0"/>
              <w:marTop w:val="0"/>
              <w:marBottom w:val="0"/>
              <w:divBdr>
                <w:top w:val="none" w:sz="0" w:space="0" w:color="auto"/>
                <w:left w:val="none" w:sz="0" w:space="0" w:color="auto"/>
                <w:bottom w:val="none" w:sz="0" w:space="0" w:color="auto"/>
                <w:right w:val="none" w:sz="0" w:space="0" w:color="auto"/>
              </w:divBdr>
              <w:divsChild>
                <w:div w:id="619805550">
                  <w:marLeft w:val="300"/>
                  <w:marRight w:val="0"/>
                  <w:marTop w:val="0"/>
                  <w:marBottom w:val="0"/>
                  <w:divBdr>
                    <w:top w:val="none" w:sz="0" w:space="0" w:color="auto"/>
                    <w:left w:val="none" w:sz="0" w:space="0" w:color="auto"/>
                    <w:bottom w:val="none" w:sz="0" w:space="0" w:color="auto"/>
                    <w:right w:val="none" w:sz="0" w:space="0" w:color="auto"/>
                  </w:divBdr>
                </w:div>
                <w:div w:id="1242985417">
                  <w:marLeft w:val="0"/>
                  <w:marRight w:val="0"/>
                  <w:marTop w:val="0"/>
                  <w:marBottom w:val="0"/>
                  <w:divBdr>
                    <w:top w:val="none" w:sz="0" w:space="0" w:color="auto"/>
                    <w:left w:val="none" w:sz="0" w:space="0" w:color="auto"/>
                    <w:bottom w:val="none" w:sz="0" w:space="0" w:color="auto"/>
                    <w:right w:val="none" w:sz="0" w:space="0" w:color="auto"/>
                  </w:divBdr>
                  <w:divsChild>
                    <w:div w:id="1706639830">
                      <w:marLeft w:val="300"/>
                      <w:marRight w:val="0"/>
                      <w:marTop w:val="0"/>
                      <w:marBottom w:val="0"/>
                      <w:divBdr>
                        <w:top w:val="none" w:sz="0" w:space="0" w:color="auto"/>
                        <w:left w:val="none" w:sz="0" w:space="0" w:color="auto"/>
                        <w:bottom w:val="none" w:sz="0" w:space="0" w:color="auto"/>
                        <w:right w:val="none" w:sz="0" w:space="0" w:color="auto"/>
                      </w:divBdr>
                    </w:div>
                  </w:divsChild>
                </w:div>
                <w:div w:id="736167193">
                  <w:marLeft w:val="0"/>
                  <w:marRight w:val="0"/>
                  <w:marTop w:val="0"/>
                  <w:marBottom w:val="0"/>
                  <w:divBdr>
                    <w:top w:val="none" w:sz="0" w:space="0" w:color="auto"/>
                    <w:left w:val="none" w:sz="0" w:space="0" w:color="auto"/>
                    <w:bottom w:val="none" w:sz="0" w:space="0" w:color="auto"/>
                    <w:right w:val="none" w:sz="0" w:space="0" w:color="auto"/>
                  </w:divBdr>
                  <w:divsChild>
                    <w:div w:id="92093812">
                      <w:marLeft w:val="300"/>
                      <w:marRight w:val="0"/>
                      <w:marTop w:val="0"/>
                      <w:marBottom w:val="0"/>
                      <w:divBdr>
                        <w:top w:val="none" w:sz="0" w:space="0" w:color="auto"/>
                        <w:left w:val="none" w:sz="0" w:space="0" w:color="auto"/>
                        <w:bottom w:val="none" w:sz="0" w:space="0" w:color="auto"/>
                        <w:right w:val="none" w:sz="0" w:space="0" w:color="auto"/>
                      </w:divBdr>
                    </w:div>
                  </w:divsChild>
                </w:div>
                <w:div w:id="1152790506">
                  <w:marLeft w:val="0"/>
                  <w:marRight w:val="0"/>
                  <w:marTop w:val="0"/>
                  <w:marBottom w:val="0"/>
                  <w:divBdr>
                    <w:top w:val="none" w:sz="0" w:space="0" w:color="auto"/>
                    <w:left w:val="none" w:sz="0" w:space="0" w:color="auto"/>
                    <w:bottom w:val="none" w:sz="0" w:space="0" w:color="auto"/>
                    <w:right w:val="none" w:sz="0" w:space="0" w:color="auto"/>
                  </w:divBdr>
                  <w:divsChild>
                    <w:div w:id="60781115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46622053">
              <w:marLeft w:val="0"/>
              <w:marRight w:val="0"/>
              <w:marTop w:val="0"/>
              <w:marBottom w:val="0"/>
              <w:divBdr>
                <w:top w:val="none" w:sz="0" w:space="0" w:color="auto"/>
                <w:left w:val="none" w:sz="0" w:space="0" w:color="auto"/>
                <w:bottom w:val="none" w:sz="0" w:space="0" w:color="auto"/>
                <w:right w:val="none" w:sz="0" w:space="0" w:color="auto"/>
              </w:divBdr>
              <w:divsChild>
                <w:div w:id="3153815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51605695">
          <w:marLeft w:val="0"/>
          <w:marRight w:val="0"/>
          <w:marTop w:val="0"/>
          <w:marBottom w:val="0"/>
          <w:divBdr>
            <w:top w:val="none" w:sz="0" w:space="0" w:color="auto"/>
            <w:left w:val="none" w:sz="0" w:space="0" w:color="auto"/>
            <w:bottom w:val="none" w:sz="0" w:space="0" w:color="auto"/>
            <w:right w:val="none" w:sz="0" w:space="0" w:color="auto"/>
          </w:divBdr>
          <w:divsChild>
            <w:div w:id="1673993091">
              <w:marLeft w:val="0"/>
              <w:marRight w:val="0"/>
              <w:marTop w:val="0"/>
              <w:marBottom w:val="0"/>
              <w:divBdr>
                <w:top w:val="none" w:sz="0" w:space="0" w:color="auto"/>
                <w:left w:val="none" w:sz="0" w:space="0" w:color="auto"/>
                <w:bottom w:val="none" w:sz="0" w:space="0" w:color="auto"/>
                <w:right w:val="none" w:sz="0" w:space="0" w:color="auto"/>
              </w:divBdr>
            </w:div>
            <w:div w:id="1683125807">
              <w:marLeft w:val="0"/>
              <w:marRight w:val="0"/>
              <w:marTop w:val="0"/>
              <w:marBottom w:val="0"/>
              <w:divBdr>
                <w:top w:val="none" w:sz="0" w:space="0" w:color="auto"/>
                <w:left w:val="none" w:sz="0" w:space="0" w:color="auto"/>
                <w:bottom w:val="none" w:sz="0" w:space="0" w:color="auto"/>
                <w:right w:val="none" w:sz="0" w:space="0" w:color="auto"/>
              </w:divBdr>
              <w:divsChild>
                <w:div w:id="1938439885">
                  <w:marLeft w:val="300"/>
                  <w:marRight w:val="0"/>
                  <w:marTop w:val="0"/>
                  <w:marBottom w:val="0"/>
                  <w:divBdr>
                    <w:top w:val="none" w:sz="0" w:space="0" w:color="auto"/>
                    <w:left w:val="none" w:sz="0" w:space="0" w:color="auto"/>
                    <w:bottom w:val="none" w:sz="0" w:space="0" w:color="auto"/>
                    <w:right w:val="none" w:sz="0" w:space="0" w:color="auto"/>
                  </w:divBdr>
                </w:div>
              </w:divsChild>
            </w:div>
            <w:div w:id="327095775">
              <w:marLeft w:val="0"/>
              <w:marRight w:val="0"/>
              <w:marTop w:val="0"/>
              <w:marBottom w:val="0"/>
              <w:divBdr>
                <w:top w:val="none" w:sz="0" w:space="0" w:color="auto"/>
                <w:left w:val="none" w:sz="0" w:space="0" w:color="auto"/>
                <w:bottom w:val="none" w:sz="0" w:space="0" w:color="auto"/>
                <w:right w:val="none" w:sz="0" w:space="0" w:color="auto"/>
              </w:divBdr>
              <w:divsChild>
                <w:div w:id="199131046">
                  <w:marLeft w:val="300"/>
                  <w:marRight w:val="0"/>
                  <w:marTop w:val="0"/>
                  <w:marBottom w:val="0"/>
                  <w:divBdr>
                    <w:top w:val="none" w:sz="0" w:space="0" w:color="auto"/>
                    <w:left w:val="none" w:sz="0" w:space="0" w:color="auto"/>
                    <w:bottom w:val="none" w:sz="0" w:space="0" w:color="auto"/>
                    <w:right w:val="none" w:sz="0" w:space="0" w:color="auto"/>
                  </w:divBdr>
                </w:div>
                <w:div w:id="1125738583">
                  <w:marLeft w:val="0"/>
                  <w:marRight w:val="0"/>
                  <w:marTop w:val="0"/>
                  <w:marBottom w:val="0"/>
                  <w:divBdr>
                    <w:top w:val="none" w:sz="0" w:space="0" w:color="auto"/>
                    <w:left w:val="none" w:sz="0" w:space="0" w:color="auto"/>
                    <w:bottom w:val="none" w:sz="0" w:space="0" w:color="auto"/>
                    <w:right w:val="none" w:sz="0" w:space="0" w:color="auto"/>
                  </w:divBdr>
                </w:div>
                <w:div w:id="2010867108">
                  <w:marLeft w:val="0"/>
                  <w:marRight w:val="0"/>
                  <w:marTop w:val="0"/>
                  <w:marBottom w:val="0"/>
                  <w:divBdr>
                    <w:top w:val="none" w:sz="0" w:space="0" w:color="auto"/>
                    <w:left w:val="none" w:sz="0" w:space="0" w:color="auto"/>
                    <w:bottom w:val="none" w:sz="0" w:space="0" w:color="auto"/>
                    <w:right w:val="none" w:sz="0" w:space="0" w:color="auto"/>
                  </w:divBdr>
                </w:div>
                <w:div w:id="40980487">
                  <w:marLeft w:val="375"/>
                  <w:marRight w:val="375"/>
                  <w:marTop w:val="0"/>
                  <w:marBottom w:val="0"/>
                  <w:divBdr>
                    <w:top w:val="none" w:sz="0" w:space="0" w:color="auto"/>
                    <w:left w:val="none" w:sz="0" w:space="0" w:color="auto"/>
                    <w:bottom w:val="none" w:sz="0" w:space="0" w:color="auto"/>
                    <w:right w:val="none" w:sz="0" w:space="0" w:color="auto"/>
                  </w:divBdr>
                  <w:divsChild>
                    <w:div w:id="581646750">
                      <w:marLeft w:val="0"/>
                      <w:marRight w:val="0"/>
                      <w:marTop w:val="0"/>
                      <w:marBottom w:val="0"/>
                      <w:divBdr>
                        <w:top w:val="none" w:sz="0" w:space="0" w:color="auto"/>
                        <w:left w:val="none" w:sz="0" w:space="0" w:color="auto"/>
                        <w:bottom w:val="none" w:sz="0" w:space="0" w:color="auto"/>
                        <w:right w:val="none" w:sz="0" w:space="0" w:color="auto"/>
                      </w:divBdr>
                    </w:div>
                    <w:div w:id="2084525692">
                      <w:marLeft w:val="0"/>
                      <w:marRight w:val="0"/>
                      <w:marTop w:val="150"/>
                      <w:marBottom w:val="0"/>
                      <w:divBdr>
                        <w:top w:val="none" w:sz="0" w:space="0" w:color="auto"/>
                        <w:left w:val="none" w:sz="0" w:space="0" w:color="auto"/>
                        <w:bottom w:val="none" w:sz="0" w:space="0" w:color="auto"/>
                        <w:right w:val="none" w:sz="0" w:space="0" w:color="auto"/>
                      </w:divBdr>
                    </w:div>
                  </w:divsChild>
                </w:div>
                <w:div w:id="216163338">
                  <w:marLeft w:val="0"/>
                  <w:marRight w:val="0"/>
                  <w:marTop w:val="0"/>
                  <w:marBottom w:val="0"/>
                  <w:divBdr>
                    <w:top w:val="none" w:sz="0" w:space="0" w:color="auto"/>
                    <w:left w:val="none" w:sz="0" w:space="0" w:color="auto"/>
                    <w:bottom w:val="none" w:sz="0" w:space="0" w:color="auto"/>
                    <w:right w:val="none" w:sz="0" w:space="0" w:color="auto"/>
                  </w:divBdr>
                </w:div>
                <w:div w:id="471976">
                  <w:marLeft w:val="0"/>
                  <w:marRight w:val="0"/>
                  <w:marTop w:val="0"/>
                  <w:marBottom w:val="0"/>
                  <w:divBdr>
                    <w:top w:val="none" w:sz="0" w:space="0" w:color="auto"/>
                    <w:left w:val="none" w:sz="0" w:space="0" w:color="auto"/>
                    <w:bottom w:val="none" w:sz="0" w:space="0" w:color="auto"/>
                    <w:right w:val="none" w:sz="0" w:space="0" w:color="auto"/>
                  </w:divBdr>
                </w:div>
                <w:div w:id="285166364">
                  <w:marLeft w:val="375"/>
                  <w:marRight w:val="375"/>
                  <w:marTop w:val="0"/>
                  <w:marBottom w:val="0"/>
                  <w:divBdr>
                    <w:top w:val="none" w:sz="0" w:space="0" w:color="auto"/>
                    <w:left w:val="none" w:sz="0" w:space="0" w:color="auto"/>
                    <w:bottom w:val="none" w:sz="0" w:space="0" w:color="auto"/>
                    <w:right w:val="none" w:sz="0" w:space="0" w:color="auto"/>
                  </w:divBdr>
                  <w:divsChild>
                    <w:div w:id="1169710439">
                      <w:marLeft w:val="0"/>
                      <w:marRight w:val="0"/>
                      <w:marTop w:val="0"/>
                      <w:marBottom w:val="0"/>
                      <w:divBdr>
                        <w:top w:val="none" w:sz="0" w:space="0" w:color="auto"/>
                        <w:left w:val="none" w:sz="0" w:space="0" w:color="auto"/>
                        <w:bottom w:val="none" w:sz="0" w:space="0" w:color="auto"/>
                        <w:right w:val="none" w:sz="0" w:space="0" w:color="auto"/>
                      </w:divBdr>
                    </w:div>
                    <w:div w:id="1404449162">
                      <w:marLeft w:val="0"/>
                      <w:marRight w:val="0"/>
                      <w:marTop w:val="150"/>
                      <w:marBottom w:val="0"/>
                      <w:divBdr>
                        <w:top w:val="none" w:sz="0" w:space="0" w:color="auto"/>
                        <w:left w:val="none" w:sz="0" w:space="0" w:color="auto"/>
                        <w:bottom w:val="none" w:sz="0" w:space="0" w:color="auto"/>
                        <w:right w:val="none" w:sz="0" w:space="0" w:color="auto"/>
                      </w:divBdr>
                    </w:div>
                  </w:divsChild>
                </w:div>
                <w:div w:id="1082336839">
                  <w:marLeft w:val="300"/>
                  <w:marRight w:val="0"/>
                  <w:marTop w:val="0"/>
                  <w:marBottom w:val="0"/>
                  <w:divBdr>
                    <w:top w:val="none" w:sz="0" w:space="0" w:color="auto"/>
                    <w:left w:val="none" w:sz="0" w:space="0" w:color="auto"/>
                    <w:bottom w:val="none" w:sz="0" w:space="0" w:color="auto"/>
                    <w:right w:val="none" w:sz="0" w:space="0" w:color="auto"/>
                  </w:divBdr>
                  <w:divsChild>
                    <w:div w:id="1542858583">
                      <w:marLeft w:val="0"/>
                      <w:marRight w:val="0"/>
                      <w:marTop w:val="0"/>
                      <w:marBottom w:val="0"/>
                      <w:divBdr>
                        <w:top w:val="none" w:sz="0" w:space="0" w:color="auto"/>
                        <w:left w:val="none" w:sz="0" w:space="0" w:color="auto"/>
                        <w:bottom w:val="none" w:sz="0" w:space="0" w:color="auto"/>
                        <w:right w:val="none" w:sz="0" w:space="0" w:color="auto"/>
                      </w:divBdr>
                      <w:divsChild>
                        <w:div w:id="85808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853722">
          <w:marLeft w:val="0"/>
          <w:marRight w:val="0"/>
          <w:marTop w:val="0"/>
          <w:marBottom w:val="0"/>
          <w:divBdr>
            <w:top w:val="none" w:sz="0" w:space="0" w:color="auto"/>
            <w:left w:val="none" w:sz="0" w:space="0" w:color="auto"/>
            <w:bottom w:val="none" w:sz="0" w:space="0" w:color="auto"/>
            <w:right w:val="none" w:sz="0" w:space="0" w:color="auto"/>
          </w:divBdr>
          <w:divsChild>
            <w:div w:id="976880702">
              <w:marLeft w:val="0"/>
              <w:marRight w:val="0"/>
              <w:marTop w:val="0"/>
              <w:marBottom w:val="0"/>
              <w:divBdr>
                <w:top w:val="none" w:sz="0" w:space="0" w:color="auto"/>
                <w:left w:val="none" w:sz="0" w:space="0" w:color="auto"/>
                <w:bottom w:val="none" w:sz="0" w:space="0" w:color="auto"/>
                <w:right w:val="none" w:sz="0" w:space="0" w:color="auto"/>
              </w:divBdr>
            </w:div>
          </w:divsChild>
        </w:div>
        <w:div w:id="797843793">
          <w:marLeft w:val="0"/>
          <w:marRight w:val="0"/>
          <w:marTop w:val="0"/>
          <w:marBottom w:val="0"/>
          <w:divBdr>
            <w:top w:val="none" w:sz="0" w:space="0" w:color="auto"/>
            <w:left w:val="none" w:sz="0" w:space="0" w:color="auto"/>
            <w:bottom w:val="none" w:sz="0" w:space="0" w:color="auto"/>
            <w:right w:val="none" w:sz="0" w:space="0" w:color="auto"/>
          </w:divBdr>
        </w:div>
        <w:div w:id="990594368">
          <w:marLeft w:val="0"/>
          <w:marRight w:val="0"/>
          <w:marTop w:val="0"/>
          <w:marBottom w:val="0"/>
          <w:divBdr>
            <w:top w:val="none" w:sz="0" w:space="0" w:color="auto"/>
            <w:left w:val="none" w:sz="0" w:space="0" w:color="auto"/>
            <w:bottom w:val="none" w:sz="0" w:space="0" w:color="auto"/>
            <w:right w:val="none" w:sz="0" w:space="0" w:color="auto"/>
          </w:divBdr>
        </w:div>
      </w:divsChild>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834645164">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sagepub.com/doi/10.1177/0193945918806689" TargetMode="External"/><Relationship Id="rId21" Type="http://schemas.openxmlformats.org/officeDocument/2006/relationships/hyperlink" Target="https://journals.sagepub.com/doi/10.1177/0193945918806689" TargetMode="External"/><Relationship Id="rId42" Type="http://schemas.openxmlformats.org/officeDocument/2006/relationships/hyperlink" Target="https://journals.sagepub.com/doi/10.1177/0193945918806689" TargetMode="External"/><Relationship Id="rId47" Type="http://schemas.openxmlformats.org/officeDocument/2006/relationships/hyperlink" Target="https://journals.sagepub.com/doi/10.1177/0193945918806689" TargetMode="External"/><Relationship Id="rId63" Type="http://schemas.openxmlformats.org/officeDocument/2006/relationships/hyperlink" Target="https://journals.sagepub.com/doi/10.1177/0193945918806689" TargetMode="External"/><Relationship Id="rId68" Type="http://schemas.openxmlformats.org/officeDocument/2006/relationships/hyperlink" Target="https://journals.sagepub.com/doi/10.1177/0193945918806689" TargetMode="External"/><Relationship Id="rId84" Type="http://schemas.openxmlformats.org/officeDocument/2006/relationships/hyperlink" Target="https://www.r-project.org/" TargetMode="External"/><Relationship Id="rId16" Type="http://schemas.openxmlformats.org/officeDocument/2006/relationships/hyperlink" Target="https://journals.sagepub.com/doi/10.1177/0193945918806689" TargetMode="External"/><Relationship Id="rId11" Type="http://schemas.openxmlformats.org/officeDocument/2006/relationships/hyperlink" Target="https://journals.sagepub.com/keyword/Partner" TargetMode="External"/><Relationship Id="rId32" Type="http://schemas.openxmlformats.org/officeDocument/2006/relationships/hyperlink" Target="https://journals.sagepub.com/doi/10.1177/0193945918806689" TargetMode="External"/><Relationship Id="rId37" Type="http://schemas.openxmlformats.org/officeDocument/2006/relationships/hyperlink" Target="https://journals.sagepub.com/doi/10.1177/0193945918806689" TargetMode="External"/><Relationship Id="rId53" Type="http://schemas.openxmlformats.org/officeDocument/2006/relationships/hyperlink" Target="https://journals.sagepub.com/doi/10.1177/0193945918806689" TargetMode="External"/><Relationship Id="rId58" Type="http://schemas.openxmlformats.org/officeDocument/2006/relationships/hyperlink" Target="https://journals.sagepub.com/doi/10.1177/0193945918806689" TargetMode="External"/><Relationship Id="rId74" Type="http://schemas.openxmlformats.org/officeDocument/2006/relationships/hyperlink" Target="https://journals.sagepub.com/doi/10.1177/0193945918806689" TargetMode="External"/><Relationship Id="rId79" Type="http://schemas.openxmlformats.org/officeDocument/2006/relationships/hyperlink" Target="https://journals.sagepub.com/doi/10.1177/0193945918806689" TargetMode="External"/><Relationship Id="rId5" Type="http://schemas.openxmlformats.org/officeDocument/2006/relationships/styles" Target="styles.xml"/><Relationship Id="rId19" Type="http://schemas.openxmlformats.org/officeDocument/2006/relationships/hyperlink" Target="https://journals.sagepub.com/doi/10.1177/0193945918806689" TargetMode="External"/><Relationship Id="rId14" Type="http://schemas.openxmlformats.org/officeDocument/2006/relationships/hyperlink" Target="https://journals.sagepub.com/keyword/Young-onset+Dementia" TargetMode="External"/><Relationship Id="rId22" Type="http://schemas.openxmlformats.org/officeDocument/2006/relationships/hyperlink" Target="https://journals.sagepub.com/doi/10.1177/0193945918806689" TargetMode="External"/><Relationship Id="rId27" Type="http://schemas.openxmlformats.org/officeDocument/2006/relationships/hyperlink" Target="https://journals.sagepub.com/doi/10.1177/0193945918806689" TargetMode="External"/><Relationship Id="rId30" Type="http://schemas.openxmlformats.org/officeDocument/2006/relationships/hyperlink" Target="https://journals.sagepub.com/doi/10.1177/0193945918806689" TargetMode="External"/><Relationship Id="rId35" Type="http://schemas.openxmlformats.org/officeDocument/2006/relationships/hyperlink" Target="https://journals.sagepub.com/doi/10.1177/0193945918806689" TargetMode="External"/><Relationship Id="rId43" Type="http://schemas.openxmlformats.org/officeDocument/2006/relationships/hyperlink" Target="https://journals.sagepub.com/doi/10.1177/0193945918806689" TargetMode="External"/><Relationship Id="rId48" Type="http://schemas.openxmlformats.org/officeDocument/2006/relationships/hyperlink" Target="https://journals.sagepub.com/doi/10.1177/0193945918806689" TargetMode="External"/><Relationship Id="rId56" Type="http://schemas.openxmlformats.org/officeDocument/2006/relationships/hyperlink" Target="https://journals.sagepub.com/doi/10.1177/0193945918806689" TargetMode="External"/><Relationship Id="rId64" Type="http://schemas.openxmlformats.org/officeDocument/2006/relationships/image" Target="media/image1.gif"/><Relationship Id="rId69" Type="http://schemas.openxmlformats.org/officeDocument/2006/relationships/hyperlink" Target="https://journals.sagepub.com/doi/10.1177/0193945918806689" TargetMode="External"/><Relationship Id="rId77" Type="http://schemas.openxmlformats.org/officeDocument/2006/relationships/hyperlink" Target="https://journals.sagepub.com/doi/10.1177/0193945918806689" TargetMode="External"/><Relationship Id="rId8" Type="http://schemas.openxmlformats.org/officeDocument/2006/relationships/hyperlink" Target="10.1177/0193945918806689" TargetMode="External"/><Relationship Id="rId51" Type="http://schemas.openxmlformats.org/officeDocument/2006/relationships/hyperlink" Target="https://journals.sagepub.com/doi/10.1177/0193945918806689" TargetMode="External"/><Relationship Id="rId72" Type="http://schemas.openxmlformats.org/officeDocument/2006/relationships/hyperlink" Target="https://journals.sagepub.com/doi/10.1177/0193945918806689" TargetMode="External"/><Relationship Id="rId80" Type="http://schemas.openxmlformats.org/officeDocument/2006/relationships/hyperlink" Target="https://www.alz.org/national/documents/report_earlyonset_full.pdf" TargetMode="External"/><Relationship Id="rId85" Type="http://schemas.openxmlformats.org/officeDocument/2006/relationships/hyperlink" Target="https://cran.r-project.org/package=semTools" TargetMode="External"/><Relationship Id="rId3" Type="http://schemas.openxmlformats.org/officeDocument/2006/relationships/customXml" Target="../customXml/item3.xml"/><Relationship Id="rId12" Type="http://schemas.openxmlformats.org/officeDocument/2006/relationships/hyperlink" Target="https://journals.sagepub.com/keyword/Predeath+Grief" TargetMode="External"/><Relationship Id="rId17" Type="http://schemas.openxmlformats.org/officeDocument/2006/relationships/hyperlink" Target="https://journals.sagepub.com/doi/10.1177/0193945918806689" TargetMode="External"/><Relationship Id="rId25" Type="http://schemas.openxmlformats.org/officeDocument/2006/relationships/hyperlink" Target="https://journals.sagepub.com/doi/10.1177/0193945918806689" TargetMode="External"/><Relationship Id="rId33" Type="http://schemas.openxmlformats.org/officeDocument/2006/relationships/hyperlink" Target="https://journals.sagepub.com/doi/10.1177/0193945918806689" TargetMode="External"/><Relationship Id="rId38" Type="http://schemas.openxmlformats.org/officeDocument/2006/relationships/hyperlink" Target="https://journals.sagepub.com/doi/10.1177/0193945918806689" TargetMode="External"/><Relationship Id="rId46" Type="http://schemas.openxmlformats.org/officeDocument/2006/relationships/hyperlink" Target="https://journals.sagepub.com/doi/10.1177/0193945918806689" TargetMode="External"/><Relationship Id="rId59" Type="http://schemas.openxmlformats.org/officeDocument/2006/relationships/hyperlink" Target="https://journals.sagepub.com/doi/10.1177/0193945918806689" TargetMode="External"/><Relationship Id="rId67" Type="http://schemas.openxmlformats.org/officeDocument/2006/relationships/hyperlink" Target="https://journals.sagepub.com/doi/10.1177/0193945918806689" TargetMode="External"/><Relationship Id="rId20" Type="http://schemas.openxmlformats.org/officeDocument/2006/relationships/hyperlink" Target="https://journals.sagepub.com/doi/10.1177/0193945918806689" TargetMode="External"/><Relationship Id="rId41" Type="http://schemas.openxmlformats.org/officeDocument/2006/relationships/hyperlink" Target="https://journals.sagepub.com/doi/10.1177/0193945918806689" TargetMode="External"/><Relationship Id="rId54" Type="http://schemas.openxmlformats.org/officeDocument/2006/relationships/hyperlink" Target="https://journals.sagepub.com/doi/10.1177/0193945918806689" TargetMode="External"/><Relationship Id="rId62" Type="http://schemas.openxmlformats.org/officeDocument/2006/relationships/hyperlink" Target="https://journals.sagepub.com/doi/10.1177/0193945918806689" TargetMode="External"/><Relationship Id="rId70" Type="http://schemas.openxmlformats.org/officeDocument/2006/relationships/hyperlink" Target="https://journals.sagepub.com/doi/10.1177/0193945918806689" TargetMode="External"/><Relationship Id="rId75" Type="http://schemas.openxmlformats.org/officeDocument/2006/relationships/hyperlink" Target="https://journals.sagepub.com/doi/10.1177/0193945918806689" TargetMode="External"/><Relationship Id="rId83" Type="http://schemas.openxmlformats.org/officeDocument/2006/relationships/hyperlink" Target="http://www.apa.org/helpcenter/road-resilience.aspx"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journals.sagepub.com/doi/10.1177/0193945918806689" TargetMode="External"/><Relationship Id="rId23" Type="http://schemas.openxmlformats.org/officeDocument/2006/relationships/hyperlink" Target="https://journals.sagepub.com/doi/10.1177/0193945918806689" TargetMode="External"/><Relationship Id="rId28" Type="http://schemas.openxmlformats.org/officeDocument/2006/relationships/hyperlink" Target="https://journals.sagepub.com/doi/10.1177/0193945918806689" TargetMode="External"/><Relationship Id="rId36" Type="http://schemas.openxmlformats.org/officeDocument/2006/relationships/hyperlink" Target="https://journals.sagepub.com/doi/10.1177/0193945918806689" TargetMode="External"/><Relationship Id="rId49" Type="http://schemas.openxmlformats.org/officeDocument/2006/relationships/hyperlink" Target="https://journals.sagepub.com/doi/10.1177/0193945918806689" TargetMode="External"/><Relationship Id="rId57" Type="http://schemas.openxmlformats.org/officeDocument/2006/relationships/hyperlink" Target="https://journals.sagepub.com/doi/10.1177/0193945918806689" TargetMode="External"/><Relationship Id="rId10" Type="http://schemas.openxmlformats.org/officeDocument/2006/relationships/hyperlink" Target="https://journals.sagepub.com/keyword/Caregiver+Stress" TargetMode="External"/><Relationship Id="rId31" Type="http://schemas.openxmlformats.org/officeDocument/2006/relationships/hyperlink" Target="https://journals.sagepub.com/doi/10.1177/0193945918806689" TargetMode="External"/><Relationship Id="rId44" Type="http://schemas.openxmlformats.org/officeDocument/2006/relationships/hyperlink" Target="https://journals.sagepub.com/doi/10.1177/0193945918806689" TargetMode="External"/><Relationship Id="rId52" Type="http://schemas.openxmlformats.org/officeDocument/2006/relationships/hyperlink" Target="https://journals.sagepub.com/doi/10.1177/0193945918806689" TargetMode="External"/><Relationship Id="rId60" Type="http://schemas.openxmlformats.org/officeDocument/2006/relationships/hyperlink" Target="https://journals.sagepub.com/doi/10.1177/0193945918806689" TargetMode="External"/><Relationship Id="rId65" Type="http://schemas.openxmlformats.org/officeDocument/2006/relationships/hyperlink" Target="https://journals.sagepub.com/doi/10.1177/0193945918806689" TargetMode="External"/><Relationship Id="rId73" Type="http://schemas.openxmlformats.org/officeDocument/2006/relationships/hyperlink" Target="https://journals.sagepub.com/doi/10.1177/0193945918806689" TargetMode="External"/><Relationship Id="rId78" Type="http://schemas.openxmlformats.org/officeDocument/2006/relationships/hyperlink" Target="https://journals.sagepub.com/doi/10.1177/0193945918806689" TargetMode="External"/><Relationship Id="rId81" Type="http://schemas.openxmlformats.org/officeDocument/2006/relationships/hyperlink" Target="https://www.alz.org/media/HomeOffice/Facts%20and%20Figures/facts-and-figures.pdf" TargetMode="External"/><Relationship Id="rId86"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journals.sagepub.com/keyword/Resourcefulness" TargetMode="External"/><Relationship Id="rId18" Type="http://schemas.openxmlformats.org/officeDocument/2006/relationships/hyperlink" Target="https://journals.sagepub.com/doi/10.1177/0193945918806689" TargetMode="External"/><Relationship Id="rId39" Type="http://schemas.openxmlformats.org/officeDocument/2006/relationships/hyperlink" Target="https://journals.sagepub.com/doi/10.1177/0193945918806689" TargetMode="External"/><Relationship Id="rId34" Type="http://schemas.openxmlformats.org/officeDocument/2006/relationships/hyperlink" Target="https://journals.sagepub.com/doi/10.1177/0193945918806689" TargetMode="External"/><Relationship Id="rId50" Type="http://schemas.openxmlformats.org/officeDocument/2006/relationships/hyperlink" Target="https://journals.sagepub.com/doi/10.1177/0193945918806689" TargetMode="External"/><Relationship Id="rId55" Type="http://schemas.openxmlformats.org/officeDocument/2006/relationships/hyperlink" Target="https://journals.sagepub.com/doi/10.1177/0193945918806689" TargetMode="External"/><Relationship Id="rId76" Type="http://schemas.openxmlformats.org/officeDocument/2006/relationships/hyperlink" Target="https://journals.sagepub.com/doi/10.1177/0193945918806689" TargetMode="External"/><Relationship Id="rId7" Type="http://schemas.openxmlformats.org/officeDocument/2006/relationships/webSettings" Target="webSettings.xml"/><Relationship Id="rId71" Type="http://schemas.openxmlformats.org/officeDocument/2006/relationships/hyperlink" Target="https://journals.sagepub.com/doi/10.1177/0193945918806689" TargetMode="External"/><Relationship Id="rId2" Type="http://schemas.openxmlformats.org/officeDocument/2006/relationships/customXml" Target="../customXml/item2.xml"/><Relationship Id="rId29" Type="http://schemas.openxmlformats.org/officeDocument/2006/relationships/hyperlink" Target="https://journals.sagepub.com/doi/10.1177/0193945918806689" TargetMode="External"/><Relationship Id="rId24" Type="http://schemas.openxmlformats.org/officeDocument/2006/relationships/hyperlink" Target="https://journals.sagepub.com/doi/10.1177/0193945918806689" TargetMode="External"/><Relationship Id="rId40" Type="http://schemas.openxmlformats.org/officeDocument/2006/relationships/hyperlink" Target="https://journals.sagepub.com/doi/10.1177/0193945918806689" TargetMode="External"/><Relationship Id="rId45" Type="http://schemas.openxmlformats.org/officeDocument/2006/relationships/hyperlink" Target="https://journals.sagepub.com/doi/10.1177/0193945918806689" TargetMode="External"/><Relationship Id="rId66" Type="http://schemas.openxmlformats.org/officeDocument/2006/relationships/hyperlink" Target="https://journals.sagepub.com/doi/10.1177/0193945918806689" TargetMode="External"/><Relationship Id="rId87" Type="http://schemas.openxmlformats.org/officeDocument/2006/relationships/theme" Target="theme/theme1.xml"/><Relationship Id="rId61" Type="http://schemas.openxmlformats.org/officeDocument/2006/relationships/hyperlink" Target="https://journals.sagepub.com/doi/10.1177/0193945918806689" TargetMode="External"/><Relationship Id="rId82" Type="http://schemas.openxmlformats.org/officeDocument/2006/relationships/hyperlink" Target="https://www.alz.org/national/documents/report_familiescar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F78C6E-9059-4A53-9CF7-DE39D90EE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FC89C9-1D1F-4748-B858-79AD10E6CDCA}">
  <ds:schemaRefs>
    <ds:schemaRef ds:uri="http://schemas.microsoft.com/sharepoint/v3/contenttype/forms"/>
  </ds:schemaRefs>
</ds:datastoreItem>
</file>

<file path=customXml/itemProps3.xml><?xml version="1.0" encoding="utf-8"?>
<ds:datastoreItem xmlns:ds="http://schemas.openxmlformats.org/officeDocument/2006/customXml" ds:itemID="{675208ED-9F35-4FCD-9FC6-B272C770A94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12</Pages>
  <Words>7511</Words>
  <Characters>43642</Characters>
  <Application>Microsoft Office Word</Application>
  <DocSecurity>8</DocSecurity>
  <Lines>703</Lines>
  <Paragraphs>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59</cp:revision>
  <dcterms:created xsi:type="dcterms:W3CDTF">2019-05-15T16:03:00Z</dcterms:created>
  <dcterms:modified xsi:type="dcterms:W3CDTF">2019-05-30T18:36:00Z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