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066069CC" w:rsidR="00A765A5" w:rsidRPr="00A765A5" w:rsidRDefault="00455C99"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 xml:space="preserve">Education </w:t>
      </w:r>
      <w:r w:rsidR="00A765A5" w:rsidRPr="00A765A5">
        <w:rPr>
          <w:rFonts w:ascii="Calibri" w:eastAsia="MS Mincho" w:hAnsi="Calibri" w:cs="Calibri"/>
          <w:b/>
          <w:bCs/>
          <w:i/>
          <w:iCs/>
          <w:sz w:val="32"/>
          <w:szCs w:val="32"/>
        </w:rPr>
        <w:t xml:space="preserve">Faculty Research and Publications/College of </w:t>
      </w:r>
      <w:r>
        <w:rPr>
          <w:rFonts w:ascii="Calibri" w:eastAsia="MS Mincho" w:hAnsi="Calibri" w:cs="Calibri"/>
          <w:b/>
          <w:bCs/>
          <w:i/>
          <w:iCs/>
          <w:sz w:val="32"/>
          <w:szCs w:val="32"/>
        </w:rPr>
        <w:t>Education</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2DB828B3" w14:textId="32121C5E" w:rsidR="00A765A5" w:rsidRPr="00A765A5" w:rsidRDefault="009541B0" w:rsidP="00A765A5">
      <w:pPr>
        <w:rPr>
          <w:rFonts w:ascii="Calibri" w:eastAsia="MS Mincho" w:hAnsi="Calibri" w:cs="Calibri"/>
          <w:b/>
          <w:bCs/>
          <w:sz w:val="24"/>
          <w:szCs w:val="24"/>
        </w:rPr>
      </w:pPr>
      <w:r>
        <w:rPr>
          <w:rFonts w:ascii="Calibri" w:eastAsia="MS Mincho" w:hAnsi="Calibri" w:cs="Calibri"/>
          <w:i/>
          <w:sz w:val="24"/>
          <w:szCs w:val="24"/>
          <w:lang w:val="fr-FR"/>
        </w:rPr>
        <w:t xml:space="preserve">Cultural Diversity and </w:t>
      </w:r>
      <w:proofErr w:type="spellStart"/>
      <w:r>
        <w:rPr>
          <w:rFonts w:ascii="Calibri" w:eastAsia="MS Mincho" w:hAnsi="Calibri" w:cs="Calibri"/>
          <w:i/>
          <w:sz w:val="24"/>
          <w:szCs w:val="24"/>
          <w:lang w:val="fr-FR"/>
        </w:rPr>
        <w:t>Ethnic</w:t>
      </w:r>
      <w:proofErr w:type="spellEnd"/>
      <w:r>
        <w:rPr>
          <w:rFonts w:ascii="Calibri" w:eastAsia="MS Mincho" w:hAnsi="Calibri" w:cs="Calibri"/>
          <w:i/>
          <w:sz w:val="24"/>
          <w:szCs w:val="24"/>
          <w:lang w:val="fr-FR"/>
        </w:rPr>
        <w:t xml:space="preserve"> </w:t>
      </w:r>
      <w:proofErr w:type="spellStart"/>
      <w:r>
        <w:rPr>
          <w:rFonts w:ascii="Calibri" w:eastAsia="MS Mincho" w:hAnsi="Calibri" w:cs="Calibri"/>
          <w:i/>
          <w:sz w:val="24"/>
          <w:szCs w:val="24"/>
          <w:lang w:val="fr-FR"/>
        </w:rPr>
        <w:t>Minority</w:t>
      </w:r>
      <w:proofErr w:type="spellEnd"/>
      <w:r>
        <w:rPr>
          <w:rFonts w:ascii="Calibri" w:eastAsia="MS Mincho" w:hAnsi="Calibri" w:cs="Calibri"/>
          <w:i/>
          <w:sz w:val="24"/>
          <w:szCs w:val="24"/>
          <w:lang w:val="fr-FR"/>
        </w:rPr>
        <w:t xml:space="preserve"> Psychology</w:t>
      </w:r>
      <w:r w:rsidR="00A765A5" w:rsidRPr="00A765A5">
        <w:rPr>
          <w:rFonts w:ascii="Calibri" w:eastAsia="MS Mincho" w:hAnsi="Calibri" w:cs="Calibri"/>
          <w:sz w:val="24"/>
          <w:szCs w:val="24"/>
          <w:lang w:val="fr-FR"/>
        </w:rPr>
        <w:t xml:space="preserve">, Vol. </w:t>
      </w:r>
      <w:r>
        <w:rPr>
          <w:rFonts w:ascii="Calibri" w:eastAsia="MS Mincho" w:hAnsi="Calibri" w:cs="Calibri"/>
          <w:sz w:val="24"/>
          <w:szCs w:val="24"/>
          <w:lang w:val="fr-FR"/>
        </w:rPr>
        <w:t>24</w:t>
      </w:r>
      <w:r w:rsidR="00A765A5" w:rsidRPr="00A765A5">
        <w:rPr>
          <w:rFonts w:ascii="Calibri" w:eastAsia="MS Mincho" w:hAnsi="Calibri" w:cs="Calibri"/>
          <w:sz w:val="24"/>
          <w:szCs w:val="24"/>
          <w:lang w:val="fr-FR"/>
        </w:rPr>
        <w:t xml:space="preserve">, No. </w:t>
      </w:r>
      <w:r>
        <w:rPr>
          <w:rFonts w:ascii="Calibri" w:eastAsia="MS Mincho" w:hAnsi="Calibri" w:cs="Calibri"/>
          <w:sz w:val="24"/>
          <w:szCs w:val="24"/>
          <w:lang w:val="fr-FR"/>
        </w:rPr>
        <w:t>1</w:t>
      </w:r>
      <w:r w:rsidR="00A765A5" w:rsidRPr="00A765A5">
        <w:rPr>
          <w:rFonts w:ascii="Calibri" w:eastAsia="MS Mincho" w:hAnsi="Calibri" w:cs="Calibri"/>
          <w:sz w:val="24"/>
          <w:szCs w:val="24"/>
          <w:lang w:val="fr-FR"/>
        </w:rPr>
        <w:t xml:space="preserve"> (</w:t>
      </w:r>
      <w:proofErr w:type="spellStart"/>
      <w:r>
        <w:rPr>
          <w:rFonts w:ascii="Calibri" w:eastAsia="MS Mincho" w:hAnsi="Calibri" w:cs="Calibri"/>
          <w:sz w:val="24"/>
          <w:szCs w:val="24"/>
          <w:lang w:val="fr-FR"/>
        </w:rPr>
        <w:t>January</w:t>
      </w:r>
      <w:proofErr w:type="spellEnd"/>
      <w:r>
        <w:rPr>
          <w:rFonts w:ascii="Calibri" w:eastAsia="MS Mincho" w:hAnsi="Calibri" w:cs="Calibri"/>
          <w:sz w:val="24"/>
          <w:szCs w:val="24"/>
          <w:lang w:val="fr-FR"/>
        </w:rPr>
        <w:t xml:space="preserve"> 2018</w:t>
      </w:r>
      <w:proofErr w:type="gramStart"/>
      <w:r w:rsidR="00A765A5" w:rsidRPr="00A765A5">
        <w:rPr>
          <w:rFonts w:ascii="Calibri" w:eastAsia="MS Mincho" w:hAnsi="Calibri" w:cs="Calibri"/>
          <w:sz w:val="24"/>
          <w:szCs w:val="24"/>
          <w:lang w:val="fr-FR"/>
        </w:rPr>
        <w:t>):</w:t>
      </w:r>
      <w:proofErr w:type="gramEnd"/>
      <w:r w:rsidR="00A765A5" w:rsidRPr="00A765A5">
        <w:rPr>
          <w:rFonts w:ascii="Calibri" w:eastAsia="MS Mincho" w:hAnsi="Calibri" w:cs="Calibri"/>
          <w:sz w:val="24"/>
          <w:szCs w:val="24"/>
          <w:lang w:val="fr-FR"/>
        </w:rPr>
        <w:t xml:space="preserve"> </w:t>
      </w:r>
      <w:r>
        <w:rPr>
          <w:rFonts w:ascii="Calibri" w:eastAsia="MS Mincho" w:hAnsi="Calibri" w:cs="Calibri"/>
          <w:sz w:val="24"/>
          <w:szCs w:val="24"/>
          <w:lang w:val="fr-FR"/>
        </w:rPr>
        <w:t>26-39</w:t>
      </w:r>
      <w:r w:rsidR="00A765A5" w:rsidRPr="00A765A5">
        <w:rPr>
          <w:rFonts w:ascii="Calibri" w:eastAsia="MS Mincho" w:hAnsi="Calibri" w:cs="Calibri"/>
          <w:sz w:val="24"/>
          <w:szCs w:val="24"/>
          <w:lang w:val="fr-FR"/>
        </w:rPr>
        <w:t xml:space="preserve">. </w:t>
      </w:r>
      <w:hyperlink r:id="rId8" w:history="1">
        <w:r w:rsidR="00A765A5" w:rsidRPr="00A765A5">
          <w:rPr>
            <w:rFonts w:ascii="Calibri" w:eastAsia="MS Mincho" w:hAnsi="Calibri" w:cs="Calibri"/>
            <w:color w:val="0563C1"/>
            <w:sz w:val="24"/>
            <w:szCs w:val="24"/>
            <w:u w:val="single"/>
            <w:lang w:val="fr-FR"/>
          </w:rPr>
          <w:t>DOI</w:t>
        </w:r>
      </w:hyperlink>
      <w:r w:rsidR="00A765A5" w:rsidRPr="00A765A5">
        <w:rPr>
          <w:rFonts w:ascii="Calibri" w:eastAsia="MS Mincho" w:hAnsi="Calibri" w:cs="Calibri"/>
          <w:sz w:val="24"/>
          <w:szCs w:val="24"/>
          <w:lang w:val="fr-FR"/>
        </w:rPr>
        <w:t xml:space="preserve">. </w:t>
      </w:r>
      <w:r w:rsidR="00A765A5" w:rsidRPr="00A765A5">
        <w:rPr>
          <w:rFonts w:ascii="Calibri" w:eastAsia="MS Mincho" w:hAnsi="Calibri" w:cs="Calibri"/>
          <w:sz w:val="24"/>
          <w:szCs w:val="24"/>
        </w:rPr>
        <w:t xml:space="preserve">This article is © </w:t>
      </w:r>
      <w:r w:rsidR="009B1FDA">
        <w:rPr>
          <w:rFonts w:ascii="Calibri" w:eastAsia="MS Mincho" w:hAnsi="Calibri" w:cs="Calibri"/>
          <w:sz w:val="24"/>
          <w:szCs w:val="24"/>
        </w:rPr>
        <w:t>American Psychological Association</w:t>
      </w:r>
      <w:r w:rsidR="00A765A5" w:rsidRPr="00A765A5">
        <w:rPr>
          <w:rFonts w:ascii="Calibri" w:eastAsia="MS Mincho" w:hAnsi="Calibri" w:cs="Calibri"/>
          <w:sz w:val="24"/>
          <w:szCs w:val="24"/>
        </w:rPr>
        <w:t xml:space="preserve"> and permission has been granted for this version to appear in </w:t>
      </w:r>
      <w:hyperlink r:id="rId9" w:history="1">
        <w:r w:rsidR="00A765A5" w:rsidRPr="00A765A5">
          <w:rPr>
            <w:rFonts w:ascii="Calibri" w:eastAsia="MS Mincho" w:hAnsi="Calibri" w:cs="Calibri"/>
            <w:color w:val="0563C1"/>
            <w:sz w:val="24"/>
            <w:szCs w:val="24"/>
            <w:u w:val="single"/>
          </w:rPr>
          <w:t>e-Publications@Marquette</w:t>
        </w:r>
      </w:hyperlink>
      <w:r w:rsidR="00A765A5" w:rsidRPr="00A765A5">
        <w:rPr>
          <w:rFonts w:ascii="Calibri" w:eastAsia="MS Mincho" w:hAnsi="Calibri" w:cs="Calibri"/>
          <w:sz w:val="24"/>
          <w:szCs w:val="24"/>
        </w:rPr>
        <w:t xml:space="preserve">. </w:t>
      </w:r>
      <w:r w:rsidR="009B1FDA">
        <w:rPr>
          <w:rFonts w:ascii="Calibri" w:eastAsia="MS Mincho" w:hAnsi="Calibri" w:cs="Calibri"/>
          <w:sz w:val="24"/>
          <w:szCs w:val="24"/>
        </w:rPr>
        <w:t>American Psychological Association</w:t>
      </w:r>
      <w:r w:rsidR="00A765A5" w:rsidRPr="00A765A5">
        <w:rPr>
          <w:rFonts w:ascii="Calibri" w:eastAsia="MS Mincho" w:hAnsi="Calibri" w:cs="Calibri"/>
          <w:sz w:val="24"/>
          <w:szCs w:val="24"/>
        </w:rPr>
        <w:t xml:space="preserve"> does not grant permission for this article to be further copied/distributed or hosted elsewhere without express permission from </w:t>
      </w:r>
      <w:r w:rsidR="009B1FDA">
        <w:rPr>
          <w:rFonts w:ascii="Calibri" w:eastAsia="MS Mincho" w:hAnsi="Calibri" w:cs="Calibri"/>
          <w:sz w:val="24"/>
          <w:szCs w:val="24"/>
        </w:rPr>
        <w:t>American Psychological Association</w:t>
      </w:r>
      <w:r w:rsidR="00A765A5" w:rsidRPr="00A765A5">
        <w:rPr>
          <w:rFonts w:ascii="Calibri" w:eastAsia="MS Mincho" w:hAnsi="Calibri" w:cs="Calibri"/>
          <w:sz w:val="24"/>
          <w:szCs w:val="24"/>
        </w:rPr>
        <w:t>.</w:t>
      </w:r>
      <w:r w:rsidR="00A765A5" w:rsidRPr="00A765A5">
        <w:rPr>
          <w:rFonts w:ascii="Calibri" w:eastAsia="MS Mincho" w:hAnsi="Calibri" w:cs="Calibri"/>
          <w:b/>
          <w:bCs/>
          <w:sz w:val="24"/>
          <w:szCs w:val="24"/>
        </w:rPr>
        <w:t xml:space="preserve"> </w:t>
      </w:r>
      <w:bookmarkEnd w:id="1"/>
    </w:p>
    <w:p w14:paraId="6E285571" w14:textId="77777777" w:rsidR="00C7077D" w:rsidRDefault="00C7077D" w:rsidP="00560A90">
      <w:pPr>
        <w:pStyle w:val="Title"/>
      </w:pPr>
      <w:r w:rsidRPr="00C7077D">
        <w:t>Political Activism and Mental Health Among Black and Latinx College Students</w:t>
      </w:r>
    </w:p>
    <w:p w14:paraId="2BE20044" w14:textId="77777777" w:rsidR="00560A90" w:rsidRPr="00560A90" w:rsidRDefault="00560A90" w:rsidP="00560A90"/>
    <w:p w14:paraId="7CC979A9" w14:textId="348BC76E" w:rsidR="006641CA" w:rsidRPr="00560A90" w:rsidRDefault="006641CA" w:rsidP="00560A90">
      <w:pPr>
        <w:pStyle w:val="NoSpacing"/>
        <w:rPr>
          <w:sz w:val="24"/>
          <w:szCs w:val="24"/>
        </w:rPr>
      </w:pPr>
      <w:r w:rsidRPr="00560A90">
        <w:rPr>
          <w:sz w:val="32"/>
          <w:szCs w:val="32"/>
        </w:rPr>
        <w:t>Elan C. Hope</w:t>
      </w:r>
      <w:r w:rsidRPr="00560A90">
        <w:rPr>
          <w:sz w:val="32"/>
          <w:szCs w:val="32"/>
        </w:rPr>
        <w:br/>
      </w:r>
      <w:r w:rsidRPr="00560A90">
        <w:rPr>
          <w:sz w:val="24"/>
          <w:szCs w:val="24"/>
        </w:rPr>
        <w:t>Department of Psychology, North Carolina State University;</w:t>
      </w:r>
      <w:r w:rsidRPr="00560A90">
        <w:rPr>
          <w:sz w:val="24"/>
          <w:szCs w:val="24"/>
        </w:rPr>
        <w:br/>
      </w:r>
      <w:r w:rsidRPr="00560A90">
        <w:rPr>
          <w:sz w:val="32"/>
          <w:szCs w:val="32"/>
        </w:rPr>
        <w:t>Gabriel Velez</w:t>
      </w:r>
      <w:r w:rsidRPr="00560A90">
        <w:rPr>
          <w:sz w:val="32"/>
          <w:szCs w:val="32"/>
        </w:rPr>
        <w:br/>
      </w:r>
      <w:r w:rsidRPr="00560A90">
        <w:rPr>
          <w:sz w:val="24"/>
          <w:szCs w:val="24"/>
        </w:rPr>
        <w:t>Department of Comparative Human Development, University of Chicago</w:t>
      </w:r>
      <w:r w:rsidRPr="00560A90">
        <w:rPr>
          <w:sz w:val="24"/>
          <w:szCs w:val="24"/>
        </w:rPr>
        <w:br/>
      </w:r>
      <w:r w:rsidRPr="00560A90">
        <w:rPr>
          <w:sz w:val="32"/>
          <w:szCs w:val="32"/>
        </w:rPr>
        <w:t xml:space="preserve">Carly </w:t>
      </w:r>
      <w:proofErr w:type="spellStart"/>
      <w:r w:rsidRPr="00560A90">
        <w:rPr>
          <w:sz w:val="32"/>
          <w:szCs w:val="32"/>
        </w:rPr>
        <w:t>Offidani</w:t>
      </w:r>
      <w:proofErr w:type="spellEnd"/>
      <w:r w:rsidRPr="00560A90">
        <w:rPr>
          <w:sz w:val="32"/>
          <w:szCs w:val="32"/>
        </w:rPr>
        <w:t>-Bertrand</w:t>
      </w:r>
      <w:r w:rsidRPr="00560A90">
        <w:rPr>
          <w:sz w:val="32"/>
          <w:szCs w:val="32"/>
        </w:rPr>
        <w:br/>
      </w:r>
      <w:r w:rsidRPr="00560A90">
        <w:rPr>
          <w:sz w:val="24"/>
          <w:szCs w:val="24"/>
        </w:rPr>
        <w:t>Department of Comparative Human Development, University of Chicago</w:t>
      </w:r>
      <w:r w:rsidRPr="00560A90">
        <w:rPr>
          <w:sz w:val="24"/>
          <w:szCs w:val="24"/>
        </w:rPr>
        <w:br/>
      </w:r>
      <w:proofErr w:type="spellStart"/>
      <w:r w:rsidRPr="00560A90">
        <w:rPr>
          <w:sz w:val="32"/>
          <w:szCs w:val="32"/>
        </w:rPr>
        <w:t>Micere</w:t>
      </w:r>
      <w:proofErr w:type="spellEnd"/>
      <w:r w:rsidRPr="00560A90">
        <w:rPr>
          <w:sz w:val="32"/>
          <w:szCs w:val="32"/>
        </w:rPr>
        <w:t xml:space="preserve"> Keels</w:t>
      </w:r>
      <w:r w:rsidRPr="00560A90">
        <w:rPr>
          <w:sz w:val="32"/>
          <w:szCs w:val="32"/>
        </w:rPr>
        <w:br/>
      </w:r>
      <w:r w:rsidRPr="00560A90">
        <w:rPr>
          <w:sz w:val="24"/>
          <w:szCs w:val="24"/>
        </w:rPr>
        <w:t>Department of Comparative Human Development, University of Chicago</w:t>
      </w:r>
      <w:r w:rsidRPr="00560A90">
        <w:rPr>
          <w:sz w:val="24"/>
          <w:szCs w:val="24"/>
        </w:rPr>
        <w:br/>
      </w:r>
      <w:r w:rsidRPr="00560A90">
        <w:rPr>
          <w:sz w:val="32"/>
          <w:szCs w:val="32"/>
        </w:rPr>
        <w:t xml:space="preserve">Myles I. </w:t>
      </w:r>
      <w:proofErr w:type="spellStart"/>
      <w:r w:rsidRPr="00560A90">
        <w:rPr>
          <w:sz w:val="32"/>
          <w:szCs w:val="32"/>
        </w:rPr>
        <w:t>Durkee</w:t>
      </w:r>
      <w:proofErr w:type="spellEnd"/>
      <w:r w:rsidRPr="00560A90">
        <w:rPr>
          <w:sz w:val="32"/>
          <w:szCs w:val="32"/>
        </w:rPr>
        <w:br/>
      </w:r>
      <w:r w:rsidRPr="00560A90">
        <w:rPr>
          <w:sz w:val="24"/>
          <w:szCs w:val="24"/>
        </w:rPr>
        <w:t>Department of Psychology, University of Michigan</w:t>
      </w:r>
    </w:p>
    <w:p w14:paraId="2D248828" w14:textId="77777777" w:rsidR="00560A90" w:rsidRPr="00560A90" w:rsidRDefault="00560A90" w:rsidP="006641CA"/>
    <w:p w14:paraId="1F650AD3" w14:textId="64BA2064" w:rsidR="00560A90" w:rsidRPr="00560A90" w:rsidRDefault="00560A90" w:rsidP="00896591">
      <w:pPr>
        <w:pStyle w:val="Heading1"/>
      </w:pPr>
      <w:r w:rsidRPr="00560A90">
        <w:t>Abstract</w:t>
      </w:r>
    </w:p>
    <w:p w14:paraId="71D566A4" w14:textId="77777777" w:rsidR="00896591" w:rsidRPr="00896591" w:rsidRDefault="00896591" w:rsidP="00896591">
      <w:r w:rsidRPr="00896591">
        <w:rPr>
          <w:b/>
          <w:bCs/>
          <w:i/>
          <w:iCs/>
        </w:rPr>
        <w:t xml:space="preserve">Objectives: </w:t>
      </w:r>
      <w:r w:rsidRPr="00896591">
        <w:t xml:space="preserve">The current study investigates the utility of </w:t>
      </w:r>
      <w:bookmarkStart w:id="2" w:name="Political_Activism_and_Mental_Health_Amo"/>
      <w:bookmarkEnd w:id="2"/>
      <w:r w:rsidRPr="00896591">
        <w:t xml:space="preserve">political activism as a protective factor against experiences of racial/ethnic (R/E) discrimination that negatively affect stress, anxiety, and depressive symptoms among Black and Latinx college freshmen at predominately White institutions. </w:t>
      </w:r>
      <w:r w:rsidRPr="00896591">
        <w:rPr>
          <w:b/>
          <w:bCs/>
          <w:i/>
          <w:iCs/>
        </w:rPr>
        <w:t xml:space="preserve">Method: </w:t>
      </w:r>
      <w:r w:rsidRPr="00896591">
        <w:t>Data come from the Minority College Cohort Study, a longitudinal investigation of Black and Latinx college students (</w:t>
      </w:r>
      <w:r w:rsidRPr="00896591">
        <w:rPr>
          <w:i/>
          <w:iCs/>
        </w:rPr>
        <w:t xml:space="preserve">N </w:t>
      </w:r>
      <w:r w:rsidRPr="00896591">
        <w:t xml:space="preserve">504; 44% Black). We conducted multiple regression analyses for each mental health </w:t>
      </w:r>
      <w:r w:rsidRPr="00896591">
        <w:lastRenderedPageBreak/>
        <w:t xml:space="preserve">indicator and tested for interaction effects. </w:t>
      </w:r>
      <w:r w:rsidRPr="00896591">
        <w:rPr>
          <w:b/>
          <w:bCs/>
          <w:i/>
          <w:iCs/>
        </w:rPr>
        <w:t xml:space="preserve">Results: </w:t>
      </w:r>
      <w:r w:rsidRPr="00896591">
        <w:t xml:space="preserve">For Black and Latinx students, the relationship between R/E microaggressions and end of freshman year stress varied by political activism. For Black students, the relationship between R/E microaggressions and end of the year anxiety varied by political activism. There was a significant interaction effect for depressive symptoms among Latinx students. </w:t>
      </w:r>
      <w:r w:rsidRPr="00896591">
        <w:rPr>
          <w:b/>
          <w:bCs/>
          <w:i/>
          <w:iCs/>
        </w:rPr>
        <w:t xml:space="preserve">Conclusions: </w:t>
      </w:r>
      <w:r w:rsidRPr="00896591">
        <w:t>Political activism serves as a protective factor to mitigate the negative effect of R/E discrimination on stress and depressive symptoms for Latinx students. For Black students, higher levels of political activism may exacerbate experiences of R/E microaggressions and relate to more stress and anxiety compared with Black students who are less politically involved. Findings point to the need for a deeper understanding of phenomenological variation in experiences of microaggressions among R/E minorities and how students leverage political activism as an adaptive coping strategy to mitigate race-related stress during college.</w:t>
      </w:r>
    </w:p>
    <w:p w14:paraId="0B32DD5A" w14:textId="77777777" w:rsidR="00896591" w:rsidRDefault="00896591" w:rsidP="00896591">
      <w:pPr>
        <w:pStyle w:val="Heading1"/>
      </w:pPr>
      <w:r w:rsidRPr="00896591">
        <w:t>Keywords</w:t>
      </w:r>
    </w:p>
    <w:p w14:paraId="22CF9532" w14:textId="4A286837" w:rsidR="00896591" w:rsidRPr="00896591" w:rsidRDefault="00896591" w:rsidP="00896591">
      <w:r w:rsidRPr="00896591">
        <w:t>Black, college students, Latinx, mental health, political activism</w:t>
      </w:r>
    </w:p>
    <w:p w14:paraId="442DDABA" w14:textId="77777777" w:rsidR="00560A90" w:rsidRPr="00560A90" w:rsidRDefault="00560A90" w:rsidP="006641CA"/>
    <w:p w14:paraId="29E0D092" w14:textId="189776F0" w:rsidR="006641CA" w:rsidRPr="006641CA" w:rsidRDefault="006641CA" w:rsidP="006641CA">
      <w:r w:rsidRPr="006641CA">
        <w:t xml:space="preserve">One increasingly important pathway to adulthood is through higher education, as the “college for all” rhetoric </w:t>
      </w:r>
      <w:proofErr w:type="gramStart"/>
      <w:r w:rsidRPr="006641CA">
        <w:t>intensifies</w:t>
      </w:r>
      <w:proofErr w:type="gramEnd"/>
      <w:r w:rsidRPr="006641CA">
        <w:t xml:space="preserve"> and growing numbers of racial/ethnic (R/E) minority and low-income students enroll in college (</w:t>
      </w:r>
      <w:r w:rsidRPr="00E20CA8">
        <w:t>Krogstad &amp; Fry, 2014</w:t>
      </w:r>
      <w:r w:rsidRPr="006641CA">
        <w:t>). In pursuit of personal growth and socioeconomic mobility through higher education, emerging adults experience social and contextual shifts that put their mental health at risk (</w:t>
      </w:r>
      <w:r w:rsidRPr="00E20CA8">
        <w:t>Arnett, 2000</w:t>
      </w:r>
      <w:r w:rsidRPr="006641CA">
        <w:t>; </w:t>
      </w:r>
      <w:r w:rsidRPr="00E20CA8">
        <w:t>Institute of Medicine, 1994</w:t>
      </w:r>
      <w:r w:rsidRPr="006641CA">
        <w:t>). In fact, approximately half of college students who visited campus clinics cited anxiety, depression, and/or stress as a health concern (</w:t>
      </w:r>
      <w:r w:rsidRPr="00E20CA8">
        <w:t>Center for Collegiate Mental Health [CCMH], 2015</w:t>
      </w:r>
      <w:r w:rsidRPr="006641CA">
        <w:t>). Fourteen percent of undergraduates reported seeking treatment for anxiety within the past year whereas 12% reported doing so for depression (</w:t>
      </w:r>
      <w:r w:rsidRPr="00E20CA8">
        <w:t>American College Health Association, 2014</w:t>
      </w:r>
      <w:r w:rsidRPr="006641CA">
        <w:t>). Black and Latinx college students are at an elevated risk for poor mental health and reported significantly more depressive symptoms and distress than White students (</w:t>
      </w:r>
      <w:r w:rsidRPr="00E20CA8">
        <w:t>CCMH, 2015</w:t>
      </w:r>
      <w:r w:rsidRPr="006641CA">
        <w:t>).</w:t>
      </w:r>
    </w:p>
    <w:p w14:paraId="30AE2EA2" w14:textId="394EE743" w:rsidR="006641CA" w:rsidRPr="006641CA" w:rsidRDefault="006641CA" w:rsidP="006641CA">
      <w:r w:rsidRPr="006641CA">
        <w:t>Black and Latinx students at predominately White institutions (PWIs) experience greater feelings of personal dissatisfaction, depressive symptoms, and social isolation than their White counterparts (</w:t>
      </w:r>
      <w:proofErr w:type="spellStart"/>
      <w:r w:rsidRPr="00E20CA8">
        <w:t>Ancis</w:t>
      </w:r>
      <w:proofErr w:type="spellEnd"/>
      <w:r w:rsidRPr="00E20CA8">
        <w:t xml:space="preserve">, </w:t>
      </w:r>
      <w:proofErr w:type="spellStart"/>
      <w:r w:rsidRPr="00E20CA8">
        <w:t>Sedlacek</w:t>
      </w:r>
      <w:proofErr w:type="spellEnd"/>
      <w:r w:rsidRPr="00E20CA8">
        <w:t>, &amp; Mohr, 2000</w:t>
      </w:r>
      <w:r w:rsidRPr="006641CA">
        <w:t>; </w:t>
      </w:r>
      <w:proofErr w:type="spellStart"/>
      <w:r w:rsidRPr="00E20CA8">
        <w:t>Hinderlie</w:t>
      </w:r>
      <w:proofErr w:type="spellEnd"/>
      <w:r w:rsidRPr="00E20CA8">
        <w:t xml:space="preserve"> &amp; Kenny, 2002</w:t>
      </w:r>
      <w:r w:rsidRPr="006641CA">
        <w:t>). For Black and Latinx college students, these stressors increase the risk of depression and anxiety (</w:t>
      </w:r>
      <w:r w:rsidRPr="00E20CA8">
        <w:t xml:space="preserve">Hwang &amp; </w:t>
      </w:r>
      <w:proofErr w:type="spellStart"/>
      <w:r w:rsidRPr="00E20CA8">
        <w:t>Goto</w:t>
      </w:r>
      <w:proofErr w:type="spellEnd"/>
      <w:r w:rsidRPr="00E20CA8">
        <w:t>, 2009</w:t>
      </w:r>
      <w:r w:rsidRPr="006641CA">
        <w:t>; </w:t>
      </w:r>
      <w:r w:rsidRPr="00E20CA8">
        <w:t xml:space="preserve">Neville, Heppner, Ji, &amp; </w:t>
      </w:r>
      <w:proofErr w:type="spellStart"/>
      <w:r w:rsidRPr="00E20CA8">
        <w:t>Thye</w:t>
      </w:r>
      <w:proofErr w:type="spellEnd"/>
      <w:r w:rsidRPr="00E20CA8">
        <w:t>, 2004</w:t>
      </w:r>
      <w:r w:rsidRPr="006641CA">
        <w:t>; </w:t>
      </w:r>
      <w:proofErr w:type="spellStart"/>
      <w:r w:rsidRPr="00E20CA8">
        <w:t>Prelow</w:t>
      </w:r>
      <w:proofErr w:type="spellEnd"/>
      <w:r w:rsidRPr="00E20CA8">
        <w:t>, Mosher, &amp; Bowman, 2006</w:t>
      </w:r>
      <w:r w:rsidRPr="006641CA">
        <w:t>; </w:t>
      </w:r>
      <w:r w:rsidRPr="00E20CA8">
        <w:t>Smith, Allen, &amp; Danley, 2007</w:t>
      </w:r>
      <w:r w:rsidRPr="006641CA">
        <w:t>). Risks are further compounded for Black and Latinx college students who are less likely than White students to receive adequate mental health treatment due to cultural stigma and past negative experiences with mental health services (</w:t>
      </w:r>
      <w:r w:rsidRPr="00E20CA8">
        <w:t xml:space="preserve">Gonzalez, </w:t>
      </w:r>
      <w:proofErr w:type="spellStart"/>
      <w:r w:rsidRPr="00E20CA8">
        <w:t>Alegría</w:t>
      </w:r>
      <w:proofErr w:type="spellEnd"/>
      <w:r w:rsidRPr="00E20CA8">
        <w:t>, &amp; Prihoda, 2005</w:t>
      </w:r>
      <w:r w:rsidRPr="006641CA">
        <w:t>; </w:t>
      </w:r>
      <w:r w:rsidRPr="00E20CA8">
        <w:t xml:space="preserve">Miranda, </w:t>
      </w:r>
      <w:proofErr w:type="spellStart"/>
      <w:r w:rsidRPr="00E20CA8">
        <w:t>Soffer</w:t>
      </w:r>
      <w:proofErr w:type="spellEnd"/>
      <w:r w:rsidRPr="00E20CA8">
        <w:t>, Polanco-Roman, Wheeler, &amp; Moore, 2015</w:t>
      </w:r>
      <w:r w:rsidRPr="006641CA">
        <w:t>; </w:t>
      </w:r>
      <w:r w:rsidRPr="00E20CA8">
        <w:t>Nadeem et al., 2007</w:t>
      </w:r>
      <w:r w:rsidRPr="006641CA">
        <w:t>). Consequently, researchers have attempted to identify nonclinical aspects of campus life, such as political activism, that can act as adaptive coping strategies to promote positive mental health among R/E minority students (</w:t>
      </w:r>
      <w:r w:rsidRPr="00E20CA8">
        <w:t>Hope &amp; Spencer, 2017</w:t>
      </w:r>
      <w:r w:rsidRPr="006641CA">
        <w:t>). In the current study, we investigate stress, anxiety, and depressive symptoms among Black and Latinx college freshmen at PWIs and the utility of political activism as a protective factor against R/E discrimination, which negatively affects mental health.</w:t>
      </w:r>
    </w:p>
    <w:p w14:paraId="192283C2" w14:textId="7C7F202E" w:rsidR="006641CA" w:rsidRPr="006641CA" w:rsidRDefault="006641CA" w:rsidP="00896591">
      <w:pPr>
        <w:pStyle w:val="Heading1"/>
      </w:pPr>
      <w:r w:rsidRPr="00E20CA8">
        <w:t>Experiences of Black and Latinx Students Attending PWIs</w:t>
      </w:r>
    </w:p>
    <w:p w14:paraId="5C255D8D" w14:textId="4BBA1149" w:rsidR="006641CA" w:rsidRPr="006641CA" w:rsidRDefault="006641CA" w:rsidP="006641CA">
      <w:r w:rsidRPr="006641CA">
        <w:t>Black and Latinx students are at increased risk for negative mental health outcomes, including stress, anxiety, and depression, when faced with racially hostile campus environments. Black and Latinx students at PWIs experience greater stigma, less institutional support, and less social support than White students, which makes it difficult to positively cope with competing stressors (</w:t>
      </w:r>
      <w:r w:rsidRPr="00E20CA8">
        <w:t>Keels, 2013</w:t>
      </w:r>
      <w:r w:rsidRPr="006641CA">
        <w:t>). Studies show that perceptions of a racially hostile campus climate are associated with a lower sense of belonging for Latinx college students (</w:t>
      </w:r>
      <w:r w:rsidRPr="00E20CA8">
        <w:t>Hurtado &amp; Carter, 1997</w:t>
      </w:r>
      <w:r w:rsidRPr="006641CA">
        <w:t>), and perceived racial discrimination is associated with a greater prevalence of trait anxiety among Asian and Latinx college students (</w:t>
      </w:r>
      <w:r w:rsidRPr="00E20CA8">
        <w:t xml:space="preserve">Hwang &amp; </w:t>
      </w:r>
      <w:proofErr w:type="spellStart"/>
      <w:r w:rsidRPr="00E20CA8">
        <w:t>Goto</w:t>
      </w:r>
      <w:proofErr w:type="spellEnd"/>
      <w:r w:rsidRPr="00E20CA8">
        <w:t>, 2009</w:t>
      </w:r>
      <w:r w:rsidRPr="006641CA">
        <w:t>). R/E microaggressions—brief and common verbal or behavioral racial insults toward R/E minorities—are typical experiences for Black and Latinx students at PWIs (</w:t>
      </w:r>
      <w:r w:rsidRPr="00E20CA8">
        <w:t xml:space="preserve">Harwood, </w:t>
      </w:r>
      <w:proofErr w:type="spellStart"/>
      <w:r w:rsidRPr="00E20CA8">
        <w:t>Huntt</w:t>
      </w:r>
      <w:proofErr w:type="spellEnd"/>
      <w:r w:rsidRPr="00E20CA8">
        <w:t>, Mendenhall, &amp; Lewis, 2012</w:t>
      </w:r>
      <w:r w:rsidRPr="006641CA">
        <w:t>; </w:t>
      </w:r>
      <w:proofErr w:type="spellStart"/>
      <w:r w:rsidRPr="00E20CA8">
        <w:t>Minikel-Lacocque</w:t>
      </w:r>
      <w:proofErr w:type="spellEnd"/>
      <w:r w:rsidRPr="00E20CA8">
        <w:t>, 2013</w:t>
      </w:r>
      <w:r w:rsidRPr="006641CA">
        <w:t>; </w:t>
      </w:r>
      <w:r w:rsidRPr="00E20CA8">
        <w:t>Sue et al., 2007</w:t>
      </w:r>
      <w:r w:rsidRPr="006641CA">
        <w:t>). Students who express concern about racial stigma in their institutions are more likely to experience negative mental health and have lower grade point averages (GPAs) than students who are less concerned about racial stigma (</w:t>
      </w:r>
      <w:r w:rsidRPr="00E20CA8">
        <w:t>Brown &amp; Lee, 2005</w:t>
      </w:r>
      <w:r w:rsidRPr="006641CA">
        <w:t>). Furthermore, experiencing racial microaggressions has been related to suicidal ideation via depressive symptoms (O’Keefe, Wingate, Cole, Hollingsworth, &amp; Tucker, 2014). Research shows a clear connection among mental health, college performance, and college attrition (</w:t>
      </w:r>
      <w:r w:rsidRPr="00E20CA8">
        <w:t xml:space="preserve">Eisenberg, </w:t>
      </w:r>
      <w:proofErr w:type="spellStart"/>
      <w:r w:rsidRPr="00E20CA8">
        <w:t>Golberstein</w:t>
      </w:r>
      <w:proofErr w:type="spellEnd"/>
      <w:r w:rsidRPr="00E20CA8">
        <w:t>, &amp; Hunt, 2009</w:t>
      </w:r>
      <w:r w:rsidRPr="006641CA">
        <w:t>; </w:t>
      </w:r>
      <w:r w:rsidRPr="00E20CA8">
        <w:t>Lindsey, Fabiano, &amp; Stark, 2009</w:t>
      </w:r>
      <w:r w:rsidRPr="006641CA">
        <w:t>), and scholars suggest that the major causes of attrition in first-year college students are emotional rather than academic factors (</w:t>
      </w:r>
      <w:r w:rsidRPr="00E20CA8">
        <w:t>Pritchard &amp; Wilson, 2003</w:t>
      </w:r>
      <w:r w:rsidRPr="006641CA">
        <w:t>; </w:t>
      </w:r>
      <w:proofErr w:type="spellStart"/>
      <w:r w:rsidRPr="00E20CA8">
        <w:t>Szulecka</w:t>
      </w:r>
      <w:proofErr w:type="spellEnd"/>
      <w:r w:rsidRPr="00E20CA8">
        <w:t xml:space="preserve">, Springett, &amp; De </w:t>
      </w:r>
      <w:proofErr w:type="spellStart"/>
      <w:r w:rsidRPr="00E20CA8">
        <w:t>Pauw</w:t>
      </w:r>
      <w:proofErr w:type="spellEnd"/>
      <w:r w:rsidRPr="00E20CA8">
        <w:t>, 1987</w:t>
      </w:r>
      <w:r w:rsidRPr="006641CA">
        <w:t>). Given that only 40% of Black and 52% of Latinx students obtain a bachelor’s degree within 6 years of initial enrollment (</w:t>
      </w:r>
      <w:r w:rsidRPr="00E20CA8">
        <w:t xml:space="preserve">Snyder &amp; </w:t>
      </w:r>
      <w:proofErr w:type="spellStart"/>
      <w:r w:rsidRPr="00E20CA8">
        <w:t>Dillow</w:t>
      </w:r>
      <w:proofErr w:type="spellEnd"/>
      <w:r w:rsidRPr="00E20CA8">
        <w:t>, 2015</w:t>
      </w:r>
      <w:r w:rsidRPr="006641CA">
        <w:t>), we are in critical need of research on nonacademic factors, such as mental health and positive coping strategies, to support college persistence.</w:t>
      </w:r>
    </w:p>
    <w:p w14:paraId="5509FB94" w14:textId="476E80F0" w:rsidR="006641CA" w:rsidRPr="006641CA" w:rsidRDefault="006641CA" w:rsidP="005D3847">
      <w:pPr>
        <w:pStyle w:val="Heading1"/>
      </w:pPr>
      <w:r w:rsidRPr="00E20CA8">
        <w:t>Political Activism and the College Transition</w:t>
      </w:r>
    </w:p>
    <w:p w14:paraId="7B052DFC" w14:textId="3C9AFC98" w:rsidR="006641CA" w:rsidRPr="006641CA" w:rsidRDefault="006641CA" w:rsidP="006641CA">
      <w:r w:rsidRPr="006641CA">
        <w:t>Political activism is a “critical” form of civic engagement that assumes action toward meaningful and systematic change to address social justice issues, and it may be particularly meaningful to Black and Latinx college students (</w:t>
      </w:r>
      <w:r w:rsidRPr="00E20CA8">
        <w:t xml:space="preserve">Hope, Keels, &amp; </w:t>
      </w:r>
      <w:proofErr w:type="spellStart"/>
      <w:r w:rsidRPr="00E20CA8">
        <w:t>Durkee</w:t>
      </w:r>
      <w:proofErr w:type="spellEnd"/>
      <w:r w:rsidRPr="00E20CA8">
        <w:t>, 2016</w:t>
      </w:r>
      <w:r w:rsidRPr="006641CA">
        <w:t>; </w:t>
      </w:r>
      <w:r w:rsidRPr="00E20CA8">
        <w:t>Watts, Diemer, &amp; Voight, 2011</w:t>
      </w:r>
      <w:r w:rsidRPr="006641CA">
        <w:t>). Political activism includes mainstream political behavior (voting, contacting public officials), legal activism (boycotting, protesting), and illegal activism (civil disobedience, political violence; </w:t>
      </w:r>
      <w:r w:rsidRPr="00E20CA8">
        <w:t xml:space="preserve">Ekman &amp; </w:t>
      </w:r>
      <w:proofErr w:type="spellStart"/>
      <w:r w:rsidRPr="00E20CA8">
        <w:t>Amnå</w:t>
      </w:r>
      <w:proofErr w:type="spellEnd"/>
      <w:r w:rsidRPr="00E20CA8">
        <w:t>, 2012</w:t>
      </w:r>
      <w:r w:rsidRPr="006641CA">
        <w:t>). Although some research suggests that Black and Latinx youth participate less in traditional politics (</w:t>
      </w:r>
      <w:r w:rsidRPr="00E20CA8">
        <w:t>Levinson, 2007</w:t>
      </w:r>
      <w:r w:rsidRPr="006641CA">
        <w:t>), recent research finds that Black and Latinx youth comprise an increasingly larger share of the voting electorate and made up 35% of voters ages 18–29 years in the 2012 presidential election (</w:t>
      </w:r>
      <w:r w:rsidRPr="00E20CA8">
        <w:t>CIRCLE, 2012</w:t>
      </w:r>
      <w:r w:rsidRPr="006641CA">
        <w:t>; </w:t>
      </w:r>
      <w:r w:rsidRPr="00E20CA8">
        <w:t>Rogowski &amp; Cohen, 2012</w:t>
      </w:r>
      <w:r w:rsidRPr="006641CA">
        <w:t>). Young Black Americans voted at higher rates than any other racial or ethnic group in 2008 and 2012 (</w:t>
      </w:r>
      <w:r w:rsidRPr="00E20CA8">
        <w:t>CIRCLE, 2014</w:t>
      </w:r>
      <w:r w:rsidRPr="006641CA">
        <w:t>). This increase in young Black voters runs counter to historical trends, and although it may be in part attributed to the presidential campaigns of Barack Obama, overall, young people have continued to vote in high numbers, with a record number of young voters casting ballots during the 2016 presidential primary season (</w:t>
      </w:r>
      <w:r w:rsidRPr="00E20CA8">
        <w:t>CIRCLE, 2016</w:t>
      </w:r>
      <w:r w:rsidRPr="006641CA">
        <w:t>). With increasing political participation among Black and Latinx emerging adults, it is important to understand how political activism is related to college students’ mental health.</w:t>
      </w:r>
    </w:p>
    <w:p w14:paraId="10C218DB" w14:textId="73D63881" w:rsidR="006641CA" w:rsidRPr="006641CA" w:rsidRDefault="006641CA" w:rsidP="006641CA">
      <w:r w:rsidRPr="006641CA">
        <w:t>Civic engagement, including political activism, among emerging adults is correlated with healthy development, including stronger bonds with peers, family, school, and local community (</w:t>
      </w:r>
      <w:r w:rsidRPr="00E20CA8">
        <w:t>Hansen, Larson, &amp; Dworkin, 2003</w:t>
      </w:r>
      <w:r w:rsidRPr="006641CA">
        <w:t>; </w:t>
      </w:r>
      <w:r w:rsidRPr="00E20CA8">
        <w:t xml:space="preserve">Jiménez, </w:t>
      </w:r>
      <w:proofErr w:type="spellStart"/>
      <w:r w:rsidRPr="00E20CA8">
        <w:t>Musitu</w:t>
      </w:r>
      <w:proofErr w:type="spellEnd"/>
      <w:r w:rsidRPr="00E20CA8">
        <w:t xml:space="preserve">, Ramos, &amp; </w:t>
      </w:r>
      <w:proofErr w:type="spellStart"/>
      <w:r w:rsidRPr="00E20CA8">
        <w:t>Murgui</w:t>
      </w:r>
      <w:proofErr w:type="spellEnd"/>
      <w:r w:rsidRPr="00E20CA8">
        <w:t xml:space="preserve"> 2009</w:t>
      </w:r>
      <w:r w:rsidRPr="006641CA">
        <w:t>; </w:t>
      </w:r>
      <w:proofErr w:type="spellStart"/>
      <w:r w:rsidRPr="00E20CA8">
        <w:t>Pancer</w:t>
      </w:r>
      <w:proofErr w:type="spellEnd"/>
      <w:r w:rsidRPr="00E20CA8">
        <w:t>, 2014</w:t>
      </w:r>
      <w:r w:rsidRPr="006641CA">
        <w:t>); increased social, academic, cognitive, and vocational skills (</w:t>
      </w:r>
      <w:proofErr w:type="spellStart"/>
      <w:r w:rsidRPr="00E20CA8">
        <w:t>Astin</w:t>
      </w:r>
      <w:proofErr w:type="spellEnd"/>
      <w:r w:rsidRPr="00E20CA8">
        <w:t xml:space="preserve"> &amp; Sax, 1998</w:t>
      </w:r>
      <w:r w:rsidRPr="006641CA">
        <w:t>; </w:t>
      </w:r>
      <w:proofErr w:type="spellStart"/>
      <w:r w:rsidRPr="00E20CA8">
        <w:t>Astin</w:t>
      </w:r>
      <w:proofErr w:type="spellEnd"/>
      <w:r w:rsidRPr="00E20CA8">
        <w:t>, Sax, &amp; Avalos, 1999</w:t>
      </w:r>
      <w:r w:rsidRPr="006641CA">
        <w:t>; </w:t>
      </w:r>
      <w:r w:rsidRPr="00E20CA8">
        <w:t>Eccles, Barber, Stone, &amp; Hunt, 2003</w:t>
      </w:r>
      <w:r w:rsidRPr="006641CA">
        <w:t>); and increased social capital (</w:t>
      </w:r>
      <w:r w:rsidRPr="00E20CA8">
        <w:t xml:space="preserve">Duke, </w:t>
      </w:r>
      <w:proofErr w:type="spellStart"/>
      <w:r w:rsidRPr="00E20CA8">
        <w:t>Skay</w:t>
      </w:r>
      <w:proofErr w:type="spellEnd"/>
      <w:r w:rsidRPr="00E20CA8">
        <w:t xml:space="preserve">, </w:t>
      </w:r>
      <w:proofErr w:type="spellStart"/>
      <w:r w:rsidRPr="00E20CA8">
        <w:t>Pettingell</w:t>
      </w:r>
      <w:proofErr w:type="spellEnd"/>
      <w:r w:rsidRPr="00E20CA8">
        <w:t xml:space="preserve">, &amp; </w:t>
      </w:r>
      <w:proofErr w:type="spellStart"/>
      <w:r w:rsidRPr="00E20CA8">
        <w:t>Borowsky</w:t>
      </w:r>
      <w:proofErr w:type="spellEnd"/>
      <w:r w:rsidRPr="00E20CA8">
        <w:t>, 2009</w:t>
      </w:r>
      <w:r w:rsidRPr="006641CA">
        <w:t>). Furthermore, among college students, participation in civic and political cocurricular activities has been shown to positively affect GPA, cognitive skills, and leadership skill development (</w:t>
      </w:r>
      <w:proofErr w:type="spellStart"/>
      <w:r w:rsidRPr="00E20CA8">
        <w:t>Astin</w:t>
      </w:r>
      <w:proofErr w:type="spellEnd"/>
      <w:r w:rsidRPr="00E20CA8">
        <w:t xml:space="preserve">, </w:t>
      </w:r>
      <w:proofErr w:type="spellStart"/>
      <w:r w:rsidRPr="00E20CA8">
        <w:t>Vogelgesang</w:t>
      </w:r>
      <w:proofErr w:type="spellEnd"/>
      <w:r w:rsidRPr="00E20CA8">
        <w:t>, Ikeda, &amp; Yee, 2000</w:t>
      </w:r>
      <w:r w:rsidRPr="006641CA">
        <w:t>). The effects may differ by race/ethnicity; participation in student government was negatively associated with GPA for Black students, but positively associated for Latinx students (</w:t>
      </w:r>
      <w:r w:rsidRPr="00E20CA8">
        <w:t>Strayhorn, 2010</w:t>
      </w:r>
      <w:r w:rsidRPr="006641CA">
        <w:t>). Our study will add to this body of research by being one of few to examine the relationship between political activism and mental health for Black and Latinx college students.</w:t>
      </w:r>
    </w:p>
    <w:p w14:paraId="1A6C3D2F" w14:textId="789CB68A" w:rsidR="006641CA" w:rsidRPr="006641CA" w:rsidRDefault="006641CA" w:rsidP="005D3847">
      <w:pPr>
        <w:pStyle w:val="Heading1"/>
      </w:pPr>
      <w:r w:rsidRPr="00E20CA8">
        <w:t>Political Activism as a Coping Strategy</w:t>
      </w:r>
    </w:p>
    <w:p w14:paraId="4573EAB3" w14:textId="4B7109A6" w:rsidR="006641CA" w:rsidRPr="006641CA" w:rsidRDefault="006641CA" w:rsidP="006641CA">
      <w:r w:rsidRPr="006641CA">
        <w:t>Political activism may be a meaningful coping strategy for R/E minorities during the college transition by helping to buffer feelings of stress and isolation related to underrepresentation on campus, racial hassles, and R/E microaggressions (</w:t>
      </w:r>
      <w:r w:rsidRPr="00E20CA8">
        <w:t>Hope, Hoggard, &amp; Thomas, 2015</w:t>
      </w:r>
      <w:r w:rsidRPr="006641CA">
        <w:t>; </w:t>
      </w:r>
      <w:r w:rsidRPr="00E20CA8">
        <w:t>Hope &amp; Spencer, 2017</w:t>
      </w:r>
      <w:r w:rsidRPr="006641CA">
        <w:t>; </w:t>
      </w:r>
      <w:r w:rsidRPr="00E20CA8">
        <w:t>Spencer, 2006</w:t>
      </w:r>
      <w:r w:rsidRPr="006641CA">
        <w:t>). Through repeated engagement, political activism can become an actively acquired response to ecological stressors and resulting vulnerabilities. In this way, R/E marginalized youth leverage political activism to navigate sociopolitical conditions that create risk and alter these negative conditions to mitigate future risk (</w:t>
      </w:r>
      <w:r w:rsidRPr="00E20CA8">
        <w:t>Hope &amp; Spencer, 2017</w:t>
      </w:r>
      <w:r w:rsidRPr="006641CA">
        <w:t>). There is evidence to support this claim because political activism can serve as an adaptive coping strategy in the face of environmental stress, leading to positive developmental outcomes for R/E minority youth (</w:t>
      </w:r>
      <w:r w:rsidRPr="00E20CA8">
        <w:t xml:space="preserve">Berg, </w:t>
      </w:r>
      <w:proofErr w:type="spellStart"/>
      <w:r w:rsidRPr="00E20CA8">
        <w:t>Coman</w:t>
      </w:r>
      <w:proofErr w:type="spellEnd"/>
      <w:r w:rsidRPr="00E20CA8">
        <w:t>, &amp; Schensul, 2009</w:t>
      </w:r>
      <w:r w:rsidRPr="006641CA">
        <w:t>). Youth who engage in political action to improve community health and well-being also experience positive individual well-being outcomes. For instance, </w:t>
      </w:r>
      <w:r w:rsidRPr="00E20CA8">
        <w:t>Campbell and McPhail (2002)</w:t>
      </w:r>
      <w:r w:rsidRPr="006641CA">
        <w:t> found that political interest and civic engagement provide youth with tools to improve their own health behaviors, such as HIV prevention. Furthermore, longitudinal analysis demonstrates that civic engagement is associated with higher life satisfaction, civic participation, and educational attainment for Black and Latinx youth (</w:t>
      </w:r>
      <w:r w:rsidRPr="00E20CA8">
        <w:t xml:space="preserve">Chan, </w:t>
      </w:r>
      <w:proofErr w:type="spellStart"/>
      <w:r w:rsidRPr="00E20CA8">
        <w:t>Ou</w:t>
      </w:r>
      <w:proofErr w:type="spellEnd"/>
      <w:r w:rsidRPr="00E20CA8">
        <w:t>, &amp; Reynolds, 2014</w:t>
      </w:r>
      <w:r w:rsidRPr="006641CA">
        <w:t>). Thus, engagement with sociopolitical systems promotes psychological well-being among Black and Latinx youth, in part through bolstering feelings of sociopolitical control and efficacy (</w:t>
      </w:r>
      <w:r w:rsidRPr="00E20CA8">
        <w:t xml:space="preserve">Zimmerman, Ramirez-Valles, &amp; </w:t>
      </w:r>
      <w:proofErr w:type="spellStart"/>
      <w:r w:rsidRPr="00E20CA8">
        <w:t>Maton</w:t>
      </w:r>
      <w:proofErr w:type="spellEnd"/>
      <w:r w:rsidRPr="00E20CA8">
        <w:t>, 1999</w:t>
      </w:r>
      <w:r w:rsidRPr="006641CA">
        <w:t>). It is also possible that political activism may further exacerbate poor mental health, particularly in a hostile sociopolitical environment. Although many studies have examined experiences of R/E discrimination among Black and Latinx students at PWIs (e.g., </w:t>
      </w:r>
      <w:r w:rsidRPr="00E20CA8">
        <w:t>Harwood et al., 2012</w:t>
      </w:r>
      <w:r w:rsidRPr="006641CA">
        <w:t>; </w:t>
      </w:r>
      <w:proofErr w:type="spellStart"/>
      <w:r w:rsidRPr="00E20CA8">
        <w:t>Minikel-Lacocque</w:t>
      </w:r>
      <w:proofErr w:type="spellEnd"/>
      <w:r w:rsidRPr="00E20CA8">
        <w:t>, 2013</w:t>
      </w:r>
      <w:r w:rsidRPr="006641CA">
        <w:t>; </w:t>
      </w:r>
      <w:r w:rsidRPr="00E20CA8">
        <w:t xml:space="preserve">Nadal, Wong, Griffin, Davidoff, &amp; </w:t>
      </w:r>
      <w:proofErr w:type="spellStart"/>
      <w:r w:rsidRPr="00E20CA8">
        <w:t>Sriken</w:t>
      </w:r>
      <w:proofErr w:type="spellEnd"/>
      <w:r w:rsidRPr="00E20CA8">
        <w:t>, 2014</w:t>
      </w:r>
      <w:r w:rsidRPr="006641CA">
        <w:t>), few studies consider political activism as a mechanism to reduce psychological consequences of R/E discrimination on college campuses. Our study addresses this through conceptualizing political activism as an adaptive coping strategy.</w:t>
      </w:r>
    </w:p>
    <w:p w14:paraId="0C420F1A" w14:textId="4051A66F" w:rsidR="006641CA" w:rsidRPr="006641CA" w:rsidRDefault="006641CA" w:rsidP="005D3847">
      <w:pPr>
        <w:pStyle w:val="Heading1"/>
      </w:pPr>
      <w:r w:rsidRPr="00E20CA8">
        <w:t>The Current Study</w:t>
      </w:r>
    </w:p>
    <w:p w14:paraId="5D4A2026" w14:textId="4E6EC99F" w:rsidR="006641CA" w:rsidRPr="006641CA" w:rsidRDefault="006641CA" w:rsidP="006641CA">
      <w:r w:rsidRPr="006641CA">
        <w:t>Although political activism positively affects the social and academic lives of R/E minority youth (</w:t>
      </w:r>
      <w:r w:rsidRPr="00E20CA8">
        <w:t>Flanagan &amp; Levine, 2010</w:t>
      </w:r>
      <w:r w:rsidRPr="006641CA">
        <w:t>; </w:t>
      </w:r>
      <w:r w:rsidRPr="00E20CA8">
        <w:t xml:space="preserve">Pacheco &amp; </w:t>
      </w:r>
      <w:proofErr w:type="spellStart"/>
      <w:r w:rsidRPr="00E20CA8">
        <w:t>Plutzer</w:t>
      </w:r>
      <w:proofErr w:type="spellEnd"/>
      <w:r w:rsidRPr="00E20CA8">
        <w:t>, 2008</w:t>
      </w:r>
      <w:r w:rsidRPr="006641CA">
        <w:t>), less is known about the relationship between political activism and mental health. The literature on race and mental health indicates that research should consider life contexts and experiences that are linked to R/E group membership and are likely to adversely affect mental health (</w:t>
      </w:r>
      <w:proofErr w:type="spellStart"/>
      <w:r w:rsidRPr="00E20CA8">
        <w:t>Cauce</w:t>
      </w:r>
      <w:proofErr w:type="spellEnd"/>
      <w:r w:rsidRPr="00E20CA8">
        <w:t xml:space="preserve"> et al., 2002</w:t>
      </w:r>
      <w:r w:rsidRPr="006641CA">
        <w:t>; </w:t>
      </w:r>
      <w:r w:rsidRPr="00E20CA8">
        <w:t>Gibbs &amp; Huang, 1989</w:t>
      </w:r>
      <w:r w:rsidRPr="006641CA">
        <w:t>). Given research that suggests that racial discrimination affects Black and Latinx emerging adults’ physical and psychological health (</w:t>
      </w:r>
      <w:r w:rsidRPr="00E20CA8">
        <w:t>Hope et al., 2015</w:t>
      </w:r>
      <w:r w:rsidRPr="006641CA">
        <w:t>; </w:t>
      </w:r>
      <w:r w:rsidRPr="00E20CA8">
        <w:t xml:space="preserve">Molina, </w:t>
      </w:r>
      <w:proofErr w:type="spellStart"/>
      <w:r w:rsidRPr="00E20CA8">
        <w:t>Alegría</w:t>
      </w:r>
      <w:proofErr w:type="spellEnd"/>
      <w:r w:rsidRPr="00E20CA8">
        <w:t>, &amp; Mahalingam, 2013</w:t>
      </w:r>
      <w:r w:rsidRPr="006641CA">
        <w:t>), research must examine how adolescent behaviors and characteristics related to health outcomes may persist into emerging adulthood (</w:t>
      </w:r>
      <w:r w:rsidRPr="00E20CA8">
        <w:t>Keels, 2013</w:t>
      </w:r>
      <w:r w:rsidRPr="006641CA">
        <w:t>; </w:t>
      </w:r>
      <w:proofErr w:type="spellStart"/>
      <w:r w:rsidRPr="00E20CA8">
        <w:t>Kuh</w:t>
      </w:r>
      <w:proofErr w:type="spellEnd"/>
      <w:r w:rsidRPr="00E20CA8">
        <w:t xml:space="preserve">, </w:t>
      </w:r>
      <w:proofErr w:type="spellStart"/>
      <w:r w:rsidRPr="00E20CA8">
        <w:t>Cruce</w:t>
      </w:r>
      <w:proofErr w:type="spellEnd"/>
      <w:r w:rsidRPr="00E20CA8">
        <w:t xml:space="preserve">, </w:t>
      </w:r>
      <w:proofErr w:type="spellStart"/>
      <w:r w:rsidRPr="00E20CA8">
        <w:t>Shoup</w:t>
      </w:r>
      <w:proofErr w:type="spellEnd"/>
      <w:r w:rsidRPr="00E20CA8">
        <w:t xml:space="preserve">, Kinzie, &amp; </w:t>
      </w:r>
      <w:proofErr w:type="spellStart"/>
      <w:r w:rsidRPr="00E20CA8">
        <w:t>Gonyea</w:t>
      </w:r>
      <w:proofErr w:type="spellEnd"/>
      <w:r w:rsidRPr="00E20CA8">
        <w:t>, 2008</w:t>
      </w:r>
      <w:r w:rsidRPr="006641CA">
        <w:t>). Thus, we account for the influence of demographic variables traditionally investigated, including gender, first-generation college status, socioeconomic status (financial distress), political efficacy, and prior mental health. In this study, we examine</w:t>
      </w:r>
    </w:p>
    <w:p w14:paraId="7FC04B7C" w14:textId="77777777" w:rsidR="006641CA" w:rsidRPr="006641CA" w:rsidRDefault="006641CA" w:rsidP="006641CA">
      <w:pPr>
        <w:numPr>
          <w:ilvl w:val="0"/>
          <w:numId w:val="1"/>
        </w:numPr>
      </w:pPr>
      <w:r w:rsidRPr="006641CA">
        <w:t>How is political activism during freshman year associated with Black and Latinx students’ mental health at the end of freshman year?</w:t>
      </w:r>
    </w:p>
    <w:p w14:paraId="0F1CD3A7" w14:textId="77777777" w:rsidR="006641CA" w:rsidRPr="006641CA" w:rsidRDefault="006641CA" w:rsidP="006641CA">
      <w:pPr>
        <w:numPr>
          <w:ilvl w:val="0"/>
          <w:numId w:val="1"/>
        </w:numPr>
      </w:pPr>
      <w:r w:rsidRPr="006641CA">
        <w:t>How are R/E microaggressions experienced over freshman year associated with mental health at the end of freshman year?</w:t>
      </w:r>
    </w:p>
    <w:p w14:paraId="5FF06E08" w14:textId="77777777" w:rsidR="006641CA" w:rsidRPr="006641CA" w:rsidRDefault="006641CA" w:rsidP="006641CA">
      <w:pPr>
        <w:numPr>
          <w:ilvl w:val="0"/>
          <w:numId w:val="1"/>
        </w:numPr>
      </w:pPr>
      <w:r w:rsidRPr="006641CA">
        <w:t>Does political activism moderate the relationship between experiences of R/E microaggressions and mental health?</w:t>
      </w:r>
    </w:p>
    <w:p w14:paraId="6C33491E" w14:textId="021738D3" w:rsidR="006641CA" w:rsidRPr="006641CA" w:rsidRDefault="006641CA" w:rsidP="005D3847">
      <w:pPr>
        <w:pStyle w:val="Heading1"/>
      </w:pPr>
      <w:r w:rsidRPr="00E20CA8">
        <w:t>Method</w:t>
      </w:r>
    </w:p>
    <w:p w14:paraId="0688EC34" w14:textId="77777777" w:rsidR="006641CA" w:rsidRPr="006641CA" w:rsidRDefault="006641CA" w:rsidP="005D3847">
      <w:pPr>
        <w:pStyle w:val="Heading2"/>
      </w:pPr>
      <w:r w:rsidRPr="006641CA">
        <w:t>Participants</w:t>
      </w:r>
    </w:p>
    <w:p w14:paraId="4DDA345F" w14:textId="646FA74F" w:rsidR="006641CA" w:rsidRPr="006641CA" w:rsidRDefault="006641CA" w:rsidP="006641CA">
      <w:r w:rsidRPr="006641CA">
        <w:t>Data come from the Minority College Cohort Study, a longitudinal investigation of Black and Latinx freshmen who began college in Fall 2013. Given our interest in R/E microaggressions, participants were excluded from the current analyses if they identified primarily as White (</w:t>
      </w:r>
      <w:r w:rsidRPr="006641CA">
        <w:rPr>
          <w:i/>
          <w:iCs/>
        </w:rPr>
        <w:t>N</w:t>
      </w:r>
      <w:r w:rsidRPr="006641CA">
        <w:t> = 504; 43.8% Black). Nine percent of Black (</w:t>
      </w:r>
      <w:r w:rsidRPr="006641CA">
        <w:rPr>
          <w:i/>
          <w:iCs/>
        </w:rPr>
        <w:t>n</w:t>
      </w:r>
      <w:r w:rsidRPr="006641CA">
        <w:t> = 20) and Latinx students (</w:t>
      </w:r>
      <w:r w:rsidRPr="006641CA">
        <w:rPr>
          <w:i/>
          <w:iCs/>
        </w:rPr>
        <w:t>n</w:t>
      </w:r>
      <w:r w:rsidRPr="006641CA">
        <w:t> = 25) reported being multiracial, with Black/African American or Latinx/Hispanic being a primary R/E identity. Approximately 75% of Black and 56% of Latinx participants were female; this is reflective of the gender imbalance in college enrollment (</w:t>
      </w:r>
      <w:r w:rsidRPr="00E20CA8">
        <w:t>Keels, 2013</w:t>
      </w:r>
      <w:r w:rsidRPr="006641CA">
        <w:t>; </w:t>
      </w:r>
      <w:r w:rsidRPr="00E20CA8">
        <w:t>Lopez &amp; Gonzalez-Barrera, 2014</w:t>
      </w:r>
      <w:r w:rsidRPr="006641CA">
        <w:t>). The mean age of the sample at recruitment was 18.2 years (</w:t>
      </w:r>
      <w:r w:rsidRPr="006641CA">
        <w:rPr>
          <w:i/>
          <w:iCs/>
        </w:rPr>
        <w:t>SD</w:t>
      </w:r>
      <w:r w:rsidRPr="006641CA">
        <w:t> = 0.47). Forty-nine percent of Black students and 71% of Latinx students were first-generation college students. These students were recruited from five PWIs in the Midwest: two urban private institutions (22%), one urban public institution (36%), one rural public institution (13%), and one suburban public institution (29%). At all institutions sampled, except the urban public institution, White students made up more than 50% of the undergraduate student population (</w:t>
      </w:r>
      <w:r w:rsidRPr="00E20CA8">
        <w:t>National Center for Education Statistics, 2016</w:t>
      </w:r>
      <w:r w:rsidRPr="006641CA">
        <w:t>). At the two urban private institutions, Black students made up 8% and 4% and Latinx students made up 17% and 13% of the student body. The rural public institution undergraduate population was 16% Black and 14% Latinx, and the suburban public institution was 5% Black and 9% Latinx. The urban public institution was the most diverse, with an undergraduate student population that was 8% Black, 26% Latinx, and 36% White.</w:t>
      </w:r>
    </w:p>
    <w:p w14:paraId="4718042B" w14:textId="77777777" w:rsidR="006641CA" w:rsidRPr="005D3847" w:rsidRDefault="006641CA" w:rsidP="005D3847">
      <w:pPr>
        <w:pStyle w:val="Heading2"/>
      </w:pPr>
      <w:r w:rsidRPr="005D3847">
        <w:t>Procedures</w:t>
      </w:r>
    </w:p>
    <w:p w14:paraId="7F64AF6C" w14:textId="2CF90D89" w:rsidR="006641CA" w:rsidRPr="006641CA" w:rsidRDefault="006641CA" w:rsidP="006641CA">
      <w:r w:rsidRPr="006641CA">
        <w:t xml:space="preserve">Administrators at each university distributed an email containing a description of the research study and a link to the online survey during September of the 2013–2014 academic year. After following the link to the online survey, participants provided informed consent and completed a screening questionnaire. First-time college freshmen who identified as African American/Black or Hispanic/Latinx qualified for the study. Data collection took place during Fall 2013 (Wave 1), after winter break 2014 (Wave 2), and at the end of the Spring 2014 semester (Wave 3). Participants received a $25 electronic gift card for completing the 45-min Wave 1 and 3 surveys and a $15 electronic gift card for the 15-min Wave 2 survey. Data collection was managed using </w:t>
      </w:r>
      <w:proofErr w:type="spellStart"/>
      <w:r w:rsidRPr="006641CA">
        <w:t>REDCap</w:t>
      </w:r>
      <w:proofErr w:type="spellEnd"/>
      <w:r w:rsidRPr="006641CA">
        <w:t xml:space="preserve"> software hosted by the University of Chicago (</w:t>
      </w:r>
      <w:r w:rsidRPr="00E20CA8">
        <w:t>Harris et al., 2009</w:t>
      </w:r>
      <w:r w:rsidRPr="006641CA">
        <w:t>). Wave 1 consisted of 535 eligible students, and retention across Waves 2 and 3 was 95% and 93%, respectively. The host institutional review board approved all study procedures. Data from Waves 1 and 3 were used in the current study.</w:t>
      </w:r>
    </w:p>
    <w:p w14:paraId="54AABF37" w14:textId="77777777" w:rsidR="006641CA" w:rsidRPr="005D3847" w:rsidRDefault="006641CA" w:rsidP="005D3847">
      <w:pPr>
        <w:pStyle w:val="Heading2"/>
      </w:pPr>
      <w:r w:rsidRPr="005D3847">
        <w:t>Measures</w:t>
      </w:r>
    </w:p>
    <w:p w14:paraId="357679EC" w14:textId="77777777" w:rsidR="006641CA" w:rsidRPr="006641CA" w:rsidRDefault="006641CA" w:rsidP="00D35C2A">
      <w:pPr>
        <w:pStyle w:val="Heading3"/>
      </w:pPr>
      <w:r w:rsidRPr="006641CA">
        <w:t>Mental health outcomes</w:t>
      </w:r>
    </w:p>
    <w:p w14:paraId="1D301D84" w14:textId="77777777" w:rsidR="006641CA" w:rsidRPr="006641CA" w:rsidRDefault="006641CA" w:rsidP="006641CA">
      <w:r w:rsidRPr="006641CA">
        <w:t>Mental health outcomes were assessed during Wave 1 and Wave 3.</w:t>
      </w:r>
    </w:p>
    <w:p w14:paraId="59E90F11" w14:textId="77777777" w:rsidR="006641CA" w:rsidRPr="006641CA" w:rsidRDefault="006641CA" w:rsidP="00D35C2A">
      <w:pPr>
        <w:pStyle w:val="Heading3"/>
      </w:pPr>
      <w:r w:rsidRPr="006641CA">
        <w:t>Stress</w:t>
      </w:r>
    </w:p>
    <w:p w14:paraId="5CF3EF44" w14:textId="3C6992CA" w:rsidR="006641CA" w:rsidRPr="006641CA" w:rsidRDefault="006641CA" w:rsidP="006641CA">
      <w:r w:rsidRPr="006641CA">
        <w:t>Participants completed the 14-item Perceived Stress Scale (PSS; </w:t>
      </w:r>
      <w:r w:rsidRPr="00E20CA8">
        <w:t xml:space="preserve">Cohen, </w:t>
      </w:r>
      <w:proofErr w:type="spellStart"/>
      <w:r w:rsidRPr="00E20CA8">
        <w:t>Kamarck</w:t>
      </w:r>
      <w:proofErr w:type="spellEnd"/>
      <w:r w:rsidRPr="00E20CA8">
        <w:t xml:space="preserve">, &amp; </w:t>
      </w:r>
      <w:proofErr w:type="spellStart"/>
      <w:r w:rsidRPr="00E20CA8">
        <w:t>Mermelstein</w:t>
      </w:r>
      <w:proofErr w:type="spellEnd"/>
      <w:r w:rsidRPr="00E20CA8">
        <w:t>, 1983</w:t>
      </w:r>
      <w:r w:rsidRPr="006641CA">
        <w:t>). Participants indicated frequency of stress over the past month on a 5-point Likert scale (0 = </w:t>
      </w:r>
      <w:r w:rsidRPr="006641CA">
        <w:rPr>
          <w:i/>
          <w:iCs/>
        </w:rPr>
        <w:t>Never</w:t>
      </w:r>
      <w:r w:rsidRPr="006641CA">
        <w:t>, 1 = </w:t>
      </w:r>
      <w:r w:rsidRPr="006641CA">
        <w:rPr>
          <w:i/>
          <w:iCs/>
        </w:rPr>
        <w:t>Almost Never</w:t>
      </w:r>
      <w:r w:rsidRPr="006641CA">
        <w:t>, 2 = </w:t>
      </w:r>
      <w:r w:rsidRPr="006641CA">
        <w:rPr>
          <w:i/>
          <w:iCs/>
        </w:rPr>
        <w:t>Sometimes</w:t>
      </w:r>
      <w:r w:rsidRPr="006641CA">
        <w:t>, 3 = </w:t>
      </w:r>
      <w:proofErr w:type="gramStart"/>
      <w:r w:rsidRPr="006641CA">
        <w:rPr>
          <w:i/>
          <w:iCs/>
        </w:rPr>
        <w:t>Fairly Often</w:t>
      </w:r>
      <w:proofErr w:type="gramEnd"/>
      <w:r w:rsidRPr="006641CA">
        <w:t>, 4 = </w:t>
      </w:r>
      <w:r w:rsidRPr="006641CA">
        <w:rPr>
          <w:i/>
          <w:iCs/>
        </w:rPr>
        <w:t>Very Often</w:t>
      </w:r>
      <w:r w:rsidRPr="006641CA">
        <w:t>). Items included “Been upset because of something that happened unexpectedly?” and “Been able to control irritations in your life?”. Positive items were recoded such that greater endorsement indicated more stress. Items were averaged to create a stress score and demonstrated good internal reliability at Wave 1 (α = .83) and Wave 3 (α = .83).</w:t>
      </w:r>
    </w:p>
    <w:p w14:paraId="152EF9B8" w14:textId="77777777" w:rsidR="006641CA" w:rsidRPr="006641CA" w:rsidRDefault="006641CA" w:rsidP="00D35C2A">
      <w:pPr>
        <w:pStyle w:val="Heading3"/>
      </w:pPr>
      <w:r w:rsidRPr="006641CA">
        <w:t>Anxiety</w:t>
      </w:r>
    </w:p>
    <w:p w14:paraId="462EBE8B" w14:textId="2D6038C7" w:rsidR="006641CA" w:rsidRPr="006641CA" w:rsidRDefault="006641CA" w:rsidP="006641CA">
      <w:r w:rsidRPr="006641CA">
        <w:t>To assess anxiety, participants completed the Generalized Anxiety Disorder Screener–Symptoms Scale (</w:t>
      </w:r>
      <w:r w:rsidRPr="00E20CA8">
        <w:t>Carroll &amp; Davidson, 2000</w:t>
      </w:r>
      <w:r w:rsidRPr="006641CA">
        <w:t>). Participants answered “yes” or “no” to 10 items regarding their experiences over the past 6 months. Sample items include “Most days I have trouble concentrating” and “Most days I cannot stop worrying.” Each “yes” response received 1 point and a sum score was created; scores ranged from 0 to 10. Items demonstrated high internal reliability at both Wave 1 (α = .88) and Wave 3 (α = .89).</w:t>
      </w:r>
    </w:p>
    <w:p w14:paraId="0A50A4E7" w14:textId="77777777" w:rsidR="006641CA" w:rsidRPr="006641CA" w:rsidRDefault="006641CA" w:rsidP="00D35C2A">
      <w:pPr>
        <w:pStyle w:val="Heading3"/>
      </w:pPr>
      <w:r w:rsidRPr="006641CA">
        <w:t>Depressive symptoms</w:t>
      </w:r>
    </w:p>
    <w:p w14:paraId="52D2F38E" w14:textId="0F906656" w:rsidR="006641CA" w:rsidRPr="006641CA" w:rsidRDefault="006641CA" w:rsidP="006641CA">
      <w:r w:rsidRPr="006641CA">
        <w:t>We assessed depressive symptoms using the Harvard Department of Psychiatry/National Depression Screening Day Scale (HANDS; </w:t>
      </w:r>
      <w:r w:rsidRPr="00E20CA8">
        <w:t>Baer et al., 2000</w:t>
      </w:r>
      <w:r w:rsidRPr="006641CA">
        <w:t>). Participants indicated frequency of depressive symptoms over the past 2 weeks using nine items of the HANDS scale (0 = </w:t>
      </w:r>
      <w:r w:rsidRPr="006641CA">
        <w:rPr>
          <w:i/>
          <w:iCs/>
        </w:rPr>
        <w:t>None or a little bit of the time</w:t>
      </w:r>
      <w:r w:rsidRPr="006641CA">
        <w:t>, 1 = </w:t>
      </w:r>
      <w:r w:rsidRPr="006641CA">
        <w:rPr>
          <w:i/>
          <w:iCs/>
        </w:rPr>
        <w:t>Some of the time</w:t>
      </w:r>
      <w:r w:rsidRPr="006641CA">
        <w:t>, 2 = </w:t>
      </w:r>
      <w:r w:rsidRPr="006641CA">
        <w:rPr>
          <w:i/>
          <w:iCs/>
        </w:rPr>
        <w:t>Most of the time</w:t>
      </w:r>
      <w:r w:rsidRPr="006641CA">
        <w:t>, 3 = </w:t>
      </w:r>
      <w:proofErr w:type="gramStart"/>
      <w:r w:rsidRPr="006641CA">
        <w:rPr>
          <w:i/>
          <w:iCs/>
        </w:rPr>
        <w:t>All of</w:t>
      </w:r>
      <w:proofErr w:type="gramEnd"/>
      <w:r w:rsidRPr="006641CA">
        <w:rPr>
          <w:i/>
          <w:iCs/>
        </w:rPr>
        <w:t xml:space="preserve"> the time</w:t>
      </w:r>
      <w:r w:rsidRPr="006641CA">
        <w:t xml:space="preserve">). Given the sensitive nature, a question regarding suicidality was omitted. Sample items include “Had poor appetite” and “Been feeling hopeless about the future.” Items were averaged to create </w:t>
      </w:r>
      <w:proofErr w:type="gramStart"/>
      <w:r w:rsidRPr="006641CA">
        <w:t>a depressive symptoms</w:t>
      </w:r>
      <w:proofErr w:type="gramEnd"/>
      <w:r w:rsidRPr="006641CA">
        <w:t xml:space="preserve"> mean score. Items indicated high internal reliability at both Wave 1 (α = .92) and Wave 3 (α = .93).</w:t>
      </w:r>
    </w:p>
    <w:p w14:paraId="01D66CED" w14:textId="77777777" w:rsidR="006641CA" w:rsidRPr="006641CA" w:rsidRDefault="006641CA" w:rsidP="00D35C2A">
      <w:pPr>
        <w:pStyle w:val="Heading2"/>
      </w:pPr>
      <w:r w:rsidRPr="006641CA">
        <w:t>Primary Predictors</w:t>
      </w:r>
    </w:p>
    <w:p w14:paraId="1A1D6783" w14:textId="77777777" w:rsidR="006641CA" w:rsidRPr="006641CA" w:rsidRDefault="006641CA" w:rsidP="00D35C2A">
      <w:pPr>
        <w:pStyle w:val="Heading3"/>
      </w:pPr>
      <w:r w:rsidRPr="006641CA">
        <w:t>Political activism</w:t>
      </w:r>
    </w:p>
    <w:p w14:paraId="7518D4E5" w14:textId="12A32FF8" w:rsidR="006641CA" w:rsidRPr="006641CA" w:rsidRDefault="006641CA" w:rsidP="006641CA">
      <w:r w:rsidRPr="006641CA">
        <w:t>Political activism was assessed at Wave 3 using six items from the Youth Involvement Inventory (</w:t>
      </w:r>
      <w:proofErr w:type="spellStart"/>
      <w:r w:rsidRPr="00E20CA8">
        <w:t>Pancer</w:t>
      </w:r>
      <w:proofErr w:type="spellEnd"/>
      <w:r w:rsidRPr="00E20CA8">
        <w:t xml:space="preserve">, Pratt, Hunsberger, &amp; </w:t>
      </w:r>
      <w:proofErr w:type="spellStart"/>
      <w:r w:rsidRPr="00E20CA8">
        <w:t>Alisat</w:t>
      </w:r>
      <w:proofErr w:type="spellEnd"/>
      <w:r w:rsidRPr="00E20CA8">
        <w:t>, 2007</w:t>
      </w:r>
      <w:r w:rsidRPr="006641CA">
        <w:t>). Respondents reported how often they participated in each activity during freshman year (September 2013 to June 2014; 1 = </w:t>
      </w:r>
      <w:r w:rsidRPr="006641CA">
        <w:rPr>
          <w:i/>
          <w:iCs/>
        </w:rPr>
        <w:t>never</w:t>
      </w:r>
      <w:r w:rsidRPr="006641CA">
        <w:t>, 2 = </w:t>
      </w:r>
      <w:r w:rsidRPr="006641CA">
        <w:rPr>
          <w:i/>
          <w:iCs/>
        </w:rPr>
        <w:t>once</w:t>
      </w:r>
      <w:r w:rsidRPr="006641CA">
        <w:t>, 3 =</w:t>
      </w:r>
      <w:r w:rsidRPr="006641CA">
        <w:rPr>
          <w:i/>
          <w:iCs/>
        </w:rPr>
        <w:t>2 or 3 times</w:t>
      </w:r>
      <w:r w:rsidRPr="006641CA">
        <w:t>, 4 =</w:t>
      </w:r>
      <w:r w:rsidRPr="006641CA">
        <w:rPr>
          <w:i/>
          <w:iCs/>
        </w:rPr>
        <w:t>4–5 times</w:t>
      </w:r>
      <w:r w:rsidRPr="006641CA">
        <w:t>, 5 =</w:t>
      </w:r>
      <w:r w:rsidRPr="006641CA">
        <w:rPr>
          <w:i/>
          <w:iCs/>
        </w:rPr>
        <w:t>6–10 times</w:t>
      </w:r>
      <w:r w:rsidRPr="006641CA">
        <w:t>, 6 = </w:t>
      </w:r>
      <w:r w:rsidRPr="006641CA">
        <w:rPr>
          <w:i/>
          <w:iCs/>
        </w:rPr>
        <w:t>more than 10 times</w:t>
      </w:r>
      <w:r w:rsidRPr="006641CA">
        <w:t>). The six items were (a) join a protest, march, meeting, or demonstration; (b) participate in a boycott (not buying something because you dislike or disagree with the social or political values of the company); (c) participate in a buycott (buying a certain product or service because you like the social or political values of the company); (d) given money to or volunteered for a social or political action group; (e) donate money, toys, clothing, or other things to a charity or someone in need; and (f) worked or volunteered for a political campaign. Political activism has been measured as breadth (number of different activities; </w:t>
      </w:r>
      <w:r w:rsidRPr="00E20CA8">
        <w:t>Chen, Propp, &amp; Lee, 2015</w:t>
      </w:r>
      <w:r w:rsidRPr="006641CA">
        <w:t>; </w:t>
      </w:r>
      <w:r w:rsidRPr="00E20CA8">
        <w:t xml:space="preserve">Hope &amp; </w:t>
      </w:r>
      <w:proofErr w:type="spellStart"/>
      <w:r w:rsidRPr="00E20CA8">
        <w:t>Jagers</w:t>
      </w:r>
      <w:proofErr w:type="spellEnd"/>
      <w:r w:rsidRPr="00E20CA8">
        <w:t>, 2014</w:t>
      </w:r>
      <w:r w:rsidRPr="006641CA">
        <w:t>; </w:t>
      </w:r>
      <w:r w:rsidRPr="00E20CA8">
        <w:t>Hope et al., 2016</w:t>
      </w:r>
      <w:r w:rsidRPr="006641CA">
        <w:t xml:space="preserve">) and intensity (amount of time spent with </w:t>
      </w:r>
      <w:proofErr w:type="gramStart"/>
      <w:r w:rsidRPr="006641CA">
        <w:t>all of</w:t>
      </w:r>
      <w:proofErr w:type="gramEnd"/>
      <w:r w:rsidRPr="006641CA">
        <w:t xml:space="preserve"> the activities; </w:t>
      </w:r>
      <w:r w:rsidRPr="00E20CA8">
        <w:t>Ballard, 2015</w:t>
      </w:r>
      <w:r w:rsidRPr="006641CA">
        <w:t>; </w:t>
      </w:r>
      <w:r w:rsidRPr="00E20CA8">
        <w:t xml:space="preserve">Moore, Hope, </w:t>
      </w:r>
      <w:proofErr w:type="spellStart"/>
      <w:r w:rsidRPr="00E20CA8">
        <w:t>Eisman</w:t>
      </w:r>
      <w:proofErr w:type="spellEnd"/>
      <w:r w:rsidRPr="00E20CA8">
        <w:t>, &amp; Zimmerman, 2016</w:t>
      </w:r>
      <w:r w:rsidRPr="006641CA">
        <w:t xml:space="preserve">). Given the proportion of participants who were not involved in any political activity and to reduce skewness in our data, we created a political activism breadth score by counting the total number of activities completed, which ranged from zero to all six political actions. Of the six possible political activism items, 57% of participants had donated money, toys, clothing, or other things to a charity or someone in need; 37% had given money to or volunteered for a social or political action group; and 30% of participants reported joining a protest, march, meeting, or demonstration. Boycotting, </w:t>
      </w:r>
      <w:proofErr w:type="spellStart"/>
      <w:r w:rsidRPr="006641CA">
        <w:t>buycotting</w:t>
      </w:r>
      <w:proofErr w:type="spellEnd"/>
      <w:r w:rsidRPr="006641CA">
        <w:t>, and campaigning all had a completion rate of less than 15%. Thirty-one percent of participants did not participate in any of the six forms of political activism. Analyses indicated moderate internal consistency (α = .74).</w:t>
      </w:r>
    </w:p>
    <w:p w14:paraId="54AC50E6" w14:textId="77777777" w:rsidR="006641CA" w:rsidRPr="006641CA" w:rsidRDefault="006641CA" w:rsidP="00D35C2A">
      <w:pPr>
        <w:pStyle w:val="Heading3"/>
      </w:pPr>
      <w:r w:rsidRPr="006641CA">
        <w:t>R/E microaggressions</w:t>
      </w:r>
    </w:p>
    <w:p w14:paraId="71A85D32" w14:textId="3D692D71" w:rsidR="006641CA" w:rsidRPr="006641CA" w:rsidRDefault="006641CA" w:rsidP="006641CA">
      <w:r w:rsidRPr="006641CA">
        <w:t xml:space="preserve">R/E microaggressions were assessed at Wave 3 using the seven-item Academic Inferiority subscale of the </w:t>
      </w:r>
      <w:proofErr w:type="gramStart"/>
      <w:r w:rsidRPr="006641CA">
        <w:t>School</w:t>
      </w:r>
      <w:proofErr w:type="gramEnd"/>
      <w:r w:rsidRPr="006641CA">
        <w:t>-Based Racial/Ethnic Microaggressions Scale (SBREMA; </w:t>
      </w:r>
      <w:r w:rsidRPr="00E20CA8">
        <w:t xml:space="preserve">Keels, </w:t>
      </w:r>
      <w:proofErr w:type="spellStart"/>
      <w:r w:rsidRPr="00E20CA8">
        <w:t>Durkee</w:t>
      </w:r>
      <w:proofErr w:type="spellEnd"/>
      <w:r w:rsidRPr="00E20CA8">
        <w:t>, &amp; Hope, 2017</w:t>
      </w:r>
      <w:r w:rsidRPr="006641CA">
        <w:t xml:space="preserve">). The SBREMA is a brief tool that measures R/E microaggressions in school and academic settings </w:t>
      </w:r>
      <w:proofErr w:type="gramStart"/>
      <w:r w:rsidRPr="006641CA">
        <w:t>on the basis of</w:t>
      </w:r>
      <w:proofErr w:type="gramEnd"/>
      <w:r w:rsidRPr="006641CA">
        <w:t xml:space="preserve"> academic inferiority, expectations of aggression, and stereotypical misrepresentation. Given high correlation among the three SBREMA subscales (</w:t>
      </w:r>
      <w:r w:rsidRPr="006641CA">
        <w:rPr>
          <w:i/>
          <w:iCs/>
        </w:rPr>
        <w:t>r</w:t>
      </w:r>
      <w:r w:rsidRPr="006641CA">
        <w:t> = .64–.70), we focused on the Academic Inferiority subscale for these analyses. The Academic Inferiority subscale measures R/E insults and assaults that occur on college campuses and undermine students’ academic ability and intellectual prowess. Items included “People on campus made me feel intellectually inferior at school because of my race/ethnicity.” Participants reported their frequency of exposure to each microaggression during freshman year using a 4-point scale (1 = </w:t>
      </w:r>
      <w:r w:rsidRPr="006641CA">
        <w:rPr>
          <w:i/>
          <w:iCs/>
        </w:rPr>
        <w:t>Never</w:t>
      </w:r>
      <w:r w:rsidRPr="006641CA">
        <w:t>, 2 = </w:t>
      </w:r>
      <w:r w:rsidRPr="006641CA">
        <w:rPr>
          <w:i/>
          <w:iCs/>
        </w:rPr>
        <w:t>Rarely</w:t>
      </w:r>
      <w:r w:rsidRPr="006641CA">
        <w:t>, 3 = </w:t>
      </w:r>
      <w:r w:rsidRPr="006641CA">
        <w:rPr>
          <w:i/>
          <w:iCs/>
        </w:rPr>
        <w:t>Sometimes/A moderate amount</w:t>
      </w:r>
      <w:r w:rsidRPr="006641CA">
        <w:t>, 4 = </w:t>
      </w:r>
      <w:r w:rsidRPr="006641CA">
        <w:rPr>
          <w:i/>
          <w:iCs/>
        </w:rPr>
        <w:t>Often/frequently</w:t>
      </w:r>
      <w:r w:rsidRPr="006641CA">
        <w:t>). In this sample, more than 60% of participants reported that they had never experienced 10 of the 15 R/E microaggression items. Furthermore, a low proportion of the sample often or frequently experienced R/E microaggressions. Previous research with R/E microaggressions has found low frequencies among participants and created ordered categorical variables or other transformations to best reflect the observed response distribution (</w:t>
      </w:r>
      <w:r w:rsidRPr="00E20CA8">
        <w:t>Mercer, Zeigler-Hill, Wallace, &amp; Hayes, 2011</w:t>
      </w:r>
      <w:r w:rsidRPr="006641CA">
        <w:t>; </w:t>
      </w:r>
      <w:r w:rsidRPr="00E20CA8">
        <w:t>Torres-Harding, Andrade, Romero Diaz, 2012</w:t>
      </w:r>
      <w:r w:rsidRPr="006641CA">
        <w:t xml:space="preserve">). Thus, following recommended data reduction procedures and to reduce skewness </w:t>
      </w:r>
      <w:proofErr w:type="gramStart"/>
      <w:r w:rsidRPr="006641CA">
        <w:t>as a result of</w:t>
      </w:r>
      <w:proofErr w:type="gramEnd"/>
      <w:r w:rsidRPr="006641CA">
        <w:t xml:space="preserve"> the low proportion of participants who often or frequently experienced R/E microaggressions, responses were recoded as 1 to indicate the microaggression was experienced and 0 to indicate the microaggression was never experienced. A sum score was computed for the Academic Inferiority subscale, and scores ranged from 0 (</w:t>
      </w:r>
      <w:r w:rsidRPr="006641CA">
        <w:rPr>
          <w:i/>
          <w:iCs/>
        </w:rPr>
        <w:t>no R/E microaggressions</w:t>
      </w:r>
      <w:r w:rsidRPr="006641CA">
        <w:t>) to 7 (</w:t>
      </w:r>
      <w:r w:rsidRPr="006641CA">
        <w:rPr>
          <w:i/>
          <w:iCs/>
        </w:rPr>
        <w:t>all possible R/E microaggressions</w:t>
      </w:r>
      <w:r w:rsidRPr="006641CA">
        <w:t>). Internal reliability was high for the subscale (α = .93).</w:t>
      </w:r>
    </w:p>
    <w:p w14:paraId="630C389B" w14:textId="77777777" w:rsidR="006641CA" w:rsidRPr="006641CA" w:rsidRDefault="006641CA" w:rsidP="00D35C2A">
      <w:pPr>
        <w:pStyle w:val="Heading2"/>
      </w:pPr>
      <w:r w:rsidRPr="006641CA">
        <w:t>Control Variables</w:t>
      </w:r>
    </w:p>
    <w:p w14:paraId="66E46C72" w14:textId="77777777" w:rsidR="006641CA" w:rsidRPr="006641CA" w:rsidRDefault="006641CA" w:rsidP="00D35C2A">
      <w:pPr>
        <w:pStyle w:val="Heading3"/>
      </w:pPr>
      <w:r w:rsidRPr="006641CA">
        <w:t>Gender</w:t>
      </w:r>
    </w:p>
    <w:p w14:paraId="64213EF5" w14:textId="77777777" w:rsidR="006641CA" w:rsidRPr="006641CA" w:rsidRDefault="006641CA" w:rsidP="006641CA">
      <w:r w:rsidRPr="006641CA">
        <w:t>Participants indicated their sex and female was coded 1 whereas male was coded 0.</w:t>
      </w:r>
    </w:p>
    <w:p w14:paraId="6A792C45" w14:textId="77777777" w:rsidR="006641CA" w:rsidRPr="006641CA" w:rsidRDefault="006641CA" w:rsidP="00D35C2A">
      <w:pPr>
        <w:pStyle w:val="Heading3"/>
      </w:pPr>
      <w:r w:rsidRPr="006641CA">
        <w:t>First-generation college status</w:t>
      </w:r>
    </w:p>
    <w:p w14:paraId="45A44927" w14:textId="77777777" w:rsidR="006641CA" w:rsidRPr="006641CA" w:rsidRDefault="006641CA" w:rsidP="006641CA">
      <w:r w:rsidRPr="006641CA">
        <w:t>Participants indicated the highest level of education completed by their mother and father on a 9-point scale (1 = </w:t>
      </w:r>
      <w:r w:rsidRPr="006641CA">
        <w:rPr>
          <w:i/>
          <w:iCs/>
        </w:rPr>
        <w:t>No school</w:t>
      </w:r>
      <w:r w:rsidRPr="006641CA">
        <w:t> to 9 = </w:t>
      </w:r>
      <w:r w:rsidRPr="006641CA">
        <w:rPr>
          <w:i/>
          <w:iCs/>
        </w:rPr>
        <w:t>Professional or grad school</w:t>
      </w:r>
      <w:r w:rsidRPr="006641CA">
        <w:t>). We coded participants as first-generation college students if both parents had not graduated from college. If either or both parents graduated from college, then participants were not coded as first-generation college students.</w:t>
      </w:r>
    </w:p>
    <w:p w14:paraId="4A974132" w14:textId="77777777" w:rsidR="006641CA" w:rsidRPr="006641CA" w:rsidRDefault="006641CA" w:rsidP="00D35C2A">
      <w:pPr>
        <w:pStyle w:val="Heading3"/>
      </w:pPr>
      <w:r w:rsidRPr="006641CA">
        <w:t>Financial distress</w:t>
      </w:r>
    </w:p>
    <w:p w14:paraId="27AD07D0" w14:textId="37A652F6" w:rsidR="006641CA" w:rsidRPr="006641CA" w:rsidRDefault="006641CA" w:rsidP="006641CA">
      <w:r w:rsidRPr="006641CA">
        <w:t>A previous study using these data revealed that financial distress was significantly associated with students’ mental health (</w:t>
      </w:r>
      <w:r w:rsidRPr="00E20CA8">
        <w:t xml:space="preserve">Keels, </w:t>
      </w:r>
      <w:proofErr w:type="spellStart"/>
      <w:r w:rsidRPr="00E20CA8">
        <w:t>Durkee</w:t>
      </w:r>
      <w:proofErr w:type="spellEnd"/>
      <w:r w:rsidRPr="00E20CA8">
        <w:t xml:space="preserve">, Hope, &amp; </w:t>
      </w:r>
      <w:proofErr w:type="spellStart"/>
      <w:r w:rsidRPr="00E20CA8">
        <w:t>Goldrick-Rab</w:t>
      </w:r>
      <w:proofErr w:type="spellEnd"/>
      <w:r w:rsidRPr="00E20CA8">
        <w:t>, 2015</w:t>
      </w:r>
      <w:r w:rsidRPr="006641CA">
        <w:t>); therefore, it is included as a control variable in all multivariate analyses. At Wave 3, participants reported if they were upset or worried about not having enough money (1 = </w:t>
      </w:r>
      <w:r w:rsidRPr="006641CA">
        <w:rPr>
          <w:i/>
          <w:iCs/>
        </w:rPr>
        <w:t>Extremely upset</w:t>
      </w:r>
      <w:r w:rsidRPr="006641CA">
        <w:t> to 5 = </w:t>
      </w:r>
      <w:r w:rsidRPr="006641CA">
        <w:rPr>
          <w:i/>
          <w:iCs/>
        </w:rPr>
        <w:t>Not upset</w:t>
      </w:r>
      <w:r w:rsidRPr="006641CA">
        <w:t>), concerned that they would not be able to afford to complete their college degree (1 = </w:t>
      </w:r>
      <w:r w:rsidRPr="006641CA">
        <w:rPr>
          <w:i/>
          <w:iCs/>
        </w:rPr>
        <w:t>Extremely worried</w:t>
      </w:r>
      <w:r w:rsidRPr="006641CA">
        <w:t> to 5 = </w:t>
      </w:r>
      <w:r w:rsidRPr="006641CA">
        <w:rPr>
          <w:i/>
          <w:iCs/>
        </w:rPr>
        <w:t>Not worried</w:t>
      </w:r>
      <w:r w:rsidRPr="006641CA">
        <w:t>), and had difficulty paying bills (1 = </w:t>
      </w:r>
      <w:r w:rsidRPr="006641CA">
        <w:rPr>
          <w:i/>
          <w:iCs/>
        </w:rPr>
        <w:t>A tremendous amount of difficulty</w:t>
      </w:r>
      <w:r w:rsidRPr="006641CA">
        <w:t> to 5 = </w:t>
      </w:r>
      <w:r w:rsidRPr="006641CA">
        <w:rPr>
          <w:i/>
          <w:iCs/>
        </w:rPr>
        <w:t>No difficulty at all</w:t>
      </w:r>
      <w:r w:rsidRPr="006641CA">
        <w:t>). These items were averaged and reverse coded so that higher numbers indicated greater financial distress. Reliability among these three variables was high (α = .82). To reduce skewness, financial distress was collapsed into three categories (low, medium, or high financial distress).</w:t>
      </w:r>
    </w:p>
    <w:p w14:paraId="34117893" w14:textId="77777777" w:rsidR="006641CA" w:rsidRPr="006641CA" w:rsidRDefault="006641CA" w:rsidP="00D35C2A">
      <w:pPr>
        <w:pStyle w:val="Heading3"/>
      </w:pPr>
      <w:r w:rsidRPr="006641CA">
        <w:t>Political efficacy</w:t>
      </w:r>
    </w:p>
    <w:p w14:paraId="1D4B7A38" w14:textId="00E2C124" w:rsidR="006641CA" w:rsidRPr="006641CA" w:rsidRDefault="006641CA" w:rsidP="006641CA">
      <w:r w:rsidRPr="006641CA">
        <w:t>Participants indicated their endorsement of internal political efficacy beliefs through a measure that combined two items from the Black Youth Project (</w:t>
      </w:r>
      <w:r w:rsidRPr="00E20CA8">
        <w:t>Cohen, 2006</w:t>
      </w:r>
      <w:r w:rsidRPr="006641CA">
        <w:t>) and three items from the Beliefs about Individual Action and Societal Change Scale (</w:t>
      </w:r>
      <w:proofErr w:type="spellStart"/>
      <w:r w:rsidRPr="00E20CA8">
        <w:t>Gurin</w:t>
      </w:r>
      <w:proofErr w:type="spellEnd"/>
      <w:r w:rsidRPr="00E20CA8">
        <w:t xml:space="preserve">, </w:t>
      </w:r>
      <w:proofErr w:type="spellStart"/>
      <w:r w:rsidRPr="00E20CA8">
        <w:t>Nagda</w:t>
      </w:r>
      <w:proofErr w:type="spellEnd"/>
      <w:r w:rsidRPr="00E20CA8">
        <w:t>, &amp; Zuniga, 2013</w:t>
      </w:r>
      <w:r w:rsidRPr="006641CA">
        <w:t>). These five items assessed how much youth believe that they can positively affect their community and participate in politics. Participants indicated their level of agreement on a 5-point Likert scale from 1 (</w:t>
      </w:r>
      <w:r w:rsidRPr="006641CA">
        <w:rPr>
          <w:i/>
          <w:iCs/>
        </w:rPr>
        <w:t>Strongly disagree</w:t>
      </w:r>
      <w:r w:rsidRPr="006641CA">
        <w:t>) to 5 (</w:t>
      </w:r>
      <w:r w:rsidRPr="006641CA">
        <w:rPr>
          <w:i/>
          <w:iCs/>
        </w:rPr>
        <w:t>Strongly agree</w:t>
      </w:r>
      <w:r w:rsidRPr="006641CA">
        <w:t>). Sample items include, “Even if it is hard, I still believe I can change my community” (α = .84).</w:t>
      </w:r>
    </w:p>
    <w:p w14:paraId="739C6F83" w14:textId="77777777" w:rsidR="006641CA" w:rsidRPr="006641CA" w:rsidRDefault="006641CA" w:rsidP="00D35C2A">
      <w:pPr>
        <w:pStyle w:val="Heading2"/>
      </w:pPr>
      <w:r w:rsidRPr="006641CA">
        <w:t>Data Analysis Plan</w:t>
      </w:r>
    </w:p>
    <w:p w14:paraId="536EE522" w14:textId="49C64D7C" w:rsidR="006641CA" w:rsidRPr="006641CA" w:rsidRDefault="006641CA" w:rsidP="006641CA">
      <w:r w:rsidRPr="006641CA">
        <w:t>We conducted descriptive analyses to investigate bivariate relationships and mean R/E group differences among study variables. Next, we conducted multiple regression analyses for each mental health indicator. In Step 1, we regressed the control variables onto the Wave 3 mental health outcomes. In Step 2, we added freshman year political activism and R/E microaggressions. In Step 3, we tested whether the relationships between R/E microaggressions and mental health were moderated by political activism. Significant interaction effects were tested using simple slopes analyses as outlined by </w:t>
      </w:r>
      <w:r w:rsidRPr="00E20CA8">
        <w:t>Aiken and West (1991)</w:t>
      </w:r>
      <w:r w:rsidRPr="006641CA">
        <w:t>. </w:t>
      </w:r>
      <w:r w:rsidRPr="00E20CA8">
        <w:t>Green (1991)</w:t>
      </w:r>
      <w:r w:rsidRPr="006641CA">
        <w:t> suggests that a sample size of 50 plus 8 times the number of predictors is required for multiple linear regression; our sample size exceeded this requirement and provided sufficient power for analyses.</w:t>
      </w:r>
    </w:p>
    <w:p w14:paraId="60591C98" w14:textId="77777777" w:rsidR="006641CA" w:rsidRPr="006641CA" w:rsidRDefault="006641CA" w:rsidP="006641CA">
      <w:r w:rsidRPr="006641CA">
        <w:t>To account for missing data, we conducted our analyses in STATA 14 using maximum likelihood with missing values estimation (also known as full information maximum likelihood) to retain all possible cases. We also used clustered robust standard error adjustments to account for nested variance within the five universities that the participants were sampled from. We conducted each set of regression analyses for the full sample and separately for each R/E group. The relationship patterns were different for Black and Latinx students; therefore, we describe the results separately for each group.</w:t>
      </w:r>
    </w:p>
    <w:p w14:paraId="1926F4F9" w14:textId="615F4517" w:rsidR="006641CA" w:rsidRPr="006641CA" w:rsidRDefault="006641CA" w:rsidP="00D35C2A">
      <w:pPr>
        <w:pStyle w:val="Heading1"/>
      </w:pPr>
      <w:r w:rsidRPr="00E20CA8">
        <w:t>Results</w:t>
      </w:r>
    </w:p>
    <w:p w14:paraId="0690A1B8" w14:textId="77777777" w:rsidR="006641CA" w:rsidRPr="006641CA" w:rsidRDefault="006641CA" w:rsidP="00D35C2A">
      <w:pPr>
        <w:pStyle w:val="Heading2"/>
      </w:pPr>
      <w:r w:rsidRPr="006641CA">
        <w:t>Preliminary Analyses</w:t>
      </w:r>
    </w:p>
    <w:p w14:paraId="6CA54697" w14:textId="2130CC0C" w:rsidR="00987091" w:rsidRDefault="006641CA" w:rsidP="006641CA">
      <w:pPr>
        <w:rPr>
          <w:noProof/>
        </w:rPr>
        <w:sectPr w:rsidR="00987091">
          <w:pgSz w:w="12240" w:h="15840"/>
          <w:pgMar w:top="1440" w:right="1440" w:bottom="1440" w:left="1440" w:header="720" w:footer="720" w:gutter="0"/>
          <w:cols w:space="720"/>
          <w:docGrid w:linePitch="360"/>
        </w:sectPr>
      </w:pPr>
      <w:r w:rsidRPr="006641CA">
        <w:t>Preliminary analyses were conducted to evaluate means, standard deviations, and bivariate correlations for all study variables (see </w:t>
      </w:r>
      <w:r w:rsidRPr="00E20CA8">
        <w:t>Tables 1</w:t>
      </w:r>
      <w:r w:rsidRPr="006641CA">
        <w:t> and </w:t>
      </w:r>
      <w:r w:rsidRPr="00E20CA8">
        <w:t>2</w:t>
      </w:r>
      <w:r w:rsidRPr="006641CA">
        <w:t>). On average, students experienced low levels of stress (</w:t>
      </w:r>
      <w:r w:rsidRPr="006641CA">
        <w:rPr>
          <w:i/>
          <w:iCs/>
        </w:rPr>
        <w:t>Mw1</w:t>
      </w:r>
      <w:r w:rsidRPr="006641CA">
        <w:t> = 1.81, </w:t>
      </w:r>
      <w:r w:rsidRPr="006641CA">
        <w:rPr>
          <w:i/>
          <w:iCs/>
        </w:rPr>
        <w:t>Mw3</w:t>
      </w:r>
      <w:r w:rsidRPr="006641CA">
        <w:t> = 1.77), anxiety (</w:t>
      </w:r>
      <w:r w:rsidRPr="006641CA">
        <w:rPr>
          <w:i/>
          <w:iCs/>
        </w:rPr>
        <w:t>Mw1</w:t>
      </w:r>
      <w:r w:rsidRPr="006641CA">
        <w:t> = 3.35, </w:t>
      </w:r>
      <w:r w:rsidRPr="006641CA">
        <w:rPr>
          <w:i/>
          <w:iCs/>
        </w:rPr>
        <w:t>Mw3</w:t>
      </w:r>
      <w:r w:rsidRPr="006641CA">
        <w:t> = 3.18), and depressive symptoms (</w:t>
      </w:r>
      <w:r w:rsidRPr="006641CA">
        <w:rPr>
          <w:i/>
          <w:iCs/>
        </w:rPr>
        <w:t>Mw1</w:t>
      </w:r>
      <w:r w:rsidRPr="006641CA">
        <w:t> = .85, </w:t>
      </w:r>
      <w:r w:rsidRPr="006641CA">
        <w:rPr>
          <w:i/>
          <w:iCs/>
        </w:rPr>
        <w:t>Mw3</w:t>
      </w:r>
      <w:r w:rsidRPr="006641CA">
        <w:t> = .77) during the Fall and Spring semesters of freshman year. Students participated in an average of one to two forms of political activism (</w:t>
      </w:r>
      <w:r w:rsidRPr="006641CA">
        <w:rPr>
          <w:i/>
          <w:iCs/>
        </w:rPr>
        <w:t>M</w:t>
      </w:r>
      <w:r w:rsidRPr="006641CA">
        <w:t> = 1.59, </w:t>
      </w:r>
      <w:r w:rsidRPr="006641CA">
        <w:rPr>
          <w:i/>
          <w:iCs/>
        </w:rPr>
        <w:t>SD</w:t>
      </w:r>
      <w:r w:rsidRPr="006641CA">
        <w:t> = 1.58) during freshman year. Students experienced an average of 2.45 (</w:t>
      </w:r>
      <w:r w:rsidRPr="006641CA">
        <w:rPr>
          <w:i/>
          <w:iCs/>
        </w:rPr>
        <w:t>SD</w:t>
      </w:r>
      <w:r w:rsidRPr="006641CA">
        <w:t> = 2.70) academic inferiority R/E microaggressions over the course of freshman year</w:t>
      </w:r>
    </w:p>
    <w:p w14:paraId="4B16BE44" w14:textId="77777777" w:rsidR="00987091" w:rsidRPr="008F2011" w:rsidRDefault="00987091" w:rsidP="00026DD8">
      <w:pPr>
        <w:spacing w:after="0"/>
        <w:rPr>
          <w:i/>
          <w:iCs/>
          <w:color w:val="000000" w:themeColor="text1"/>
        </w:rPr>
      </w:pPr>
      <w:r w:rsidRPr="008F2011">
        <w:rPr>
          <w:noProof/>
          <w:color w:val="000000" w:themeColor="text1"/>
        </w:rPr>
        <w:t xml:space="preserve">Table 1. </w:t>
      </w:r>
      <w:r w:rsidR="006641CA" w:rsidRPr="008F2011">
        <w:rPr>
          <w:i/>
          <w:iCs/>
          <w:color w:val="000000" w:themeColor="text1"/>
        </w:rPr>
        <w:t>Bivariate Correlations of the Study Variables by Race/Ethnicity (N = 504)</w:t>
      </w:r>
    </w:p>
    <w:tbl>
      <w:tblPr>
        <w:tblStyle w:val="TableGrid"/>
        <w:tblW w:w="0" w:type="auto"/>
        <w:tblLook w:val="04A0" w:firstRow="1" w:lastRow="0" w:firstColumn="1" w:lastColumn="0" w:noHBand="0" w:noVBand="1"/>
      </w:tblPr>
      <w:tblGrid>
        <w:gridCol w:w="1996"/>
        <w:gridCol w:w="824"/>
        <w:gridCol w:w="562"/>
        <w:gridCol w:w="704"/>
        <w:gridCol w:w="704"/>
        <w:gridCol w:w="634"/>
        <w:gridCol w:w="634"/>
        <w:gridCol w:w="704"/>
        <w:gridCol w:w="704"/>
        <w:gridCol w:w="824"/>
        <w:gridCol w:w="704"/>
        <w:gridCol w:w="714"/>
        <w:gridCol w:w="704"/>
      </w:tblGrid>
      <w:tr w:rsidR="00E02B08" w14:paraId="23F2E093" w14:textId="77777777" w:rsidTr="00026DD8">
        <w:tc>
          <w:tcPr>
            <w:tcW w:w="0" w:type="auto"/>
          </w:tcPr>
          <w:p w14:paraId="4EE917A9" w14:textId="24E5CC93" w:rsidR="0014614D" w:rsidRDefault="00250AC8" w:rsidP="006641CA">
            <w:r>
              <w:t>Variable</w:t>
            </w:r>
          </w:p>
        </w:tc>
        <w:tc>
          <w:tcPr>
            <w:tcW w:w="0" w:type="auto"/>
          </w:tcPr>
          <w:p w14:paraId="5F3D975E" w14:textId="1EE5E03F" w:rsidR="0014614D" w:rsidRDefault="00250AC8" w:rsidP="006641CA">
            <w:r>
              <w:t>1</w:t>
            </w:r>
          </w:p>
        </w:tc>
        <w:tc>
          <w:tcPr>
            <w:tcW w:w="0" w:type="auto"/>
          </w:tcPr>
          <w:p w14:paraId="58E4DD58" w14:textId="73D8973E" w:rsidR="0014614D" w:rsidRDefault="00250AC8" w:rsidP="006641CA">
            <w:r>
              <w:t>2</w:t>
            </w:r>
          </w:p>
        </w:tc>
        <w:tc>
          <w:tcPr>
            <w:tcW w:w="0" w:type="auto"/>
          </w:tcPr>
          <w:p w14:paraId="5F0C5DE5" w14:textId="572F14DE" w:rsidR="0014614D" w:rsidRDefault="00250AC8" w:rsidP="006641CA">
            <w:r>
              <w:t>3</w:t>
            </w:r>
          </w:p>
        </w:tc>
        <w:tc>
          <w:tcPr>
            <w:tcW w:w="0" w:type="auto"/>
          </w:tcPr>
          <w:p w14:paraId="787B0DBA" w14:textId="44405F7E" w:rsidR="0014614D" w:rsidRDefault="00250AC8" w:rsidP="006641CA">
            <w:r>
              <w:t>4</w:t>
            </w:r>
          </w:p>
        </w:tc>
        <w:tc>
          <w:tcPr>
            <w:tcW w:w="0" w:type="auto"/>
          </w:tcPr>
          <w:p w14:paraId="23CA9C39" w14:textId="749C2C41" w:rsidR="0014614D" w:rsidRDefault="00250AC8" w:rsidP="006641CA">
            <w:r>
              <w:t>5</w:t>
            </w:r>
          </w:p>
        </w:tc>
        <w:tc>
          <w:tcPr>
            <w:tcW w:w="0" w:type="auto"/>
          </w:tcPr>
          <w:p w14:paraId="2ED7EFBB" w14:textId="265A9E65" w:rsidR="0014614D" w:rsidRDefault="00250AC8" w:rsidP="006641CA">
            <w:r>
              <w:t>6</w:t>
            </w:r>
          </w:p>
        </w:tc>
        <w:tc>
          <w:tcPr>
            <w:tcW w:w="0" w:type="auto"/>
          </w:tcPr>
          <w:p w14:paraId="2D14952D" w14:textId="7D7B4801" w:rsidR="0014614D" w:rsidRDefault="00250AC8" w:rsidP="006641CA">
            <w:r>
              <w:t>7</w:t>
            </w:r>
          </w:p>
        </w:tc>
        <w:tc>
          <w:tcPr>
            <w:tcW w:w="0" w:type="auto"/>
          </w:tcPr>
          <w:p w14:paraId="09ABBAB0" w14:textId="7D863ADB" w:rsidR="0014614D" w:rsidRDefault="00250AC8" w:rsidP="006641CA">
            <w:r>
              <w:t>8</w:t>
            </w:r>
          </w:p>
        </w:tc>
        <w:tc>
          <w:tcPr>
            <w:tcW w:w="0" w:type="auto"/>
          </w:tcPr>
          <w:p w14:paraId="1C25B586" w14:textId="218CE45D" w:rsidR="0014614D" w:rsidRDefault="00250AC8" w:rsidP="006641CA">
            <w:r>
              <w:t>9</w:t>
            </w:r>
          </w:p>
        </w:tc>
        <w:tc>
          <w:tcPr>
            <w:tcW w:w="0" w:type="auto"/>
          </w:tcPr>
          <w:p w14:paraId="6DB1A95F" w14:textId="614D86F9" w:rsidR="0014614D" w:rsidRDefault="00250AC8" w:rsidP="006641CA">
            <w:r>
              <w:t>10</w:t>
            </w:r>
          </w:p>
        </w:tc>
        <w:tc>
          <w:tcPr>
            <w:tcW w:w="0" w:type="auto"/>
          </w:tcPr>
          <w:p w14:paraId="53BB9D98" w14:textId="0E30C10E" w:rsidR="0014614D" w:rsidRDefault="00250AC8" w:rsidP="006641CA">
            <w:r>
              <w:t>11</w:t>
            </w:r>
          </w:p>
        </w:tc>
        <w:tc>
          <w:tcPr>
            <w:tcW w:w="0" w:type="auto"/>
          </w:tcPr>
          <w:p w14:paraId="5F99A243" w14:textId="44FEFA6E" w:rsidR="0014614D" w:rsidRDefault="00250AC8" w:rsidP="006641CA">
            <w:r>
              <w:t>12</w:t>
            </w:r>
          </w:p>
        </w:tc>
      </w:tr>
      <w:tr w:rsidR="00E02B08" w14:paraId="2070A519" w14:textId="77777777" w:rsidTr="00026DD8">
        <w:tc>
          <w:tcPr>
            <w:tcW w:w="0" w:type="auto"/>
          </w:tcPr>
          <w:p w14:paraId="379E2106" w14:textId="021E9598" w:rsidR="0014614D" w:rsidRDefault="00250AC8" w:rsidP="006641CA">
            <w:r>
              <w:t>1. Gender</w:t>
            </w:r>
          </w:p>
        </w:tc>
        <w:tc>
          <w:tcPr>
            <w:tcW w:w="0" w:type="auto"/>
          </w:tcPr>
          <w:p w14:paraId="4865B0CE" w14:textId="1378F13E" w:rsidR="0014614D" w:rsidRDefault="008E740F" w:rsidP="00F60E10">
            <w:pPr>
              <w:jc w:val="right"/>
            </w:pPr>
            <w:r>
              <w:t xml:space="preserve">— </w:t>
            </w:r>
          </w:p>
        </w:tc>
        <w:tc>
          <w:tcPr>
            <w:tcW w:w="0" w:type="auto"/>
          </w:tcPr>
          <w:p w14:paraId="003CAF93" w14:textId="55DE2A04" w:rsidR="0014614D" w:rsidRDefault="008F2011" w:rsidP="00F60E10">
            <w:pPr>
              <w:jc w:val="right"/>
            </w:pPr>
            <w:r>
              <w:t xml:space="preserve">.02         </w:t>
            </w:r>
          </w:p>
        </w:tc>
        <w:tc>
          <w:tcPr>
            <w:tcW w:w="0" w:type="auto"/>
          </w:tcPr>
          <w:p w14:paraId="33283A9F" w14:textId="6C1FE38D" w:rsidR="0014614D" w:rsidRDefault="008F2011" w:rsidP="00F60E10">
            <w:pPr>
              <w:jc w:val="right"/>
            </w:pPr>
            <w:r>
              <w:t>.02</w:t>
            </w:r>
          </w:p>
        </w:tc>
        <w:tc>
          <w:tcPr>
            <w:tcW w:w="0" w:type="auto"/>
          </w:tcPr>
          <w:p w14:paraId="295DC3A6" w14:textId="37AF6359" w:rsidR="0014614D" w:rsidRDefault="008F2011" w:rsidP="00F60E10">
            <w:pPr>
              <w:jc w:val="right"/>
            </w:pPr>
            <w:r>
              <w:t>.04</w:t>
            </w:r>
          </w:p>
        </w:tc>
        <w:tc>
          <w:tcPr>
            <w:tcW w:w="0" w:type="auto"/>
          </w:tcPr>
          <w:p w14:paraId="0D279006" w14:textId="08258C4B" w:rsidR="0014614D" w:rsidRDefault="008F2011" w:rsidP="00F60E10">
            <w:pPr>
              <w:jc w:val="right"/>
            </w:pPr>
            <w:r>
              <w:t>.14*</w:t>
            </w:r>
          </w:p>
        </w:tc>
        <w:tc>
          <w:tcPr>
            <w:tcW w:w="0" w:type="auto"/>
          </w:tcPr>
          <w:p w14:paraId="41CCEC0E" w14:textId="2B8785FA" w:rsidR="0014614D" w:rsidRDefault="008F2011" w:rsidP="00F60E10">
            <w:pPr>
              <w:jc w:val="right"/>
            </w:pPr>
            <w:r>
              <w:t>.00</w:t>
            </w:r>
          </w:p>
        </w:tc>
        <w:tc>
          <w:tcPr>
            <w:tcW w:w="0" w:type="auto"/>
          </w:tcPr>
          <w:p w14:paraId="6D889F90" w14:textId="41CE7B0F" w:rsidR="0014614D" w:rsidRDefault="008F2011" w:rsidP="00F60E10">
            <w:pPr>
              <w:jc w:val="right"/>
            </w:pPr>
            <w:r>
              <w:t xml:space="preserve">.11            </w:t>
            </w:r>
          </w:p>
        </w:tc>
        <w:tc>
          <w:tcPr>
            <w:tcW w:w="0" w:type="auto"/>
          </w:tcPr>
          <w:p w14:paraId="2D5E4648" w14:textId="1EC9801D" w:rsidR="0014614D" w:rsidRDefault="008F2011" w:rsidP="00F60E10">
            <w:pPr>
              <w:jc w:val="right"/>
            </w:pPr>
            <w:r>
              <w:t>.16*</w:t>
            </w:r>
          </w:p>
        </w:tc>
        <w:tc>
          <w:tcPr>
            <w:tcW w:w="0" w:type="auto"/>
          </w:tcPr>
          <w:p w14:paraId="14BB1273" w14:textId="66CCB4E1" w:rsidR="0014614D" w:rsidRDefault="008F2011" w:rsidP="00F60E10">
            <w:pPr>
              <w:jc w:val="right"/>
            </w:pPr>
            <w:r>
              <w:t>.27***</w:t>
            </w:r>
          </w:p>
        </w:tc>
        <w:tc>
          <w:tcPr>
            <w:tcW w:w="0" w:type="auto"/>
          </w:tcPr>
          <w:p w14:paraId="67BF7488" w14:textId="1E07BDAD" w:rsidR="0014614D" w:rsidRDefault="008F2011" w:rsidP="00F60E10">
            <w:pPr>
              <w:jc w:val="right"/>
            </w:pPr>
            <w:r>
              <w:t>.17*</w:t>
            </w:r>
          </w:p>
        </w:tc>
        <w:tc>
          <w:tcPr>
            <w:tcW w:w="0" w:type="auto"/>
          </w:tcPr>
          <w:p w14:paraId="36E66C6F" w14:textId="79CA489C" w:rsidR="0014614D" w:rsidRDefault="008F2011" w:rsidP="00F60E10">
            <w:pPr>
              <w:jc w:val="right"/>
            </w:pPr>
            <w:r>
              <w:t xml:space="preserve">.18**          </w:t>
            </w:r>
          </w:p>
        </w:tc>
        <w:tc>
          <w:tcPr>
            <w:tcW w:w="0" w:type="auto"/>
          </w:tcPr>
          <w:p w14:paraId="40DAAECC" w14:textId="64D936B4" w:rsidR="0014614D" w:rsidRDefault="008F2011" w:rsidP="00F60E10">
            <w:pPr>
              <w:jc w:val="right"/>
            </w:pPr>
            <w:r>
              <w:t>.02</w:t>
            </w:r>
          </w:p>
        </w:tc>
      </w:tr>
      <w:tr w:rsidR="00E02B08" w14:paraId="7CCEA92A" w14:textId="77777777" w:rsidTr="00026DD8">
        <w:tc>
          <w:tcPr>
            <w:tcW w:w="0" w:type="auto"/>
          </w:tcPr>
          <w:p w14:paraId="1C7A7385" w14:textId="5CA301DD" w:rsidR="0014614D" w:rsidRDefault="00250AC8" w:rsidP="006641CA">
            <w:r>
              <w:t xml:space="preserve">2. </w:t>
            </w:r>
            <w:r w:rsidR="002F6DEA">
              <w:t>First-Generation</w:t>
            </w:r>
          </w:p>
        </w:tc>
        <w:tc>
          <w:tcPr>
            <w:tcW w:w="0" w:type="auto"/>
          </w:tcPr>
          <w:p w14:paraId="20AE7B14" w14:textId="38127247" w:rsidR="0014614D" w:rsidRDefault="008E740F" w:rsidP="00F60E10">
            <w:pPr>
              <w:jc w:val="right"/>
            </w:pPr>
            <w:r>
              <w:t xml:space="preserve">.12 </w:t>
            </w:r>
          </w:p>
        </w:tc>
        <w:tc>
          <w:tcPr>
            <w:tcW w:w="0" w:type="auto"/>
          </w:tcPr>
          <w:p w14:paraId="60B465DC" w14:textId="288B2B55" w:rsidR="0014614D" w:rsidRDefault="00A369C3" w:rsidP="00F60E10">
            <w:pPr>
              <w:jc w:val="right"/>
            </w:pPr>
            <w:r>
              <w:t xml:space="preserve">—           </w:t>
            </w:r>
          </w:p>
        </w:tc>
        <w:tc>
          <w:tcPr>
            <w:tcW w:w="0" w:type="auto"/>
          </w:tcPr>
          <w:p w14:paraId="03B4A096" w14:textId="59C3146B" w:rsidR="0014614D" w:rsidRDefault="00A369C3" w:rsidP="00F60E10">
            <w:pPr>
              <w:jc w:val="right"/>
            </w:pPr>
            <w:r>
              <w:t xml:space="preserve">.16     </w:t>
            </w:r>
          </w:p>
        </w:tc>
        <w:tc>
          <w:tcPr>
            <w:tcW w:w="0" w:type="auto"/>
          </w:tcPr>
          <w:p w14:paraId="4381510A" w14:textId="7A6A1C09" w:rsidR="0014614D" w:rsidRDefault="00A369C3" w:rsidP="00F60E10">
            <w:pPr>
              <w:jc w:val="right"/>
            </w:pPr>
            <w:r>
              <w:t>-.13</w:t>
            </w:r>
          </w:p>
        </w:tc>
        <w:tc>
          <w:tcPr>
            <w:tcW w:w="0" w:type="auto"/>
          </w:tcPr>
          <w:p w14:paraId="530ECF76" w14:textId="74C103A3" w:rsidR="0014614D" w:rsidRDefault="00A369C3" w:rsidP="00F60E10">
            <w:pPr>
              <w:jc w:val="right"/>
            </w:pPr>
            <w:r>
              <w:t xml:space="preserve">.09            </w:t>
            </w:r>
          </w:p>
        </w:tc>
        <w:tc>
          <w:tcPr>
            <w:tcW w:w="0" w:type="auto"/>
          </w:tcPr>
          <w:p w14:paraId="7A39D21B" w14:textId="39CB82B9" w:rsidR="0014614D" w:rsidRDefault="00A369C3" w:rsidP="00F60E10">
            <w:pPr>
              <w:jc w:val="right"/>
            </w:pPr>
            <w:r>
              <w:t xml:space="preserve">.03            </w:t>
            </w:r>
          </w:p>
        </w:tc>
        <w:tc>
          <w:tcPr>
            <w:tcW w:w="0" w:type="auto"/>
          </w:tcPr>
          <w:p w14:paraId="173E59C3" w14:textId="70FE21DB" w:rsidR="0014614D" w:rsidRDefault="00A369C3" w:rsidP="00F60E10">
            <w:pPr>
              <w:jc w:val="right"/>
            </w:pPr>
            <w:r>
              <w:t xml:space="preserve">.02             </w:t>
            </w:r>
          </w:p>
        </w:tc>
        <w:tc>
          <w:tcPr>
            <w:tcW w:w="0" w:type="auto"/>
          </w:tcPr>
          <w:p w14:paraId="4E063C5F" w14:textId="5D3955F0" w:rsidR="0014614D" w:rsidRDefault="00A369C3" w:rsidP="00F60E10">
            <w:pPr>
              <w:jc w:val="right"/>
            </w:pPr>
            <w:r>
              <w:t xml:space="preserve">.05     </w:t>
            </w:r>
          </w:p>
        </w:tc>
        <w:tc>
          <w:tcPr>
            <w:tcW w:w="0" w:type="auto"/>
          </w:tcPr>
          <w:p w14:paraId="6046DAA2" w14:textId="68846530" w:rsidR="0014614D" w:rsidRDefault="00A369C3" w:rsidP="00F60E10">
            <w:pPr>
              <w:jc w:val="right"/>
            </w:pPr>
            <w:r>
              <w:t xml:space="preserve">.09             </w:t>
            </w:r>
          </w:p>
        </w:tc>
        <w:tc>
          <w:tcPr>
            <w:tcW w:w="0" w:type="auto"/>
          </w:tcPr>
          <w:p w14:paraId="193E55B1" w14:textId="773EE158" w:rsidR="0014614D" w:rsidRDefault="00A369C3" w:rsidP="00F60E10">
            <w:pPr>
              <w:jc w:val="right"/>
            </w:pPr>
            <w:r>
              <w:t xml:space="preserve">.02             </w:t>
            </w:r>
          </w:p>
        </w:tc>
        <w:tc>
          <w:tcPr>
            <w:tcW w:w="0" w:type="auto"/>
          </w:tcPr>
          <w:p w14:paraId="076A1CCE" w14:textId="704BFAEE" w:rsidR="0014614D" w:rsidRDefault="00A369C3" w:rsidP="00F60E10">
            <w:pPr>
              <w:jc w:val="right"/>
            </w:pPr>
            <w:r>
              <w:t xml:space="preserve">.08             </w:t>
            </w:r>
          </w:p>
        </w:tc>
        <w:tc>
          <w:tcPr>
            <w:tcW w:w="0" w:type="auto"/>
          </w:tcPr>
          <w:p w14:paraId="0CDFB27A" w14:textId="366AB3FC" w:rsidR="0014614D" w:rsidRDefault="00A369C3" w:rsidP="00F60E10">
            <w:pPr>
              <w:jc w:val="right"/>
            </w:pPr>
            <w:r>
              <w:t>.05</w:t>
            </w:r>
          </w:p>
        </w:tc>
      </w:tr>
      <w:tr w:rsidR="00E02B08" w14:paraId="7853449C" w14:textId="77777777" w:rsidTr="00026DD8">
        <w:tc>
          <w:tcPr>
            <w:tcW w:w="0" w:type="auto"/>
          </w:tcPr>
          <w:p w14:paraId="1F3CAEF7" w14:textId="1E11B2CA" w:rsidR="0014614D" w:rsidRDefault="002F6DEA" w:rsidP="006641CA">
            <w:r>
              <w:t>3. Financial Distress</w:t>
            </w:r>
          </w:p>
        </w:tc>
        <w:tc>
          <w:tcPr>
            <w:tcW w:w="0" w:type="auto"/>
          </w:tcPr>
          <w:p w14:paraId="7610F333" w14:textId="68F064AA" w:rsidR="0014614D" w:rsidRPr="00C23B0D" w:rsidRDefault="00C23B0D" w:rsidP="00F60E10">
            <w:pPr>
              <w:jc w:val="right"/>
              <w:rPr>
                <w:vertAlign w:val="superscript"/>
              </w:rPr>
            </w:pPr>
            <w:bookmarkStart w:id="3" w:name="_bookmark0"/>
            <w:bookmarkEnd w:id="3"/>
            <w:r w:rsidRPr="00C23B0D">
              <w:t>.13</w:t>
            </w:r>
            <w:r w:rsidRPr="00C23B0D">
              <w:rPr>
                <w:vertAlign w:val="superscript"/>
              </w:rPr>
              <w:t>*</w:t>
            </w:r>
            <w:r w:rsidRPr="00C23B0D">
              <w:t xml:space="preserve"> </w:t>
            </w:r>
            <w:bookmarkStart w:id="4" w:name="Results"/>
            <w:bookmarkEnd w:id="4"/>
          </w:p>
        </w:tc>
        <w:tc>
          <w:tcPr>
            <w:tcW w:w="0" w:type="auto"/>
          </w:tcPr>
          <w:p w14:paraId="034ED195" w14:textId="6952C69D" w:rsidR="0014614D" w:rsidRDefault="00600E45" w:rsidP="00F60E10">
            <w:pPr>
              <w:jc w:val="right"/>
            </w:pPr>
            <w:r w:rsidRPr="00C23B0D">
              <w:t>.11</w:t>
            </w:r>
          </w:p>
        </w:tc>
        <w:tc>
          <w:tcPr>
            <w:tcW w:w="0" w:type="auto"/>
          </w:tcPr>
          <w:p w14:paraId="01CB03E5" w14:textId="76DCA433" w:rsidR="0014614D" w:rsidRDefault="00600E45" w:rsidP="00F60E10">
            <w:pPr>
              <w:jc w:val="right"/>
            </w:pPr>
            <w:r w:rsidRPr="00C23B0D">
              <w:t>—</w:t>
            </w:r>
          </w:p>
        </w:tc>
        <w:tc>
          <w:tcPr>
            <w:tcW w:w="0" w:type="auto"/>
          </w:tcPr>
          <w:p w14:paraId="64611599" w14:textId="574BE0C6" w:rsidR="0014614D" w:rsidRDefault="00600E45" w:rsidP="00F60E10">
            <w:pPr>
              <w:jc w:val="right"/>
            </w:pPr>
            <w:r w:rsidRPr="00C23B0D">
              <w:t>.04</w:t>
            </w:r>
          </w:p>
        </w:tc>
        <w:tc>
          <w:tcPr>
            <w:tcW w:w="0" w:type="auto"/>
          </w:tcPr>
          <w:p w14:paraId="7B868243" w14:textId="0777B7AD" w:rsidR="0014614D" w:rsidRDefault="00600E45" w:rsidP="00F60E10">
            <w:pPr>
              <w:jc w:val="right"/>
            </w:pPr>
            <w:r w:rsidRPr="00C23B0D">
              <w:t>.12</w:t>
            </w:r>
          </w:p>
        </w:tc>
        <w:tc>
          <w:tcPr>
            <w:tcW w:w="0" w:type="auto"/>
          </w:tcPr>
          <w:p w14:paraId="72404E48" w14:textId="19844506" w:rsidR="0014614D" w:rsidRDefault="00600E45" w:rsidP="00F60E10">
            <w:pPr>
              <w:jc w:val="right"/>
            </w:pPr>
            <w:r w:rsidRPr="00C23B0D">
              <w:t>.21</w:t>
            </w:r>
            <w:r w:rsidRPr="00C23B0D">
              <w:rPr>
                <w:vertAlign w:val="superscript"/>
              </w:rPr>
              <w:t>**</w:t>
            </w:r>
          </w:p>
        </w:tc>
        <w:tc>
          <w:tcPr>
            <w:tcW w:w="0" w:type="auto"/>
          </w:tcPr>
          <w:p w14:paraId="2808096F" w14:textId="2B976E59" w:rsidR="0014614D" w:rsidRDefault="00600E45" w:rsidP="00F60E10">
            <w:pPr>
              <w:jc w:val="right"/>
            </w:pPr>
            <w:r w:rsidRPr="00C23B0D">
              <w:t>.20</w:t>
            </w:r>
            <w:r w:rsidRPr="00C23B0D">
              <w:rPr>
                <w:vertAlign w:val="superscript"/>
              </w:rPr>
              <w:t>**</w:t>
            </w:r>
          </w:p>
        </w:tc>
        <w:tc>
          <w:tcPr>
            <w:tcW w:w="0" w:type="auto"/>
          </w:tcPr>
          <w:p w14:paraId="575EA2BE" w14:textId="6D75A14D" w:rsidR="0014614D" w:rsidRDefault="00600E45" w:rsidP="00F60E10">
            <w:pPr>
              <w:jc w:val="right"/>
            </w:pPr>
            <w:r w:rsidRPr="00C23B0D">
              <w:t>.23</w:t>
            </w:r>
            <w:r w:rsidRPr="00C23B0D">
              <w:rPr>
                <w:vertAlign w:val="superscript"/>
              </w:rPr>
              <w:t>**</w:t>
            </w:r>
          </w:p>
        </w:tc>
        <w:tc>
          <w:tcPr>
            <w:tcW w:w="0" w:type="auto"/>
          </w:tcPr>
          <w:p w14:paraId="64962E6F" w14:textId="08402B7D" w:rsidR="0014614D" w:rsidRDefault="00600E45" w:rsidP="00F60E10">
            <w:pPr>
              <w:jc w:val="right"/>
            </w:pPr>
            <w:r w:rsidRPr="00C23B0D">
              <w:t>.22</w:t>
            </w:r>
            <w:r w:rsidRPr="00C23B0D">
              <w:rPr>
                <w:vertAlign w:val="superscript"/>
              </w:rPr>
              <w:t>**</w:t>
            </w:r>
          </w:p>
        </w:tc>
        <w:tc>
          <w:tcPr>
            <w:tcW w:w="0" w:type="auto"/>
          </w:tcPr>
          <w:p w14:paraId="7080493D" w14:textId="1F957AFF" w:rsidR="0014614D" w:rsidRDefault="00600E45" w:rsidP="00F60E10">
            <w:pPr>
              <w:jc w:val="right"/>
            </w:pPr>
            <w:r w:rsidRPr="00C23B0D">
              <w:t>.26</w:t>
            </w:r>
            <w:r w:rsidRPr="00C23B0D">
              <w:rPr>
                <w:vertAlign w:val="superscript"/>
              </w:rPr>
              <w:t>***</w:t>
            </w:r>
          </w:p>
        </w:tc>
        <w:tc>
          <w:tcPr>
            <w:tcW w:w="0" w:type="auto"/>
          </w:tcPr>
          <w:p w14:paraId="04869F1A" w14:textId="34E0A7B9" w:rsidR="0014614D" w:rsidRDefault="00600E45" w:rsidP="00F60E10">
            <w:pPr>
              <w:jc w:val="right"/>
            </w:pPr>
            <w:r w:rsidRPr="00C23B0D">
              <w:t>.32</w:t>
            </w:r>
            <w:r w:rsidRPr="00C23B0D">
              <w:rPr>
                <w:vertAlign w:val="superscript"/>
              </w:rPr>
              <w:t>***</w:t>
            </w:r>
          </w:p>
        </w:tc>
        <w:tc>
          <w:tcPr>
            <w:tcW w:w="0" w:type="auto"/>
          </w:tcPr>
          <w:p w14:paraId="3B925853" w14:textId="2B3F1DAA" w:rsidR="0014614D" w:rsidRDefault="00600E45" w:rsidP="00F60E10">
            <w:pPr>
              <w:jc w:val="right"/>
            </w:pPr>
            <w:r w:rsidRPr="00C23B0D">
              <w:t>.25</w:t>
            </w:r>
            <w:r w:rsidRPr="00C23B0D">
              <w:rPr>
                <w:vertAlign w:val="superscript"/>
              </w:rPr>
              <w:t>***</w:t>
            </w:r>
          </w:p>
        </w:tc>
      </w:tr>
      <w:tr w:rsidR="00E02B08" w14:paraId="1EE7EB66" w14:textId="77777777" w:rsidTr="00026DD8">
        <w:tc>
          <w:tcPr>
            <w:tcW w:w="0" w:type="auto"/>
          </w:tcPr>
          <w:p w14:paraId="2D7C1A6C" w14:textId="42EBED18" w:rsidR="0014614D" w:rsidRDefault="002F6DEA" w:rsidP="006641CA">
            <w:r>
              <w:t xml:space="preserve">4. </w:t>
            </w:r>
            <w:r w:rsidR="0034329B">
              <w:t>Political Efficacy</w:t>
            </w:r>
          </w:p>
        </w:tc>
        <w:tc>
          <w:tcPr>
            <w:tcW w:w="0" w:type="auto"/>
          </w:tcPr>
          <w:p w14:paraId="0D0E5D8E" w14:textId="3234ABDB" w:rsidR="0014614D" w:rsidRDefault="00D27186" w:rsidP="00F60E10">
            <w:pPr>
              <w:jc w:val="right"/>
            </w:pPr>
            <w:r>
              <w:t>.22***</w:t>
            </w:r>
          </w:p>
        </w:tc>
        <w:tc>
          <w:tcPr>
            <w:tcW w:w="0" w:type="auto"/>
          </w:tcPr>
          <w:p w14:paraId="7B27CC86" w14:textId="7433F3FC" w:rsidR="0014614D" w:rsidRDefault="00600E45" w:rsidP="00F60E10">
            <w:pPr>
              <w:jc w:val="right"/>
            </w:pPr>
            <w:r>
              <w:t>.01</w:t>
            </w:r>
          </w:p>
        </w:tc>
        <w:tc>
          <w:tcPr>
            <w:tcW w:w="0" w:type="auto"/>
          </w:tcPr>
          <w:p w14:paraId="40DE3CDF" w14:textId="2F01E92F" w:rsidR="0014614D" w:rsidRDefault="00600E45" w:rsidP="00F60E10">
            <w:pPr>
              <w:jc w:val="right"/>
            </w:pPr>
            <w:r>
              <w:t>-.01</w:t>
            </w:r>
          </w:p>
        </w:tc>
        <w:tc>
          <w:tcPr>
            <w:tcW w:w="0" w:type="auto"/>
          </w:tcPr>
          <w:p w14:paraId="28D20B28" w14:textId="38A64BF0" w:rsidR="0014614D" w:rsidRDefault="00600E45" w:rsidP="00F60E10">
            <w:pPr>
              <w:jc w:val="right"/>
            </w:pPr>
            <w:r>
              <w:t xml:space="preserve">—             </w:t>
            </w:r>
          </w:p>
        </w:tc>
        <w:tc>
          <w:tcPr>
            <w:tcW w:w="0" w:type="auto"/>
          </w:tcPr>
          <w:p w14:paraId="1D02D6B3" w14:textId="13127160" w:rsidR="0014614D" w:rsidRDefault="00600E45" w:rsidP="00F60E10">
            <w:pPr>
              <w:jc w:val="right"/>
            </w:pPr>
            <w:r>
              <w:t xml:space="preserve">.17*       </w:t>
            </w:r>
          </w:p>
        </w:tc>
        <w:tc>
          <w:tcPr>
            <w:tcW w:w="0" w:type="auto"/>
          </w:tcPr>
          <w:p w14:paraId="10F34A5A" w14:textId="03325E91" w:rsidR="0014614D" w:rsidRDefault="00600E45" w:rsidP="00F60E10">
            <w:pPr>
              <w:jc w:val="right"/>
            </w:pPr>
            <w:r>
              <w:t xml:space="preserve">-.09            </w:t>
            </w:r>
          </w:p>
        </w:tc>
        <w:tc>
          <w:tcPr>
            <w:tcW w:w="0" w:type="auto"/>
          </w:tcPr>
          <w:p w14:paraId="60781072" w14:textId="4BB3AECA" w:rsidR="0014614D" w:rsidRDefault="00600E45" w:rsidP="00F60E10">
            <w:pPr>
              <w:jc w:val="right"/>
            </w:pPr>
            <w:r>
              <w:t>.03</w:t>
            </w:r>
          </w:p>
        </w:tc>
        <w:tc>
          <w:tcPr>
            <w:tcW w:w="0" w:type="auto"/>
          </w:tcPr>
          <w:p w14:paraId="791BD6A1" w14:textId="271108EE" w:rsidR="0014614D" w:rsidRDefault="00600E45" w:rsidP="00F60E10">
            <w:pPr>
              <w:jc w:val="right"/>
            </w:pPr>
            <w:r>
              <w:t>-.15</w:t>
            </w:r>
          </w:p>
        </w:tc>
        <w:tc>
          <w:tcPr>
            <w:tcW w:w="0" w:type="auto"/>
          </w:tcPr>
          <w:p w14:paraId="3C05C9F0" w14:textId="52482F38" w:rsidR="0014614D" w:rsidRDefault="00600E45" w:rsidP="00F60E10">
            <w:pPr>
              <w:jc w:val="right"/>
            </w:pPr>
            <w:r>
              <w:t>-.01</w:t>
            </w:r>
          </w:p>
        </w:tc>
        <w:tc>
          <w:tcPr>
            <w:tcW w:w="0" w:type="auto"/>
          </w:tcPr>
          <w:p w14:paraId="4520C1F2" w14:textId="27F1D5FC" w:rsidR="0014614D" w:rsidRDefault="00600E45" w:rsidP="00F60E10">
            <w:pPr>
              <w:jc w:val="right"/>
            </w:pPr>
            <w:r>
              <w:t>.06</w:t>
            </w:r>
          </w:p>
        </w:tc>
        <w:tc>
          <w:tcPr>
            <w:tcW w:w="0" w:type="auto"/>
          </w:tcPr>
          <w:p w14:paraId="14BD3EE1" w14:textId="302E291C" w:rsidR="0014614D" w:rsidRDefault="00600E45" w:rsidP="00F60E10">
            <w:pPr>
              <w:jc w:val="right"/>
            </w:pPr>
            <w:r>
              <w:t>-.04</w:t>
            </w:r>
          </w:p>
        </w:tc>
        <w:tc>
          <w:tcPr>
            <w:tcW w:w="0" w:type="auto"/>
          </w:tcPr>
          <w:p w14:paraId="3B21E8AC" w14:textId="01424E8C" w:rsidR="0014614D" w:rsidRDefault="00600E45" w:rsidP="00F60E10">
            <w:pPr>
              <w:jc w:val="right"/>
            </w:pPr>
            <w:r>
              <w:t>-.01</w:t>
            </w:r>
          </w:p>
        </w:tc>
      </w:tr>
      <w:tr w:rsidR="00E02B08" w14:paraId="0B47A153" w14:textId="77777777" w:rsidTr="00026DD8">
        <w:tc>
          <w:tcPr>
            <w:tcW w:w="0" w:type="auto"/>
          </w:tcPr>
          <w:p w14:paraId="423E6486" w14:textId="66CA4D4C" w:rsidR="0014614D" w:rsidRDefault="0034329B" w:rsidP="006641CA">
            <w:r>
              <w:t>5. Political Activism</w:t>
            </w:r>
          </w:p>
        </w:tc>
        <w:tc>
          <w:tcPr>
            <w:tcW w:w="0" w:type="auto"/>
          </w:tcPr>
          <w:p w14:paraId="6EA3328E" w14:textId="478C7835" w:rsidR="0014614D" w:rsidRDefault="00C23B0D" w:rsidP="00F60E10">
            <w:pPr>
              <w:jc w:val="right"/>
            </w:pPr>
            <w:r w:rsidRPr="00C23B0D">
              <w:t>.21</w:t>
            </w:r>
            <w:r w:rsidRPr="00C23B0D">
              <w:rPr>
                <w:vertAlign w:val="superscript"/>
              </w:rPr>
              <w:t>***</w:t>
            </w:r>
          </w:p>
        </w:tc>
        <w:tc>
          <w:tcPr>
            <w:tcW w:w="0" w:type="auto"/>
          </w:tcPr>
          <w:p w14:paraId="05D7758A" w14:textId="4A0200AA" w:rsidR="0014614D" w:rsidRDefault="00B60BDF" w:rsidP="00F60E10">
            <w:pPr>
              <w:jc w:val="right"/>
            </w:pPr>
            <w:r w:rsidRPr="00C23B0D">
              <w:t xml:space="preserve">-.02      </w:t>
            </w:r>
          </w:p>
        </w:tc>
        <w:tc>
          <w:tcPr>
            <w:tcW w:w="0" w:type="auto"/>
          </w:tcPr>
          <w:p w14:paraId="35C4DDAA" w14:textId="13A34BAA" w:rsidR="0014614D" w:rsidRDefault="00B60BDF" w:rsidP="00F60E10">
            <w:pPr>
              <w:jc w:val="right"/>
            </w:pPr>
            <w:r w:rsidRPr="00C23B0D">
              <w:t xml:space="preserve">-.04             </w:t>
            </w:r>
          </w:p>
        </w:tc>
        <w:tc>
          <w:tcPr>
            <w:tcW w:w="0" w:type="auto"/>
          </w:tcPr>
          <w:p w14:paraId="5C7894E1" w14:textId="75D68D8F" w:rsidR="0014614D" w:rsidRDefault="00B60BDF" w:rsidP="00F60E10">
            <w:pPr>
              <w:jc w:val="right"/>
            </w:pPr>
            <w:r w:rsidRPr="00C23B0D">
              <w:t>.24</w:t>
            </w:r>
            <w:r w:rsidRPr="00C23B0D">
              <w:rPr>
                <w:vertAlign w:val="superscript"/>
              </w:rPr>
              <w:t>***</w:t>
            </w:r>
            <w:r w:rsidRPr="00C23B0D">
              <w:t xml:space="preserve">         </w:t>
            </w:r>
          </w:p>
        </w:tc>
        <w:tc>
          <w:tcPr>
            <w:tcW w:w="0" w:type="auto"/>
          </w:tcPr>
          <w:p w14:paraId="18F45894" w14:textId="7D2D6C38" w:rsidR="0014614D" w:rsidRDefault="00B60BDF" w:rsidP="00F60E10">
            <w:pPr>
              <w:jc w:val="right"/>
            </w:pPr>
            <w:r w:rsidRPr="00C23B0D">
              <w:t xml:space="preserve">—             </w:t>
            </w:r>
          </w:p>
        </w:tc>
        <w:tc>
          <w:tcPr>
            <w:tcW w:w="0" w:type="auto"/>
          </w:tcPr>
          <w:p w14:paraId="70F6DB43" w14:textId="19032237" w:rsidR="0014614D" w:rsidRDefault="00B60BDF" w:rsidP="00F60E10">
            <w:pPr>
              <w:jc w:val="right"/>
            </w:pPr>
            <w:r w:rsidRPr="00C23B0D">
              <w:t>.20</w:t>
            </w:r>
            <w:r>
              <w:rPr>
                <w:vertAlign w:val="superscript"/>
              </w:rPr>
              <w:t>**</w:t>
            </w:r>
          </w:p>
        </w:tc>
        <w:tc>
          <w:tcPr>
            <w:tcW w:w="0" w:type="auto"/>
          </w:tcPr>
          <w:p w14:paraId="49468DB4" w14:textId="726E4D76" w:rsidR="0014614D" w:rsidRDefault="00B60BDF" w:rsidP="00F60E10">
            <w:pPr>
              <w:jc w:val="right"/>
            </w:pPr>
            <w:r w:rsidRPr="00C23B0D">
              <w:t>-.</w:t>
            </w:r>
            <w:r>
              <w:t>02</w:t>
            </w:r>
          </w:p>
        </w:tc>
        <w:tc>
          <w:tcPr>
            <w:tcW w:w="0" w:type="auto"/>
          </w:tcPr>
          <w:p w14:paraId="32B70FAD" w14:textId="7D7B25C6" w:rsidR="0014614D" w:rsidRDefault="00B60BDF" w:rsidP="00F60E10">
            <w:pPr>
              <w:jc w:val="right"/>
            </w:pPr>
            <w:r w:rsidRPr="00C23B0D">
              <w:t>-.11</w:t>
            </w:r>
          </w:p>
        </w:tc>
        <w:tc>
          <w:tcPr>
            <w:tcW w:w="0" w:type="auto"/>
          </w:tcPr>
          <w:p w14:paraId="33E13F28" w14:textId="2838CB63" w:rsidR="0014614D" w:rsidRDefault="00B60BDF" w:rsidP="00F60E10">
            <w:pPr>
              <w:jc w:val="right"/>
            </w:pPr>
            <w:r w:rsidRPr="00C23B0D">
              <w:t>.04</w:t>
            </w:r>
          </w:p>
        </w:tc>
        <w:tc>
          <w:tcPr>
            <w:tcW w:w="0" w:type="auto"/>
          </w:tcPr>
          <w:p w14:paraId="6340BD2B" w14:textId="3C2FF6C7" w:rsidR="0014614D" w:rsidRDefault="00B60BDF" w:rsidP="00F60E10">
            <w:pPr>
              <w:jc w:val="right"/>
            </w:pPr>
            <w:r w:rsidRPr="00C23B0D">
              <w:t>-.01</w:t>
            </w:r>
          </w:p>
        </w:tc>
        <w:tc>
          <w:tcPr>
            <w:tcW w:w="0" w:type="auto"/>
          </w:tcPr>
          <w:p w14:paraId="45A5FA14" w14:textId="10A9A153" w:rsidR="0014614D" w:rsidRDefault="00B60BDF" w:rsidP="00F60E10">
            <w:pPr>
              <w:jc w:val="right"/>
            </w:pPr>
            <w:r w:rsidRPr="00C23B0D">
              <w:t>.13</w:t>
            </w:r>
          </w:p>
        </w:tc>
        <w:tc>
          <w:tcPr>
            <w:tcW w:w="0" w:type="auto"/>
          </w:tcPr>
          <w:p w14:paraId="0B77BAD8" w14:textId="1F48321D" w:rsidR="0014614D" w:rsidRDefault="00B60BDF" w:rsidP="00F60E10">
            <w:pPr>
              <w:jc w:val="right"/>
            </w:pPr>
            <w:r w:rsidRPr="00C23B0D">
              <w:t>.05</w:t>
            </w:r>
          </w:p>
        </w:tc>
      </w:tr>
      <w:tr w:rsidR="00E02B08" w14:paraId="74AA4E36" w14:textId="77777777" w:rsidTr="00026DD8">
        <w:tc>
          <w:tcPr>
            <w:tcW w:w="0" w:type="auto"/>
          </w:tcPr>
          <w:p w14:paraId="5604B11C" w14:textId="1F6E5B15" w:rsidR="0014614D" w:rsidRDefault="0034329B" w:rsidP="006641CA">
            <w:r>
              <w:t>6. Microaggressions</w:t>
            </w:r>
          </w:p>
        </w:tc>
        <w:tc>
          <w:tcPr>
            <w:tcW w:w="0" w:type="auto"/>
          </w:tcPr>
          <w:p w14:paraId="0D0B75B6" w14:textId="68A2EDBC" w:rsidR="0014614D" w:rsidRDefault="00F616D9" w:rsidP="00F60E10">
            <w:pPr>
              <w:jc w:val="right"/>
            </w:pPr>
            <w:r w:rsidRPr="00F616D9">
              <w:t xml:space="preserve">.00 </w:t>
            </w:r>
          </w:p>
        </w:tc>
        <w:tc>
          <w:tcPr>
            <w:tcW w:w="0" w:type="auto"/>
          </w:tcPr>
          <w:p w14:paraId="0BAF883C" w14:textId="4D87347D" w:rsidR="0014614D" w:rsidRDefault="00B60BDF" w:rsidP="00F60E10">
            <w:pPr>
              <w:jc w:val="right"/>
            </w:pPr>
            <w:r w:rsidRPr="00F616D9">
              <w:t>.08</w:t>
            </w:r>
          </w:p>
        </w:tc>
        <w:tc>
          <w:tcPr>
            <w:tcW w:w="0" w:type="auto"/>
          </w:tcPr>
          <w:p w14:paraId="680A135A" w14:textId="3C750D3F" w:rsidR="0014614D" w:rsidRDefault="00B60BDF" w:rsidP="00F60E10">
            <w:pPr>
              <w:jc w:val="right"/>
            </w:pPr>
            <w:r w:rsidRPr="00F616D9">
              <w:t>.21</w:t>
            </w:r>
            <w:r w:rsidRPr="00F616D9">
              <w:rPr>
                <w:vertAlign w:val="superscript"/>
              </w:rPr>
              <w:t>***</w:t>
            </w:r>
          </w:p>
        </w:tc>
        <w:tc>
          <w:tcPr>
            <w:tcW w:w="0" w:type="auto"/>
          </w:tcPr>
          <w:p w14:paraId="65954E51" w14:textId="22F59695" w:rsidR="0014614D" w:rsidRDefault="00B60BDF" w:rsidP="00F60E10">
            <w:pPr>
              <w:jc w:val="right"/>
            </w:pPr>
            <w:r w:rsidRPr="00F616D9">
              <w:t>.00</w:t>
            </w:r>
          </w:p>
        </w:tc>
        <w:tc>
          <w:tcPr>
            <w:tcW w:w="0" w:type="auto"/>
          </w:tcPr>
          <w:p w14:paraId="2BEA6579" w14:textId="14850981" w:rsidR="0014614D" w:rsidRDefault="00B60BDF" w:rsidP="00F60E10">
            <w:pPr>
              <w:jc w:val="right"/>
            </w:pPr>
            <w:r w:rsidRPr="00F616D9">
              <w:t>.21</w:t>
            </w:r>
            <w:r w:rsidRPr="00F616D9">
              <w:rPr>
                <w:vertAlign w:val="superscript"/>
              </w:rPr>
              <w:t>**</w:t>
            </w:r>
          </w:p>
        </w:tc>
        <w:tc>
          <w:tcPr>
            <w:tcW w:w="0" w:type="auto"/>
          </w:tcPr>
          <w:p w14:paraId="5A43A9F3" w14:textId="194EBF14" w:rsidR="0014614D" w:rsidRDefault="00B60BDF" w:rsidP="00F60E10">
            <w:pPr>
              <w:jc w:val="right"/>
            </w:pPr>
            <w:r w:rsidRPr="00F616D9">
              <w:t>—</w:t>
            </w:r>
          </w:p>
        </w:tc>
        <w:tc>
          <w:tcPr>
            <w:tcW w:w="0" w:type="auto"/>
          </w:tcPr>
          <w:p w14:paraId="70DBA4B1" w14:textId="74F1738F" w:rsidR="0014614D" w:rsidRDefault="00B60BDF" w:rsidP="00F60E10">
            <w:pPr>
              <w:jc w:val="right"/>
            </w:pPr>
            <w:r w:rsidRPr="00F616D9">
              <w:t>.09</w:t>
            </w:r>
          </w:p>
        </w:tc>
        <w:tc>
          <w:tcPr>
            <w:tcW w:w="0" w:type="auto"/>
          </w:tcPr>
          <w:p w14:paraId="354A1D34" w14:textId="164F4C84" w:rsidR="0014614D" w:rsidRDefault="00B60BDF" w:rsidP="00F60E10">
            <w:pPr>
              <w:jc w:val="right"/>
            </w:pPr>
            <w:r w:rsidRPr="00F616D9">
              <w:t>.13</w:t>
            </w:r>
          </w:p>
        </w:tc>
        <w:tc>
          <w:tcPr>
            <w:tcW w:w="0" w:type="auto"/>
          </w:tcPr>
          <w:p w14:paraId="774F13F4" w14:textId="31AAA9C3" w:rsidR="0014614D" w:rsidRDefault="00B60BDF" w:rsidP="00F60E10">
            <w:pPr>
              <w:jc w:val="right"/>
            </w:pPr>
            <w:r w:rsidRPr="00F616D9">
              <w:t>.08</w:t>
            </w:r>
          </w:p>
        </w:tc>
        <w:tc>
          <w:tcPr>
            <w:tcW w:w="0" w:type="auto"/>
          </w:tcPr>
          <w:p w14:paraId="2FBD5D18" w14:textId="696F8F53" w:rsidR="0014614D" w:rsidRDefault="00B60BDF" w:rsidP="00F60E10">
            <w:pPr>
              <w:jc w:val="right"/>
            </w:pPr>
            <w:r w:rsidRPr="00F616D9">
              <w:t>.00</w:t>
            </w:r>
          </w:p>
        </w:tc>
        <w:tc>
          <w:tcPr>
            <w:tcW w:w="0" w:type="auto"/>
          </w:tcPr>
          <w:p w14:paraId="0EA93977" w14:textId="540DCA50" w:rsidR="0014614D" w:rsidRDefault="00B60BDF" w:rsidP="00F60E10">
            <w:pPr>
              <w:jc w:val="right"/>
            </w:pPr>
            <w:r w:rsidRPr="00F616D9">
              <w:t>.15</w:t>
            </w:r>
            <w:r w:rsidRPr="00F616D9">
              <w:rPr>
                <w:vertAlign w:val="superscript"/>
              </w:rPr>
              <w:t>*</w:t>
            </w:r>
          </w:p>
        </w:tc>
        <w:tc>
          <w:tcPr>
            <w:tcW w:w="0" w:type="auto"/>
          </w:tcPr>
          <w:p w14:paraId="0D0E323F" w14:textId="38E876BF" w:rsidR="0014614D" w:rsidRDefault="00B60BDF" w:rsidP="00F60E10">
            <w:pPr>
              <w:jc w:val="right"/>
            </w:pPr>
            <w:r w:rsidRPr="00F616D9">
              <w:t>.10</w:t>
            </w:r>
          </w:p>
        </w:tc>
      </w:tr>
      <w:tr w:rsidR="00E02B08" w14:paraId="103AADC9" w14:textId="77777777" w:rsidTr="00026DD8">
        <w:tc>
          <w:tcPr>
            <w:tcW w:w="0" w:type="auto"/>
          </w:tcPr>
          <w:p w14:paraId="448757B7" w14:textId="37FC98A0" w:rsidR="0014614D" w:rsidRDefault="0034329B" w:rsidP="006641CA">
            <w:r>
              <w:t xml:space="preserve">7. </w:t>
            </w:r>
            <w:r w:rsidR="00A65426">
              <w:t>Stress W1</w:t>
            </w:r>
          </w:p>
        </w:tc>
        <w:tc>
          <w:tcPr>
            <w:tcW w:w="0" w:type="auto"/>
          </w:tcPr>
          <w:p w14:paraId="173CE91D" w14:textId="0B129E33" w:rsidR="0014614D" w:rsidRPr="00B60BDF" w:rsidRDefault="00F616D9" w:rsidP="00F60E10">
            <w:pPr>
              <w:jc w:val="right"/>
              <w:rPr>
                <w:vertAlign w:val="superscript"/>
              </w:rPr>
            </w:pPr>
            <w:r w:rsidRPr="00F616D9">
              <w:t xml:space="preserve">.08 </w:t>
            </w:r>
          </w:p>
        </w:tc>
        <w:tc>
          <w:tcPr>
            <w:tcW w:w="0" w:type="auto"/>
          </w:tcPr>
          <w:p w14:paraId="16C7CB04" w14:textId="644BCD70" w:rsidR="0014614D" w:rsidRDefault="00E02B08" w:rsidP="00F60E10">
            <w:pPr>
              <w:jc w:val="right"/>
            </w:pPr>
            <w:r w:rsidRPr="00F616D9">
              <w:t>.08</w:t>
            </w:r>
          </w:p>
        </w:tc>
        <w:tc>
          <w:tcPr>
            <w:tcW w:w="0" w:type="auto"/>
          </w:tcPr>
          <w:p w14:paraId="09C404E4" w14:textId="7DB41319" w:rsidR="0014614D" w:rsidRDefault="00E02B08" w:rsidP="00F60E10">
            <w:pPr>
              <w:jc w:val="right"/>
            </w:pPr>
            <w:r w:rsidRPr="00F616D9">
              <w:t>.16</w:t>
            </w:r>
            <w:r w:rsidRPr="00F616D9">
              <w:rPr>
                <w:vertAlign w:val="superscript"/>
              </w:rPr>
              <w:t>*</w:t>
            </w:r>
          </w:p>
        </w:tc>
        <w:tc>
          <w:tcPr>
            <w:tcW w:w="0" w:type="auto"/>
          </w:tcPr>
          <w:p w14:paraId="3FFC474A" w14:textId="4DDB1013" w:rsidR="0014614D" w:rsidRDefault="00E02B08" w:rsidP="00F60E10">
            <w:pPr>
              <w:jc w:val="right"/>
            </w:pPr>
            <w:r w:rsidRPr="00F616D9">
              <w:t>.15</w:t>
            </w:r>
            <w:r w:rsidRPr="00F616D9">
              <w:rPr>
                <w:vertAlign w:val="superscript"/>
              </w:rPr>
              <w:t>*</w:t>
            </w:r>
          </w:p>
        </w:tc>
        <w:tc>
          <w:tcPr>
            <w:tcW w:w="0" w:type="auto"/>
          </w:tcPr>
          <w:p w14:paraId="4C47BF05" w14:textId="61F6C9FA" w:rsidR="0014614D" w:rsidRDefault="00E02B08" w:rsidP="00F60E10">
            <w:pPr>
              <w:jc w:val="right"/>
            </w:pPr>
            <w:r w:rsidRPr="00F616D9">
              <w:t>.01</w:t>
            </w:r>
          </w:p>
        </w:tc>
        <w:tc>
          <w:tcPr>
            <w:tcW w:w="0" w:type="auto"/>
          </w:tcPr>
          <w:p w14:paraId="7777F42F" w14:textId="42F94A7C" w:rsidR="0014614D" w:rsidRDefault="00E02B08" w:rsidP="00F60E10">
            <w:pPr>
              <w:jc w:val="right"/>
            </w:pPr>
            <w:r w:rsidRPr="00F616D9">
              <w:t>.17</w:t>
            </w:r>
            <w:r w:rsidRPr="00F616D9">
              <w:rPr>
                <w:vertAlign w:val="superscript"/>
              </w:rPr>
              <w:t>*</w:t>
            </w:r>
          </w:p>
        </w:tc>
        <w:tc>
          <w:tcPr>
            <w:tcW w:w="0" w:type="auto"/>
          </w:tcPr>
          <w:p w14:paraId="4FDFB951" w14:textId="40304278" w:rsidR="0014614D" w:rsidRDefault="00E02B08" w:rsidP="00F60E10">
            <w:pPr>
              <w:jc w:val="right"/>
            </w:pPr>
            <w:r w:rsidRPr="00F616D9">
              <w:t>—</w:t>
            </w:r>
          </w:p>
        </w:tc>
        <w:tc>
          <w:tcPr>
            <w:tcW w:w="0" w:type="auto"/>
          </w:tcPr>
          <w:p w14:paraId="54D53736" w14:textId="75134616" w:rsidR="0014614D" w:rsidRDefault="00E02B08" w:rsidP="00F60E10">
            <w:pPr>
              <w:jc w:val="right"/>
            </w:pPr>
            <w:r w:rsidRPr="00F616D9">
              <w:t>.49</w:t>
            </w:r>
            <w:r w:rsidRPr="00F616D9">
              <w:rPr>
                <w:vertAlign w:val="superscript"/>
              </w:rPr>
              <w:t>***</w:t>
            </w:r>
          </w:p>
        </w:tc>
        <w:tc>
          <w:tcPr>
            <w:tcW w:w="0" w:type="auto"/>
          </w:tcPr>
          <w:p w14:paraId="12B3E3D8" w14:textId="299B192B" w:rsidR="0014614D" w:rsidRDefault="00E02B08" w:rsidP="00F60E10">
            <w:pPr>
              <w:jc w:val="right"/>
            </w:pPr>
            <w:r w:rsidRPr="00F616D9">
              <w:t>.58</w:t>
            </w:r>
            <w:r w:rsidRPr="00F616D9">
              <w:rPr>
                <w:vertAlign w:val="superscript"/>
              </w:rPr>
              <w:t>***</w:t>
            </w:r>
          </w:p>
        </w:tc>
        <w:tc>
          <w:tcPr>
            <w:tcW w:w="0" w:type="auto"/>
          </w:tcPr>
          <w:p w14:paraId="1A38850D" w14:textId="105BE4CB" w:rsidR="0014614D" w:rsidRDefault="00E02B08" w:rsidP="00F60E10">
            <w:pPr>
              <w:jc w:val="right"/>
            </w:pPr>
            <w:r w:rsidRPr="00F616D9">
              <w:t>.45</w:t>
            </w:r>
            <w:r w:rsidRPr="00F616D9">
              <w:rPr>
                <w:vertAlign w:val="superscript"/>
              </w:rPr>
              <w:t>***</w:t>
            </w:r>
          </w:p>
        </w:tc>
        <w:tc>
          <w:tcPr>
            <w:tcW w:w="0" w:type="auto"/>
          </w:tcPr>
          <w:p w14:paraId="05550451" w14:textId="16BE5A4D" w:rsidR="0014614D" w:rsidRDefault="00E02B08" w:rsidP="00F60E10">
            <w:pPr>
              <w:jc w:val="right"/>
            </w:pPr>
            <w:r w:rsidRPr="00F616D9">
              <w:t>.65</w:t>
            </w:r>
            <w:r w:rsidRPr="00F616D9">
              <w:rPr>
                <w:vertAlign w:val="superscript"/>
              </w:rPr>
              <w:t>***</w:t>
            </w:r>
          </w:p>
        </w:tc>
        <w:tc>
          <w:tcPr>
            <w:tcW w:w="0" w:type="auto"/>
          </w:tcPr>
          <w:p w14:paraId="29933A92" w14:textId="6F0838A0" w:rsidR="0014614D" w:rsidRDefault="00E02B08" w:rsidP="00F60E10">
            <w:pPr>
              <w:jc w:val="right"/>
            </w:pPr>
            <w:r w:rsidRPr="00F616D9">
              <w:t>.41</w:t>
            </w:r>
            <w:r w:rsidRPr="00F616D9">
              <w:rPr>
                <w:vertAlign w:val="superscript"/>
              </w:rPr>
              <w:t>***</w:t>
            </w:r>
          </w:p>
        </w:tc>
      </w:tr>
      <w:tr w:rsidR="00E02B08" w14:paraId="162B438A" w14:textId="77777777" w:rsidTr="00026DD8">
        <w:tc>
          <w:tcPr>
            <w:tcW w:w="0" w:type="auto"/>
          </w:tcPr>
          <w:p w14:paraId="3629BB15" w14:textId="715AD5E0" w:rsidR="0014614D" w:rsidRDefault="00A65426" w:rsidP="006641CA">
            <w:r>
              <w:t>8. Stress W</w:t>
            </w:r>
            <w:r w:rsidR="00026DD8">
              <w:t>3</w:t>
            </w:r>
          </w:p>
        </w:tc>
        <w:tc>
          <w:tcPr>
            <w:tcW w:w="0" w:type="auto"/>
          </w:tcPr>
          <w:p w14:paraId="79FADDE8" w14:textId="48789E14" w:rsidR="0014614D" w:rsidRPr="00E02B08" w:rsidRDefault="00B86D08" w:rsidP="00F60E10">
            <w:pPr>
              <w:jc w:val="right"/>
              <w:rPr>
                <w:vertAlign w:val="superscript"/>
              </w:rPr>
            </w:pPr>
            <w:r w:rsidRPr="00B86D08">
              <w:t xml:space="preserve">.09 </w:t>
            </w:r>
          </w:p>
        </w:tc>
        <w:tc>
          <w:tcPr>
            <w:tcW w:w="0" w:type="auto"/>
          </w:tcPr>
          <w:p w14:paraId="281FFFD9" w14:textId="56553643" w:rsidR="0014614D" w:rsidRDefault="00E02B08" w:rsidP="00F60E10">
            <w:pPr>
              <w:jc w:val="right"/>
            </w:pPr>
            <w:r w:rsidRPr="00B86D08">
              <w:t>.01</w:t>
            </w:r>
          </w:p>
        </w:tc>
        <w:tc>
          <w:tcPr>
            <w:tcW w:w="0" w:type="auto"/>
          </w:tcPr>
          <w:p w14:paraId="6EA6F754" w14:textId="2697900D" w:rsidR="0014614D" w:rsidRDefault="00E02B08" w:rsidP="00F60E10">
            <w:pPr>
              <w:jc w:val="right"/>
            </w:pPr>
            <w:r w:rsidRPr="00B86D08">
              <w:t>.29</w:t>
            </w:r>
            <w:r w:rsidRPr="00B86D08">
              <w:rPr>
                <w:vertAlign w:val="superscript"/>
              </w:rPr>
              <w:t>***</w:t>
            </w:r>
          </w:p>
        </w:tc>
        <w:tc>
          <w:tcPr>
            <w:tcW w:w="0" w:type="auto"/>
          </w:tcPr>
          <w:p w14:paraId="166B4702" w14:textId="24CF0CEA" w:rsidR="0014614D" w:rsidRDefault="00E02B08" w:rsidP="00F60E10">
            <w:pPr>
              <w:jc w:val="right"/>
            </w:pPr>
            <w:r w:rsidRPr="00B86D08">
              <w:t>.06</w:t>
            </w:r>
          </w:p>
        </w:tc>
        <w:tc>
          <w:tcPr>
            <w:tcW w:w="0" w:type="auto"/>
          </w:tcPr>
          <w:p w14:paraId="2C8FC403" w14:textId="0CAEDCAC" w:rsidR="0014614D" w:rsidRDefault="00E02B08" w:rsidP="00F60E10">
            <w:pPr>
              <w:jc w:val="right"/>
            </w:pPr>
            <w:r w:rsidRPr="00B86D08">
              <w:t>.05</w:t>
            </w:r>
          </w:p>
        </w:tc>
        <w:tc>
          <w:tcPr>
            <w:tcW w:w="0" w:type="auto"/>
          </w:tcPr>
          <w:p w14:paraId="225F67FB" w14:textId="2C3ED99C" w:rsidR="0014614D" w:rsidRDefault="00E02B08" w:rsidP="00F60E10">
            <w:pPr>
              <w:jc w:val="right"/>
            </w:pPr>
            <w:r w:rsidRPr="00B86D08">
              <w:t>.19</w:t>
            </w:r>
            <w:r w:rsidRPr="00B86D08">
              <w:rPr>
                <w:vertAlign w:val="superscript"/>
              </w:rPr>
              <w:t>**</w:t>
            </w:r>
          </w:p>
        </w:tc>
        <w:tc>
          <w:tcPr>
            <w:tcW w:w="0" w:type="auto"/>
          </w:tcPr>
          <w:p w14:paraId="4124C733" w14:textId="014DB50E" w:rsidR="0014614D" w:rsidRDefault="00E02B08" w:rsidP="00F60E10">
            <w:pPr>
              <w:jc w:val="right"/>
            </w:pPr>
            <w:r w:rsidRPr="00B86D08">
              <w:t>.50</w:t>
            </w:r>
            <w:r w:rsidRPr="00B86D08">
              <w:rPr>
                <w:vertAlign w:val="superscript"/>
              </w:rPr>
              <w:t>***</w:t>
            </w:r>
          </w:p>
        </w:tc>
        <w:tc>
          <w:tcPr>
            <w:tcW w:w="0" w:type="auto"/>
          </w:tcPr>
          <w:p w14:paraId="3AFAC027" w14:textId="44D218B6" w:rsidR="0014614D" w:rsidRDefault="00E02B08" w:rsidP="00F60E10">
            <w:pPr>
              <w:jc w:val="right"/>
            </w:pPr>
            <w:r w:rsidRPr="00B86D08">
              <w:t>—</w:t>
            </w:r>
          </w:p>
        </w:tc>
        <w:tc>
          <w:tcPr>
            <w:tcW w:w="0" w:type="auto"/>
          </w:tcPr>
          <w:p w14:paraId="40AA5CBA" w14:textId="09C1600B" w:rsidR="0014614D" w:rsidRDefault="00E02B08" w:rsidP="00F60E10">
            <w:pPr>
              <w:jc w:val="right"/>
            </w:pPr>
            <w:r w:rsidRPr="00B86D08">
              <w:t>.35</w:t>
            </w:r>
            <w:r w:rsidRPr="00B86D08">
              <w:rPr>
                <w:vertAlign w:val="superscript"/>
              </w:rPr>
              <w:t>***</w:t>
            </w:r>
          </w:p>
        </w:tc>
        <w:tc>
          <w:tcPr>
            <w:tcW w:w="0" w:type="auto"/>
          </w:tcPr>
          <w:p w14:paraId="62B42D20" w14:textId="5E4722FF" w:rsidR="0014614D" w:rsidRDefault="00E02B08" w:rsidP="00F60E10">
            <w:pPr>
              <w:jc w:val="right"/>
            </w:pPr>
            <w:r w:rsidRPr="00B86D08">
              <w:t>.45</w:t>
            </w:r>
            <w:r w:rsidRPr="00B86D08">
              <w:rPr>
                <w:vertAlign w:val="superscript"/>
              </w:rPr>
              <w:t>***</w:t>
            </w:r>
          </w:p>
        </w:tc>
        <w:tc>
          <w:tcPr>
            <w:tcW w:w="0" w:type="auto"/>
          </w:tcPr>
          <w:p w14:paraId="3534117F" w14:textId="073A152D" w:rsidR="0014614D" w:rsidRDefault="00E02B08" w:rsidP="00F60E10">
            <w:pPr>
              <w:jc w:val="right"/>
            </w:pPr>
            <w:r w:rsidRPr="00B86D08">
              <w:t>.37</w:t>
            </w:r>
            <w:r w:rsidRPr="00B86D08">
              <w:rPr>
                <w:vertAlign w:val="superscript"/>
              </w:rPr>
              <w:t>***</w:t>
            </w:r>
          </w:p>
        </w:tc>
        <w:tc>
          <w:tcPr>
            <w:tcW w:w="0" w:type="auto"/>
          </w:tcPr>
          <w:p w14:paraId="29900C0E" w14:textId="26437684" w:rsidR="0014614D" w:rsidRDefault="00E02B08" w:rsidP="00F60E10">
            <w:pPr>
              <w:jc w:val="right"/>
            </w:pPr>
            <w:r w:rsidRPr="00B86D08">
              <w:t>.53</w:t>
            </w:r>
            <w:r w:rsidRPr="00B86D08">
              <w:rPr>
                <w:vertAlign w:val="superscript"/>
              </w:rPr>
              <w:t>***</w:t>
            </w:r>
          </w:p>
        </w:tc>
      </w:tr>
      <w:tr w:rsidR="00E02B08" w14:paraId="4A1BB8E5" w14:textId="77777777" w:rsidTr="00026DD8">
        <w:tc>
          <w:tcPr>
            <w:tcW w:w="0" w:type="auto"/>
          </w:tcPr>
          <w:p w14:paraId="14CABF6E" w14:textId="7C9473ED" w:rsidR="0014614D" w:rsidRDefault="00A65426" w:rsidP="006641CA">
            <w:r>
              <w:t>9. Anxiety W1</w:t>
            </w:r>
          </w:p>
        </w:tc>
        <w:tc>
          <w:tcPr>
            <w:tcW w:w="0" w:type="auto"/>
          </w:tcPr>
          <w:p w14:paraId="411E9E93" w14:textId="1F97C28D" w:rsidR="0014614D" w:rsidRPr="00E02B08" w:rsidRDefault="00B86D08" w:rsidP="00F60E10">
            <w:pPr>
              <w:jc w:val="right"/>
              <w:rPr>
                <w:vertAlign w:val="superscript"/>
              </w:rPr>
            </w:pPr>
            <w:r w:rsidRPr="00B86D08">
              <w:t>.21</w:t>
            </w:r>
            <w:r w:rsidRPr="00B86D08">
              <w:rPr>
                <w:vertAlign w:val="superscript"/>
              </w:rPr>
              <w:t>***</w:t>
            </w:r>
            <w:r w:rsidRPr="00B86D08">
              <w:t xml:space="preserve"> </w:t>
            </w:r>
          </w:p>
        </w:tc>
        <w:tc>
          <w:tcPr>
            <w:tcW w:w="0" w:type="auto"/>
          </w:tcPr>
          <w:p w14:paraId="4EB64F68" w14:textId="1C0F5FDC" w:rsidR="0014614D" w:rsidRDefault="00E02B08" w:rsidP="00F60E10">
            <w:pPr>
              <w:jc w:val="right"/>
            </w:pPr>
            <w:r w:rsidRPr="00B86D08">
              <w:t>.06</w:t>
            </w:r>
          </w:p>
        </w:tc>
        <w:tc>
          <w:tcPr>
            <w:tcW w:w="0" w:type="auto"/>
          </w:tcPr>
          <w:p w14:paraId="43113919" w14:textId="1E9F2AA6" w:rsidR="0014614D" w:rsidRDefault="00E02B08" w:rsidP="00F60E10">
            <w:pPr>
              <w:jc w:val="right"/>
            </w:pPr>
            <w:r w:rsidRPr="00B86D08">
              <w:t>.24</w:t>
            </w:r>
            <w:r w:rsidRPr="00B86D08">
              <w:rPr>
                <w:vertAlign w:val="superscript"/>
              </w:rPr>
              <w:t>***</w:t>
            </w:r>
          </w:p>
        </w:tc>
        <w:tc>
          <w:tcPr>
            <w:tcW w:w="0" w:type="auto"/>
          </w:tcPr>
          <w:p w14:paraId="06C858A4" w14:textId="17E080D1" w:rsidR="0014614D" w:rsidRDefault="00E02B08" w:rsidP="00F60E10">
            <w:pPr>
              <w:jc w:val="right"/>
            </w:pPr>
            <w:r w:rsidRPr="00B86D08">
              <w:t>.01</w:t>
            </w:r>
          </w:p>
        </w:tc>
        <w:tc>
          <w:tcPr>
            <w:tcW w:w="0" w:type="auto"/>
          </w:tcPr>
          <w:p w14:paraId="4EFD35E9" w14:textId="0ECC3D41" w:rsidR="0014614D" w:rsidRDefault="00E02B08" w:rsidP="00F60E10">
            <w:pPr>
              <w:jc w:val="right"/>
            </w:pPr>
            <w:r w:rsidRPr="00B86D08">
              <w:t>.09</w:t>
            </w:r>
          </w:p>
        </w:tc>
        <w:tc>
          <w:tcPr>
            <w:tcW w:w="0" w:type="auto"/>
          </w:tcPr>
          <w:p w14:paraId="630A1D89" w14:textId="75F6D749" w:rsidR="0014614D" w:rsidRDefault="00E02B08" w:rsidP="00F60E10">
            <w:pPr>
              <w:jc w:val="right"/>
            </w:pPr>
            <w:r w:rsidRPr="00B86D08">
              <w:t>.12</w:t>
            </w:r>
          </w:p>
        </w:tc>
        <w:tc>
          <w:tcPr>
            <w:tcW w:w="0" w:type="auto"/>
          </w:tcPr>
          <w:p w14:paraId="161BEE35" w14:textId="6B1EBAD2" w:rsidR="0014614D" w:rsidRDefault="00E02B08" w:rsidP="00F60E10">
            <w:pPr>
              <w:jc w:val="right"/>
            </w:pPr>
            <w:r w:rsidRPr="00B86D08">
              <w:t>.63</w:t>
            </w:r>
            <w:r w:rsidRPr="00B86D08">
              <w:rPr>
                <w:vertAlign w:val="superscript"/>
              </w:rPr>
              <w:t>***</w:t>
            </w:r>
          </w:p>
        </w:tc>
        <w:tc>
          <w:tcPr>
            <w:tcW w:w="0" w:type="auto"/>
          </w:tcPr>
          <w:p w14:paraId="488E2E23" w14:textId="157451A0" w:rsidR="0014614D" w:rsidRDefault="00E02B08" w:rsidP="00F60E10">
            <w:pPr>
              <w:jc w:val="right"/>
            </w:pPr>
            <w:r w:rsidRPr="00B86D08">
              <w:t>.41</w:t>
            </w:r>
            <w:r w:rsidRPr="00B86D08">
              <w:rPr>
                <w:vertAlign w:val="superscript"/>
              </w:rPr>
              <w:t>***</w:t>
            </w:r>
          </w:p>
        </w:tc>
        <w:tc>
          <w:tcPr>
            <w:tcW w:w="0" w:type="auto"/>
          </w:tcPr>
          <w:p w14:paraId="118CC81D" w14:textId="15750601" w:rsidR="0014614D" w:rsidRDefault="00E02B08" w:rsidP="00F60E10">
            <w:pPr>
              <w:jc w:val="right"/>
            </w:pPr>
            <w:r w:rsidRPr="00B86D08">
              <w:t>—</w:t>
            </w:r>
          </w:p>
        </w:tc>
        <w:tc>
          <w:tcPr>
            <w:tcW w:w="0" w:type="auto"/>
          </w:tcPr>
          <w:p w14:paraId="60E5BA61" w14:textId="6E8FA54D" w:rsidR="0014614D" w:rsidRDefault="00E02B08" w:rsidP="00F60E10">
            <w:pPr>
              <w:jc w:val="right"/>
            </w:pPr>
            <w:r w:rsidRPr="00B86D08">
              <w:t>.63</w:t>
            </w:r>
            <w:r w:rsidRPr="00B86D08">
              <w:rPr>
                <w:vertAlign w:val="superscript"/>
              </w:rPr>
              <w:t>***</w:t>
            </w:r>
          </w:p>
        </w:tc>
        <w:tc>
          <w:tcPr>
            <w:tcW w:w="0" w:type="auto"/>
          </w:tcPr>
          <w:p w14:paraId="682BFDC4" w14:textId="77B8DA87" w:rsidR="0014614D" w:rsidRDefault="00E02B08" w:rsidP="00F60E10">
            <w:pPr>
              <w:jc w:val="right"/>
            </w:pPr>
            <w:r w:rsidRPr="00B86D08">
              <w:t>.71</w:t>
            </w:r>
            <w:r w:rsidRPr="00B86D08">
              <w:rPr>
                <w:vertAlign w:val="superscript"/>
              </w:rPr>
              <w:t>***</w:t>
            </w:r>
          </w:p>
        </w:tc>
        <w:tc>
          <w:tcPr>
            <w:tcW w:w="0" w:type="auto"/>
          </w:tcPr>
          <w:p w14:paraId="7AB342EF" w14:textId="328E22AA" w:rsidR="0014614D" w:rsidRDefault="00E02B08" w:rsidP="00F60E10">
            <w:pPr>
              <w:jc w:val="right"/>
            </w:pPr>
            <w:r w:rsidRPr="00B86D08">
              <w:t>.43</w:t>
            </w:r>
            <w:r w:rsidRPr="00B86D08">
              <w:rPr>
                <w:vertAlign w:val="superscript"/>
              </w:rPr>
              <w:t>***</w:t>
            </w:r>
          </w:p>
        </w:tc>
      </w:tr>
      <w:tr w:rsidR="00E02B08" w14:paraId="1B932159" w14:textId="77777777" w:rsidTr="00026DD8">
        <w:tc>
          <w:tcPr>
            <w:tcW w:w="0" w:type="auto"/>
          </w:tcPr>
          <w:p w14:paraId="2490FC97" w14:textId="557B64D5" w:rsidR="0014614D" w:rsidRDefault="00A65426" w:rsidP="006641CA">
            <w:r>
              <w:t xml:space="preserve">10. </w:t>
            </w:r>
            <w:r w:rsidR="00026DD8">
              <w:t>Anxiety W3</w:t>
            </w:r>
          </w:p>
        </w:tc>
        <w:tc>
          <w:tcPr>
            <w:tcW w:w="0" w:type="auto"/>
          </w:tcPr>
          <w:p w14:paraId="6936E6B3" w14:textId="5C407EDC" w:rsidR="0014614D" w:rsidRPr="00E02B08" w:rsidRDefault="00B86D08" w:rsidP="00F60E10">
            <w:pPr>
              <w:jc w:val="right"/>
              <w:rPr>
                <w:vertAlign w:val="superscript"/>
              </w:rPr>
            </w:pPr>
            <w:r w:rsidRPr="00B86D08">
              <w:t>.18</w:t>
            </w:r>
            <w:r w:rsidRPr="00B86D08">
              <w:rPr>
                <w:vertAlign w:val="superscript"/>
              </w:rPr>
              <w:t>**</w:t>
            </w:r>
            <w:r w:rsidRPr="00B86D08">
              <w:t xml:space="preserve"> </w:t>
            </w:r>
          </w:p>
        </w:tc>
        <w:tc>
          <w:tcPr>
            <w:tcW w:w="0" w:type="auto"/>
          </w:tcPr>
          <w:p w14:paraId="7A3D438E" w14:textId="314F9FDB" w:rsidR="0014614D" w:rsidRDefault="00E02B08" w:rsidP="00F60E10">
            <w:pPr>
              <w:jc w:val="right"/>
            </w:pPr>
            <w:r w:rsidRPr="00B86D08">
              <w:t>.01</w:t>
            </w:r>
          </w:p>
        </w:tc>
        <w:tc>
          <w:tcPr>
            <w:tcW w:w="0" w:type="auto"/>
          </w:tcPr>
          <w:p w14:paraId="1B559952" w14:textId="530CAE9D" w:rsidR="0014614D" w:rsidRDefault="00E02B08" w:rsidP="00F60E10">
            <w:pPr>
              <w:jc w:val="right"/>
            </w:pPr>
            <w:r w:rsidRPr="00B86D08">
              <w:t>.28</w:t>
            </w:r>
            <w:r w:rsidRPr="00B86D08">
              <w:rPr>
                <w:vertAlign w:val="superscript"/>
              </w:rPr>
              <w:t>***</w:t>
            </w:r>
          </w:p>
        </w:tc>
        <w:tc>
          <w:tcPr>
            <w:tcW w:w="0" w:type="auto"/>
          </w:tcPr>
          <w:p w14:paraId="3DE7A6A5" w14:textId="054328FB" w:rsidR="0014614D" w:rsidRDefault="00E02B08" w:rsidP="00F60E10">
            <w:pPr>
              <w:jc w:val="right"/>
            </w:pPr>
            <w:r w:rsidRPr="00B86D08">
              <w:t>.01</w:t>
            </w:r>
          </w:p>
        </w:tc>
        <w:tc>
          <w:tcPr>
            <w:tcW w:w="0" w:type="auto"/>
          </w:tcPr>
          <w:p w14:paraId="7AF0E932" w14:textId="46916DF2" w:rsidR="0014614D" w:rsidRDefault="00E02B08" w:rsidP="00F60E10">
            <w:pPr>
              <w:jc w:val="right"/>
            </w:pPr>
            <w:r w:rsidRPr="00B86D08">
              <w:t>.02</w:t>
            </w:r>
          </w:p>
        </w:tc>
        <w:tc>
          <w:tcPr>
            <w:tcW w:w="0" w:type="auto"/>
          </w:tcPr>
          <w:p w14:paraId="072F1A87" w14:textId="3FEE83F2" w:rsidR="0014614D" w:rsidRDefault="00E02B08" w:rsidP="00F60E10">
            <w:pPr>
              <w:jc w:val="right"/>
            </w:pPr>
            <w:r w:rsidRPr="00B86D08">
              <w:t>.14</w:t>
            </w:r>
            <w:r w:rsidRPr="00B86D08">
              <w:rPr>
                <w:vertAlign w:val="superscript"/>
              </w:rPr>
              <w:t>*</w:t>
            </w:r>
          </w:p>
        </w:tc>
        <w:tc>
          <w:tcPr>
            <w:tcW w:w="0" w:type="auto"/>
          </w:tcPr>
          <w:p w14:paraId="35196E28" w14:textId="50B8D832" w:rsidR="0014614D" w:rsidRDefault="00E02B08" w:rsidP="00F60E10">
            <w:pPr>
              <w:jc w:val="right"/>
            </w:pPr>
            <w:r w:rsidRPr="00B86D08">
              <w:t>.45</w:t>
            </w:r>
            <w:r w:rsidRPr="00B86D08">
              <w:rPr>
                <w:vertAlign w:val="superscript"/>
              </w:rPr>
              <w:t>***</w:t>
            </w:r>
          </w:p>
        </w:tc>
        <w:tc>
          <w:tcPr>
            <w:tcW w:w="0" w:type="auto"/>
          </w:tcPr>
          <w:p w14:paraId="2BA3C874" w14:textId="0DC550E7" w:rsidR="0014614D" w:rsidRDefault="00E02B08" w:rsidP="00F60E10">
            <w:pPr>
              <w:jc w:val="right"/>
            </w:pPr>
            <w:r w:rsidRPr="00B86D08">
              <w:t>.53</w:t>
            </w:r>
            <w:r w:rsidRPr="00B86D08">
              <w:rPr>
                <w:vertAlign w:val="superscript"/>
              </w:rPr>
              <w:t>***</w:t>
            </w:r>
          </w:p>
        </w:tc>
        <w:tc>
          <w:tcPr>
            <w:tcW w:w="0" w:type="auto"/>
          </w:tcPr>
          <w:p w14:paraId="454DCE66" w14:textId="554B55FD" w:rsidR="0014614D" w:rsidRDefault="00E02B08" w:rsidP="00F60E10">
            <w:pPr>
              <w:jc w:val="right"/>
            </w:pPr>
            <w:r w:rsidRPr="00B86D08">
              <w:t>.62</w:t>
            </w:r>
            <w:r w:rsidRPr="00B86D08">
              <w:rPr>
                <w:vertAlign w:val="superscript"/>
              </w:rPr>
              <w:t>***</w:t>
            </w:r>
          </w:p>
        </w:tc>
        <w:tc>
          <w:tcPr>
            <w:tcW w:w="0" w:type="auto"/>
          </w:tcPr>
          <w:p w14:paraId="54F40B1A" w14:textId="22850FFB" w:rsidR="0014614D" w:rsidRDefault="00E02B08" w:rsidP="00F60E10">
            <w:pPr>
              <w:jc w:val="right"/>
            </w:pPr>
            <w:r w:rsidRPr="00B86D08">
              <w:t>—</w:t>
            </w:r>
          </w:p>
        </w:tc>
        <w:tc>
          <w:tcPr>
            <w:tcW w:w="0" w:type="auto"/>
          </w:tcPr>
          <w:p w14:paraId="315ABB70" w14:textId="563A4807" w:rsidR="0014614D" w:rsidRDefault="00E02B08" w:rsidP="00F60E10">
            <w:pPr>
              <w:jc w:val="right"/>
            </w:pPr>
            <w:r w:rsidRPr="00B86D08">
              <w:t>.57</w:t>
            </w:r>
            <w:r w:rsidRPr="00B86D08">
              <w:rPr>
                <w:vertAlign w:val="superscript"/>
              </w:rPr>
              <w:t>***</w:t>
            </w:r>
          </w:p>
        </w:tc>
        <w:tc>
          <w:tcPr>
            <w:tcW w:w="0" w:type="auto"/>
          </w:tcPr>
          <w:p w14:paraId="00D58D1C" w14:textId="6AFC023E" w:rsidR="0014614D" w:rsidRDefault="00E02B08" w:rsidP="00F60E10">
            <w:pPr>
              <w:jc w:val="right"/>
            </w:pPr>
            <w:r w:rsidRPr="00B86D08">
              <w:t>.63</w:t>
            </w:r>
            <w:r w:rsidRPr="00B86D08">
              <w:rPr>
                <w:vertAlign w:val="superscript"/>
              </w:rPr>
              <w:t>***</w:t>
            </w:r>
          </w:p>
        </w:tc>
      </w:tr>
      <w:tr w:rsidR="00E02B08" w14:paraId="4B63D5EA" w14:textId="77777777" w:rsidTr="00026DD8">
        <w:tc>
          <w:tcPr>
            <w:tcW w:w="0" w:type="auto"/>
          </w:tcPr>
          <w:p w14:paraId="76731352" w14:textId="16660ED0" w:rsidR="0014614D" w:rsidRDefault="00026DD8" w:rsidP="006641CA">
            <w:r>
              <w:t>11. DS W1</w:t>
            </w:r>
          </w:p>
        </w:tc>
        <w:tc>
          <w:tcPr>
            <w:tcW w:w="0" w:type="auto"/>
          </w:tcPr>
          <w:p w14:paraId="37B91AC7" w14:textId="641505BF" w:rsidR="0014614D" w:rsidRPr="00E02B08" w:rsidRDefault="001C06B0" w:rsidP="00F60E10">
            <w:pPr>
              <w:jc w:val="right"/>
              <w:rPr>
                <w:vertAlign w:val="superscript"/>
              </w:rPr>
            </w:pPr>
            <w:r w:rsidRPr="001C06B0">
              <w:t>.12</w:t>
            </w:r>
            <w:r w:rsidRPr="001C06B0">
              <w:rPr>
                <w:vertAlign w:val="superscript"/>
              </w:rPr>
              <w:t>*</w:t>
            </w:r>
            <w:r w:rsidRPr="001C06B0">
              <w:t xml:space="preserve"> </w:t>
            </w:r>
          </w:p>
        </w:tc>
        <w:tc>
          <w:tcPr>
            <w:tcW w:w="0" w:type="auto"/>
          </w:tcPr>
          <w:p w14:paraId="53450867" w14:textId="158A5B50" w:rsidR="0014614D" w:rsidRDefault="00E02B08" w:rsidP="00F60E10">
            <w:pPr>
              <w:jc w:val="right"/>
            </w:pPr>
            <w:r w:rsidRPr="001C06B0">
              <w:t>.10</w:t>
            </w:r>
          </w:p>
        </w:tc>
        <w:tc>
          <w:tcPr>
            <w:tcW w:w="0" w:type="auto"/>
          </w:tcPr>
          <w:p w14:paraId="1A603588" w14:textId="786DA645" w:rsidR="0014614D" w:rsidRDefault="00E02B08" w:rsidP="00F60E10">
            <w:pPr>
              <w:jc w:val="right"/>
            </w:pPr>
            <w:r w:rsidRPr="001C06B0">
              <w:t>.23</w:t>
            </w:r>
            <w:r w:rsidRPr="001C06B0">
              <w:rPr>
                <w:vertAlign w:val="superscript"/>
              </w:rPr>
              <w:t>***</w:t>
            </w:r>
          </w:p>
        </w:tc>
        <w:tc>
          <w:tcPr>
            <w:tcW w:w="0" w:type="auto"/>
          </w:tcPr>
          <w:p w14:paraId="77F25B46" w14:textId="6DDDFDFA" w:rsidR="0014614D" w:rsidRDefault="00E02B08" w:rsidP="00F60E10">
            <w:pPr>
              <w:jc w:val="right"/>
            </w:pPr>
            <w:r w:rsidRPr="001C06B0">
              <w:t>.12</w:t>
            </w:r>
          </w:p>
        </w:tc>
        <w:tc>
          <w:tcPr>
            <w:tcW w:w="0" w:type="auto"/>
          </w:tcPr>
          <w:p w14:paraId="27A48777" w14:textId="6E8A4C99" w:rsidR="0014614D" w:rsidRDefault="00E02B08" w:rsidP="00F60E10">
            <w:pPr>
              <w:jc w:val="right"/>
            </w:pPr>
            <w:r w:rsidRPr="001C06B0">
              <w:t>.01</w:t>
            </w:r>
          </w:p>
        </w:tc>
        <w:tc>
          <w:tcPr>
            <w:tcW w:w="0" w:type="auto"/>
          </w:tcPr>
          <w:p w14:paraId="6DED9D98" w14:textId="4DE7C979" w:rsidR="0014614D" w:rsidRDefault="00E02B08" w:rsidP="00F60E10">
            <w:pPr>
              <w:jc w:val="right"/>
            </w:pPr>
            <w:r w:rsidRPr="001C06B0">
              <w:t>.18</w:t>
            </w:r>
            <w:r w:rsidRPr="001C06B0">
              <w:rPr>
                <w:vertAlign w:val="superscript"/>
              </w:rPr>
              <w:t>**</w:t>
            </w:r>
          </w:p>
        </w:tc>
        <w:tc>
          <w:tcPr>
            <w:tcW w:w="0" w:type="auto"/>
          </w:tcPr>
          <w:p w14:paraId="4FC3C75B" w14:textId="766F44B1" w:rsidR="0014614D" w:rsidRDefault="00E02B08" w:rsidP="00F60E10">
            <w:pPr>
              <w:jc w:val="right"/>
            </w:pPr>
            <w:r w:rsidRPr="001C06B0">
              <w:t>.68</w:t>
            </w:r>
            <w:r w:rsidRPr="001C06B0">
              <w:rPr>
                <w:vertAlign w:val="superscript"/>
              </w:rPr>
              <w:t>***</w:t>
            </w:r>
          </w:p>
        </w:tc>
        <w:tc>
          <w:tcPr>
            <w:tcW w:w="0" w:type="auto"/>
          </w:tcPr>
          <w:p w14:paraId="24C3C0B5" w14:textId="54AF84B6" w:rsidR="0014614D" w:rsidRDefault="00E02B08" w:rsidP="00F60E10">
            <w:pPr>
              <w:jc w:val="right"/>
            </w:pPr>
            <w:r w:rsidRPr="001C06B0">
              <w:t>.41</w:t>
            </w:r>
            <w:r w:rsidRPr="001C06B0">
              <w:rPr>
                <w:vertAlign w:val="superscript"/>
              </w:rPr>
              <w:t>***</w:t>
            </w:r>
          </w:p>
        </w:tc>
        <w:tc>
          <w:tcPr>
            <w:tcW w:w="0" w:type="auto"/>
          </w:tcPr>
          <w:p w14:paraId="04C4A0A5" w14:textId="6F6C3681" w:rsidR="0014614D" w:rsidRDefault="00E02B08" w:rsidP="00F60E10">
            <w:pPr>
              <w:jc w:val="right"/>
            </w:pPr>
            <w:r w:rsidRPr="001C06B0">
              <w:t>.72</w:t>
            </w:r>
            <w:r w:rsidRPr="001C06B0">
              <w:rPr>
                <w:vertAlign w:val="superscript"/>
              </w:rPr>
              <w:t>***</w:t>
            </w:r>
          </w:p>
        </w:tc>
        <w:tc>
          <w:tcPr>
            <w:tcW w:w="0" w:type="auto"/>
          </w:tcPr>
          <w:p w14:paraId="065398F6" w14:textId="3EF506B4" w:rsidR="0014614D" w:rsidRDefault="00E02B08" w:rsidP="00F60E10">
            <w:pPr>
              <w:jc w:val="right"/>
            </w:pPr>
            <w:r w:rsidRPr="001C06B0">
              <w:t>.48</w:t>
            </w:r>
            <w:r w:rsidRPr="001C06B0">
              <w:rPr>
                <w:vertAlign w:val="superscript"/>
              </w:rPr>
              <w:t>***</w:t>
            </w:r>
          </w:p>
        </w:tc>
        <w:tc>
          <w:tcPr>
            <w:tcW w:w="0" w:type="auto"/>
          </w:tcPr>
          <w:p w14:paraId="501FBFA0" w14:textId="7EBCEF1C" w:rsidR="0014614D" w:rsidRDefault="00E02B08" w:rsidP="00F60E10">
            <w:pPr>
              <w:jc w:val="right"/>
            </w:pPr>
            <w:r w:rsidRPr="001C06B0">
              <w:t>—</w:t>
            </w:r>
          </w:p>
        </w:tc>
        <w:tc>
          <w:tcPr>
            <w:tcW w:w="0" w:type="auto"/>
          </w:tcPr>
          <w:p w14:paraId="6D07480C" w14:textId="6B77017F" w:rsidR="0014614D" w:rsidRDefault="00E02B08" w:rsidP="00F60E10">
            <w:pPr>
              <w:jc w:val="right"/>
            </w:pPr>
            <w:r w:rsidRPr="001C06B0">
              <w:t>.56</w:t>
            </w:r>
            <w:r w:rsidRPr="001C06B0">
              <w:rPr>
                <w:vertAlign w:val="superscript"/>
              </w:rPr>
              <w:t>***</w:t>
            </w:r>
          </w:p>
        </w:tc>
      </w:tr>
      <w:tr w:rsidR="00E02B08" w14:paraId="2B5B3543" w14:textId="77777777" w:rsidTr="00026DD8">
        <w:tc>
          <w:tcPr>
            <w:tcW w:w="0" w:type="auto"/>
          </w:tcPr>
          <w:p w14:paraId="50125F07" w14:textId="123847A1" w:rsidR="0014614D" w:rsidRDefault="00026DD8" w:rsidP="006641CA">
            <w:r>
              <w:t>12. DS W3</w:t>
            </w:r>
          </w:p>
        </w:tc>
        <w:tc>
          <w:tcPr>
            <w:tcW w:w="0" w:type="auto"/>
          </w:tcPr>
          <w:p w14:paraId="6BD47465" w14:textId="4F561131" w:rsidR="0014614D" w:rsidRDefault="001C06B0" w:rsidP="00F60E10">
            <w:pPr>
              <w:jc w:val="right"/>
            </w:pPr>
            <w:r w:rsidRPr="001C06B0">
              <w:t>.14</w:t>
            </w:r>
            <w:r w:rsidRPr="001C06B0">
              <w:rPr>
                <w:vertAlign w:val="superscript"/>
              </w:rPr>
              <w:t>*</w:t>
            </w:r>
            <w:r w:rsidRPr="001C06B0">
              <w:t xml:space="preserve"> </w:t>
            </w:r>
          </w:p>
        </w:tc>
        <w:tc>
          <w:tcPr>
            <w:tcW w:w="0" w:type="auto"/>
          </w:tcPr>
          <w:p w14:paraId="50823343" w14:textId="33DE63A9" w:rsidR="0014614D" w:rsidRDefault="00E02B08" w:rsidP="00F60E10">
            <w:pPr>
              <w:jc w:val="right"/>
            </w:pPr>
            <w:r w:rsidRPr="001C06B0">
              <w:t>.02</w:t>
            </w:r>
          </w:p>
        </w:tc>
        <w:tc>
          <w:tcPr>
            <w:tcW w:w="0" w:type="auto"/>
          </w:tcPr>
          <w:p w14:paraId="2DF572D3" w14:textId="6F973DBA" w:rsidR="0014614D" w:rsidRDefault="00E02B08" w:rsidP="00F60E10">
            <w:pPr>
              <w:jc w:val="right"/>
            </w:pPr>
            <w:r w:rsidRPr="001C06B0">
              <w:t>.33</w:t>
            </w:r>
            <w:r w:rsidRPr="001C06B0">
              <w:rPr>
                <w:vertAlign w:val="superscript"/>
              </w:rPr>
              <w:t>***</w:t>
            </w:r>
          </w:p>
        </w:tc>
        <w:tc>
          <w:tcPr>
            <w:tcW w:w="0" w:type="auto"/>
          </w:tcPr>
          <w:p w14:paraId="3C42C831" w14:textId="0550123F" w:rsidR="0014614D" w:rsidRDefault="00E02B08" w:rsidP="00F60E10">
            <w:pPr>
              <w:jc w:val="right"/>
            </w:pPr>
            <w:r w:rsidRPr="001C06B0">
              <w:t>.03</w:t>
            </w:r>
          </w:p>
        </w:tc>
        <w:tc>
          <w:tcPr>
            <w:tcW w:w="0" w:type="auto"/>
          </w:tcPr>
          <w:p w14:paraId="6906DAD6" w14:textId="3BB04461" w:rsidR="0014614D" w:rsidRDefault="00E02B08" w:rsidP="00F60E10">
            <w:pPr>
              <w:jc w:val="right"/>
            </w:pPr>
            <w:r w:rsidRPr="001C06B0">
              <w:t>.12</w:t>
            </w:r>
          </w:p>
        </w:tc>
        <w:tc>
          <w:tcPr>
            <w:tcW w:w="0" w:type="auto"/>
          </w:tcPr>
          <w:p w14:paraId="4706382E" w14:textId="70E8623D" w:rsidR="0014614D" w:rsidRDefault="00E02B08" w:rsidP="00F60E10">
            <w:pPr>
              <w:jc w:val="right"/>
            </w:pPr>
            <w:r w:rsidRPr="001C06B0">
              <w:t>.21</w:t>
            </w:r>
            <w:r w:rsidRPr="001C06B0">
              <w:rPr>
                <w:vertAlign w:val="superscript"/>
              </w:rPr>
              <w:t>**</w:t>
            </w:r>
          </w:p>
        </w:tc>
        <w:tc>
          <w:tcPr>
            <w:tcW w:w="0" w:type="auto"/>
          </w:tcPr>
          <w:p w14:paraId="54A620E4" w14:textId="644079A9" w:rsidR="0014614D" w:rsidRDefault="00E02B08" w:rsidP="00F60E10">
            <w:pPr>
              <w:jc w:val="right"/>
            </w:pPr>
            <w:r w:rsidRPr="001C06B0">
              <w:t>.40</w:t>
            </w:r>
            <w:r w:rsidRPr="001C06B0">
              <w:rPr>
                <w:vertAlign w:val="superscript"/>
              </w:rPr>
              <w:t>***</w:t>
            </w:r>
          </w:p>
        </w:tc>
        <w:tc>
          <w:tcPr>
            <w:tcW w:w="0" w:type="auto"/>
          </w:tcPr>
          <w:p w14:paraId="04489F0D" w14:textId="2E242A26" w:rsidR="0014614D" w:rsidRDefault="00E02B08" w:rsidP="00F60E10">
            <w:pPr>
              <w:jc w:val="right"/>
            </w:pPr>
            <w:r w:rsidRPr="001C06B0">
              <w:t>.63</w:t>
            </w:r>
            <w:r w:rsidRPr="001C06B0">
              <w:rPr>
                <w:vertAlign w:val="superscript"/>
              </w:rPr>
              <w:t>***</w:t>
            </w:r>
          </w:p>
        </w:tc>
        <w:tc>
          <w:tcPr>
            <w:tcW w:w="0" w:type="auto"/>
          </w:tcPr>
          <w:p w14:paraId="710A6F7D" w14:textId="41425721" w:rsidR="0014614D" w:rsidRDefault="00E02B08" w:rsidP="00F60E10">
            <w:pPr>
              <w:jc w:val="right"/>
            </w:pPr>
            <w:r w:rsidRPr="001C06B0">
              <w:t>.46</w:t>
            </w:r>
            <w:r w:rsidRPr="001C06B0">
              <w:rPr>
                <w:vertAlign w:val="superscript"/>
              </w:rPr>
              <w:t>***</w:t>
            </w:r>
          </w:p>
        </w:tc>
        <w:tc>
          <w:tcPr>
            <w:tcW w:w="0" w:type="auto"/>
          </w:tcPr>
          <w:p w14:paraId="38641056" w14:textId="20DE3324" w:rsidR="0014614D" w:rsidRDefault="00E02B08" w:rsidP="00F60E10">
            <w:pPr>
              <w:jc w:val="right"/>
            </w:pPr>
            <w:r w:rsidRPr="001C06B0">
              <w:t>.64</w:t>
            </w:r>
            <w:r w:rsidRPr="001C06B0">
              <w:rPr>
                <w:vertAlign w:val="superscript"/>
              </w:rPr>
              <w:t>***</w:t>
            </w:r>
          </w:p>
        </w:tc>
        <w:tc>
          <w:tcPr>
            <w:tcW w:w="0" w:type="auto"/>
          </w:tcPr>
          <w:p w14:paraId="71D38BE1" w14:textId="3F857B61" w:rsidR="0014614D" w:rsidRDefault="00E02B08" w:rsidP="00F60E10">
            <w:pPr>
              <w:jc w:val="right"/>
            </w:pPr>
            <w:r w:rsidRPr="001C06B0">
              <w:t>.52</w:t>
            </w:r>
            <w:r w:rsidRPr="001C06B0">
              <w:rPr>
                <w:vertAlign w:val="superscript"/>
              </w:rPr>
              <w:t>***</w:t>
            </w:r>
          </w:p>
        </w:tc>
        <w:tc>
          <w:tcPr>
            <w:tcW w:w="0" w:type="auto"/>
          </w:tcPr>
          <w:p w14:paraId="5BAA325E" w14:textId="4FE8DA9F" w:rsidR="0014614D" w:rsidRDefault="00E02B08" w:rsidP="00F60E10">
            <w:pPr>
              <w:jc w:val="right"/>
            </w:pPr>
            <w:r w:rsidRPr="001C06B0">
              <w:t>—</w:t>
            </w:r>
          </w:p>
        </w:tc>
      </w:tr>
    </w:tbl>
    <w:p w14:paraId="3046962F" w14:textId="15940520" w:rsidR="001C06B0" w:rsidRDefault="001C06B0" w:rsidP="001C06B0">
      <w:pPr>
        <w:pStyle w:val="NoSpacing"/>
      </w:pPr>
      <w:r w:rsidRPr="001C06B0">
        <w:rPr>
          <w:i/>
          <w:iCs/>
        </w:rPr>
        <w:t>Note</w:t>
      </w:r>
      <w:r w:rsidRPr="001C06B0">
        <w:t>. Bivariate correlations for Black students presented above the diagonal, and bivariate correlations for Latinx students presented below the diagonal. DS = Depressive Symptoms, W1 = Wave 1, W3 = Wave 3.</w:t>
      </w:r>
      <w:r w:rsidR="00BF2BC5">
        <w:t xml:space="preserve"> </w:t>
      </w:r>
      <w:r w:rsidRPr="001C06B0">
        <w:t xml:space="preserve">* </w:t>
      </w:r>
      <w:r w:rsidRPr="001C06B0">
        <w:rPr>
          <w:i/>
          <w:iCs/>
        </w:rPr>
        <w:t xml:space="preserve">p </w:t>
      </w:r>
      <w:r w:rsidRPr="001C06B0">
        <w:t xml:space="preserve">&lt; .05. </w:t>
      </w:r>
      <w:r w:rsidRPr="001C06B0">
        <w:rPr>
          <w:vertAlign w:val="superscript"/>
        </w:rPr>
        <w:t>**</w:t>
      </w:r>
      <w:r w:rsidRPr="001C06B0">
        <w:t xml:space="preserve"> </w:t>
      </w:r>
      <w:r w:rsidRPr="001C06B0">
        <w:rPr>
          <w:i/>
          <w:iCs/>
        </w:rPr>
        <w:t xml:space="preserve">p </w:t>
      </w:r>
      <w:r w:rsidRPr="001C06B0">
        <w:t xml:space="preserve">&lt; .01. </w:t>
      </w:r>
      <w:r w:rsidRPr="001C06B0">
        <w:rPr>
          <w:vertAlign w:val="superscript"/>
        </w:rPr>
        <w:t>***</w:t>
      </w:r>
      <w:r w:rsidRPr="001C06B0">
        <w:t xml:space="preserve"> </w:t>
      </w:r>
      <w:r w:rsidRPr="001C06B0">
        <w:rPr>
          <w:i/>
          <w:iCs/>
        </w:rPr>
        <w:t xml:space="preserve">p </w:t>
      </w:r>
      <w:r w:rsidRPr="001C06B0">
        <w:t>&lt; .001.</w:t>
      </w:r>
    </w:p>
    <w:p w14:paraId="006D8D3F" w14:textId="77777777" w:rsidR="00BF2BC5" w:rsidRPr="001C06B0" w:rsidRDefault="00BF2BC5" w:rsidP="001C06B0">
      <w:pPr>
        <w:pStyle w:val="NoSpacing"/>
      </w:pPr>
    </w:p>
    <w:p w14:paraId="17346A66" w14:textId="77777777" w:rsidR="00DC4869" w:rsidRDefault="00DC4869" w:rsidP="00587067">
      <w:pPr>
        <w:pStyle w:val="NoSpacing"/>
        <w:rPr>
          <w:noProof/>
        </w:rPr>
        <w:sectPr w:rsidR="00DC4869" w:rsidSect="00987091">
          <w:pgSz w:w="15840" w:h="12240" w:orient="landscape"/>
          <w:pgMar w:top="1440" w:right="1440" w:bottom="1440" w:left="1440" w:header="720" w:footer="720" w:gutter="0"/>
          <w:cols w:space="720"/>
          <w:docGrid w:linePitch="360"/>
        </w:sectPr>
      </w:pPr>
    </w:p>
    <w:p w14:paraId="7598B83A" w14:textId="72E47B14" w:rsidR="006641CA" w:rsidRPr="006641CA" w:rsidRDefault="0014614D" w:rsidP="00587067">
      <w:pPr>
        <w:pStyle w:val="NoSpacing"/>
      </w:pPr>
      <w:r>
        <w:rPr>
          <w:noProof/>
        </w:rPr>
        <w:t xml:space="preserve">Table 2. </w:t>
      </w:r>
      <w:r w:rsidR="006641CA" w:rsidRPr="006641CA">
        <w:t>Means, Standard Deviations, and Group Mean Difference by Race/Ethnicity (N = 504)</w:t>
      </w:r>
    </w:p>
    <w:tbl>
      <w:tblPr>
        <w:tblStyle w:val="TableGrid"/>
        <w:tblW w:w="0" w:type="auto"/>
        <w:tblLook w:val="0020" w:firstRow="1" w:lastRow="0" w:firstColumn="0" w:lastColumn="0" w:noHBand="0" w:noVBand="0"/>
      </w:tblPr>
      <w:tblGrid>
        <w:gridCol w:w="1890"/>
        <w:gridCol w:w="1242"/>
        <w:gridCol w:w="2379"/>
        <w:gridCol w:w="2443"/>
        <w:gridCol w:w="716"/>
      </w:tblGrid>
      <w:tr w:rsidR="00587067" w:rsidRPr="00690E98" w14:paraId="40069DD4" w14:textId="77777777" w:rsidTr="00F336B8">
        <w:trPr>
          <w:trHeight w:val="233"/>
        </w:trPr>
        <w:tc>
          <w:tcPr>
            <w:tcW w:w="0" w:type="auto"/>
          </w:tcPr>
          <w:p w14:paraId="2E01CC97" w14:textId="77777777" w:rsidR="00587067" w:rsidRPr="00690E98" w:rsidRDefault="00587067" w:rsidP="00587067">
            <w:pPr>
              <w:pStyle w:val="NoSpacing"/>
            </w:pPr>
            <w:bookmarkStart w:id="5" w:name="Stress_and_Latinx_students"/>
            <w:bookmarkStart w:id="6" w:name="_bookmark1"/>
            <w:bookmarkEnd w:id="5"/>
            <w:bookmarkEnd w:id="6"/>
          </w:p>
        </w:tc>
        <w:tc>
          <w:tcPr>
            <w:tcW w:w="0" w:type="auto"/>
          </w:tcPr>
          <w:p w14:paraId="161276C7" w14:textId="77777777" w:rsidR="00587067" w:rsidRPr="00690E98" w:rsidRDefault="00587067" w:rsidP="00587067">
            <w:pPr>
              <w:pStyle w:val="NoSpacing"/>
            </w:pPr>
            <w:r w:rsidRPr="00690E98">
              <w:t>Full Sample</w:t>
            </w:r>
          </w:p>
        </w:tc>
        <w:tc>
          <w:tcPr>
            <w:tcW w:w="0" w:type="auto"/>
          </w:tcPr>
          <w:p w14:paraId="4B501335" w14:textId="77777777" w:rsidR="00587067" w:rsidRPr="00690E98" w:rsidRDefault="00587067" w:rsidP="00587067">
            <w:pPr>
              <w:pStyle w:val="NoSpacing"/>
              <w:rPr>
                <w:i/>
                <w:iCs/>
              </w:rPr>
            </w:pPr>
            <w:r w:rsidRPr="00690E98">
              <w:t>Black students (</w:t>
            </w:r>
            <w:r w:rsidRPr="00690E98">
              <w:rPr>
                <w:i/>
                <w:iCs/>
              </w:rPr>
              <w:t xml:space="preserve">N </w:t>
            </w:r>
            <w:r w:rsidRPr="00690E98">
              <w:t xml:space="preserve">= </w:t>
            </w:r>
            <w:r w:rsidRPr="00690E98">
              <w:rPr>
                <w:i/>
                <w:iCs/>
              </w:rPr>
              <w:t>221)</w:t>
            </w:r>
          </w:p>
        </w:tc>
        <w:tc>
          <w:tcPr>
            <w:tcW w:w="0" w:type="auto"/>
          </w:tcPr>
          <w:p w14:paraId="77BC90D3" w14:textId="77777777" w:rsidR="00587067" w:rsidRPr="00690E98" w:rsidRDefault="00587067" w:rsidP="00587067">
            <w:pPr>
              <w:pStyle w:val="NoSpacing"/>
            </w:pPr>
            <w:r w:rsidRPr="00690E98">
              <w:t>Latinx students (</w:t>
            </w:r>
            <w:r w:rsidRPr="00690E98">
              <w:rPr>
                <w:i/>
                <w:iCs/>
              </w:rPr>
              <w:t xml:space="preserve">N </w:t>
            </w:r>
            <w:r w:rsidRPr="00690E98">
              <w:t>= 283)</w:t>
            </w:r>
          </w:p>
        </w:tc>
        <w:tc>
          <w:tcPr>
            <w:tcW w:w="0" w:type="auto"/>
          </w:tcPr>
          <w:p w14:paraId="180CD9A7" w14:textId="77777777" w:rsidR="00587067" w:rsidRPr="00690E98" w:rsidRDefault="00587067" w:rsidP="00587067">
            <w:pPr>
              <w:pStyle w:val="NoSpacing"/>
            </w:pPr>
          </w:p>
        </w:tc>
      </w:tr>
      <w:tr w:rsidR="00587067" w:rsidRPr="00690E98" w14:paraId="243B4346" w14:textId="77777777" w:rsidTr="00F336B8">
        <w:trPr>
          <w:trHeight w:val="270"/>
        </w:trPr>
        <w:tc>
          <w:tcPr>
            <w:tcW w:w="0" w:type="auto"/>
          </w:tcPr>
          <w:p w14:paraId="58E1B6C4" w14:textId="77777777" w:rsidR="00587067" w:rsidRPr="00690E98" w:rsidRDefault="00587067" w:rsidP="00587067">
            <w:pPr>
              <w:pStyle w:val="NoSpacing"/>
            </w:pPr>
            <w:r w:rsidRPr="00690E98">
              <w:t>Variable</w:t>
            </w:r>
          </w:p>
        </w:tc>
        <w:tc>
          <w:tcPr>
            <w:tcW w:w="0" w:type="auto"/>
          </w:tcPr>
          <w:p w14:paraId="662D547E" w14:textId="77777777" w:rsidR="00587067" w:rsidRPr="00690E98" w:rsidRDefault="00587067" w:rsidP="00587067">
            <w:pPr>
              <w:pStyle w:val="NoSpacing"/>
            </w:pPr>
            <w:r w:rsidRPr="00690E98">
              <w:rPr>
                <w:i/>
                <w:iCs/>
              </w:rPr>
              <w:t xml:space="preserve">M </w:t>
            </w:r>
            <w:r w:rsidRPr="00690E98">
              <w:t>(</w:t>
            </w:r>
            <w:r w:rsidRPr="00690E98">
              <w:rPr>
                <w:i/>
                <w:iCs/>
              </w:rPr>
              <w:t>SD</w:t>
            </w:r>
            <w:r w:rsidRPr="00690E98">
              <w:t>)</w:t>
            </w:r>
          </w:p>
        </w:tc>
        <w:tc>
          <w:tcPr>
            <w:tcW w:w="0" w:type="auto"/>
          </w:tcPr>
          <w:p w14:paraId="0B8BF33B" w14:textId="77777777" w:rsidR="00587067" w:rsidRPr="00690E98" w:rsidRDefault="00587067" w:rsidP="00587067">
            <w:pPr>
              <w:pStyle w:val="NoSpacing"/>
            </w:pPr>
            <w:r w:rsidRPr="00690E98">
              <w:rPr>
                <w:i/>
                <w:iCs/>
              </w:rPr>
              <w:t xml:space="preserve">M </w:t>
            </w:r>
            <w:r w:rsidRPr="00690E98">
              <w:t>(</w:t>
            </w:r>
            <w:r w:rsidRPr="00690E98">
              <w:rPr>
                <w:i/>
                <w:iCs/>
              </w:rPr>
              <w:t>SD</w:t>
            </w:r>
            <w:r w:rsidRPr="00690E98">
              <w:t>)</w:t>
            </w:r>
          </w:p>
        </w:tc>
        <w:tc>
          <w:tcPr>
            <w:tcW w:w="0" w:type="auto"/>
          </w:tcPr>
          <w:p w14:paraId="56E41101" w14:textId="77777777" w:rsidR="00587067" w:rsidRPr="00690E98" w:rsidRDefault="00587067" w:rsidP="00587067">
            <w:pPr>
              <w:pStyle w:val="NoSpacing"/>
            </w:pPr>
            <w:r w:rsidRPr="00690E98">
              <w:rPr>
                <w:i/>
                <w:iCs/>
              </w:rPr>
              <w:t xml:space="preserve">M </w:t>
            </w:r>
            <w:r w:rsidRPr="00690E98">
              <w:t>(</w:t>
            </w:r>
            <w:r w:rsidRPr="00690E98">
              <w:rPr>
                <w:i/>
                <w:iCs/>
              </w:rPr>
              <w:t>SD</w:t>
            </w:r>
            <w:r w:rsidRPr="00690E98">
              <w:t>)</w:t>
            </w:r>
          </w:p>
        </w:tc>
        <w:tc>
          <w:tcPr>
            <w:tcW w:w="0" w:type="auto"/>
          </w:tcPr>
          <w:p w14:paraId="066D2544" w14:textId="77777777" w:rsidR="00587067" w:rsidRPr="00690E98" w:rsidRDefault="00587067" w:rsidP="00587067">
            <w:pPr>
              <w:pStyle w:val="NoSpacing"/>
              <w:rPr>
                <w:i/>
                <w:iCs/>
              </w:rPr>
            </w:pPr>
            <w:r w:rsidRPr="00690E98">
              <w:rPr>
                <w:i/>
                <w:iCs/>
              </w:rPr>
              <w:t>p</w:t>
            </w:r>
          </w:p>
        </w:tc>
      </w:tr>
      <w:tr w:rsidR="00587067" w:rsidRPr="00690E98" w14:paraId="25C6E683" w14:textId="77777777" w:rsidTr="00F336B8">
        <w:trPr>
          <w:trHeight w:val="267"/>
        </w:trPr>
        <w:tc>
          <w:tcPr>
            <w:tcW w:w="0" w:type="auto"/>
          </w:tcPr>
          <w:p w14:paraId="1090964B" w14:textId="77777777" w:rsidR="00587067" w:rsidRPr="00690E98" w:rsidRDefault="00587067" w:rsidP="00587067">
            <w:pPr>
              <w:pStyle w:val="NoSpacing"/>
            </w:pPr>
            <w:r w:rsidRPr="00690E98">
              <w:t>Gender (% female)</w:t>
            </w:r>
          </w:p>
        </w:tc>
        <w:tc>
          <w:tcPr>
            <w:tcW w:w="0" w:type="auto"/>
          </w:tcPr>
          <w:p w14:paraId="15E28820" w14:textId="77777777" w:rsidR="00587067" w:rsidRPr="00690E98" w:rsidRDefault="00587067" w:rsidP="00587067">
            <w:pPr>
              <w:pStyle w:val="NoSpacing"/>
            </w:pPr>
            <w:r w:rsidRPr="00690E98">
              <w:t>64%</w:t>
            </w:r>
          </w:p>
        </w:tc>
        <w:tc>
          <w:tcPr>
            <w:tcW w:w="0" w:type="auto"/>
          </w:tcPr>
          <w:p w14:paraId="70A14A0F" w14:textId="77777777" w:rsidR="00587067" w:rsidRPr="00690E98" w:rsidRDefault="00587067" w:rsidP="00587067">
            <w:pPr>
              <w:pStyle w:val="NoSpacing"/>
            </w:pPr>
            <w:r w:rsidRPr="00690E98">
              <w:t>75%</w:t>
            </w:r>
          </w:p>
        </w:tc>
        <w:tc>
          <w:tcPr>
            <w:tcW w:w="0" w:type="auto"/>
          </w:tcPr>
          <w:p w14:paraId="6B5A54E5" w14:textId="77777777" w:rsidR="00587067" w:rsidRPr="00690E98" w:rsidRDefault="00587067" w:rsidP="00587067">
            <w:pPr>
              <w:pStyle w:val="NoSpacing"/>
            </w:pPr>
            <w:r w:rsidRPr="00690E98">
              <w:t>56%</w:t>
            </w:r>
          </w:p>
        </w:tc>
        <w:tc>
          <w:tcPr>
            <w:tcW w:w="0" w:type="auto"/>
          </w:tcPr>
          <w:p w14:paraId="0377CB82" w14:textId="77777777" w:rsidR="00587067" w:rsidRPr="00690E98" w:rsidRDefault="00587067" w:rsidP="00587067">
            <w:pPr>
              <w:pStyle w:val="NoSpacing"/>
            </w:pPr>
            <w:r w:rsidRPr="00690E98">
              <w:t>&lt;.001</w:t>
            </w:r>
          </w:p>
        </w:tc>
      </w:tr>
      <w:tr w:rsidR="00587067" w:rsidRPr="00690E98" w14:paraId="3200C9D2" w14:textId="77777777" w:rsidTr="00F336B8">
        <w:trPr>
          <w:trHeight w:val="180"/>
        </w:trPr>
        <w:tc>
          <w:tcPr>
            <w:tcW w:w="0" w:type="auto"/>
          </w:tcPr>
          <w:p w14:paraId="5A85F07A" w14:textId="77777777" w:rsidR="00587067" w:rsidRPr="00690E98" w:rsidRDefault="00587067" w:rsidP="00587067">
            <w:pPr>
              <w:pStyle w:val="NoSpacing"/>
            </w:pPr>
            <w:r w:rsidRPr="00690E98">
              <w:t>First-Generation</w:t>
            </w:r>
          </w:p>
        </w:tc>
        <w:tc>
          <w:tcPr>
            <w:tcW w:w="0" w:type="auto"/>
          </w:tcPr>
          <w:p w14:paraId="5F675DB2" w14:textId="77777777" w:rsidR="00587067" w:rsidRPr="00690E98" w:rsidRDefault="00587067" w:rsidP="00587067">
            <w:pPr>
              <w:pStyle w:val="NoSpacing"/>
            </w:pPr>
            <w:r w:rsidRPr="00690E98">
              <w:t>61%</w:t>
            </w:r>
          </w:p>
        </w:tc>
        <w:tc>
          <w:tcPr>
            <w:tcW w:w="0" w:type="auto"/>
          </w:tcPr>
          <w:p w14:paraId="758F0739" w14:textId="77777777" w:rsidR="00587067" w:rsidRPr="00690E98" w:rsidRDefault="00587067" w:rsidP="00587067">
            <w:pPr>
              <w:pStyle w:val="NoSpacing"/>
            </w:pPr>
            <w:r w:rsidRPr="00690E98">
              <w:t>49%</w:t>
            </w:r>
          </w:p>
        </w:tc>
        <w:tc>
          <w:tcPr>
            <w:tcW w:w="0" w:type="auto"/>
          </w:tcPr>
          <w:p w14:paraId="441E7025" w14:textId="77777777" w:rsidR="00587067" w:rsidRPr="00690E98" w:rsidRDefault="00587067" w:rsidP="00587067">
            <w:pPr>
              <w:pStyle w:val="NoSpacing"/>
            </w:pPr>
            <w:r w:rsidRPr="00690E98">
              <w:t>71%</w:t>
            </w:r>
          </w:p>
        </w:tc>
        <w:tc>
          <w:tcPr>
            <w:tcW w:w="0" w:type="auto"/>
          </w:tcPr>
          <w:p w14:paraId="5EC1204B" w14:textId="77777777" w:rsidR="00587067" w:rsidRPr="00690E98" w:rsidRDefault="00587067" w:rsidP="00587067">
            <w:pPr>
              <w:pStyle w:val="NoSpacing"/>
            </w:pPr>
            <w:r w:rsidRPr="00690E98">
              <w:t>&lt;.001</w:t>
            </w:r>
          </w:p>
        </w:tc>
      </w:tr>
      <w:tr w:rsidR="00587067" w:rsidRPr="00690E98" w14:paraId="1656E2DF" w14:textId="77777777" w:rsidTr="00F336B8">
        <w:trPr>
          <w:trHeight w:val="178"/>
        </w:trPr>
        <w:tc>
          <w:tcPr>
            <w:tcW w:w="0" w:type="auto"/>
          </w:tcPr>
          <w:p w14:paraId="634B3855" w14:textId="77777777" w:rsidR="00587067" w:rsidRPr="00690E98" w:rsidRDefault="00587067" w:rsidP="00587067">
            <w:pPr>
              <w:pStyle w:val="NoSpacing"/>
            </w:pPr>
            <w:r w:rsidRPr="00690E98">
              <w:t>Financial Distress</w:t>
            </w:r>
          </w:p>
        </w:tc>
        <w:tc>
          <w:tcPr>
            <w:tcW w:w="0" w:type="auto"/>
          </w:tcPr>
          <w:p w14:paraId="57BCF3D0" w14:textId="77777777" w:rsidR="00587067" w:rsidRPr="00690E98" w:rsidRDefault="00587067" w:rsidP="00587067">
            <w:pPr>
              <w:pStyle w:val="NoSpacing"/>
            </w:pPr>
            <w:r w:rsidRPr="00690E98">
              <w:t>1.89 (.86)</w:t>
            </w:r>
          </w:p>
        </w:tc>
        <w:tc>
          <w:tcPr>
            <w:tcW w:w="0" w:type="auto"/>
          </w:tcPr>
          <w:p w14:paraId="3365F3E9" w14:textId="77777777" w:rsidR="00587067" w:rsidRPr="00690E98" w:rsidRDefault="00587067" w:rsidP="00587067">
            <w:pPr>
              <w:pStyle w:val="NoSpacing"/>
            </w:pPr>
            <w:r w:rsidRPr="00690E98">
              <w:t>1.86 (0.86)</w:t>
            </w:r>
          </w:p>
        </w:tc>
        <w:tc>
          <w:tcPr>
            <w:tcW w:w="0" w:type="auto"/>
          </w:tcPr>
          <w:p w14:paraId="7B587001" w14:textId="77777777" w:rsidR="00587067" w:rsidRPr="00690E98" w:rsidRDefault="00587067" w:rsidP="00587067">
            <w:pPr>
              <w:pStyle w:val="NoSpacing"/>
            </w:pPr>
            <w:r w:rsidRPr="00690E98">
              <w:t>1.91 (0.86)</w:t>
            </w:r>
          </w:p>
        </w:tc>
        <w:tc>
          <w:tcPr>
            <w:tcW w:w="0" w:type="auto"/>
          </w:tcPr>
          <w:p w14:paraId="0ACDDAFD" w14:textId="77777777" w:rsidR="00587067" w:rsidRPr="00690E98" w:rsidRDefault="00587067" w:rsidP="00587067">
            <w:pPr>
              <w:pStyle w:val="NoSpacing"/>
            </w:pPr>
            <w:r w:rsidRPr="00690E98">
              <w:t>.51</w:t>
            </w:r>
          </w:p>
        </w:tc>
      </w:tr>
      <w:tr w:rsidR="00587067" w:rsidRPr="00690E98" w14:paraId="6AF2D0C5" w14:textId="77777777" w:rsidTr="00F336B8">
        <w:trPr>
          <w:trHeight w:val="180"/>
        </w:trPr>
        <w:tc>
          <w:tcPr>
            <w:tcW w:w="0" w:type="auto"/>
          </w:tcPr>
          <w:p w14:paraId="1E4A3904" w14:textId="77777777" w:rsidR="00587067" w:rsidRPr="00690E98" w:rsidRDefault="00587067" w:rsidP="00587067">
            <w:pPr>
              <w:pStyle w:val="NoSpacing"/>
            </w:pPr>
            <w:r w:rsidRPr="00690E98">
              <w:t>Political Efficacy</w:t>
            </w:r>
          </w:p>
        </w:tc>
        <w:tc>
          <w:tcPr>
            <w:tcW w:w="0" w:type="auto"/>
          </w:tcPr>
          <w:p w14:paraId="207A042E" w14:textId="77777777" w:rsidR="00587067" w:rsidRPr="00690E98" w:rsidRDefault="00587067" w:rsidP="00587067">
            <w:pPr>
              <w:pStyle w:val="NoSpacing"/>
            </w:pPr>
            <w:r w:rsidRPr="00690E98">
              <w:t>3.62 (.83)</w:t>
            </w:r>
          </w:p>
        </w:tc>
        <w:tc>
          <w:tcPr>
            <w:tcW w:w="0" w:type="auto"/>
          </w:tcPr>
          <w:p w14:paraId="6BDF2F75" w14:textId="77777777" w:rsidR="00587067" w:rsidRPr="00690E98" w:rsidRDefault="00587067" w:rsidP="00587067">
            <w:pPr>
              <w:pStyle w:val="NoSpacing"/>
            </w:pPr>
            <w:r w:rsidRPr="00690E98">
              <w:t>3.63 (0.86)</w:t>
            </w:r>
          </w:p>
        </w:tc>
        <w:tc>
          <w:tcPr>
            <w:tcW w:w="0" w:type="auto"/>
          </w:tcPr>
          <w:p w14:paraId="064FE13A" w14:textId="77777777" w:rsidR="00587067" w:rsidRPr="00690E98" w:rsidRDefault="00587067" w:rsidP="00587067">
            <w:pPr>
              <w:pStyle w:val="NoSpacing"/>
            </w:pPr>
            <w:r w:rsidRPr="00690E98">
              <w:t>3.61 (0.81)</w:t>
            </w:r>
          </w:p>
        </w:tc>
        <w:tc>
          <w:tcPr>
            <w:tcW w:w="0" w:type="auto"/>
          </w:tcPr>
          <w:p w14:paraId="41801D5A" w14:textId="77777777" w:rsidR="00587067" w:rsidRPr="00690E98" w:rsidRDefault="00587067" w:rsidP="00587067">
            <w:pPr>
              <w:pStyle w:val="NoSpacing"/>
            </w:pPr>
            <w:r w:rsidRPr="00690E98">
              <w:t>.72</w:t>
            </w:r>
          </w:p>
        </w:tc>
      </w:tr>
      <w:tr w:rsidR="00587067" w:rsidRPr="00690E98" w14:paraId="1F3F626B" w14:textId="77777777" w:rsidTr="00F336B8">
        <w:trPr>
          <w:trHeight w:val="180"/>
        </w:trPr>
        <w:tc>
          <w:tcPr>
            <w:tcW w:w="0" w:type="auto"/>
          </w:tcPr>
          <w:p w14:paraId="004015EC" w14:textId="77777777" w:rsidR="00587067" w:rsidRPr="00690E98" w:rsidRDefault="00587067" w:rsidP="00587067">
            <w:pPr>
              <w:pStyle w:val="NoSpacing"/>
            </w:pPr>
            <w:r w:rsidRPr="00690E98">
              <w:t>Political Activism</w:t>
            </w:r>
          </w:p>
        </w:tc>
        <w:tc>
          <w:tcPr>
            <w:tcW w:w="0" w:type="auto"/>
          </w:tcPr>
          <w:p w14:paraId="3595B80E" w14:textId="77777777" w:rsidR="00587067" w:rsidRPr="00690E98" w:rsidRDefault="00587067" w:rsidP="00587067">
            <w:pPr>
              <w:pStyle w:val="NoSpacing"/>
            </w:pPr>
            <w:r w:rsidRPr="00690E98">
              <w:t>1.59 (1.58)</w:t>
            </w:r>
          </w:p>
        </w:tc>
        <w:tc>
          <w:tcPr>
            <w:tcW w:w="0" w:type="auto"/>
          </w:tcPr>
          <w:p w14:paraId="0AADA922" w14:textId="77777777" w:rsidR="00587067" w:rsidRPr="00690E98" w:rsidRDefault="00587067" w:rsidP="00587067">
            <w:pPr>
              <w:pStyle w:val="NoSpacing"/>
            </w:pPr>
            <w:r w:rsidRPr="00690E98">
              <w:t>1.81 (1.68)</w:t>
            </w:r>
          </w:p>
        </w:tc>
        <w:tc>
          <w:tcPr>
            <w:tcW w:w="0" w:type="auto"/>
          </w:tcPr>
          <w:p w14:paraId="45CF9093" w14:textId="77777777" w:rsidR="00587067" w:rsidRPr="00690E98" w:rsidRDefault="00587067" w:rsidP="00587067">
            <w:pPr>
              <w:pStyle w:val="NoSpacing"/>
            </w:pPr>
            <w:r w:rsidRPr="00690E98">
              <w:t>1.41 (1.48)</w:t>
            </w:r>
          </w:p>
        </w:tc>
        <w:tc>
          <w:tcPr>
            <w:tcW w:w="0" w:type="auto"/>
          </w:tcPr>
          <w:p w14:paraId="46EA22A1" w14:textId="77777777" w:rsidR="00587067" w:rsidRPr="00690E98" w:rsidRDefault="00587067" w:rsidP="00587067">
            <w:pPr>
              <w:pStyle w:val="NoSpacing"/>
            </w:pPr>
            <w:r w:rsidRPr="00690E98">
              <w:t>.008</w:t>
            </w:r>
          </w:p>
        </w:tc>
      </w:tr>
      <w:tr w:rsidR="00587067" w:rsidRPr="00690E98" w14:paraId="65726F3E" w14:textId="77777777" w:rsidTr="00F336B8">
        <w:trPr>
          <w:trHeight w:val="180"/>
        </w:trPr>
        <w:tc>
          <w:tcPr>
            <w:tcW w:w="0" w:type="auto"/>
          </w:tcPr>
          <w:p w14:paraId="5DAF53DF" w14:textId="77777777" w:rsidR="00587067" w:rsidRPr="00690E98" w:rsidRDefault="00587067" w:rsidP="00587067">
            <w:pPr>
              <w:pStyle w:val="NoSpacing"/>
            </w:pPr>
            <w:r w:rsidRPr="00690E98">
              <w:t>SBREMA</w:t>
            </w:r>
          </w:p>
        </w:tc>
        <w:tc>
          <w:tcPr>
            <w:tcW w:w="0" w:type="auto"/>
          </w:tcPr>
          <w:p w14:paraId="2A318A46" w14:textId="77777777" w:rsidR="00587067" w:rsidRPr="00690E98" w:rsidRDefault="00587067" w:rsidP="00587067">
            <w:pPr>
              <w:pStyle w:val="NoSpacing"/>
            </w:pPr>
            <w:r w:rsidRPr="00690E98">
              <w:t>2.45 (2.70)</w:t>
            </w:r>
          </w:p>
        </w:tc>
        <w:tc>
          <w:tcPr>
            <w:tcW w:w="0" w:type="auto"/>
          </w:tcPr>
          <w:p w14:paraId="10941CA6" w14:textId="77777777" w:rsidR="00587067" w:rsidRPr="00690E98" w:rsidRDefault="00587067" w:rsidP="00587067">
            <w:pPr>
              <w:pStyle w:val="NoSpacing"/>
            </w:pPr>
            <w:r w:rsidRPr="00690E98">
              <w:t>2.93 (2.79)</w:t>
            </w:r>
          </w:p>
        </w:tc>
        <w:tc>
          <w:tcPr>
            <w:tcW w:w="0" w:type="auto"/>
          </w:tcPr>
          <w:p w14:paraId="5067A17C" w14:textId="77777777" w:rsidR="00587067" w:rsidRPr="00690E98" w:rsidRDefault="00587067" w:rsidP="00587067">
            <w:pPr>
              <w:pStyle w:val="NoSpacing"/>
            </w:pPr>
            <w:r w:rsidRPr="00690E98">
              <w:t>2.06 (2.57)</w:t>
            </w:r>
          </w:p>
        </w:tc>
        <w:tc>
          <w:tcPr>
            <w:tcW w:w="0" w:type="auto"/>
          </w:tcPr>
          <w:p w14:paraId="32AB01D7" w14:textId="77777777" w:rsidR="00587067" w:rsidRPr="00690E98" w:rsidRDefault="00587067" w:rsidP="00587067">
            <w:pPr>
              <w:pStyle w:val="NoSpacing"/>
            </w:pPr>
            <w:r w:rsidRPr="00690E98">
              <w:t>.001</w:t>
            </w:r>
          </w:p>
        </w:tc>
      </w:tr>
      <w:tr w:rsidR="00587067" w:rsidRPr="00690E98" w14:paraId="529A94CB" w14:textId="77777777" w:rsidTr="00F336B8">
        <w:trPr>
          <w:trHeight w:val="180"/>
        </w:trPr>
        <w:tc>
          <w:tcPr>
            <w:tcW w:w="0" w:type="auto"/>
          </w:tcPr>
          <w:p w14:paraId="72228B11" w14:textId="77777777" w:rsidR="00587067" w:rsidRPr="00690E98" w:rsidRDefault="00587067" w:rsidP="00587067">
            <w:pPr>
              <w:pStyle w:val="NoSpacing"/>
            </w:pPr>
            <w:r w:rsidRPr="00690E98">
              <w:t>Stress W1</w:t>
            </w:r>
          </w:p>
        </w:tc>
        <w:tc>
          <w:tcPr>
            <w:tcW w:w="0" w:type="auto"/>
          </w:tcPr>
          <w:p w14:paraId="323DFA72" w14:textId="77777777" w:rsidR="00587067" w:rsidRPr="00690E98" w:rsidRDefault="00587067" w:rsidP="00587067">
            <w:pPr>
              <w:pStyle w:val="NoSpacing"/>
            </w:pPr>
            <w:r w:rsidRPr="00690E98">
              <w:t>1.81 (0.61)</w:t>
            </w:r>
          </w:p>
        </w:tc>
        <w:tc>
          <w:tcPr>
            <w:tcW w:w="0" w:type="auto"/>
          </w:tcPr>
          <w:p w14:paraId="1F2A7D9E" w14:textId="77777777" w:rsidR="00587067" w:rsidRPr="00690E98" w:rsidRDefault="00587067" w:rsidP="00587067">
            <w:pPr>
              <w:pStyle w:val="NoSpacing"/>
            </w:pPr>
            <w:r w:rsidRPr="00690E98">
              <w:t>1.82 (0.61)</w:t>
            </w:r>
          </w:p>
        </w:tc>
        <w:tc>
          <w:tcPr>
            <w:tcW w:w="0" w:type="auto"/>
          </w:tcPr>
          <w:p w14:paraId="797DCEB2" w14:textId="77777777" w:rsidR="00587067" w:rsidRPr="00690E98" w:rsidRDefault="00587067" w:rsidP="00587067">
            <w:pPr>
              <w:pStyle w:val="NoSpacing"/>
            </w:pPr>
            <w:r w:rsidRPr="00690E98">
              <w:t>1.80 (0.61)</w:t>
            </w:r>
          </w:p>
        </w:tc>
        <w:tc>
          <w:tcPr>
            <w:tcW w:w="0" w:type="auto"/>
          </w:tcPr>
          <w:p w14:paraId="6A6F8051" w14:textId="77777777" w:rsidR="00587067" w:rsidRPr="00690E98" w:rsidRDefault="00587067" w:rsidP="00587067">
            <w:pPr>
              <w:pStyle w:val="NoSpacing"/>
            </w:pPr>
            <w:r w:rsidRPr="00690E98">
              <w:t>.83</w:t>
            </w:r>
          </w:p>
        </w:tc>
      </w:tr>
      <w:tr w:rsidR="00587067" w:rsidRPr="00690E98" w14:paraId="657AD6A5" w14:textId="77777777" w:rsidTr="00F336B8">
        <w:trPr>
          <w:trHeight w:val="180"/>
        </w:trPr>
        <w:tc>
          <w:tcPr>
            <w:tcW w:w="0" w:type="auto"/>
          </w:tcPr>
          <w:p w14:paraId="0F4B02C5" w14:textId="77777777" w:rsidR="00587067" w:rsidRPr="00690E98" w:rsidRDefault="00587067" w:rsidP="00587067">
            <w:pPr>
              <w:pStyle w:val="NoSpacing"/>
            </w:pPr>
            <w:r w:rsidRPr="00690E98">
              <w:t>Stress W3</w:t>
            </w:r>
          </w:p>
        </w:tc>
        <w:tc>
          <w:tcPr>
            <w:tcW w:w="0" w:type="auto"/>
          </w:tcPr>
          <w:p w14:paraId="4BB5FCEF" w14:textId="77777777" w:rsidR="00587067" w:rsidRPr="00690E98" w:rsidRDefault="00587067" w:rsidP="00587067">
            <w:pPr>
              <w:pStyle w:val="NoSpacing"/>
            </w:pPr>
            <w:r w:rsidRPr="00690E98">
              <w:t>1.77 (0.57)</w:t>
            </w:r>
          </w:p>
        </w:tc>
        <w:tc>
          <w:tcPr>
            <w:tcW w:w="0" w:type="auto"/>
          </w:tcPr>
          <w:p w14:paraId="04A31915" w14:textId="77777777" w:rsidR="00587067" w:rsidRPr="00690E98" w:rsidRDefault="00587067" w:rsidP="00587067">
            <w:pPr>
              <w:pStyle w:val="NoSpacing"/>
            </w:pPr>
            <w:r w:rsidRPr="00690E98">
              <w:t>1.81 (0.54)</w:t>
            </w:r>
          </w:p>
        </w:tc>
        <w:tc>
          <w:tcPr>
            <w:tcW w:w="0" w:type="auto"/>
          </w:tcPr>
          <w:p w14:paraId="7E783462" w14:textId="77777777" w:rsidR="00587067" w:rsidRPr="00690E98" w:rsidRDefault="00587067" w:rsidP="00587067">
            <w:pPr>
              <w:pStyle w:val="NoSpacing"/>
            </w:pPr>
            <w:r w:rsidRPr="00690E98">
              <w:t>1.72 (0.59)</w:t>
            </w:r>
          </w:p>
        </w:tc>
        <w:tc>
          <w:tcPr>
            <w:tcW w:w="0" w:type="auto"/>
          </w:tcPr>
          <w:p w14:paraId="647E89D7" w14:textId="77777777" w:rsidR="00587067" w:rsidRPr="00690E98" w:rsidRDefault="00587067" w:rsidP="00587067">
            <w:pPr>
              <w:pStyle w:val="NoSpacing"/>
            </w:pPr>
            <w:r w:rsidRPr="00690E98">
              <w:t>.09</w:t>
            </w:r>
          </w:p>
        </w:tc>
      </w:tr>
      <w:tr w:rsidR="00587067" w:rsidRPr="00690E98" w14:paraId="0C596B61" w14:textId="77777777" w:rsidTr="00F336B8">
        <w:trPr>
          <w:trHeight w:val="180"/>
        </w:trPr>
        <w:tc>
          <w:tcPr>
            <w:tcW w:w="0" w:type="auto"/>
          </w:tcPr>
          <w:p w14:paraId="3489541B" w14:textId="77777777" w:rsidR="00587067" w:rsidRPr="00690E98" w:rsidRDefault="00587067" w:rsidP="00587067">
            <w:pPr>
              <w:pStyle w:val="NoSpacing"/>
            </w:pPr>
            <w:r w:rsidRPr="00690E98">
              <w:t>Anxiety W1</w:t>
            </w:r>
          </w:p>
        </w:tc>
        <w:tc>
          <w:tcPr>
            <w:tcW w:w="0" w:type="auto"/>
          </w:tcPr>
          <w:p w14:paraId="136C5352" w14:textId="77777777" w:rsidR="00587067" w:rsidRPr="00690E98" w:rsidRDefault="00587067" w:rsidP="00587067">
            <w:pPr>
              <w:pStyle w:val="NoSpacing"/>
            </w:pPr>
            <w:r w:rsidRPr="00690E98">
              <w:t>3.35 (3.14)</w:t>
            </w:r>
          </w:p>
        </w:tc>
        <w:tc>
          <w:tcPr>
            <w:tcW w:w="0" w:type="auto"/>
          </w:tcPr>
          <w:p w14:paraId="52D5CACB" w14:textId="77777777" w:rsidR="00587067" w:rsidRPr="00690E98" w:rsidRDefault="00587067" w:rsidP="00587067">
            <w:pPr>
              <w:pStyle w:val="NoSpacing"/>
            </w:pPr>
            <w:r w:rsidRPr="00690E98">
              <w:t>3.37 (3.17)</w:t>
            </w:r>
          </w:p>
        </w:tc>
        <w:tc>
          <w:tcPr>
            <w:tcW w:w="0" w:type="auto"/>
          </w:tcPr>
          <w:p w14:paraId="7ADDA542" w14:textId="77777777" w:rsidR="00587067" w:rsidRPr="00690E98" w:rsidRDefault="00587067" w:rsidP="00587067">
            <w:pPr>
              <w:pStyle w:val="NoSpacing"/>
            </w:pPr>
            <w:r w:rsidRPr="00690E98">
              <w:t>3.33 (3.12)</w:t>
            </w:r>
          </w:p>
        </w:tc>
        <w:tc>
          <w:tcPr>
            <w:tcW w:w="0" w:type="auto"/>
          </w:tcPr>
          <w:p w14:paraId="2419C9A4" w14:textId="77777777" w:rsidR="00587067" w:rsidRPr="00690E98" w:rsidRDefault="00587067" w:rsidP="00587067">
            <w:pPr>
              <w:pStyle w:val="NoSpacing"/>
            </w:pPr>
            <w:r w:rsidRPr="00690E98">
              <w:t>.91</w:t>
            </w:r>
          </w:p>
        </w:tc>
      </w:tr>
      <w:tr w:rsidR="00587067" w:rsidRPr="00690E98" w14:paraId="74ECA0B8" w14:textId="77777777" w:rsidTr="00F336B8">
        <w:trPr>
          <w:trHeight w:val="180"/>
        </w:trPr>
        <w:tc>
          <w:tcPr>
            <w:tcW w:w="0" w:type="auto"/>
          </w:tcPr>
          <w:p w14:paraId="5D7910B3" w14:textId="77777777" w:rsidR="00587067" w:rsidRPr="00690E98" w:rsidRDefault="00587067" w:rsidP="00587067">
            <w:pPr>
              <w:pStyle w:val="NoSpacing"/>
            </w:pPr>
            <w:r w:rsidRPr="00690E98">
              <w:t>Anxiety W3</w:t>
            </w:r>
          </w:p>
        </w:tc>
        <w:tc>
          <w:tcPr>
            <w:tcW w:w="0" w:type="auto"/>
          </w:tcPr>
          <w:p w14:paraId="0882802B" w14:textId="77777777" w:rsidR="00587067" w:rsidRPr="00690E98" w:rsidRDefault="00587067" w:rsidP="00587067">
            <w:pPr>
              <w:pStyle w:val="NoSpacing"/>
            </w:pPr>
            <w:r w:rsidRPr="00690E98">
              <w:t>3.18 (3.23)</w:t>
            </w:r>
          </w:p>
        </w:tc>
        <w:tc>
          <w:tcPr>
            <w:tcW w:w="0" w:type="auto"/>
          </w:tcPr>
          <w:p w14:paraId="4E34B05E" w14:textId="77777777" w:rsidR="00587067" w:rsidRPr="00690E98" w:rsidRDefault="00587067" w:rsidP="00587067">
            <w:pPr>
              <w:pStyle w:val="NoSpacing"/>
            </w:pPr>
            <w:r w:rsidRPr="00690E98">
              <w:t>3.50 (3.34)</w:t>
            </w:r>
          </w:p>
        </w:tc>
        <w:tc>
          <w:tcPr>
            <w:tcW w:w="0" w:type="auto"/>
          </w:tcPr>
          <w:p w14:paraId="117E962E" w14:textId="77777777" w:rsidR="00587067" w:rsidRPr="00690E98" w:rsidRDefault="00587067" w:rsidP="00587067">
            <w:pPr>
              <w:pStyle w:val="NoSpacing"/>
            </w:pPr>
            <w:r w:rsidRPr="00690E98">
              <w:t>2.91 (3.12)</w:t>
            </w:r>
          </w:p>
        </w:tc>
        <w:tc>
          <w:tcPr>
            <w:tcW w:w="0" w:type="auto"/>
          </w:tcPr>
          <w:p w14:paraId="40541669" w14:textId="77777777" w:rsidR="00587067" w:rsidRPr="00690E98" w:rsidRDefault="00587067" w:rsidP="00587067">
            <w:pPr>
              <w:pStyle w:val="NoSpacing"/>
            </w:pPr>
            <w:r w:rsidRPr="00690E98">
              <w:t>.06</w:t>
            </w:r>
          </w:p>
        </w:tc>
      </w:tr>
      <w:tr w:rsidR="00587067" w:rsidRPr="00690E98" w14:paraId="3B495FBE" w14:textId="77777777" w:rsidTr="00F336B8">
        <w:trPr>
          <w:trHeight w:val="180"/>
        </w:trPr>
        <w:tc>
          <w:tcPr>
            <w:tcW w:w="0" w:type="auto"/>
          </w:tcPr>
          <w:p w14:paraId="34DEA63C" w14:textId="77777777" w:rsidR="00587067" w:rsidRPr="00690E98" w:rsidRDefault="00587067" w:rsidP="00587067">
            <w:pPr>
              <w:pStyle w:val="NoSpacing"/>
            </w:pPr>
            <w:r w:rsidRPr="00690E98">
              <w:t>DS W1</w:t>
            </w:r>
          </w:p>
        </w:tc>
        <w:tc>
          <w:tcPr>
            <w:tcW w:w="0" w:type="auto"/>
          </w:tcPr>
          <w:p w14:paraId="5C9C1B25" w14:textId="77777777" w:rsidR="00587067" w:rsidRPr="00690E98" w:rsidRDefault="00587067" w:rsidP="00587067">
            <w:pPr>
              <w:pStyle w:val="NoSpacing"/>
            </w:pPr>
            <w:r w:rsidRPr="00690E98">
              <w:t>0.86 (0.72)</w:t>
            </w:r>
          </w:p>
        </w:tc>
        <w:tc>
          <w:tcPr>
            <w:tcW w:w="0" w:type="auto"/>
          </w:tcPr>
          <w:p w14:paraId="49528829" w14:textId="77777777" w:rsidR="00587067" w:rsidRPr="00690E98" w:rsidRDefault="00587067" w:rsidP="00587067">
            <w:pPr>
              <w:pStyle w:val="NoSpacing"/>
            </w:pPr>
            <w:r w:rsidRPr="00690E98">
              <w:t>0.90 (0.75)</w:t>
            </w:r>
          </w:p>
        </w:tc>
        <w:tc>
          <w:tcPr>
            <w:tcW w:w="0" w:type="auto"/>
          </w:tcPr>
          <w:p w14:paraId="3CE0B5FC" w14:textId="77777777" w:rsidR="00587067" w:rsidRPr="00690E98" w:rsidRDefault="00587067" w:rsidP="00587067">
            <w:pPr>
              <w:pStyle w:val="NoSpacing"/>
            </w:pPr>
            <w:r w:rsidRPr="00690E98">
              <w:t>0.82 (0.70)</w:t>
            </w:r>
          </w:p>
        </w:tc>
        <w:tc>
          <w:tcPr>
            <w:tcW w:w="0" w:type="auto"/>
          </w:tcPr>
          <w:p w14:paraId="13B253E6" w14:textId="77777777" w:rsidR="00587067" w:rsidRPr="00690E98" w:rsidRDefault="00587067" w:rsidP="00587067">
            <w:pPr>
              <w:pStyle w:val="NoSpacing"/>
            </w:pPr>
            <w:r w:rsidRPr="00690E98">
              <w:t>.23</w:t>
            </w:r>
          </w:p>
        </w:tc>
      </w:tr>
      <w:tr w:rsidR="00587067" w:rsidRPr="00690E98" w14:paraId="7B8E6075" w14:textId="77777777" w:rsidTr="00F336B8">
        <w:trPr>
          <w:trHeight w:val="179"/>
        </w:trPr>
        <w:tc>
          <w:tcPr>
            <w:tcW w:w="0" w:type="auto"/>
          </w:tcPr>
          <w:p w14:paraId="08EAD6EA" w14:textId="77777777" w:rsidR="00587067" w:rsidRPr="00690E98" w:rsidRDefault="00587067" w:rsidP="00587067">
            <w:pPr>
              <w:pStyle w:val="NoSpacing"/>
            </w:pPr>
            <w:r w:rsidRPr="00690E98">
              <w:t>DS W3</w:t>
            </w:r>
          </w:p>
        </w:tc>
        <w:tc>
          <w:tcPr>
            <w:tcW w:w="0" w:type="auto"/>
          </w:tcPr>
          <w:p w14:paraId="34438F26" w14:textId="77777777" w:rsidR="00587067" w:rsidRPr="00690E98" w:rsidRDefault="00587067" w:rsidP="00587067">
            <w:pPr>
              <w:pStyle w:val="NoSpacing"/>
            </w:pPr>
            <w:r w:rsidRPr="00690E98">
              <w:t>0.77 (0.75)</w:t>
            </w:r>
          </w:p>
        </w:tc>
        <w:tc>
          <w:tcPr>
            <w:tcW w:w="0" w:type="auto"/>
          </w:tcPr>
          <w:p w14:paraId="492B73C1" w14:textId="77777777" w:rsidR="00587067" w:rsidRPr="00690E98" w:rsidRDefault="00587067" w:rsidP="00587067">
            <w:pPr>
              <w:pStyle w:val="NoSpacing"/>
            </w:pPr>
            <w:r w:rsidRPr="00690E98">
              <w:t>0.83 (0.75)</w:t>
            </w:r>
          </w:p>
        </w:tc>
        <w:tc>
          <w:tcPr>
            <w:tcW w:w="0" w:type="auto"/>
          </w:tcPr>
          <w:p w14:paraId="029FE74C" w14:textId="77777777" w:rsidR="00587067" w:rsidRPr="00690E98" w:rsidRDefault="00587067" w:rsidP="00587067">
            <w:pPr>
              <w:pStyle w:val="NoSpacing"/>
            </w:pPr>
            <w:r w:rsidRPr="00690E98">
              <w:t>0.73 (0.74)</w:t>
            </w:r>
          </w:p>
        </w:tc>
        <w:tc>
          <w:tcPr>
            <w:tcW w:w="0" w:type="auto"/>
          </w:tcPr>
          <w:p w14:paraId="4B78FCFD" w14:textId="77777777" w:rsidR="00587067" w:rsidRPr="00690E98" w:rsidRDefault="00587067" w:rsidP="00587067">
            <w:pPr>
              <w:pStyle w:val="NoSpacing"/>
            </w:pPr>
            <w:r w:rsidRPr="00690E98">
              <w:t>.19</w:t>
            </w:r>
          </w:p>
        </w:tc>
      </w:tr>
    </w:tbl>
    <w:p w14:paraId="60BF3540" w14:textId="77777777" w:rsidR="00D4111E" w:rsidRDefault="00BF2BC5" w:rsidP="006641CA">
      <w:r w:rsidRPr="00BF2BC5">
        <w:rPr>
          <w:i/>
          <w:iCs/>
        </w:rPr>
        <w:t>Note</w:t>
      </w:r>
      <w:r w:rsidRPr="00BF2BC5">
        <w:t>. DS = Depressive Symptoms, W1 = Wave 1, W3 = Wave 3.</w:t>
      </w:r>
    </w:p>
    <w:p w14:paraId="7EE08599" w14:textId="688F6915" w:rsidR="006641CA" w:rsidRPr="006641CA" w:rsidRDefault="006641CA" w:rsidP="006641CA">
      <w:r w:rsidRPr="006641CA">
        <w:t>Political efficacy and political activism had a small positive correlation for Black (</w:t>
      </w:r>
      <w:r w:rsidRPr="006641CA">
        <w:rPr>
          <w:i/>
          <w:iCs/>
        </w:rPr>
        <w:t>r</w:t>
      </w:r>
      <w:r w:rsidRPr="006641CA">
        <w:t> = .17, </w:t>
      </w:r>
      <w:r w:rsidRPr="006641CA">
        <w:rPr>
          <w:i/>
          <w:iCs/>
        </w:rPr>
        <w:t>p</w:t>
      </w:r>
      <w:r w:rsidRPr="006641CA">
        <w:t> &lt; .05) and Latinx students (</w:t>
      </w:r>
      <w:r w:rsidRPr="006641CA">
        <w:rPr>
          <w:i/>
          <w:iCs/>
        </w:rPr>
        <w:t>r</w:t>
      </w:r>
      <w:r w:rsidRPr="006641CA">
        <w:t> = .24, </w:t>
      </w:r>
      <w:r w:rsidRPr="006641CA">
        <w:rPr>
          <w:i/>
          <w:iCs/>
        </w:rPr>
        <w:t>p</w:t>
      </w:r>
      <w:r w:rsidRPr="006641CA">
        <w:t> &lt; .001). For Latinx students, political efficacy had a low negative correlation with stress at Wave 1 (</w:t>
      </w:r>
      <w:r w:rsidRPr="006641CA">
        <w:rPr>
          <w:i/>
          <w:iCs/>
        </w:rPr>
        <w:t>r</w:t>
      </w:r>
      <w:r w:rsidRPr="006641CA">
        <w:t> = −.15, </w:t>
      </w:r>
      <w:r w:rsidRPr="006641CA">
        <w:rPr>
          <w:i/>
          <w:iCs/>
        </w:rPr>
        <w:t>p</w:t>
      </w:r>
      <w:r w:rsidRPr="006641CA">
        <w:t> &lt; .05). For Black students, R/E microaggressions had a low positive correlation with depressive symptoms at Wave 1 (</w:t>
      </w:r>
      <w:r w:rsidRPr="006641CA">
        <w:rPr>
          <w:i/>
          <w:iCs/>
        </w:rPr>
        <w:t>r</w:t>
      </w:r>
      <w:r w:rsidRPr="006641CA">
        <w:t> = −.15, </w:t>
      </w:r>
      <w:r w:rsidRPr="006641CA">
        <w:rPr>
          <w:i/>
          <w:iCs/>
        </w:rPr>
        <w:t>p</w:t>
      </w:r>
      <w:r w:rsidRPr="006641CA">
        <w:t xml:space="preserve"> &lt; .05). For Latinx students, R/E microaggressions had a low positive correlation with </w:t>
      </w:r>
      <w:proofErr w:type="gramStart"/>
      <w:r w:rsidRPr="006641CA">
        <w:t>all of</w:t>
      </w:r>
      <w:proofErr w:type="gramEnd"/>
      <w:r w:rsidRPr="006641CA">
        <w:t xml:space="preserve"> the mental health indicators with the exception of anxiety at Wave 1. Political activism and R/E microaggressions had a low positive correlation for Black students (</w:t>
      </w:r>
      <w:r w:rsidRPr="006641CA">
        <w:rPr>
          <w:i/>
          <w:iCs/>
        </w:rPr>
        <w:t>r</w:t>
      </w:r>
      <w:r w:rsidRPr="006641CA">
        <w:t> = .20, </w:t>
      </w:r>
      <w:r w:rsidRPr="006641CA">
        <w:rPr>
          <w:i/>
          <w:iCs/>
        </w:rPr>
        <w:t>p</w:t>
      </w:r>
      <w:r w:rsidRPr="006641CA">
        <w:t> &lt; .01) and for Latinx students (</w:t>
      </w:r>
      <w:r w:rsidRPr="006641CA">
        <w:rPr>
          <w:i/>
          <w:iCs/>
        </w:rPr>
        <w:t>r</w:t>
      </w:r>
      <w:r w:rsidRPr="006641CA">
        <w:t> = .21, </w:t>
      </w:r>
      <w:r w:rsidRPr="006641CA">
        <w:rPr>
          <w:i/>
          <w:iCs/>
        </w:rPr>
        <w:t>p</w:t>
      </w:r>
      <w:r w:rsidRPr="006641CA">
        <w:t> &lt; .01). Mental health outcomes were all moderately and positively correlated with each other at Wave 1 and Wave 3 for both Black and Latinx students. Financial distress was also correlated with all mental health outcomes.</w:t>
      </w:r>
    </w:p>
    <w:p w14:paraId="06723A98" w14:textId="77777777" w:rsidR="006641CA" w:rsidRPr="006641CA" w:rsidRDefault="006641CA" w:rsidP="006641CA">
      <w:r w:rsidRPr="006641CA">
        <w:t>Analysis of variance revealed mean group differences in political activism and R/E microaggressions by race/ethnicity. Black students were engaged in more types of political activism (</w:t>
      </w:r>
      <w:r w:rsidRPr="006641CA">
        <w:rPr>
          <w:i/>
          <w:iCs/>
        </w:rPr>
        <w:t>M</w:t>
      </w:r>
      <w:r w:rsidRPr="006641CA">
        <w:t> = 1.81, </w:t>
      </w:r>
      <w:r w:rsidRPr="006641CA">
        <w:rPr>
          <w:i/>
          <w:iCs/>
        </w:rPr>
        <w:t>SD</w:t>
      </w:r>
      <w:r w:rsidRPr="006641CA">
        <w:t> = 1.68) than Latinx students (</w:t>
      </w:r>
      <w:r w:rsidRPr="006641CA">
        <w:rPr>
          <w:i/>
          <w:iCs/>
        </w:rPr>
        <w:t>M</w:t>
      </w:r>
      <w:r w:rsidRPr="006641CA">
        <w:t> = 1.41, </w:t>
      </w:r>
      <w:r w:rsidRPr="006641CA">
        <w:rPr>
          <w:i/>
          <w:iCs/>
        </w:rPr>
        <w:t>SD</w:t>
      </w:r>
      <w:r w:rsidRPr="006641CA">
        <w:t> = 1.48), </w:t>
      </w:r>
      <w:proofErr w:type="gramStart"/>
      <w:r w:rsidRPr="006641CA">
        <w:rPr>
          <w:i/>
          <w:iCs/>
        </w:rPr>
        <w:t>F</w:t>
      </w:r>
      <w:r w:rsidRPr="006641CA">
        <w:t>(</w:t>
      </w:r>
      <w:proofErr w:type="gramEnd"/>
      <w:r w:rsidRPr="006641CA">
        <w:t>1, 442) = 7.17, </w:t>
      </w:r>
      <w:r w:rsidRPr="006641CA">
        <w:rPr>
          <w:i/>
          <w:iCs/>
        </w:rPr>
        <w:t>p</w:t>
      </w:r>
      <w:r w:rsidRPr="006641CA">
        <w:t> = .008. Black students reported experiencing more R/E microaggressions during freshman year (</w:t>
      </w:r>
      <w:r w:rsidRPr="006641CA">
        <w:rPr>
          <w:i/>
          <w:iCs/>
        </w:rPr>
        <w:t>M</w:t>
      </w:r>
      <w:r w:rsidRPr="006641CA">
        <w:t> = 2.93, </w:t>
      </w:r>
      <w:r w:rsidRPr="006641CA">
        <w:rPr>
          <w:i/>
          <w:iCs/>
        </w:rPr>
        <w:t>SD</w:t>
      </w:r>
      <w:r w:rsidRPr="006641CA">
        <w:t> = 2.79) than Latinx students (</w:t>
      </w:r>
      <w:r w:rsidRPr="006641CA">
        <w:rPr>
          <w:i/>
          <w:iCs/>
        </w:rPr>
        <w:t>M</w:t>
      </w:r>
      <w:r w:rsidRPr="006641CA">
        <w:t> = 2.06, </w:t>
      </w:r>
      <w:r w:rsidRPr="006641CA">
        <w:rPr>
          <w:i/>
          <w:iCs/>
        </w:rPr>
        <w:t>SD</w:t>
      </w:r>
      <w:r w:rsidRPr="006641CA">
        <w:t> = 2.57), </w:t>
      </w:r>
      <w:proofErr w:type="gramStart"/>
      <w:r w:rsidRPr="006641CA">
        <w:rPr>
          <w:i/>
          <w:iCs/>
        </w:rPr>
        <w:t>F</w:t>
      </w:r>
      <w:r w:rsidRPr="006641CA">
        <w:t>(</w:t>
      </w:r>
      <w:proofErr w:type="gramEnd"/>
      <w:r w:rsidRPr="006641CA">
        <w:t>1, 411) = 10.91, </w:t>
      </w:r>
      <w:r w:rsidRPr="006641CA">
        <w:rPr>
          <w:i/>
          <w:iCs/>
        </w:rPr>
        <w:t>p</w:t>
      </w:r>
      <w:r w:rsidRPr="006641CA">
        <w:t> = .001. There were no mean group differences in mental health outcomes, financial distress, or political efficacy by race/ethnicity.</w:t>
      </w:r>
    </w:p>
    <w:p w14:paraId="673E7E02" w14:textId="77777777" w:rsidR="006641CA" w:rsidRPr="006641CA" w:rsidRDefault="006641CA" w:rsidP="00BF2BC5">
      <w:pPr>
        <w:pStyle w:val="Heading2"/>
      </w:pPr>
      <w:r w:rsidRPr="006641CA">
        <w:t>End of Freshman Year Stress</w:t>
      </w:r>
    </w:p>
    <w:p w14:paraId="6374F3AF" w14:textId="77777777" w:rsidR="006641CA" w:rsidRPr="006641CA" w:rsidRDefault="006641CA" w:rsidP="00BF2BC5">
      <w:pPr>
        <w:pStyle w:val="Heading3"/>
      </w:pPr>
      <w:r w:rsidRPr="006641CA">
        <w:t>Stress and Black students</w:t>
      </w:r>
    </w:p>
    <w:p w14:paraId="67968206" w14:textId="77777777" w:rsidR="00D4111E" w:rsidRDefault="006641CA" w:rsidP="00D4111E">
      <w:r w:rsidRPr="006641CA">
        <w:t>In Step 1, we entered each control variable into the regression model, which accounted for 27% of the variance in stress at the end of freshman year (see </w:t>
      </w:r>
      <w:r w:rsidRPr="00E20CA8">
        <w:t>Table 3</w:t>
      </w:r>
      <w:r w:rsidRPr="006641CA">
        <w:t>). Stress at the beginning of freshman year and financial distress were positively related to stress at the end of freshman year for Black students. In Step 2, we added political activism and R/E microaggressions to the model, which accounted for 29% of the variance in stress at the end of freshman year. Political activism was negatively related to stress; more political activism over freshman year was related to less stress at the end of freshman year. R/E microaggressions were positively related to stress; students who experienced more R/E microaggressions throughout freshman year reported more stress at the end of freshmen year. In Step 3, we tested the interaction between R/E microaggressions and political activism. The model accounted for 30% of the variance in stress at the end of freshman year and the interaction between political activism and R/E microaggressions was significant (see </w:t>
      </w:r>
      <w:r w:rsidRPr="00E20CA8">
        <w:t>Figure 1</w:t>
      </w:r>
      <w:r w:rsidRPr="006641CA">
        <w:t>). Simple slope analyses were conducted to probe the interaction. The relationship between R/E microaggressions and stress was significant at 1 </w:t>
      </w:r>
      <w:r w:rsidRPr="006641CA">
        <w:rPr>
          <w:i/>
          <w:iCs/>
        </w:rPr>
        <w:t>SD</w:t>
      </w:r>
      <w:r w:rsidRPr="006641CA">
        <w:t> above the mean of political activism (</w:t>
      </w:r>
      <w:r w:rsidRPr="006641CA">
        <w:rPr>
          <w:i/>
          <w:iCs/>
        </w:rPr>
        <w:t>B</w:t>
      </w:r>
      <w:r w:rsidRPr="006641CA">
        <w:t> = .06, </w:t>
      </w:r>
      <w:r w:rsidRPr="006641CA">
        <w:rPr>
          <w:i/>
          <w:iCs/>
        </w:rPr>
        <w:t>p</w:t>
      </w:r>
      <w:r w:rsidRPr="006641CA">
        <w:t> &lt; .001), at the mean level (</w:t>
      </w:r>
      <w:r w:rsidRPr="006641CA">
        <w:rPr>
          <w:i/>
          <w:iCs/>
        </w:rPr>
        <w:t>B</w:t>
      </w:r>
      <w:r w:rsidRPr="006641CA">
        <w:t> = .04, </w:t>
      </w:r>
      <w:r w:rsidRPr="006641CA">
        <w:rPr>
          <w:i/>
          <w:iCs/>
        </w:rPr>
        <w:t>p</w:t>
      </w:r>
      <w:r w:rsidRPr="006641CA">
        <w:t> &lt; .001), and at 1 </w:t>
      </w:r>
      <w:r w:rsidRPr="006641CA">
        <w:rPr>
          <w:i/>
          <w:iCs/>
        </w:rPr>
        <w:t>SD</w:t>
      </w:r>
      <w:r w:rsidRPr="006641CA">
        <w:t> below the mean of political activism (</w:t>
      </w:r>
      <w:r w:rsidRPr="006641CA">
        <w:rPr>
          <w:i/>
          <w:iCs/>
        </w:rPr>
        <w:t>B</w:t>
      </w:r>
      <w:r w:rsidRPr="006641CA">
        <w:t> = .02, </w:t>
      </w:r>
      <w:r w:rsidRPr="006641CA">
        <w:rPr>
          <w:i/>
          <w:iCs/>
        </w:rPr>
        <w:t>p</w:t>
      </w:r>
      <w:r w:rsidRPr="006641CA">
        <w:t> = .002). For each level of political activism, experiencing more R/E microaggressions throughout freshman year was related to higher levels of stress at the end of freshman year. The relationship between R/E microaggressions and stress was stronger for students who participated in more types of political activism.</w:t>
      </w:r>
    </w:p>
    <w:p w14:paraId="204FA4A1" w14:textId="309F3A90" w:rsidR="00480A80" w:rsidRPr="00D4111E" w:rsidRDefault="00270D39" w:rsidP="00D4111E">
      <w:pPr>
        <w:pStyle w:val="NoSpacing"/>
      </w:pPr>
      <w:r w:rsidRPr="00D4111E">
        <w:t xml:space="preserve">Table </w:t>
      </w:r>
      <w:r w:rsidR="00B93AC7" w:rsidRPr="00D4111E">
        <w:t>3</w:t>
      </w:r>
      <w:r w:rsidRPr="00D4111E">
        <w:t xml:space="preserve">. </w:t>
      </w:r>
      <w:r w:rsidR="006641CA" w:rsidRPr="00D4111E">
        <w:t>Multiple Regression Analyses Predicting Stress at the End of Freshman Year (Wave 3)</w:t>
      </w:r>
    </w:p>
    <w:tbl>
      <w:tblPr>
        <w:tblStyle w:val="TableGrid"/>
        <w:tblW w:w="0" w:type="auto"/>
        <w:tblLook w:val="04A0" w:firstRow="1" w:lastRow="0" w:firstColumn="1" w:lastColumn="0" w:noHBand="0" w:noVBand="1"/>
      </w:tblPr>
      <w:tblGrid>
        <w:gridCol w:w="616"/>
        <w:gridCol w:w="2698"/>
        <w:gridCol w:w="2280"/>
        <w:gridCol w:w="704"/>
        <w:gridCol w:w="2344"/>
        <w:gridCol w:w="704"/>
      </w:tblGrid>
      <w:tr w:rsidR="00136F29" w14:paraId="2375423D" w14:textId="77777777" w:rsidTr="00B429E9">
        <w:tc>
          <w:tcPr>
            <w:tcW w:w="0" w:type="auto"/>
          </w:tcPr>
          <w:p w14:paraId="5965925B" w14:textId="77777777" w:rsidR="00136F29" w:rsidRDefault="00136F29" w:rsidP="006641CA"/>
        </w:tc>
        <w:tc>
          <w:tcPr>
            <w:tcW w:w="0" w:type="auto"/>
          </w:tcPr>
          <w:p w14:paraId="28AC83FA" w14:textId="77777777" w:rsidR="00136F29" w:rsidRDefault="00136F29" w:rsidP="006641CA"/>
        </w:tc>
        <w:tc>
          <w:tcPr>
            <w:tcW w:w="0" w:type="auto"/>
          </w:tcPr>
          <w:p w14:paraId="7D4FDC44" w14:textId="2C4170F5" w:rsidR="00136F29" w:rsidRDefault="00DB7333" w:rsidP="006641CA">
            <w:r>
              <w:t>Black students (N=221)</w:t>
            </w:r>
          </w:p>
        </w:tc>
        <w:tc>
          <w:tcPr>
            <w:tcW w:w="0" w:type="auto"/>
          </w:tcPr>
          <w:p w14:paraId="7BC223B8" w14:textId="77777777" w:rsidR="00136F29" w:rsidRDefault="00136F29" w:rsidP="006641CA"/>
        </w:tc>
        <w:tc>
          <w:tcPr>
            <w:tcW w:w="0" w:type="auto"/>
          </w:tcPr>
          <w:p w14:paraId="61E15655" w14:textId="30D1DED0" w:rsidR="00136F29" w:rsidRDefault="00DB7333" w:rsidP="006641CA">
            <w:r>
              <w:t>Latinx students (N=283)</w:t>
            </w:r>
          </w:p>
        </w:tc>
        <w:tc>
          <w:tcPr>
            <w:tcW w:w="0" w:type="auto"/>
          </w:tcPr>
          <w:p w14:paraId="1CB9EAE6" w14:textId="77777777" w:rsidR="00136F29" w:rsidRDefault="00136F29" w:rsidP="006641CA"/>
        </w:tc>
      </w:tr>
      <w:tr w:rsidR="00136F29" w14:paraId="31C9602C" w14:textId="77777777" w:rsidTr="00B429E9">
        <w:tc>
          <w:tcPr>
            <w:tcW w:w="0" w:type="auto"/>
          </w:tcPr>
          <w:p w14:paraId="647AD8FA" w14:textId="58FFD23F" w:rsidR="00136F29" w:rsidRDefault="00136F29" w:rsidP="006641CA">
            <w:r>
              <w:t>Step</w:t>
            </w:r>
          </w:p>
        </w:tc>
        <w:tc>
          <w:tcPr>
            <w:tcW w:w="0" w:type="auto"/>
          </w:tcPr>
          <w:p w14:paraId="57E2DF36" w14:textId="3C706AC5" w:rsidR="00136F29" w:rsidRDefault="00136F29" w:rsidP="006641CA">
            <w:r>
              <w:t>Variable</w:t>
            </w:r>
          </w:p>
        </w:tc>
        <w:tc>
          <w:tcPr>
            <w:tcW w:w="0" w:type="auto"/>
          </w:tcPr>
          <w:p w14:paraId="359A0624" w14:textId="5AB32DC4" w:rsidR="00136F29" w:rsidRDefault="00136F29" w:rsidP="006641CA">
            <w:r>
              <w:t>B (SE)</w:t>
            </w:r>
          </w:p>
        </w:tc>
        <w:tc>
          <w:tcPr>
            <w:tcW w:w="0" w:type="auto"/>
          </w:tcPr>
          <w:p w14:paraId="70EA5FA7" w14:textId="220628F2" w:rsidR="00136F29" w:rsidRDefault="00DB7333" w:rsidP="006641CA">
            <w:r>
              <w:rPr>
                <w:rFonts w:cstheme="minorHAnsi"/>
              </w:rPr>
              <w:t>Β</w:t>
            </w:r>
          </w:p>
        </w:tc>
        <w:tc>
          <w:tcPr>
            <w:tcW w:w="0" w:type="auto"/>
          </w:tcPr>
          <w:p w14:paraId="6A647BEE" w14:textId="0F9FA5F7" w:rsidR="00136F29" w:rsidRDefault="00DB7333" w:rsidP="006641CA">
            <w:r>
              <w:t>B (SE)</w:t>
            </w:r>
          </w:p>
        </w:tc>
        <w:tc>
          <w:tcPr>
            <w:tcW w:w="0" w:type="auto"/>
          </w:tcPr>
          <w:p w14:paraId="2BF359D1" w14:textId="7AAEBD7C" w:rsidR="00136F29" w:rsidRDefault="00DB7333" w:rsidP="006641CA">
            <w:r>
              <w:rPr>
                <w:rFonts w:cstheme="minorHAnsi"/>
              </w:rPr>
              <w:t>β</w:t>
            </w:r>
          </w:p>
        </w:tc>
      </w:tr>
      <w:tr w:rsidR="00136F29" w14:paraId="589443CE" w14:textId="77777777" w:rsidTr="00B429E9">
        <w:tc>
          <w:tcPr>
            <w:tcW w:w="0" w:type="auto"/>
          </w:tcPr>
          <w:p w14:paraId="157B4922" w14:textId="7E5D9166" w:rsidR="00136F29" w:rsidRDefault="00DB7333" w:rsidP="006641CA">
            <w:r>
              <w:t>1</w:t>
            </w:r>
          </w:p>
        </w:tc>
        <w:tc>
          <w:tcPr>
            <w:tcW w:w="0" w:type="auto"/>
          </w:tcPr>
          <w:p w14:paraId="35B16C54" w14:textId="7E379FD1" w:rsidR="00136F29" w:rsidRPr="00A4703E" w:rsidRDefault="00A4703E" w:rsidP="006641CA">
            <w:pPr>
              <w:rPr>
                <w:vertAlign w:val="superscript"/>
              </w:rPr>
            </w:pPr>
            <w:r w:rsidRPr="00A4703E">
              <w:t xml:space="preserve">Stress Wave 1 </w:t>
            </w:r>
            <w:bookmarkStart w:id="7" w:name="Stress and Latinx students"/>
            <w:bookmarkEnd w:id="7"/>
          </w:p>
        </w:tc>
        <w:tc>
          <w:tcPr>
            <w:tcW w:w="0" w:type="auto"/>
          </w:tcPr>
          <w:p w14:paraId="72959739" w14:textId="36FB13DB" w:rsidR="00136F29" w:rsidRDefault="005C0194" w:rsidP="006641CA">
            <w:r w:rsidRPr="00A4703E">
              <w:t>.40 (.06)</w:t>
            </w:r>
          </w:p>
        </w:tc>
        <w:tc>
          <w:tcPr>
            <w:tcW w:w="0" w:type="auto"/>
          </w:tcPr>
          <w:p w14:paraId="6FD75533" w14:textId="6E19AAF1" w:rsidR="00136F29" w:rsidRDefault="005C0194" w:rsidP="006641CA">
            <w:r w:rsidRPr="00A4703E">
              <w:t>.45</w:t>
            </w:r>
            <w:r w:rsidRPr="00A4703E">
              <w:rPr>
                <w:vertAlign w:val="superscript"/>
              </w:rPr>
              <w:t>***</w:t>
            </w:r>
          </w:p>
        </w:tc>
        <w:tc>
          <w:tcPr>
            <w:tcW w:w="0" w:type="auto"/>
          </w:tcPr>
          <w:p w14:paraId="32EC6A28" w14:textId="15966B7B" w:rsidR="00136F29" w:rsidRDefault="005C0194" w:rsidP="006641CA">
            <w:r w:rsidRPr="00A4703E">
              <w:t>.45 (.08)</w:t>
            </w:r>
          </w:p>
        </w:tc>
        <w:tc>
          <w:tcPr>
            <w:tcW w:w="0" w:type="auto"/>
          </w:tcPr>
          <w:p w14:paraId="32B15846" w14:textId="657DBCD6" w:rsidR="00136F29" w:rsidRDefault="005C0194" w:rsidP="006641CA">
            <w:r w:rsidRPr="00A4703E">
              <w:t>.46</w:t>
            </w:r>
            <w:r w:rsidRPr="00A4703E">
              <w:rPr>
                <w:vertAlign w:val="superscript"/>
              </w:rPr>
              <w:t>***</w:t>
            </w:r>
          </w:p>
        </w:tc>
      </w:tr>
      <w:tr w:rsidR="00136F29" w14:paraId="38FEF009" w14:textId="77777777" w:rsidTr="00B429E9">
        <w:tc>
          <w:tcPr>
            <w:tcW w:w="0" w:type="auto"/>
          </w:tcPr>
          <w:p w14:paraId="4AFA0F86" w14:textId="77777777" w:rsidR="00136F29" w:rsidRDefault="00136F29" w:rsidP="006641CA"/>
        </w:tc>
        <w:tc>
          <w:tcPr>
            <w:tcW w:w="0" w:type="auto"/>
          </w:tcPr>
          <w:p w14:paraId="763271C6" w14:textId="463FCE11" w:rsidR="00136F29" w:rsidRDefault="00A4703E" w:rsidP="006641CA">
            <w:r w:rsidRPr="00A4703E">
              <w:t xml:space="preserve">Female </w:t>
            </w:r>
          </w:p>
        </w:tc>
        <w:tc>
          <w:tcPr>
            <w:tcW w:w="0" w:type="auto"/>
          </w:tcPr>
          <w:p w14:paraId="0843C0EE" w14:textId="18D14815" w:rsidR="00136F29" w:rsidRDefault="005C0194" w:rsidP="006641CA">
            <w:r w:rsidRPr="00A4703E">
              <w:t>.13 (.08)</w:t>
            </w:r>
          </w:p>
        </w:tc>
        <w:tc>
          <w:tcPr>
            <w:tcW w:w="0" w:type="auto"/>
          </w:tcPr>
          <w:p w14:paraId="2A4D11A6" w14:textId="446E14F8" w:rsidR="00136F29" w:rsidRDefault="005C0194" w:rsidP="006641CA">
            <w:r w:rsidRPr="00A4703E">
              <w:t>.11</w:t>
            </w:r>
          </w:p>
        </w:tc>
        <w:tc>
          <w:tcPr>
            <w:tcW w:w="0" w:type="auto"/>
          </w:tcPr>
          <w:p w14:paraId="69AAE711" w14:textId="6987ADEC" w:rsidR="00136F29" w:rsidRDefault="005C0194" w:rsidP="006641CA">
            <w:r w:rsidRPr="00A4703E">
              <w:t>.07 (.05)</w:t>
            </w:r>
          </w:p>
        </w:tc>
        <w:tc>
          <w:tcPr>
            <w:tcW w:w="0" w:type="auto"/>
          </w:tcPr>
          <w:p w14:paraId="5C6F683E" w14:textId="68AACBAA" w:rsidR="00136F29" w:rsidRDefault="005C0194" w:rsidP="006641CA">
            <w:r w:rsidRPr="00A4703E">
              <w:t>.06</w:t>
            </w:r>
          </w:p>
        </w:tc>
      </w:tr>
      <w:tr w:rsidR="00136F29" w14:paraId="234D3D37" w14:textId="77777777" w:rsidTr="00B429E9">
        <w:tc>
          <w:tcPr>
            <w:tcW w:w="0" w:type="auto"/>
          </w:tcPr>
          <w:p w14:paraId="274B571F" w14:textId="77777777" w:rsidR="00136F29" w:rsidRDefault="00136F29" w:rsidP="006641CA"/>
        </w:tc>
        <w:tc>
          <w:tcPr>
            <w:tcW w:w="0" w:type="auto"/>
          </w:tcPr>
          <w:p w14:paraId="105A0F8A" w14:textId="593C2259" w:rsidR="00136F29" w:rsidRPr="00276DF8" w:rsidRDefault="00276DF8" w:rsidP="006641CA">
            <w:pPr>
              <w:rPr>
                <w:vertAlign w:val="superscript"/>
              </w:rPr>
            </w:pPr>
            <w:r w:rsidRPr="00276DF8">
              <w:t xml:space="preserve">First-Generation </w:t>
            </w:r>
          </w:p>
        </w:tc>
        <w:tc>
          <w:tcPr>
            <w:tcW w:w="0" w:type="auto"/>
          </w:tcPr>
          <w:p w14:paraId="6A12DB5A" w14:textId="72FE9688" w:rsidR="00136F29" w:rsidRDefault="005C0194" w:rsidP="006641CA">
            <w:r w:rsidRPr="00276DF8">
              <w:t>.03 (.07)</w:t>
            </w:r>
          </w:p>
        </w:tc>
        <w:tc>
          <w:tcPr>
            <w:tcW w:w="0" w:type="auto"/>
          </w:tcPr>
          <w:p w14:paraId="7075EAB4" w14:textId="2379256A" w:rsidR="00136F29" w:rsidRDefault="005C0194" w:rsidP="006641CA">
            <w:r w:rsidRPr="00276DF8">
              <w:t>.03</w:t>
            </w:r>
          </w:p>
        </w:tc>
        <w:tc>
          <w:tcPr>
            <w:tcW w:w="0" w:type="auto"/>
          </w:tcPr>
          <w:p w14:paraId="76B9E184" w14:textId="5DCE81B6" w:rsidR="00136F29" w:rsidRDefault="005C0194" w:rsidP="006641CA">
            <w:r w:rsidRPr="00276DF8">
              <w:t>.11 (.04)</w:t>
            </w:r>
          </w:p>
        </w:tc>
        <w:tc>
          <w:tcPr>
            <w:tcW w:w="0" w:type="auto"/>
          </w:tcPr>
          <w:p w14:paraId="540D74F8" w14:textId="575B6584" w:rsidR="00136F29" w:rsidRDefault="005C0194" w:rsidP="006641CA">
            <w:r w:rsidRPr="00276DF8">
              <w:t>.09</w:t>
            </w:r>
            <w:r w:rsidRPr="00276DF8">
              <w:rPr>
                <w:vertAlign w:val="superscript"/>
              </w:rPr>
              <w:t>**</w:t>
            </w:r>
          </w:p>
        </w:tc>
      </w:tr>
      <w:tr w:rsidR="00136F29" w14:paraId="127B0B2D" w14:textId="77777777" w:rsidTr="00B429E9">
        <w:tc>
          <w:tcPr>
            <w:tcW w:w="0" w:type="auto"/>
          </w:tcPr>
          <w:p w14:paraId="653228C4" w14:textId="77777777" w:rsidR="00136F29" w:rsidRDefault="00136F29" w:rsidP="006641CA"/>
        </w:tc>
        <w:tc>
          <w:tcPr>
            <w:tcW w:w="0" w:type="auto"/>
          </w:tcPr>
          <w:p w14:paraId="5052D379" w14:textId="6EF44E70" w:rsidR="00136F29" w:rsidRPr="00276DF8" w:rsidRDefault="00276DF8" w:rsidP="006641CA">
            <w:pPr>
              <w:rPr>
                <w:vertAlign w:val="superscript"/>
              </w:rPr>
            </w:pPr>
            <w:r w:rsidRPr="00276DF8">
              <w:t xml:space="preserve">Financial Distress </w:t>
            </w:r>
          </w:p>
        </w:tc>
        <w:tc>
          <w:tcPr>
            <w:tcW w:w="0" w:type="auto"/>
          </w:tcPr>
          <w:p w14:paraId="1487B4DB" w14:textId="2D71FF92" w:rsidR="00136F29" w:rsidRDefault="005C0194" w:rsidP="006641CA">
            <w:r w:rsidRPr="00276DF8">
              <w:t>.08 (.04)</w:t>
            </w:r>
          </w:p>
        </w:tc>
        <w:tc>
          <w:tcPr>
            <w:tcW w:w="0" w:type="auto"/>
          </w:tcPr>
          <w:p w14:paraId="3531FE9D" w14:textId="4A74F403" w:rsidR="00136F29" w:rsidRDefault="005C0194" w:rsidP="006641CA">
            <w:r w:rsidRPr="00276DF8">
              <w:t>.13</w:t>
            </w:r>
            <w:r w:rsidRPr="00276DF8">
              <w:rPr>
                <w:vertAlign w:val="superscript"/>
              </w:rPr>
              <w:t>*</w:t>
            </w:r>
          </w:p>
        </w:tc>
        <w:tc>
          <w:tcPr>
            <w:tcW w:w="0" w:type="auto"/>
          </w:tcPr>
          <w:p w14:paraId="5A01AAB2" w14:textId="629E09BF" w:rsidR="00136F29" w:rsidRDefault="005C0194" w:rsidP="006641CA">
            <w:r w:rsidRPr="00276DF8">
              <w:t>.15 (.04)</w:t>
            </w:r>
          </w:p>
        </w:tc>
        <w:tc>
          <w:tcPr>
            <w:tcW w:w="0" w:type="auto"/>
          </w:tcPr>
          <w:p w14:paraId="0CFE4A74" w14:textId="58599D4D" w:rsidR="00136F29" w:rsidRDefault="005C0194" w:rsidP="006641CA">
            <w:r w:rsidRPr="00276DF8">
              <w:t>.22</w:t>
            </w:r>
            <w:r w:rsidRPr="00276DF8">
              <w:rPr>
                <w:vertAlign w:val="superscript"/>
              </w:rPr>
              <w:t>***</w:t>
            </w:r>
          </w:p>
        </w:tc>
      </w:tr>
      <w:tr w:rsidR="00136F29" w14:paraId="746B8C4C" w14:textId="77777777" w:rsidTr="00B429E9">
        <w:tc>
          <w:tcPr>
            <w:tcW w:w="0" w:type="auto"/>
          </w:tcPr>
          <w:p w14:paraId="15687852" w14:textId="77777777" w:rsidR="00136F29" w:rsidRDefault="00136F29" w:rsidP="006641CA"/>
        </w:tc>
        <w:tc>
          <w:tcPr>
            <w:tcW w:w="0" w:type="auto"/>
          </w:tcPr>
          <w:p w14:paraId="63DC9364" w14:textId="23ECA8B5" w:rsidR="00136F29" w:rsidRDefault="00276DF8" w:rsidP="006641CA">
            <w:r w:rsidRPr="00276DF8">
              <w:t xml:space="preserve">Political Efficacy                                    </w:t>
            </w:r>
          </w:p>
        </w:tc>
        <w:tc>
          <w:tcPr>
            <w:tcW w:w="0" w:type="auto"/>
          </w:tcPr>
          <w:p w14:paraId="200F469C" w14:textId="4910F874" w:rsidR="00136F29" w:rsidRDefault="005C0194" w:rsidP="006641CA">
            <w:r w:rsidRPr="00276DF8">
              <w:t>-.02 (.04)</w:t>
            </w:r>
          </w:p>
        </w:tc>
        <w:tc>
          <w:tcPr>
            <w:tcW w:w="0" w:type="auto"/>
          </w:tcPr>
          <w:p w14:paraId="05149C00" w14:textId="785DC17E" w:rsidR="00136F29" w:rsidRDefault="005C0194" w:rsidP="006641CA">
            <w:r w:rsidRPr="00276DF8">
              <w:t>-.03</w:t>
            </w:r>
          </w:p>
        </w:tc>
        <w:tc>
          <w:tcPr>
            <w:tcW w:w="0" w:type="auto"/>
          </w:tcPr>
          <w:p w14:paraId="02B170DD" w14:textId="366A0601" w:rsidR="00136F29" w:rsidRDefault="005C0194" w:rsidP="006641CA">
            <w:r w:rsidRPr="00276DF8">
              <w:t>-.05 (.03)</w:t>
            </w:r>
          </w:p>
        </w:tc>
        <w:tc>
          <w:tcPr>
            <w:tcW w:w="0" w:type="auto"/>
          </w:tcPr>
          <w:p w14:paraId="6C437EFC" w14:textId="163C4BAA" w:rsidR="00136F29" w:rsidRDefault="005C0194" w:rsidP="006641CA">
            <w:r w:rsidRPr="00276DF8">
              <w:t>-.07</w:t>
            </w:r>
          </w:p>
        </w:tc>
      </w:tr>
      <w:tr w:rsidR="00A4703E" w14:paraId="7EFEA6CA" w14:textId="77777777" w:rsidTr="00B429E9">
        <w:tc>
          <w:tcPr>
            <w:tcW w:w="0" w:type="auto"/>
          </w:tcPr>
          <w:p w14:paraId="683E491F" w14:textId="77777777" w:rsidR="00A4703E" w:rsidRDefault="00A4703E" w:rsidP="006641CA"/>
        </w:tc>
        <w:tc>
          <w:tcPr>
            <w:tcW w:w="0" w:type="auto"/>
          </w:tcPr>
          <w:p w14:paraId="38881B8E" w14:textId="6A8168C8" w:rsidR="00A4703E" w:rsidRDefault="00DF0D0B" w:rsidP="006641CA">
            <w:r>
              <w:t>R</w:t>
            </w:r>
            <w:r w:rsidRPr="00DF0D0B">
              <w:rPr>
                <w:vertAlign w:val="superscript"/>
              </w:rPr>
              <w:t>2</w:t>
            </w:r>
          </w:p>
        </w:tc>
        <w:tc>
          <w:tcPr>
            <w:tcW w:w="0" w:type="auto"/>
          </w:tcPr>
          <w:p w14:paraId="5895E2A3" w14:textId="7572B91D" w:rsidR="00A4703E" w:rsidRDefault="00DF0D0B" w:rsidP="006641CA">
            <w:r>
              <w:t>.27</w:t>
            </w:r>
          </w:p>
        </w:tc>
        <w:tc>
          <w:tcPr>
            <w:tcW w:w="0" w:type="auto"/>
          </w:tcPr>
          <w:p w14:paraId="09246F12" w14:textId="77777777" w:rsidR="00A4703E" w:rsidRDefault="00A4703E" w:rsidP="006641CA"/>
        </w:tc>
        <w:tc>
          <w:tcPr>
            <w:tcW w:w="0" w:type="auto"/>
          </w:tcPr>
          <w:p w14:paraId="55C5AF93" w14:textId="3A56B840" w:rsidR="00A4703E" w:rsidRDefault="00DF0D0B" w:rsidP="006641CA">
            <w:r>
              <w:t>.32</w:t>
            </w:r>
          </w:p>
        </w:tc>
        <w:tc>
          <w:tcPr>
            <w:tcW w:w="0" w:type="auto"/>
          </w:tcPr>
          <w:p w14:paraId="1BED706C" w14:textId="77777777" w:rsidR="00A4703E" w:rsidRDefault="00A4703E" w:rsidP="006641CA"/>
        </w:tc>
      </w:tr>
      <w:tr w:rsidR="00A4703E" w14:paraId="581D278D" w14:textId="77777777" w:rsidTr="00B429E9">
        <w:tc>
          <w:tcPr>
            <w:tcW w:w="0" w:type="auto"/>
          </w:tcPr>
          <w:p w14:paraId="2B5BA60D" w14:textId="2BE74618" w:rsidR="00A4703E" w:rsidRDefault="00DF0D0B" w:rsidP="006641CA">
            <w:r>
              <w:t>2</w:t>
            </w:r>
          </w:p>
        </w:tc>
        <w:tc>
          <w:tcPr>
            <w:tcW w:w="0" w:type="auto"/>
          </w:tcPr>
          <w:p w14:paraId="75FE0847" w14:textId="62077530" w:rsidR="00A4703E" w:rsidRPr="00CE727F" w:rsidRDefault="00CE727F" w:rsidP="006641CA">
            <w:pPr>
              <w:rPr>
                <w:vertAlign w:val="superscript"/>
              </w:rPr>
            </w:pPr>
            <w:r w:rsidRPr="00CE727F">
              <w:t xml:space="preserve">Stress Wave 1 </w:t>
            </w:r>
          </w:p>
        </w:tc>
        <w:tc>
          <w:tcPr>
            <w:tcW w:w="0" w:type="auto"/>
          </w:tcPr>
          <w:p w14:paraId="2D90778B" w14:textId="53278EAC" w:rsidR="00A4703E" w:rsidRDefault="00D96BDB" w:rsidP="006641CA">
            <w:r w:rsidRPr="00CE727F">
              <w:t>.39 (.08)</w:t>
            </w:r>
          </w:p>
        </w:tc>
        <w:tc>
          <w:tcPr>
            <w:tcW w:w="0" w:type="auto"/>
          </w:tcPr>
          <w:p w14:paraId="1A46CAC4" w14:textId="46EE83CB" w:rsidR="00A4703E" w:rsidRDefault="00D96BDB" w:rsidP="006641CA">
            <w:r w:rsidRPr="00CE727F">
              <w:t>.45</w:t>
            </w:r>
            <w:r w:rsidRPr="00CE727F">
              <w:rPr>
                <w:vertAlign w:val="superscript"/>
              </w:rPr>
              <w:t>***</w:t>
            </w:r>
          </w:p>
        </w:tc>
        <w:tc>
          <w:tcPr>
            <w:tcW w:w="0" w:type="auto"/>
          </w:tcPr>
          <w:p w14:paraId="28DD8EAE" w14:textId="596A042C" w:rsidR="00A4703E" w:rsidRDefault="00D96BDB" w:rsidP="006641CA">
            <w:r w:rsidRPr="00CE727F">
              <w:t>.44 (.08)</w:t>
            </w:r>
          </w:p>
        </w:tc>
        <w:tc>
          <w:tcPr>
            <w:tcW w:w="0" w:type="auto"/>
          </w:tcPr>
          <w:p w14:paraId="56B77C01" w14:textId="0B9E0369" w:rsidR="00A4703E" w:rsidRDefault="00D96BDB" w:rsidP="006641CA">
            <w:r w:rsidRPr="00CE727F">
              <w:t>.45</w:t>
            </w:r>
            <w:r w:rsidRPr="00CE727F">
              <w:rPr>
                <w:vertAlign w:val="superscript"/>
              </w:rPr>
              <w:t>***</w:t>
            </w:r>
          </w:p>
        </w:tc>
      </w:tr>
      <w:tr w:rsidR="00A4703E" w14:paraId="42A0CECA" w14:textId="77777777" w:rsidTr="00B429E9">
        <w:tc>
          <w:tcPr>
            <w:tcW w:w="0" w:type="auto"/>
          </w:tcPr>
          <w:p w14:paraId="32385D7C" w14:textId="77777777" w:rsidR="00A4703E" w:rsidRDefault="00A4703E" w:rsidP="006641CA"/>
        </w:tc>
        <w:tc>
          <w:tcPr>
            <w:tcW w:w="0" w:type="auto"/>
          </w:tcPr>
          <w:p w14:paraId="37673A96" w14:textId="4033F556" w:rsidR="00A4703E" w:rsidRDefault="00CE727F" w:rsidP="006641CA">
            <w:r w:rsidRPr="00CE727F">
              <w:t>Female</w:t>
            </w:r>
          </w:p>
        </w:tc>
        <w:tc>
          <w:tcPr>
            <w:tcW w:w="0" w:type="auto"/>
          </w:tcPr>
          <w:p w14:paraId="0E3F4C7C" w14:textId="2457B757" w:rsidR="00A4703E" w:rsidRDefault="00D96BDB" w:rsidP="006641CA">
            <w:r w:rsidRPr="00CE727F">
              <w:t>.11 (.09</w:t>
            </w:r>
            <w:r w:rsidR="00BE52C0">
              <w:t>)</w:t>
            </w:r>
          </w:p>
        </w:tc>
        <w:tc>
          <w:tcPr>
            <w:tcW w:w="0" w:type="auto"/>
          </w:tcPr>
          <w:p w14:paraId="2D65E92B" w14:textId="22A67767" w:rsidR="00A4703E" w:rsidRDefault="00D96BDB" w:rsidP="006641CA">
            <w:r w:rsidRPr="00CE727F">
              <w:t>.09</w:t>
            </w:r>
          </w:p>
        </w:tc>
        <w:tc>
          <w:tcPr>
            <w:tcW w:w="0" w:type="auto"/>
          </w:tcPr>
          <w:p w14:paraId="39AEF256" w14:textId="039809E0" w:rsidR="00A4703E" w:rsidRDefault="00D96BDB" w:rsidP="006641CA">
            <w:r w:rsidRPr="00CE727F">
              <w:t>.06 (.06)</w:t>
            </w:r>
          </w:p>
        </w:tc>
        <w:tc>
          <w:tcPr>
            <w:tcW w:w="0" w:type="auto"/>
          </w:tcPr>
          <w:p w14:paraId="07938D4F" w14:textId="6365B709" w:rsidR="00A4703E" w:rsidRDefault="00D96BDB" w:rsidP="006641CA">
            <w:r w:rsidRPr="00CE727F">
              <w:t>.05</w:t>
            </w:r>
          </w:p>
        </w:tc>
      </w:tr>
      <w:tr w:rsidR="00A4703E" w14:paraId="4D5C093F" w14:textId="77777777" w:rsidTr="00B429E9">
        <w:tc>
          <w:tcPr>
            <w:tcW w:w="0" w:type="auto"/>
          </w:tcPr>
          <w:p w14:paraId="7C04D42F" w14:textId="77777777" w:rsidR="00A4703E" w:rsidRDefault="00A4703E" w:rsidP="006641CA"/>
        </w:tc>
        <w:tc>
          <w:tcPr>
            <w:tcW w:w="0" w:type="auto"/>
          </w:tcPr>
          <w:p w14:paraId="604D1592" w14:textId="09D19392" w:rsidR="00A4703E" w:rsidRPr="007E016D" w:rsidRDefault="007E016D" w:rsidP="006641CA">
            <w:pPr>
              <w:rPr>
                <w:vertAlign w:val="superscript"/>
              </w:rPr>
            </w:pPr>
            <w:r w:rsidRPr="007E016D">
              <w:t xml:space="preserve">First-Generation </w:t>
            </w:r>
          </w:p>
        </w:tc>
        <w:tc>
          <w:tcPr>
            <w:tcW w:w="0" w:type="auto"/>
          </w:tcPr>
          <w:p w14:paraId="08415DAE" w14:textId="4816FBAA" w:rsidR="00A4703E" w:rsidRDefault="00D96BDB" w:rsidP="006641CA">
            <w:r w:rsidRPr="007E016D">
              <w:t>.05 (.07)</w:t>
            </w:r>
          </w:p>
        </w:tc>
        <w:tc>
          <w:tcPr>
            <w:tcW w:w="0" w:type="auto"/>
          </w:tcPr>
          <w:p w14:paraId="4EB3954E" w14:textId="762227E2" w:rsidR="00A4703E" w:rsidRDefault="00D96BDB" w:rsidP="006641CA">
            <w:r w:rsidRPr="007E016D">
              <w:t>.04</w:t>
            </w:r>
          </w:p>
        </w:tc>
        <w:tc>
          <w:tcPr>
            <w:tcW w:w="0" w:type="auto"/>
          </w:tcPr>
          <w:p w14:paraId="5A73BAE9" w14:textId="31A0A8E5" w:rsidR="00A4703E" w:rsidRDefault="00D96BDB" w:rsidP="006641CA">
            <w:r w:rsidRPr="007E016D">
              <w:t>.11 (.04)</w:t>
            </w:r>
          </w:p>
        </w:tc>
        <w:tc>
          <w:tcPr>
            <w:tcW w:w="0" w:type="auto"/>
          </w:tcPr>
          <w:p w14:paraId="24D653DD" w14:textId="2A97E69A" w:rsidR="00A4703E" w:rsidRDefault="00D96BDB" w:rsidP="006641CA">
            <w:r w:rsidRPr="007E016D">
              <w:t>.09</w:t>
            </w:r>
            <w:r w:rsidRPr="007E016D">
              <w:rPr>
                <w:vertAlign w:val="superscript"/>
              </w:rPr>
              <w:t>*</w:t>
            </w:r>
          </w:p>
        </w:tc>
      </w:tr>
      <w:tr w:rsidR="00A4703E" w14:paraId="1F4DCA38" w14:textId="77777777" w:rsidTr="00B429E9">
        <w:tc>
          <w:tcPr>
            <w:tcW w:w="0" w:type="auto"/>
          </w:tcPr>
          <w:p w14:paraId="5A0CAEFC" w14:textId="77777777" w:rsidR="00A4703E" w:rsidRDefault="00A4703E" w:rsidP="006641CA"/>
        </w:tc>
        <w:tc>
          <w:tcPr>
            <w:tcW w:w="0" w:type="auto"/>
          </w:tcPr>
          <w:p w14:paraId="33A1D2F0" w14:textId="30923AA4" w:rsidR="00A4703E" w:rsidRPr="0096365D" w:rsidRDefault="0096365D" w:rsidP="006641CA">
            <w:pPr>
              <w:rPr>
                <w:vertAlign w:val="superscript"/>
              </w:rPr>
            </w:pPr>
            <w:r w:rsidRPr="0096365D">
              <w:t xml:space="preserve">Financial Distress </w:t>
            </w:r>
          </w:p>
        </w:tc>
        <w:tc>
          <w:tcPr>
            <w:tcW w:w="0" w:type="auto"/>
          </w:tcPr>
          <w:p w14:paraId="62260F69" w14:textId="74E06F88" w:rsidR="00A4703E" w:rsidRDefault="00D96BDB" w:rsidP="006641CA">
            <w:r w:rsidRPr="0096365D">
              <w:t>.08 (.02)</w:t>
            </w:r>
          </w:p>
        </w:tc>
        <w:tc>
          <w:tcPr>
            <w:tcW w:w="0" w:type="auto"/>
          </w:tcPr>
          <w:p w14:paraId="692A2142" w14:textId="6B8715ED" w:rsidR="00A4703E" w:rsidRDefault="00D96BDB" w:rsidP="006641CA">
            <w:r w:rsidRPr="0096365D">
              <w:t>.13</w:t>
            </w:r>
            <w:r w:rsidRPr="0096365D">
              <w:rPr>
                <w:vertAlign w:val="superscript"/>
              </w:rPr>
              <w:t>***</w:t>
            </w:r>
          </w:p>
        </w:tc>
        <w:tc>
          <w:tcPr>
            <w:tcW w:w="0" w:type="auto"/>
          </w:tcPr>
          <w:p w14:paraId="104AD352" w14:textId="6ECBCF5D" w:rsidR="00A4703E" w:rsidRDefault="00D96BDB" w:rsidP="006641CA">
            <w:r w:rsidRPr="0096365D">
              <w:t>.14 (.03)</w:t>
            </w:r>
          </w:p>
        </w:tc>
        <w:tc>
          <w:tcPr>
            <w:tcW w:w="0" w:type="auto"/>
          </w:tcPr>
          <w:p w14:paraId="2199AB4F" w14:textId="47BAFF7D" w:rsidR="00A4703E" w:rsidRDefault="00D96BDB" w:rsidP="006641CA">
            <w:r w:rsidRPr="0096365D">
              <w:t>.21</w:t>
            </w:r>
            <w:r w:rsidRPr="0096365D">
              <w:rPr>
                <w:vertAlign w:val="superscript"/>
              </w:rPr>
              <w:t>***</w:t>
            </w:r>
          </w:p>
        </w:tc>
      </w:tr>
      <w:tr w:rsidR="00A4703E" w14:paraId="3EAAFF92" w14:textId="77777777" w:rsidTr="00B429E9">
        <w:tc>
          <w:tcPr>
            <w:tcW w:w="0" w:type="auto"/>
          </w:tcPr>
          <w:p w14:paraId="572816FB" w14:textId="77777777" w:rsidR="00A4703E" w:rsidRDefault="00A4703E" w:rsidP="006641CA"/>
        </w:tc>
        <w:tc>
          <w:tcPr>
            <w:tcW w:w="0" w:type="auto"/>
          </w:tcPr>
          <w:p w14:paraId="38068B5A" w14:textId="215F8982" w:rsidR="00A4703E" w:rsidRDefault="0096365D" w:rsidP="006641CA">
            <w:r w:rsidRPr="0096365D">
              <w:t xml:space="preserve">Political Efficacy                                    </w:t>
            </w:r>
          </w:p>
        </w:tc>
        <w:tc>
          <w:tcPr>
            <w:tcW w:w="0" w:type="auto"/>
          </w:tcPr>
          <w:p w14:paraId="6E1CD24F" w14:textId="692B0A2E" w:rsidR="00A4703E" w:rsidRDefault="0004017D" w:rsidP="006641CA">
            <w:r w:rsidRPr="0096365D">
              <w:t>-.01 (.07)</w:t>
            </w:r>
          </w:p>
        </w:tc>
        <w:tc>
          <w:tcPr>
            <w:tcW w:w="0" w:type="auto"/>
          </w:tcPr>
          <w:p w14:paraId="62BD2000" w14:textId="1A8E7EDB" w:rsidR="00A4703E" w:rsidRDefault="0004017D" w:rsidP="006641CA">
            <w:r w:rsidRPr="0096365D">
              <w:t xml:space="preserve">-.01  </w:t>
            </w:r>
          </w:p>
        </w:tc>
        <w:tc>
          <w:tcPr>
            <w:tcW w:w="0" w:type="auto"/>
          </w:tcPr>
          <w:p w14:paraId="0C819138" w14:textId="2BB01C98" w:rsidR="00A4703E" w:rsidRDefault="0004017D" w:rsidP="006641CA">
            <w:r w:rsidRPr="0096365D">
              <w:t>-.06 (.03)</w:t>
            </w:r>
          </w:p>
        </w:tc>
        <w:tc>
          <w:tcPr>
            <w:tcW w:w="0" w:type="auto"/>
          </w:tcPr>
          <w:p w14:paraId="61ACD66D" w14:textId="278E4E0B" w:rsidR="00A4703E" w:rsidRDefault="00D96BDB" w:rsidP="006641CA">
            <w:r w:rsidRPr="0096365D">
              <w:t>-.08</w:t>
            </w:r>
          </w:p>
        </w:tc>
      </w:tr>
      <w:tr w:rsidR="00A4703E" w14:paraId="5D9FC039" w14:textId="77777777" w:rsidTr="00B429E9">
        <w:tc>
          <w:tcPr>
            <w:tcW w:w="0" w:type="auto"/>
          </w:tcPr>
          <w:p w14:paraId="322CF5C5" w14:textId="77777777" w:rsidR="00A4703E" w:rsidRDefault="00A4703E" w:rsidP="006641CA"/>
        </w:tc>
        <w:tc>
          <w:tcPr>
            <w:tcW w:w="0" w:type="auto"/>
          </w:tcPr>
          <w:p w14:paraId="01DD619C" w14:textId="2367C656" w:rsidR="00A4703E" w:rsidRDefault="0096365D" w:rsidP="006641CA">
            <w:r w:rsidRPr="0096365D">
              <w:t xml:space="preserve">Political Activism </w:t>
            </w:r>
          </w:p>
        </w:tc>
        <w:tc>
          <w:tcPr>
            <w:tcW w:w="0" w:type="auto"/>
          </w:tcPr>
          <w:p w14:paraId="24F64563" w14:textId="5F309307" w:rsidR="00A4703E" w:rsidRDefault="0004017D" w:rsidP="006641CA">
            <w:r w:rsidRPr="0096365D">
              <w:t>.04 (.02)</w:t>
            </w:r>
          </w:p>
        </w:tc>
        <w:tc>
          <w:tcPr>
            <w:tcW w:w="0" w:type="auto"/>
          </w:tcPr>
          <w:p w14:paraId="16D0A4C9" w14:textId="28FE5D9D" w:rsidR="00A4703E" w:rsidRDefault="0004017D" w:rsidP="006641CA">
            <w:r w:rsidRPr="0096365D">
              <w:t>.13</w:t>
            </w:r>
            <w:r w:rsidRPr="0096365D">
              <w:rPr>
                <w:vertAlign w:val="superscript"/>
              </w:rPr>
              <w:t>*</w:t>
            </w:r>
          </w:p>
        </w:tc>
        <w:tc>
          <w:tcPr>
            <w:tcW w:w="0" w:type="auto"/>
          </w:tcPr>
          <w:p w14:paraId="5D4E77E1" w14:textId="5AF57D22" w:rsidR="00A4703E" w:rsidRDefault="0004017D" w:rsidP="006641CA">
            <w:r w:rsidRPr="0096365D">
              <w:t>.02 (.02)</w:t>
            </w:r>
          </w:p>
        </w:tc>
        <w:tc>
          <w:tcPr>
            <w:tcW w:w="0" w:type="auto"/>
          </w:tcPr>
          <w:p w14:paraId="2659C9CF" w14:textId="7518DE01" w:rsidR="00A4703E" w:rsidRDefault="0004017D" w:rsidP="006641CA">
            <w:r w:rsidRPr="0096365D">
              <w:t>.04</w:t>
            </w:r>
          </w:p>
        </w:tc>
      </w:tr>
      <w:tr w:rsidR="00A4703E" w14:paraId="7A4E4F06" w14:textId="77777777" w:rsidTr="00B429E9">
        <w:tc>
          <w:tcPr>
            <w:tcW w:w="0" w:type="auto"/>
          </w:tcPr>
          <w:p w14:paraId="714BF56B" w14:textId="77777777" w:rsidR="00A4703E" w:rsidRDefault="00A4703E" w:rsidP="006641CA"/>
        </w:tc>
        <w:tc>
          <w:tcPr>
            <w:tcW w:w="0" w:type="auto"/>
          </w:tcPr>
          <w:p w14:paraId="0A12F133" w14:textId="1F233419" w:rsidR="00A4703E" w:rsidRDefault="005555E7" w:rsidP="006641CA">
            <w:r w:rsidRPr="005555E7">
              <w:t xml:space="preserve">SBREMA </w:t>
            </w:r>
          </w:p>
        </w:tc>
        <w:tc>
          <w:tcPr>
            <w:tcW w:w="0" w:type="auto"/>
          </w:tcPr>
          <w:p w14:paraId="13BBF797" w14:textId="249268EB" w:rsidR="00A4703E" w:rsidRDefault="0004017D" w:rsidP="006641CA">
            <w:r w:rsidRPr="005555E7">
              <w:t>.02 (.01)</w:t>
            </w:r>
          </w:p>
        </w:tc>
        <w:tc>
          <w:tcPr>
            <w:tcW w:w="0" w:type="auto"/>
          </w:tcPr>
          <w:p w14:paraId="2D1608F7" w14:textId="1C4A0390" w:rsidR="00A4703E" w:rsidRDefault="0004017D" w:rsidP="006641CA">
            <w:r w:rsidRPr="005555E7">
              <w:t>.10</w:t>
            </w:r>
            <w:r w:rsidRPr="005555E7">
              <w:rPr>
                <w:vertAlign w:val="superscript"/>
              </w:rPr>
              <w:t>**</w:t>
            </w:r>
          </w:p>
        </w:tc>
        <w:tc>
          <w:tcPr>
            <w:tcW w:w="0" w:type="auto"/>
          </w:tcPr>
          <w:p w14:paraId="4162AC8B" w14:textId="08E6181A" w:rsidR="00A4703E" w:rsidRDefault="0004017D" w:rsidP="006641CA">
            <w:r w:rsidRPr="005555E7">
              <w:t>.02 (.01)</w:t>
            </w:r>
          </w:p>
        </w:tc>
        <w:tc>
          <w:tcPr>
            <w:tcW w:w="0" w:type="auto"/>
          </w:tcPr>
          <w:p w14:paraId="01822EE9" w14:textId="45EEF6DE" w:rsidR="00A4703E" w:rsidRDefault="0004017D" w:rsidP="006641CA">
            <w:r w:rsidRPr="005555E7">
              <w:t>.07</w:t>
            </w:r>
          </w:p>
        </w:tc>
      </w:tr>
      <w:tr w:rsidR="00A4703E" w14:paraId="709CFA93" w14:textId="77777777" w:rsidTr="00B429E9">
        <w:tc>
          <w:tcPr>
            <w:tcW w:w="0" w:type="auto"/>
          </w:tcPr>
          <w:p w14:paraId="691A737C" w14:textId="77777777" w:rsidR="00A4703E" w:rsidRDefault="00A4703E" w:rsidP="006641CA"/>
        </w:tc>
        <w:tc>
          <w:tcPr>
            <w:tcW w:w="0" w:type="auto"/>
          </w:tcPr>
          <w:p w14:paraId="36CD5A4D" w14:textId="19828D54" w:rsidR="00A4703E" w:rsidRDefault="005555E7" w:rsidP="006641CA">
            <w:r>
              <w:t>R</w:t>
            </w:r>
            <w:r w:rsidRPr="005555E7">
              <w:rPr>
                <w:vertAlign w:val="superscript"/>
              </w:rPr>
              <w:t>2</w:t>
            </w:r>
          </w:p>
        </w:tc>
        <w:tc>
          <w:tcPr>
            <w:tcW w:w="0" w:type="auto"/>
          </w:tcPr>
          <w:p w14:paraId="7F0E1848" w14:textId="17F2747A" w:rsidR="00A4703E" w:rsidRDefault="005555E7" w:rsidP="006641CA">
            <w:r>
              <w:t>.29</w:t>
            </w:r>
          </w:p>
        </w:tc>
        <w:tc>
          <w:tcPr>
            <w:tcW w:w="0" w:type="auto"/>
          </w:tcPr>
          <w:p w14:paraId="5AC679F7" w14:textId="77777777" w:rsidR="00A4703E" w:rsidRDefault="00A4703E" w:rsidP="006641CA"/>
        </w:tc>
        <w:tc>
          <w:tcPr>
            <w:tcW w:w="0" w:type="auto"/>
          </w:tcPr>
          <w:p w14:paraId="0B41E3A8" w14:textId="52E973DA" w:rsidR="00A4703E" w:rsidRDefault="005555E7" w:rsidP="006641CA">
            <w:r>
              <w:t>.32</w:t>
            </w:r>
          </w:p>
        </w:tc>
        <w:tc>
          <w:tcPr>
            <w:tcW w:w="0" w:type="auto"/>
          </w:tcPr>
          <w:p w14:paraId="79C75F39" w14:textId="77777777" w:rsidR="00A4703E" w:rsidRDefault="00A4703E" w:rsidP="006641CA"/>
        </w:tc>
      </w:tr>
      <w:tr w:rsidR="0096365D" w14:paraId="3208C86F" w14:textId="77777777" w:rsidTr="00B429E9">
        <w:tc>
          <w:tcPr>
            <w:tcW w:w="0" w:type="auto"/>
          </w:tcPr>
          <w:p w14:paraId="039BD3BE" w14:textId="77777777" w:rsidR="0096365D" w:rsidRDefault="0096365D" w:rsidP="006641CA"/>
        </w:tc>
        <w:tc>
          <w:tcPr>
            <w:tcW w:w="0" w:type="auto"/>
          </w:tcPr>
          <w:p w14:paraId="0C16D05B" w14:textId="09335D94" w:rsidR="0096365D" w:rsidRDefault="005555E7" w:rsidP="006641CA">
            <w:r>
              <w:rPr>
                <w:rFonts w:cstheme="minorHAnsi"/>
              </w:rPr>
              <w:t>Δ</w:t>
            </w:r>
            <w:r>
              <w:t>R</w:t>
            </w:r>
            <w:r w:rsidRPr="005555E7">
              <w:rPr>
                <w:vertAlign w:val="superscript"/>
              </w:rPr>
              <w:t>2</w:t>
            </w:r>
          </w:p>
        </w:tc>
        <w:tc>
          <w:tcPr>
            <w:tcW w:w="0" w:type="auto"/>
          </w:tcPr>
          <w:p w14:paraId="6243EC9A" w14:textId="7C995F3F" w:rsidR="0096365D" w:rsidRDefault="00012A75" w:rsidP="006641CA">
            <w:r>
              <w:t>.02</w:t>
            </w:r>
          </w:p>
        </w:tc>
        <w:tc>
          <w:tcPr>
            <w:tcW w:w="0" w:type="auto"/>
          </w:tcPr>
          <w:p w14:paraId="62D8BCF7" w14:textId="77777777" w:rsidR="0096365D" w:rsidRDefault="0096365D" w:rsidP="006641CA"/>
        </w:tc>
        <w:tc>
          <w:tcPr>
            <w:tcW w:w="0" w:type="auto"/>
          </w:tcPr>
          <w:p w14:paraId="2FD63496" w14:textId="7626E595" w:rsidR="0096365D" w:rsidRDefault="00012A75" w:rsidP="006641CA">
            <w:r>
              <w:t>.00</w:t>
            </w:r>
          </w:p>
        </w:tc>
        <w:tc>
          <w:tcPr>
            <w:tcW w:w="0" w:type="auto"/>
          </w:tcPr>
          <w:p w14:paraId="47AC24B3" w14:textId="77777777" w:rsidR="0096365D" w:rsidRDefault="0096365D" w:rsidP="006641CA"/>
        </w:tc>
      </w:tr>
      <w:tr w:rsidR="0096365D" w14:paraId="7C60BA1C" w14:textId="77777777" w:rsidTr="00B429E9">
        <w:tc>
          <w:tcPr>
            <w:tcW w:w="0" w:type="auto"/>
          </w:tcPr>
          <w:p w14:paraId="077308A3" w14:textId="4D428BC6" w:rsidR="0096365D" w:rsidRDefault="00012A75" w:rsidP="006641CA">
            <w:r>
              <w:t>3</w:t>
            </w:r>
          </w:p>
        </w:tc>
        <w:tc>
          <w:tcPr>
            <w:tcW w:w="0" w:type="auto"/>
          </w:tcPr>
          <w:p w14:paraId="631F089D" w14:textId="32607788" w:rsidR="0096365D" w:rsidRPr="00CA5495" w:rsidRDefault="00CA5495" w:rsidP="006641CA">
            <w:pPr>
              <w:rPr>
                <w:vertAlign w:val="superscript"/>
              </w:rPr>
            </w:pPr>
            <w:r w:rsidRPr="00CA5495">
              <w:t xml:space="preserve">Stress Wave 1 </w:t>
            </w:r>
          </w:p>
        </w:tc>
        <w:tc>
          <w:tcPr>
            <w:tcW w:w="0" w:type="auto"/>
          </w:tcPr>
          <w:p w14:paraId="389A601A" w14:textId="39D6617E" w:rsidR="0096365D" w:rsidRDefault="0004017D" w:rsidP="006641CA">
            <w:r w:rsidRPr="00CA5495">
              <w:t>.38 (.07)</w:t>
            </w:r>
          </w:p>
        </w:tc>
        <w:tc>
          <w:tcPr>
            <w:tcW w:w="0" w:type="auto"/>
          </w:tcPr>
          <w:p w14:paraId="1565A2F5" w14:textId="26EE8ABC" w:rsidR="0096365D" w:rsidRDefault="0004017D" w:rsidP="006641CA">
            <w:r w:rsidRPr="00CA5495">
              <w:t>.43</w:t>
            </w:r>
            <w:r w:rsidRPr="00CA5495">
              <w:rPr>
                <w:vertAlign w:val="superscript"/>
              </w:rPr>
              <w:t>***</w:t>
            </w:r>
          </w:p>
        </w:tc>
        <w:tc>
          <w:tcPr>
            <w:tcW w:w="0" w:type="auto"/>
          </w:tcPr>
          <w:p w14:paraId="77295EDA" w14:textId="6FFDEC0B" w:rsidR="0096365D" w:rsidRDefault="0004017D" w:rsidP="006641CA">
            <w:r w:rsidRPr="00CA5495">
              <w:t>.43 (.09)</w:t>
            </w:r>
          </w:p>
        </w:tc>
        <w:tc>
          <w:tcPr>
            <w:tcW w:w="0" w:type="auto"/>
          </w:tcPr>
          <w:p w14:paraId="0928C6D6" w14:textId="20EF2BEF" w:rsidR="0096365D" w:rsidRDefault="0004017D" w:rsidP="006641CA">
            <w:r w:rsidRPr="00CA5495">
              <w:t>.44</w:t>
            </w:r>
            <w:r w:rsidRPr="00CA5495">
              <w:rPr>
                <w:vertAlign w:val="superscript"/>
              </w:rPr>
              <w:t>***</w:t>
            </w:r>
          </w:p>
        </w:tc>
      </w:tr>
      <w:tr w:rsidR="0096365D" w14:paraId="7CFCBA3E" w14:textId="77777777" w:rsidTr="00B429E9">
        <w:tc>
          <w:tcPr>
            <w:tcW w:w="0" w:type="auto"/>
          </w:tcPr>
          <w:p w14:paraId="4E7F497A" w14:textId="77777777" w:rsidR="0096365D" w:rsidRDefault="0096365D" w:rsidP="006641CA"/>
        </w:tc>
        <w:tc>
          <w:tcPr>
            <w:tcW w:w="0" w:type="auto"/>
          </w:tcPr>
          <w:p w14:paraId="0432B3C0" w14:textId="7F20A66B" w:rsidR="0096365D" w:rsidRDefault="00CA5495" w:rsidP="006641CA">
            <w:r w:rsidRPr="00CA5495">
              <w:t xml:space="preserve">Female </w:t>
            </w:r>
          </w:p>
        </w:tc>
        <w:tc>
          <w:tcPr>
            <w:tcW w:w="0" w:type="auto"/>
          </w:tcPr>
          <w:p w14:paraId="28268BD7" w14:textId="229D5BA5" w:rsidR="0096365D" w:rsidRDefault="0004017D" w:rsidP="006641CA">
            <w:r w:rsidRPr="00CA5495">
              <w:t>.12 (.08)</w:t>
            </w:r>
          </w:p>
        </w:tc>
        <w:tc>
          <w:tcPr>
            <w:tcW w:w="0" w:type="auto"/>
          </w:tcPr>
          <w:p w14:paraId="69CF8EB2" w14:textId="3EF90E1F" w:rsidR="0096365D" w:rsidRDefault="0004017D" w:rsidP="006641CA">
            <w:r w:rsidRPr="00CA5495">
              <w:t>.10</w:t>
            </w:r>
          </w:p>
        </w:tc>
        <w:tc>
          <w:tcPr>
            <w:tcW w:w="0" w:type="auto"/>
          </w:tcPr>
          <w:p w14:paraId="5AA22977" w14:textId="77A010DC" w:rsidR="0096365D" w:rsidRDefault="0004017D" w:rsidP="006641CA">
            <w:r w:rsidRPr="00CA5495">
              <w:t>.05 (.06)</w:t>
            </w:r>
          </w:p>
        </w:tc>
        <w:tc>
          <w:tcPr>
            <w:tcW w:w="0" w:type="auto"/>
          </w:tcPr>
          <w:p w14:paraId="1A1D9C2A" w14:textId="6CC15574" w:rsidR="0096365D" w:rsidRDefault="0004017D" w:rsidP="006641CA">
            <w:r w:rsidRPr="00CA5495">
              <w:t>.05</w:t>
            </w:r>
          </w:p>
        </w:tc>
      </w:tr>
      <w:tr w:rsidR="00012A75" w14:paraId="7B708AF6" w14:textId="77777777" w:rsidTr="00B429E9">
        <w:tc>
          <w:tcPr>
            <w:tcW w:w="0" w:type="auto"/>
          </w:tcPr>
          <w:p w14:paraId="292B04CC" w14:textId="77777777" w:rsidR="00012A75" w:rsidRDefault="00012A75" w:rsidP="006641CA"/>
        </w:tc>
        <w:tc>
          <w:tcPr>
            <w:tcW w:w="0" w:type="auto"/>
          </w:tcPr>
          <w:p w14:paraId="7263DAEE" w14:textId="34E305CB" w:rsidR="00012A75" w:rsidRPr="00CA5495" w:rsidRDefault="00CA5495" w:rsidP="006641CA">
            <w:pPr>
              <w:rPr>
                <w:vertAlign w:val="superscript"/>
              </w:rPr>
            </w:pPr>
            <w:r w:rsidRPr="00CA5495">
              <w:t xml:space="preserve">First-Generation </w:t>
            </w:r>
          </w:p>
        </w:tc>
        <w:tc>
          <w:tcPr>
            <w:tcW w:w="0" w:type="auto"/>
          </w:tcPr>
          <w:p w14:paraId="7BD2BE9D" w14:textId="0462032F" w:rsidR="00012A75" w:rsidRDefault="0004017D" w:rsidP="006641CA">
            <w:r w:rsidRPr="00CA5495">
              <w:t>.05 (.06)</w:t>
            </w:r>
          </w:p>
        </w:tc>
        <w:tc>
          <w:tcPr>
            <w:tcW w:w="0" w:type="auto"/>
          </w:tcPr>
          <w:p w14:paraId="5EE78B70" w14:textId="2893B25D" w:rsidR="00012A75" w:rsidRDefault="0004017D" w:rsidP="006641CA">
            <w:r w:rsidRPr="00CA5495">
              <w:t>.05</w:t>
            </w:r>
          </w:p>
        </w:tc>
        <w:tc>
          <w:tcPr>
            <w:tcW w:w="0" w:type="auto"/>
          </w:tcPr>
          <w:p w14:paraId="73DD3202" w14:textId="7A3015B2" w:rsidR="00012A75" w:rsidRDefault="0004017D" w:rsidP="006641CA">
            <w:r w:rsidRPr="00CA5495">
              <w:t>.11 (.05)</w:t>
            </w:r>
          </w:p>
        </w:tc>
        <w:tc>
          <w:tcPr>
            <w:tcW w:w="0" w:type="auto"/>
          </w:tcPr>
          <w:p w14:paraId="07D46D44" w14:textId="0EF9D8D7" w:rsidR="00012A75" w:rsidRDefault="0004017D" w:rsidP="006641CA">
            <w:r w:rsidRPr="00CA5495">
              <w:t>.08</w:t>
            </w:r>
            <w:r w:rsidRPr="00CA5495">
              <w:rPr>
                <w:vertAlign w:val="superscript"/>
              </w:rPr>
              <w:t>*</w:t>
            </w:r>
          </w:p>
        </w:tc>
      </w:tr>
      <w:tr w:rsidR="00012A75" w14:paraId="32AB96D2" w14:textId="77777777" w:rsidTr="00B429E9">
        <w:tc>
          <w:tcPr>
            <w:tcW w:w="0" w:type="auto"/>
          </w:tcPr>
          <w:p w14:paraId="70FE1CF9" w14:textId="77777777" w:rsidR="00012A75" w:rsidRDefault="00012A75" w:rsidP="006641CA"/>
        </w:tc>
        <w:tc>
          <w:tcPr>
            <w:tcW w:w="0" w:type="auto"/>
          </w:tcPr>
          <w:p w14:paraId="5FAA77DD" w14:textId="62607107" w:rsidR="00012A75" w:rsidRPr="00AA1E37" w:rsidRDefault="00AA1E37" w:rsidP="006641CA">
            <w:pPr>
              <w:rPr>
                <w:vertAlign w:val="superscript"/>
              </w:rPr>
            </w:pPr>
            <w:r w:rsidRPr="00AA1E37">
              <w:t xml:space="preserve">Financial Distress </w:t>
            </w:r>
          </w:p>
        </w:tc>
        <w:tc>
          <w:tcPr>
            <w:tcW w:w="0" w:type="auto"/>
          </w:tcPr>
          <w:p w14:paraId="29C5396B" w14:textId="28DD0BF6" w:rsidR="00012A75" w:rsidRDefault="0004017D" w:rsidP="006641CA">
            <w:r w:rsidRPr="00AA1E37">
              <w:t>.08 (.02)</w:t>
            </w:r>
          </w:p>
        </w:tc>
        <w:tc>
          <w:tcPr>
            <w:tcW w:w="0" w:type="auto"/>
          </w:tcPr>
          <w:p w14:paraId="0E389970" w14:textId="4AD0447B" w:rsidR="00012A75" w:rsidRDefault="0004017D" w:rsidP="006641CA">
            <w:r w:rsidRPr="00AA1E37">
              <w:t>.13</w:t>
            </w:r>
            <w:r w:rsidRPr="00AA1E37">
              <w:rPr>
                <w:vertAlign w:val="superscript"/>
              </w:rPr>
              <w:t>***</w:t>
            </w:r>
          </w:p>
        </w:tc>
        <w:tc>
          <w:tcPr>
            <w:tcW w:w="0" w:type="auto"/>
          </w:tcPr>
          <w:p w14:paraId="2C630FD1" w14:textId="1A09CF6E" w:rsidR="00012A75" w:rsidRDefault="0004017D" w:rsidP="006641CA">
            <w:r w:rsidRPr="00AA1E37">
              <w:t>.15 (.03)</w:t>
            </w:r>
          </w:p>
        </w:tc>
        <w:tc>
          <w:tcPr>
            <w:tcW w:w="0" w:type="auto"/>
          </w:tcPr>
          <w:p w14:paraId="6F628C41" w14:textId="498569DA" w:rsidR="00012A75" w:rsidRDefault="0004017D" w:rsidP="006641CA">
            <w:r w:rsidRPr="00AA1E37">
              <w:t>.21</w:t>
            </w:r>
            <w:r w:rsidRPr="00AA1E37">
              <w:rPr>
                <w:vertAlign w:val="superscript"/>
              </w:rPr>
              <w:t>***</w:t>
            </w:r>
          </w:p>
        </w:tc>
      </w:tr>
      <w:tr w:rsidR="00012A75" w14:paraId="619D563B" w14:textId="77777777" w:rsidTr="00B429E9">
        <w:tc>
          <w:tcPr>
            <w:tcW w:w="0" w:type="auto"/>
          </w:tcPr>
          <w:p w14:paraId="5A49425C" w14:textId="77777777" w:rsidR="00012A75" w:rsidRDefault="00012A75" w:rsidP="006641CA"/>
        </w:tc>
        <w:tc>
          <w:tcPr>
            <w:tcW w:w="0" w:type="auto"/>
          </w:tcPr>
          <w:p w14:paraId="4783BB88" w14:textId="448810B2" w:rsidR="00012A75" w:rsidRDefault="00AA1E37" w:rsidP="006641CA">
            <w:r w:rsidRPr="00AA1E37">
              <w:t xml:space="preserve">Political Efficacy                                       </w:t>
            </w:r>
          </w:p>
        </w:tc>
        <w:tc>
          <w:tcPr>
            <w:tcW w:w="0" w:type="auto"/>
          </w:tcPr>
          <w:p w14:paraId="23BE30C4" w14:textId="32F547F8" w:rsidR="00012A75" w:rsidRDefault="00B429E9" w:rsidP="006641CA">
            <w:r w:rsidRPr="00AA1E37">
              <w:t>.00 (.07)</w:t>
            </w:r>
          </w:p>
        </w:tc>
        <w:tc>
          <w:tcPr>
            <w:tcW w:w="0" w:type="auto"/>
          </w:tcPr>
          <w:p w14:paraId="5261994E" w14:textId="781BE1DF" w:rsidR="00012A75" w:rsidRDefault="00B429E9" w:rsidP="006641CA">
            <w:r w:rsidRPr="00AA1E37">
              <w:t>.01</w:t>
            </w:r>
          </w:p>
        </w:tc>
        <w:tc>
          <w:tcPr>
            <w:tcW w:w="0" w:type="auto"/>
          </w:tcPr>
          <w:p w14:paraId="054337D5" w14:textId="060E7CD1" w:rsidR="00012A75" w:rsidRDefault="00B429E9" w:rsidP="006641CA">
            <w:r w:rsidRPr="00AA1E37">
              <w:t xml:space="preserve">-.06 (.04)            </w:t>
            </w:r>
          </w:p>
        </w:tc>
        <w:tc>
          <w:tcPr>
            <w:tcW w:w="0" w:type="auto"/>
          </w:tcPr>
          <w:p w14:paraId="7EC18878" w14:textId="38C3B923" w:rsidR="00012A75" w:rsidRDefault="00B429E9" w:rsidP="006641CA">
            <w:r w:rsidRPr="00AA1E37">
              <w:t>-.09</w:t>
            </w:r>
          </w:p>
        </w:tc>
      </w:tr>
      <w:tr w:rsidR="00012A75" w14:paraId="7B8B31D6" w14:textId="77777777" w:rsidTr="00B429E9">
        <w:tc>
          <w:tcPr>
            <w:tcW w:w="0" w:type="auto"/>
          </w:tcPr>
          <w:p w14:paraId="316E4594" w14:textId="77777777" w:rsidR="00012A75" w:rsidRDefault="00012A75" w:rsidP="006641CA"/>
        </w:tc>
        <w:tc>
          <w:tcPr>
            <w:tcW w:w="0" w:type="auto"/>
          </w:tcPr>
          <w:p w14:paraId="6E6FFE3A" w14:textId="6BC32772" w:rsidR="00012A75" w:rsidRDefault="00AA1E37" w:rsidP="006641CA">
            <w:r w:rsidRPr="00AA1E37">
              <w:t xml:space="preserve">Political Activism </w:t>
            </w:r>
          </w:p>
        </w:tc>
        <w:tc>
          <w:tcPr>
            <w:tcW w:w="0" w:type="auto"/>
          </w:tcPr>
          <w:p w14:paraId="5978F180" w14:textId="38CD2199" w:rsidR="00012A75" w:rsidRDefault="00B429E9" w:rsidP="006641CA">
            <w:r w:rsidRPr="00AA1E37">
              <w:t>.06 (.02)</w:t>
            </w:r>
          </w:p>
        </w:tc>
        <w:tc>
          <w:tcPr>
            <w:tcW w:w="0" w:type="auto"/>
          </w:tcPr>
          <w:p w14:paraId="0FD5B436" w14:textId="454A19FF" w:rsidR="00012A75" w:rsidRDefault="00B429E9" w:rsidP="006641CA">
            <w:r w:rsidRPr="00AA1E37">
              <w:t>.19</w:t>
            </w:r>
            <w:r w:rsidRPr="00AA1E37">
              <w:rPr>
                <w:vertAlign w:val="superscript"/>
              </w:rPr>
              <w:t>**</w:t>
            </w:r>
          </w:p>
        </w:tc>
        <w:tc>
          <w:tcPr>
            <w:tcW w:w="0" w:type="auto"/>
          </w:tcPr>
          <w:p w14:paraId="146F46FF" w14:textId="5C941555" w:rsidR="00012A75" w:rsidRDefault="00B429E9" w:rsidP="006641CA">
            <w:r w:rsidRPr="00AA1E37">
              <w:t>.02 (.02)</w:t>
            </w:r>
          </w:p>
        </w:tc>
        <w:tc>
          <w:tcPr>
            <w:tcW w:w="0" w:type="auto"/>
          </w:tcPr>
          <w:p w14:paraId="0C037424" w14:textId="01F01426" w:rsidR="00012A75" w:rsidRDefault="00B429E9" w:rsidP="006641CA">
            <w:r w:rsidRPr="00AA1E37">
              <w:t>.05</w:t>
            </w:r>
          </w:p>
        </w:tc>
      </w:tr>
      <w:tr w:rsidR="00012A75" w14:paraId="534D7E92" w14:textId="77777777" w:rsidTr="00B429E9">
        <w:tc>
          <w:tcPr>
            <w:tcW w:w="0" w:type="auto"/>
          </w:tcPr>
          <w:p w14:paraId="316346ED" w14:textId="77777777" w:rsidR="00012A75" w:rsidRDefault="00012A75" w:rsidP="006641CA"/>
        </w:tc>
        <w:tc>
          <w:tcPr>
            <w:tcW w:w="0" w:type="auto"/>
          </w:tcPr>
          <w:p w14:paraId="48A4AEB7" w14:textId="011F2675" w:rsidR="00012A75" w:rsidRDefault="006705B6" w:rsidP="006641CA">
            <w:r w:rsidRPr="006705B6">
              <w:t xml:space="preserve">SBREMA </w:t>
            </w:r>
          </w:p>
        </w:tc>
        <w:tc>
          <w:tcPr>
            <w:tcW w:w="0" w:type="auto"/>
          </w:tcPr>
          <w:p w14:paraId="70CF7A4B" w14:textId="23131226" w:rsidR="00012A75" w:rsidRDefault="00B429E9" w:rsidP="006641CA">
            <w:r w:rsidRPr="006705B6">
              <w:t>.02 (.01)</w:t>
            </w:r>
          </w:p>
        </w:tc>
        <w:tc>
          <w:tcPr>
            <w:tcW w:w="0" w:type="auto"/>
          </w:tcPr>
          <w:p w14:paraId="62938AF3" w14:textId="424DDC88" w:rsidR="00012A75" w:rsidRDefault="00B429E9" w:rsidP="006641CA">
            <w:r w:rsidRPr="006705B6">
              <w:t>.09</w:t>
            </w:r>
            <w:r w:rsidRPr="006705B6">
              <w:rPr>
                <w:vertAlign w:val="superscript"/>
              </w:rPr>
              <w:t>**</w:t>
            </w:r>
          </w:p>
        </w:tc>
        <w:tc>
          <w:tcPr>
            <w:tcW w:w="0" w:type="auto"/>
          </w:tcPr>
          <w:p w14:paraId="51468848" w14:textId="06096521" w:rsidR="00012A75" w:rsidRDefault="00B429E9" w:rsidP="006641CA">
            <w:r w:rsidRPr="006705B6">
              <w:t>.02 (.01)</w:t>
            </w:r>
          </w:p>
        </w:tc>
        <w:tc>
          <w:tcPr>
            <w:tcW w:w="0" w:type="auto"/>
          </w:tcPr>
          <w:p w14:paraId="19E7239A" w14:textId="361E2C22" w:rsidR="00012A75" w:rsidRDefault="00B429E9" w:rsidP="006641CA">
            <w:r w:rsidRPr="006705B6">
              <w:t>.07</w:t>
            </w:r>
          </w:p>
        </w:tc>
      </w:tr>
      <w:tr w:rsidR="00AA1E37" w14:paraId="0D2C09CB" w14:textId="77777777" w:rsidTr="00B429E9">
        <w:tc>
          <w:tcPr>
            <w:tcW w:w="0" w:type="auto"/>
          </w:tcPr>
          <w:p w14:paraId="29460D76" w14:textId="77777777" w:rsidR="00AA1E37" w:rsidRDefault="00AA1E37" w:rsidP="006641CA"/>
        </w:tc>
        <w:tc>
          <w:tcPr>
            <w:tcW w:w="0" w:type="auto"/>
          </w:tcPr>
          <w:p w14:paraId="7F7F2275" w14:textId="724DE97D" w:rsidR="00AA1E37" w:rsidRPr="006705B6" w:rsidRDefault="006705B6" w:rsidP="006641CA">
            <w:pPr>
              <w:rPr>
                <w:vertAlign w:val="superscript"/>
              </w:rPr>
            </w:pPr>
            <w:r w:rsidRPr="006705B6">
              <w:t xml:space="preserve">Political Activism </w:t>
            </w:r>
            <w:r w:rsidR="00F910F2">
              <w:rPr>
                <w:rFonts w:cstheme="minorHAnsi"/>
              </w:rPr>
              <w:t>×</w:t>
            </w:r>
            <w:r w:rsidRPr="006705B6">
              <w:t xml:space="preserve"> SBREMA </w:t>
            </w:r>
          </w:p>
        </w:tc>
        <w:tc>
          <w:tcPr>
            <w:tcW w:w="0" w:type="auto"/>
          </w:tcPr>
          <w:p w14:paraId="4B59E45B" w14:textId="629C9740" w:rsidR="00AA1E37" w:rsidRDefault="00B429E9" w:rsidP="006641CA">
            <w:r w:rsidRPr="006705B6">
              <w:t>.01 (.00)</w:t>
            </w:r>
          </w:p>
        </w:tc>
        <w:tc>
          <w:tcPr>
            <w:tcW w:w="0" w:type="auto"/>
          </w:tcPr>
          <w:p w14:paraId="529A48A8" w14:textId="331369D2" w:rsidR="00AA1E37" w:rsidRDefault="00B429E9" w:rsidP="006641CA">
            <w:r w:rsidRPr="006705B6">
              <w:t>.12</w:t>
            </w:r>
            <w:r w:rsidRPr="006705B6">
              <w:rPr>
                <w:vertAlign w:val="superscript"/>
              </w:rPr>
              <w:t>***</w:t>
            </w:r>
          </w:p>
        </w:tc>
        <w:tc>
          <w:tcPr>
            <w:tcW w:w="0" w:type="auto"/>
          </w:tcPr>
          <w:p w14:paraId="03E22775" w14:textId="0549A94E" w:rsidR="00AA1E37" w:rsidRDefault="00B429E9" w:rsidP="006641CA">
            <w:r w:rsidRPr="006705B6">
              <w:t>-.01 (.00)</w:t>
            </w:r>
          </w:p>
        </w:tc>
        <w:tc>
          <w:tcPr>
            <w:tcW w:w="0" w:type="auto"/>
          </w:tcPr>
          <w:p w14:paraId="16105F7D" w14:textId="56BD78E2" w:rsidR="00AA1E37" w:rsidRDefault="00B429E9" w:rsidP="006641CA">
            <w:r w:rsidRPr="006705B6">
              <w:t>-.06</w:t>
            </w:r>
            <w:r w:rsidRPr="006705B6">
              <w:rPr>
                <w:vertAlign w:val="superscript"/>
              </w:rPr>
              <w:t>*</w:t>
            </w:r>
          </w:p>
        </w:tc>
      </w:tr>
      <w:tr w:rsidR="006705B6" w14:paraId="373E4F5B" w14:textId="77777777" w:rsidTr="00B429E9">
        <w:tc>
          <w:tcPr>
            <w:tcW w:w="0" w:type="auto"/>
          </w:tcPr>
          <w:p w14:paraId="2FB5716D" w14:textId="77777777" w:rsidR="006705B6" w:rsidRDefault="006705B6" w:rsidP="006705B6"/>
        </w:tc>
        <w:tc>
          <w:tcPr>
            <w:tcW w:w="0" w:type="auto"/>
          </w:tcPr>
          <w:p w14:paraId="5ECD24AF" w14:textId="0A5BB912" w:rsidR="006705B6" w:rsidRDefault="006705B6" w:rsidP="006705B6">
            <w:r>
              <w:t>R</w:t>
            </w:r>
            <w:r w:rsidRPr="005555E7">
              <w:rPr>
                <w:vertAlign w:val="superscript"/>
              </w:rPr>
              <w:t>2</w:t>
            </w:r>
          </w:p>
        </w:tc>
        <w:tc>
          <w:tcPr>
            <w:tcW w:w="0" w:type="auto"/>
          </w:tcPr>
          <w:p w14:paraId="7F052F5A" w14:textId="28ED0BFA" w:rsidR="006705B6" w:rsidRDefault="006705B6" w:rsidP="006705B6">
            <w:r>
              <w:t>.30</w:t>
            </w:r>
          </w:p>
        </w:tc>
        <w:tc>
          <w:tcPr>
            <w:tcW w:w="0" w:type="auto"/>
          </w:tcPr>
          <w:p w14:paraId="04F6917A" w14:textId="77777777" w:rsidR="006705B6" w:rsidRDefault="006705B6" w:rsidP="006705B6"/>
        </w:tc>
        <w:tc>
          <w:tcPr>
            <w:tcW w:w="0" w:type="auto"/>
          </w:tcPr>
          <w:p w14:paraId="02379984" w14:textId="34433E33" w:rsidR="006705B6" w:rsidRDefault="006705B6" w:rsidP="006705B6">
            <w:r>
              <w:t>.32</w:t>
            </w:r>
          </w:p>
        </w:tc>
        <w:tc>
          <w:tcPr>
            <w:tcW w:w="0" w:type="auto"/>
          </w:tcPr>
          <w:p w14:paraId="2A09062A" w14:textId="77777777" w:rsidR="006705B6" w:rsidRDefault="006705B6" w:rsidP="006705B6"/>
        </w:tc>
      </w:tr>
      <w:tr w:rsidR="006705B6" w14:paraId="10A263DF" w14:textId="77777777" w:rsidTr="00B429E9">
        <w:tc>
          <w:tcPr>
            <w:tcW w:w="0" w:type="auto"/>
          </w:tcPr>
          <w:p w14:paraId="5CF22F07" w14:textId="77777777" w:rsidR="006705B6" w:rsidRDefault="006705B6" w:rsidP="006705B6"/>
        </w:tc>
        <w:tc>
          <w:tcPr>
            <w:tcW w:w="0" w:type="auto"/>
          </w:tcPr>
          <w:p w14:paraId="5202FD47" w14:textId="7BD7A713" w:rsidR="006705B6" w:rsidRDefault="006705B6" w:rsidP="006705B6">
            <w:r>
              <w:rPr>
                <w:rFonts w:cstheme="minorHAnsi"/>
              </w:rPr>
              <w:t>Δ</w:t>
            </w:r>
            <w:r>
              <w:t>R</w:t>
            </w:r>
            <w:r w:rsidRPr="005555E7">
              <w:rPr>
                <w:vertAlign w:val="superscript"/>
              </w:rPr>
              <w:t>2</w:t>
            </w:r>
          </w:p>
        </w:tc>
        <w:tc>
          <w:tcPr>
            <w:tcW w:w="0" w:type="auto"/>
          </w:tcPr>
          <w:p w14:paraId="57BB6F8C" w14:textId="7E70B6D3" w:rsidR="006705B6" w:rsidRDefault="006705B6" w:rsidP="006705B6">
            <w:r>
              <w:t>.01</w:t>
            </w:r>
          </w:p>
        </w:tc>
        <w:tc>
          <w:tcPr>
            <w:tcW w:w="0" w:type="auto"/>
          </w:tcPr>
          <w:p w14:paraId="4CB33722" w14:textId="77777777" w:rsidR="006705B6" w:rsidRDefault="006705B6" w:rsidP="006705B6"/>
        </w:tc>
        <w:tc>
          <w:tcPr>
            <w:tcW w:w="0" w:type="auto"/>
          </w:tcPr>
          <w:p w14:paraId="1256F510" w14:textId="0E259DB1" w:rsidR="006705B6" w:rsidRDefault="00F910F2" w:rsidP="006705B6">
            <w:r>
              <w:t>.00</w:t>
            </w:r>
          </w:p>
        </w:tc>
        <w:tc>
          <w:tcPr>
            <w:tcW w:w="0" w:type="auto"/>
          </w:tcPr>
          <w:p w14:paraId="2D0414E5" w14:textId="77777777" w:rsidR="006705B6" w:rsidRDefault="006705B6" w:rsidP="006705B6"/>
        </w:tc>
      </w:tr>
    </w:tbl>
    <w:p w14:paraId="357C4A96" w14:textId="77777777" w:rsidR="00D4111E" w:rsidRDefault="001D31AB" w:rsidP="00D4111E">
      <w:r>
        <w:rPr>
          <w:i/>
          <w:iCs/>
        </w:rPr>
        <w:t>*</w:t>
      </w:r>
      <w:r w:rsidRPr="001D31AB">
        <w:rPr>
          <w:i/>
          <w:iCs/>
        </w:rPr>
        <w:t xml:space="preserve">p </w:t>
      </w:r>
      <w:r>
        <w:t>&lt;</w:t>
      </w:r>
      <w:r w:rsidRPr="001D31AB">
        <w:t xml:space="preserve"> .05. </w:t>
      </w:r>
      <w:r>
        <w:t>**</w:t>
      </w:r>
      <w:r w:rsidRPr="001D31AB">
        <w:rPr>
          <w:i/>
          <w:iCs/>
        </w:rPr>
        <w:t xml:space="preserve">p </w:t>
      </w:r>
      <w:r>
        <w:rPr>
          <w:i/>
          <w:iCs/>
        </w:rPr>
        <w:t>&lt;</w:t>
      </w:r>
      <w:r w:rsidRPr="001D31AB">
        <w:t xml:space="preserve"> .01. </w:t>
      </w:r>
      <w:r>
        <w:t>***</w:t>
      </w:r>
      <w:r w:rsidRPr="001D31AB">
        <w:t xml:space="preserve"> </w:t>
      </w:r>
      <w:r w:rsidRPr="001D31AB">
        <w:rPr>
          <w:i/>
          <w:iCs/>
        </w:rPr>
        <w:t xml:space="preserve">p </w:t>
      </w:r>
      <w:r>
        <w:t>&lt;</w:t>
      </w:r>
      <w:r w:rsidRPr="001D31AB">
        <w:t xml:space="preserve"> .001.</w:t>
      </w:r>
    </w:p>
    <w:p w14:paraId="7CA2B790" w14:textId="3E148D44" w:rsidR="00B429E9" w:rsidRDefault="006641CA" w:rsidP="0000100F">
      <w:pPr>
        <w:pStyle w:val="NoSpacing"/>
      </w:pPr>
      <w:r w:rsidRPr="006641CA">
        <w:br/>
      </w:r>
      <w:r w:rsidRPr="006641CA">
        <w:rPr>
          <w:noProof/>
        </w:rPr>
        <w:drawing>
          <wp:inline distT="0" distB="0" distL="0" distR="0" wp14:anchorId="5DC894D4" wp14:editId="63E969EE">
            <wp:extent cx="2953512" cy="1828800"/>
            <wp:effectExtent l="0" t="0" r="0" b="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53512" cy="1828800"/>
                    </a:xfrm>
                    <a:prstGeom prst="rect">
                      <a:avLst/>
                    </a:prstGeom>
                    <a:noFill/>
                    <a:ln>
                      <a:noFill/>
                    </a:ln>
                  </pic:spPr>
                </pic:pic>
              </a:graphicData>
            </a:graphic>
          </wp:inline>
        </w:drawing>
      </w:r>
    </w:p>
    <w:p w14:paraId="18B55C10" w14:textId="25D878E5" w:rsidR="006641CA" w:rsidRDefault="006641CA" w:rsidP="0000100F">
      <w:pPr>
        <w:pStyle w:val="NoSpacing"/>
      </w:pPr>
      <w:r w:rsidRPr="006641CA">
        <w:t>Figure 1. Political activism as a moderator of school-based R/E microaggressions (SBREMA) and end of freshman year stress for Black students.</w:t>
      </w:r>
    </w:p>
    <w:p w14:paraId="3B37780D" w14:textId="77777777" w:rsidR="00E24090" w:rsidRPr="006641CA" w:rsidRDefault="00E24090" w:rsidP="00E24090">
      <w:pPr>
        <w:pStyle w:val="NoSpacing"/>
      </w:pPr>
    </w:p>
    <w:p w14:paraId="0099A357" w14:textId="77777777" w:rsidR="006641CA" w:rsidRPr="00E24090" w:rsidRDefault="006641CA" w:rsidP="00E24090">
      <w:pPr>
        <w:pStyle w:val="Heading3"/>
      </w:pPr>
      <w:r w:rsidRPr="00E24090">
        <w:t>Stress and Latinx students</w:t>
      </w:r>
    </w:p>
    <w:p w14:paraId="353289C8" w14:textId="6119D644" w:rsidR="00E24090" w:rsidRDefault="006641CA" w:rsidP="00E24090">
      <w:pPr>
        <w:pStyle w:val="NoSpacing"/>
      </w:pPr>
      <w:r w:rsidRPr="006641CA">
        <w:t>The Step 1 model for Latinx students accounted for 32% of the variance in stress at the end of freshman year. Stress at the beginning of freshman year and financial distress were positively related to end of the year stress. In Step 2, the model accounted for 32% of the variance in end of the year stress. Political activism and R/E microaggressions were not significantly related to end of the year stress. In Step 3, the interaction between political activism and R/E microaggressions was statistically significant (see </w:t>
      </w:r>
      <w:r w:rsidRPr="00E20CA8">
        <w:t>Figure 2</w:t>
      </w:r>
      <w:r w:rsidRPr="006641CA">
        <w:t>). Simple slope analyses were conducted to probe the interaction at the mean and 1 </w:t>
      </w:r>
      <w:r w:rsidRPr="006641CA">
        <w:rPr>
          <w:i/>
          <w:iCs/>
        </w:rPr>
        <w:t>SD</w:t>
      </w:r>
      <w:r w:rsidRPr="006641CA">
        <w:t> above and below the mean. The simple slopes were not significantly different from zero, but they were significantly different from each other. For Latinx students who were involved in fewer forms of political activism, there was a positive relationship between R/E microaggressions and stress at the end of freshman year. The opposite was true for Latinx students involved in more political activism; the relationship between R/E microaggressions and stress was negative, indicating that experiencing more R/E microaggressions was related to less stress.</w:t>
      </w:r>
      <w:r w:rsidRPr="006641CA">
        <w:br/>
      </w:r>
      <w:r w:rsidRPr="006641CA">
        <w:br/>
      </w:r>
      <w:r w:rsidRPr="006641CA">
        <w:rPr>
          <w:noProof/>
        </w:rPr>
        <w:drawing>
          <wp:inline distT="0" distB="0" distL="0" distR="0" wp14:anchorId="73026673" wp14:editId="0C91BAC3">
            <wp:extent cx="2935224" cy="1828800"/>
            <wp:effectExtent l="0" t="0" r="0" b="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35224" cy="1828800"/>
                    </a:xfrm>
                    <a:prstGeom prst="rect">
                      <a:avLst/>
                    </a:prstGeom>
                    <a:noFill/>
                    <a:ln>
                      <a:noFill/>
                    </a:ln>
                  </pic:spPr>
                </pic:pic>
              </a:graphicData>
            </a:graphic>
          </wp:inline>
        </w:drawing>
      </w:r>
    </w:p>
    <w:p w14:paraId="211BE5B2" w14:textId="1C5CF513" w:rsidR="006641CA" w:rsidRDefault="006641CA" w:rsidP="00D4111E">
      <w:pPr>
        <w:pStyle w:val="NoSpacing"/>
      </w:pPr>
      <w:r w:rsidRPr="00D4111E">
        <w:t>Figure 2. Political activism as a moderator of school-based R/E microaggressions (SBREMA) and end of freshman year stress for Latinx students.</w:t>
      </w:r>
    </w:p>
    <w:p w14:paraId="7A1F3FAB" w14:textId="77777777" w:rsidR="0000100F" w:rsidRPr="00D4111E" w:rsidRDefault="0000100F" w:rsidP="00D4111E">
      <w:pPr>
        <w:pStyle w:val="NoSpacing"/>
      </w:pPr>
    </w:p>
    <w:p w14:paraId="4647B422" w14:textId="77777777" w:rsidR="006641CA" w:rsidRPr="006641CA" w:rsidRDefault="006641CA" w:rsidP="00E24090">
      <w:pPr>
        <w:pStyle w:val="Heading2"/>
      </w:pPr>
      <w:r w:rsidRPr="006641CA">
        <w:t>End of Freshman Year Anxiety</w:t>
      </w:r>
    </w:p>
    <w:p w14:paraId="47D652DB" w14:textId="77777777" w:rsidR="006641CA" w:rsidRPr="006641CA" w:rsidRDefault="006641CA" w:rsidP="00E24090">
      <w:pPr>
        <w:pStyle w:val="Heading3"/>
      </w:pPr>
      <w:r w:rsidRPr="006641CA">
        <w:t>Anxiety and Black students</w:t>
      </w:r>
    </w:p>
    <w:p w14:paraId="737D2C18" w14:textId="3F34FC98" w:rsidR="00BE52C0" w:rsidRPr="006641CA" w:rsidRDefault="006641CA" w:rsidP="00D4111E">
      <w:pPr>
        <w:pStyle w:val="NoSpacing"/>
      </w:pPr>
      <w:r w:rsidRPr="006641CA">
        <w:t>The Step 1 model accounted for 44% of the variance in anxiety at the end of freshman year for Black students (see </w:t>
      </w:r>
      <w:r w:rsidRPr="00E20CA8">
        <w:t>Table 4</w:t>
      </w:r>
      <w:r w:rsidRPr="006641CA">
        <w:t>). Anxiety at the beginning of freshman year and financial distress were positively related to end of freshman year anxiety. The Step 2 model accounted for 45% of the variance in anxiety. Neither political activism nor R/E microaggressions were significantly related to anxiety at Wave 3. In Step 3, the interaction between R/E microaggressions and political activism was statistically significant (see </w:t>
      </w:r>
      <w:r w:rsidRPr="00E20CA8">
        <w:t>Figure 3</w:t>
      </w:r>
      <w:r w:rsidRPr="006641CA">
        <w:t>). Simple slope analyses found that the slope at the mean and 1 SD above and below the mean were not significantly different from zero, but they were significantly different from each other. For Black students with below average political activism, more experiences of R/E microaggressions were related to less anxiety at the end of freshman year. For Black students who reported more political activism, more experiences of R/E microaggressions were related to more anxiety.</w:t>
      </w:r>
      <w:r w:rsidRPr="006641CA">
        <w:br/>
      </w:r>
      <w:r w:rsidRPr="006641CA">
        <w:br/>
      </w:r>
      <w:r w:rsidR="001C08E5" w:rsidRPr="00D4111E">
        <w:t xml:space="preserve">Table 4. </w:t>
      </w:r>
      <w:r w:rsidRPr="00D4111E">
        <w:t>Multiple Regression Analyses Predicting Anxiety at the End of Freshman Year (Wave 3)</w:t>
      </w:r>
    </w:p>
    <w:tbl>
      <w:tblPr>
        <w:tblStyle w:val="TableGrid"/>
        <w:tblW w:w="0" w:type="auto"/>
        <w:tblLook w:val="04A0" w:firstRow="1" w:lastRow="0" w:firstColumn="1" w:lastColumn="0" w:noHBand="0" w:noVBand="1"/>
      </w:tblPr>
      <w:tblGrid>
        <w:gridCol w:w="616"/>
        <w:gridCol w:w="2698"/>
        <w:gridCol w:w="2280"/>
        <w:gridCol w:w="704"/>
        <w:gridCol w:w="2344"/>
        <w:gridCol w:w="704"/>
      </w:tblGrid>
      <w:tr w:rsidR="001F3EE5" w14:paraId="64040B6A" w14:textId="77777777" w:rsidTr="00D51634">
        <w:tc>
          <w:tcPr>
            <w:tcW w:w="0" w:type="auto"/>
          </w:tcPr>
          <w:p w14:paraId="2411911A" w14:textId="77777777" w:rsidR="00BE52C0" w:rsidRDefault="00BE52C0" w:rsidP="00D51634"/>
        </w:tc>
        <w:tc>
          <w:tcPr>
            <w:tcW w:w="0" w:type="auto"/>
          </w:tcPr>
          <w:p w14:paraId="50F85A00" w14:textId="77777777" w:rsidR="00BE52C0" w:rsidRDefault="00BE52C0" w:rsidP="00D51634"/>
        </w:tc>
        <w:tc>
          <w:tcPr>
            <w:tcW w:w="0" w:type="auto"/>
          </w:tcPr>
          <w:p w14:paraId="62A19DBF" w14:textId="77777777" w:rsidR="00BE52C0" w:rsidRDefault="00BE52C0" w:rsidP="00D51634">
            <w:r>
              <w:t>Black students (N=221)</w:t>
            </w:r>
          </w:p>
        </w:tc>
        <w:tc>
          <w:tcPr>
            <w:tcW w:w="0" w:type="auto"/>
          </w:tcPr>
          <w:p w14:paraId="6D2D89DE" w14:textId="77777777" w:rsidR="00BE52C0" w:rsidRDefault="00BE52C0" w:rsidP="00D51634"/>
        </w:tc>
        <w:tc>
          <w:tcPr>
            <w:tcW w:w="0" w:type="auto"/>
          </w:tcPr>
          <w:p w14:paraId="070EEF8E" w14:textId="77777777" w:rsidR="00BE52C0" w:rsidRDefault="00BE52C0" w:rsidP="00D51634">
            <w:r>
              <w:t>Latinx students (N=283)</w:t>
            </w:r>
          </w:p>
        </w:tc>
        <w:tc>
          <w:tcPr>
            <w:tcW w:w="0" w:type="auto"/>
          </w:tcPr>
          <w:p w14:paraId="6308CF42" w14:textId="77777777" w:rsidR="00BE52C0" w:rsidRDefault="00BE52C0" w:rsidP="00D51634"/>
        </w:tc>
      </w:tr>
      <w:tr w:rsidR="001F3EE5" w14:paraId="411C8988" w14:textId="77777777" w:rsidTr="00D51634">
        <w:tc>
          <w:tcPr>
            <w:tcW w:w="0" w:type="auto"/>
          </w:tcPr>
          <w:p w14:paraId="0A36C5B1" w14:textId="77777777" w:rsidR="00BE52C0" w:rsidRDefault="00BE52C0" w:rsidP="00D51634">
            <w:r>
              <w:t>Step</w:t>
            </w:r>
          </w:p>
        </w:tc>
        <w:tc>
          <w:tcPr>
            <w:tcW w:w="0" w:type="auto"/>
          </w:tcPr>
          <w:p w14:paraId="724AC527" w14:textId="77777777" w:rsidR="00BE52C0" w:rsidRDefault="00BE52C0" w:rsidP="00D51634">
            <w:r>
              <w:t>Variable</w:t>
            </w:r>
          </w:p>
        </w:tc>
        <w:tc>
          <w:tcPr>
            <w:tcW w:w="0" w:type="auto"/>
          </w:tcPr>
          <w:p w14:paraId="397A6FAA" w14:textId="77777777" w:rsidR="00BE52C0" w:rsidRDefault="00BE52C0" w:rsidP="00D51634">
            <w:r>
              <w:t>B (SE)</w:t>
            </w:r>
          </w:p>
        </w:tc>
        <w:tc>
          <w:tcPr>
            <w:tcW w:w="0" w:type="auto"/>
          </w:tcPr>
          <w:p w14:paraId="291AA866" w14:textId="77777777" w:rsidR="00BE52C0" w:rsidRDefault="00BE52C0" w:rsidP="00D51634">
            <w:r>
              <w:rPr>
                <w:rFonts w:cstheme="minorHAnsi"/>
              </w:rPr>
              <w:t>Β</w:t>
            </w:r>
          </w:p>
        </w:tc>
        <w:tc>
          <w:tcPr>
            <w:tcW w:w="0" w:type="auto"/>
          </w:tcPr>
          <w:p w14:paraId="7EBB0A26" w14:textId="77777777" w:rsidR="00BE52C0" w:rsidRDefault="00BE52C0" w:rsidP="00D51634">
            <w:r>
              <w:t>B (SE)</w:t>
            </w:r>
          </w:p>
        </w:tc>
        <w:tc>
          <w:tcPr>
            <w:tcW w:w="0" w:type="auto"/>
          </w:tcPr>
          <w:p w14:paraId="68813D60" w14:textId="77777777" w:rsidR="00BE52C0" w:rsidRDefault="00BE52C0" w:rsidP="00D51634">
            <w:r>
              <w:rPr>
                <w:rFonts w:cstheme="minorHAnsi"/>
              </w:rPr>
              <w:t>β</w:t>
            </w:r>
          </w:p>
        </w:tc>
      </w:tr>
      <w:tr w:rsidR="001F3EE5" w14:paraId="4D0DB708" w14:textId="77777777" w:rsidTr="00D51634">
        <w:tc>
          <w:tcPr>
            <w:tcW w:w="0" w:type="auto"/>
          </w:tcPr>
          <w:p w14:paraId="7ED4F155" w14:textId="77777777" w:rsidR="00BE52C0" w:rsidRDefault="00BE52C0" w:rsidP="00D51634">
            <w:r>
              <w:t>1</w:t>
            </w:r>
          </w:p>
        </w:tc>
        <w:tc>
          <w:tcPr>
            <w:tcW w:w="0" w:type="auto"/>
          </w:tcPr>
          <w:p w14:paraId="4A3B3C4B" w14:textId="257BC5C5" w:rsidR="00BE52C0" w:rsidRPr="00A4703E" w:rsidRDefault="00BE52C0" w:rsidP="00D51634">
            <w:pPr>
              <w:rPr>
                <w:vertAlign w:val="superscript"/>
              </w:rPr>
            </w:pPr>
            <w:r>
              <w:t>Anxiety</w:t>
            </w:r>
            <w:r w:rsidRPr="00A4703E">
              <w:t xml:space="preserve"> Wave 1 </w:t>
            </w:r>
          </w:p>
        </w:tc>
        <w:tc>
          <w:tcPr>
            <w:tcW w:w="0" w:type="auto"/>
          </w:tcPr>
          <w:p w14:paraId="5D84F12C" w14:textId="5AC9B42D" w:rsidR="00BE52C0" w:rsidRPr="007F55AA" w:rsidRDefault="007F55AA" w:rsidP="00D51634">
            <w:pPr>
              <w:rPr>
                <w:vertAlign w:val="superscript"/>
              </w:rPr>
            </w:pPr>
            <w:r w:rsidRPr="007F55AA">
              <w:t xml:space="preserve">.66 (.06) </w:t>
            </w:r>
          </w:p>
        </w:tc>
        <w:tc>
          <w:tcPr>
            <w:tcW w:w="0" w:type="auto"/>
          </w:tcPr>
          <w:p w14:paraId="5024FC5A" w14:textId="07120854" w:rsidR="00BE52C0" w:rsidRDefault="008E1843" w:rsidP="00D51634">
            <w:r w:rsidRPr="007F55AA">
              <w:t>.62</w:t>
            </w:r>
            <w:r w:rsidRPr="007F55AA">
              <w:rPr>
                <w:vertAlign w:val="superscript"/>
              </w:rPr>
              <w:t>***</w:t>
            </w:r>
          </w:p>
        </w:tc>
        <w:tc>
          <w:tcPr>
            <w:tcW w:w="0" w:type="auto"/>
          </w:tcPr>
          <w:p w14:paraId="35F1DA98" w14:textId="551D550C" w:rsidR="00BE52C0" w:rsidRDefault="008E1843" w:rsidP="00D51634">
            <w:r w:rsidRPr="007F55AA">
              <w:t>.60 (.08)</w:t>
            </w:r>
          </w:p>
        </w:tc>
        <w:tc>
          <w:tcPr>
            <w:tcW w:w="0" w:type="auto"/>
          </w:tcPr>
          <w:p w14:paraId="1A5BC127" w14:textId="158756F3" w:rsidR="00BE52C0" w:rsidRDefault="008E1843" w:rsidP="00D51634">
            <w:r w:rsidRPr="007F55AA">
              <w:t>.59</w:t>
            </w:r>
            <w:r w:rsidRPr="007F55AA">
              <w:rPr>
                <w:vertAlign w:val="superscript"/>
              </w:rPr>
              <w:t>***</w:t>
            </w:r>
          </w:p>
        </w:tc>
      </w:tr>
      <w:tr w:rsidR="001F3EE5" w14:paraId="6E5B9F2D" w14:textId="77777777" w:rsidTr="00D51634">
        <w:tc>
          <w:tcPr>
            <w:tcW w:w="0" w:type="auto"/>
          </w:tcPr>
          <w:p w14:paraId="22337AC9" w14:textId="77777777" w:rsidR="00BE52C0" w:rsidRDefault="00BE52C0" w:rsidP="00D51634"/>
        </w:tc>
        <w:tc>
          <w:tcPr>
            <w:tcW w:w="0" w:type="auto"/>
          </w:tcPr>
          <w:p w14:paraId="2BFA326F" w14:textId="77777777" w:rsidR="00BE52C0" w:rsidRDefault="00BE52C0" w:rsidP="00D51634">
            <w:r w:rsidRPr="00A4703E">
              <w:t xml:space="preserve">Female </w:t>
            </w:r>
          </w:p>
        </w:tc>
        <w:tc>
          <w:tcPr>
            <w:tcW w:w="0" w:type="auto"/>
          </w:tcPr>
          <w:p w14:paraId="386D95C1" w14:textId="44CB4C21" w:rsidR="00BE52C0" w:rsidRDefault="007F55AA" w:rsidP="00D51634">
            <w:r w:rsidRPr="007F55AA">
              <w:t xml:space="preserve">.02 (.21) </w:t>
            </w:r>
          </w:p>
        </w:tc>
        <w:tc>
          <w:tcPr>
            <w:tcW w:w="0" w:type="auto"/>
          </w:tcPr>
          <w:p w14:paraId="5F16E740" w14:textId="46346847" w:rsidR="00BE52C0" w:rsidRDefault="008E1843" w:rsidP="00D51634">
            <w:r w:rsidRPr="007F55AA">
              <w:t>.00</w:t>
            </w:r>
          </w:p>
        </w:tc>
        <w:tc>
          <w:tcPr>
            <w:tcW w:w="0" w:type="auto"/>
          </w:tcPr>
          <w:p w14:paraId="0CB26FCC" w14:textId="2448EEE4" w:rsidR="00BE52C0" w:rsidRDefault="008E1843" w:rsidP="00D51634">
            <w:r w:rsidRPr="007F55AA">
              <w:t>.40 (.46)</w:t>
            </w:r>
          </w:p>
        </w:tc>
        <w:tc>
          <w:tcPr>
            <w:tcW w:w="0" w:type="auto"/>
          </w:tcPr>
          <w:p w14:paraId="3477AE04" w14:textId="7EF8E6A4" w:rsidR="00BE52C0" w:rsidRDefault="008E1843" w:rsidP="00D51634">
            <w:r w:rsidRPr="007F55AA">
              <w:t>.06</w:t>
            </w:r>
          </w:p>
        </w:tc>
      </w:tr>
      <w:tr w:rsidR="001F3EE5" w14:paraId="0C5547D9" w14:textId="77777777" w:rsidTr="00D51634">
        <w:tc>
          <w:tcPr>
            <w:tcW w:w="0" w:type="auto"/>
          </w:tcPr>
          <w:p w14:paraId="4BF66560" w14:textId="77777777" w:rsidR="00BE52C0" w:rsidRDefault="00BE52C0" w:rsidP="00D51634"/>
        </w:tc>
        <w:tc>
          <w:tcPr>
            <w:tcW w:w="0" w:type="auto"/>
          </w:tcPr>
          <w:p w14:paraId="469C0099" w14:textId="77777777" w:rsidR="00BE52C0" w:rsidRPr="00276DF8" w:rsidRDefault="00BE52C0" w:rsidP="00D51634">
            <w:pPr>
              <w:rPr>
                <w:vertAlign w:val="superscript"/>
              </w:rPr>
            </w:pPr>
            <w:r w:rsidRPr="00276DF8">
              <w:t xml:space="preserve">First-Generation </w:t>
            </w:r>
          </w:p>
        </w:tc>
        <w:tc>
          <w:tcPr>
            <w:tcW w:w="0" w:type="auto"/>
          </w:tcPr>
          <w:p w14:paraId="69CFB68F" w14:textId="5946B7F1" w:rsidR="00BE52C0" w:rsidRPr="00AF31C4" w:rsidRDefault="00AF31C4" w:rsidP="00D51634">
            <w:pPr>
              <w:rPr>
                <w:vertAlign w:val="superscript"/>
              </w:rPr>
            </w:pPr>
            <w:r w:rsidRPr="00AF31C4">
              <w:t xml:space="preserve">-.25 (.26) </w:t>
            </w:r>
          </w:p>
        </w:tc>
        <w:tc>
          <w:tcPr>
            <w:tcW w:w="0" w:type="auto"/>
          </w:tcPr>
          <w:p w14:paraId="609B8901" w14:textId="090B85BA" w:rsidR="00BE52C0" w:rsidRDefault="008E1843" w:rsidP="00D51634">
            <w:r w:rsidRPr="00AF31C4">
              <w:t>-.04</w:t>
            </w:r>
          </w:p>
        </w:tc>
        <w:tc>
          <w:tcPr>
            <w:tcW w:w="0" w:type="auto"/>
          </w:tcPr>
          <w:p w14:paraId="49E3CB45" w14:textId="60521AA9" w:rsidR="00BE52C0" w:rsidRDefault="008E1843" w:rsidP="00D51634">
            <w:r w:rsidRPr="00AF31C4">
              <w:t>-.34 (.13)</w:t>
            </w:r>
          </w:p>
        </w:tc>
        <w:tc>
          <w:tcPr>
            <w:tcW w:w="0" w:type="auto"/>
          </w:tcPr>
          <w:p w14:paraId="42FA0316" w14:textId="7BCE49AE" w:rsidR="00BE52C0" w:rsidRDefault="008E1843" w:rsidP="00D51634">
            <w:r w:rsidRPr="00AF31C4">
              <w:t>-.05</w:t>
            </w:r>
            <w:r w:rsidRPr="00AF31C4">
              <w:rPr>
                <w:vertAlign w:val="superscript"/>
              </w:rPr>
              <w:t>**</w:t>
            </w:r>
          </w:p>
        </w:tc>
      </w:tr>
      <w:tr w:rsidR="001F3EE5" w14:paraId="4C343193" w14:textId="77777777" w:rsidTr="00D51634">
        <w:tc>
          <w:tcPr>
            <w:tcW w:w="0" w:type="auto"/>
          </w:tcPr>
          <w:p w14:paraId="3EB2160A" w14:textId="77777777" w:rsidR="00BE52C0" w:rsidRDefault="00BE52C0" w:rsidP="00D51634"/>
        </w:tc>
        <w:tc>
          <w:tcPr>
            <w:tcW w:w="0" w:type="auto"/>
          </w:tcPr>
          <w:p w14:paraId="51045F0A" w14:textId="77777777" w:rsidR="00BE52C0" w:rsidRPr="00276DF8" w:rsidRDefault="00BE52C0" w:rsidP="00D51634">
            <w:pPr>
              <w:rPr>
                <w:vertAlign w:val="superscript"/>
              </w:rPr>
            </w:pPr>
            <w:r w:rsidRPr="00276DF8">
              <w:t xml:space="preserve">Financial Distress </w:t>
            </w:r>
          </w:p>
        </w:tc>
        <w:tc>
          <w:tcPr>
            <w:tcW w:w="0" w:type="auto"/>
          </w:tcPr>
          <w:p w14:paraId="2FBEE191" w14:textId="1A76D539" w:rsidR="00BE52C0" w:rsidRPr="00190D67" w:rsidRDefault="00190D67" w:rsidP="00D51634">
            <w:pPr>
              <w:rPr>
                <w:vertAlign w:val="superscript"/>
              </w:rPr>
            </w:pPr>
            <w:r w:rsidRPr="00190D67">
              <w:t xml:space="preserve">.56 (.12) </w:t>
            </w:r>
          </w:p>
        </w:tc>
        <w:tc>
          <w:tcPr>
            <w:tcW w:w="0" w:type="auto"/>
          </w:tcPr>
          <w:p w14:paraId="48E056D6" w14:textId="5BDEA733" w:rsidR="00BE52C0" w:rsidRDefault="008E1843" w:rsidP="00D51634">
            <w:r w:rsidRPr="00190D67">
              <w:t>.14</w:t>
            </w:r>
            <w:r w:rsidRPr="00190D67">
              <w:rPr>
                <w:vertAlign w:val="superscript"/>
              </w:rPr>
              <w:t>***</w:t>
            </w:r>
          </w:p>
        </w:tc>
        <w:tc>
          <w:tcPr>
            <w:tcW w:w="0" w:type="auto"/>
          </w:tcPr>
          <w:p w14:paraId="61701D71" w14:textId="4305E4A1" w:rsidR="00BE52C0" w:rsidRDefault="008E1843" w:rsidP="00D51634">
            <w:r w:rsidRPr="00190D67">
              <w:t>.49 (.17)</w:t>
            </w:r>
          </w:p>
        </w:tc>
        <w:tc>
          <w:tcPr>
            <w:tcW w:w="0" w:type="auto"/>
          </w:tcPr>
          <w:p w14:paraId="25265FC1" w14:textId="7308ACF5" w:rsidR="00BE52C0" w:rsidRDefault="008E1843" w:rsidP="00D51634">
            <w:r w:rsidRPr="00190D67">
              <w:t>.13</w:t>
            </w:r>
            <w:r w:rsidRPr="00190D67">
              <w:rPr>
                <w:vertAlign w:val="superscript"/>
              </w:rPr>
              <w:t>**</w:t>
            </w:r>
          </w:p>
        </w:tc>
      </w:tr>
      <w:tr w:rsidR="001F3EE5" w14:paraId="4FA2B56A" w14:textId="77777777" w:rsidTr="00D51634">
        <w:tc>
          <w:tcPr>
            <w:tcW w:w="0" w:type="auto"/>
          </w:tcPr>
          <w:p w14:paraId="095EB2AA" w14:textId="77777777" w:rsidR="00BE52C0" w:rsidRDefault="00BE52C0" w:rsidP="00D51634"/>
        </w:tc>
        <w:tc>
          <w:tcPr>
            <w:tcW w:w="0" w:type="auto"/>
          </w:tcPr>
          <w:p w14:paraId="10F8EA91" w14:textId="77777777" w:rsidR="00BE52C0" w:rsidRDefault="00BE52C0" w:rsidP="00D51634">
            <w:r w:rsidRPr="00276DF8">
              <w:t xml:space="preserve">Political Efficacy                                    </w:t>
            </w:r>
          </w:p>
        </w:tc>
        <w:tc>
          <w:tcPr>
            <w:tcW w:w="0" w:type="auto"/>
          </w:tcPr>
          <w:p w14:paraId="384B891A" w14:textId="194AFA23" w:rsidR="00BE52C0" w:rsidRDefault="00190D67" w:rsidP="00D51634">
            <w:r w:rsidRPr="00190D67">
              <w:t xml:space="preserve">.04 (.22) </w:t>
            </w:r>
          </w:p>
        </w:tc>
        <w:tc>
          <w:tcPr>
            <w:tcW w:w="0" w:type="auto"/>
          </w:tcPr>
          <w:p w14:paraId="44D78EC6" w14:textId="6C6AC5C3" w:rsidR="00BE52C0" w:rsidRDefault="008E1843" w:rsidP="00D51634">
            <w:r w:rsidRPr="00190D67">
              <w:t>.01</w:t>
            </w:r>
          </w:p>
        </w:tc>
        <w:tc>
          <w:tcPr>
            <w:tcW w:w="0" w:type="auto"/>
          </w:tcPr>
          <w:p w14:paraId="1C8D2417" w14:textId="1878C091" w:rsidR="00BE52C0" w:rsidRDefault="008E1843" w:rsidP="00D51634">
            <w:r w:rsidRPr="00190D67">
              <w:t>.03 (.17)</w:t>
            </w:r>
          </w:p>
        </w:tc>
        <w:tc>
          <w:tcPr>
            <w:tcW w:w="0" w:type="auto"/>
          </w:tcPr>
          <w:p w14:paraId="6DAE37E1" w14:textId="73E89E1A" w:rsidR="00BE52C0" w:rsidRDefault="008E1843" w:rsidP="00D51634">
            <w:r w:rsidRPr="00190D67">
              <w:t>.01</w:t>
            </w:r>
          </w:p>
        </w:tc>
      </w:tr>
      <w:tr w:rsidR="001F3EE5" w14:paraId="560684A3" w14:textId="77777777" w:rsidTr="00D51634">
        <w:tc>
          <w:tcPr>
            <w:tcW w:w="0" w:type="auto"/>
          </w:tcPr>
          <w:p w14:paraId="301674F5" w14:textId="77777777" w:rsidR="00BE52C0" w:rsidRDefault="00BE52C0" w:rsidP="00D51634"/>
        </w:tc>
        <w:tc>
          <w:tcPr>
            <w:tcW w:w="0" w:type="auto"/>
          </w:tcPr>
          <w:p w14:paraId="68919F7C" w14:textId="77777777" w:rsidR="00BE52C0" w:rsidRDefault="00BE52C0" w:rsidP="00D51634">
            <w:r>
              <w:t>R</w:t>
            </w:r>
            <w:r w:rsidRPr="00DF0D0B">
              <w:rPr>
                <w:vertAlign w:val="superscript"/>
              </w:rPr>
              <w:t>2</w:t>
            </w:r>
          </w:p>
        </w:tc>
        <w:tc>
          <w:tcPr>
            <w:tcW w:w="0" w:type="auto"/>
          </w:tcPr>
          <w:p w14:paraId="35A05900" w14:textId="57EEC146" w:rsidR="00BE52C0" w:rsidRDefault="00190D67" w:rsidP="00D51634">
            <w:r>
              <w:t>.44</w:t>
            </w:r>
          </w:p>
        </w:tc>
        <w:tc>
          <w:tcPr>
            <w:tcW w:w="0" w:type="auto"/>
          </w:tcPr>
          <w:p w14:paraId="63831FA0" w14:textId="77777777" w:rsidR="00BE52C0" w:rsidRDefault="00BE52C0" w:rsidP="00D51634"/>
        </w:tc>
        <w:tc>
          <w:tcPr>
            <w:tcW w:w="0" w:type="auto"/>
          </w:tcPr>
          <w:p w14:paraId="38613A08" w14:textId="77EA7DB3" w:rsidR="00BE52C0" w:rsidRDefault="00190D67" w:rsidP="00D51634">
            <w:r>
              <w:t>.42</w:t>
            </w:r>
          </w:p>
        </w:tc>
        <w:tc>
          <w:tcPr>
            <w:tcW w:w="0" w:type="auto"/>
          </w:tcPr>
          <w:p w14:paraId="04FC16E2" w14:textId="77777777" w:rsidR="00BE52C0" w:rsidRDefault="00BE52C0" w:rsidP="00D51634"/>
        </w:tc>
      </w:tr>
      <w:tr w:rsidR="001F3EE5" w14:paraId="1DD801C7" w14:textId="77777777" w:rsidTr="00D51634">
        <w:tc>
          <w:tcPr>
            <w:tcW w:w="0" w:type="auto"/>
          </w:tcPr>
          <w:p w14:paraId="531B4551" w14:textId="77777777" w:rsidR="00BE52C0" w:rsidRDefault="00BE52C0" w:rsidP="00D51634">
            <w:r>
              <w:t>2</w:t>
            </w:r>
          </w:p>
        </w:tc>
        <w:tc>
          <w:tcPr>
            <w:tcW w:w="0" w:type="auto"/>
          </w:tcPr>
          <w:p w14:paraId="583F280A" w14:textId="3DBCFDFA" w:rsidR="00BE52C0" w:rsidRPr="00CE727F" w:rsidRDefault="00BE52C0" w:rsidP="00D51634">
            <w:pPr>
              <w:rPr>
                <w:vertAlign w:val="superscript"/>
              </w:rPr>
            </w:pPr>
            <w:r>
              <w:t>Anxiety</w:t>
            </w:r>
            <w:r w:rsidRPr="00CE727F">
              <w:t xml:space="preserve"> Wave 1 </w:t>
            </w:r>
          </w:p>
        </w:tc>
        <w:tc>
          <w:tcPr>
            <w:tcW w:w="0" w:type="auto"/>
          </w:tcPr>
          <w:p w14:paraId="09EFEBE4" w14:textId="4FEC25EE" w:rsidR="00BE52C0" w:rsidRPr="00D34217" w:rsidRDefault="00D34217" w:rsidP="00D51634">
            <w:pPr>
              <w:rPr>
                <w:vertAlign w:val="superscript"/>
              </w:rPr>
            </w:pPr>
            <w:r w:rsidRPr="00D34217">
              <w:t xml:space="preserve">.67 (.06) </w:t>
            </w:r>
          </w:p>
        </w:tc>
        <w:tc>
          <w:tcPr>
            <w:tcW w:w="0" w:type="auto"/>
          </w:tcPr>
          <w:p w14:paraId="54393EA7" w14:textId="3177FBE5" w:rsidR="00BE52C0" w:rsidRDefault="008E1843" w:rsidP="00D51634">
            <w:r w:rsidRPr="00D34217">
              <w:t>.63</w:t>
            </w:r>
            <w:r w:rsidRPr="00D34217">
              <w:rPr>
                <w:vertAlign w:val="superscript"/>
              </w:rPr>
              <w:t>***</w:t>
            </w:r>
          </w:p>
        </w:tc>
        <w:tc>
          <w:tcPr>
            <w:tcW w:w="0" w:type="auto"/>
          </w:tcPr>
          <w:p w14:paraId="332568AE" w14:textId="54D0025B" w:rsidR="00BE52C0" w:rsidRDefault="008E1843" w:rsidP="00D51634">
            <w:r w:rsidRPr="00D34217">
              <w:t>.60 (.08)</w:t>
            </w:r>
          </w:p>
        </w:tc>
        <w:tc>
          <w:tcPr>
            <w:tcW w:w="0" w:type="auto"/>
          </w:tcPr>
          <w:p w14:paraId="3D2DB726" w14:textId="35C902EE" w:rsidR="00BE52C0" w:rsidRDefault="008E1843" w:rsidP="00D51634">
            <w:r w:rsidRPr="00D34217">
              <w:t>.60</w:t>
            </w:r>
            <w:r w:rsidRPr="00D34217">
              <w:rPr>
                <w:vertAlign w:val="superscript"/>
              </w:rPr>
              <w:t>***</w:t>
            </w:r>
          </w:p>
        </w:tc>
      </w:tr>
      <w:tr w:rsidR="001F3EE5" w14:paraId="1BBEEA31" w14:textId="77777777" w:rsidTr="00D51634">
        <w:tc>
          <w:tcPr>
            <w:tcW w:w="0" w:type="auto"/>
          </w:tcPr>
          <w:p w14:paraId="02C8E206" w14:textId="77777777" w:rsidR="00BE52C0" w:rsidRDefault="00BE52C0" w:rsidP="00D51634"/>
        </w:tc>
        <w:tc>
          <w:tcPr>
            <w:tcW w:w="0" w:type="auto"/>
          </w:tcPr>
          <w:p w14:paraId="6F93B287" w14:textId="7B7B4236" w:rsidR="00BE52C0" w:rsidRDefault="00BE52C0" w:rsidP="00D51634">
            <w:r w:rsidRPr="00CE727F">
              <w:t>Female</w:t>
            </w:r>
          </w:p>
        </w:tc>
        <w:tc>
          <w:tcPr>
            <w:tcW w:w="0" w:type="auto"/>
          </w:tcPr>
          <w:p w14:paraId="1034E7A6" w14:textId="0CD66DD7" w:rsidR="00BE52C0" w:rsidRDefault="00D34217" w:rsidP="00D51634">
            <w:r w:rsidRPr="00D34217">
              <w:t xml:space="preserve">-.07 (.18) </w:t>
            </w:r>
          </w:p>
        </w:tc>
        <w:tc>
          <w:tcPr>
            <w:tcW w:w="0" w:type="auto"/>
          </w:tcPr>
          <w:p w14:paraId="58A7866C" w14:textId="194078D2" w:rsidR="00BE52C0" w:rsidRDefault="008E1843" w:rsidP="00D51634">
            <w:r w:rsidRPr="00D34217">
              <w:t>-.01</w:t>
            </w:r>
          </w:p>
        </w:tc>
        <w:tc>
          <w:tcPr>
            <w:tcW w:w="0" w:type="auto"/>
          </w:tcPr>
          <w:p w14:paraId="2DDCC323" w14:textId="34EEB504" w:rsidR="00BE52C0" w:rsidRDefault="008E1843" w:rsidP="00D51634">
            <w:r w:rsidRPr="00D34217">
              <w:t>.60 (.39)</w:t>
            </w:r>
          </w:p>
        </w:tc>
        <w:tc>
          <w:tcPr>
            <w:tcW w:w="0" w:type="auto"/>
          </w:tcPr>
          <w:p w14:paraId="0936F0C2" w14:textId="19C1B733" w:rsidR="00BE52C0" w:rsidRDefault="008E1843" w:rsidP="00D51634">
            <w:r w:rsidRPr="00D34217">
              <w:t>.10</w:t>
            </w:r>
          </w:p>
        </w:tc>
      </w:tr>
      <w:tr w:rsidR="001F3EE5" w14:paraId="13E39980" w14:textId="77777777" w:rsidTr="00D51634">
        <w:tc>
          <w:tcPr>
            <w:tcW w:w="0" w:type="auto"/>
          </w:tcPr>
          <w:p w14:paraId="062B179F" w14:textId="77777777" w:rsidR="00BE52C0" w:rsidRDefault="00BE52C0" w:rsidP="00D51634"/>
        </w:tc>
        <w:tc>
          <w:tcPr>
            <w:tcW w:w="0" w:type="auto"/>
          </w:tcPr>
          <w:p w14:paraId="3E35DC9E" w14:textId="77777777" w:rsidR="00BE52C0" w:rsidRPr="007E016D" w:rsidRDefault="00BE52C0" w:rsidP="00D51634">
            <w:pPr>
              <w:rPr>
                <w:vertAlign w:val="superscript"/>
              </w:rPr>
            </w:pPr>
            <w:r w:rsidRPr="007E016D">
              <w:t xml:space="preserve">First-Generation </w:t>
            </w:r>
          </w:p>
        </w:tc>
        <w:tc>
          <w:tcPr>
            <w:tcW w:w="0" w:type="auto"/>
          </w:tcPr>
          <w:p w14:paraId="335D7988" w14:textId="50BED663" w:rsidR="00BE52C0" w:rsidRPr="00474515" w:rsidRDefault="00474515" w:rsidP="00D51634">
            <w:pPr>
              <w:rPr>
                <w:vertAlign w:val="superscript"/>
              </w:rPr>
            </w:pPr>
            <w:r w:rsidRPr="00474515">
              <w:t xml:space="preserve">-.19 (.23) </w:t>
            </w:r>
          </w:p>
        </w:tc>
        <w:tc>
          <w:tcPr>
            <w:tcW w:w="0" w:type="auto"/>
          </w:tcPr>
          <w:p w14:paraId="240C31F8" w14:textId="44337380" w:rsidR="00BE52C0" w:rsidRDefault="008E1843" w:rsidP="00D51634">
            <w:r w:rsidRPr="00474515">
              <w:t>-.03</w:t>
            </w:r>
          </w:p>
        </w:tc>
        <w:tc>
          <w:tcPr>
            <w:tcW w:w="0" w:type="auto"/>
          </w:tcPr>
          <w:p w14:paraId="02E5CF97" w14:textId="42EA47E1" w:rsidR="00BE52C0" w:rsidRDefault="008E1843" w:rsidP="00D51634">
            <w:r w:rsidRPr="00474515">
              <w:t>-.43 (.18)</w:t>
            </w:r>
          </w:p>
        </w:tc>
        <w:tc>
          <w:tcPr>
            <w:tcW w:w="0" w:type="auto"/>
          </w:tcPr>
          <w:p w14:paraId="455974D3" w14:textId="4701F348" w:rsidR="00BE52C0" w:rsidRDefault="008E1843" w:rsidP="00D51634">
            <w:r w:rsidRPr="00474515">
              <w:t>-.06</w:t>
            </w:r>
            <w:r w:rsidRPr="00474515">
              <w:rPr>
                <w:vertAlign w:val="superscript"/>
              </w:rPr>
              <w:t>*</w:t>
            </w:r>
          </w:p>
        </w:tc>
      </w:tr>
      <w:tr w:rsidR="001F3EE5" w14:paraId="08A86042" w14:textId="77777777" w:rsidTr="00D51634">
        <w:tc>
          <w:tcPr>
            <w:tcW w:w="0" w:type="auto"/>
          </w:tcPr>
          <w:p w14:paraId="1D847BA0" w14:textId="77777777" w:rsidR="00BE52C0" w:rsidRDefault="00BE52C0" w:rsidP="00D51634"/>
        </w:tc>
        <w:tc>
          <w:tcPr>
            <w:tcW w:w="0" w:type="auto"/>
          </w:tcPr>
          <w:p w14:paraId="7E875E78" w14:textId="77777777" w:rsidR="00BE52C0" w:rsidRPr="0096365D" w:rsidRDefault="00BE52C0" w:rsidP="00D51634">
            <w:pPr>
              <w:rPr>
                <w:vertAlign w:val="superscript"/>
              </w:rPr>
            </w:pPr>
            <w:r w:rsidRPr="0096365D">
              <w:t xml:space="preserve">Financial Distress </w:t>
            </w:r>
          </w:p>
        </w:tc>
        <w:tc>
          <w:tcPr>
            <w:tcW w:w="0" w:type="auto"/>
          </w:tcPr>
          <w:p w14:paraId="2A402E63" w14:textId="485074CC" w:rsidR="00BE52C0" w:rsidRPr="00573DC0" w:rsidRDefault="00573DC0" w:rsidP="00D51634">
            <w:pPr>
              <w:rPr>
                <w:vertAlign w:val="superscript"/>
              </w:rPr>
            </w:pPr>
            <w:r w:rsidRPr="00573DC0">
              <w:t xml:space="preserve">.63 (.12) </w:t>
            </w:r>
          </w:p>
        </w:tc>
        <w:tc>
          <w:tcPr>
            <w:tcW w:w="0" w:type="auto"/>
          </w:tcPr>
          <w:p w14:paraId="7B404B20" w14:textId="519D9B09" w:rsidR="00BE52C0" w:rsidRDefault="008E1843" w:rsidP="00D51634">
            <w:r w:rsidRPr="00573DC0">
              <w:t>.16</w:t>
            </w:r>
            <w:r w:rsidRPr="00573DC0">
              <w:rPr>
                <w:vertAlign w:val="superscript"/>
              </w:rPr>
              <w:t>***</w:t>
            </w:r>
          </w:p>
        </w:tc>
        <w:tc>
          <w:tcPr>
            <w:tcW w:w="0" w:type="auto"/>
          </w:tcPr>
          <w:p w14:paraId="6C8F0F8C" w14:textId="22ECFCB3" w:rsidR="00BE52C0" w:rsidRDefault="008E1843" w:rsidP="00D51634">
            <w:r w:rsidRPr="00573DC0">
              <w:t>.39 (.16)</w:t>
            </w:r>
          </w:p>
        </w:tc>
        <w:tc>
          <w:tcPr>
            <w:tcW w:w="0" w:type="auto"/>
          </w:tcPr>
          <w:p w14:paraId="475450B1" w14:textId="2B5AD98A" w:rsidR="00BE52C0" w:rsidRDefault="008E1843" w:rsidP="00D51634">
            <w:r w:rsidRPr="00573DC0">
              <w:t>.11</w:t>
            </w:r>
            <w:r w:rsidRPr="00573DC0">
              <w:rPr>
                <w:vertAlign w:val="superscript"/>
              </w:rPr>
              <w:t>*</w:t>
            </w:r>
          </w:p>
        </w:tc>
      </w:tr>
      <w:tr w:rsidR="001F3EE5" w14:paraId="25AA9280" w14:textId="77777777" w:rsidTr="00D51634">
        <w:tc>
          <w:tcPr>
            <w:tcW w:w="0" w:type="auto"/>
          </w:tcPr>
          <w:p w14:paraId="3E81822B" w14:textId="77777777" w:rsidR="00BE52C0" w:rsidRDefault="00BE52C0" w:rsidP="00D51634"/>
        </w:tc>
        <w:tc>
          <w:tcPr>
            <w:tcW w:w="0" w:type="auto"/>
          </w:tcPr>
          <w:p w14:paraId="096B7C53" w14:textId="77777777" w:rsidR="00BE52C0" w:rsidRDefault="00BE52C0" w:rsidP="00D51634">
            <w:r w:rsidRPr="0096365D">
              <w:t xml:space="preserve">Political Efficacy                                    </w:t>
            </w:r>
          </w:p>
        </w:tc>
        <w:tc>
          <w:tcPr>
            <w:tcW w:w="0" w:type="auto"/>
          </w:tcPr>
          <w:p w14:paraId="7B8D2150" w14:textId="3D237ADA" w:rsidR="00BE52C0" w:rsidRDefault="00573DC0" w:rsidP="00D51634">
            <w:r w:rsidRPr="00573DC0">
              <w:t xml:space="preserve">.10 (.19) </w:t>
            </w:r>
          </w:p>
        </w:tc>
        <w:tc>
          <w:tcPr>
            <w:tcW w:w="0" w:type="auto"/>
          </w:tcPr>
          <w:p w14:paraId="7043FDDC" w14:textId="152CDA69" w:rsidR="00BE52C0" w:rsidRDefault="008E1843" w:rsidP="00D51634">
            <w:r w:rsidRPr="00573DC0">
              <w:t>.03</w:t>
            </w:r>
          </w:p>
        </w:tc>
        <w:tc>
          <w:tcPr>
            <w:tcW w:w="0" w:type="auto"/>
          </w:tcPr>
          <w:p w14:paraId="7B6ECE3D" w14:textId="46DE753E" w:rsidR="00BE52C0" w:rsidRDefault="008E1843" w:rsidP="00D51634">
            <w:r w:rsidRPr="00573DC0">
              <w:t>.12 (.20)</w:t>
            </w:r>
          </w:p>
        </w:tc>
        <w:tc>
          <w:tcPr>
            <w:tcW w:w="0" w:type="auto"/>
          </w:tcPr>
          <w:p w14:paraId="64EAFAF6" w14:textId="552E5625" w:rsidR="00BE52C0" w:rsidRDefault="008E1843" w:rsidP="00D51634">
            <w:r w:rsidRPr="00573DC0">
              <w:t>.03</w:t>
            </w:r>
          </w:p>
        </w:tc>
      </w:tr>
      <w:tr w:rsidR="001F3EE5" w14:paraId="72A5D5FA" w14:textId="77777777" w:rsidTr="00D51634">
        <w:tc>
          <w:tcPr>
            <w:tcW w:w="0" w:type="auto"/>
          </w:tcPr>
          <w:p w14:paraId="1BC2F7E4" w14:textId="77777777" w:rsidR="00BE52C0" w:rsidRDefault="00BE52C0" w:rsidP="00D51634"/>
        </w:tc>
        <w:tc>
          <w:tcPr>
            <w:tcW w:w="0" w:type="auto"/>
          </w:tcPr>
          <w:p w14:paraId="21ACB2EE" w14:textId="77777777" w:rsidR="00BE52C0" w:rsidRDefault="00BE52C0" w:rsidP="00D51634">
            <w:r w:rsidRPr="0096365D">
              <w:t xml:space="preserve">Political Activism </w:t>
            </w:r>
          </w:p>
        </w:tc>
        <w:tc>
          <w:tcPr>
            <w:tcW w:w="0" w:type="auto"/>
          </w:tcPr>
          <w:p w14:paraId="79592AC6" w14:textId="70234E84" w:rsidR="00BE52C0" w:rsidRDefault="00573DC0" w:rsidP="00D51634">
            <w:r w:rsidRPr="00573DC0">
              <w:t xml:space="preserve">-.10 (.11) </w:t>
            </w:r>
          </w:p>
        </w:tc>
        <w:tc>
          <w:tcPr>
            <w:tcW w:w="0" w:type="auto"/>
          </w:tcPr>
          <w:p w14:paraId="6CCAF7B8" w14:textId="15881EE8" w:rsidR="00BE52C0" w:rsidRDefault="008E1843" w:rsidP="00D51634">
            <w:r w:rsidRPr="00573DC0">
              <w:t>-.05</w:t>
            </w:r>
          </w:p>
        </w:tc>
        <w:tc>
          <w:tcPr>
            <w:tcW w:w="0" w:type="auto"/>
          </w:tcPr>
          <w:p w14:paraId="418E4F8B" w14:textId="6B69D2BA" w:rsidR="00BE52C0" w:rsidRDefault="008E1843" w:rsidP="00D51634">
            <w:r w:rsidRPr="00573DC0">
              <w:t>-.27 (.14)</w:t>
            </w:r>
          </w:p>
        </w:tc>
        <w:tc>
          <w:tcPr>
            <w:tcW w:w="0" w:type="auto"/>
          </w:tcPr>
          <w:p w14:paraId="0B8E7186" w14:textId="6B9C4AEF" w:rsidR="00BE52C0" w:rsidRDefault="008E1843" w:rsidP="00D51634">
            <w:r w:rsidRPr="00573DC0">
              <w:t>-.13</w:t>
            </w:r>
          </w:p>
        </w:tc>
      </w:tr>
      <w:tr w:rsidR="001F3EE5" w14:paraId="6C64B2D2" w14:textId="77777777" w:rsidTr="00D51634">
        <w:tc>
          <w:tcPr>
            <w:tcW w:w="0" w:type="auto"/>
          </w:tcPr>
          <w:p w14:paraId="5F0ECFC7" w14:textId="77777777" w:rsidR="00BE52C0" w:rsidRDefault="00BE52C0" w:rsidP="00D51634"/>
        </w:tc>
        <w:tc>
          <w:tcPr>
            <w:tcW w:w="0" w:type="auto"/>
          </w:tcPr>
          <w:p w14:paraId="5645FE27" w14:textId="77777777" w:rsidR="00BE52C0" w:rsidRDefault="00BE52C0" w:rsidP="00D51634">
            <w:r w:rsidRPr="005555E7">
              <w:t xml:space="preserve">SBREMA </w:t>
            </w:r>
          </w:p>
        </w:tc>
        <w:tc>
          <w:tcPr>
            <w:tcW w:w="0" w:type="auto"/>
          </w:tcPr>
          <w:p w14:paraId="5633F77B" w14:textId="28AEC209" w:rsidR="00BE52C0" w:rsidRPr="001F096A" w:rsidRDefault="001F096A" w:rsidP="00D51634">
            <w:pPr>
              <w:rPr>
                <w:vertAlign w:val="superscript"/>
              </w:rPr>
            </w:pPr>
            <w:r w:rsidRPr="001F096A">
              <w:t xml:space="preserve">.07 (.05) </w:t>
            </w:r>
          </w:p>
        </w:tc>
        <w:tc>
          <w:tcPr>
            <w:tcW w:w="0" w:type="auto"/>
          </w:tcPr>
          <w:p w14:paraId="22AA174E" w14:textId="53568EB0" w:rsidR="00BE52C0" w:rsidRDefault="008E1843" w:rsidP="00D51634">
            <w:r w:rsidRPr="001F096A">
              <w:t>.06</w:t>
            </w:r>
          </w:p>
        </w:tc>
        <w:tc>
          <w:tcPr>
            <w:tcW w:w="0" w:type="auto"/>
          </w:tcPr>
          <w:p w14:paraId="724CDB35" w14:textId="797F5691" w:rsidR="00BE52C0" w:rsidRDefault="008E1843" w:rsidP="00D51634">
            <w:r w:rsidRPr="001F096A">
              <w:t>.10 (.05)</w:t>
            </w:r>
          </w:p>
        </w:tc>
        <w:tc>
          <w:tcPr>
            <w:tcW w:w="0" w:type="auto"/>
          </w:tcPr>
          <w:p w14:paraId="09827239" w14:textId="1584F1F3" w:rsidR="00BE52C0" w:rsidRDefault="008E1843" w:rsidP="00D51634">
            <w:r w:rsidRPr="001F096A">
              <w:t>.08</w:t>
            </w:r>
            <w:r w:rsidRPr="001F096A">
              <w:rPr>
                <w:vertAlign w:val="superscript"/>
              </w:rPr>
              <w:t>*</w:t>
            </w:r>
          </w:p>
        </w:tc>
      </w:tr>
      <w:tr w:rsidR="001F3EE5" w14:paraId="15EB3CB7" w14:textId="77777777" w:rsidTr="00D51634">
        <w:tc>
          <w:tcPr>
            <w:tcW w:w="0" w:type="auto"/>
          </w:tcPr>
          <w:p w14:paraId="6E2D1261" w14:textId="77777777" w:rsidR="00BE52C0" w:rsidRDefault="00BE52C0" w:rsidP="00D51634"/>
        </w:tc>
        <w:tc>
          <w:tcPr>
            <w:tcW w:w="0" w:type="auto"/>
          </w:tcPr>
          <w:p w14:paraId="52270940" w14:textId="77777777" w:rsidR="00BE52C0" w:rsidRDefault="00BE52C0" w:rsidP="00D51634">
            <w:r>
              <w:t>R</w:t>
            </w:r>
            <w:r w:rsidRPr="005555E7">
              <w:rPr>
                <w:vertAlign w:val="superscript"/>
              </w:rPr>
              <w:t>2</w:t>
            </w:r>
          </w:p>
        </w:tc>
        <w:tc>
          <w:tcPr>
            <w:tcW w:w="0" w:type="auto"/>
          </w:tcPr>
          <w:p w14:paraId="3E9AB963" w14:textId="66186960" w:rsidR="00BE52C0" w:rsidRDefault="001F096A" w:rsidP="00D51634">
            <w:r>
              <w:t>.45</w:t>
            </w:r>
          </w:p>
        </w:tc>
        <w:tc>
          <w:tcPr>
            <w:tcW w:w="0" w:type="auto"/>
          </w:tcPr>
          <w:p w14:paraId="50C6DC56" w14:textId="77777777" w:rsidR="00BE52C0" w:rsidRDefault="00BE52C0" w:rsidP="00D51634"/>
        </w:tc>
        <w:tc>
          <w:tcPr>
            <w:tcW w:w="0" w:type="auto"/>
          </w:tcPr>
          <w:p w14:paraId="77FFB31E" w14:textId="057E2D51" w:rsidR="00BE52C0" w:rsidRDefault="001F096A" w:rsidP="00D51634">
            <w:r>
              <w:t>.44</w:t>
            </w:r>
          </w:p>
        </w:tc>
        <w:tc>
          <w:tcPr>
            <w:tcW w:w="0" w:type="auto"/>
          </w:tcPr>
          <w:p w14:paraId="27878AF9" w14:textId="77777777" w:rsidR="00BE52C0" w:rsidRDefault="00BE52C0" w:rsidP="00D51634"/>
        </w:tc>
      </w:tr>
      <w:tr w:rsidR="001F3EE5" w14:paraId="1EAD3B02" w14:textId="77777777" w:rsidTr="00D51634">
        <w:tc>
          <w:tcPr>
            <w:tcW w:w="0" w:type="auto"/>
          </w:tcPr>
          <w:p w14:paraId="7C84EC2D" w14:textId="77777777" w:rsidR="00BE52C0" w:rsidRDefault="00BE52C0" w:rsidP="00D51634"/>
        </w:tc>
        <w:tc>
          <w:tcPr>
            <w:tcW w:w="0" w:type="auto"/>
          </w:tcPr>
          <w:p w14:paraId="1265874A" w14:textId="77777777" w:rsidR="00BE52C0" w:rsidRDefault="00BE52C0" w:rsidP="00D51634">
            <w:r>
              <w:rPr>
                <w:rFonts w:cstheme="minorHAnsi"/>
              </w:rPr>
              <w:t>Δ</w:t>
            </w:r>
            <w:r>
              <w:t>R</w:t>
            </w:r>
            <w:r w:rsidRPr="005555E7">
              <w:rPr>
                <w:vertAlign w:val="superscript"/>
              </w:rPr>
              <w:t>2</w:t>
            </w:r>
          </w:p>
        </w:tc>
        <w:tc>
          <w:tcPr>
            <w:tcW w:w="0" w:type="auto"/>
          </w:tcPr>
          <w:p w14:paraId="5C03EEFC" w14:textId="528BCEF5" w:rsidR="00BE52C0" w:rsidRDefault="001F096A" w:rsidP="00D51634">
            <w:r>
              <w:t>.01</w:t>
            </w:r>
          </w:p>
        </w:tc>
        <w:tc>
          <w:tcPr>
            <w:tcW w:w="0" w:type="auto"/>
          </w:tcPr>
          <w:p w14:paraId="1DF40FDE" w14:textId="77777777" w:rsidR="00BE52C0" w:rsidRDefault="00BE52C0" w:rsidP="00D51634"/>
        </w:tc>
        <w:tc>
          <w:tcPr>
            <w:tcW w:w="0" w:type="auto"/>
          </w:tcPr>
          <w:p w14:paraId="371174B7" w14:textId="15269CEF" w:rsidR="00BE52C0" w:rsidRDefault="001F096A" w:rsidP="00D51634">
            <w:r>
              <w:t>.02</w:t>
            </w:r>
          </w:p>
        </w:tc>
        <w:tc>
          <w:tcPr>
            <w:tcW w:w="0" w:type="auto"/>
          </w:tcPr>
          <w:p w14:paraId="33B76BBF" w14:textId="77777777" w:rsidR="00BE52C0" w:rsidRDefault="00BE52C0" w:rsidP="00D51634"/>
        </w:tc>
      </w:tr>
      <w:tr w:rsidR="001F3EE5" w14:paraId="7021B785" w14:textId="77777777" w:rsidTr="00D51634">
        <w:tc>
          <w:tcPr>
            <w:tcW w:w="0" w:type="auto"/>
          </w:tcPr>
          <w:p w14:paraId="76BD6D2D" w14:textId="77777777" w:rsidR="00BE52C0" w:rsidRDefault="00BE52C0" w:rsidP="00D51634">
            <w:r>
              <w:t>3</w:t>
            </w:r>
          </w:p>
        </w:tc>
        <w:tc>
          <w:tcPr>
            <w:tcW w:w="0" w:type="auto"/>
          </w:tcPr>
          <w:p w14:paraId="5C12530E" w14:textId="6C4BA826" w:rsidR="00BE52C0" w:rsidRPr="00CA5495" w:rsidRDefault="00F910F2" w:rsidP="00D51634">
            <w:pPr>
              <w:rPr>
                <w:vertAlign w:val="superscript"/>
              </w:rPr>
            </w:pPr>
            <w:r>
              <w:t>Anxiety</w:t>
            </w:r>
            <w:r w:rsidR="00BE52C0" w:rsidRPr="00CA5495">
              <w:t xml:space="preserve"> Wave 1 </w:t>
            </w:r>
          </w:p>
        </w:tc>
        <w:tc>
          <w:tcPr>
            <w:tcW w:w="0" w:type="auto"/>
          </w:tcPr>
          <w:p w14:paraId="460915BB" w14:textId="4934DE0C" w:rsidR="00BE52C0" w:rsidRPr="001F096A" w:rsidRDefault="001F096A" w:rsidP="00D51634">
            <w:pPr>
              <w:rPr>
                <w:vertAlign w:val="superscript"/>
              </w:rPr>
            </w:pPr>
            <w:r w:rsidRPr="001F096A">
              <w:t xml:space="preserve">.66 (.06) </w:t>
            </w:r>
          </w:p>
        </w:tc>
        <w:tc>
          <w:tcPr>
            <w:tcW w:w="0" w:type="auto"/>
          </w:tcPr>
          <w:p w14:paraId="65937203" w14:textId="0C375DA9" w:rsidR="00BE52C0" w:rsidRDefault="008E1843" w:rsidP="00D51634">
            <w:r w:rsidRPr="001F096A">
              <w:t>.62</w:t>
            </w:r>
            <w:r w:rsidRPr="001F096A">
              <w:rPr>
                <w:vertAlign w:val="superscript"/>
              </w:rPr>
              <w:t>***</w:t>
            </w:r>
          </w:p>
        </w:tc>
        <w:tc>
          <w:tcPr>
            <w:tcW w:w="0" w:type="auto"/>
          </w:tcPr>
          <w:p w14:paraId="6489B714" w14:textId="7A25140C" w:rsidR="00BE52C0" w:rsidRDefault="008E1843" w:rsidP="00D51634">
            <w:r w:rsidRPr="001F096A">
              <w:t>.61 (.08)</w:t>
            </w:r>
          </w:p>
        </w:tc>
        <w:tc>
          <w:tcPr>
            <w:tcW w:w="0" w:type="auto"/>
          </w:tcPr>
          <w:p w14:paraId="124159E1" w14:textId="1AC81276" w:rsidR="00BE52C0" w:rsidRDefault="008E1843" w:rsidP="00D51634">
            <w:r w:rsidRPr="001F096A">
              <w:t>.60</w:t>
            </w:r>
            <w:r w:rsidRPr="001F096A">
              <w:rPr>
                <w:vertAlign w:val="superscript"/>
              </w:rPr>
              <w:t>***</w:t>
            </w:r>
          </w:p>
        </w:tc>
      </w:tr>
      <w:tr w:rsidR="001F3EE5" w14:paraId="6F3815A6" w14:textId="77777777" w:rsidTr="00D51634">
        <w:tc>
          <w:tcPr>
            <w:tcW w:w="0" w:type="auto"/>
          </w:tcPr>
          <w:p w14:paraId="588A5EA7" w14:textId="77777777" w:rsidR="00BE52C0" w:rsidRDefault="00BE52C0" w:rsidP="00D51634"/>
        </w:tc>
        <w:tc>
          <w:tcPr>
            <w:tcW w:w="0" w:type="auto"/>
          </w:tcPr>
          <w:p w14:paraId="4F5E17E4" w14:textId="77777777" w:rsidR="00BE52C0" w:rsidRDefault="00BE52C0" w:rsidP="00D51634">
            <w:r w:rsidRPr="00CA5495">
              <w:t xml:space="preserve">Female </w:t>
            </w:r>
          </w:p>
        </w:tc>
        <w:tc>
          <w:tcPr>
            <w:tcW w:w="0" w:type="auto"/>
          </w:tcPr>
          <w:p w14:paraId="67C75CE5" w14:textId="35299FC1" w:rsidR="00BE52C0" w:rsidRDefault="003869BD" w:rsidP="00D51634">
            <w:r w:rsidRPr="003869BD">
              <w:t xml:space="preserve">.01 (.17) </w:t>
            </w:r>
          </w:p>
        </w:tc>
        <w:tc>
          <w:tcPr>
            <w:tcW w:w="0" w:type="auto"/>
          </w:tcPr>
          <w:p w14:paraId="66439993" w14:textId="18E2844F" w:rsidR="00BE52C0" w:rsidRDefault="008E1843" w:rsidP="00D51634">
            <w:r w:rsidRPr="003869BD">
              <w:t>.00</w:t>
            </w:r>
          </w:p>
        </w:tc>
        <w:tc>
          <w:tcPr>
            <w:tcW w:w="0" w:type="auto"/>
          </w:tcPr>
          <w:p w14:paraId="4A679B2E" w14:textId="5547082D" w:rsidR="00BE52C0" w:rsidRDefault="008E1843" w:rsidP="00D51634">
            <w:r w:rsidRPr="003869BD">
              <w:t>.62 (.38)</w:t>
            </w:r>
          </w:p>
        </w:tc>
        <w:tc>
          <w:tcPr>
            <w:tcW w:w="0" w:type="auto"/>
          </w:tcPr>
          <w:p w14:paraId="03B91A71" w14:textId="0437FFB8" w:rsidR="00BE52C0" w:rsidRDefault="008E1843" w:rsidP="00D51634">
            <w:r w:rsidRPr="003869BD">
              <w:t>.10</w:t>
            </w:r>
          </w:p>
        </w:tc>
      </w:tr>
      <w:tr w:rsidR="001F3EE5" w14:paraId="58B0EA4F" w14:textId="77777777" w:rsidTr="00D51634">
        <w:tc>
          <w:tcPr>
            <w:tcW w:w="0" w:type="auto"/>
          </w:tcPr>
          <w:p w14:paraId="55A36EC6" w14:textId="77777777" w:rsidR="00BE52C0" w:rsidRDefault="00BE52C0" w:rsidP="00D51634"/>
        </w:tc>
        <w:tc>
          <w:tcPr>
            <w:tcW w:w="0" w:type="auto"/>
          </w:tcPr>
          <w:p w14:paraId="79DD8A4D" w14:textId="77777777" w:rsidR="00BE52C0" w:rsidRPr="00CA5495" w:rsidRDefault="00BE52C0" w:rsidP="00D51634">
            <w:pPr>
              <w:rPr>
                <w:vertAlign w:val="superscript"/>
              </w:rPr>
            </w:pPr>
            <w:r w:rsidRPr="00CA5495">
              <w:t xml:space="preserve">First-Generation </w:t>
            </w:r>
          </w:p>
        </w:tc>
        <w:tc>
          <w:tcPr>
            <w:tcW w:w="0" w:type="auto"/>
          </w:tcPr>
          <w:p w14:paraId="430FAD26" w14:textId="75F18C7B" w:rsidR="00BE52C0" w:rsidRPr="003869BD" w:rsidRDefault="003869BD" w:rsidP="00D51634">
            <w:pPr>
              <w:rPr>
                <w:vertAlign w:val="superscript"/>
              </w:rPr>
            </w:pPr>
            <w:r w:rsidRPr="003869BD">
              <w:t xml:space="preserve">-.16 (.23) </w:t>
            </w:r>
          </w:p>
        </w:tc>
        <w:tc>
          <w:tcPr>
            <w:tcW w:w="0" w:type="auto"/>
          </w:tcPr>
          <w:p w14:paraId="4B726A56" w14:textId="4EA73921" w:rsidR="00BE52C0" w:rsidRDefault="008E1843" w:rsidP="00D51634">
            <w:r w:rsidRPr="003869BD">
              <w:t>-.02</w:t>
            </w:r>
          </w:p>
        </w:tc>
        <w:tc>
          <w:tcPr>
            <w:tcW w:w="0" w:type="auto"/>
          </w:tcPr>
          <w:p w14:paraId="7F6655C8" w14:textId="71DC84B3" w:rsidR="00BE52C0" w:rsidRDefault="008E1843" w:rsidP="00D51634">
            <w:r w:rsidRPr="003869BD">
              <w:t>-.43 (.17)</w:t>
            </w:r>
          </w:p>
        </w:tc>
        <w:tc>
          <w:tcPr>
            <w:tcW w:w="0" w:type="auto"/>
          </w:tcPr>
          <w:p w14:paraId="13F5D31E" w14:textId="0F13CBB9" w:rsidR="00BE52C0" w:rsidRDefault="008E1843" w:rsidP="00D51634">
            <w:r w:rsidRPr="003869BD">
              <w:t>-.06</w:t>
            </w:r>
            <w:r w:rsidRPr="003869BD">
              <w:rPr>
                <w:vertAlign w:val="superscript"/>
              </w:rPr>
              <w:t>*</w:t>
            </w:r>
          </w:p>
        </w:tc>
      </w:tr>
      <w:tr w:rsidR="001F3EE5" w14:paraId="0DF5EB50" w14:textId="77777777" w:rsidTr="00D51634">
        <w:tc>
          <w:tcPr>
            <w:tcW w:w="0" w:type="auto"/>
          </w:tcPr>
          <w:p w14:paraId="1619AC52" w14:textId="77777777" w:rsidR="00BE52C0" w:rsidRDefault="00BE52C0" w:rsidP="00D51634"/>
        </w:tc>
        <w:tc>
          <w:tcPr>
            <w:tcW w:w="0" w:type="auto"/>
          </w:tcPr>
          <w:p w14:paraId="71F49489" w14:textId="77777777" w:rsidR="00BE52C0" w:rsidRPr="00AA1E37" w:rsidRDefault="00BE52C0" w:rsidP="00D51634">
            <w:pPr>
              <w:rPr>
                <w:vertAlign w:val="superscript"/>
              </w:rPr>
            </w:pPr>
            <w:r w:rsidRPr="00AA1E37">
              <w:t xml:space="preserve">Financial Distress </w:t>
            </w:r>
          </w:p>
        </w:tc>
        <w:tc>
          <w:tcPr>
            <w:tcW w:w="0" w:type="auto"/>
          </w:tcPr>
          <w:p w14:paraId="4EF3484D" w14:textId="141A2ED9" w:rsidR="00BE52C0" w:rsidRPr="001F3EE5" w:rsidRDefault="001F3EE5" w:rsidP="00D51634">
            <w:pPr>
              <w:rPr>
                <w:vertAlign w:val="superscript"/>
              </w:rPr>
            </w:pPr>
            <w:r w:rsidRPr="001F3EE5">
              <w:t xml:space="preserve">.63 (.12) </w:t>
            </w:r>
          </w:p>
        </w:tc>
        <w:tc>
          <w:tcPr>
            <w:tcW w:w="0" w:type="auto"/>
          </w:tcPr>
          <w:p w14:paraId="6629879D" w14:textId="4B83F606" w:rsidR="00BE52C0" w:rsidRDefault="008E1843" w:rsidP="00D51634">
            <w:r w:rsidRPr="001F3EE5">
              <w:t>.16</w:t>
            </w:r>
            <w:r w:rsidRPr="001F3EE5">
              <w:rPr>
                <w:vertAlign w:val="superscript"/>
              </w:rPr>
              <w:t>***</w:t>
            </w:r>
          </w:p>
        </w:tc>
        <w:tc>
          <w:tcPr>
            <w:tcW w:w="0" w:type="auto"/>
          </w:tcPr>
          <w:p w14:paraId="6244837A" w14:textId="1013FA81" w:rsidR="00BE52C0" w:rsidRDefault="008E1843" w:rsidP="00D51634">
            <w:r w:rsidRPr="001F3EE5">
              <w:t>.37 (.17)</w:t>
            </w:r>
          </w:p>
        </w:tc>
        <w:tc>
          <w:tcPr>
            <w:tcW w:w="0" w:type="auto"/>
          </w:tcPr>
          <w:p w14:paraId="7974B94E" w14:textId="4F28595F" w:rsidR="00BE52C0" w:rsidRDefault="008E1843" w:rsidP="00D51634">
            <w:r w:rsidRPr="001F3EE5">
              <w:t>.10</w:t>
            </w:r>
            <w:r w:rsidRPr="001F3EE5">
              <w:rPr>
                <w:vertAlign w:val="superscript"/>
              </w:rPr>
              <w:t>*</w:t>
            </w:r>
          </w:p>
        </w:tc>
      </w:tr>
      <w:tr w:rsidR="001F3EE5" w14:paraId="56F4EB02" w14:textId="77777777" w:rsidTr="00D51634">
        <w:tc>
          <w:tcPr>
            <w:tcW w:w="0" w:type="auto"/>
          </w:tcPr>
          <w:p w14:paraId="2E5106D9" w14:textId="77777777" w:rsidR="00BE52C0" w:rsidRDefault="00BE52C0" w:rsidP="00D51634"/>
        </w:tc>
        <w:tc>
          <w:tcPr>
            <w:tcW w:w="0" w:type="auto"/>
          </w:tcPr>
          <w:p w14:paraId="758081CE" w14:textId="77777777" w:rsidR="00BE52C0" w:rsidRDefault="00BE52C0" w:rsidP="00D51634">
            <w:r w:rsidRPr="00AA1E37">
              <w:t xml:space="preserve">Political Efficacy                                       </w:t>
            </w:r>
          </w:p>
        </w:tc>
        <w:tc>
          <w:tcPr>
            <w:tcW w:w="0" w:type="auto"/>
          </w:tcPr>
          <w:p w14:paraId="5E00A6E8" w14:textId="4DB60349" w:rsidR="00BE52C0" w:rsidRDefault="001F3EE5" w:rsidP="00D51634">
            <w:r w:rsidRPr="001F3EE5">
              <w:t xml:space="preserve">.15 (.17) </w:t>
            </w:r>
          </w:p>
        </w:tc>
        <w:tc>
          <w:tcPr>
            <w:tcW w:w="0" w:type="auto"/>
          </w:tcPr>
          <w:p w14:paraId="5A1001D9" w14:textId="5AA8D777" w:rsidR="00BE52C0" w:rsidRDefault="008E1843" w:rsidP="00D51634">
            <w:r w:rsidRPr="001F3EE5">
              <w:t>.04</w:t>
            </w:r>
          </w:p>
        </w:tc>
        <w:tc>
          <w:tcPr>
            <w:tcW w:w="0" w:type="auto"/>
          </w:tcPr>
          <w:p w14:paraId="3323CD6E" w14:textId="4F9DF32D" w:rsidR="00BE52C0" w:rsidRDefault="008E1843" w:rsidP="00D51634">
            <w:r w:rsidRPr="001F3EE5">
              <w:t>.14 (.21)</w:t>
            </w:r>
          </w:p>
        </w:tc>
        <w:tc>
          <w:tcPr>
            <w:tcW w:w="0" w:type="auto"/>
          </w:tcPr>
          <w:p w14:paraId="7F8CC881" w14:textId="2839D18D" w:rsidR="00BE52C0" w:rsidRDefault="008E1843" w:rsidP="00D51634">
            <w:r w:rsidRPr="001F3EE5">
              <w:t>.04</w:t>
            </w:r>
          </w:p>
        </w:tc>
      </w:tr>
      <w:tr w:rsidR="001F3EE5" w14:paraId="2408E4CB" w14:textId="77777777" w:rsidTr="00D51634">
        <w:tc>
          <w:tcPr>
            <w:tcW w:w="0" w:type="auto"/>
          </w:tcPr>
          <w:p w14:paraId="0CE8862B" w14:textId="77777777" w:rsidR="00BE52C0" w:rsidRDefault="00BE52C0" w:rsidP="00D51634"/>
        </w:tc>
        <w:tc>
          <w:tcPr>
            <w:tcW w:w="0" w:type="auto"/>
          </w:tcPr>
          <w:p w14:paraId="4F6FDC50" w14:textId="77777777" w:rsidR="00BE52C0" w:rsidRDefault="00BE52C0" w:rsidP="00D51634">
            <w:r w:rsidRPr="00AA1E37">
              <w:t xml:space="preserve">Political Activism </w:t>
            </w:r>
          </w:p>
        </w:tc>
        <w:tc>
          <w:tcPr>
            <w:tcW w:w="0" w:type="auto"/>
          </w:tcPr>
          <w:p w14:paraId="1163C7DA" w14:textId="66E65016" w:rsidR="00BE52C0" w:rsidRPr="001F3EE5" w:rsidRDefault="001F3EE5" w:rsidP="00D51634">
            <w:pPr>
              <w:rPr>
                <w:vertAlign w:val="superscript"/>
              </w:rPr>
            </w:pPr>
            <w:r w:rsidRPr="001F3EE5">
              <w:t xml:space="preserve">-.20 (.13) </w:t>
            </w:r>
          </w:p>
        </w:tc>
        <w:tc>
          <w:tcPr>
            <w:tcW w:w="0" w:type="auto"/>
          </w:tcPr>
          <w:p w14:paraId="3BF6A10E" w14:textId="2C9B5A79" w:rsidR="00BE52C0" w:rsidRDefault="008E1843" w:rsidP="00D51634">
            <w:r w:rsidRPr="001F3EE5">
              <w:t>-.10</w:t>
            </w:r>
          </w:p>
        </w:tc>
        <w:tc>
          <w:tcPr>
            <w:tcW w:w="0" w:type="auto"/>
          </w:tcPr>
          <w:p w14:paraId="7F8D6C06" w14:textId="7C3F325F" w:rsidR="00BE52C0" w:rsidRDefault="008E1843" w:rsidP="00D51634">
            <w:r w:rsidRPr="001F3EE5">
              <w:t>-.30 (.13)</w:t>
            </w:r>
          </w:p>
        </w:tc>
        <w:tc>
          <w:tcPr>
            <w:tcW w:w="0" w:type="auto"/>
          </w:tcPr>
          <w:p w14:paraId="6F762F7E" w14:textId="2341B07E" w:rsidR="00BE52C0" w:rsidRDefault="008E1843" w:rsidP="00D51634">
            <w:r w:rsidRPr="001F3EE5">
              <w:t>-.14</w:t>
            </w:r>
            <w:r w:rsidRPr="001F3EE5">
              <w:rPr>
                <w:vertAlign w:val="superscript"/>
              </w:rPr>
              <w:t>*</w:t>
            </w:r>
          </w:p>
        </w:tc>
      </w:tr>
      <w:tr w:rsidR="001F3EE5" w14:paraId="3F2044AE" w14:textId="77777777" w:rsidTr="00D51634">
        <w:tc>
          <w:tcPr>
            <w:tcW w:w="0" w:type="auto"/>
          </w:tcPr>
          <w:p w14:paraId="043E0881" w14:textId="77777777" w:rsidR="00BE52C0" w:rsidRDefault="00BE52C0" w:rsidP="00D51634"/>
        </w:tc>
        <w:tc>
          <w:tcPr>
            <w:tcW w:w="0" w:type="auto"/>
          </w:tcPr>
          <w:p w14:paraId="5AD8FEA6" w14:textId="77777777" w:rsidR="00BE52C0" w:rsidRDefault="00BE52C0" w:rsidP="00D51634">
            <w:r w:rsidRPr="006705B6">
              <w:t xml:space="preserve">SBREMA </w:t>
            </w:r>
          </w:p>
        </w:tc>
        <w:tc>
          <w:tcPr>
            <w:tcW w:w="0" w:type="auto"/>
          </w:tcPr>
          <w:p w14:paraId="51AE1293" w14:textId="28B9D16E" w:rsidR="00BE52C0" w:rsidRPr="008E1843" w:rsidRDefault="008E1843" w:rsidP="00D51634">
            <w:pPr>
              <w:rPr>
                <w:vertAlign w:val="superscript"/>
              </w:rPr>
            </w:pPr>
            <w:r w:rsidRPr="008E1843">
              <w:t xml:space="preserve">.09 (.05) </w:t>
            </w:r>
          </w:p>
        </w:tc>
        <w:tc>
          <w:tcPr>
            <w:tcW w:w="0" w:type="auto"/>
          </w:tcPr>
          <w:p w14:paraId="1E0B7D4D" w14:textId="7BA434B6" w:rsidR="00BE52C0" w:rsidRDefault="008E1843" w:rsidP="00D51634">
            <w:r w:rsidRPr="008E1843">
              <w:t>.07</w:t>
            </w:r>
          </w:p>
        </w:tc>
        <w:tc>
          <w:tcPr>
            <w:tcW w:w="0" w:type="auto"/>
          </w:tcPr>
          <w:p w14:paraId="39D2BC07" w14:textId="4742E00A" w:rsidR="00BE52C0" w:rsidRDefault="008E1843" w:rsidP="00D51634">
            <w:r w:rsidRPr="008E1843">
              <w:t>.10 (.05)</w:t>
            </w:r>
          </w:p>
        </w:tc>
        <w:tc>
          <w:tcPr>
            <w:tcW w:w="0" w:type="auto"/>
          </w:tcPr>
          <w:p w14:paraId="64843634" w14:textId="10CEA5C1" w:rsidR="00BE52C0" w:rsidRDefault="008E1843" w:rsidP="00D51634">
            <w:r w:rsidRPr="008E1843">
              <w:t>.08</w:t>
            </w:r>
            <w:r w:rsidRPr="008E1843">
              <w:rPr>
                <w:vertAlign w:val="superscript"/>
              </w:rPr>
              <w:t>*</w:t>
            </w:r>
          </w:p>
        </w:tc>
      </w:tr>
      <w:tr w:rsidR="001F3EE5" w14:paraId="6C44EBBE" w14:textId="77777777" w:rsidTr="00D51634">
        <w:tc>
          <w:tcPr>
            <w:tcW w:w="0" w:type="auto"/>
          </w:tcPr>
          <w:p w14:paraId="53F78E3E" w14:textId="77777777" w:rsidR="00BE52C0" w:rsidRDefault="00BE52C0" w:rsidP="00D51634"/>
        </w:tc>
        <w:tc>
          <w:tcPr>
            <w:tcW w:w="0" w:type="auto"/>
          </w:tcPr>
          <w:p w14:paraId="5B18C1DB" w14:textId="42FDC27B" w:rsidR="00BE52C0" w:rsidRPr="006705B6" w:rsidRDefault="00BE52C0" w:rsidP="00D51634">
            <w:pPr>
              <w:rPr>
                <w:vertAlign w:val="superscript"/>
              </w:rPr>
            </w:pPr>
            <w:r w:rsidRPr="006705B6">
              <w:t xml:space="preserve">Political Activism </w:t>
            </w:r>
            <w:r w:rsidR="00F910F2">
              <w:rPr>
                <w:rFonts w:cstheme="minorHAnsi"/>
              </w:rPr>
              <w:t>×</w:t>
            </w:r>
            <w:r w:rsidRPr="006705B6">
              <w:t xml:space="preserve"> SBREMA </w:t>
            </w:r>
          </w:p>
        </w:tc>
        <w:tc>
          <w:tcPr>
            <w:tcW w:w="0" w:type="auto"/>
          </w:tcPr>
          <w:p w14:paraId="5FD1C686" w14:textId="0E84817B" w:rsidR="00BE52C0" w:rsidRDefault="008E1843" w:rsidP="00D51634">
            <w:r w:rsidRPr="008E1843">
              <w:t xml:space="preserve">.06 (.02) </w:t>
            </w:r>
          </w:p>
        </w:tc>
        <w:tc>
          <w:tcPr>
            <w:tcW w:w="0" w:type="auto"/>
          </w:tcPr>
          <w:p w14:paraId="0DB9E5F7" w14:textId="0C67F652" w:rsidR="00BE52C0" w:rsidRDefault="008E1843" w:rsidP="00D51634">
            <w:r w:rsidRPr="008E1843">
              <w:t>.10</w:t>
            </w:r>
            <w:r w:rsidRPr="008E1843">
              <w:rPr>
                <w:vertAlign w:val="superscript"/>
              </w:rPr>
              <w:t>**</w:t>
            </w:r>
          </w:p>
        </w:tc>
        <w:tc>
          <w:tcPr>
            <w:tcW w:w="0" w:type="auto"/>
          </w:tcPr>
          <w:p w14:paraId="2FB7DBB2" w14:textId="62AB7EEE" w:rsidR="00BE52C0" w:rsidRDefault="008E1843" w:rsidP="00D51634">
            <w:r w:rsidRPr="008E1843">
              <w:t>.03 (.03)</w:t>
            </w:r>
          </w:p>
        </w:tc>
        <w:tc>
          <w:tcPr>
            <w:tcW w:w="0" w:type="auto"/>
          </w:tcPr>
          <w:p w14:paraId="3B740086" w14:textId="1A142435" w:rsidR="00BE52C0" w:rsidRDefault="008E1843" w:rsidP="00D51634">
            <w:r w:rsidRPr="008E1843">
              <w:t>.04</w:t>
            </w:r>
          </w:p>
        </w:tc>
      </w:tr>
      <w:tr w:rsidR="001F3EE5" w14:paraId="7FD50E10" w14:textId="77777777" w:rsidTr="00D51634">
        <w:tc>
          <w:tcPr>
            <w:tcW w:w="0" w:type="auto"/>
          </w:tcPr>
          <w:p w14:paraId="2B14DAC6" w14:textId="77777777" w:rsidR="00BE52C0" w:rsidRDefault="00BE52C0" w:rsidP="00D51634"/>
        </w:tc>
        <w:tc>
          <w:tcPr>
            <w:tcW w:w="0" w:type="auto"/>
          </w:tcPr>
          <w:p w14:paraId="5A19B66B" w14:textId="77777777" w:rsidR="00BE52C0" w:rsidRDefault="00BE52C0" w:rsidP="00D51634">
            <w:r>
              <w:t>R</w:t>
            </w:r>
            <w:r w:rsidRPr="005555E7">
              <w:rPr>
                <w:vertAlign w:val="superscript"/>
              </w:rPr>
              <w:t>2</w:t>
            </w:r>
          </w:p>
        </w:tc>
        <w:tc>
          <w:tcPr>
            <w:tcW w:w="0" w:type="auto"/>
          </w:tcPr>
          <w:p w14:paraId="27781491" w14:textId="7B2C1065" w:rsidR="00BE52C0" w:rsidRDefault="008E1843" w:rsidP="00D51634">
            <w:r>
              <w:t>.45</w:t>
            </w:r>
          </w:p>
        </w:tc>
        <w:tc>
          <w:tcPr>
            <w:tcW w:w="0" w:type="auto"/>
          </w:tcPr>
          <w:p w14:paraId="44B9D585" w14:textId="77777777" w:rsidR="00BE52C0" w:rsidRDefault="00BE52C0" w:rsidP="00D51634"/>
        </w:tc>
        <w:tc>
          <w:tcPr>
            <w:tcW w:w="0" w:type="auto"/>
          </w:tcPr>
          <w:p w14:paraId="284116CD" w14:textId="3619C88A" w:rsidR="00BE52C0" w:rsidRDefault="008E1843" w:rsidP="00D51634">
            <w:r>
              <w:t>.44</w:t>
            </w:r>
          </w:p>
        </w:tc>
        <w:tc>
          <w:tcPr>
            <w:tcW w:w="0" w:type="auto"/>
          </w:tcPr>
          <w:p w14:paraId="641474E3" w14:textId="77777777" w:rsidR="00BE52C0" w:rsidRDefault="00BE52C0" w:rsidP="00D51634"/>
        </w:tc>
      </w:tr>
      <w:tr w:rsidR="001F3EE5" w14:paraId="0822BFB7" w14:textId="77777777" w:rsidTr="00D51634">
        <w:tc>
          <w:tcPr>
            <w:tcW w:w="0" w:type="auto"/>
          </w:tcPr>
          <w:p w14:paraId="2B8987B5" w14:textId="77777777" w:rsidR="00BE52C0" w:rsidRDefault="00BE52C0" w:rsidP="00D51634"/>
        </w:tc>
        <w:tc>
          <w:tcPr>
            <w:tcW w:w="0" w:type="auto"/>
          </w:tcPr>
          <w:p w14:paraId="5627E306" w14:textId="77777777" w:rsidR="00BE52C0" w:rsidRDefault="00BE52C0" w:rsidP="00D51634">
            <w:r>
              <w:rPr>
                <w:rFonts w:cstheme="minorHAnsi"/>
              </w:rPr>
              <w:t>Δ</w:t>
            </w:r>
            <w:r>
              <w:t>R</w:t>
            </w:r>
            <w:r w:rsidRPr="005555E7">
              <w:rPr>
                <w:vertAlign w:val="superscript"/>
              </w:rPr>
              <w:t>2</w:t>
            </w:r>
          </w:p>
        </w:tc>
        <w:tc>
          <w:tcPr>
            <w:tcW w:w="0" w:type="auto"/>
          </w:tcPr>
          <w:p w14:paraId="533D46D4" w14:textId="5AEAA857" w:rsidR="00BE52C0" w:rsidRDefault="008E1843" w:rsidP="00D51634">
            <w:r>
              <w:t>.00</w:t>
            </w:r>
          </w:p>
        </w:tc>
        <w:tc>
          <w:tcPr>
            <w:tcW w:w="0" w:type="auto"/>
          </w:tcPr>
          <w:p w14:paraId="70D31133" w14:textId="77777777" w:rsidR="00BE52C0" w:rsidRDefault="00BE52C0" w:rsidP="00D51634"/>
        </w:tc>
        <w:tc>
          <w:tcPr>
            <w:tcW w:w="0" w:type="auto"/>
          </w:tcPr>
          <w:p w14:paraId="6C47B7BA" w14:textId="18321243" w:rsidR="00BE52C0" w:rsidRDefault="008E1843" w:rsidP="00D51634">
            <w:r>
              <w:t>.00</w:t>
            </w:r>
          </w:p>
        </w:tc>
        <w:tc>
          <w:tcPr>
            <w:tcW w:w="0" w:type="auto"/>
          </w:tcPr>
          <w:p w14:paraId="1660517C" w14:textId="77777777" w:rsidR="00BE52C0" w:rsidRDefault="00BE52C0" w:rsidP="00D51634"/>
        </w:tc>
      </w:tr>
    </w:tbl>
    <w:p w14:paraId="30C07301" w14:textId="77777777" w:rsidR="008E1843" w:rsidRDefault="008E1843" w:rsidP="008E1843">
      <w:pPr>
        <w:pStyle w:val="NoSpacing"/>
      </w:pPr>
      <w:r>
        <w:rPr>
          <w:i/>
          <w:iCs/>
        </w:rPr>
        <w:t>*</w:t>
      </w:r>
      <w:r w:rsidRPr="001D31AB">
        <w:rPr>
          <w:i/>
          <w:iCs/>
        </w:rPr>
        <w:t xml:space="preserve">p </w:t>
      </w:r>
      <w:r>
        <w:t>&lt;</w:t>
      </w:r>
      <w:r w:rsidRPr="001D31AB">
        <w:t xml:space="preserve"> .05. </w:t>
      </w:r>
      <w:r>
        <w:t>**</w:t>
      </w:r>
      <w:r w:rsidRPr="001D31AB">
        <w:rPr>
          <w:i/>
          <w:iCs/>
        </w:rPr>
        <w:t xml:space="preserve">p </w:t>
      </w:r>
      <w:r>
        <w:rPr>
          <w:i/>
          <w:iCs/>
        </w:rPr>
        <w:t>&lt;</w:t>
      </w:r>
      <w:r w:rsidRPr="001D31AB">
        <w:t xml:space="preserve"> .01. </w:t>
      </w:r>
      <w:r>
        <w:t>***</w:t>
      </w:r>
      <w:r w:rsidRPr="001D31AB">
        <w:t xml:space="preserve"> </w:t>
      </w:r>
      <w:r w:rsidRPr="001D31AB">
        <w:rPr>
          <w:i/>
          <w:iCs/>
        </w:rPr>
        <w:t xml:space="preserve">p </w:t>
      </w:r>
      <w:r>
        <w:t>&lt;</w:t>
      </w:r>
      <w:r w:rsidRPr="001D31AB">
        <w:t xml:space="preserve"> .001.</w:t>
      </w:r>
      <w:r w:rsidRPr="006641CA">
        <w:br/>
      </w:r>
      <w:r w:rsidR="006641CA" w:rsidRPr="006641CA">
        <w:br/>
      </w:r>
      <w:r w:rsidR="006641CA" w:rsidRPr="006641CA">
        <w:rPr>
          <w:noProof/>
        </w:rPr>
        <w:drawing>
          <wp:inline distT="0" distB="0" distL="0" distR="0" wp14:anchorId="1B48B4BA" wp14:editId="4DB68283">
            <wp:extent cx="3017520" cy="1828800"/>
            <wp:effectExtent l="0" t="0" r="0" b="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17520" cy="1828800"/>
                    </a:xfrm>
                    <a:prstGeom prst="rect">
                      <a:avLst/>
                    </a:prstGeom>
                    <a:noFill/>
                    <a:ln>
                      <a:noFill/>
                    </a:ln>
                  </pic:spPr>
                </pic:pic>
              </a:graphicData>
            </a:graphic>
          </wp:inline>
        </w:drawing>
      </w:r>
    </w:p>
    <w:p w14:paraId="04357D45" w14:textId="5C61D8A1" w:rsidR="006641CA" w:rsidRPr="0000100F" w:rsidRDefault="006641CA" w:rsidP="0000100F">
      <w:pPr>
        <w:pStyle w:val="NoSpacing"/>
      </w:pPr>
      <w:r w:rsidRPr="0000100F">
        <w:t>Figure 3. Political activism as a moderator of school-based R/E microaggressions (SBREMA) and end of freshman year anxiety for Black students.</w:t>
      </w:r>
    </w:p>
    <w:p w14:paraId="027C0DD9" w14:textId="77777777" w:rsidR="008E1843" w:rsidRPr="006641CA" w:rsidRDefault="008E1843" w:rsidP="006641CA"/>
    <w:p w14:paraId="13136E26" w14:textId="77777777" w:rsidR="006641CA" w:rsidRPr="006641CA" w:rsidRDefault="006641CA" w:rsidP="00741B41">
      <w:pPr>
        <w:pStyle w:val="Heading3"/>
      </w:pPr>
      <w:r w:rsidRPr="006641CA">
        <w:t>Anxiety and Latinx students</w:t>
      </w:r>
    </w:p>
    <w:p w14:paraId="6B75767A" w14:textId="77777777" w:rsidR="006641CA" w:rsidRPr="006641CA" w:rsidRDefault="006641CA" w:rsidP="006641CA">
      <w:r w:rsidRPr="006641CA">
        <w:t xml:space="preserve">Step 1 for Latinx students accounted for 42% of the variance in anxiety at the end of freshman year. Anxiety at the beginning of freshman year and financial distress were positively related to anxiety at the end of the </w:t>
      </w:r>
      <w:proofErr w:type="gramStart"/>
      <w:r w:rsidRPr="006641CA">
        <w:t>year, and</w:t>
      </w:r>
      <w:proofErr w:type="gramEnd"/>
      <w:r w:rsidRPr="006641CA">
        <w:t xml:space="preserve"> being a first-generation college student was negatively related to anxiety. In Step 2, the model explained 42% of the variance in end of the year anxiety. R/E microaggressions were positively related to end of the year anxiety. In Step 3, the interaction between political activism and R/E microaggressions was not statistically significant.</w:t>
      </w:r>
    </w:p>
    <w:p w14:paraId="144F1BE3" w14:textId="77777777" w:rsidR="006641CA" w:rsidRPr="006641CA" w:rsidRDefault="006641CA" w:rsidP="00741B41">
      <w:pPr>
        <w:pStyle w:val="Heading2"/>
      </w:pPr>
      <w:r w:rsidRPr="006641CA">
        <w:t>End of Freshman Year Depressive Symptoms</w:t>
      </w:r>
    </w:p>
    <w:p w14:paraId="39ED86CB" w14:textId="77777777" w:rsidR="006641CA" w:rsidRPr="006641CA" w:rsidRDefault="006641CA" w:rsidP="00741B41">
      <w:pPr>
        <w:pStyle w:val="Heading3"/>
      </w:pPr>
      <w:r w:rsidRPr="006641CA">
        <w:t>Depressive symptoms and Black students</w:t>
      </w:r>
    </w:p>
    <w:p w14:paraId="6858DD7B" w14:textId="0A9E4968" w:rsidR="006641CA" w:rsidRPr="0000100F" w:rsidRDefault="006641CA" w:rsidP="0000100F">
      <w:pPr>
        <w:pStyle w:val="NoSpacing"/>
      </w:pPr>
      <w:r w:rsidRPr="006641CA">
        <w:t>In Step 1, the model accounted for 33% of the variance in depressive symptoms at the end of freshman year (see </w:t>
      </w:r>
      <w:r w:rsidRPr="00E20CA8">
        <w:t>Table 5</w:t>
      </w:r>
      <w:r w:rsidRPr="006641CA">
        <w:t>). Depressive symptoms at the beginning of freshman year were positively related to depressive symptoms at the end of freshman year. In Step 2, the model accounted for no additional variance in depressive symptoms; R/E microaggressions and political activism were not significantly related to end of the year depressive symptoms. In Step 3, the interaction between R/E microaggressions and political activism was not significant.</w:t>
      </w:r>
      <w:r w:rsidRPr="006641CA">
        <w:br/>
      </w:r>
      <w:r w:rsidRPr="006641CA">
        <w:br/>
      </w:r>
      <w:r w:rsidR="00513C50" w:rsidRPr="0000100F">
        <w:t xml:space="preserve">Table 5. </w:t>
      </w:r>
      <w:r w:rsidRPr="0000100F">
        <w:t>Multiple Regression Analyses Predicting Depressive Symptoms at the End of Freshman Year (Wave 3)</w:t>
      </w:r>
    </w:p>
    <w:tbl>
      <w:tblPr>
        <w:tblStyle w:val="TableGrid"/>
        <w:tblW w:w="0" w:type="auto"/>
        <w:tblLook w:val="04A0" w:firstRow="1" w:lastRow="0" w:firstColumn="1" w:lastColumn="0" w:noHBand="0" w:noVBand="1"/>
      </w:tblPr>
      <w:tblGrid>
        <w:gridCol w:w="617"/>
        <w:gridCol w:w="2828"/>
        <w:gridCol w:w="2218"/>
        <w:gridCol w:w="704"/>
        <w:gridCol w:w="2279"/>
        <w:gridCol w:w="704"/>
      </w:tblGrid>
      <w:tr w:rsidR="00FD095C" w14:paraId="70B20F57" w14:textId="77777777" w:rsidTr="00D51634">
        <w:tc>
          <w:tcPr>
            <w:tcW w:w="0" w:type="auto"/>
          </w:tcPr>
          <w:p w14:paraId="66DD1C0F" w14:textId="77777777" w:rsidR="00513C50" w:rsidRDefault="00513C50" w:rsidP="00D51634"/>
        </w:tc>
        <w:tc>
          <w:tcPr>
            <w:tcW w:w="0" w:type="auto"/>
          </w:tcPr>
          <w:p w14:paraId="4B8A4CA1" w14:textId="77777777" w:rsidR="00513C50" w:rsidRDefault="00513C50" w:rsidP="00D51634"/>
        </w:tc>
        <w:tc>
          <w:tcPr>
            <w:tcW w:w="0" w:type="auto"/>
          </w:tcPr>
          <w:p w14:paraId="13AAACE2" w14:textId="77777777" w:rsidR="00513C50" w:rsidRDefault="00513C50" w:rsidP="00D51634">
            <w:r>
              <w:t>Black students (N=221)</w:t>
            </w:r>
          </w:p>
        </w:tc>
        <w:tc>
          <w:tcPr>
            <w:tcW w:w="0" w:type="auto"/>
          </w:tcPr>
          <w:p w14:paraId="15B71F43" w14:textId="77777777" w:rsidR="00513C50" w:rsidRDefault="00513C50" w:rsidP="00D51634"/>
        </w:tc>
        <w:tc>
          <w:tcPr>
            <w:tcW w:w="0" w:type="auto"/>
          </w:tcPr>
          <w:p w14:paraId="2D3719EB" w14:textId="77777777" w:rsidR="00513C50" w:rsidRDefault="00513C50" w:rsidP="00D51634">
            <w:r>
              <w:t>Latinx students (N=283)</w:t>
            </w:r>
          </w:p>
        </w:tc>
        <w:tc>
          <w:tcPr>
            <w:tcW w:w="0" w:type="auto"/>
          </w:tcPr>
          <w:p w14:paraId="35EA1846" w14:textId="77777777" w:rsidR="00513C50" w:rsidRDefault="00513C50" w:rsidP="00D51634"/>
        </w:tc>
      </w:tr>
      <w:tr w:rsidR="00FD095C" w14:paraId="466B3A5C" w14:textId="77777777" w:rsidTr="00D51634">
        <w:tc>
          <w:tcPr>
            <w:tcW w:w="0" w:type="auto"/>
          </w:tcPr>
          <w:p w14:paraId="7A037B9B" w14:textId="77777777" w:rsidR="00513C50" w:rsidRDefault="00513C50" w:rsidP="00D51634">
            <w:r>
              <w:t>Step</w:t>
            </w:r>
          </w:p>
        </w:tc>
        <w:tc>
          <w:tcPr>
            <w:tcW w:w="0" w:type="auto"/>
          </w:tcPr>
          <w:p w14:paraId="72A9E503" w14:textId="77777777" w:rsidR="00513C50" w:rsidRDefault="00513C50" w:rsidP="00D51634">
            <w:r>
              <w:t>Variable</w:t>
            </w:r>
          </w:p>
        </w:tc>
        <w:tc>
          <w:tcPr>
            <w:tcW w:w="0" w:type="auto"/>
          </w:tcPr>
          <w:p w14:paraId="7AC3A018" w14:textId="77777777" w:rsidR="00513C50" w:rsidRDefault="00513C50" w:rsidP="00D51634">
            <w:r>
              <w:t>B (SE)</w:t>
            </w:r>
          </w:p>
        </w:tc>
        <w:tc>
          <w:tcPr>
            <w:tcW w:w="0" w:type="auto"/>
          </w:tcPr>
          <w:p w14:paraId="3DE1AA3C" w14:textId="77777777" w:rsidR="00513C50" w:rsidRDefault="00513C50" w:rsidP="00D51634">
            <w:r>
              <w:rPr>
                <w:rFonts w:cstheme="minorHAnsi"/>
              </w:rPr>
              <w:t>Β</w:t>
            </w:r>
          </w:p>
        </w:tc>
        <w:tc>
          <w:tcPr>
            <w:tcW w:w="0" w:type="auto"/>
          </w:tcPr>
          <w:p w14:paraId="154CA0D5" w14:textId="77777777" w:rsidR="00513C50" w:rsidRDefault="00513C50" w:rsidP="00D51634">
            <w:r>
              <w:t>B (SE)</w:t>
            </w:r>
          </w:p>
        </w:tc>
        <w:tc>
          <w:tcPr>
            <w:tcW w:w="0" w:type="auto"/>
          </w:tcPr>
          <w:p w14:paraId="37C2C779" w14:textId="77777777" w:rsidR="00513C50" w:rsidRDefault="00513C50" w:rsidP="00D51634">
            <w:r>
              <w:rPr>
                <w:rFonts w:cstheme="minorHAnsi"/>
              </w:rPr>
              <w:t>β</w:t>
            </w:r>
          </w:p>
        </w:tc>
      </w:tr>
      <w:tr w:rsidR="00FD095C" w14:paraId="216BCEE8" w14:textId="77777777" w:rsidTr="00D51634">
        <w:tc>
          <w:tcPr>
            <w:tcW w:w="0" w:type="auto"/>
          </w:tcPr>
          <w:p w14:paraId="1AAAA740" w14:textId="77777777" w:rsidR="00513C50" w:rsidRDefault="00513C50" w:rsidP="00D51634">
            <w:r>
              <w:t>1</w:t>
            </w:r>
          </w:p>
        </w:tc>
        <w:tc>
          <w:tcPr>
            <w:tcW w:w="0" w:type="auto"/>
          </w:tcPr>
          <w:p w14:paraId="1FDF1533" w14:textId="39A5444C" w:rsidR="00513C50" w:rsidRPr="00A4703E" w:rsidRDefault="00513C50" w:rsidP="00D51634">
            <w:pPr>
              <w:rPr>
                <w:vertAlign w:val="superscript"/>
              </w:rPr>
            </w:pPr>
            <w:r>
              <w:t>Depressive Symptoms</w:t>
            </w:r>
            <w:r w:rsidRPr="00A4703E">
              <w:t xml:space="preserve"> Wave 1 </w:t>
            </w:r>
          </w:p>
        </w:tc>
        <w:tc>
          <w:tcPr>
            <w:tcW w:w="0" w:type="auto"/>
          </w:tcPr>
          <w:p w14:paraId="4C3CFBED" w14:textId="3BEF8072" w:rsidR="00513C50" w:rsidRPr="00E732A6" w:rsidRDefault="00E732A6" w:rsidP="00D51634">
            <w:bookmarkStart w:id="8" w:name="Limitations and Future Directions"/>
            <w:bookmarkEnd w:id="8"/>
            <w:r w:rsidRPr="00E732A6">
              <w:t xml:space="preserve">.55 (.09) </w:t>
            </w:r>
          </w:p>
        </w:tc>
        <w:tc>
          <w:tcPr>
            <w:tcW w:w="0" w:type="auto"/>
          </w:tcPr>
          <w:p w14:paraId="5A9987FD" w14:textId="67676B58" w:rsidR="00513C50" w:rsidRDefault="007F1107" w:rsidP="00D51634">
            <w:r w:rsidRPr="00E732A6">
              <w:t>.55</w:t>
            </w:r>
            <w:r w:rsidRPr="00E732A6">
              <w:rPr>
                <w:vertAlign w:val="superscript"/>
              </w:rPr>
              <w:t>***</w:t>
            </w:r>
          </w:p>
        </w:tc>
        <w:tc>
          <w:tcPr>
            <w:tcW w:w="0" w:type="auto"/>
          </w:tcPr>
          <w:p w14:paraId="4F02ED65" w14:textId="6A19ED3A" w:rsidR="00513C50" w:rsidRDefault="007F1107" w:rsidP="00D51634">
            <w:r w:rsidRPr="00E732A6">
              <w:t>.49 (.04)</w:t>
            </w:r>
          </w:p>
        </w:tc>
        <w:tc>
          <w:tcPr>
            <w:tcW w:w="0" w:type="auto"/>
          </w:tcPr>
          <w:p w14:paraId="3E5A1887" w14:textId="40D57519" w:rsidR="00513C50" w:rsidRDefault="007F1107" w:rsidP="00D51634">
            <w:r w:rsidRPr="00E732A6">
              <w:t>***</w:t>
            </w:r>
          </w:p>
        </w:tc>
      </w:tr>
      <w:tr w:rsidR="00FD095C" w14:paraId="69A8F6DE" w14:textId="77777777" w:rsidTr="00D51634">
        <w:tc>
          <w:tcPr>
            <w:tcW w:w="0" w:type="auto"/>
          </w:tcPr>
          <w:p w14:paraId="3FED6848" w14:textId="77777777" w:rsidR="00513C50" w:rsidRDefault="00513C50" w:rsidP="00D51634"/>
        </w:tc>
        <w:tc>
          <w:tcPr>
            <w:tcW w:w="0" w:type="auto"/>
          </w:tcPr>
          <w:p w14:paraId="11C66F5F" w14:textId="77777777" w:rsidR="00513C50" w:rsidRDefault="00513C50" w:rsidP="00D51634">
            <w:r w:rsidRPr="00A4703E">
              <w:t xml:space="preserve">Female </w:t>
            </w:r>
          </w:p>
        </w:tc>
        <w:tc>
          <w:tcPr>
            <w:tcW w:w="0" w:type="auto"/>
          </w:tcPr>
          <w:p w14:paraId="04AB417E" w14:textId="71D1411E" w:rsidR="00513C50" w:rsidRDefault="00E732A6" w:rsidP="00D51634">
            <w:r w:rsidRPr="00E732A6">
              <w:t xml:space="preserve">.16 (.07) </w:t>
            </w:r>
          </w:p>
        </w:tc>
        <w:tc>
          <w:tcPr>
            <w:tcW w:w="0" w:type="auto"/>
          </w:tcPr>
          <w:p w14:paraId="38FC382B" w14:textId="03BC1583" w:rsidR="00513C50" w:rsidRDefault="007F1107" w:rsidP="00D51634">
            <w:r w:rsidRPr="00E732A6">
              <w:t>.09</w:t>
            </w:r>
            <w:r w:rsidRPr="00E732A6">
              <w:rPr>
                <w:vertAlign w:val="superscript"/>
              </w:rPr>
              <w:t>*</w:t>
            </w:r>
          </w:p>
        </w:tc>
        <w:tc>
          <w:tcPr>
            <w:tcW w:w="0" w:type="auto"/>
          </w:tcPr>
          <w:p w14:paraId="3F03A8B5" w14:textId="1DD6F2B4" w:rsidR="00513C50" w:rsidRDefault="007F1107" w:rsidP="00D51634">
            <w:r w:rsidRPr="00E732A6">
              <w:t>.13 (.07)</w:t>
            </w:r>
          </w:p>
        </w:tc>
        <w:tc>
          <w:tcPr>
            <w:tcW w:w="0" w:type="auto"/>
          </w:tcPr>
          <w:p w14:paraId="0A6BEE7D" w14:textId="232A5463" w:rsidR="00513C50" w:rsidRDefault="00513C50" w:rsidP="00D51634"/>
        </w:tc>
      </w:tr>
      <w:tr w:rsidR="00FD095C" w14:paraId="4E9F1E92" w14:textId="77777777" w:rsidTr="00D51634">
        <w:tc>
          <w:tcPr>
            <w:tcW w:w="0" w:type="auto"/>
          </w:tcPr>
          <w:p w14:paraId="12138B1A" w14:textId="77777777" w:rsidR="00513C50" w:rsidRDefault="00513C50" w:rsidP="00D51634"/>
        </w:tc>
        <w:tc>
          <w:tcPr>
            <w:tcW w:w="0" w:type="auto"/>
          </w:tcPr>
          <w:p w14:paraId="12CC1FDE" w14:textId="77777777" w:rsidR="00513C50" w:rsidRPr="00276DF8" w:rsidRDefault="00513C50" w:rsidP="00D51634">
            <w:pPr>
              <w:rPr>
                <w:vertAlign w:val="superscript"/>
              </w:rPr>
            </w:pPr>
            <w:r w:rsidRPr="00276DF8">
              <w:t xml:space="preserve">First-Generation </w:t>
            </w:r>
          </w:p>
        </w:tc>
        <w:tc>
          <w:tcPr>
            <w:tcW w:w="0" w:type="auto"/>
          </w:tcPr>
          <w:p w14:paraId="3BEF3CB3" w14:textId="7177C1A4" w:rsidR="00513C50" w:rsidRPr="00F62A3A" w:rsidRDefault="00F62A3A" w:rsidP="00D51634">
            <w:r w:rsidRPr="00F62A3A">
              <w:t xml:space="preserve">.03 (.11) </w:t>
            </w:r>
          </w:p>
        </w:tc>
        <w:tc>
          <w:tcPr>
            <w:tcW w:w="0" w:type="auto"/>
          </w:tcPr>
          <w:p w14:paraId="63F86994" w14:textId="1A4CAA7D" w:rsidR="00513C50" w:rsidRDefault="007F1107" w:rsidP="00D51634">
            <w:r w:rsidRPr="00F62A3A">
              <w:t>.02</w:t>
            </w:r>
          </w:p>
        </w:tc>
        <w:tc>
          <w:tcPr>
            <w:tcW w:w="0" w:type="auto"/>
          </w:tcPr>
          <w:p w14:paraId="4BF748B4" w14:textId="35B37069" w:rsidR="00513C50" w:rsidRDefault="007F1107" w:rsidP="00D51634">
            <w:r w:rsidRPr="00F62A3A">
              <w:t>.11 (.05)</w:t>
            </w:r>
          </w:p>
        </w:tc>
        <w:tc>
          <w:tcPr>
            <w:tcW w:w="0" w:type="auto"/>
          </w:tcPr>
          <w:p w14:paraId="68ACF77B" w14:textId="66BAD314" w:rsidR="00513C50" w:rsidRDefault="007F1107" w:rsidP="00D51634">
            <w:r w:rsidRPr="00F62A3A">
              <w:t>*</w:t>
            </w:r>
          </w:p>
        </w:tc>
      </w:tr>
      <w:tr w:rsidR="00FD095C" w14:paraId="712CAAC9" w14:textId="77777777" w:rsidTr="00D51634">
        <w:tc>
          <w:tcPr>
            <w:tcW w:w="0" w:type="auto"/>
          </w:tcPr>
          <w:p w14:paraId="4964AEAA" w14:textId="77777777" w:rsidR="00513C50" w:rsidRDefault="00513C50" w:rsidP="00D51634"/>
        </w:tc>
        <w:tc>
          <w:tcPr>
            <w:tcW w:w="0" w:type="auto"/>
          </w:tcPr>
          <w:p w14:paraId="368D919D" w14:textId="77777777" w:rsidR="00513C50" w:rsidRPr="00276DF8" w:rsidRDefault="00513C50" w:rsidP="00D51634">
            <w:pPr>
              <w:rPr>
                <w:vertAlign w:val="superscript"/>
              </w:rPr>
            </w:pPr>
            <w:r w:rsidRPr="00276DF8">
              <w:t xml:space="preserve">Financial Distress </w:t>
            </w:r>
          </w:p>
        </w:tc>
        <w:tc>
          <w:tcPr>
            <w:tcW w:w="0" w:type="auto"/>
          </w:tcPr>
          <w:p w14:paraId="7018166A" w14:textId="11AC9E6F" w:rsidR="00513C50" w:rsidRPr="00F62A3A" w:rsidRDefault="00E24DED" w:rsidP="00D51634">
            <w:r w:rsidRPr="00E24DED">
              <w:t xml:space="preserve">.07 (.10) </w:t>
            </w:r>
          </w:p>
        </w:tc>
        <w:tc>
          <w:tcPr>
            <w:tcW w:w="0" w:type="auto"/>
          </w:tcPr>
          <w:p w14:paraId="6720CD4D" w14:textId="2646BCB3" w:rsidR="00513C50" w:rsidRDefault="00AB5302" w:rsidP="00D51634">
            <w:r w:rsidRPr="00E24DED">
              <w:t>.08</w:t>
            </w:r>
          </w:p>
        </w:tc>
        <w:tc>
          <w:tcPr>
            <w:tcW w:w="0" w:type="auto"/>
          </w:tcPr>
          <w:p w14:paraId="7070F948" w14:textId="698954AE" w:rsidR="00513C50" w:rsidRDefault="00AB5302" w:rsidP="00D51634">
            <w:r w:rsidRPr="00E24DED">
              <w:t>.18 (.05)</w:t>
            </w:r>
          </w:p>
        </w:tc>
        <w:tc>
          <w:tcPr>
            <w:tcW w:w="0" w:type="auto"/>
          </w:tcPr>
          <w:p w14:paraId="39183817" w14:textId="33FDF375" w:rsidR="00513C50" w:rsidRDefault="007F1107" w:rsidP="00D51634">
            <w:r w:rsidRPr="00E24DED">
              <w:t>***</w:t>
            </w:r>
          </w:p>
        </w:tc>
      </w:tr>
      <w:tr w:rsidR="00FD095C" w14:paraId="62750A8D" w14:textId="77777777" w:rsidTr="00D51634">
        <w:tc>
          <w:tcPr>
            <w:tcW w:w="0" w:type="auto"/>
          </w:tcPr>
          <w:p w14:paraId="59A0D874" w14:textId="77777777" w:rsidR="00513C50" w:rsidRDefault="00513C50" w:rsidP="00D51634"/>
        </w:tc>
        <w:tc>
          <w:tcPr>
            <w:tcW w:w="0" w:type="auto"/>
          </w:tcPr>
          <w:p w14:paraId="0A9CC8AA" w14:textId="77777777" w:rsidR="00513C50" w:rsidRDefault="00513C50" w:rsidP="00D51634">
            <w:r w:rsidRPr="00276DF8">
              <w:t xml:space="preserve">Political Efficacy                                    </w:t>
            </w:r>
          </w:p>
        </w:tc>
        <w:tc>
          <w:tcPr>
            <w:tcW w:w="0" w:type="auto"/>
          </w:tcPr>
          <w:p w14:paraId="3BCAD229" w14:textId="042A1DE1" w:rsidR="00513C50" w:rsidRPr="00F62A3A" w:rsidRDefault="00E24DED" w:rsidP="00D51634">
            <w:r w:rsidRPr="00E24DED">
              <w:t xml:space="preserve">-.01 (.09) </w:t>
            </w:r>
          </w:p>
        </w:tc>
        <w:tc>
          <w:tcPr>
            <w:tcW w:w="0" w:type="auto"/>
          </w:tcPr>
          <w:p w14:paraId="6EED55C5" w14:textId="5EC8E30E" w:rsidR="00513C50" w:rsidRDefault="00AB5302" w:rsidP="00D51634">
            <w:r w:rsidRPr="00E24DED">
              <w:t>-.01</w:t>
            </w:r>
          </w:p>
        </w:tc>
        <w:tc>
          <w:tcPr>
            <w:tcW w:w="0" w:type="auto"/>
          </w:tcPr>
          <w:p w14:paraId="22004F78" w14:textId="4DE33037" w:rsidR="00513C50" w:rsidRDefault="00AB5302" w:rsidP="00D51634">
            <w:r w:rsidRPr="00E24DED">
              <w:t>-.09 (.03)</w:t>
            </w:r>
          </w:p>
        </w:tc>
        <w:tc>
          <w:tcPr>
            <w:tcW w:w="0" w:type="auto"/>
          </w:tcPr>
          <w:p w14:paraId="00F56D76" w14:textId="367B52FA" w:rsidR="00513C50" w:rsidRDefault="00AB5302" w:rsidP="00D51634">
            <w:r w:rsidRPr="00E24DED">
              <w:t>**</w:t>
            </w:r>
          </w:p>
        </w:tc>
      </w:tr>
      <w:tr w:rsidR="00FD095C" w14:paraId="15A50FC7" w14:textId="77777777" w:rsidTr="00D51634">
        <w:tc>
          <w:tcPr>
            <w:tcW w:w="0" w:type="auto"/>
          </w:tcPr>
          <w:p w14:paraId="3F22B664" w14:textId="77777777" w:rsidR="00513C50" w:rsidRDefault="00513C50" w:rsidP="00D51634"/>
        </w:tc>
        <w:tc>
          <w:tcPr>
            <w:tcW w:w="0" w:type="auto"/>
          </w:tcPr>
          <w:p w14:paraId="31BBE03D" w14:textId="77777777" w:rsidR="00513C50" w:rsidRDefault="00513C50" w:rsidP="00D51634">
            <w:r>
              <w:t>R</w:t>
            </w:r>
            <w:r w:rsidRPr="00DF0D0B">
              <w:rPr>
                <w:vertAlign w:val="superscript"/>
              </w:rPr>
              <w:t>2</w:t>
            </w:r>
          </w:p>
        </w:tc>
        <w:tc>
          <w:tcPr>
            <w:tcW w:w="0" w:type="auto"/>
          </w:tcPr>
          <w:p w14:paraId="0F9649B2" w14:textId="1A439685" w:rsidR="00513C50" w:rsidRPr="00F62A3A" w:rsidRDefault="00E24DED" w:rsidP="00D51634">
            <w:r>
              <w:t>.33</w:t>
            </w:r>
          </w:p>
        </w:tc>
        <w:tc>
          <w:tcPr>
            <w:tcW w:w="0" w:type="auto"/>
          </w:tcPr>
          <w:p w14:paraId="1395FAB9" w14:textId="77777777" w:rsidR="00513C50" w:rsidRDefault="00513C50" w:rsidP="00D51634"/>
        </w:tc>
        <w:tc>
          <w:tcPr>
            <w:tcW w:w="0" w:type="auto"/>
          </w:tcPr>
          <w:p w14:paraId="7BC04280" w14:textId="6565D7C0" w:rsidR="00513C50" w:rsidRDefault="00E24DED" w:rsidP="00D51634">
            <w:r>
              <w:t>.34</w:t>
            </w:r>
          </w:p>
        </w:tc>
        <w:tc>
          <w:tcPr>
            <w:tcW w:w="0" w:type="auto"/>
          </w:tcPr>
          <w:p w14:paraId="19C42AA7" w14:textId="77777777" w:rsidR="00513C50" w:rsidRDefault="00513C50" w:rsidP="00D51634"/>
        </w:tc>
      </w:tr>
      <w:tr w:rsidR="00FD095C" w14:paraId="627418A9" w14:textId="77777777" w:rsidTr="00D51634">
        <w:tc>
          <w:tcPr>
            <w:tcW w:w="0" w:type="auto"/>
          </w:tcPr>
          <w:p w14:paraId="785B073A" w14:textId="77777777" w:rsidR="00513C50" w:rsidRDefault="00513C50" w:rsidP="00D51634">
            <w:r>
              <w:t>2</w:t>
            </w:r>
          </w:p>
        </w:tc>
        <w:tc>
          <w:tcPr>
            <w:tcW w:w="0" w:type="auto"/>
          </w:tcPr>
          <w:p w14:paraId="57313647" w14:textId="30E3EFDC" w:rsidR="00513C50" w:rsidRPr="00CE727F" w:rsidRDefault="00513C50" w:rsidP="00D51634">
            <w:pPr>
              <w:rPr>
                <w:vertAlign w:val="superscript"/>
              </w:rPr>
            </w:pPr>
            <w:r>
              <w:t>Depressive Symptoms</w:t>
            </w:r>
            <w:r w:rsidRPr="00A4703E">
              <w:t xml:space="preserve"> </w:t>
            </w:r>
            <w:r w:rsidRPr="00CE727F">
              <w:t xml:space="preserve">Wave 1 </w:t>
            </w:r>
          </w:p>
        </w:tc>
        <w:tc>
          <w:tcPr>
            <w:tcW w:w="0" w:type="auto"/>
          </w:tcPr>
          <w:p w14:paraId="15FC2587" w14:textId="637FB8EC" w:rsidR="00513C50" w:rsidRPr="005B1F82" w:rsidRDefault="005B1F82" w:rsidP="00D51634">
            <w:pPr>
              <w:rPr>
                <w:vertAlign w:val="superscript"/>
              </w:rPr>
            </w:pPr>
            <w:r w:rsidRPr="005B1F82">
              <w:t xml:space="preserve">.56 (.09) </w:t>
            </w:r>
          </w:p>
        </w:tc>
        <w:tc>
          <w:tcPr>
            <w:tcW w:w="0" w:type="auto"/>
          </w:tcPr>
          <w:p w14:paraId="05385675" w14:textId="35E6180B" w:rsidR="00513C50" w:rsidRDefault="00AB5302" w:rsidP="00D51634">
            <w:r w:rsidRPr="005B1F82">
              <w:t>.56</w:t>
            </w:r>
            <w:r w:rsidRPr="005B1F82">
              <w:rPr>
                <w:vertAlign w:val="superscript"/>
              </w:rPr>
              <w:t>***</w:t>
            </w:r>
          </w:p>
        </w:tc>
        <w:tc>
          <w:tcPr>
            <w:tcW w:w="0" w:type="auto"/>
          </w:tcPr>
          <w:p w14:paraId="5D5972A3" w14:textId="2A65EA31" w:rsidR="00513C50" w:rsidRDefault="00AB5302" w:rsidP="00D51634">
            <w:r w:rsidRPr="005B1F82">
              <w:t>.48 (.04)</w:t>
            </w:r>
          </w:p>
        </w:tc>
        <w:tc>
          <w:tcPr>
            <w:tcW w:w="0" w:type="auto"/>
          </w:tcPr>
          <w:p w14:paraId="4B8FB087" w14:textId="156A8AB3" w:rsidR="00513C50" w:rsidRDefault="00AB5302" w:rsidP="00D51634">
            <w:r w:rsidRPr="005B1F82">
              <w:t>.46</w:t>
            </w:r>
            <w:r w:rsidRPr="005B1F82">
              <w:rPr>
                <w:vertAlign w:val="superscript"/>
              </w:rPr>
              <w:t>***</w:t>
            </w:r>
          </w:p>
        </w:tc>
      </w:tr>
      <w:tr w:rsidR="00FD095C" w14:paraId="34670F89" w14:textId="77777777" w:rsidTr="00D51634">
        <w:tc>
          <w:tcPr>
            <w:tcW w:w="0" w:type="auto"/>
          </w:tcPr>
          <w:p w14:paraId="1AE301A2" w14:textId="77777777" w:rsidR="00513C50" w:rsidRDefault="00513C50" w:rsidP="00D51634"/>
        </w:tc>
        <w:tc>
          <w:tcPr>
            <w:tcW w:w="0" w:type="auto"/>
          </w:tcPr>
          <w:p w14:paraId="11C26F75" w14:textId="77777777" w:rsidR="00513C50" w:rsidRDefault="00513C50" w:rsidP="00D51634">
            <w:r w:rsidRPr="00CE727F">
              <w:t>Female</w:t>
            </w:r>
          </w:p>
        </w:tc>
        <w:tc>
          <w:tcPr>
            <w:tcW w:w="0" w:type="auto"/>
          </w:tcPr>
          <w:p w14:paraId="6B3A998B" w14:textId="307A14D3" w:rsidR="00513C50" w:rsidRPr="00F62A3A" w:rsidRDefault="005B1F82" w:rsidP="00D51634">
            <w:r w:rsidRPr="005B1F82">
              <w:t xml:space="preserve">.18 (.08) </w:t>
            </w:r>
          </w:p>
        </w:tc>
        <w:tc>
          <w:tcPr>
            <w:tcW w:w="0" w:type="auto"/>
          </w:tcPr>
          <w:p w14:paraId="4221529F" w14:textId="567DB79F" w:rsidR="00513C50" w:rsidRDefault="00AB5302" w:rsidP="00D51634">
            <w:r w:rsidRPr="005B1F82">
              <w:t>.10</w:t>
            </w:r>
            <w:r w:rsidRPr="005B1F82">
              <w:rPr>
                <w:vertAlign w:val="superscript"/>
              </w:rPr>
              <w:t>*</w:t>
            </w:r>
          </w:p>
        </w:tc>
        <w:tc>
          <w:tcPr>
            <w:tcW w:w="0" w:type="auto"/>
          </w:tcPr>
          <w:p w14:paraId="136B719C" w14:textId="3421B9FF" w:rsidR="00513C50" w:rsidRDefault="00AB5302" w:rsidP="00D51634">
            <w:r w:rsidRPr="005B1F82">
              <w:t>.10 (.09)</w:t>
            </w:r>
          </w:p>
        </w:tc>
        <w:tc>
          <w:tcPr>
            <w:tcW w:w="0" w:type="auto"/>
          </w:tcPr>
          <w:p w14:paraId="1BF22AF7" w14:textId="26987A70" w:rsidR="00513C50" w:rsidRDefault="00AB5302" w:rsidP="00D51634">
            <w:r w:rsidRPr="005B1F82">
              <w:t>.07</w:t>
            </w:r>
          </w:p>
        </w:tc>
      </w:tr>
      <w:tr w:rsidR="00FD095C" w14:paraId="6BAA1C34" w14:textId="77777777" w:rsidTr="00D51634">
        <w:tc>
          <w:tcPr>
            <w:tcW w:w="0" w:type="auto"/>
          </w:tcPr>
          <w:p w14:paraId="70CBD162" w14:textId="77777777" w:rsidR="00513C50" w:rsidRDefault="00513C50" w:rsidP="00D51634"/>
        </w:tc>
        <w:tc>
          <w:tcPr>
            <w:tcW w:w="0" w:type="auto"/>
          </w:tcPr>
          <w:p w14:paraId="562C9BE7" w14:textId="77777777" w:rsidR="00513C50" w:rsidRPr="007E016D" w:rsidRDefault="00513C50" w:rsidP="00D51634">
            <w:pPr>
              <w:rPr>
                <w:vertAlign w:val="superscript"/>
              </w:rPr>
            </w:pPr>
            <w:r w:rsidRPr="007E016D">
              <w:t xml:space="preserve">First-Generation </w:t>
            </w:r>
          </w:p>
        </w:tc>
        <w:tc>
          <w:tcPr>
            <w:tcW w:w="0" w:type="auto"/>
          </w:tcPr>
          <w:p w14:paraId="0865DE23" w14:textId="7B856040" w:rsidR="00513C50" w:rsidRPr="003A115B" w:rsidRDefault="005B1F82" w:rsidP="00D51634">
            <w:pPr>
              <w:rPr>
                <w:vertAlign w:val="superscript"/>
              </w:rPr>
            </w:pPr>
            <w:r w:rsidRPr="005B1F82">
              <w:t xml:space="preserve">.04 (.10) </w:t>
            </w:r>
          </w:p>
        </w:tc>
        <w:tc>
          <w:tcPr>
            <w:tcW w:w="0" w:type="auto"/>
          </w:tcPr>
          <w:p w14:paraId="4707A9CC" w14:textId="46CA6EFC" w:rsidR="00513C50" w:rsidRDefault="00AB5302" w:rsidP="00D51634">
            <w:r w:rsidRPr="005B1F82">
              <w:t>.03</w:t>
            </w:r>
          </w:p>
        </w:tc>
        <w:tc>
          <w:tcPr>
            <w:tcW w:w="0" w:type="auto"/>
          </w:tcPr>
          <w:p w14:paraId="0C09E316" w14:textId="374F275E" w:rsidR="00513C50" w:rsidRDefault="00AB5302" w:rsidP="00D51634">
            <w:r w:rsidRPr="005B1F82">
              <w:t>.11 (.03)</w:t>
            </w:r>
          </w:p>
        </w:tc>
        <w:tc>
          <w:tcPr>
            <w:tcW w:w="0" w:type="auto"/>
          </w:tcPr>
          <w:p w14:paraId="72596CA6" w14:textId="5388D26F" w:rsidR="00513C50" w:rsidRDefault="00AB5302" w:rsidP="00D51634">
            <w:r w:rsidRPr="005B1F82">
              <w:t>.07</w:t>
            </w:r>
            <w:r w:rsidRPr="005B1F82">
              <w:rPr>
                <w:vertAlign w:val="superscript"/>
              </w:rPr>
              <w:t>**</w:t>
            </w:r>
          </w:p>
        </w:tc>
      </w:tr>
      <w:tr w:rsidR="00FD095C" w14:paraId="5E8DC8CE" w14:textId="77777777" w:rsidTr="00D51634">
        <w:tc>
          <w:tcPr>
            <w:tcW w:w="0" w:type="auto"/>
          </w:tcPr>
          <w:p w14:paraId="7808F97D" w14:textId="77777777" w:rsidR="00513C50" w:rsidRDefault="00513C50" w:rsidP="00D51634"/>
        </w:tc>
        <w:tc>
          <w:tcPr>
            <w:tcW w:w="0" w:type="auto"/>
          </w:tcPr>
          <w:p w14:paraId="0B582155" w14:textId="77777777" w:rsidR="00513C50" w:rsidRPr="0096365D" w:rsidRDefault="00513C50" w:rsidP="00D51634">
            <w:pPr>
              <w:rPr>
                <w:vertAlign w:val="superscript"/>
              </w:rPr>
            </w:pPr>
            <w:r w:rsidRPr="0096365D">
              <w:t xml:space="preserve">Financial Distress </w:t>
            </w:r>
          </w:p>
        </w:tc>
        <w:tc>
          <w:tcPr>
            <w:tcW w:w="0" w:type="auto"/>
          </w:tcPr>
          <w:p w14:paraId="4F03632A" w14:textId="4D73B343" w:rsidR="00513C50" w:rsidRPr="003A115B" w:rsidRDefault="003A115B" w:rsidP="00D51634">
            <w:pPr>
              <w:rPr>
                <w:vertAlign w:val="superscript"/>
              </w:rPr>
            </w:pPr>
            <w:r w:rsidRPr="003A115B">
              <w:t xml:space="preserve">.07 (.10) </w:t>
            </w:r>
          </w:p>
        </w:tc>
        <w:tc>
          <w:tcPr>
            <w:tcW w:w="0" w:type="auto"/>
          </w:tcPr>
          <w:p w14:paraId="50001F51" w14:textId="6AB0F751" w:rsidR="00513C50" w:rsidRDefault="00AB5302" w:rsidP="00D51634">
            <w:r w:rsidRPr="003A115B">
              <w:t>.07</w:t>
            </w:r>
          </w:p>
        </w:tc>
        <w:tc>
          <w:tcPr>
            <w:tcW w:w="0" w:type="auto"/>
          </w:tcPr>
          <w:p w14:paraId="2FBE5732" w14:textId="2DBE19FC" w:rsidR="00513C50" w:rsidRDefault="00AB5302" w:rsidP="00D51634">
            <w:r w:rsidRPr="003A115B">
              <w:t>.18 (.04)</w:t>
            </w:r>
          </w:p>
        </w:tc>
        <w:tc>
          <w:tcPr>
            <w:tcW w:w="0" w:type="auto"/>
          </w:tcPr>
          <w:p w14:paraId="3423DACD" w14:textId="31257CCF" w:rsidR="00513C50" w:rsidRDefault="00AB5302" w:rsidP="00D51634">
            <w:r w:rsidRPr="003A115B">
              <w:t>.21</w:t>
            </w:r>
            <w:r w:rsidRPr="003A115B">
              <w:rPr>
                <w:vertAlign w:val="superscript"/>
              </w:rPr>
              <w:t>***</w:t>
            </w:r>
          </w:p>
        </w:tc>
      </w:tr>
      <w:tr w:rsidR="00FD095C" w14:paraId="640EA649" w14:textId="77777777" w:rsidTr="00D51634">
        <w:tc>
          <w:tcPr>
            <w:tcW w:w="0" w:type="auto"/>
          </w:tcPr>
          <w:p w14:paraId="005D7AFB" w14:textId="77777777" w:rsidR="00513C50" w:rsidRDefault="00513C50" w:rsidP="00D51634"/>
        </w:tc>
        <w:tc>
          <w:tcPr>
            <w:tcW w:w="0" w:type="auto"/>
          </w:tcPr>
          <w:p w14:paraId="1D439121" w14:textId="77777777" w:rsidR="00513C50" w:rsidRDefault="00513C50" w:rsidP="00D51634">
            <w:r w:rsidRPr="0096365D">
              <w:t xml:space="preserve">Political Efficacy                                    </w:t>
            </w:r>
          </w:p>
        </w:tc>
        <w:tc>
          <w:tcPr>
            <w:tcW w:w="0" w:type="auto"/>
          </w:tcPr>
          <w:p w14:paraId="44235D55" w14:textId="77B46A8F" w:rsidR="00513C50" w:rsidRPr="003A115B" w:rsidRDefault="003A115B" w:rsidP="00D51634">
            <w:pPr>
              <w:rPr>
                <w:vertAlign w:val="superscript"/>
              </w:rPr>
            </w:pPr>
            <w:r w:rsidRPr="003A115B">
              <w:t xml:space="preserve">.01 (.09) </w:t>
            </w:r>
          </w:p>
        </w:tc>
        <w:tc>
          <w:tcPr>
            <w:tcW w:w="0" w:type="auto"/>
          </w:tcPr>
          <w:p w14:paraId="1BC04C8A" w14:textId="5F68D879" w:rsidR="00513C50" w:rsidRDefault="00AB5302" w:rsidP="00D51634">
            <w:r w:rsidRPr="003A115B">
              <w:t>.01</w:t>
            </w:r>
          </w:p>
        </w:tc>
        <w:tc>
          <w:tcPr>
            <w:tcW w:w="0" w:type="auto"/>
          </w:tcPr>
          <w:p w14:paraId="3B4508A0" w14:textId="00CE4DE7" w:rsidR="00513C50" w:rsidRDefault="00AB5302" w:rsidP="00D51634">
            <w:r w:rsidRPr="003A115B">
              <w:t>.11 (.03)</w:t>
            </w:r>
          </w:p>
        </w:tc>
        <w:tc>
          <w:tcPr>
            <w:tcW w:w="0" w:type="auto"/>
          </w:tcPr>
          <w:p w14:paraId="6268A855" w14:textId="531920C3" w:rsidR="00513C50" w:rsidRDefault="00AB5302" w:rsidP="00D51634">
            <w:r w:rsidRPr="003A115B">
              <w:t>.12</w:t>
            </w:r>
            <w:r w:rsidRPr="003A115B">
              <w:rPr>
                <w:vertAlign w:val="superscript"/>
              </w:rPr>
              <w:t>***</w:t>
            </w:r>
          </w:p>
        </w:tc>
      </w:tr>
      <w:tr w:rsidR="00FD095C" w14:paraId="034D33BD" w14:textId="77777777" w:rsidTr="00D51634">
        <w:tc>
          <w:tcPr>
            <w:tcW w:w="0" w:type="auto"/>
          </w:tcPr>
          <w:p w14:paraId="210E1D75" w14:textId="77777777" w:rsidR="00513C50" w:rsidRDefault="00513C50" w:rsidP="00D51634"/>
        </w:tc>
        <w:tc>
          <w:tcPr>
            <w:tcW w:w="0" w:type="auto"/>
          </w:tcPr>
          <w:p w14:paraId="358CCA4D" w14:textId="77777777" w:rsidR="00513C50" w:rsidRDefault="00513C50" w:rsidP="00D51634">
            <w:r w:rsidRPr="0096365D">
              <w:t xml:space="preserve">Political Activism </w:t>
            </w:r>
          </w:p>
        </w:tc>
        <w:tc>
          <w:tcPr>
            <w:tcW w:w="0" w:type="auto"/>
          </w:tcPr>
          <w:p w14:paraId="7539B9AC" w14:textId="0142AB73" w:rsidR="00513C50" w:rsidRPr="003A115B" w:rsidRDefault="003A115B" w:rsidP="00D51634">
            <w:pPr>
              <w:rPr>
                <w:vertAlign w:val="superscript"/>
              </w:rPr>
            </w:pPr>
            <w:r w:rsidRPr="003A115B">
              <w:t xml:space="preserve">.02 (.02) </w:t>
            </w:r>
          </w:p>
        </w:tc>
        <w:tc>
          <w:tcPr>
            <w:tcW w:w="0" w:type="auto"/>
          </w:tcPr>
          <w:p w14:paraId="4294E32F" w14:textId="75B8184A" w:rsidR="00513C50" w:rsidRDefault="00AB5302" w:rsidP="00D51634">
            <w:r w:rsidRPr="003A115B">
              <w:t>.06</w:t>
            </w:r>
          </w:p>
        </w:tc>
        <w:tc>
          <w:tcPr>
            <w:tcW w:w="0" w:type="auto"/>
          </w:tcPr>
          <w:p w14:paraId="64DC6AE6" w14:textId="45E771B8" w:rsidR="00513C50" w:rsidRDefault="00AB5302" w:rsidP="00D51634">
            <w:r w:rsidRPr="003A115B">
              <w:t>.06 (.02)</w:t>
            </w:r>
          </w:p>
        </w:tc>
        <w:tc>
          <w:tcPr>
            <w:tcW w:w="0" w:type="auto"/>
          </w:tcPr>
          <w:p w14:paraId="76FDD7D0" w14:textId="5D7252A8" w:rsidR="00513C50" w:rsidRDefault="00AB5302" w:rsidP="00D51634">
            <w:r w:rsidRPr="003A115B">
              <w:t>.12</w:t>
            </w:r>
            <w:r w:rsidRPr="003A115B">
              <w:rPr>
                <w:vertAlign w:val="superscript"/>
              </w:rPr>
              <w:t>***</w:t>
            </w:r>
          </w:p>
        </w:tc>
      </w:tr>
      <w:tr w:rsidR="00FD095C" w14:paraId="20D0354A" w14:textId="77777777" w:rsidTr="00D51634">
        <w:tc>
          <w:tcPr>
            <w:tcW w:w="0" w:type="auto"/>
          </w:tcPr>
          <w:p w14:paraId="43C67FCC" w14:textId="77777777" w:rsidR="00513C50" w:rsidRDefault="00513C50" w:rsidP="00D51634"/>
        </w:tc>
        <w:tc>
          <w:tcPr>
            <w:tcW w:w="0" w:type="auto"/>
          </w:tcPr>
          <w:p w14:paraId="3121A069" w14:textId="77777777" w:rsidR="00513C50" w:rsidRDefault="00513C50" w:rsidP="00D51634">
            <w:r w:rsidRPr="005555E7">
              <w:t xml:space="preserve">SBREMA </w:t>
            </w:r>
          </w:p>
        </w:tc>
        <w:tc>
          <w:tcPr>
            <w:tcW w:w="0" w:type="auto"/>
          </w:tcPr>
          <w:p w14:paraId="7213AAD1" w14:textId="558D6BC0" w:rsidR="00513C50" w:rsidRPr="00F62A3A" w:rsidRDefault="00A61214" w:rsidP="00D51634">
            <w:r w:rsidRPr="00A61214">
              <w:t xml:space="preserve">.00 (.01) </w:t>
            </w:r>
          </w:p>
        </w:tc>
        <w:tc>
          <w:tcPr>
            <w:tcW w:w="0" w:type="auto"/>
          </w:tcPr>
          <w:p w14:paraId="778D097C" w14:textId="2D6B8436" w:rsidR="00513C50" w:rsidRDefault="00AB5302" w:rsidP="00D51634">
            <w:r w:rsidRPr="00A61214">
              <w:t>.01</w:t>
            </w:r>
          </w:p>
        </w:tc>
        <w:tc>
          <w:tcPr>
            <w:tcW w:w="0" w:type="auto"/>
          </w:tcPr>
          <w:p w14:paraId="78B1DA19" w14:textId="7F673338" w:rsidR="00513C50" w:rsidRDefault="00AB5302" w:rsidP="00D51634">
            <w:r w:rsidRPr="00A61214">
              <w:t>.01 (.01)</w:t>
            </w:r>
          </w:p>
        </w:tc>
        <w:tc>
          <w:tcPr>
            <w:tcW w:w="0" w:type="auto"/>
          </w:tcPr>
          <w:p w14:paraId="5A08DB41" w14:textId="1D2F2106" w:rsidR="00513C50" w:rsidRDefault="00AB5302" w:rsidP="00D51634">
            <w:r w:rsidRPr="00A61214">
              <w:t>.05</w:t>
            </w:r>
          </w:p>
        </w:tc>
      </w:tr>
      <w:tr w:rsidR="00FD095C" w14:paraId="29A1B711" w14:textId="77777777" w:rsidTr="00D51634">
        <w:tc>
          <w:tcPr>
            <w:tcW w:w="0" w:type="auto"/>
          </w:tcPr>
          <w:p w14:paraId="6E992834" w14:textId="77777777" w:rsidR="00513C50" w:rsidRDefault="00513C50" w:rsidP="00D51634"/>
        </w:tc>
        <w:tc>
          <w:tcPr>
            <w:tcW w:w="0" w:type="auto"/>
          </w:tcPr>
          <w:p w14:paraId="04A8484F" w14:textId="77777777" w:rsidR="00513C50" w:rsidRDefault="00513C50" w:rsidP="00D51634">
            <w:r>
              <w:t>R</w:t>
            </w:r>
            <w:r w:rsidRPr="005555E7">
              <w:rPr>
                <w:vertAlign w:val="superscript"/>
              </w:rPr>
              <w:t>2</w:t>
            </w:r>
          </w:p>
        </w:tc>
        <w:tc>
          <w:tcPr>
            <w:tcW w:w="0" w:type="auto"/>
          </w:tcPr>
          <w:p w14:paraId="46EAA417" w14:textId="0A10A77C" w:rsidR="00513C50" w:rsidRPr="00F62A3A" w:rsidRDefault="00A61214" w:rsidP="00D51634">
            <w:r>
              <w:t>.33</w:t>
            </w:r>
          </w:p>
        </w:tc>
        <w:tc>
          <w:tcPr>
            <w:tcW w:w="0" w:type="auto"/>
          </w:tcPr>
          <w:p w14:paraId="32A5D255" w14:textId="77777777" w:rsidR="00513C50" w:rsidRDefault="00513C50" w:rsidP="00D51634"/>
        </w:tc>
        <w:tc>
          <w:tcPr>
            <w:tcW w:w="0" w:type="auto"/>
          </w:tcPr>
          <w:p w14:paraId="1E82E7C3" w14:textId="7127DB4D" w:rsidR="00513C50" w:rsidRDefault="00A61214" w:rsidP="00D51634">
            <w:r>
              <w:t>.35</w:t>
            </w:r>
          </w:p>
        </w:tc>
        <w:tc>
          <w:tcPr>
            <w:tcW w:w="0" w:type="auto"/>
          </w:tcPr>
          <w:p w14:paraId="1F01F85C" w14:textId="77777777" w:rsidR="00513C50" w:rsidRDefault="00513C50" w:rsidP="00D51634"/>
        </w:tc>
      </w:tr>
      <w:tr w:rsidR="00FD095C" w14:paraId="1E106336" w14:textId="77777777" w:rsidTr="00D51634">
        <w:tc>
          <w:tcPr>
            <w:tcW w:w="0" w:type="auto"/>
          </w:tcPr>
          <w:p w14:paraId="3BF8D241" w14:textId="77777777" w:rsidR="00513C50" w:rsidRDefault="00513C50" w:rsidP="00D51634"/>
        </w:tc>
        <w:tc>
          <w:tcPr>
            <w:tcW w:w="0" w:type="auto"/>
          </w:tcPr>
          <w:p w14:paraId="53A6E19A" w14:textId="77777777" w:rsidR="00513C50" w:rsidRDefault="00513C50" w:rsidP="00D51634">
            <w:r>
              <w:rPr>
                <w:rFonts w:cstheme="minorHAnsi"/>
              </w:rPr>
              <w:t>Δ</w:t>
            </w:r>
            <w:r>
              <w:t>R</w:t>
            </w:r>
            <w:r w:rsidRPr="005555E7">
              <w:rPr>
                <w:vertAlign w:val="superscript"/>
              </w:rPr>
              <w:t>2</w:t>
            </w:r>
          </w:p>
        </w:tc>
        <w:tc>
          <w:tcPr>
            <w:tcW w:w="0" w:type="auto"/>
          </w:tcPr>
          <w:p w14:paraId="4429B08E" w14:textId="793209FC" w:rsidR="00513C50" w:rsidRPr="00F62A3A" w:rsidRDefault="00A61214" w:rsidP="00D51634">
            <w:r>
              <w:t>.00</w:t>
            </w:r>
          </w:p>
        </w:tc>
        <w:tc>
          <w:tcPr>
            <w:tcW w:w="0" w:type="auto"/>
          </w:tcPr>
          <w:p w14:paraId="0E6708BD" w14:textId="77777777" w:rsidR="00513C50" w:rsidRDefault="00513C50" w:rsidP="00D51634"/>
        </w:tc>
        <w:tc>
          <w:tcPr>
            <w:tcW w:w="0" w:type="auto"/>
          </w:tcPr>
          <w:p w14:paraId="21C6E346" w14:textId="6952BEB5" w:rsidR="00513C50" w:rsidRDefault="00A61214" w:rsidP="00D51634">
            <w:r>
              <w:t>.01</w:t>
            </w:r>
          </w:p>
        </w:tc>
        <w:tc>
          <w:tcPr>
            <w:tcW w:w="0" w:type="auto"/>
          </w:tcPr>
          <w:p w14:paraId="6609B923" w14:textId="77777777" w:rsidR="00513C50" w:rsidRDefault="00513C50" w:rsidP="00D51634"/>
        </w:tc>
      </w:tr>
      <w:tr w:rsidR="00FD095C" w14:paraId="04B8F53A" w14:textId="77777777" w:rsidTr="00D51634">
        <w:tc>
          <w:tcPr>
            <w:tcW w:w="0" w:type="auto"/>
          </w:tcPr>
          <w:p w14:paraId="75BACCE1" w14:textId="77777777" w:rsidR="00513C50" w:rsidRDefault="00513C50" w:rsidP="00D51634">
            <w:r>
              <w:t>3</w:t>
            </w:r>
          </w:p>
        </w:tc>
        <w:tc>
          <w:tcPr>
            <w:tcW w:w="0" w:type="auto"/>
          </w:tcPr>
          <w:p w14:paraId="1A52D1C5" w14:textId="439D7A3E" w:rsidR="00513C50" w:rsidRPr="00CA5495" w:rsidRDefault="00513C50" w:rsidP="00D51634">
            <w:pPr>
              <w:rPr>
                <w:vertAlign w:val="superscript"/>
              </w:rPr>
            </w:pPr>
            <w:r>
              <w:t>Depressive Symptoms</w:t>
            </w:r>
            <w:r w:rsidRPr="00A4703E">
              <w:t xml:space="preserve"> </w:t>
            </w:r>
            <w:r w:rsidRPr="00CA5495">
              <w:t xml:space="preserve">Wave 1 </w:t>
            </w:r>
          </w:p>
        </w:tc>
        <w:tc>
          <w:tcPr>
            <w:tcW w:w="0" w:type="auto"/>
          </w:tcPr>
          <w:p w14:paraId="76463A1F" w14:textId="0980AF1D" w:rsidR="00513C50" w:rsidRPr="00A61214" w:rsidRDefault="00A61214" w:rsidP="00D51634">
            <w:pPr>
              <w:rPr>
                <w:vertAlign w:val="superscript"/>
              </w:rPr>
            </w:pPr>
            <w:r w:rsidRPr="00A61214">
              <w:t xml:space="preserve">.55 (.08) </w:t>
            </w:r>
          </w:p>
        </w:tc>
        <w:tc>
          <w:tcPr>
            <w:tcW w:w="0" w:type="auto"/>
          </w:tcPr>
          <w:p w14:paraId="7F30A301" w14:textId="28CA92A6" w:rsidR="00513C50" w:rsidRDefault="00AB5302" w:rsidP="00D51634">
            <w:r w:rsidRPr="00A61214">
              <w:t>.55</w:t>
            </w:r>
            <w:r w:rsidRPr="00A61214">
              <w:rPr>
                <w:vertAlign w:val="superscript"/>
              </w:rPr>
              <w:t>***</w:t>
            </w:r>
          </w:p>
        </w:tc>
        <w:tc>
          <w:tcPr>
            <w:tcW w:w="0" w:type="auto"/>
          </w:tcPr>
          <w:p w14:paraId="07EA655D" w14:textId="69A8529E" w:rsidR="00513C50" w:rsidRDefault="00AB5302" w:rsidP="00D51634">
            <w:r w:rsidRPr="00A61214">
              <w:t>.46 (.05)</w:t>
            </w:r>
          </w:p>
        </w:tc>
        <w:tc>
          <w:tcPr>
            <w:tcW w:w="0" w:type="auto"/>
          </w:tcPr>
          <w:p w14:paraId="463F47F9" w14:textId="3A4BEE72" w:rsidR="00513C50" w:rsidRDefault="00AB5302" w:rsidP="00D51634">
            <w:r w:rsidRPr="00A61214">
              <w:t>.44</w:t>
            </w:r>
            <w:r w:rsidRPr="00A61214">
              <w:rPr>
                <w:vertAlign w:val="superscript"/>
              </w:rPr>
              <w:t>***</w:t>
            </w:r>
          </w:p>
        </w:tc>
      </w:tr>
      <w:tr w:rsidR="00FD095C" w14:paraId="57BF13B7" w14:textId="77777777" w:rsidTr="00D51634">
        <w:tc>
          <w:tcPr>
            <w:tcW w:w="0" w:type="auto"/>
          </w:tcPr>
          <w:p w14:paraId="46A45669" w14:textId="77777777" w:rsidR="00513C50" w:rsidRDefault="00513C50" w:rsidP="00D51634"/>
        </w:tc>
        <w:tc>
          <w:tcPr>
            <w:tcW w:w="0" w:type="auto"/>
          </w:tcPr>
          <w:p w14:paraId="2993D7A8" w14:textId="77777777" w:rsidR="00513C50" w:rsidRDefault="00513C50" w:rsidP="00D51634">
            <w:r w:rsidRPr="00CA5495">
              <w:t xml:space="preserve">Female </w:t>
            </w:r>
          </w:p>
        </w:tc>
        <w:tc>
          <w:tcPr>
            <w:tcW w:w="0" w:type="auto"/>
          </w:tcPr>
          <w:p w14:paraId="27C515E2" w14:textId="2EA48C31" w:rsidR="00513C50" w:rsidRPr="00F62A3A" w:rsidRDefault="00203FA6" w:rsidP="00D51634">
            <w:r w:rsidRPr="00203FA6">
              <w:t xml:space="preserve">.16 (.08) </w:t>
            </w:r>
          </w:p>
        </w:tc>
        <w:tc>
          <w:tcPr>
            <w:tcW w:w="0" w:type="auto"/>
          </w:tcPr>
          <w:p w14:paraId="4EE54E60" w14:textId="79A2EFF7" w:rsidR="00513C50" w:rsidRDefault="00AB5302" w:rsidP="00D51634">
            <w:r w:rsidRPr="00203FA6">
              <w:t>.09</w:t>
            </w:r>
            <w:r w:rsidRPr="00203FA6">
              <w:rPr>
                <w:vertAlign w:val="superscript"/>
              </w:rPr>
              <w:t>*</w:t>
            </w:r>
          </w:p>
        </w:tc>
        <w:tc>
          <w:tcPr>
            <w:tcW w:w="0" w:type="auto"/>
          </w:tcPr>
          <w:p w14:paraId="4DFC9975" w14:textId="38C58C73" w:rsidR="00513C50" w:rsidRDefault="00AB5302" w:rsidP="00D51634">
            <w:r w:rsidRPr="00203FA6">
              <w:t>.09 (.09)</w:t>
            </w:r>
          </w:p>
        </w:tc>
        <w:tc>
          <w:tcPr>
            <w:tcW w:w="0" w:type="auto"/>
          </w:tcPr>
          <w:p w14:paraId="6E97FC83" w14:textId="14B11783" w:rsidR="00513C50" w:rsidRDefault="00AB5302" w:rsidP="00D51634">
            <w:r w:rsidRPr="00203FA6">
              <w:t>.06</w:t>
            </w:r>
          </w:p>
        </w:tc>
      </w:tr>
      <w:tr w:rsidR="00FD095C" w14:paraId="660642F8" w14:textId="77777777" w:rsidTr="00D51634">
        <w:tc>
          <w:tcPr>
            <w:tcW w:w="0" w:type="auto"/>
          </w:tcPr>
          <w:p w14:paraId="5864437F" w14:textId="77777777" w:rsidR="00513C50" w:rsidRDefault="00513C50" w:rsidP="00D51634"/>
        </w:tc>
        <w:tc>
          <w:tcPr>
            <w:tcW w:w="0" w:type="auto"/>
          </w:tcPr>
          <w:p w14:paraId="197E4E2F" w14:textId="77777777" w:rsidR="00513C50" w:rsidRPr="00CA5495" w:rsidRDefault="00513C50" w:rsidP="00D51634">
            <w:pPr>
              <w:rPr>
                <w:vertAlign w:val="superscript"/>
              </w:rPr>
            </w:pPr>
            <w:r w:rsidRPr="00CA5495">
              <w:t xml:space="preserve">First-Generation </w:t>
            </w:r>
          </w:p>
        </w:tc>
        <w:tc>
          <w:tcPr>
            <w:tcW w:w="0" w:type="auto"/>
          </w:tcPr>
          <w:p w14:paraId="1D8A1BE5" w14:textId="26A68E65" w:rsidR="00513C50" w:rsidRPr="00203FA6" w:rsidRDefault="00203FA6" w:rsidP="00D51634">
            <w:pPr>
              <w:rPr>
                <w:vertAlign w:val="superscript"/>
              </w:rPr>
            </w:pPr>
            <w:r w:rsidRPr="00203FA6">
              <w:t xml:space="preserve">.06 (.10) </w:t>
            </w:r>
          </w:p>
        </w:tc>
        <w:tc>
          <w:tcPr>
            <w:tcW w:w="0" w:type="auto"/>
          </w:tcPr>
          <w:p w14:paraId="565CEA38" w14:textId="5EB18DCF" w:rsidR="00513C50" w:rsidRDefault="00AB5302" w:rsidP="00D51634">
            <w:r w:rsidRPr="00203FA6">
              <w:t>.04</w:t>
            </w:r>
          </w:p>
        </w:tc>
        <w:tc>
          <w:tcPr>
            <w:tcW w:w="0" w:type="auto"/>
          </w:tcPr>
          <w:p w14:paraId="459251DE" w14:textId="75C10756" w:rsidR="00513C50" w:rsidRDefault="00AB5302" w:rsidP="00D51634">
            <w:r w:rsidRPr="00203FA6">
              <w:t>.10 (.04)</w:t>
            </w:r>
          </w:p>
        </w:tc>
        <w:tc>
          <w:tcPr>
            <w:tcW w:w="0" w:type="auto"/>
          </w:tcPr>
          <w:p w14:paraId="195B7E3A" w14:textId="17ECF070" w:rsidR="00513C50" w:rsidRDefault="00AB5302" w:rsidP="00D51634">
            <w:r w:rsidRPr="00203FA6">
              <w:t>.06</w:t>
            </w:r>
            <w:r w:rsidRPr="00203FA6">
              <w:rPr>
                <w:vertAlign w:val="superscript"/>
              </w:rPr>
              <w:t>**</w:t>
            </w:r>
          </w:p>
        </w:tc>
      </w:tr>
      <w:tr w:rsidR="00FD095C" w14:paraId="55CF7DB7" w14:textId="77777777" w:rsidTr="00D51634">
        <w:tc>
          <w:tcPr>
            <w:tcW w:w="0" w:type="auto"/>
          </w:tcPr>
          <w:p w14:paraId="19442460" w14:textId="77777777" w:rsidR="00513C50" w:rsidRDefault="00513C50" w:rsidP="00D51634"/>
        </w:tc>
        <w:tc>
          <w:tcPr>
            <w:tcW w:w="0" w:type="auto"/>
          </w:tcPr>
          <w:p w14:paraId="66342926" w14:textId="77777777" w:rsidR="00513C50" w:rsidRPr="00AA1E37" w:rsidRDefault="00513C50" w:rsidP="00D51634">
            <w:pPr>
              <w:rPr>
                <w:vertAlign w:val="superscript"/>
              </w:rPr>
            </w:pPr>
            <w:r w:rsidRPr="00AA1E37">
              <w:t xml:space="preserve">Financial Distress </w:t>
            </w:r>
          </w:p>
        </w:tc>
        <w:tc>
          <w:tcPr>
            <w:tcW w:w="0" w:type="auto"/>
          </w:tcPr>
          <w:p w14:paraId="7A1B926F" w14:textId="578505C1" w:rsidR="00513C50" w:rsidRPr="00203FA6" w:rsidRDefault="00203FA6" w:rsidP="00D51634">
            <w:pPr>
              <w:rPr>
                <w:vertAlign w:val="superscript"/>
              </w:rPr>
            </w:pPr>
            <w:r w:rsidRPr="00203FA6">
              <w:t xml:space="preserve">.07 (.09) </w:t>
            </w:r>
          </w:p>
        </w:tc>
        <w:tc>
          <w:tcPr>
            <w:tcW w:w="0" w:type="auto"/>
          </w:tcPr>
          <w:p w14:paraId="0ECDA14A" w14:textId="253A9741" w:rsidR="00513C50" w:rsidRDefault="00AB5302" w:rsidP="00D51634">
            <w:r w:rsidRPr="00203FA6">
              <w:t>.07</w:t>
            </w:r>
          </w:p>
        </w:tc>
        <w:tc>
          <w:tcPr>
            <w:tcW w:w="0" w:type="auto"/>
          </w:tcPr>
          <w:p w14:paraId="01B15C31" w14:textId="0DE6F6D0" w:rsidR="00513C50" w:rsidRDefault="00AB5302" w:rsidP="00D51634">
            <w:r w:rsidRPr="00203FA6">
              <w:t>.19 (.05)</w:t>
            </w:r>
          </w:p>
        </w:tc>
        <w:tc>
          <w:tcPr>
            <w:tcW w:w="0" w:type="auto"/>
          </w:tcPr>
          <w:p w14:paraId="0C2A8225" w14:textId="3B505E1A" w:rsidR="00513C50" w:rsidRDefault="00AB5302" w:rsidP="00D51634">
            <w:r w:rsidRPr="00203FA6">
              <w:t>.22</w:t>
            </w:r>
            <w:r w:rsidRPr="00203FA6">
              <w:rPr>
                <w:vertAlign w:val="superscript"/>
              </w:rPr>
              <w:t>***</w:t>
            </w:r>
          </w:p>
        </w:tc>
      </w:tr>
      <w:tr w:rsidR="00FD095C" w14:paraId="160A5713" w14:textId="77777777" w:rsidTr="00D51634">
        <w:tc>
          <w:tcPr>
            <w:tcW w:w="0" w:type="auto"/>
          </w:tcPr>
          <w:p w14:paraId="1416AFC3" w14:textId="77777777" w:rsidR="00513C50" w:rsidRDefault="00513C50" w:rsidP="00D51634"/>
        </w:tc>
        <w:tc>
          <w:tcPr>
            <w:tcW w:w="0" w:type="auto"/>
          </w:tcPr>
          <w:p w14:paraId="456191AC" w14:textId="77777777" w:rsidR="00513C50" w:rsidRDefault="00513C50" w:rsidP="00D51634">
            <w:r w:rsidRPr="00AA1E37">
              <w:t xml:space="preserve">Political Efficacy                                       </w:t>
            </w:r>
          </w:p>
        </w:tc>
        <w:tc>
          <w:tcPr>
            <w:tcW w:w="0" w:type="auto"/>
          </w:tcPr>
          <w:p w14:paraId="4B1E586A" w14:textId="712D7645" w:rsidR="00513C50" w:rsidRPr="00FD095C" w:rsidRDefault="00FD095C" w:rsidP="00D51634">
            <w:pPr>
              <w:rPr>
                <w:vertAlign w:val="superscript"/>
              </w:rPr>
            </w:pPr>
            <w:r w:rsidRPr="00FD095C">
              <w:t xml:space="preserve">.03 (.09) </w:t>
            </w:r>
          </w:p>
        </w:tc>
        <w:tc>
          <w:tcPr>
            <w:tcW w:w="0" w:type="auto"/>
          </w:tcPr>
          <w:p w14:paraId="6632A7AF" w14:textId="781F2F45" w:rsidR="00513C50" w:rsidRDefault="00AB5302" w:rsidP="00D51634">
            <w:r w:rsidRPr="00FD095C">
              <w:t>.03</w:t>
            </w:r>
          </w:p>
        </w:tc>
        <w:tc>
          <w:tcPr>
            <w:tcW w:w="0" w:type="auto"/>
          </w:tcPr>
          <w:p w14:paraId="4057C1DC" w14:textId="23BE4BB2" w:rsidR="00513C50" w:rsidRDefault="00AB5302" w:rsidP="00D51634">
            <w:r w:rsidRPr="00FD095C">
              <w:t>.12 (.03)</w:t>
            </w:r>
          </w:p>
        </w:tc>
        <w:tc>
          <w:tcPr>
            <w:tcW w:w="0" w:type="auto"/>
          </w:tcPr>
          <w:p w14:paraId="01B4F43C" w14:textId="673EE293" w:rsidR="00513C50" w:rsidRDefault="00AB5302" w:rsidP="00D51634">
            <w:r w:rsidRPr="00FD095C">
              <w:t>.13</w:t>
            </w:r>
            <w:r w:rsidRPr="00FD095C">
              <w:rPr>
                <w:vertAlign w:val="superscript"/>
              </w:rPr>
              <w:t>***</w:t>
            </w:r>
          </w:p>
        </w:tc>
      </w:tr>
      <w:tr w:rsidR="00FD095C" w14:paraId="0E3446F8" w14:textId="77777777" w:rsidTr="00D51634">
        <w:tc>
          <w:tcPr>
            <w:tcW w:w="0" w:type="auto"/>
          </w:tcPr>
          <w:p w14:paraId="25BB2D01" w14:textId="77777777" w:rsidR="00513C50" w:rsidRDefault="00513C50" w:rsidP="00D51634"/>
        </w:tc>
        <w:tc>
          <w:tcPr>
            <w:tcW w:w="0" w:type="auto"/>
          </w:tcPr>
          <w:p w14:paraId="18BA3337" w14:textId="77777777" w:rsidR="00513C50" w:rsidRDefault="00513C50" w:rsidP="00D51634">
            <w:r w:rsidRPr="00AA1E37">
              <w:t xml:space="preserve">Political Activism </w:t>
            </w:r>
          </w:p>
        </w:tc>
        <w:tc>
          <w:tcPr>
            <w:tcW w:w="0" w:type="auto"/>
          </w:tcPr>
          <w:p w14:paraId="3A4B9322" w14:textId="5E1E336C" w:rsidR="00513C50" w:rsidRPr="00FD095C" w:rsidRDefault="00FD095C" w:rsidP="00D51634">
            <w:pPr>
              <w:rPr>
                <w:vertAlign w:val="superscript"/>
              </w:rPr>
            </w:pPr>
            <w:r w:rsidRPr="00FD095C">
              <w:t xml:space="preserve">.06 (.04) </w:t>
            </w:r>
          </w:p>
        </w:tc>
        <w:tc>
          <w:tcPr>
            <w:tcW w:w="0" w:type="auto"/>
          </w:tcPr>
          <w:p w14:paraId="00584424" w14:textId="47A7B084" w:rsidR="00513C50" w:rsidRDefault="00AB5302" w:rsidP="00D51634">
            <w:r w:rsidRPr="00FD095C">
              <w:t>.13</w:t>
            </w:r>
          </w:p>
        </w:tc>
        <w:tc>
          <w:tcPr>
            <w:tcW w:w="0" w:type="auto"/>
          </w:tcPr>
          <w:p w14:paraId="553AC2D0" w14:textId="7B197611" w:rsidR="00513C50" w:rsidRDefault="00AB5302" w:rsidP="00D51634">
            <w:r w:rsidRPr="00FD095C">
              <w:t>.07 (.02)</w:t>
            </w:r>
          </w:p>
        </w:tc>
        <w:tc>
          <w:tcPr>
            <w:tcW w:w="0" w:type="auto"/>
          </w:tcPr>
          <w:p w14:paraId="4A508612" w14:textId="64CE4535" w:rsidR="00513C50" w:rsidRDefault="00AB5302" w:rsidP="00D51634">
            <w:r w:rsidRPr="00FD095C">
              <w:t>.15</w:t>
            </w:r>
            <w:r w:rsidRPr="00FD095C">
              <w:rPr>
                <w:vertAlign w:val="superscript"/>
              </w:rPr>
              <w:t>***</w:t>
            </w:r>
          </w:p>
        </w:tc>
      </w:tr>
      <w:tr w:rsidR="00FD095C" w14:paraId="1E066172" w14:textId="77777777" w:rsidTr="00D51634">
        <w:tc>
          <w:tcPr>
            <w:tcW w:w="0" w:type="auto"/>
          </w:tcPr>
          <w:p w14:paraId="06935730" w14:textId="77777777" w:rsidR="00513C50" w:rsidRDefault="00513C50" w:rsidP="00D51634"/>
        </w:tc>
        <w:tc>
          <w:tcPr>
            <w:tcW w:w="0" w:type="auto"/>
          </w:tcPr>
          <w:p w14:paraId="5D847DAA" w14:textId="77777777" w:rsidR="00513C50" w:rsidRDefault="00513C50" w:rsidP="00D51634">
            <w:r w:rsidRPr="006705B6">
              <w:t xml:space="preserve">SBREMA </w:t>
            </w:r>
          </w:p>
        </w:tc>
        <w:tc>
          <w:tcPr>
            <w:tcW w:w="0" w:type="auto"/>
          </w:tcPr>
          <w:p w14:paraId="3ED5C98F" w14:textId="5B219D49" w:rsidR="00513C50" w:rsidRPr="00F62A3A" w:rsidRDefault="00FD095C" w:rsidP="00D51634">
            <w:r w:rsidRPr="00FD095C">
              <w:t xml:space="preserve">-.00 (.01) </w:t>
            </w:r>
          </w:p>
        </w:tc>
        <w:tc>
          <w:tcPr>
            <w:tcW w:w="0" w:type="auto"/>
          </w:tcPr>
          <w:p w14:paraId="2AA254E2" w14:textId="339BCE6A" w:rsidR="00513C50" w:rsidRDefault="00AB5302" w:rsidP="00D51634">
            <w:r w:rsidRPr="00FD095C">
              <w:t>-.00</w:t>
            </w:r>
          </w:p>
        </w:tc>
        <w:tc>
          <w:tcPr>
            <w:tcW w:w="0" w:type="auto"/>
          </w:tcPr>
          <w:p w14:paraId="309F2517" w14:textId="1751FDF4" w:rsidR="00513C50" w:rsidRDefault="00AB5302" w:rsidP="00D51634">
            <w:r w:rsidRPr="00FD095C">
              <w:t>.01 (.01)</w:t>
            </w:r>
          </w:p>
        </w:tc>
        <w:tc>
          <w:tcPr>
            <w:tcW w:w="0" w:type="auto"/>
          </w:tcPr>
          <w:p w14:paraId="645EA5AA" w14:textId="17818509" w:rsidR="00513C50" w:rsidRDefault="00AB5302" w:rsidP="00D51634">
            <w:r w:rsidRPr="00FD095C">
              <w:t>.05</w:t>
            </w:r>
          </w:p>
        </w:tc>
      </w:tr>
      <w:tr w:rsidR="00FD095C" w14:paraId="59809705" w14:textId="77777777" w:rsidTr="00D51634">
        <w:tc>
          <w:tcPr>
            <w:tcW w:w="0" w:type="auto"/>
          </w:tcPr>
          <w:p w14:paraId="75D52176" w14:textId="77777777" w:rsidR="00513C50" w:rsidRDefault="00513C50" w:rsidP="00D51634"/>
        </w:tc>
        <w:tc>
          <w:tcPr>
            <w:tcW w:w="0" w:type="auto"/>
          </w:tcPr>
          <w:p w14:paraId="0C719DE9" w14:textId="77777777" w:rsidR="00513C50" w:rsidRPr="006705B6" w:rsidRDefault="00513C50" w:rsidP="00D51634">
            <w:pPr>
              <w:rPr>
                <w:vertAlign w:val="superscript"/>
              </w:rPr>
            </w:pPr>
            <w:r w:rsidRPr="006705B6">
              <w:t xml:space="preserve">Political Activism </w:t>
            </w:r>
            <w:r>
              <w:rPr>
                <w:rFonts w:cstheme="minorHAnsi"/>
              </w:rPr>
              <w:t>×</w:t>
            </w:r>
            <w:r w:rsidRPr="006705B6">
              <w:t xml:space="preserve"> SBREMA </w:t>
            </w:r>
          </w:p>
        </w:tc>
        <w:tc>
          <w:tcPr>
            <w:tcW w:w="0" w:type="auto"/>
          </w:tcPr>
          <w:p w14:paraId="7DC3B8CD" w14:textId="6C11093E" w:rsidR="00513C50" w:rsidRPr="007F1107" w:rsidRDefault="007F1107" w:rsidP="00D51634">
            <w:pPr>
              <w:rPr>
                <w:vertAlign w:val="superscript"/>
              </w:rPr>
            </w:pPr>
            <w:r w:rsidRPr="007F1107">
              <w:t xml:space="preserve">.02 (.01) </w:t>
            </w:r>
          </w:p>
        </w:tc>
        <w:tc>
          <w:tcPr>
            <w:tcW w:w="0" w:type="auto"/>
          </w:tcPr>
          <w:p w14:paraId="58958369" w14:textId="649C8024" w:rsidR="00513C50" w:rsidRDefault="00AB5302" w:rsidP="00D51634">
            <w:r w:rsidRPr="007F1107">
              <w:t>.15</w:t>
            </w:r>
          </w:p>
        </w:tc>
        <w:tc>
          <w:tcPr>
            <w:tcW w:w="0" w:type="auto"/>
          </w:tcPr>
          <w:p w14:paraId="7ADF458F" w14:textId="25613138" w:rsidR="00513C50" w:rsidRDefault="00AB5302" w:rsidP="00D51634">
            <w:r w:rsidRPr="007F1107">
              <w:t>.02 (.00)</w:t>
            </w:r>
          </w:p>
        </w:tc>
        <w:tc>
          <w:tcPr>
            <w:tcW w:w="0" w:type="auto"/>
          </w:tcPr>
          <w:p w14:paraId="627C66CC" w14:textId="3E17C045" w:rsidR="00513C50" w:rsidRDefault="00AB5302" w:rsidP="00D51634">
            <w:r w:rsidRPr="007F1107">
              <w:t>.11</w:t>
            </w:r>
            <w:r w:rsidRPr="007F1107">
              <w:rPr>
                <w:vertAlign w:val="superscript"/>
              </w:rPr>
              <w:t>***</w:t>
            </w:r>
          </w:p>
        </w:tc>
      </w:tr>
      <w:tr w:rsidR="00FD095C" w14:paraId="7F64013E" w14:textId="77777777" w:rsidTr="00D51634">
        <w:tc>
          <w:tcPr>
            <w:tcW w:w="0" w:type="auto"/>
          </w:tcPr>
          <w:p w14:paraId="352E7EC6" w14:textId="77777777" w:rsidR="00513C50" w:rsidRDefault="00513C50" w:rsidP="00D51634"/>
        </w:tc>
        <w:tc>
          <w:tcPr>
            <w:tcW w:w="0" w:type="auto"/>
          </w:tcPr>
          <w:p w14:paraId="53C2313E" w14:textId="77777777" w:rsidR="00513C50" w:rsidRDefault="00513C50" w:rsidP="00D51634">
            <w:r>
              <w:t>R</w:t>
            </w:r>
            <w:r w:rsidRPr="005555E7">
              <w:rPr>
                <w:vertAlign w:val="superscript"/>
              </w:rPr>
              <w:t>2</w:t>
            </w:r>
          </w:p>
        </w:tc>
        <w:tc>
          <w:tcPr>
            <w:tcW w:w="0" w:type="auto"/>
          </w:tcPr>
          <w:p w14:paraId="5BE80405" w14:textId="27498DDD" w:rsidR="00513C50" w:rsidRPr="00F62A3A" w:rsidRDefault="007F1107" w:rsidP="00D51634">
            <w:r>
              <w:t>.35</w:t>
            </w:r>
          </w:p>
        </w:tc>
        <w:tc>
          <w:tcPr>
            <w:tcW w:w="0" w:type="auto"/>
          </w:tcPr>
          <w:p w14:paraId="6EEF0E41" w14:textId="77777777" w:rsidR="00513C50" w:rsidRDefault="00513C50" w:rsidP="00D51634"/>
        </w:tc>
        <w:tc>
          <w:tcPr>
            <w:tcW w:w="0" w:type="auto"/>
          </w:tcPr>
          <w:p w14:paraId="6402B6AB" w14:textId="495B873C" w:rsidR="00513C50" w:rsidRDefault="007F1107" w:rsidP="00D51634">
            <w:r>
              <w:t>.36</w:t>
            </w:r>
          </w:p>
        </w:tc>
        <w:tc>
          <w:tcPr>
            <w:tcW w:w="0" w:type="auto"/>
          </w:tcPr>
          <w:p w14:paraId="57269D0E" w14:textId="77777777" w:rsidR="00513C50" w:rsidRDefault="00513C50" w:rsidP="00D51634"/>
        </w:tc>
      </w:tr>
      <w:tr w:rsidR="00FD095C" w14:paraId="2D21334C" w14:textId="77777777" w:rsidTr="00D51634">
        <w:tc>
          <w:tcPr>
            <w:tcW w:w="0" w:type="auto"/>
          </w:tcPr>
          <w:p w14:paraId="3A909B97" w14:textId="77777777" w:rsidR="00513C50" w:rsidRDefault="00513C50" w:rsidP="00D51634"/>
        </w:tc>
        <w:tc>
          <w:tcPr>
            <w:tcW w:w="0" w:type="auto"/>
          </w:tcPr>
          <w:p w14:paraId="58ADB144" w14:textId="77777777" w:rsidR="00513C50" w:rsidRDefault="00513C50" w:rsidP="00D51634">
            <w:r>
              <w:rPr>
                <w:rFonts w:cstheme="minorHAnsi"/>
              </w:rPr>
              <w:t>Δ</w:t>
            </w:r>
            <w:r>
              <w:t>R</w:t>
            </w:r>
            <w:r w:rsidRPr="005555E7">
              <w:rPr>
                <w:vertAlign w:val="superscript"/>
              </w:rPr>
              <w:t>2</w:t>
            </w:r>
          </w:p>
        </w:tc>
        <w:tc>
          <w:tcPr>
            <w:tcW w:w="0" w:type="auto"/>
          </w:tcPr>
          <w:p w14:paraId="1A766D80" w14:textId="55A0C20F" w:rsidR="00513C50" w:rsidRPr="00F62A3A" w:rsidRDefault="007F1107" w:rsidP="00D51634">
            <w:r>
              <w:t>.02</w:t>
            </w:r>
          </w:p>
        </w:tc>
        <w:tc>
          <w:tcPr>
            <w:tcW w:w="0" w:type="auto"/>
          </w:tcPr>
          <w:p w14:paraId="4C537B46" w14:textId="77777777" w:rsidR="00513C50" w:rsidRDefault="00513C50" w:rsidP="00D51634"/>
        </w:tc>
        <w:tc>
          <w:tcPr>
            <w:tcW w:w="0" w:type="auto"/>
          </w:tcPr>
          <w:p w14:paraId="39AD19FA" w14:textId="168653F4" w:rsidR="00513C50" w:rsidRDefault="007F1107" w:rsidP="00D51634">
            <w:r>
              <w:t>.01</w:t>
            </w:r>
          </w:p>
        </w:tc>
        <w:tc>
          <w:tcPr>
            <w:tcW w:w="0" w:type="auto"/>
          </w:tcPr>
          <w:p w14:paraId="40CA54BA" w14:textId="77777777" w:rsidR="00513C50" w:rsidRDefault="00513C50" w:rsidP="00D51634"/>
        </w:tc>
      </w:tr>
    </w:tbl>
    <w:p w14:paraId="781AB7B3" w14:textId="127CDEB4" w:rsidR="00513C50" w:rsidRPr="00513C50" w:rsidRDefault="007F1107" w:rsidP="006641CA">
      <w:r>
        <w:rPr>
          <w:i/>
          <w:iCs/>
        </w:rPr>
        <w:t>*</w:t>
      </w:r>
      <w:r w:rsidRPr="001D31AB">
        <w:rPr>
          <w:i/>
          <w:iCs/>
        </w:rPr>
        <w:t xml:space="preserve">p </w:t>
      </w:r>
      <w:r>
        <w:t>&lt;</w:t>
      </w:r>
      <w:r w:rsidRPr="001D31AB">
        <w:t xml:space="preserve"> .05. </w:t>
      </w:r>
      <w:r>
        <w:t>**</w:t>
      </w:r>
      <w:r w:rsidRPr="001D31AB">
        <w:rPr>
          <w:i/>
          <w:iCs/>
        </w:rPr>
        <w:t xml:space="preserve">p </w:t>
      </w:r>
      <w:r>
        <w:rPr>
          <w:i/>
          <w:iCs/>
        </w:rPr>
        <w:t>&lt;</w:t>
      </w:r>
      <w:r w:rsidRPr="001D31AB">
        <w:t xml:space="preserve"> .01. </w:t>
      </w:r>
      <w:r>
        <w:t>***</w:t>
      </w:r>
      <w:r w:rsidRPr="001D31AB">
        <w:t xml:space="preserve"> </w:t>
      </w:r>
      <w:r w:rsidRPr="001D31AB">
        <w:rPr>
          <w:i/>
          <w:iCs/>
        </w:rPr>
        <w:t xml:space="preserve">p </w:t>
      </w:r>
      <w:r>
        <w:t>&lt;</w:t>
      </w:r>
      <w:r w:rsidRPr="001D31AB">
        <w:t xml:space="preserve"> .001.</w:t>
      </w:r>
      <w:r w:rsidRPr="006641CA">
        <w:br/>
      </w:r>
    </w:p>
    <w:p w14:paraId="34359951" w14:textId="77777777" w:rsidR="006641CA" w:rsidRPr="006641CA" w:rsidRDefault="006641CA" w:rsidP="00CF5F0F">
      <w:pPr>
        <w:pStyle w:val="Heading3"/>
      </w:pPr>
      <w:r w:rsidRPr="006641CA">
        <w:t>Depressive symptoms and Latinx students</w:t>
      </w:r>
    </w:p>
    <w:p w14:paraId="1E4C0E40" w14:textId="3B86ECEB" w:rsidR="00CF5F0F" w:rsidRPr="0000100F" w:rsidRDefault="006641CA" w:rsidP="0000100F">
      <w:pPr>
        <w:pStyle w:val="NoSpacing"/>
      </w:pPr>
      <w:r w:rsidRPr="006641CA">
        <w:t>For Latinx students, the model accounted for 34% of the variance in depressive symptoms at the end of freshman year. Depressive symptoms at the beginning of freshman year and financial distress were positively related to end of the year depressive symptoms. Political efficacy was negatively related to depressive symptoms. In Step 2, the model accounted for 35% of the variance in end of the year depressive symptoms. Political activism was positively related to depressive symptoms; students who were involved in more types of political activism reported more end of the year depressive symptoms. R/E microaggressions were not related to end of freshman year depressive symptoms. In Step 3, the interaction between political activism and R/E microaggressions was statistically significant (see </w:t>
      </w:r>
      <w:r w:rsidRPr="00E20CA8">
        <w:t>Figure 4</w:t>
      </w:r>
      <w:r w:rsidRPr="006641CA">
        <w:t>). Simple slope analyses were conducted to probe the interaction. The relationship between R/E microaggressions and depressive symptoms was significant at 1 </w:t>
      </w:r>
      <w:r w:rsidRPr="006641CA">
        <w:rPr>
          <w:i/>
          <w:iCs/>
        </w:rPr>
        <w:t>SD</w:t>
      </w:r>
      <w:r w:rsidRPr="006641CA">
        <w:t> above the mean of political activism (</w:t>
      </w:r>
      <w:r w:rsidRPr="006641CA">
        <w:rPr>
          <w:i/>
          <w:iCs/>
        </w:rPr>
        <w:t>B</w:t>
      </w:r>
      <w:r w:rsidRPr="006641CA">
        <w:t> = −.04, </w:t>
      </w:r>
      <w:r w:rsidRPr="006641CA">
        <w:rPr>
          <w:i/>
          <w:iCs/>
        </w:rPr>
        <w:t>p</w:t>
      </w:r>
      <w:r w:rsidRPr="006641CA">
        <w:t> = .01) but not at the mean (</w:t>
      </w:r>
      <w:r w:rsidRPr="006641CA">
        <w:rPr>
          <w:i/>
          <w:iCs/>
        </w:rPr>
        <w:t>B</w:t>
      </w:r>
      <w:r w:rsidRPr="006641CA">
        <w:t> = −.01, </w:t>
      </w:r>
      <w:r w:rsidRPr="006641CA">
        <w:rPr>
          <w:i/>
          <w:iCs/>
        </w:rPr>
        <w:t>p</w:t>
      </w:r>
      <w:r w:rsidRPr="006641CA">
        <w:t> = .32) or 1 </w:t>
      </w:r>
      <w:r w:rsidRPr="006641CA">
        <w:rPr>
          <w:i/>
          <w:iCs/>
        </w:rPr>
        <w:t>SD</w:t>
      </w:r>
      <w:r w:rsidRPr="006641CA">
        <w:t> below the mean of political activism (</w:t>
      </w:r>
      <w:r w:rsidRPr="006641CA">
        <w:rPr>
          <w:i/>
          <w:iCs/>
        </w:rPr>
        <w:t>B</w:t>
      </w:r>
      <w:r w:rsidRPr="006641CA">
        <w:t> = .01, </w:t>
      </w:r>
      <w:r w:rsidRPr="006641CA">
        <w:rPr>
          <w:i/>
          <w:iCs/>
        </w:rPr>
        <w:t>p</w:t>
      </w:r>
      <w:r w:rsidRPr="006641CA">
        <w:t> = .17). For Latinx students who participated in more types of political activism, the relationship between R/E microaggressions and depressive symptoms was negative, indicating that students who experienced more R/E microaggressions reported few depressive symptoms at the end of freshman year.</w:t>
      </w:r>
      <w:r w:rsidRPr="006641CA">
        <w:br/>
      </w:r>
      <w:r w:rsidRPr="006641CA">
        <w:br/>
      </w:r>
      <w:r w:rsidRPr="0000100F">
        <w:drawing>
          <wp:inline distT="0" distB="0" distL="0" distR="0" wp14:anchorId="66A255FB" wp14:editId="6DB9B3DA">
            <wp:extent cx="2935224" cy="1828800"/>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35224" cy="1828800"/>
                    </a:xfrm>
                    <a:prstGeom prst="rect">
                      <a:avLst/>
                    </a:prstGeom>
                    <a:noFill/>
                    <a:ln>
                      <a:noFill/>
                    </a:ln>
                  </pic:spPr>
                </pic:pic>
              </a:graphicData>
            </a:graphic>
          </wp:inline>
        </w:drawing>
      </w:r>
    </w:p>
    <w:p w14:paraId="074785E8" w14:textId="53DB4753" w:rsidR="006641CA" w:rsidRPr="0000100F" w:rsidRDefault="006641CA" w:rsidP="0000100F">
      <w:pPr>
        <w:pStyle w:val="NoSpacing"/>
      </w:pPr>
      <w:r w:rsidRPr="0000100F">
        <w:t>Figure 4. Political activism as a moderator of school-based R/E microaggressions (SBREMA) and end of freshman year depressive symptoms for Latinx students.</w:t>
      </w:r>
    </w:p>
    <w:p w14:paraId="5DE8C1B6" w14:textId="56DACB62" w:rsidR="006641CA" w:rsidRPr="00CF5F0F" w:rsidRDefault="006641CA" w:rsidP="00CF5F0F">
      <w:pPr>
        <w:pStyle w:val="Heading1"/>
      </w:pPr>
      <w:r w:rsidRPr="00E20CA8">
        <w:t>Discussion</w:t>
      </w:r>
    </w:p>
    <w:p w14:paraId="02B4857A" w14:textId="64A9D855" w:rsidR="006641CA" w:rsidRPr="006641CA" w:rsidRDefault="006641CA" w:rsidP="006641CA">
      <w:r w:rsidRPr="006641CA">
        <w:t xml:space="preserve">Mental health and well-being </w:t>
      </w:r>
      <w:proofErr w:type="gramStart"/>
      <w:r w:rsidRPr="006641CA">
        <w:t>is</w:t>
      </w:r>
      <w:proofErr w:type="gramEnd"/>
      <w:r w:rsidRPr="006641CA">
        <w:t xml:space="preserve"> a growing concern on college campuses (</w:t>
      </w:r>
      <w:r w:rsidRPr="00E20CA8">
        <w:t>CCMH, 2015</w:t>
      </w:r>
      <w:r w:rsidRPr="006641CA">
        <w:t>), particularly for Black and Latinx college students because they face an increased risk for stress, anxiety, and depression given hostile racial environments at PWIs (</w:t>
      </w:r>
      <w:proofErr w:type="spellStart"/>
      <w:r w:rsidRPr="00E20CA8">
        <w:t>Ancis</w:t>
      </w:r>
      <w:proofErr w:type="spellEnd"/>
      <w:r w:rsidRPr="00E20CA8">
        <w:t xml:space="preserve"> et al., 2000</w:t>
      </w:r>
      <w:r w:rsidRPr="006641CA">
        <w:t>; </w:t>
      </w:r>
      <w:proofErr w:type="spellStart"/>
      <w:r w:rsidRPr="00E20CA8">
        <w:t>Hinderlie</w:t>
      </w:r>
      <w:proofErr w:type="spellEnd"/>
      <w:r w:rsidRPr="00E20CA8">
        <w:t xml:space="preserve"> &amp; Kenny, 2002</w:t>
      </w:r>
      <w:r w:rsidRPr="006641CA">
        <w:t>). Scholars have proposed political activism—taking actions to address social injustice—as one potential mechanism to lessen the negative effects of racial discrimination on mental health (</w:t>
      </w:r>
      <w:r w:rsidRPr="00E20CA8">
        <w:t>Hope &amp; Spencer, 2017</w:t>
      </w:r>
      <w:r w:rsidRPr="006641CA">
        <w:t>). In this study, we tested that assertion and examined the utility of political activism as an adaptive coping strategy against the negative effect of R/E microaggressions on mental health for Black and Latinx college students. Over the course of freshman year, Black and Latinx students reported experiencing several microaggressions that have been reliably linked to negative emotional arousal and cognitive appraisal reactions, precursors for more severe mental health issues (</w:t>
      </w:r>
      <w:r w:rsidRPr="00E20CA8">
        <w:t xml:space="preserve">Noh, </w:t>
      </w:r>
      <w:proofErr w:type="spellStart"/>
      <w:r w:rsidRPr="00E20CA8">
        <w:t>Kaspar</w:t>
      </w:r>
      <w:proofErr w:type="spellEnd"/>
      <w:r w:rsidRPr="00E20CA8">
        <w:t xml:space="preserve">, &amp; </w:t>
      </w:r>
      <w:proofErr w:type="spellStart"/>
      <w:r w:rsidRPr="00E20CA8">
        <w:t>Wickrama</w:t>
      </w:r>
      <w:proofErr w:type="spellEnd"/>
      <w:r w:rsidRPr="00E20CA8">
        <w:t>, 2007</w:t>
      </w:r>
      <w:r w:rsidRPr="006641CA">
        <w:t>; </w:t>
      </w:r>
      <w:r w:rsidRPr="00E20CA8">
        <w:t xml:space="preserve">Solórzano, Ceja, &amp; </w:t>
      </w:r>
      <w:proofErr w:type="spellStart"/>
      <w:r w:rsidRPr="00E20CA8">
        <w:t>Yosso</w:t>
      </w:r>
      <w:proofErr w:type="spellEnd"/>
      <w:r w:rsidRPr="00E20CA8">
        <w:t>, 2000</w:t>
      </w:r>
      <w:r w:rsidRPr="006641CA">
        <w:t>). Despite this and the general stressors associated with adjusting to college life, participants in our study reported low levels of stress, anxiety, and depressive symptoms. In this regard, there are differences between stated stressfulness and derived stressfulness (</w:t>
      </w:r>
      <w:r w:rsidRPr="00E20CA8">
        <w:t>Huynh, Devos, &amp; Dunbar, 2012</w:t>
      </w:r>
      <w:r w:rsidRPr="006641CA">
        <w:t>); much of the impact of racism and microaggressions on psychological health may be beyond one’s immediate awareness. Although some individuals do not report stated stressfulness—immediate distress in response to subtle racism—there may be evidence of long-term significance as an indication of derived stressfulness (</w:t>
      </w:r>
      <w:r w:rsidRPr="00E20CA8">
        <w:t>Torres-Harding &amp; Turner, 2015</w:t>
      </w:r>
      <w:r w:rsidRPr="006641CA">
        <w:t>). Thus, despite low average levels of stress, anxiety, and depressive symptoms, our results point to the importance of understanding the differences between Black and Latinx students’ R/E collegiate experiences in relation to mental health outcomes. Although there were no R/E differences in mental health at the beginning or end of freshman year, results suggest some differences in how political activism and R/E microaggressions relate to stress, anxiety, and depressive symptoms among Black and Latinx college students.</w:t>
      </w:r>
    </w:p>
    <w:p w14:paraId="62714454" w14:textId="3A65BB46" w:rsidR="006641CA" w:rsidRPr="006641CA" w:rsidRDefault="006641CA" w:rsidP="006641CA">
      <w:r w:rsidRPr="006641CA">
        <w:t>Experiencing academic inferiority-based R/E microaggressions on campus had mental health consequences for Black and Latinx students; for Black students, this manifested as higher levels of stress and for Latinx students this was evidenced by higher levels of anxiety. Although prior qualitative research has uncovered differential patterns in how Black and Latinx students experience and respond to R/E microaggressions on college campuses (</w:t>
      </w:r>
      <w:r w:rsidRPr="00E20CA8">
        <w:t>Solórzano et al., 2000</w:t>
      </w:r>
      <w:r w:rsidRPr="006641CA">
        <w:t>; </w:t>
      </w:r>
      <w:proofErr w:type="spellStart"/>
      <w:r w:rsidRPr="00E20CA8">
        <w:t>Yosso</w:t>
      </w:r>
      <w:proofErr w:type="spellEnd"/>
      <w:r w:rsidRPr="00E20CA8">
        <w:t>, Smith, Ceja, &amp; Solórzano, 2009</w:t>
      </w:r>
      <w:r w:rsidRPr="006641CA">
        <w:t>), the current study extends this work by relating R/E microaggression experiences to mental health outcomes. Just as Black and Latinx students experience R/E microaggressions in unique ways, the relationship between R/E microaggressions and mental health is different by race/ethnicity.</w:t>
      </w:r>
    </w:p>
    <w:p w14:paraId="2E572E66" w14:textId="2C0D6484" w:rsidR="006641CA" w:rsidRPr="006641CA" w:rsidRDefault="006641CA" w:rsidP="006641CA">
      <w:r w:rsidRPr="006641CA">
        <w:t xml:space="preserve">Political activism had a differential and opposite relationship to mental health outcomes for Black and Latinx students; Black students who were more politically active during freshman year reported less stress at the end of freshman year whereas Latinx students who were more politically active during freshman year reported more depressive symptoms at the end of freshman year. Furthermore, political activism moderated the relationship between R/E microaggressions and mental health indicators in different ways for Black and Latinx students. For Black students who were the most politically active, R/E microaggressions were related to more stress and more anxiety. For politically active Latinx students, the relationship was reversed; more R/E microaggressions were related to less stress and less depressive symptoms. For Latinx students, there is evidence to suggest that political activism might help to reduce the negative mental health implications of experiencing R/E microaggressions on college campuses. However, for Black students, high levels of political activism might exacerbate the negative effects of R/E microaggressions on mental health outcomes. It is important to note that after accounting for mental health at the beginning of freshman year, political </w:t>
      </w:r>
      <w:proofErr w:type="gramStart"/>
      <w:r w:rsidRPr="006641CA">
        <w:t>activism</w:t>
      </w:r>
      <w:proofErr w:type="gramEnd"/>
      <w:r w:rsidRPr="006641CA">
        <w:t xml:space="preserve"> and R/E microaggressions account for a small proportion of variance in mental health at the end of freshman year; thus, the findings, although statistically significant, are small. However, given the prevalence and consequence of race-related stress (</w:t>
      </w:r>
      <w:r w:rsidRPr="00E20CA8">
        <w:t>Hope et al., 2015</w:t>
      </w:r>
      <w:r w:rsidRPr="006641CA">
        <w:t>; </w:t>
      </w:r>
      <w:r w:rsidRPr="00E20CA8">
        <w:t>Molina et al., 2013</w:t>
      </w:r>
      <w:r w:rsidRPr="006641CA">
        <w:t>), combined with the growing political participation among Black and Latinx young people (</w:t>
      </w:r>
      <w:r w:rsidRPr="00E20CA8">
        <w:t>CIRCLE, 2014</w:t>
      </w:r>
      <w:r w:rsidRPr="006641CA">
        <w:t>), these findings do provide some empirical evidence toward considering youth civic engagement as a tool toward individual and community health (</w:t>
      </w:r>
      <w:r w:rsidRPr="00E20CA8">
        <w:t>Ballard &amp; Syme, 2016</w:t>
      </w:r>
      <w:r w:rsidRPr="006641CA">
        <w:t>; </w:t>
      </w:r>
      <w:r w:rsidRPr="00E20CA8">
        <w:t>Hope &amp; Spencer, 2017</w:t>
      </w:r>
      <w:r w:rsidRPr="006641CA">
        <w:t>).</w:t>
      </w:r>
    </w:p>
    <w:p w14:paraId="619BCE67" w14:textId="4C7BBDAD" w:rsidR="006641CA" w:rsidRPr="006641CA" w:rsidRDefault="006641CA" w:rsidP="006641CA">
      <w:r w:rsidRPr="00E20CA8">
        <w:t>Bolger and Zuckerman (1995)</w:t>
      </w:r>
      <w:r w:rsidRPr="006641CA">
        <w:t> conceptualize exposure to and reactivity to stressful experiences as two mechanisms that differentially affect individual mental health outcomes. In the current study, R/E microaggressions provide exposure to a stressful event and political activism functions as reactivity to a stressful experience. Thus, the R/E differences in our data may be attributed to differences between Black and Latinx students in exposure and reactivity. Black students were more politically active and experienced more R/E microaggressions on campus than Latinx students. For Black students, greater exposure to negative race-based campus interactions can be deleterious to mental health. Perhaps this race-related stressor combined with more opportunities for political activism could change their reactivity to negative R/E events, thus creating differential outcomes for Black students’ mental health. In essence, for Black students, exposure to a racially hostile campus changes and even disrupts the protective effect of political activism, which was related to lower levels of stress for Latinxs. However, for Latinx students, exposure to R/E microaggressions and reactivity via political activism relates to positive mental health outcomes.</w:t>
      </w:r>
    </w:p>
    <w:p w14:paraId="314A2CF8" w14:textId="77777777" w:rsidR="006641CA" w:rsidRPr="006641CA" w:rsidRDefault="006641CA" w:rsidP="00CF5F0F">
      <w:pPr>
        <w:pStyle w:val="Heading2"/>
      </w:pPr>
      <w:r w:rsidRPr="006641CA">
        <w:t>Limitations and Future Directions</w:t>
      </w:r>
    </w:p>
    <w:p w14:paraId="05AC00FC" w14:textId="3C7FC9CF" w:rsidR="006641CA" w:rsidRPr="006641CA" w:rsidRDefault="006641CA" w:rsidP="006641CA">
      <w:r w:rsidRPr="006641CA">
        <w:t>Our study has limitations and directions for future research. First, the number of Black men in the sample was relatively low (10% of the sample). The sample size contributed to a lack of power to analyze differences in a way that acknowledges the intersectionality of several social identities (</w:t>
      </w:r>
      <w:r w:rsidRPr="00E20CA8">
        <w:t>Cole, 2009</w:t>
      </w:r>
      <w:r w:rsidRPr="006641CA">
        <w:t>). Although this gender imbalance is reflective of the national gender imbalance in college enrollment (</w:t>
      </w:r>
      <w:r w:rsidRPr="00E20CA8">
        <w:t>Keels, 2013</w:t>
      </w:r>
      <w:r w:rsidRPr="006641CA">
        <w:t>; </w:t>
      </w:r>
      <w:r w:rsidRPr="00E20CA8">
        <w:t>Lopez &amp; Gonzalez-Barrera, 2014</w:t>
      </w:r>
      <w:r w:rsidRPr="006641CA">
        <w:t>), it still posed a challenge in investigating race/ethnicity by gender differences. In addition, although we controlled for socioeconomic stress, first-generation college status, and gender, there may be more nuanced variation in college experiences and coping processes related to identification with multiple social groups (e.g., Latinx and working class).</w:t>
      </w:r>
    </w:p>
    <w:p w14:paraId="32AE83B0" w14:textId="4F9026C4" w:rsidR="006641CA" w:rsidRPr="006641CA" w:rsidRDefault="006641CA" w:rsidP="006641CA">
      <w:r w:rsidRPr="006641CA">
        <w:t>Furthermore, the amount of variance in mental health outcomes that is accounted for by political activism and the effect sizes were small; thus, our findings should be interpreted with that in mind. In this study, we focused on political activism as one form of civic engagement and relied on a count of activities (i.e., breadth of involvement) rather than intensity of involvement in activities or the quality of those experiences. Students may be engaged in system-level change through other types of civic engagement, and the quality of the engagement may vary. Research should consider other dimensions of civic engagement (</w:t>
      </w:r>
      <w:r w:rsidRPr="00E20CA8">
        <w:t xml:space="preserve">Ekman &amp; </w:t>
      </w:r>
      <w:proofErr w:type="spellStart"/>
      <w:r w:rsidRPr="00E20CA8">
        <w:t>Amnå</w:t>
      </w:r>
      <w:proofErr w:type="spellEnd"/>
      <w:r w:rsidRPr="00E20CA8">
        <w:t>, 2012</w:t>
      </w:r>
      <w:r w:rsidRPr="006641CA">
        <w:t xml:space="preserve">) and how participation and nonparticipation may support adaptive mental health outcomes. Furthermore, research should consider whether and how political activism on college campuses puts students at increased risk, particularly when contending with a hostile or unresponsive administration. Finally, future research should examine the relationships between political activism, mental health, R/E microaggressions, and long-term effects on GPA, college attrition, and graduation for Black and Latinx students. Research in this area could lead to key insights for university administrators in the context of mental health concerns on college campuses and the </w:t>
      </w:r>
      <w:proofErr w:type="gramStart"/>
      <w:r w:rsidRPr="006641CA">
        <w:t>particular issues</w:t>
      </w:r>
      <w:proofErr w:type="gramEnd"/>
      <w:r w:rsidRPr="006641CA">
        <w:t xml:space="preserve"> for R/E minority students (</w:t>
      </w:r>
      <w:r w:rsidRPr="00E20CA8">
        <w:t>CCMH, 2015</w:t>
      </w:r>
      <w:r w:rsidRPr="006641CA">
        <w:t>). By understanding the relationships between race-based campus experiences, political action, and mental health, practitioners can support students in their efforts to create a positive learning environment in ways that do not threaten mental health or the primary objective for students—graduation.</w:t>
      </w:r>
    </w:p>
    <w:p w14:paraId="6BFEBCFE" w14:textId="77777777" w:rsidR="006641CA" w:rsidRPr="006641CA" w:rsidRDefault="006641CA" w:rsidP="00CF5F0F">
      <w:pPr>
        <w:pStyle w:val="Heading2"/>
      </w:pPr>
      <w:r w:rsidRPr="006641CA">
        <w:t>Conclusion</w:t>
      </w:r>
    </w:p>
    <w:p w14:paraId="26A5561C" w14:textId="764931D1" w:rsidR="006641CA" w:rsidRPr="006641CA" w:rsidRDefault="006641CA" w:rsidP="006641CA">
      <w:r w:rsidRPr="006641CA">
        <w:t>As college students contend with racially hostile campus environments, it is important to investigate the psychological risks and rewards associated with experiencing discrimination and engaging in activism to address social injustices. When students contend with stress, anxiety, or depression during college, their ability to persist in the face of academic and sociopolitical challenges is also at risk because they have difficulty negotiating competing academic demands, making long-term decisions, and maintaining realistic future expectations (</w:t>
      </w:r>
      <w:r w:rsidRPr="00E20CA8">
        <w:t>Mowbray et al., 2006</w:t>
      </w:r>
      <w:r w:rsidRPr="006641CA">
        <w:t>). To successfully navigate the college environment, students need adaptive coping skills, but adaptive coping skills are difficult to maintain while facing mental health challenges. Black and Latinx college students face greater risks for depression, stress, and other mental health concerns in response to R/E microaggressions, and these challenges are even higher for R/E minority students who attend PWIs. Our study emphasizes how contextual social experiences at PWIs, specifically R/E microaggressions and political activism, are differentially associated with mental health outcomes for Black and Latinx students. Through this line of research, we can further understand how political activism mitigates or exacerbates mental health-related risks for marginalized populations and identify underlying psychological processes that predict whether political activism functions as an adaptive or maladaptive coping strategy.</w:t>
      </w:r>
    </w:p>
    <w:p w14:paraId="2FE53123" w14:textId="77777777" w:rsidR="006641CA" w:rsidRPr="00CF5F0F" w:rsidRDefault="00F504C5" w:rsidP="00CF5F0F">
      <w:pPr>
        <w:pStyle w:val="Heading1"/>
      </w:pPr>
      <w:hyperlink r:id="rId14" w:anchor="toc" w:tooltip="References" w:history="1">
        <w:r w:rsidR="006641CA" w:rsidRPr="00CF5F0F">
          <w:rPr>
            <w:rStyle w:val="Hyperlink"/>
            <w:color w:val="262626" w:themeColor="text1" w:themeTint="D9"/>
            <w:u w:val="none"/>
          </w:rPr>
          <w:t>References</w:t>
        </w:r>
      </w:hyperlink>
    </w:p>
    <w:p w14:paraId="069AD1B4" w14:textId="77777777" w:rsidR="006641CA" w:rsidRPr="006641CA" w:rsidRDefault="006641CA" w:rsidP="00CF5F0F">
      <w:pPr>
        <w:spacing w:after="0"/>
        <w:ind w:left="720" w:hanging="720"/>
      </w:pPr>
      <w:r w:rsidRPr="006641CA">
        <w:t>Aiken, L. S., &amp; West, S. G. (1991). </w:t>
      </w:r>
      <w:r w:rsidRPr="006641CA">
        <w:rPr>
          <w:i/>
          <w:iCs/>
        </w:rPr>
        <w:t>Multiple regression: Testing and interpreting interactions</w:t>
      </w:r>
      <w:r w:rsidRPr="006641CA">
        <w:t>. Newbury Park, CA: Sage.</w:t>
      </w:r>
    </w:p>
    <w:p w14:paraId="7C6B8C87" w14:textId="77777777" w:rsidR="006641CA" w:rsidRPr="006641CA" w:rsidRDefault="006641CA" w:rsidP="00CF5F0F">
      <w:pPr>
        <w:spacing w:after="0"/>
        <w:ind w:left="720" w:hanging="720"/>
      </w:pPr>
      <w:r w:rsidRPr="006641CA">
        <w:t>American College Health Association. (2014). </w:t>
      </w:r>
      <w:r w:rsidRPr="006641CA">
        <w:rPr>
          <w:i/>
          <w:iCs/>
        </w:rPr>
        <w:t>American College Health Association-National College Health Assessment II: Undergraduate Students Reference Group Executive Summary Spring 2014</w:t>
      </w:r>
      <w:r w:rsidRPr="006641CA">
        <w:t>. Hanover, MD: Author.</w:t>
      </w:r>
    </w:p>
    <w:p w14:paraId="44FB0257" w14:textId="77777777" w:rsidR="006641CA" w:rsidRPr="006641CA" w:rsidRDefault="006641CA" w:rsidP="00CF5F0F">
      <w:pPr>
        <w:spacing w:after="0"/>
        <w:ind w:left="720" w:hanging="720"/>
      </w:pPr>
      <w:proofErr w:type="spellStart"/>
      <w:r w:rsidRPr="006641CA">
        <w:t>Ancis</w:t>
      </w:r>
      <w:proofErr w:type="spellEnd"/>
      <w:r w:rsidRPr="006641CA">
        <w:t xml:space="preserve">, J. R., </w:t>
      </w:r>
      <w:proofErr w:type="spellStart"/>
      <w:r w:rsidRPr="006641CA">
        <w:t>Sedlacek</w:t>
      </w:r>
      <w:proofErr w:type="spellEnd"/>
      <w:r w:rsidRPr="006641CA">
        <w:t>, W. E., &amp; Mohr, J. J. (2000). Student perceptions of campus cultural climate by race. </w:t>
      </w:r>
      <w:r w:rsidRPr="006641CA">
        <w:rPr>
          <w:i/>
          <w:iCs/>
        </w:rPr>
        <w:t>Journal of Counseling &amp; Development</w:t>
      </w:r>
      <w:r w:rsidRPr="006641CA">
        <w:t>, </w:t>
      </w:r>
      <w:r w:rsidRPr="006641CA">
        <w:rPr>
          <w:i/>
          <w:iCs/>
        </w:rPr>
        <w:t>78</w:t>
      </w:r>
      <w:r w:rsidRPr="006641CA">
        <w:t>, 180–185. 10.1002/j.1556-</w:t>
      </w:r>
      <w:proofErr w:type="gramStart"/>
      <w:r w:rsidRPr="006641CA">
        <w:t>6676.2000.tb</w:t>
      </w:r>
      <w:proofErr w:type="gramEnd"/>
      <w:r w:rsidRPr="006641CA">
        <w:t>02576.x</w:t>
      </w:r>
    </w:p>
    <w:p w14:paraId="6C95A1A3" w14:textId="77777777" w:rsidR="006641CA" w:rsidRPr="006641CA" w:rsidRDefault="006641CA" w:rsidP="00CF5F0F">
      <w:pPr>
        <w:spacing w:after="0"/>
        <w:ind w:left="720" w:hanging="720"/>
      </w:pPr>
      <w:r w:rsidRPr="006641CA">
        <w:t>Arnett, J. J. (2000). Emerging adulthood. A theory of development from the late teens through the twenties. </w:t>
      </w:r>
      <w:r w:rsidRPr="006641CA">
        <w:rPr>
          <w:i/>
          <w:iCs/>
        </w:rPr>
        <w:t>American Psychologist</w:t>
      </w:r>
      <w:r w:rsidRPr="006641CA">
        <w:t>, </w:t>
      </w:r>
      <w:r w:rsidRPr="006641CA">
        <w:rPr>
          <w:i/>
          <w:iCs/>
        </w:rPr>
        <w:t>55</w:t>
      </w:r>
      <w:r w:rsidRPr="006641CA">
        <w:t>, 469–480. 10.1037/0003-066X.55.5.469</w:t>
      </w:r>
    </w:p>
    <w:p w14:paraId="4366E8D8" w14:textId="77777777" w:rsidR="006641CA" w:rsidRPr="006641CA" w:rsidRDefault="006641CA" w:rsidP="00CF5F0F">
      <w:pPr>
        <w:spacing w:after="0"/>
        <w:ind w:left="720" w:hanging="720"/>
      </w:pPr>
      <w:proofErr w:type="spellStart"/>
      <w:r w:rsidRPr="006641CA">
        <w:t>Astin</w:t>
      </w:r>
      <w:proofErr w:type="spellEnd"/>
      <w:r w:rsidRPr="006641CA">
        <w:t>, A. W., &amp; Sax, L. J. (1998). How undergraduates are affected by service participation. </w:t>
      </w:r>
      <w:r w:rsidRPr="006641CA">
        <w:rPr>
          <w:i/>
          <w:iCs/>
        </w:rPr>
        <w:t>Journal of College Student Development</w:t>
      </w:r>
      <w:r w:rsidRPr="006641CA">
        <w:t>, </w:t>
      </w:r>
      <w:r w:rsidRPr="006641CA">
        <w:rPr>
          <w:i/>
          <w:iCs/>
        </w:rPr>
        <w:t>39</w:t>
      </w:r>
      <w:r w:rsidRPr="006641CA">
        <w:t>, 251.</w:t>
      </w:r>
    </w:p>
    <w:p w14:paraId="5DFF7F68" w14:textId="77777777" w:rsidR="006641CA" w:rsidRPr="006641CA" w:rsidRDefault="006641CA" w:rsidP="00CF5F0F">
      <w:pPr>
        <w:spacing w:after="0"/>
        <w:ind w:left="720" w:hanging="720"/>
      </w:pPr>
      <w:proofErr w:type="spellStart"/>
      <w:r w:rsidRPr="006641CA">
        <w:t>Astin</w:t>
      </w:r>
      <w:proofErr w:type="spellEnd"/>
      <w:r w:rsidRPr="006641CA">
        <w:t>, A. W., Sax, L. J., &amp; Avalos, J. (1999). Long-term effects of volunteerism during the undergraduate years. </w:t>
      </w:r>
      <w:r w:rsidRPr="006641CA">
        <w:rPr>
          <w:i/>
          <w:iCs/>
        </w:rPr>
        <w:t>Review of Higher Education</w:t>
      </w:r>
      <w:r w:rsidRPr="006641CA">
        <w:t>, </w:t>
      </w:r>
      <w:r w:rsidRPr="006641CA">
        <w:rPr>
          <w:i/>
          <w:iCs/>
        </w:rPr>
        <w:t>22</w:t>
      </w:r>
      <w:r w:rsidRPr="006641CA">
        <w:t>, 187–202.</w:t>
      </w:r>
    </w:p>
    <w:p w14:paraId="2DC7A9ED" w14:textId="5E3BE980" w:rsidR="006641CA" w:rsidRPr="006641CA" w:rsidRDefault="006641CA" w:rsidP="00CF5F0F">
      <w:pPr>
        <w:spacing w:after="0"/>
        <w:ind w:left="720" w:hanging="720"/>
      </w:pPr>
      <w:proofErr w:type="spellStart"/>
      <w:r w:rsidRPr="006641CA">
        <w:t>Astin</w:t>
      </w:r>
      <w:proofErr w:type="spellEnd"/>
      <w:r w:rsidRPr="006641CA">
        <w:t xml:space="preserve">, A. W., </w:t>
      </w:r>
      <w:proofErr w:type="spellStart"/>
      <w:r w:rsidRPr="006641CA">
        <w:t>Vogelgesang</w:t>
      </w:r>
      <w:proofErr w:type="spellEnd"/>
      <w:r w:rsidRPr="006641CA">
        <w:t>, L. J., Ikeda, E. K., &amp; Yee, J. A. (2000). </w:t>
      </w:r>
      <w:r w:rsidRPr="006641CA">
        <w:rPr>
          <w:i/>
          <w:iCs/>
        </w:rPr>
        <w:t>How service learning affects students</w:t>
      </w:r>
      <w:r w:rsidRPr="006641CA">
        <w:t>. </w:t>
      </w:r>
      <w:r w:rsidRPr="006641CA">
        <w:rPr>
          <w:i/>
          <w:iCs/>
        </w:rPr>
        <w:t>Higher Education</w:t>
      </w:r>
      <w:r w:rsidRPr="006641CA">
        <w:t> (Paper 144). Retrieved from </w:t>
      </w:r>
      <w:r w:rsidRPr="00CF5F0F">
        <w:t>http://digitalcommons.unomaha.edu/slcehighered/144</w:t>
      </w:r>
    </w:p>
    <w:p w14:paraId="5FCEA736" w14:textId="77777777" w:rsidR="006641CA" w:rsidRPr="006641CA" w:rsidRDefault="006641CA" w:rsidP="00CF5F0F">
      <w:pPr>
        <w:spacing w:after="0"/>
        <w:ind w:left="720" w:hanging="720"/>
      </w:pPr>
      <w:r w:rsidRPr="006641CA">
        <w:t xml:space="preserve">Baer, L., Jacobs, D. G., </w:t>
      </w:r>
      <w:proofErr w:type="spellStart"/>
      <w:r w:rsidRPr="006641CA">
        <w:t>Meszler-Reizes</w:t>
      </w:r>
      <w:proofErr w:type="spellEnd"/>
      <w:r w:rsidRPr="006641CA">
        <w:t xml:space="preserve">, J., </w:t>
      </w:r>
      <w:proofErr w:type="spellStart"/>
      <w:r w:rsidRPr="006641CA">
        <w:t>Blais</w:t>
      </w:r>
      <w:proofErr w:type="spellEnd"/>
      <w:r w:rsidRPr="006641CA">
        <w:t>, M., Fava, M., Kessler, R., . . .</w:t>
      </w:r>
      <w:proofErr w:type="spellStart"/>
      <w:r w:rsidRPr="006641CA">
        <w:t>O’Laughlen</w:t>
      </w:r>
      <w:proofErr w:type="spellEnd"/>
      <w:r w:rsidRPr="006641CA">
        <w:t>, J. (2000). Development of a brief screening instrument: The HANDS. </w:t>
      </w:r>
      <w:r w:rsidRPr="006641CA">
        <w:rPr>
          <w:i/>
          <w:iCs/>
        </w:rPr>
        <w:t>Psychotherapy and Psychosomatics</w:t>
      </w:r>
      <w:r w:rsidRPr="006641CA">
        <w:t>, </w:t>
      </w:r>
      <w:r w:rsidRPr="006641CA">
        <w:rPr>
          <w:i/>
          <w:iCs/>
        </w:rPr>
        <w:t>69</w:t>
      </w:r>
      <w:r w:rsidRPr="006641CA">
        <w:t>, 35–41. 10.1159/000012364</w:t>
      </w:r>
    </w:p>
    <w:p w14:paraId="15F1B2B6" w14:textId="77777777" w:rsidR="006641CA" w:rsidRPr="006641CA" w:rsidRDefault="006641CA" w:rsidP="00CF5F0F">
      <w:pPr>
        <w:spacing w:after="0"/>
        <w:ind w:left="720" w:hanging="720"/>
      </w:pPr>
      <w:r w:rsidRPr="006641CA">
        <w:t>Ballard, P. (2015). Longitudinal links between discrimination and civic development among Latino and Asian adolescents. </w:t>
      </w:r>
      <w:r w:rsidRPr="006641CA">
        <w:rPr>
          <w:i/>
          <w:iCs/>
        </w:rPr>
        <w:t xml:space="preserve">Journal of </w:t>
      </w:r>
      <w:proofErr w:type="spellStart"/>
      <w:r w:rsidRPr="006641CA">
        <w:rPr>
          <w:i/>
          <w:iCs/>
        </w:rPr>
        <w:t>Resarch</w:t>
      </w:r>
      <w:proofErr w:type="spellEnd"/>
      <w:r w:rsidRPr="006641CA">
        <w:rPr>
          <w:i/>
          <w:iCs/>
        </w:rPr>
        <w:t xml:space="preserve"> on Adolescence</w:t>
      </w:r>
      <w:r w:rsidRPr="006641CA">
        <w:t>, </w:t>
      </w:r>
      <w:r w:rsidRPr="006641CA">
        <w:rPr>
          <w:i/>
          <w:iCs/>
        </w:rPr>
        <w:t>26</w:t>
      </w:r>
      <w:r w:rsidRPr="006641CA">
        <w:t>, 723–737. 10.1111/jora.12221</w:t>
      </w:r>
    </w:p>
    <w:p w14:paraId="7461BFC3" w14:textId="77777777" w:rsidR="006641CA" w:rsidRPr="006641CA" w:rsidRDefault="006641CA" w:rsidP="00CF5F0F">
      <w:pPr>
        <w:spacing w:after="0"/>
        <w:ind w:left="720" w:hanging="720"/>
      </w:pPr>
      <w:r w:rsidRPr="006641CA">
        <w:t>Ballard, P. J., &amp; Syme, S. L. (2016). Engaging youth in communities: A framework for promoting adolescent and community health. </w:t>
      </w:r>
      <w:r w:rsidRPr="006641CA">
        <w:rPr>
          <w:i/>
          <w:iCs/>
        </w:rPr>
        <w:t>Journal of Epidemiology and Community Health</w:t>
      </w:r>
      <w:r w:rsidRPr="006641CA">
        <w:t>, </w:t>
      </w:r>
      <w:r w:rsidRPr="006641CA">
        <w:rPr>
          <w:i/>
          <w:iCs/>
        </w:rPr>
        <w:t>70</w:t>
      </w:r>
      <w:r w:rsidRPr="006641CA">
        <w:t>, 202–206. 10.1136/jech-2015-206110</w:t>
      </w:r>
    </w:p>
    <w:p w14:paraId="65069F43" w14:textId="77777777" w:rsidR="006641CA" w:rsidRPr="006641CA" w:rsidRDefault="006641CA" w:rsidP="00CF5F0F">
      <w:pPr>
        <w:spacing w:after="0"/>
        <w:ind w:left="720" w:hanging="720"/>
      </w:pPr>
      <w:r w:rsidRPr="006641CA">
        <w:t xml:space="preserve">Berg, M., </w:t>
      </w:r>
      <w:proofErr w:type="spellStart"/>
      <w:r w:rsidRPr="006641CA">
        <w:t>Coman</w:t>
      </w:r>
      <w:proofErr w:type="spellEnd"/>
      <w:r w:rsidRPr="006641CA">
        <w:t>, E., &amp; Schensul, J. J. (2009). Youth Action Research for Prevention: A multi-level intervention designed to increase efficacy and empowerment among urban youth. </w:t>
      </w:r>
      <w:r w:rsidRPr="006641CA">
        <w:rPr>
          <w:i/>
          <w:iCs/>
        </w:rPr>
        <w:t>American Journal of Community Psychology</w:t>
      </w:r>
      <w:r w:rsidRPr="006641CA">
        <w:t>, </w:t>
      </w:r>
      <w:r w:rsidRPr="006641CA">
        <w:rPr>
          <w:i/>
          <w:iCs/>
        </w:rPr>
        <w:t>43</w:t>
      </w:r>
      <w:r w:rsidRPr="006641CA">
        <w:t>, 345–359. 10.1007/s10464-009-9231-2</w:t>
      </w:r>
    </w:p>
    <w:p w14:paraId="4A18BE42" w14:textId="77777777" w:rsidR="006641CA" w:rsidRPr="006641CA" w:rsidRDefault="006641CA" w:rsidP="00CF5F0F">
      <w:pPr>
        <w:spacing w:after="0"/>
        <w:ind w:left="720" w:hanging="720"/>
      </w:pPr>
      <w:r w:rsidRPr="006641CA">
        <w:t>Bolger, N., &amp; Zuckerman, A. (1995). A framework for studying personality in the stress process. </w:t>
      </w:r>
      <w:r w:rsidRPr="006641CA">
        <w:rPr>
          <w:i/>
          <w:iCs/>
        </w:rPr>
        <w:t>Journal of Personality and Social Psychology</w:t>
      </w:r>
      <w:r w:rsidRPr="006641CA">
        <w:t>, </w:t>
      </w:r>
      <w:r w:rsidRPr="006641CA">
        <w:rPr>
          <w:i/>
          <w:iCs/>
        </w:rPr>
        <w:t>69</w:t>
      </w:r>
      <w:r w:rsidRPr="006641CA">
        <w:t>, 890–902. 10.1037/0022-3514.69.5.890</w:t>
      </w:r>
    </w:p>
    <w:p w14:paraId="3247B98D" w14:textId="77777777" w:rsidR="006641CA" w:rsidRPr="006641CA" w:rsidRDefault="006641CA" w:rsidP="00CF5F0F">
      <w:pPr>
        <w:spacing w:after="0"/>
        <w:ind w:left="720" w:hanging="720"/>
      </w:pPr>
      <w:r w:rsidRPr="006641CA">
        <w:t>Brown, R. P., &amp; Lee, M. N. (2005). Stigma consciousness and the race gap in college academic achievement. </w:t>
      </w:r>
      <w:r w:rsidRPr="006641CA">
        <w:rPr>
          <w:i/>
          <w:iCs/>
        </w:rPr>
        <w:t>Self and Identity</w:t>
      </w:r>
      <w:r w:rsidRPr="006641CA">
        <w:t>, </w:t>
      </w:r>
      <w:r w:rsidRPr="006641CA">
        <w:rPr>
          <w:i/>
          <w:iCs/>
        </w:rPr>
        <w:t>4</w:t>
      </w:r>
      <w:r w:rsidRPr="006641CA">
        <w:t>, 149–157. 10.1080/13576500444000227</w:t>
      </w:r>
    </w:p>
    <w:p w14:paraId="04A62C52" w14:textId="77777777" w:rsidR="006641CA" w:rsidRPr="006641CA" w:rsidRDefault="006641CA" w:rsidP="00CF5F0F">
      <w:pPr>
        <w:spacing w:after="0"/>
        <w:ind w:left="720" w:hanging="720"/>
      </w:pPr>
      <w:r w:rsidRPr="006641CA">
        <w:t xml:space="preserve">Campbell, C., &amp; MacPhail, C. (2002). Peer education, </w:t>
      </w:r>
      <w:proofErr w:type="gramStart"/>
      <w:r w:rsidRPr="006641CA">
        <w:t>gender</w:t>
      </w:r>
      <w:proofErr w:type="gramEnd"/>
      <w:r w:rsidRPr="006641CA">
        <w:t xml:space="preserve"> and the development of critical consciousness: Participatory HIV prevention by South African youth. </w:t>
      </w:r>
      <w:r w:rsidRPr="006641CA">
        <w:rPr>
          <w:i/>
          <w:iCs/>
        </w:rPr>
        <w:t>Social Science &amp; Medicine</w:t>
      </w:r>
      <w:r w:rsidRPr="006641CA">
        <w:t>, </w:t>
      </w:r>
      <w:r w:rsidRPr="006641CA">
        <w:rPr>
          <w:i/>
          <w:iCs/>
        </w:rPr>
        <w:t>55</w:t>
      </w:r>
      <w:r w:rsidRPr="006641CA">
        <w:t>, 331–345. 10.1016/S0277-9536(01)00289-1</w:t>
      </w:r>
    </w:p>
    <w:p w14:paraId="75FEEDF3" w14:textId="77777777" w:rsidR="006641CA" w:rsidRPr="006641CA" w:rsidRDefault="006641CA" w:rsidP="00CF5F0F">
      <w:pPr>
        <w:spacing w:after="0"/>
        <w:ind w:left="720" w:hanging="720"/>
      </w:pPr>
      <w:r w:rsidRPr="006641CA">
        <w:t>Carroll, B. J., &amp; Davidson, J. R. T. (2000). </w:t>
      </w:r>
      <w:r w:rsidRPr="006641CA">
        <w:rPr>
          <w:i/>
          <w:iCs/>
        </w:rPr>
        <w:t>Screening Scale for DSM–IV GAD</w:t>
      </w:r>
      <w:r w:rsidRPr="006641CA">
        <w:t>. Copyright 2000.</w:t>
      </w:r>
    </w:p>
    <w:p w14:paraId="4FFB6AE7" w14:textId="77777777" w:rsidR="006641CA" w:rsidRPr="006641CA" w:rsidRDefault="006641CA" w:rsidP="00CF5F0F">
      <w:pPr>
        <w:spacing w:after="0"/>
        <w:ind w:left="720" w:hanging="720"/>
      </w:pPr>
      <w:proofErr w:type="spellStart"/>
      <w:r w:rsidRPr="006641CA">
        <w:t>Cauce</w:t>
      </w:r>
      <w:proofErr w:type="spellEnd"/>
      <w:r w:rsidRPr="006641CA">
        <w:t xml:space="preserve">, A. M., Domenech-Rodríguez, M., Paradise, M., Cochran, B. N., Shea, J. M., </w:t>
      </w:r>
      <w:proofErr w:type="spellStart"/>
      <w:r w:rsidRPr="006641CA">
        <w:t>Srebnik</w:t>
      </w:r>
      <w:proofErr w:type="spellEnd"/>
      <w:r w:rsidRPr="006641CA">
        <w:t xml:space="preserve">, D., &amp; </w:t>
      </w:r>
      <w:proofErr w:type="spellStart"/>
      <w:r w:rsidRPr="006641CA">
        <w:t>Baydar</w:t>
      </w:r>
      <w:proofErr w:type="spellEnd"/>
      <w:r w:rsidRPr="006641CA">
        <w:t>, N. (2002). Cultural and contextual influences in mental health help seeking: A focus on ethnic minority youth. </w:t>
      </w:r>
      <w:r w:rsidRPr="006641CA">
        <w:rPr>
          <w:i/>
          <w:iCs/>
        </w:rPr>
        <w:t>Journal of Consulting and Clinical Psychology</w:t>
      </w:r>
      <w:r w:rsidRPr="006641CA">
        <w:t>, </w:t>
      </w:r>
      <w:r w:rsidRPr="006641CA">
        <w:rPr>
          <w:i/>
          <w:iCs/>
        </w:rPr>
        <w:t>70</w:t>
      </w:r>
      <w:r w:rsidRPr="006641CA">
        <w:t>, 44–55. 10.1037/0022-006X.70.1.44</w:t>
      </w:r>
    </w:p>
    <w:p w14:paraId="7B4101D9" w14:textId="77777777" w:rsidR="006641CA" w:rsidRPr="006641CA" w:rsidRDefault="006641CA" w:rsidP="00CF5F0F">
      <w:pPr>
        <w:spacing w:after="0"/>
        <w:ind w:left="720" w:hanging="720"/>
      </w:pPr>
      <w:r w:rsidRPr="006641CA">
        <w:t>Center for Collegiate Mental Health (CCMH). (2015, January). </w:t>
      </w:r>
      <w:r w:rsidRPr="006641CA">
        <w:rPr>
          <w:i/>
          <w:iCs/>
        </w:rPr>
        <w:t>2014 Annual Report</w:t>
      </w:r>
      <w:r w:rsidRPr="006641CA">
        <w:t> (Publication No. STA 15–30). University Park, PA: Center for Collegiate Mental Health, Penn State University.</w:t>
      </w:r>
    </w:p>
    <w:p w14:paraId="07F0CB2F" w14:textId="77777777" w:rsidR="006641CA" w:rsidRPr="006641CA" w:rsidRDefault="006641CA" w:rsidP="00CF5F0F">
      <w:pPr>
        <w:spacing w:after="0"/>
        <w:ind w:left="720" w:hanging="720"/>
      </w:pPr>
      <w:r w:rsidRPr="006641CA">
        <w:t xml:space="preserve">Chan, W. Y., </w:t>
      </w:r>
      <w:proofErr w:type="spellStart"/>
      <w:r w:rsidRPr="006641CA">
        <w:t>Ou</w:t>
      </w:r>
      <w:proofErr w:type="spellEnd"/>
      <w:r w:rsidRPr="006641CA">
        <w:t>, S. R., &amp; Reynolds, A. J. (2014). Adolescent civic engagement and adult outcomes: An examination among urban racial minorities. </w:t>
      </w:r>
      <w:r w:rsidRPr="006641CA">
        <w:rPr>
          <w:i/>
          <w:iCs/>
        </w:rPr>
        <w:t>Journal of Youth and Adolescence</w:t>
      </w:r>
      <w:r w:rsidRPr="006641CA">
        <w:t>, </w:t>
      </w:r>
      <w:r w:rsidRPr="006641CA">
        <w:rPr>
          <w:i/>
          <w:iCs/>
        </w:rPr>
        <w:t>43</w:t>
      </w:r>
      <w:r w:rsidRPr="006641CA">
        <w:t>, 1829–1843. 10.1007/s10964-014-0136-5</w:t>
      </w:r>
    </w:p>
    <w:p w14:paraId="3BAF8C89" w14:textId="77777777" w:rsidR="006641CA" w:rsidRPr="006641CA" w:rsidRDefault="006641CA" w:rsidP="00CF5F0F">
      <w:pPr>
        <w:spacing w:after="0"/>
        <w:ind w:left="720" w:hanging="720"/>
      </w:pPr>
      <w:r w:rsidRPr="006641CA">
        <w:t>Chen, W., Propp, J., &amp; Lee, Y. (2015). Connection between adolescent’s exposure to community violence and future civic engagement behaviors during their young adulthood. </w:t>
      </w:r>
      <w:r w:rsidRPr="006641CA">
        <w:rPr>
          <w:i/>
          <w:iCs/>
        </w:rPr>
        <w:t>Child &amp; Adolescent Social Work Journal</w:t>
      </w:r>
      <w:r w:rsidRPr="006641CA">
        <w:t>, </w:t>
      </w:r>
      <w:r w:rsidRPr="006641CA">
        <w:rPr>
          <w:i/>
          <w:iCs/>
        </w:rPr>
        <w:t>32</w:t>
      </w:r>
      <w:r w:rsidRPr="006641CA">
        <w:t>, 45–55. 10.1007/s10560-014-0361-5</w:t>
      </w:r>
    </w:p>
    <w:p w14:paraId="58AF4207" w14:textId="5669F5A3" w:rsidR="006641CA" w:rsidRPr="006641CA" w:rsidRDefault="006641CA" w:rsidP="00CF5F0F">
      <w:pPr>
        <w:spacing w:after="0"/>
        <w:ind w:left="720" w:hanging="720"/>
      </w:pPr>
      <w:r w:rsidRPr="006641CA">
        <w:t>CIRCLE. (2012). </w:t>
      </w:r>
      <w:r w:rsidRPr="006641CA">
        <w:rPr>
          <w:i/>
          <w:iCs/>
        </w:rPr>
        <w:t>Diverse electorate: A deeper look into the millennial vote</w:t>
      </w:r>
      <w:r w:rsidRPr="006641CA">
        <w:t> [Fact Sheet]. Retrieved from </w:t>
      </w:r>
      <w:r w:rsidRPr="00CF5F0F">
        <w:t>http://civicyouth.org/wp-content/uploads/2012/11/CIRCLE_2012Election_GenderRace_ForWeb1.pdf</w:t>
      </w:r>
    </w:p>
    <w:p w14:paraId="5684F3B6" w14:textId="310E09AE" w:rsidR="006641CA" w:rsidRPr="006641CA" w:rsidRDefault="006641CA" w:rsidP="00CF5F0F">
      <w:pPr>
        <w:spacing w:after="0"/>
        <w:ind w:left="720" w:hanging="720"/>
      </w:pPr>
      <w:r w:rsidRPr="006641CA">
        <w:t>CIRCLE. (2014). </w:t>
      </w:r>
      <w:r w:rsidRPr="006641CA">
        <w:rPr>
          <w:i/>
          <w:iCs/>
        </w:rPr>
        <w:t>New analysis: Political engagement of Asian American, African American, and Latino Youth</w:t>
      </w:r>
      <w:r w:rsidRPr="006641CA">
        <w:t> [Fact Sheet]. Retrieved from </w:t>
      </w:r>
      <w:r w:rsidRPr="00CF5F0F">
        <w:t>http://civicyouth.org/new-analysis-political-engagement-of-asian-american-african-american-and-latino-youth/</w:t>
      </w:r>
    </w:p>
    <w:p w14:paraId="45867FE8" w14:textId="5AA59A17" w:rsidR="006641CA" w:rsidRPr="006641CA" w:rsidRDefault="006641CA" w:rsidP="00CF5F0F">
      <w:pPr>
        <w:spacing w:after="0"/>
        <w:ind w:left="720" w:hanging="720"/>
      </w:pPr>
      <w:r w:rsidRPr="006641CA">
        <w:t>CIRCLE. (2016). </w:t>
      </w:r>
      <w:r w:rsidRPr="006641CA">
        <w:rPr>
          <w:i/>
          <w:iCs/>
        </w:rPr>
        <w:t>Record-breaking youth turnout continues; Clinton and Trump still lagging with young voters</w:t>
      </w:r>
      <w:r w:rsidRPr="006641CA">
        <w:t> [Fact Sheet]. Retrieved from </w:t>
      </w:r>
      <w:r w:rsidRPr="00CF5F0F">
        <w:t>http://civicyouth.org/record-breaking-youth-turnout-continues-clinton-and-trump-still-lagging-with-young-voters/?cat_id=6</w:t>
      </w:r>
    </w:p>
    <w:p w14:paraId="53E5CB9C" w14:textId="50688AFF" w:rsidR="006641CA" w:rsidRPr="006641CA" w:rsidRDefault="006641CA" w:rsidP="00CF5F0F">
      <w:pPr>
        <w:spacing w:after="0"/>
        <w:ind w:left="720" w:hanging="720"/>
      </w:pPr>
      <w:r w:rsidRPr="006641CA">
        <w:t>Cohen, C. (2006). </w:t>
      </w:r>
      <w:r w:rsidRPr="006641CA">
        <w:rPr>
          <w:i/>
          <w:iCs/>
        </w:rPr>
        <w:t>Black Youth Culture Survey</w:t>
      </w:r>
      <w:r w:rsidRPr="006641CA">
        <w:t>. Chicago, IL: Black Youth Project. Retrieved from </w:t>
      </w:r>
      <w:r w:rsidRPr="00CF5F0F">
        <w:t>http://www.blackyouthproject.com</w:t>
      </w:r>
    </w:p>
    <w:p w14:paraId="31C101D4" w14:textId="77777777" w:rsidR="006641CA" w:rsidRPr="006641CA" w:rsidRDefault="006641CA" w:rsidP="00CF5F0F">
      <w:pPr>
        <w:spacing w:after="0"/>
        <w:ind w:left="720" w:hanging="720"/>
      </w:pPr>
      <w:r w:rsidRPr="006641CA">
        <w:t xml:space="preserve">Cohen, S., </w:t>
      </w:r>
      <w:proofErr w:type="spellStart"/>
      <w:r w:rsidRPr="006641CA">
        <w:t>Kamarck</w:t>
      </w:r>
      <w:proofErr w:type="spellEnd"/>
      <w:r w:rsidRPr="006641CA">
        <w:t xml:space="preserve">, T., &amp; </w:t>
      </w:r>
      <w:proofErr w:type="spellStart"/>
      <w:r w:rsidRPr="006641CA">
        <w:t>Mermelstein</w:t>
      </w:r>
      <w:proofErr w:type="spellEnd"/>
      <w:r w:rsidRPr="006641CA">
        <w:t>, R. (1983). A global measure of perceived stress. </w:t>
      </w:r>
      <w:r w:rsidRPr="006641CA">
        <w:rPr>
          <w:i/>
          <w:iCs/>
        </w:rPr>
        <w:t>Journal of Health and Social Behavior</w:t>
      </w:r>
      <w:r w:rsidRPr="006641CA">
        <w:t>, </w:t>
      </w:r>
      <w:r w:rsidRPr="006641CA">
        <w:rPr>
          <w:i/>
          <w:iCs/>
        </w:rPr>
        <w:t>24</w:t>
      </w:r>
      <w:r w:rsidRPr="006641CA">
        <w:t>, 385–396. 10.2307/2136404</w:t>
      </w:r>
    </w:p>
    <w:p w14:paraId="546FF9E8" w14:textId="77777777" w:rsidR="006641CA" w:rsidRPr="006641CA" w:rsidRDefault="006641CA" w:rsidP="00CF5F0F">
      <w:pPr>
        <w:spacing w:after="0"/>
        <w:ind w:left="720" w:hanging="720"/>
      </w:pPr>
      <w:r w:rsidRPr="006641CA">
        <w:t>Cole, E. R. (2009). Intersectionality and research in psychology. </w:t>
      </w:r>
      <w:r w:rsidRPr="006641CA">
        <w:rPr>
          <w:i/>
          <w:iCs/>
        </w:rPr>
        <w:t>American Psychologist</w:t>
      </w:r>
      <w:r w:rsidRPr="006641CA">
        <w:t>, </w:t>
      </w:r>
      <w:r w:rsidRPr="006641CA">
        <w:rPr>
          <w:i/>
          <w:iCs/>
        </w:rPr>
        <w:t>64</w:t>
      </w:r>
      <w:r w:rsidRPr="006641CA">
        <w:t>, 170–180. 10.1037/a0014564</w:t>
      </w:r>
    </w:p>
    <w:p w14:paraId="66D31597" w14:textId="77777777" w:rsidR="006641CA" w:rsidRPr="006641CA" w:rsidRDefault="006641CA" w:rsidP="00CF5F0F">
      <w:pPr>
        <w:spacing w:after="0"/>
        <w:ind w:left="720" w:hanging="720"/>
      </w:pPr>
      <w:r w:rsidRPr="006641CA">
        <w:t xml:space="preserve">Duke, N. N., </w:t>
      </w:r>
      <w:proofErr w:type="spellStart"/>
      <w:r w:rsidRPr="006641CA">
        <w:t>Skay</w:t>
      </w:r>
      <w:proofErr w:type="spellEnd"/>
      <w:r w:rsidRPr="006641CA">
        <w:t xml:space="preserve">, C. L., </w:t>
      </w:r>
      <w:proofErr w:type="spellStart"/>
      <w:r w:rsidRPr="006641CA">
        <w:t>Pettingell</w:t>
      </w:r>
      <w:proofErr w:type="spellEnd"/>
      <w:r w:rsidRPr="006641CA">
        <w:t xml:space="preserve">, S. L., &amp; </w:t>
      </w:r>
      <w:proofErr w:type="spellStart"/>
      <w:r w:rsidRPr="006641CA">
        <w:t>Borowsky</w:t>
      </w:r>
      <w:proofErr w:type="spellEnd"/>
      <w:r w:rsidRPr="006641CA">
        <w:t>, I. W. (2009). From adolescent connections to social capital: Predictors of civic engagement in young adulthood. </w:t>
      </w:r>
      <w:r w:rsidRPr="006641CA">
        <w:rPr>
          <w:i/>
          <w:iCs/>
        </w:rPr>
        <w:t>Journal of Adolescent Health</w:t>
      </w:r>
      <w:r w:rsidRPr="006641CA">
        <w:t>, </w:t>
      </w:r>
      <w:r w:rsidRPr="006641CA">
        <w:rPr>
          <w:i/>
          <w:iCs/>
        </w:rPr>
        <w:t>44</w:t>
      </w:r>
      <w:r w:rsidRPr="006641CA">
        <w:t>, 161–168. 10.1016/j.jadohealth.2008.07.007</w:t>
      </w:r>
    </w:p>
    <w:p w14:paraId="4AF039AA" w14:textId="77777777" w:rsidR="006641CA" w:rsidRPr="006641CA" w:rsidRDefault="006641CA" w:rsidP="00CF5F0F">
      <w:pPr>
        <w:spacing w:after="0"/>
        <w:ind w:left="720" w:hanging="720"/>
      </w:pPr>
      <w:r w:rsidRPr="006641CA">
        <w:t>Eccles, J. S., Barber, B. L., Stone, M., &amp; Hunt, J. (2003). Extracurricular activities and adolescent development. </w:t>
      </w:r>
      <w:r w:rsidRPr="006641CA">
        <w:rPr>
          <w:i/>
          <w:iCs/>
        </w:rPr>
        <w:t>Journal of Social Issues</w:t>
      </w:r>
      <w:r w:rsidRPr="006641CA">
        <w:t>, </w:t>
      </w:r>
      <w:r w:rsidRPr="006641CA">
        <w:rPr>
          <w:i/>
          <w:iCs/>
        </w:rPr>
        <w:t>59</w:t>
      </w:r>
      <w:r w:rsidRPr="006641CA">
        <w:t>, 865–889. 10.1046/j.0022-4537.</w:t>
      </w:r>
      <w:proofErr w:type="gramStart"/>
      <w:r w:rsidRPr="006641CA">
        <w:t>2003.00095.x</w:t>
      </w:r>
      <w:proofErr w:type="gramEnd"/>
    </w:p>
    <w:p w14:paraId="7CE1199A" w14:textId="77777777" w:rsidR="006641CA" w:rsidRPr="006641CA" w:rsidRDefault="006641CA" w:rsidP="00CF5F0F">
      <w:pPr>
        <w:spacing w:after="0"/>
        <w:ind w:left="720" w:hanging="720"/>
      </w:pPr>
      <w:r w:rsidRPr="006641CA">
        <w:t xml:space="preserve">Eisenberg, D., </w:t>
      </w:r>
      <w:proofErr w:type="spellStart"/>
      <w:r w:rsidRPr="006641CA">
        <w:t>Golberstein</w:t>
      </w:r>
      <w:proofErr w:type="spellEnd"/>
      <w:r w:rsidRPr="006641CA">
        <w:t>, E., &amp; Hunt, J. B. (2009). Mental health and academic success in college. </w:t>
      </w:r>
      <w:r w:rsidRPr="006641CA">
        <w:rPr>
          <w:i/>
          <w:iCs/>
        </w:rPr>
        <w:t>The B. E. Journal of Economic Analysis &amp; Policy</w:t>
      </w:r>
      <w:r w:rsidRPr="006641CA">
        <w:t>, </w:t>
      </w:r>
      <w:r w:rsidRPr="006641CA">
        <w:rPr>
          <w:i/>
          <w:iCs/>
        </w:rPr>
        <w:t>9</w:t>
      </w:r>
      <w:r w:rsidRPr="006641CA">
        <w:t>. 10.2202/1935-1682.2191</w:t>
      </w:r>
    </w:p>
    <w:p w14:paraId="62A029E5" w14:textId="77777777" w:rsidR="006641CA" w:rsidRPr="006641CA" w:rsidRDefault="006641CA" w:rsidP="00CF5F0F">
      <w:pPr>
        <w:spacing w:after="0"/>
        <w:ind w:left="720" w:hanging="720"/>
      </w:pPr>
      <w:r w:rsidRPr="006641CA">
        <w:t xml:space="preserve">Ekman, J., &amp; </w:t>
      </w:r>
      <w:proofErr w:type="spellStart"/>
      <w:r w:rsidRPr="006641CA">
        <w:t>Amnå</w:t>
      </w:r>
      <w:proofErr w:type="spellEnd"/>
      <w:r w:rsidRPr="006641CA">
        <w:t>, E. (2012). Political participation and civic engagement: Towards a new typology. </w:t>
      </w:r>
      <w:r w:rsidRPr="006641CA">
        <w:rPr>
          <w:i/>
          <w:iCs/>
        </w:rPr>
        <w:t>Human Affairs</w:t>
      </w:r>
      <w:r w:rsidRPr="006641CA">
        <w:t>, </w:t>
      </w:r>
      <w:r w:rsidRPr="006641CA">
        <w:rPr>
          <w:i/>
          <w:iCs/>
        </w:rPr>
        <w:t>22</w:t>
      </w:r>
      <w:r w:rsidRPr="006641CA">
        <w:t>. 10.2478/s13374-012-0024-1</w:t>
      </w:r>
    </w:p>
    <w:p w14:paraId="35742742" w14:textId="77777777" w:rsidR="006641CA" w:rsidRPr="006641CA" w:rsidRDefault="006641CA" w:rsidP="00CF5F0F">
      <w:pPr>
        <w:spacing w:after="0"/>
        <w:ind w:left="720" w:hanging="720"/>
      </w:pPr>
      <w:r w:rsidRPr="006641CA">
        <w:t>Flanagan, C., &amp; Levine, P. (2010). Civic engagement and the transition to adulthood. </w:t>
      </w:r>
      <w:r w:rsidRPr="006641CA">
        <w:rPr>
          <w:i/>
          <w:iCs/>
        </w:rPr>
        <w:t>The Future of Children</w:t>
      </w:r>
      <w:r w:rsidRPr="006641CA">
        <w:t>, </w:t>
      </w:r>
      <w:r w:rsidRPr="006641CA">
        <w:rPr>
          <w:i/>
          <w:iCs/>
        </w:rPr>
        <w:t>20</w:t>
      </w:r>
      <w:r w:rsidRPr="006641CA">
        <w:t>, 159–179. 10.1353/foc.0.0043</w:t>
      </w:r>
    </w:p>
    <w:p w14:paraId="4412EC7D" w14:textId="77777777" w:rsidR="006641CA" w:rsidRPr="006641CA" w:rsidRDefault="006641CA" w:rsidP="00CF5F0F">
      <w:pPr>
        <w:spacing w:after="0"/>
        <w:ind w:left="720" w:hanging="720"/>
      </w:pPr>
      <w:r w:rsidRPr="006641CA">
        <w:t>Gibbs, J. T., &amp; Huang, L. N. (1989). </w:t>
      </w:r>
      <w:r w:rsidRPr="006641CA">
        <w:rPr>
          <w:i/>
          <w:iCs/>
        </w:rPr>
        <w:t>Children of color: Psychological interventions with minority youth</w:t>
      </w:r>
      <w:r w:rsidRPr="006641CA">
        <w:t>. San Francisco, CA: Jossey-Bass.</w:t>
      </w:r>
    </w:p>
    <w:p w14:paraId="25074543" w14:textId="77777777" w:rsidR="006641CA" w:rsidRPr="006641CA" w:rsidRDefault="006641CA" w:rsidP="00CF5F0F">
      <w:pPr>
        <w:spacing w:after="0"/>
        <w:ind w:left="720" w:hanging="720"/>
      </w:pPr>
      <w:r w:rsidRPr="006641CA">
        <w:t xml:space="preserve">Gonzalez, J. M., </w:t>
      </w:r>
      <w:proofErr w:type="spellStart"/>
      <w:r w:rsidRPr="006641CA">
        <w:t>Alegría</w:t>
      </w:r>
      <w:proofErr w:type="spellEnd"/>
      <w:r w:rsidRPr="006641CA">
        <w:t xml:space="preserve">, M., &amp; Prihoda, T. J. (2005). How do attitudes toward mental health treatment vary by age, gender, and ethnicity/race in young </w:t>
      </w:r>
      <w:proofErr w:type="spellStart"/>
      <w:proofErr w:type="gramStart"/>
      <w:r w:rsidRPr="006641CA">
        <w:t>adults?</w:t>
      </w:r>
      <w:r w:rsidRPr="006641CA">
        <w:rPr>
          <w:i/>
          <w:iCs/>
        </w:rPr>
        <w:t>Journal</w:t>
      </w:r>
      <w:proofErr w:type="spellEnd"/>
      <w:proofErr w:type="gramEnd"/>
      <w:r w:rsidRPr="006641CA">
        <w:rPr>
          <w:i/>
          <w:iCs/>
        </w:rPr>
        <w:t xml:space="preserve"> of Community Psychology</w:t>
      </w:r>
      <w:r w:rsidRPr="006641CA">
        <w:t>, </w:t>
      </w:r>
      <w:r w:rsidRPr="006641CA">
        <w:rPr>
          <w:i/>
          <w:iCs/>
        </w:rPr>
        <w:t>33</w:t>
      </w:r>
      <w:r w:rsidRPr="006641CA">
        <w:t>, 611–629. 10.1002/jcop.20071</w:t>
      </w:r>
    </w:p>
    <w:p w14:paraId="22F8EA9E" w14:textId="77777777" w:rsidR="006641CA" w:rsidRPr="006641CA" w:rsidRDefault="006641CA" w:rsidP="00CF5F0F">
      <w:pPr>
        <w:spacing w:after="0"/>
        <w:ind w:left="720" w:hanging="720"/>
      </w:pPr>
      <w:r w:rsidRPr="006641CA">
        <w:t>Green, S. B. (1991). How many subjects does it take to do a regression analysis. </w:t>
      </w:r>
      <w:r w:rsidRPr="006641CA">
        <w:rPr>
          <w:i/>
          <w:iCs/>
        </w:rPr>
        <w:t>Multivariate Behavioral Research</w:t>
      </w:r>
      <w:r w:rsidRPr="006641CA">
        <w:t>, </w:t>
      </w:r>
      <w:r w:rsidRPr="006641CA">
        <w:rPr>
          <w:i/>
          <w:iCs/>
        </w:rPr>
        <w:t>26</w:t>
      </w:r>
      <w:r w:rsidRPr="006641CA">
        <w:t>, 499–510. 10.1207/s15327906mbr2603_7</w:t>
      </w:r>
    </w:p>
    <w:p w14:paraId="424D699E" w14:textId="77777777" w:rsidR="006641CA" w:rsidRPr="006641CA" w:rsidRDefault="006641CA" w:rsidP="00CF5F0F">
      <w:pPr>
        <w:spacing w:after="0"/>
        <w:ind w:left="720" w:hanging="720"/>
      </w:pPr>
      <w:proofErr w:type="spellStart"/>
      <w:r w:rsidRPr="006641CA">
        <w:t>Gurin</w:t>
      </w:r>
      <w:proofErr w:type="spellEnd"/>
      <w:r w:rsidRPr="006641CA">
        <w:t xml:space="preserve">, P., </w:t>
      </w:r>
      <w:proofErr w:type="spellStart"/>
      <w:r w:rsidRPr="006641CA">
        <w:t>Nagda</w:t>
      </w:r>
      <w:proofErr w:type="spellEnd"/>
      <w:r w:rsidRPr="006641CA">
        <w:t>, B., &amp; Zuniga, X. (2013). </w:t>
      </w:r>
      <w:r w:rsidRPr="006641CA">
        <w:rPr>
          <w:i/>
          <w:iCs/>
        </w:rPr>
        <w:t>Dialogue across difference: Practice, theory, and research on intergroup dialogue</w:t>
      </w:r>
      <w:r w:rsidRPr="006641CA">
        <w:t>. New York, NY: Sage Foundation.</w:t>
      </w:r>
    </w:p>
    <w:p w14:paraId="2ED9B169" w14:textId="77777777" w:rsidR="006641CA" w:rsidRPr="006641CA" w:rsidRDefault="006641CA" w:rsidP="00CF5F0F">
      <w:pPr>
        <w:spacing w:after="0"/>
        <w:ind w:left="720" w:hanging="720"/>
      </w:pPr>
      <w:r w:rsidRPr="006641CA">
        <w:t>Hansen, D. M., Larson, R. W., &amp; Dworkin, J. B. (2003). What adolescents learn in organized youth activities: A survey of self-reported developmental experiences. </w:t>
      </w:r>
      <w:r w:rsidRPr="006641CA">
        <w:rPr>
          <w:i/>
          <w:iCs/>
        </w:rPr>
        <w:t>Journal of Research on Adolescence</w:t>
      </w:r>
      <w:r w:rsidRPr="006641CA">
        <w:t>, </w:t>
      </w:r>
      <w:r w:rsidRPr="006641CA">
        <w:rPr>
          <w:i/>
          <w:iCs/>
        </w:rPr>
        <w:t>13</w:t>
      </w:r>
      <w:r w:rsidRPr="006641CA">
        <w:t>, 25–55. 10.1111/1532-7795.1301006</w:t>
      </w:r>
    </w:p>
    <w:p w14:paraId="7077C8E8" w14:textId="77777777" w:rsidR="006641CA" w:rsidRPr="006641CA" w:rsidRDefault="006641CA" w:rsidP="00CF5F0F">
      <w:pPr>
        <w:spacing w:after="0"/>
        <w:ind w:left="720" w:hanging="720"/>
      </w:pPr>
      <w:r w:rsidRPr="006641CA">
        <w:t xml:space="preserve">Harris, P. A., Taylor, R., </w:t>
      </w:r>
      <w:proofErr w:type="spellStart"/>
      <w:r w:rsidRPr="006641CA">
        <w:t>Thielke</w:t>
      </w:r>
      <w:proofErr w:type="spellEnd"/>
      <w:r w:rsidRPr="006641CA">
        <w:t>, R., Payne, J., Gonzalez, N., &amp; Conde, J. G. (2009). Research electronic data capture (</w:t>
      </w:r>
      <w:proofErr w:type="spellStart"/>
      <w:r w:rsidRPr="006641CA">
        <w:t>REDCap</w:t>
      </w:r>
      <w:proofErr w:type="spellEnd"/>
      <w:r w:rsidRPr="006641CA">
        <w:t>)—A metadata-driven methodology and workflow process for providing translational research informatics support. </w:t>
      </w:r>
      <w:r w:rsidRPr="006641CA">
        <w:rPr>
          <w:i/>
          <w:iCs/>
        </w:rPr>
        <w:t>Journal of Biomedical Informatics</w:t>
      </w:r>
      <w:r w:rsidRPr="006641CA">
        <w:t>, </w:t>
      </w:r>
      <w:r w:rsidRPr="006641CA">
        <w:rPr>
          <w:i/>
          <w:iCs/>
        </w:rPr>
        <w:t>42</w:t>
      </w:r>
      <w:r w:rsidRPr="006641CA">
        <w:t>, 377–381. 10.1016/j.jbi.2008.08.010</w:t>
      </w:r>
    </w:p>
    <w:p w14:paraId="3E635C39" w14:textId="77777777" w:rsidR="006641CA" w:rsidRPr="006641CA" w:rsidRDefault="006641CA" w:rsidP="00CF5F0F">
      <w:pPr>
        <w:spacing w:after="0"/>
        <w:ind w:left="720" w:hanging="720"/>
      </w:pPr>
      <w:r w:rsidRPr="006641CA">
        <w:t xml:space="preserve">Harwood, S. A., </w:t>
      </w:r>
      <w:proofErr w:type="spellStart"/>
      <w:r w:rsidRPr="006641CA">
        <w:t>Huntt</w:t>
      </w:r>
      <w:proofErr w:type="spellEnd"/>
      <w:r w:rsidRPr="006641CA">
        <w:t>, M. B., Mendenhall, R., &amp; Lewis, J. A. (2012). Racial microaggressions in the residence halls: Experiences of students of color at a predominantly white university. </w:t>
      </w:r>
      <w:r w:rsidRPr="006641CA">
        <w:rPr>
          <w:i/>
          <w:iCs/>
        </w:rPr>
        <w:t>Journal of Diversity in Higher Education</w:t>
      </w:r>
      <w:r w:rsidRPr="006641CA">
        <w:t>, </w:t>
      </w:r>
      <w:r w:rsidRPr="006641CA">
        <w:rPr>
          <w:i/>
          <w:iCs/>
        </w:rPr>
        <w:t>5</w:t>
      </w:r>
      <w:r w:rsidRPr="006641CA">
        <w:t>, 159–173. 10.1037/a0028956</w:t>
      </w:r>
    </w:p>
    <w:p w14:paraId="04D5DEF0" w14:textId="77777777" w:rsidR="006641CA" w:rsidRPr="006641CA" w:rsidRDefault="006641CA" w:rsidP="00CF5F0F">
      <w:pPr>
        <w:spacing w:after="0"/>
        <w:ind w:left="720" w:hanging="720"/>
      </w:pPr>
      <w:proofErr w:type="spellStart"/>
      <w:r w:rsidRPr="006641CA">
        <w:t>Hinderlie</w:t>
      </w:r>
      <w:proofErr w:type="spellEnd"/>
      <w:r w:rsidRPr="006641CA">
        <w:t>, H. H., &amp; Kenny, M. (2002). Attachment, social support, and college adjustment among Black students at predominantly white universities. </w:t>
      </w:r>
      <w:r w:rsidRPr="006641CA">
        <w:rPr>
          <w:i/>
          <w:iCs/>
        </w:rPr>
        <w:t>Journal of College Student Development</w:t>
      </w:r>
      <w:r w:rsidRPr="006641CA">
        <w:t>, </w:t>
      </w:r>
      <w:r w:rsidRPr="006641CA">
        <w:rPr>
          <w:i/>
          <w:iCs/>
        </w:rPr>
        <w:t>43</w:t>
      </w:r>
      <w:r w:rsidRPr="006641CA">
        <w:t>, 327–340.</w:t>
      </w:r>
    </w:p>
    <w:p w14:paraId="1BD643B4" w14:textId="77777777" w:rsidR="006641CA" w:rsidRPr="006641CA" w:rsidRDefault="006641CA" w:rsidP="00CF5F0F">
      <w:pPr>
        <w:spacing w:after="0"/>
        <w:ind w:left="720" w:hanging="720"/>
      </w:pPr>
      <w:r w:rsidRPr="006641CA">
        <w:t>Hope, E., Hoggard, L., &amp; Thomas, A. (2015). Emerging into adulthood in the face of racial discrimination: Physiological, psychological, and sociopolitical consequences for African American youth. </w:t>
      </w:r>
      <w:r w:rsidRPr="006641CA">
        <w:rPr>
          <w:i/>
          <w:iCs/>
        </w:rPr>
        <w:t>Translational Issues in Psychological Science</w:t>
      </w:r>
      <w:r w:rsidRPr="006641CA">
        <w:t>, </w:t>
      </w:r>
      <w:r w:rsidRPr="006641CA">
        <w:rPr>
          <w:i/>
          <w:iCs/>
        </w:rPr>
        <w:t>1</w:t>
      </w:r>
      <w:r w:rsidRPr="006641CA">
        <w:t>, 342–351. 10.1037/tps0000041</w:t>
      </w:r>
    </w:p>
    <w:p w14:paraId="05F011CF" w14:textId="77777777" w:rsidR="006641CA" w:rsidRPr="006641CA" w:rsidRDefault="006641CA" w:rsidP="00CF5F0F">
      <w:pPr>
        <w:spacing w:after="0"/>
        <w:ind w:left="720" w:hanging="720"/>
      </w:pPr>
      <w:r w:rsidRPr="006641CA">
        <w:t xml:space="preserve">Hope, E. C., &amp; </w:t>
      </w:r>
      <w:proofErr w:type="spellStart"/>
      <w:r w:rsidRPr="006641CA">
        <w:t>Jagers</w:t>
      </w:r>
      <w:proofErr w:type="spellEnd"/>
      <w:r w:rsidRPr="006641CA">
        <w:t>, R. J. (2014). The role of sociopolitical attitudes and civic education in the civic engagement of Black youth. </w:t>
      </w:r>
      <w:r w:rsidRPr="006641CA">
        <w:rPr>
          <w:i/>
          <w:iCs/>
        </w:rPr>
        <w:t>Journal of Research on Adolescence</w:t>
      </w:r>
      <w:r w:rsidRPr="006641CA">
        <w:t>, </w:t>
      </w:r>
      <w:r w:rsidRPr="006641CA">
        <w:rPr>
          <w:i/>
          <w:iCs/>
        </w:rPr>
        <w:t>24</w:t>
      </w:r>
      <w:r w:rsidRPr="006641CA">
        <w:t>, 460–470. 10.1111/jora.12117</w:t>
      </w:r>
    </w:p>
    <w:p w14:paraId="65E7D544" w14:textId="77777777" w:rsidR="006641CA" w:rsidRPr="006641CA" w:rsidRDefault="006641CA" w:rsidP="00CF5F0F">
      <w:pPr>
        <w:spacing w:after="0"/>
        <w:ind w:left="720" w:hanging="720"/>
      </w:pPr>
      <w:r w:rsidRPr="006641CA">
        <w:t xml:space="preserve">Hope, E. C., Keels, M., &amp; </w:t>
      </w:r>
      <w:proofErr w:type="spellStart"/>
      <w:r w:rsidRPr="006641CA">
        <w:t>Durkee</w:t>
      </w:r>
      <w:proofErr w:type="spellEnd"/>
      <w:r w:rsidRPr="006641CA">
        <w:t>, M. I. (2016). Participation in Black Lives Matter and deferred action for childhood arrivals: Modern activism among Black &amp; Latino college students. </w:t>
      </w:r>
      <w:r w:rsidRPr="006641CA">
        <w:rPr>
          <w:i/>
          <w:iCs/>
        </w:rPr>
        <w:t>Journal of Diversity in Higher Education</w:t>
      </w:r>
      <w:r w:rsidRPr="006641CA">
        <w:t>, </w:t>
      </w:r>
      <w:r w:rsidRPr="006641CA">
        <w:rPr>
          <w:i/>
          <w:iCs/>
        </w:rPr>
        <w:t>9</w:t>
      </w:r>
      <w:r w:rsidRPr="006641CA">
        <w:t>, 203–215. 10.1037/dhe0000032</w:t>
      </w:r>
    </w:p>
    <w:p w14:paraId="09ED6BD8" w14:textId="77777777" w:rsidR="006641CA" w:rsidRPr="006641CA" w:rsidRDefault="006641CA" w:rsidP="00CF5F0F">
      <w:pPr>
        <w:spacing w:after="0"/>
        <w:ind w:left="720" w:hanging="720"/>
      </w:pPr>
      <w:r w:rsidRPr="006641CA">
        <w:t xml:space="preserve">Hope, E., &amp; Spencer, M. B. (2017). Civic engagement as an adaptive coping response to conditions of inequality: An application of Phenomenological Variant of Ecological Systems Theory (PVEST). In </w:t>
      </w:r>
      <w:proofErr w:type="spellStart"/>
      <w:proofErr w:type="gramStart"/>
      <w:r w:rsidRPr="006641CA">
        <w:t>N.Cabrera</w:t>
      </w:r>
      <w:proofErr w:type="spellEnd"/>
      <w:proofErr w:type="gramEnd"/>
      <w:r w:rsidRPr="006641CA">
        <w:t xml:space="preserve"> &amp; </w:t>
      </w:r>
      <w:proofErr w:type="spellStart"/>
      <w:r w:rsidRPr="006641CA">
        <w:t>B.Leyendecker</w:t>
      </w:r>
      <w:proofErr w:type="spellEnd"/>
      <w:r w:rsidRPr="006641CA">
        <w:t xml:space="preserve"> (Eds.), </w:t>
      </w:r>
      <w:r w:rsidRPr="006641CA">
        <w:rPr>
          <w:i/>
          <w:iCs/>
        </w:rPr>
        <w:t>Handbook of positive development of minority children</w:t>
      </w:r>
      <w:r w:rsidRPr="006641CA">
        <w:t>. Dordrecht, the Netherlands: Springer. 10.1007/978-3-319-43645-6_25</w:t>
      </w:r>
    </w:p>
    <w:p w14:paraId="744F04A6" w14:textId="77777777" w:rsidR="006641CA" w:rsidRPr="006641CA" w:rsidRDefault="006641CA" w:rsidP="00CF5F0F">
      <w:pPr>
        <w:spacing w:after="0"/>
        <w:ind w:left="720" w:hanging="720"/>
      </w:pPr>
      <w:r w:rsidRPr="006641CA">
        <w:t>Hurtado, S., &amp; Carter, D. F. (1997). Effects of college transition and perception of the campus racial climate on Latino college students’ sense of belonging. </w:t>
      </w:r>
      <w:r w:rsidRPr="006641CA">
        <w:rPr>
          <w:i/>
          <w:iCs/>
        </w:rPr>
        <w:t>Sociology of Education</w:t>
      </w:r>
      <w:r w:rsidRPr="006641CA">
        <w:t>, </w:t>
      </w:r>
      <w:r w:rsidRPr="006641CA">
        <w:rPr>
          <w:i/>
          <w:iCs/>
        </w:rPr>
        <w:t>70</w:t>
      </w:r>
      <w:r w:rsidRPr="006641CA">
        <w:t>, 324–345. 10.2307/2673270</w:t>
      </w:r>
    </w:p>
    <w:p w14:paraId="16724393" w14:textId="77777777" w:rsidR="006641CA" w:rsidRPr="006641CA" w:rsidRDefault="006641CA" w:rsidP="00CF5F0F">
      <w:pPr>
        <w:spacing w:after="0"/>
        <w:ind w:left="720" w:hanging="720"/>
      </w:pPr>
      <w:r w:rsidRPr="006641CA">
        <w:t>Huynh, Q. L., Devos, T., &amp; Dunbar, C. M. (2012). The psychological costs of painless but recurring experiences of racial discrimination. </w:t>
      </w:r>
      <w:r w:rsidRPr="006641CA">
        <w:rPr>
          <w:b/>
          <w:bCs/>
          <w:i/>
          <w:iCs/>
        </w:rPr>
        <w:t>Cultural Diversity and Ethnic Minority Psychology</w:t>
      </w:r>
      <w:r w:rsidRPr="006641CA">
        <w:t>, </w:t>
      </w:r>
      <w:r w:rsidRPr="006641CA">
        <w:rPr>
          <w:i/>
          <w:iCs/>
        </w:rPr>
        <w:t>18</w:t>
      </w:r>
      <w:r w:rsidRPr="006641CA">
        <w:t>, 26–34. 10.1037/a0026601</w:t>
      </w:r>
    </w:p>
    <w:p w14:paraId="38972E34" w14:textId="77777777" w:rsidR="006641CA" w:rsidRPr="006641CA" w:rsidRDefault="006641CA" w:rsidP="00CF5F0F">
      <w:pPr>
        <w:spacing w:after="0"/>
        <w:ind w:left="720" w:hanging="720"/>
      </w:pPr>
      <w:r w:rsidRPr="006641CA">
        <w:t xml:space="preserve">Hwang, W. C., &amp; </w:t>
      </w:r>
      <w:proofErr w:type="spellStart"/>
      <w:r w:rsidRPr="006641CA">
        <w:t>Goto</w:t>
      </w:r>
      <w:proofErr w:type="spellEnd"/>
      <w:r w:rsidRPr="006641CA">
        <w:t>, S. (2009). The impact of perceived racial discrimination on the mental health of Asian American and Latino college students. </w:t>
      </w:r>
      <w:r w:rsidRPr="006641CA">
        <w:rPr>
          <w:i/>
          <w:iCs/>
        </w:rPr>
        <w:t>Asian American Journal of Psychology</w:t>
      </w:r>
      <w:r w:rsidRPr="006641CA">
        <w:t>, </w:t>
      </w:r>
      <w:proofErr w:type="gramStart"/>
      <w:r w:rsidRPr="006641CA">
        <w:rPr>
          <w:i/>
          <w:iCs/>
        </w:rPr>
        <w:t>S</w:t>
      </w:r>
      <w:r w:rsidRPr="006641CA">
        <w:t>(</w:t>
      </w:r>
      <w:proofErr w:type="gramEnd"/>
      <w:r w:rsidRPr="006641CA">
        <w:t>1), 15–28. 10.1037/1948-</w:t>
      </w:r>
      <w:proofErr w:type="gramStart"/>
      <w:r w:rsidRPr="006641CA">
        <w:t>1985.S.</w:t>
      </w:r>
      <w:proofErr w:type="gramEnd"/>
      <w:r w:rsidRPr="006641CA">
        <w:t>1.15</w:t>
      </w:r>
    </w:p>
    <w:p w14:paraId="1AD44587" w14:textId="77777777" w:rsidR="006641CA" w:rsidRPr="006641CA" w:rsidRDefault="006641CA" w:rsidP="00CF5F0F">
      <w:pPr>
        <w:spacing w:after="0"/>
        <w:ind w:left="720" w:hanging="720"/>
      </w:pPr>
      <w:r w:rsidRPr="006641CA">
        <w:t>Institute of Medicine. (1994). </w:t>
      </w:r>
      <w:r w:rsidRPr="006641CA">
        <w:rPr>
          <w:i/>
          <w:iCs/>
        </w:rPr>
        <w:t>Reducing risks for mental disorders: Frontiers for preventive intervention research</w:t>
      </w:r>
      <w:r w:rsidRPr="006641CA">
        <w:t>. Washington, DC: National Academy Press.</w:t>
      </w:r>
    </w:p>
    <w:p w14:paraId="5C7C0E34" w14:textId="77777777" w:rsidR="006641CA" w:rsidRPr="006641CA" w:rsidRDefault="006641CA" w:rsidP="00CF5F0F">
      <w:pPr>
        <w:spacing w:after="0"/>
        <w:ind w:left="720" w:hanging="720"/>
      </w:pPr>
      <w:r w:rsidRPr="006641CA">
        <w:t xml:space="preserve">Jiménez, T. I., </w:t>
      </w:r>
      <w:proofErr w:type="spellStart"/>
      <w:r w:rsidRPr="006641CA">
        <w:t>Musitu</w:t>
      </w:r>
      <w:proofErr w:type="spellEnd"/>
      <w:r w:rsidRPr="006641CA">
        <w:t xml:space="preserve">, G., Ramos, M. J., &amp; </w:t>
      </w:r>
      <w:proofErr w:type="spellStart"/>
      <w:r w:rsidRPr="006641CA">
        <w:t>Murgui</w:t>
      </w:r>
      <w:proofErr w:type="spellEnd"/>
      <w:r w:rsidRPr="006641CA">
        <w:t>, S. (2009). Community involvement and victimization at school: An analysis through family, personal and social adjustment. </w:t>
      </w:r>
      <w:r w:rsidRPr="006641CA">
        <w:rPr>
          <w:i/>
          <w:iCs/>
        </w:rPr>
        <w:t>Journal of Community Psychology</w:t>
      </w:r>
      <w:r w:rsidRPr="006641CA">
        <w:t>, </w:t>
      </w:r>
      <w:r w:rsidRPr="006641CA">
        <w:rPr>
          <w:i/>
          <w:iCs/>
        </w:rPr>
        <w:t>37</w:t>
      </w:r>
      <w:r w:rsidRPr="006641CA">
        <w:t>, 959–974. 10.1002/jcop.20342</w:t>
      </w:r>
    </w:p>
    <w:p w14:paraId="1E39C9A5" w14:textId="77777777" w:rsidR="006641CA" w:rsidRPr="006641CA" w:rsidRDefault="006641CA" w:rsidP="00CF5F0F">
      <w:pPr>
        <w:spacing w:after="0"/>
        <w:ind w:left="720" w:hanging="720"/>
      </w:pPr>
      <w:r w:rsidRPr="006641CA">
        <w:t>Keels, M. (2013). Getting them enrolled is only half the battle: College success as a function of race or ethnicity, gender, and class. </w:t>
      </w:r>
      <w:r w:rsidRPr="006641CA">
        <w:rPr>
          <w:i/>
          <w:iCs/>
        </w:rPr>
        <w:t>American Journal of Orthopsychiatry</w:t>
      </w:r>
      <w:r w:rsidRPr="006641CA">
        <w:t>, </w:t>
      </w:r>
      <w:r w:rsidRPr="006641CA">
        <w:rPr>
          <w:i/>
          <w:iCs/>
        </w:rPr>
        <w:t>83</w:t>
      </w:r>
      <w:r w:rsidRPr="006641CA">
        <w:t>, 310–322. 10.1111/ajop.12033</w:t>
      </w:r>
    </w:p>
    <w:p w14:paraId="29F96FDF" w14:textId="77777777" w:rsidR="006641CA" w:rsidRPr="006641CA" w:rsidRDefault="006641CA" w:rsidP="00CF5F0F">
      <w:pPr>
        <w:spacing w:after="0"/>
        <w:ind w:left="720" w:hanging="720"/>
      </w:pPr>
      <w:r w:rsidRPr="006641CA">
        <w:t xml:space="preserve">Keels, M., </w:t>
      </w:r>
      <w:proofErr w:type="spellStart"/>
      <w:r w:rsidRPr="006641CA">
        <w:t>Durkee</w:t>
      </w:r>
      <w:proofErr w:type="spellEnd"/>
      <w:r w:rsidRPr="006641CA">
        <w:t>, M. I., &amp; Hope, E. C. (2017). </w:t>
      </w:r>
      <w:r w:rsidRPr="006641CA">
        <w:rPr>
          <w:i/>
          <w:iCs/>
        </w:rPr>
        <w:t>Development, validation, and utility of a brief scale measuring school-based racial and ethnic microaggressions</w:t>
      </w:r>
      <w:r w:rsidRPr="006641CA">
        <w:t> (SB-REMA). Manuscript submitted for publication.</w:t>
      </w:r>
    </w:p>
    <w:p w14:paraId="614588F0" w14:textId="68A360E1" w:rsidR="006641CA" w:rsidRPr="006641CA" w:rsidRDefault="006641CA" w:rsidP="00CF5F0F">
      <w:pPr>
        <w:spacing w:after="0"/>
        <w:ind w:left="720" w:hanging="720"/>
      </w:pPr>
      <w:r w:rsidRPr="006641CA">
        <w:t xml:space="preserve">Keels, M., </w:t>
      </w:r>
      <w:proofErr w:type="spellStart"/>
      <w:r w:rsidRPr="006641CA">
        <w:t>Durkee</w:t>
      </w:r>
      <w:proofErr w:type="spellEnd"/>
      <w:r w:rsidRPr="006641CA">
        <w:t xml:space="preserve">, M., Hope, E., &amp; </w:t>
      </w:r>
      <w:proofErr w:type="spellStart"/>
      <w:r w:rsidRPr="006641CA">
        <w:t>Goldrick-Rab</w:t>
      </w:r>
      <w:proofErr w:type="spellEnd"/>
      <w:r w:rsidRPr="006641CA">
        <w:t>, S. (2015). </w:t>
      </w:r>
      <w:r w:rsidRPr="006641CA">
        <w:rPr>
          <w:i/>
          <w:iCs/>
        </w:rPr>
        <w:t>Digging deeper into the psychological costs of college: Report 1 financial distress at the start of college</w:t>
      </w:r>
      <w:r w:rsidRPr="006641CA">
        <w:t>. Retrieved from </w:t>
      </w:r>
      <w:r w:rsidRPr="00CF5F0F">
        <w:t>http://www.edtalkproject.org/mccs</w:t>
      </w:r>
    </w:p>
    <w:p w14:paraId="43A3519A" w14:textId="575962C3" w:rsidR="006641CA" w:rsidRPr="006641CA" w:rsidRDefault="006641CA" w:rsidP="00CF5F0F">
      <w:pPr>
        <w:spacing w:after="0"/>
        <w:ind w:left="720" w:hanging="720"/>
      </w:pPr>
      <w:r w:rsidRPr="006641CA">
        <w:t>Krogstad, J., &amp; Fry, R. (2014, April24). </w:t>
      </w:r>
      <w:r w:rsidRPr="006641CA">
        <w:rPr>
          <w:i/>
          <w:iCs/>
        </w:rPr>
        <w:t>More Hispanics, blacks enrolling in college, but lag in bachelor’s degrees</w:t>
      </w:r>
      <w:r w:rsidRPr="006641CA">
        <w:t>. Retrieved from </w:t>
      </w:r>
      <w:r w:rsidRPr="00CF5F0F">
        <w:t>http://www.pewresearch.org/fact-tank/2014/04/24/more-hispanics-blacks-enrolling-in-college-but-lag-in-bachelors-degrees/</w:t>
      </w:r>
    </w:p>
    <w:p w14:paraId="6B7E68CB" w14:textId="77777777" w:rsidR="006641CA" w:rsidRPr="006641CA" w:rsidRDefault="006641CA" w:rsidP="00CF5F0F">
      <w:pPr>
        <w:spacing w:after="0"/>
        <w:ind w:left="720" w:hanging="720"/>
      </w:pPr>
      <w:proofErr w:type="spellStart"/>
      <w:r w:rsidRPr="006641CA">
        <w:t>Kuh</w:t>
      </w:r>
      <w:proofErr w:type="spellEnd"/>
      <w:r w:rsidRPr="006641CA">
        <w:t xml:space="preserve">, G. D., </w:t>
      </w:r>
      <w:proofErr w:type="spellStart"/>
      <w:r w:rsidRPr="006641CA">
        <w:t>Cruce</w:t>
      </w:r>
      <w:proofErr w:type="spellEnd"/>
      <w:r w:rsidRPr="006641CA">
        <w:t xml:space="preserve">, T. M., </w:t>
      </w:r>
      <w:proofErr w:type="spellStart"/>
      <w:r w:rsidRPr="006641CA">
        <w:t>Shoup</w:t>
      </w:r>
      <w:proofErr w:type="spellEnd"/>
      <w:r w:rsidRPr="006641CA">
        <w:t xml:space="preserve">, R., Kinzie, J., &amp; </w:t>
      </w:r>
      <w:proofErr w:type="spellStart"/>
      <w:r w:rsidRPr="006641CA">
        <w:t>Gonyea</w:t>
      </w:r>
      <w:proofErr w:type="spellEnd"/>
      <w:r w:rsidRPr="006641CA">
        <w:t>, R. M. (2008). Unmasking the effects of student engagement on first-year college grades and persistence. </w:t>
      </w:r>
      <w:r w:rsidRPr="006641CA">
        <w:rPr>
          <w:i/>
          <w:iCs/>
        </w:rPr>
        <w:t>The Journal of Higher Education</w:t>
      </w:r>
      <w:r w:rsidRPr="006641CA">
        <w:t>, </w:t>
      </w:r>
      <w:r w:rsidRPr="006641CA">
        <w:rPr>
          <w:i/>
          <w:iCs/>
        </w:rPr>
        <w:t>79</w:t>
      </w:r>
      <w:r w:rsidRPr="006641CA">
        <w:t>, 540–563. 10.1353/jhe.0.0019</w:t>
      </w:r>
    </w:p>
    <w:p w14:paraId="6B872A81" w14:textId="77777777" w:rsidR="006641CA" w:rsidRPr="006641CA" w:rsidRDefault="006641CA" w:rsidP="00CF5F0F">
      <w:pPr>
        <w:spacing w:after="0"/>
        <w:ind w:left="720" w:hanging="720"/>
      </w:pPr>
      <w:r w:rsidRPr="006641CA">
        <w:t>Levinson, M. (2007). </w:t>
      </w:r>
      <w:r w:rsidRPr="006641CA">
        <w:rPr>
          <w:i/>
          <w:iCs/>
        </w:rPr>
        <w:t>The civic achievement gap</w:t>
      </w:r>
      <w:r w:rsidRPr="006641CA">
        <w:t> (CIRCLE working paper 51). College Park, MD: Center for Information and Research on Civic Learning and Engagement.</w:t>
      </w:r>
    </w:p>
    <w:p w14:paraId="3B769352" w14:textId="77777777" w:rsidR="006641CA" w:rsidRPr="006641CA" w:rsidRDefault="006641CA" w:rsidP="00CF5F0F">
      <w:pPr>
        <w:spacing w:after="0"/>
        <w:ind w:left="720" w:hanging="720"/>
      </w:pPr>
      <w:r w:rsidRPr="006641CA">
        <w:t>Lindsey, B. J., Fabiano, P., &amp; Stark, C. (2009). The prevalence and correlates of depression among college students. </w:t>
      </w:r>
      <w:r w:rsidRPr="006641CA">
        <w:rPr>
          <w:i/>
          <w:iCs/>
        </w:rPr>
        <w:t>College Student Journal</w:t>
      </w:r>
      <w:r w:rsidRPr="006641CA">
        <w:t>, </w:t>
      </w:r>
      <w:r w:rsidRPr="006641CA">
        <w:rPr>
          <w:i/>
          <w:iCs/>
        </w:rPr>
        <w:t>43</w:t>
      </w:r>
      <w:r w:rsidRPr="006641CA">
        <w:t>, 999.</w:t>
      </w:r>
    </w:p>
    <w:p w14:paraId="4EFE7F63" w14:textId="77777777" w:rsidR="006641CA" w:rsidRPr="006641CA" w:rsidRDefault="006641CA" w:rsidP="00CF5F0F">
      <w:pPr>
        <w:spacing w:after="0"/>
        <w:ind w:left="720" w:hanging="720"/>
      </w:pPr>
      <w:r w:rsidRPr="006641CA">
        <w:t>Lopez, M. H., &amp; Gonzalez-Barrera, A. (2014). </w:t>
      </w:r>
      <w:r w:rsidRPr="006641CA">
        <w:rPr>
          <w:i/>
          <w:iCs/>
        </w:rPr>
        <w:t>Women’s college enrollment gains leave men behind</w:t>
      </w:r>
      <w:r w:rsidRPr="006641CA">
        <w:t>. Washington, DC: Pew Research Center.</w:t>
      </w:r>
    </w:p>
    <w:p w14:paraId="1469E790" w14:textId="77777777" w:rsidR="006641CA" w:rsidRPr="006641CA" w:rsidRDefault="006641CA" w:rsidP="00CF5F0F">
      <w:pPr>
        <w:spacing w:after="0"/>
        <w:ind w:left="720" w:hanging="720"/>
      </w:pPr>
      <w:r w:rsidRPr="006641CA">
        <w:t>Mercer, S. H., Zeigler-Hill, V., Wallace, M., &amp; Hayes, D. M. (2011). Developmental and initial validation of the Inventory of Microaggressions Against Black Individuals. </w:t>
      </w:r>
      <w:r w:rsidRPr="006641CA">
        <w:rPr>
          <w:i/>
          <w:iCs/>
        </w:rPr>
        <w:t>Journal of Counseling Psychology</w:t>
      </w:r>
      <w:r w:rsidRPr="006641CA">
        <w:t>, </w:t>
      </w:r>
      <w:r w:rsidRPr="006641CA">
        <w:rPr>
          <w:i/>
          <w:iCs/>
        </w:rPr>
        <w:t>58</w:t>
      </w:r>
      <w:r w:rsidRPr="006641CA">
        <w:t>, 457–469. 10.1037/a0024937</w:t>
      </w:r>
    </w:p>
    <w:p w14:paraId="3DE536AF" w14:textId="77777777" w:rsidR="006641CA" w:rsidRPr="006641CA" w:rsidRDefault="006641CA" w:rsidP="00CF5F0F">
      <w:pPr>
        <w:spacing w:after="0"/>
        <w:ind w:left="720" w:hanging="720"/>
      </w:pPr>
      <w:proofErr w:type="spellStart"/>
      <w:r w:rsidRPr="006641CA">
        <w:t>Minikel-Lacocque</w:t>
      </w:r>
      <w:proofErr w:type="spellEnd"/>
      <w:r w:rsidRPr="006641CA">
        <w:t>, J. (2013). Racism, college, and the power of words: Racial microaggression reconsidered. </w:t>
      </w:r>
      <w:r w:rsidRPr="006641CA">
        <w:rPr>
          <w:i/>
          <w:iCs/>
        </w:rPr>
        <w:t>American Educational Research Journal</w:t>
      </w:r>
      <w:r w:rsidRPr="006641CA">
        <w:t>, </w:t>
      </w:r>
      <w:r w:rsidRPr="006641CA">
        <w:rPr>
          <w:i/>
          <w:iCs/>
        </w:rPr>
        <w:t>50</w:t>
      </w:r>
      <w:r w:rsidRPr="006641CA">
        <w:t>, 432–465. 10.3102/0002831212468048</w:t>
      </w:r>
    </w:p>
    <w:p w14:paraId="1D6FBA55" w14:textId="77777777" w:rsidR="006641CA" w:rsidRPr="006641CA" w:rsidRDefault="006641CA" w:rsidP="00CF5F0F">
      <w:pPr>
        <w:spacing w:after="0"/>
        <w:ind w:left="720" w:hanging="720"/>
      </w:pPr>
      <w:r w:rsidRPr="006641CA">
        <w:t xml:space="preserve">Miranda, R., </w:t>
      </w:r>
      <w:proofErr w:type="spellStart"/>
      <w:r w:rsidRPr="006641CA">
        <w:t>Soffer</w:t>
      </w:r>
      <w:proofErr w:type="spellEnd"/>
      <w:r w:rsidRPr="006641CA">
        <w:t>, A., Polanco-Roman, L., Wheeler, A., &amp; Moore, A. (2015). Mental health treatment barriers among racial/ethnic minority versus white young adults 6 months after intake at a college counseling center. </w:t>
      </w:r>
      <w:r w:rsidRPr="006641CA">
        <w:rPr>
          <w:i/>
          <w:iCs/>
        </w:rPr>
        <w:t>Journal of American College Health</w:t>
      </w:r>
      <w:r w:rsidRPr="006641CA">
        <w:t>, </w:t>
      </w:r>
      <w:r w:rsidRPr="006641CA">
        <w:rPr>
          <w:i/>
          <w:iCs/>
        </w:rPr>
        <w:t>63</w:t>
      </w:r>
      <w:r w:rsidRPr="006641CA">
        <w:t>, 291–298. 10.1080/07448481.2015.1015024</w:t>
      </w:r>
    </w:p>
    <w:p w14:paraId="624C11CA" w14:textId="77777777" w:rsidR="006641CA" w:rsidRPr="006641CA" w:rsidRDefault="006641CA" w:rsidP="00CF5F0F">
      <w:pPr>
        <w:spacing w:after="0"/>
        <w:ind w:left="720" w:hanging="720"/>
      </w:pPr>
      <w:r w:rsidRPr="006641CA">
        <w:t xml:space="preserve">Molina, K. M., </w:t>
      </w:r>
      <w:proofErr w:type="spellStart"/>
      <w:r w:rsidRPr="006641CA">
        <w:t>Alegría</w:t>
      </w:r>
      <w:proofErr w:type="spellEnd"/>
      <w:r w:rsidRPr="006641CA">
        <w:t>, M., &amp; Mahalingam, R. (2013). A multiple-group path analysis of the role of everyday discrimination on self-rated physical health among Latina/</w:t>
      </w:r>
      <w:proofErr w:type="spellStart"/>
      <w:r w:rsidRPr="006641CA">
        <w:t>os</w:t>
      </w:r>
      <w:proofErr w:type="spellEnd"/>
      <w:r w:rsidRPr="006641CA">
        <w:t xml:space="preserve"> in the USA. </w:t>
      </w:r>
      <w:r w:rsidRPr="006641CA">
        <w:rPr>
          <w:i/>
          <w:iCs/>
        </w:rPr>
        <w:t>Annals of Behavioral Medicine</w:t>
      </w:r>
      <w:r w:rsidRPr="006641CA">
        <w:t>, </w:t>
      </w:r>
      <w:r w:rsidRPr="006641CA">
        <w:rPr>
          <w:i/>
          <w:iCs/>
        </w:rPr>
        <w:t>45</w:t>
      </w:r>
      <w:r w:rsidRPr="006641CA">
        <w:t>, 33–44. 10.1007/s12160-012-9421-2</w:t>
      </w:r>
    </w:p>
    <w:p w14:paraId="1B535418" w14:textId="77777777" w:rsidR="006641CA" w:rsidRPr="006641CA" w:rsidRDefault="006641CA" w:rsidP="00CF5F0F">
      <w:pPr>
        <w:spacing w:after="0"/>
        <w:ind w:left="720" w:hanging="720"/>
      </w:pPr>
      <w:r w:rsidRPr="006641CA">
        <w:t xml:space="preserve">Moore, S. S., Hope, E. C., </w:t>
      </w:r>
      <w:proofErr w:type="spellStart"/>
      <w:r w:rsidRPr="006641CA">
        <w:t>Eisman</w:t>
      </w:r>
      <w:proofErr w:type="spellEnd"/>
      <w:r w:rsidRPr="006641CA">
        <w:t>, A. B., &amp; Zimmerman, M. A. (2016). Predictors of civic engagement among highly involved young adults: Exploring the relationship between agency and systems worldview. </w:t>
      </w:r>
      <w:r w:rsidRPr="006641CA">
        <w:rPr>
          <w:i/>
          <w:iCs/>
        </w:rPr>
        <w:t>Journal of Community Psychology</w:t>
      </w:r>
      <w:r w:rsidRPr="006641CA">
        <w:t>, </w:t>
      </w:r>
      <w:r w:rsidRPr="006641CA">
        <w:rPr>
          <w:i/>
          <w:iCs/>
        </w:rPr>
        <w:t>44</w:t>
      </w:r>
      <w:r w:rsidRPr="006641CA">
        <w:t>, 888–903. 10.1002/jcop.21815</w:t>
      </w:r>
    </w:p>
    <w:p w14:paraId="66CDCACC" w14:textId="77777777" w:rsidR="006641CA" w:rsidRPr="006641CA" w:rsidRDefault="006641CA" w:rsidP="00CF5F0F">
      <w:pPr>
        <w:spacing w:after="0"/>
        <w:ind w:left="720" w:hanging="720"/>
      </w:pPr>
      <w:r w:rsidRPr="006641CA">
        <w:t xml:space="preserve">Mowbray, C. T., </w:t>
      </w:r>
      <w:proofErr w:type="spellStart"/>
      <w:r w:rsidRPr="006641CA">
        <w:t>Megivern</w:t>
      </w:r>
      <w:proofErr w:type="spellEnd"/>
      <w:r w:rsidRPr="006641CA">
        <w:t xml:space="preserve">, D., </w:t>
      </w:r>
      <w:proofErr w:type="spellStart"/>
      <w:r w:rsidRPr="006641CA">
        <w:t>Mandiberg</w:t>
      </w:r>
      <w:proofErr w:type="spellEnd"/>
      <w:r w:rsidRPr="006641CA">
        <w:t>, J. M., Strauss, S., Stein, C. H., Collins, K., . . .Lett, R. (2006). Campus mental health services: Recommendations for change. </w:t>
      </w:r>
      <w:r w:rsidRPr="006641CA">
        <w:rPr>
          <w:i/>
          <w:iCs/>
        </w:rPr>
        <w:t>American Journal of Orthopsychiatry</w:t>
      </w:r>
      <w:r w:rsidRPr="006641CA">
        <w:t>, </w:t>
      </w:r>
      <w:r w:rsidRPr="006641CA">
        <w:rPr>
          <w:i/>
          <w:iCs/>
        </w:rPr>
        <w:t>76</w:t>
      </w:r>
      <w:r w:rsidRPr="006641CA">
        <w:t>, 226–237. 10.1037/0002-9432.76.2.226</w:t>
      </w:r>
    </w:p>
    <w:p w14:paraId="7FE9E925" w14:textId="77777777" w:rsidR="006641CA" w:rsidRPr="006641CA" w:rsidRDefault="006641CA" w:rsidP="00CF5F0F">
      <w:pPr>
        <w:spacing w:after="0"/>
        <w:ind w:left="720" w:hanging="720"/>
      </w:pPr>
      <w:r w:rsidRPr="006641CA">
        <w:t xml:space="preserve">Nadal, K. L., Wong, Y., Griffin, K. E., Davidoff, K., &amp; </w:t>
      </w:r>
      <w:proofErr w:type="spellStart"/>
      <w:r w:rsidRPr="006641CA">
        <w:t>Sriken</w:t>
      </w:r>
      <w:proofErr w:type="spellEnd"/>
      <w:r w:rsidRPr="006641CA">
        <w:t>, J. (2014). The adverse impact of racial microaggressions on college students’ self-esteem. </w:t>
      </w:r>
      <w:r w:rsidRPr="006641CA">
        <w:rPr>
          <w:i/>
          <w:iCs/>
        </w:rPr>
        <w:t>Journal of College Student Development</w:t>
      </w:r>
      <w:r w:rsidRPr="006641CA">
        <w:t>, </w:t>
      </w:r>
      <w:r w:rsidRPr="006641CA">
        <w:rPr>
          <w:i/>
          <w:iCs/>
        </w:rPr>
        <w:t>55</w:t>
      </w:r>
      <w:r w:rsidRPr="006641CA">
        <w:t>, 461–474. 10.1353/csd.2014.0051</w:t>
      </w:r>
    </w:p>
    <w:p w14:paraId="4BA22601" w14:textId="77777777" w:rsidR="006641CA" w:rsidRPr="006641CA" w:rsidRDefault="006641CA" w:rsidP="00CF5F0F">
      <w:pPr>
        <w:spacing w:after="0"/>
        <w:ind w:left="720" w:hanging="720"/>
      </w:pPr>
      <w:r w:rsidRPr="006641CA">
        <w:t xml:space="preserve">Nadeem, E., Lange, J. M., Edge, D., </w:t>
      </w:r>
      <w:proofErr w:type="spellStart"/>
      <w:r w:rsidRPr="006641CA">
        <w:t>Fongwa</w:t>
      </w:r>
      <w:proofErr w:type="spellEnd"/>
      <w:r w:rsidRPr="006641CA">
        <w:t xml:space="preserve">, M., Belin, T., &amp; Miranda, J. (2007). Does stigma keep poor young immigrant and U. S.-born Black and Latina women from seeking mental health </w:t>
      </w:r>
      <w:proofErr w:type="spellStart"/>
      <w:proofErr w:type="gramStart"/>
      <w:r w:rsidRPr="006641CA">
        <w:t>care?</w:t>
      </w:r>
      <w:r w:rsidRPr="006641CA">
        <w:rPr>
          <w:i/>
          <w:iCs/>
        </w:rPr>
        <w:t>Psychiatric</w:t>
      </w:r>
      <w:proofErr w:type="spellEnd"/>
      <w:proofErr w:type="gramEnd"/>
      <w:r w:rsidRPr="006641CA">
        <w:rPr>
          <w:i/>
          <w:iCs/>
        </w:rPr>
        <w:t xml:space="preserve"> Services</w:t>
      </w:r>
      <w:r w:rsidRPr="006641CA">
        <w:t>, </w:t>
      </w:r>
      <w:r w:rsidRPr="006641CA">
        <w:rPr>
          <w:i/>
          <w:iCs/>
        </w:rPr>
        <w:t>58</w:t>
      </w:r>
      <w:r w:rsidRPr="006641CA">
        <w:t>, 1547–1554. 10.1176/ps.2007.58.12.1547</w:t>
      </w:r>
    </w:p>
    <w:p w14:paraId="2698CE0E" w14:textId="1F4B02E2" w:rsidR="006641CA" w:rsidRPr="006641CA" w:rsidRDefault="006641CA" w:rsidP="00CF5F0F">
      <w:pPr>
        <w:spacing w:after="0"/>
        <w:ind w:left="720" w:hanging="720"/>
      </w:pPr>
      <w:r w:rsidRPr="006641CA">
        <w:t>National Center for Education Statistics. (2016). </w:t>
      </w:r>
      <w:r w:rsidRPr="006641CA">
        <w:rPr>
          <w:i/>
          <w:iCs/>
        </w:rPr>
        <w:t>In college navigator</w:t>
      </w:r>
      <w:r w:rsidRPr="006641CA">
        <w:t>. Retrieved from </w:t>
      </w:r>
      <w:r w:rsidRPr="00CF5F0F">
        <w:t>http://nces.ed.gov/collegenavigator/</w:t>
      </w:r>
    </w:p>
    <w:p w14:paraId="4F25B2D2" w14:textId="77777777" w:rsidR="006641CA" w:rsidRPr="006641CA" w:rsidRDefault="006641CA" w:rsidP="00CF5F0F">
      <w:pPr>
        <w:spacing w:after="0"/>
        <w:ind w:left="720" w:hanging="720"/>
      </w:pPr>
      <w:r w:rsidRPr="006641CA">
        <w:t xml:space="preserve">Neville, H. A., Heppner, P. P., Ji, P., &amp; </w:t>
      </w:r>
      <w:proofErr w:type="spellStart"/>
      <w:r w:rsidRPr="006641CA">
        <w:t>Thye</w:t>
      </w:r>
      <w:proofErr w:type="spellEnd"/>
      <w:r w:rsidRPr="006641CA">
        <w:t>, R. (2004). The relations among general and race-related stressors and psychoeducational adjustment in Black students attending predominantly white institutions. </w:t>
      </w:r>
      <w:r w:rsidRPr="006641CA">
        <w:rPr>
          <w:i/>
          <w:iCs/>
        </w:rPr>
        <w:t>Journal of Black Studies</w:t>
      </w:r>
      <w:r w:rsidRPr="006641CA">
        <w:t>, </w:t>
      </w:r>
      <w:r w:rsidRPr="006641CA">
        <w:rPr>
          <w:i/>
          <w:iCs/>
        </w:rPr>
        <w:t>34</w:t>
      </w:r>
      <w:r w:rsidRPr="006641CA">
        <w:t>, 599–618. 10.1177/0021934703259168</w:t>
      </w:r>
    </w:p>
    <w:p w14:paraId="744A03EB" w14:textId="77777777" w:rsidR="006641CA" w:rsidRPr="006641CA" w:rsidRDefault="006641CA" w:rsidP="00CF5F0F">
      <w:pPr>
        <w:spacing w:after="0"/>
        <w:ind w:left="720" w:hanging="720"/>
      </w:pPr>
      <w:r w:rsidRPr="006641CA">
        <w:t xml:space="preserve">Noh, S., </w:t>
      </w:r>
      <w:proofErr w:type="spellStart"/>
      <w:r w:rsidRPr="006641CA">
        <w:t>Kaspar</w:t>
      </w:r>
      <w:proofErr w:type="spellEnd"/>
      <w:r w:rsidRPr="006641CA">
        <w:t xml:space="preserve">, V., &amp; </w:t>
      </w:r>
      <w:proofErr w:type="spellStart"/>
      <w:r w:rsidRPr="006641CA">
        <w:t>Wickrama</w:t>
      </w:r>
      <w:proofErr w:type="spellEnd"/>
      <w:r w:rsidRPr="006641CA">
        <w:t>, K. A. S. (2007). Overt and subtle racial discrimination and mental health: Preliminary findings for Korean immigrants. </w:t>
      </w:r>
      <w:r w:rsidRPr="006641CA">
        <w:rPr>
          <w:i/>
          <w:iCs/>
        </w:rPr>
        <w:t>American Journal of Public Health</w:t>
      </w:r>
      <w:r w:rsidRPr="006641CA">
        <w:t>, </w:t>
      </w:r>
      <w:r w:rsidRPr="006641CA">
        <w:rPr>
          <w:i/>
          <w:iCs/>
        </w:rPr>
        <w:t>97</w:t>
      </w:r>
      <w:r w:rsidRPr="006641CA">
        <w:t>, 1269–1274. 10.2105/AJPH.2005.085316</w:t>
      </w:r>
    </w:p>
    <w:p w14:paraId="56854236" w14:textId="77777777" w:rsidR="006641CA" w:rsidRPr="006641CA" w:rsidRDefault="006641CA" w:rsidP="00CF5F0F">
      <w:pPr>
        <w:spacing w:after="0"/>
        <w:ind w:left="720" w:hanging="720"/>
      </w:pPr>
      <w:r w:rsidRPr="006641CA">
        <w:t>O’Keefe, V. M., Wingate, L. R., Cole, A. B., Hollingsworth, D. W., &amp; Tucker, R. P. (2015). Seemingly harmless racial communications are not so harmless: Racial microaggressions lead to suicidal ideation by way of depression symptoms. </w:t>
      </w:r>
      <w:r w:rsidRPr="006641CA">
        <w:rPr>
          <w:i/>
          <w:iCs/>
        </w:rPr>
        <w:t>Suicide and Life-Threatening Behavior</w:t>
      </w:r>
      <w:r w:rsidRPr="006641CA">
        <w:t>, </w:t>
      </w:r>
      <w:r w:rsidRPr="006641CA">
        <w:rPr>
          <w:i/>
          <w:iCs/>
        </w:rPr>
        <w:t>45</w:t>
      </w:r>
      <w:r w:rsidRPr="006641CA">
        <w:t>, 567–576. 10.1111/sltb.12150</w:t>
      </w:r>
    </w:p>
    <w:p w14:paraId="5149E490" w14:textId="77777777" w:rsidR="006641CA" w:rsidRPr="006641CA" w:rsidRDefault="006641CA" w:rsidP="00CF5F0F">
      <w:pPr>
        <w:spacing w:after="0"/>
        <w:ind w:left="720" w:hanging="720"/>
      </w:pPr>
      <w:r w:rsidRPr="006641CA">
        <w:t xml:space="preserve">Pacheco, J. S., &amp; </w:t>
      </w:r>
      <w:proofErr w:type="spellStart"/>
      <w:r w:rsidRPr="006641CA">
        <w:t>Plutzer</w:t>
      </w:r>
      <w:proofErr w:type="spellEnd"/>
      <w:r w:rsidRPr="006641CA">
        <w:t>, E. (2008). Political participation and cumulative disadvantage: The impact of economic and social hardship on young citizens. </w:t>
      </w:r>
      <w:r w:rsidRPr="006641CA">
        <w:rPr>
          <w:i/>
          <w:iCs/>
        </w:rPr>
        <w:t>Journal of Social Issues</w:t>
      </w:r>
      <w:r w:rsidRPr="006641CA">
        <w:t>, </w:t>
      </w:r>
      <w:r w:rsidRPr="006641CA">
        <w:rPr>
          <w:i/>
          <w:iCs/>
        </w:rPr>
        <w:t>64</w:t>
      </w:r>
      <w:r w:rsidRPr="006641CA">
        <w:t>, 571–593. 10.1111/j.1540-4560.</w:t>
      </w:r>
      <w:proofErr w:type="gramStart"/>
      <w:r w:rsidRPr="006641CA">
        <w:t>2008.00578.x</w:t>
      </w:r>
      <w:proofErr w:type="gramEnd"/>
    </w:p>
    <w:p w14:paraId="1AD24514" w14:textId="77777777" w:rsidR="006641CA" w:rsidRPr="006641CA" w:rsidRDefault="006641CA" w:rsidP="00CF5F0F">
      <w:pPr>
        <w:spacing w:after="0"/>
        <w:ind w:left="720" w:hanging="720"/>
      </w:pPr>
      <w:proofErr w:type="spellStart"/>
      <w:r w:rsidRPr="006641CA">
        <w:t>Pancer</w:t>
      </w:r>
      <w:proofErr w:type="spellEnd"/>
      <w:r w:rsidRPr="006641CA">
        <w:t>, S. M. (2014). </w:t>
      </w:r>
      <w:r w:rsidRPr="006641CA">
        <w:rPr>
          <w:i/>
          <w:iCs/>
        </w:rPr>
        <w:t>The psychology of citizenship and civic engagement</w:t>
      </w:r>
      <w:r w:rsidRPr="006641CA">
        <w:t>. New York, NY: Oxford University Press.</w:t>
      </w:r>
    </w:p>
    <w:p w14:paraId="0FB0BECD" w14:textId="77777777" w:rsidR="006641CA" w:rsidRPr="006641CA" w:rsidRDefault="006641CA" w:rsidP="00CF5F0F">
      <w:pPr>
        <w:spacing w:after="0"/>
        <w:ind w:left="720" w:hanging="720"/>
      </w:pPr>
      <w:proofErr w:type="spellStart"/>
      <w:r w:rsidRPr="006641CA">
        <w:t>Pancer</w:t>
      </w:r>
      <w:proofErr w:type="spellEnd"/>
      <w:r w:rsidRPr="006641CA">
        <w:t xml:space="preserve">, S. M., Pratt, M., Hunsberger, B., &amp; </w:t>
      </w:r>
      <w:proofErr w:type="spellStart"/>
      <w:r w:rsidRPr="006641CA">
        <w:t>Alisat</w:t>
      </w:r>
      <w:proofErr w:type="spellEnd"/>
      <w:r w:rsidRPr="006641CA">
        <w:t xml:space="preserve">, S. (2007). Community and political involvement in adolescence: What distinguishes the activists from the </w:t>
      </w:r>
      <w:proofErr w:type="spellStart"/>
      <w:proofErr w:type="gramStart"/>
      <w:r w:rsidRPr="006641CA">
        <w:t>uninvolved?</w:t>
      </w:r>
      <w:r w:rsidRPr="006641CA">
        <w:rPr>
          <w:i/>
          <w:iCs/>
        </w:rPr>
        <w:t>Journal</w:t>
      </w:r>
      <w:proofErr w:type="spellEnd"/>
      <w:proofErr w:type="gramEnd"/>
      <w:r w:rsidRPr="006641CA">
        <w:rPr>
          <w:i/>
          <w:iCs/>
        </w:rPr>
        <w:t xml:space="preserve"> of Community Psychology</w:t>
      </w:r>
      <w:r w:rsidRPr="006641CA">
        <w:t>, </w:t>
      </w:r>
      <w:r w:rsidRPr="006641CA">
        <w:rPr>
          <w:i/>
          <w:iCs/>
        </w:rPr>
        <w:t>35</w:t>
      </w:r>
      <w:r w:rsidRPr="006641CA">
        <w:t>, 741–759. 10.1002/jcop.20176</w:t>
      </w:r>
    </w:p>
    <w:p w14:paraId="0A946A3C" w14:textId="77777777" w:rsidR="006641CA" w:rsidRPr="006641CA" w:rsidRDefault="006641CA" w:rsidP="00CF5F0F">
      <w:pPr>
        <w:spacing w:after="0"/>
        <w:ind w:left="720" w:hanging="720"/>
      </w:pPr>
      <w:proofErr w:type="spellStart"/>
      <w:r w:rsidRPr="006641CA">
        <w:t>Prelow</w:t>
      </w:r>
      <w:proofErr w:type="spellEnd"/>
      <w:r w:rsidRPr="006641CA">
        <w:t>, H. M., Mosher, C. E., &amp; Bowman, M. A. (2006). Perceived racial discrimination, social support, and psychological adjustment among African American college students. </w:t>
      </w:r>
      <w:r w:rsidRPr="006641CA">
        <w:rPr>
          <w:i/>
          <w:iCs/>
        </w:rPr>
        <w:t>Journal of Black Psychology</w:t>
      </w:r>
      <w:r w:rsidRPr="006641CA">
        <w:t>, </w:t>
      </w:r>
      <w:r w:rsidRPr="006641CA">
        <w:rPr>
          <w:i/>
          <w:iCs/>
        </w:rPr>
        <w:t>32</w:t>
      </w:r>
      <w:r w:rsidRPr="006641CA">
        <w:t>, 442–454. 10.1177/0095798406292677</w:t>
      </w:r>
    </w:p>
    <w:p w14:paraId="7ABC3644" w14:textId="77777777" w:rsidR="006641CA" w:rsidRPr="006641CA" w:rsidRDefault="006641CA" w:rsidP="00CF5F0F">
      <w:pPr>
        <w:spacing w:after="0"/>
        <w:ind w:left="720" w:hanging="720"/>
      </w:pPr>
      <w:r w:rsidRPr="006641CA">
        <w:t>Pritchard, M. E., &amp; Wilson, G. S. (2003). Using emotional and social factors to predict student success. </w:t>
      </w:r>
      <w:r w:rsidRPr="006641CA">
        <w:rPr>
          <w:i/>
          <w:iCs/>
        </w:rPr>
        <w:t>Journal of College Student Development</w:t>
      </w:r>
      <w:r w:rsidRPr="006641CA">
        <w:t>, </w:t>
      </w:r>
      <w:r w:rsidRPr="006641CA">
        <w:rPr>
          <w:i/>
          <w:iCs/>
        </w:rPr>
        <w:t>44</w:t>
      </w:r>
      <w:r w:rsidRPr="006641CA">
        <w:t>, 18–28. 10.1353/csd.2003.0008</w:t>
      </w:r>
    </w:p>
    <w:p w14:paraId="217AD0EE" w14:textId="585F99E6" w:rsidR="006641CA" w:rsidRPr="006641CA" w:rsidRDefault="006641CA" w:rsidP="00CF5F0F">
      <w:pPr>
        <w:spacing w:after="0"/>
        <w:ind w:left="720" w:hanging="720"/>
      </w:pPr>
      <w:r w:rsidRPr="006641CA">
        <w:t>Rogowski, J. C., &amp; Cohen, C. J. (2012, November9). </w:t>
      </w:r>
      <w:r w:rsidRPr="006641CA">
        <w:rPr>
          <w:i/>
          <w:iCs/>
        </w:rPr>
        <w:t>The political impact of young people of color in the 2012 election</w:t>
      </w:r>
      <w:r w:rsidRPr="006641CA">
        <w:t>. Retrieved from </w:t>
      </w:r>
      <w:r w:rsidRPr="00CF5F0F">
        <w:t>http://research.blackyouthproject.com/files/2012/11/PolitImpactofYouthofColor.pdf</w:t>
      </w:r>
    </w:p>
    <w:p w14:paraId="7FAE089C" w14:textId="77777777" w:rsidR="006641CA" w:rsidRPr="006641CA" w:rsidRDefault="006641CA" w:rsidP="00CF5F0F">
      <w:pPr>
        <w:spacing w:after="0"/>
        <w:ind w:left="720" w:hanging="720"/>
      </w:pPr>
      <w:r w:rsidRPr="006641CA">
        <w:t>Smith, W. A., Allen, W. R., &amp; Danley, L. L. (2007). “Assume the position . . . you fit the description” Psychosocial experiences and racial battle fatigue among African American male college students. </w:t>
      </w:r>
      <w:r w:rsidRPr="006641CA">
        <w:rPr>
          <w:i/>
          <w:iCs/>
        </w:rPr>
        <w:t>American Behavioral Scientist</w:t>
      </w:r>
      <w:r w:rsidRPr="006641CA">
        <w:t>, </w:t>
      </w:r>
      <w:r w:rsidRPr="006641CA">
        <w:rPr>
          <w:i/>
          <w:iCs/>
        </w:rPr>
        <w:t>51</w:t>
      </w:r>
      <w:r w:rsidRPr="006641CA">
        <w:t>, 551–578. 10.1177/0002764207307742</w:t>
      </w:r>
    </w:p>
    <w:p w14:paraId="528D33D2" w14:textId="77777777" w:rsidR="006641CA" w:rsidRPr="006641CA" w:rsidRDefault="006641CA" w:rsidP="00CF5F0F">
      <w:pPr>
        <w:spacing w:after="0"/>
        <w:ind w:left="720" w:hanging="720"/>
      </w:pPr>
      <w:r w:rsidRPr="006641CA">
        <w:t xml:space="preserve">Snyder, T. D., &amp; </w:t>
      </w:r>
      <w:proofErr w:type="spellStart"/>
      <w:r w:rsidRPr="006641CA">
        <w:t>Dillow</w:t>
      </w:r>
      <w:proofErr w:type="spellEnd"/>
      <w:r w:rsidRPr="006641CA">
        <w:t>, S. A. (2015). </w:t>
      </w:r>
      <w:r w:rsidRPr="006641CA">
        <w:rPr>
          <w:i/>
          <w:iCs/>
        </w:rPr>
        <w:t>Digest of education statistics 2013</w:t>
      </w:r>
      <w:r w:rsidRPr="006641CA">
        <w:t> (NCES 2015–011). Washington, DC: National Center for Education Statistics, Institute of Education Sciences, U.S. Department of Education.</w:t>
      </w:r>
    </w:p>
    <w:p w14:paraId="0E09CF8A" w14:textId="77777777" w:rsidR="006641CA" w:rsidRPr="006641CA" w:rsidRDefault="006641CA" w:rsidP="00CF5F0F">
      <w:pPr>
        <w:spacing w:after="0"/>
        <w:ind w:left="720" w:hanging="720"/>
      </w:pPr>
      <w:r w:rsidRPr="006641CA">
        <w:t xml:space="preserve">Solórzano, D., Ceja, M., &amp; </w:t>
      </w:r>
      <w:proofErr w:type="spellStart"/>
      <w:r w:rsidRPr="006641CA">
        <w:t>Yosso</w:t>
      </w:r>
      <w:proofErr w:type="spellEnd"/>
      <w:r w:rsidRPr="006641CA">
        <w:t>, T. (2000). Critical race theory, racial microaggressions, and campus racial climate: The experiences of African American college students. </w:t>
      </w:r>
      <w:r w:rsidRPr="006641CA">
        <w:rPr>
          <w:i/>
          <w:iCs/>
        </w:rPr>
        <w:t>Journal of Negro Education</w:t>
      </w:r>
      <w:r w:rsidRPr="006641CA">
        <w:t>, </w:t>
      </w:r>
      <w:r w:rsidRPr="006641CA">
        <w:rPr>
          <w:i/>
          <w:iCs/>
        </w:rPr>
        <w:t>69</w:t>
      </w:r>
      <w:r w:rsidRPr="006641CA">
        <w:t>, 60–73.</w:t>
      </w:r>
    </w:p>
    <w:p w14:paraId="296BA937" w14:textId="77777777" w:rsidR="006641CA" w:rsidRPr="006641CA" w:rsidRDefault="006641CA" w:rsidP="00CF5F0F">
      <w:pPr>
        <w:spacing w:after="0"/>
        <w:ind w:left="720" w:hanging="720"/>
      </w:pPr>
      <w:r w:rsidRPr="006641CA">
        <w:t xml:space="preserve">Spencer, M. B. (2006). Phenomenology and ecological systems theory: Development of diverse groups. In R. </w:t>
      </w:r>
      <w:proofErr w:type="spellStart"/>
      <w:proofErr w:type="gramStart"/>
      <w:r w:rsidRPr="006641CA">
        <w:t>M.Lerner</w:t>
      </w:r>
      <w:proofErr w:type="spellEnd"/>
      <w:proofErr w:type="gramEnd"/>
      <w:r w:rsidRPr="006641CA">
        <w:t xml:space="preserve"> &amp; </w:t>
      </w:r>
      <w:proofErr w:type="spellStart"/>
      <w:r w:rsidRPr="006641CA">
        <w:t>W.Damon</w:t>
      </w:r>
      <w:proofErr w:type="spellEnd"/>
      <w:r w:rsidRPr="006641CA">
        <w:t xml:space="preserve"> (Ed.), Handbook of child psychology. Vol. </w:t>
      </w:r>
      <w:r w:rsidRPr="006641CA">
        <w:rPr>
          <w:i/>
          <w:iCs/>
        </w:rPr>
        <w:t>1</w:t>
      </w:r>
      <w:r w:rsidRPr="006641CA">
        <w:t>: </w:t>
      </w:r>
      <w:r w:rsidRPr="006641CA">
        <w:rPr>
          <w:i/>
          <w:iCs/>
        </w:rPr>
        <w:t>Theoretical models of human development</w:t>
      </w:r>
      <w:r w:rsidRPr="006641CA">
        <w:t> (6th ed., pp. 829–893). Hoboken, NJ: Wiley &amp; Sons.</w:t>
      </w:r>
    </w:p>
    <w:p w14:paraId="224772C8" w14:textId="77777777" w:rsidR="006641CA" w:rsidRPr="006641CA" w:rsidRDefault="006641CA" w:rsidP="00CF5F0F">
      <w:pPr>
        <w:spacing w:after="0"/>
        <w:ind w:left="720" w:hanging="720"/>
      </w:pPr>
      <w:r w:rsidRPr="006641CA">
        <w:t>Strayhorn, T. L. (2010). When race and gender collide: Social and cultural capital’s influence on the academic achievement of African American and Latino males. </w:t>
      </w:r>
      <w:r w:rsidRPr="006641CA">
        <w:rPr>
          <w:i/>
          <w:iCs/>
        </w:rPr>
        <w:t>Review of Higher Education</w:t>
      </w:r>
      <w:r w:rsidRPr="006641CA">
        <w:t>, </w:t>
      </w:r>
      <w:r w:rsidRPr="006641CA">
        <w:rPr>
          <w:i/>
          <w:iCs/>
        </w:rPr>
        <w:t>33</w:t>
      </w:r>
      <w:r w:rsidRPr="006641CA">
        <w:t>, 307–332. 10.1353/rhe.0.0147</w:t>
      </w:r>
    </w:p>
    <w:p w14:paraId="2A0B274B" w14:textId="77777777" w:rsidR="006641CA" w:rsidRPr="006641CA" w:rsidRDefault="006641CA" w:rsidP="00CF5F0F">
      <w:pPr>
        <w:spacing w:after="0"/>
        <w:ind w:left="720" w:hanging="720"/>
      </w:pPr>
      <w:r w:rsidRPr="006641CA">
        <w:t xml:space="preserve">Sue, D. W., </w:t>
      </w:r>
      <w:proofErr w:type="spellStart"/>
      <w:r w:rsidRPr="006641CA">
        <w:t>Capodilupo</w:t>
      </w:r>
      <w:proofErr w:type="spellEnd"/>
      <w:r w:rsidRPr="006641CA">
        <w:t xml:space="preserve">, C. M., Torino, G. C., </w:t>
      </w:r>
      <w:proofErr w:type="spellStart"/>
      <w:r w:rsidRPr="006641CA">
        <w:t>Bucceri</w:t>
      </w:r>
      <w:proofErr w:type="spellEnd"/>
      <w:r w:rsidRPr="006641CA">
        <w:t xml:space="preserve">, J. M., Holder, A. M., Nadal, K. L., &amp; </w:t>
      </w:r>
      <w:proofErr w:type="spellStart"/>
      <w:r w:rsidRPr="006641CA">
        <w:t>Esquilin</w:t>
      </w:r>
      <w:proofErr w:type="spellEnd"/>
      <w:r w:rsidRPr="006641CA">
        <w:t>, M. (2007). Racial microaggressions in everyday life: Implications for clinical practice. </w:t>
      </w:r>
      <w:r w:rsidRPr="006641CA">
        <w:rPr>
          <w:i/>
          <w:iCs/>
        </w:rPr>
        <w:t>American Psychologist</w:t>
      </w:r>
      <w:r w:rsidRPr="006641CA">
        <w:t>, </w:t>
      </w:r>
      <w:r w:rsidRPr="006641CA">
        <w:rPr>
          <w:i/>
          <w:iCs/>
        </w:rPr>
        <w:t>62</w:t>
      </w:r>
      <w:r w:rsidRPr="006641CA">
        <w:t>, 271–286. 10.1037/0003-066X.62.4.271</w:t>
      </w:r>
    </w:p>
    <w:p w14:paraId="08EF2A69" w14:textId="77777777" w:rsidR="006641CA" w:rsidRPr="006641CA" w:rsidRDefault="006641CA" w:rsidP="00CF5F0F">
      <w:pPr>
        <w:spacing w:after="0"/>
        <w:ind w:left="720" w:hanging="720"/>
      </w:pPr>
      <w:proofErr w:type="spellStart"/>
      <w:r w:rsidRPr="006641CA">
        <w:t>Szulecka</w:t>
      </w:r>
      <w:proofErr w:type="spellEnd"/>
      <w:r w:rsidRPr="006641CA">
        <w:t xml:space="preserve">, T. K., Springett, N. R., &amp; De </w:t>
      </w:r>
      <w:proofErr w:type="spellStart"/>
      <w:r w:rsidRPr="006641CA">
        <w:t>Pauw</w:t>
      </w:r>
      <w:proofErr w:type="spellEnd"/>
      <w:r w:rsidRPr="006641CA">
        <w:t>, K. W. (1987). General health, psychiatric vulnerability and withdrawal from university in first-year undergraduates. </w:t>
      </w:r>
      <w:r w:rsidRPr="006641CA">
        <w:rPr>
          <w:i/>
          <w:iCs/>
        </w:rPr>
        <w:t>British Journal of Guidance &amp; Counselling</w:t>
      </w:r>
      <w:r w:rsidRPr="006641CA">
        <w:t>, </w:t>
      </w:r>
      <w:r w:rsidRPr="006641CA">
        <w:rPr>
          <w:i/>
          <w:iCs/>
        </w:rPr>
        <w:t>15</w:t>
      </w:r>
      <w:r w:rsidRPr="006641CA">
        <w:t>, 82–91. 10.1080/03069888708251646</w:t>
      </w:r>
    </w:p>
    <w:p w14:paraId="5A3AC088" w14:textId="77777777" w:rsidR="006641CA" w:rsidRPr="006641CA" w:rsidRDefault="006641CA" w:rsidP="00CF5F0F">
      <w:pPr>
        <w:spacing w:after="0"/>
        <w:ind w:left="720" w:hanging="720"/>
      </w:pPr>
      <w:r w:rsidRPr="006641CA">
        <w:t>Torres-Harding, S. R., Andrade, A. J., Romero Diaz, C. E. (2012). The Racial Microaggressions Scale (RMAS): A new scale to measure experiences of racial microaggressions in people of color. </w:t>
      </w:r>
      <w:r w:rsidRPr="006641CA">
        <w:rPr>
          <w:b/>
          <w:bCs/>
          <w:i/>
          <w:iCs/>
        </w:rPr>
        <w:t>Cultural Diversity and Ethnic Minority Psychology</w:t>
      </w:r>
      <w:r w:rsidRPr="006641CA">
        <w:t>, </w:t>
      </w:r>
      <w:r w:rsidRPr="006641CA">
        <w:rPr>
          <w:i/>
          <w:iCs/>
        </w:rPr>
        <w:t>18</w:t>
      </w:r>
      <w:r w:rsidRPr="006641CA">
        <w:t>, 153–164. 10.1037/a0027658</w:t>
      </w:r>
    </w:p>
    <w:p w14:paraId="1AF8F8B3" w14:textId="77777777" w:rsidR="006641CA" w:rsidRPr="006641CA" w:rsidRDefault="006641CA" w:rsidP="00CF5F0F">
      <w:pPr>
        <w:spacing w:after="0"/>
        <w:ind w:left="720" w:hanging="720"/>
      </w:pPr>
      <w:r w:rsidRPr="006641CA">
        <w:t>Torres-Harding, S., &amp; Turner, T. (2015). Assessing racial microaggression distress in a diverse sample. </w:t>
      </w:r>
      <w:r w:rsidRPr="006641CA">
        <w:rPr>
          <w:i/>
          <w:iCs/>
        </w:rPr>
        <w:t>Evaluation &amp; the Health Professions</w:t>
      </w:r>
      <w:r w:rsidRPr="006641CA">
        <w:t>, </w:t>
      </w:r>
      <w:r w:rsidRPr="006641CA">
        <w:rPr>
          <w:i/>
          <w:iCs/>
        </w:rPr>
        <w:t>38</w:t>
      </w:r>
      <w:r w:rsidRPr="006641CA">
        <w:t>, 464–490. 10.1177/0163278714550860</w:t>
      </w:r>
    </w:p>
    <w:p w14:paraId="5C69B5F4" w14:textId="77777777" w:rsidR="006641CA" w:rsidRPr="006641CA" w:rsidRDefault="006641CA" w:rsidP="00CF5F0F">
      <w:pPr>
        <w:spacing w:after="0"/>
        <w:ind w:left="720" w:hanging="720"/>
      </w:pPr>
      <w:r w:rsidRPr="006641CA">
        <w:t>Watts, R. J., Diemer, M. A., &amp; Voight, A. M. (2011). Critical consciousness: Current status and future directions. </w:t>
      </w:r>
      <w:r w:rsidRPr="006641CA">
        <w:rPr>
          <w:i/>
          <w:iCs/>
        </w:rPr>
        <w:t>New Directions for Child and Adolescent Development</w:t>
      </w:r>
      <w:r w:rsidRPr="006641CA">
        <w:t>, </w:t>
      </w:r>
      <w:r w:rsidRPr="006641CA">
        <w:rPr>
          <w:i/>
          <w:iCs/>
        </w:rPr>
        <w:t>2011</w:t>
      </w:r>
      <w:r w:rsidRPr="006641CA">
        <w:t>, 43–57. 10.1002/cd.310</w:t>
      </w:r>
    </w:p>
    <w:p w14:paraId="5E76440E" w14:textId="77777777" w:rsidR="006641CA" w:rsidRPr="006641CA" w:rsidRDefault="006641CA" w:rsidP="00CF5F0F">
      <w:pPr>
        <w:spacing w:after="0"/>
        <w:ind w:left="720" w:hanging="720"/>
      </w:pPr>
      <w:proofErr w:type="spellStart"/>
      <w:r w:rsidRPr="006641CA">
        <w:t>Yosso</w:t>
      </w:r>
      <w:proofErr w:type="spellEnd"/>
      <w:r w:rsidRPr="006641CA">
        <w:t>, T., Smith, W. A., Ceja, M., &amp; Solórzano, D. G. (2009). Critical race theory, racial microaggressions, and campus racial climate for Latina/o undergraduates. </w:t>
      </w:r>
      <w:r w:rsidRPr="006641CA">
        <w:rPr>
          <w:i/>
          <w:iCs/>
        </w:rPr>
        <w:t>Harvard Educational Review</w:t>
      </w:r>
      <w:r w:rsidRPr="006641CA">
        <w:t>, </w:t>
      </w:r>
      <w:r w:rsidRPr="006641CA">
        <w:rPr>
          <w:i/>
          <w:iCs/>
        </w:rPr>
        <w:t>79</w:t>
      </w:r>
      <w:r w:rsidRPr="006641CA">
        <w:t>, 659–691. 10.17763/haer.79.4.m6867014157m707l</w:t>
      </w:r>
    </w:p>
    <w:p w14:paraId="7A1DB4EF" w14:textId="77777777" w:rsidR="006641CA" w:rsidRPr="006641CA" w:rsidRDefault="006641CA" w:rsidP="00CF5F0F">
      <w:pPr>
        <w:spacing w:after="0"/>
        <w:ind w:left="720" w:hanging="720"/>
      </w:pPr>
      <w:r w:rsidRPr="006641CA">
        <w:t xml:space="preserve">Zimmerman, M. A., Ramírez-Valles, J., &amp; </w:t>
      </w:r>
      <w:proofErr w:type="spellStart"/>
      <w:r w:rsidRPr="006641CA">
        <w:t>Maton</w:t>
      </w:r>
      <w:proofErr w:type="spellEnd"/>
      <w:r w:rsidRPr="006641CA">
        <w:t>, K. I. (1999). Resilience among urban African American male adolescents: A study of the protective effects of sociopolitical control on their mental health. </w:t>
      </w:r>
      <w:r w:rsidRPr="006641CA">
        <w:rPr>
          <w:i/>
          <w:iCs/>
        </w:rPr>
        <w:t>American Journal of Community Psychology</w:t>
      </w:r>
      <w:r w:rsidRPr="006641CA">
        <w:t>, </w:t>
      </w:r>
      <w:r w:rsidRPr="006641CA">
        <w:rPr>
          <w:i/>
          <w:iCs/>
        </w:rPr>
        <w:t>27</w:t>
      </w:r>
      <w:r w:rsidRPr="006641CA">
        <w:t>, 733–751. 10.1023/A:1022205008237</w:t>
      </w:r>
    </w:p>
    <w:p w14:paraId="04B94A49" w14:textId="77777777" w:rsidR="001F6EC3" w:rsidRDefault="00F504C5"/>
    <w:sectPr w:rsidR="001F6EC3" w:rsidSect="00DC48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3D3C93"/>
    <w:multiLevelType w:val="multilevel"/>
    <w:tmpl w:val="4712EC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222998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h0Gtw04eoHI6/J634fB7TFuBckE2/whl3ALl38Y9XOQCruFXThjAw1B9WGG6DdiTwv8BFJBmRUnh7Xo2LSCCWg==" w:salt="c0ldEktA9chIS+ZqdFMAP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0100F"/>
    <w:rsid w:val="00012A75"/>
    <w:rsid w:val="00026DD8"/>
    <w:rsid w:val="0004017D"/>
    <w:rsid w:val="00097A93"/>
    <w:rsid w:val="00136F29"/>
    <w:rsid w:val="0014614D"/>
    <w:rsid w:val="00190D67"/>
    <w:rsid w:val="001C06B0"/>
    <w:rsid w:val="001C08E5"/>
    <w:rsid w:val="001D31AB"/>
    <w:rsid w:val="001F096A"/>
    <w:rsid w:val="001F3EE5"/>
    <w:rsid w:val="00203FA6"/>
    <w:rsid w:val="00250AC8"/>
    <w:rsid w:val="00270D39"/>
    <w:rsid w:val="00276DF8"/>
    <w:rsid w:val="002B77E0"/>
    <w:rsid w:val="002F1D6E"/>
    <w:rsid w:val="002F6DEA"/>
    <w:rsid w:val="003272DC"/>
    <w:rsid w:val="0034329B"/>
    <w:rsid w:val="003869BD"/>
    <w:rsid w:val="003A115B"/>
    <w:rsid w:val="00455C99"/>
    <w:rsid w:val="00474515"/>
    <w:rsid w:val="00480A80"/>
    <w:rsid w:val="00513C50"/>
    <w:rsid w:val="005555E7"/>
    <w:rsid w:val="00560A90"/>
    <w:rsid w:val="00573DC0"/>
    <w:rsid w:val="00581E16"/>
    <w:rsid w:val="00587067"/>
    <w:rsid w:val="005B1F82"/>
    <w:rsid w:val="005C0194"/>
    <w:rsid w:val="005D3847"/>
    <w:rsid w:val="00600E45"/>
    <w:rsid w:val="006641CA"/>
    <w:rsid w:val="006705B6"/>
    <w:rsid w:val="00690E98"/>
    <w:rsid w:val="00741B41"/>
    <w:rsid w:val="007D5DC7"/>
    <w:rsid w:val="007E016D"/>
    <w:rsid w:val="007F1107"/>
    <w:rsid w:val="007F55AA"/>
    <w:rsid w:val="008372BE"/>
    <w:rsid w:val="008638E8"/>
    <w:rsid w:val="00896591"/>
    <w:rsid w:val="008B42CF"/>
    <w:rsid w:val="008C432C"/>
    <w:rsid w:val="008E1843"/>
    <w:rsid w:val="008E740F"/>
    <w:rsid w:val="008F2011"/>
    <w:rsid w:val="009541B0"/>
    <w:rsid w:val="0096365D"/>
    <w:rsid w:val="00987091"/>
    <w:rsid w:val="009B1FDA"/>
    <w:rsid w:val="00A2406F"/>
    <w:rsid w:val="00A369C3"/>
    <w:rsid w:val="00A4703E"/>
    <w:rsid w:val="00A61214"/>
    <w:rsid w:val="00A65426"/>
    <w:rsid w:val="00A765A5"/>
    <w:rsid w:val="00AA1E37"/>
    <w:rsid w:val="00AB1F19"/>
    <w:rsid w:val="00AB5302"/>
    <w:rsid w:val="00AC7A3E"/>
    <w:rsid w:val="00AF31C4"/>
    <w:rsid w:val="00B429E9"/>
    <w:rsid w:val="00B60BDF"/>
    <w:rsid w:val="00B86D08"/>
    <w:rsid w:val="00B93AC7"/>
    <w:rsid w:val="00BE52C0"/>
    <w:rsid w:val="00BF2BC5"/>
    <w:rsid w:val="00C15DC5"/>
    <w:rsid w:val="00C23B0D"/>
    <w:rsid w:val="00C3434B"/>
    <w:rsid w:val="00C4190B"/>
    <w:rsid w:val="00C7077D"/>
    <w:rsid w:val="00CA5495"/>
    <w:rsid w:val="00CE6787"/>
    <w:rsid w:val="00CE70CD"/>
    <w:rsid w:val="00CE727F"/>
    <w:rsid w:val="00CF5F0F"/>
    <w:rsid w:val="00D27186"/>
    <w:rsid w:val="00D34217"/>
    <w:rsid w:val="00D35C2A"/>
    <w:rsid w:val="00D4111E"/>
    <w:rsid w:val="00D96BDB"/>
    <w:rsid w:val="00DB7333"/>
    <w:rsid w:val="00DC4869"/>
    <w:rsid w:val="00DF0D0B"/>
    <w:rsid w:val="00DF6758"/>
    <w:rsid w:val="00E02B08"/>
    <w:rsid w:val="00E20CA8"/>
    <w:rsid w:val="00E24090"/>
    <w:rsid w:val="00E24DED"/>
    <w:rsid w:val="00E3176C"/>
    <w:rsid w:val="00E732A6"/>
    <w:rsid w:val="00E871E0"/>
    <w:rsid w:val="00EE7FEE"/>
    <w:rsid w:val="00F336B8"/>
    <w:rsid w:val="00F504C5"/>
    <w:rsid w:val="00F60E10"/>
    <w:rsid w:val="00F616D9"/>
    <w:rsid w:val="00F62A3A"/>
    <w:rsid w:val="00F910F2"/>
    <w:rsid w:val="00FD09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0A90"/>
  </w:style>
  <w:style w:type="paragraph" w:styleId="Heading1">
    <w:name w:val="heading 1"/>
    <w:basedOn w:val="Normal"/>
    <w:next w:val="Normal"/>
    <w:link w:val="Heading1Char"/>
    <w:uiPriority w:val="9"/>
    <w:qFormat/>
    <w:rsid w:val="00560A90"/>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560A90"/>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560A90"/>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560A90"/>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560A90"/>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560A90"/>
    <w:pPr>
      <w:keepNext/>
      <w:keepLines/>
      <w:spacing w:before="40" w:after="0"/>
      <w:outlineLvl w:val="5"/>
    </w:pPr>
  </w:style>
  <w:style w:type="paragraph" w:styleId="Heading7">
    <w:name w:val="heading 7"/>
    <w:basedOn w:val="Normal"/>
    <w:next w:val="Normal"/>
    <w:link w:val="Heading7Char"/>
    <w:uiPriority w:val="9"/>
    <w:semiHidden/>
    <w:unhideWhenUsed/>
    <w:qFormat/>
    <w:rsid w:val="00560A90"/>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560A90"/>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560A90"/>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60A90"/>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560A90"/>
    <w:rPr>
      <w:i/>
      <w:iCs/>
    </w:rPr>
  </w:style>
  <w:style w:type="paragraph" w:customStyle="1" w:styleId="msonormal0">
    <w:name w:val="msonormal"/>
    <w:basedOn w:val="Normal"/>
    <w:rsid w:val="006641C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60A90"/>
    <w:rPr>
      <w:b/>
      <w:bCs/>
      <w:color w:val="auto"/>
    </w:rPr>
  </w:style>
  <w:style w:type="character" w:styleId="Emphasis">
    <w:name w:val="Emphasis"/>
    <w:basedOn w:val="DefaultParagraphFont"/>
    <w:uiPriority w:val="20"/>
    <w:qFormat/>
    <w:rsid w:val="00560A90"/>
    <w:rPr>
      <w:i/>
      <w:iCs/>
      <w:color w:val="auto"/>
    </w:rPr>
  </w:style>
  <w:style w:type="paragraph" w:customStyle="1" w:styleId="body-paragraph">
    <w:name w:val="body-paragraph"/>
    <w:basedOn w:val="Normal"/>
    <w:rsid w:val="006641C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641CA"/>
    <w:rPr>
      <w:color w:val="0000FF"/>
      <w:u w:val="single"/>
    </w:rPr>
  </w:style>
  <w:style w:type="character" w:styleId="FollowedHyperlink">
    <w:name w:val="FollowedHyperlink"/>
    <w:basedOn w:val="DefaultParagraphFont"/>
    <w:uiPriority w:val="99"/>
    <w:semiHidden/>
    <w:unhideWhenUsed/>
    <w:rsid w:val="006641CA"/>
    <w:rPr>
      <w:color w:val="800080"/>
      <w:u w:val="single"/>
    </w:rPr>
  </w:style>
  <w:style w:type="paragraph" w:styleId="NormalWeb">
    <w:name w:val="Normal (Web)"/>
    <w:basedOn w:val="Normal"/>
    <w:uiPriority w:val="99"/>
    <w:semiHidden/>
    <w:unhideWhenUsed/>
    <w:rsid w:val="006641C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entered">
    <w:name w:val="centered"/>
    <w:basedOn w:val="DefaultParagraphFont"/>
    <w:rsid w:val="006641CA"/>
  </w:style>
  <w:style w:type="character" w:styleId="UnresolvedMention">
    <w:name w:val="Unresolved Mention"/>
    <w:basedOn w:val="DefaultParagraphFont"/>
    <w:uiPriority w:val="99"/>
    <w:semiHidden/>
    <w:unhideWhenUsed/>
    <w:rsid w:val="006641CA"/>
    <w:rPr>
      <w:color w:val="605E5C"/>
      <w:shd w:val="clear" w:color="auto" w:fill="E1DFDD"/>
    </w:rPr>
  </w:style>
  <w:style w:type="character" w:customStyle="1" w:styleId="Heading1Char">
    <w:name w:val="Heading 1 Char"/>
    <w:basedOn w:val="DefaultParagraphFont"/>
    <w:link w:val="Heading1"/>
    <w:uiPriority w:val="9"/>
    <w:rsid w:val="00560A90"/>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560A90"/>
    <w:rPr>
      <w:rFonts w:asciiTheme="majorHAnsi" w:eastAsiaTheme="majorEastAsia" w:hAnsiTheme="majorHAnsi" w:cstheme="majorBidi"/>
      <w:color w:val="262626" w:themeColor="text1" w:themeTint="D9"/>
      <w:sz w:val="28"/>
      <w:szCs w:val="28"/>
    </w:rPr>
  </w:style>
  <w:style w:type="character" w:customStyle="1" w:styleId="Heading5Char">
    <w:name w:val="Heading 5 Char"/>
    <w:basedOn w:val="DefaultParagraphFont"/>
    <w:link w:val="Heading5"/>
    <w:uiPriority w:val="9"/>
    <w:semiHidden/>
    <w:rsid w:val="00560A90"/>
    <w:rPr>
      <w:color w:val="404040" w:themeColor="text1" w:themeTint="BF"/>
    </w:rPr>
  </w:style>
  <w:style w:type="character" w:customStyle="1" w:styleId="Heading6Char">
    <w:name w:val="Heading 6 Char"/>
    <w:basedOn w:val="DefaultParagraphFont"/>
    <w:link w:val="Heading6"/>
    <w:uiPriority w:val="9"/>
    <w:semiHidden/>
    <w:rsid w:val="00560A90"/>
  </w:style>
  <w:style w:type="character" w:customStyle="1" w:styleId="Heading7Char">
    <w:name w:val="Heading 7 Char"/>
    <w:basedOn w:val="DefaultParagraphFont"/>
    <w:link w:val="Heading7"/>
    <w:uiPriority w:val="9"/>
    <w:semiHidden/>
    <w:rsid w:val="00560A90"/>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60A90"/>
    <w:rPr>
      <w:color w:val="262626" w:themeColor="text1" w:themeTint="D9"/>
      <w:sz w:val="21"/>
      <w:szCs w:val="21"/>
    </w:rPr>
  </w:style>
  <w:style w:type="character" w:customStyle="1" w:styleId="Heading9Char">
    <w:name w:val="Heading 9 Char"/>
    <w:basedOn w:val="DefaultParagraphFont"/>
    <w:link w:val="Heading9"/>
    <w:uiPriority w:val="9"/>
    <w:semiHidden/>
    <w:rsid w:val="00560A90"/>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560A90"/>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560A90"/>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560A90"/>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560A90"/>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560A90"/>
    <w:rPr>
      <w:color w:val="5A5A5A" w:themeColor="text1" w:themeTint="A5"/>
      <w:spacing w:val="15"/>
    </w:rPr>
  </w:style>
  <w:style w:type="paragraph" w:styleId="NoSpacing">
    <w:name w:val="No Spacing"/>
    <w:uiPriority w:val="1"/>
    <w:qFormat/>
    <w:rsid w:val="00560A90"/>
    <w:pPr>
      <w:spacing w:after="0" w:line="240" w:lineRule="auto"/>
    </w:pPr>
  </w:style>
  <w:style w:type="paragraph" w:styleId="Quote">
    <w:name w:val="Quote"/>
    <w:basedOn w:val="Normal"/>
    <w:next w:val="Normal"/>
    <w:link w:val="QuoteChar"/>
    <w:uiPriority w:val="29"/>
    <w:qFormat/>
    <w:rsid w:val="00560A90"/>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560A90"/>
    <w:rPr>
      <w:i/>
      <w:iCs/>
      <w:color w:val="404040" w:themeColor="text1" w:themeTint="BF"/>
    </w:rPr>
  </w:style>
  <w:style w:type="paragraph" w:styleId="IntenseQuote">
    <w:name w:val="Intense Quote"/>
    <w:basedOn w:val="Normal"/>
    <w:next w:val="Normal"/>
    <w:link w:val="IntenseQuoteChar"/>
    <w:uiPriority w:val="30"/>
    <w:qFormat/>
    <w:rsid w:val="00560A90"/>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560A90"/>
    <w:rPr>
      <w:i/>
      <w:iCs/>
      <w:color w:val="404040" w:themeColor="text1" w:themeTint="BF"/>
    </w:rPr>
  </w:style>
  <w:style w:type="character" w:styleId="SubtleEmphasis">
    <w:name w:val="Subtle Emphasis"/>
    <w:basedOn w:val="DefaultParagraphFont"/>
    <w:uiPriority w:val="19"/>
    <w:qFormat/>
    <w:rsid w:val="00560A90"/>
    <w:rPr>
      <w:i/>
      <w:iCs/>
      <w:color w:val="404040" w:themeColor="text1" w:themeTint="BF"/>
    </w:rPr>
  </w:style>
  <w:style w:type="character" w:styleId="IntenseEmphasis">
    <w:name w:val="Intense Emphasis"/>
    <w:basedOn w:val="DefaultParagraphFont"/>
    <w:uiPriority w:val="21"/>
    <w:qFormat/>
    <w:rsid w:val="00560A90"/>
    <w:rPr>
      <w:b/>
      <w:bCs/>
      <w:i/>
      <w:iCs/>
      <w:color w:val="auto"/>
    </w:rPr>
  </w:style>
  <w:style w:type="character" w:styleId="SubtleReference">
    <w:name w:val="Subtle Reference"/>
    <w:basedOn w:val="DefaultParagraphFont"/>
    <w:uiPriority w:val="31"/>
    <w:qFormat/>
    <w:rsid w:val="00560A90"/>
    <w:rPr>
      <w:smallCaps/>
      <w:color w:val="404040" w:themeColor="text1" w:themeTint="BF"/>
    </w:rPr>
  </w:style>
  <w:style w:type="character" w:styleId="IntenseReference">
    <w:name w:val="Intense Reference"/>
    <w:basedOn w:val="DefaultParagraphFont"/>
    <w:uiPriority w:val="32"/>
    <w:qFormat/>
    <w:rsid w:val="00560A90"/>
    <w:rPr>
      <w:b/>
      <w:bCs/>
      <w:smallCaps/>
      <w:color w:val="404040" w:themeColor="text1" w:themeTint="BF"/>
      <w:spacing w:val="5"/>
    </w:rPr>
  </w:style>
  <w:style w:type="character" w:styleId="BookTitle">
    <w:name w:val="Book Title"/>
    <w:basedOn w:val="DefaultParagraphFont"/>
    <w:uiPriority w:val="33"/>
    <w:qFormat/>
    <w:rsid w:val="00560A90"/>
    <w:rPr>
      <w:b/>
      <w:bCs/>
      <w:i/>
      <w:iCs/>
      <w:spacing w:val="5"/>
    </w:rPr>
  </w:style>
  <w:style w:type="paragraph" w:styleId="TOCHeading">
    <w:name w:val="TOC Heading"/>
    <w:basedOn w:val="Heading1"/>
    <w:next w:val="Normal"/>
    <w:uiPriority w:val="39"/>
    <w:semiHidden/>
    <w:unhideWhenUsed/>
    <w:qFormat/>
    <w:rsid w:val="00560A90"/>
    <w:pPr>
      <w:outlineLvl w:val="9"/>
    </w:pPr>
  </w:style>
  <w:style w:type="table" w:styleId="TableGrid">
    <w:name w:val="Table Grid"/>
    <w:basedOn w:val="TableNormal"/>
    <w:uiPriority w:val="39"/>
    <w:rsid w:val="00146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50A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7624">
      <w:bodyDiv w:val="1"/>
      <w:marLeft w:val="0"/>
      <w:marRight w:val="0"/>
      <w:marTop w:val="0"/>
      <w:marBottom w:val="0"/>
      <w:divBdr>
        <w:top w:val="none" w:sz="0" w:space="0" w:color="auto"/>
        <w:left w:val="none" w:sz="0" w:space="0" w:color="auto"/>
        <w:bottom w:val="none" w:sz="0" w:space="0" w:color="auto"/>
        <w:right w:val="none" w:sz="0" w:space="0" w:color="auto"/>
      </w:divBdr>
    </w:div>
    <w:div w:id="800072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37/cdp0000144" TargetMode="External"/><Relationship Id="rId13" Type="http://schemas.openxmlformats.org/officeDocument/2006/relationships/image" Target="media/image4.gi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gi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0-web-p-ebscohost-com.libus.csd.mu.edu/ehost/detail/detail?vid=2&amp;sid=39856768-9ffd-4efc-ba3e-f1f53bf905c2%40redis&amp;bdata=JnNpdGU9ZWhvc3QtbGl2ZSZzY29wZT1zaXR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EDBE66C8-2E4E-4E81-8B6A-FA0FC5AC95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12029A-730F-439B-9513-079219D99EAA}">
  <ds:schemaRefs>
    <ds:schemaRef ds:uri="http://schemas.microsoft.com/sharepoint/v3/contenttype/forms"/>
  </ds:schemaRefs>
</ds:datastoreItem>
</file>

<file path=customXml/itemProps3.xml><?xml version="1.0" encoding="utf-8"?>
<ds:datastoreItem xmlns:ds="http://schemas.openxmlformats.org/officeDocument/2006/customXml" ds:itemID="{65B808FF-ECDC-4195-B6B6-CECC34D86C9F}">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24</Pages>
  <Words>10519</Words>
  <Characters>59964</Characters>
  <Application>Microsoft Office Word</Application>
  <DocSecurity>8</DocSecurity>
  <Lines>499</Lines>
  <Paragraphs>140</Paragraphs>
  <ScaleCrop>false</ScaleCrop>
  <Company/>
  <LinksUpToDate>false</LinksUpToDate>
  <CharactersWithSpaces>70343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106</cp:revision>
  <dcterms:created xsi:type="dcterms:W3CDTF">2022-09-09T14:19:00Z</dcterms:created>
  <dcterms:modified xsi:type="dcterms:W3CDTF">2022-10-10T14:31:00Z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