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029943B4" w:rsidR="000A7622" w:rsidRPr="00C04F25" w:rsidRDefault="00234BBA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English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sz w:val="32"/>
          <w:szCs w:val="32"/>
        </w:rPr>
        <w:t>Arts and Sciences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42AAF6AF" w:rsidR="000A7622" w:rsidRDefault="00DE4E17" w:rsidP="00DE4E17">
      <w:pPr>
        <w:rPr>
          <w:rFonts w:cstheme="minorHAnsi"/>
          <w:sz w:val="24"/>
          <w:szCs w:val="24"/>
        </w:rPr>
      </w:pPr>
      <w:r w:rsidRPr="00DE4E17">
        <w:rPr>
          <w:rFonts w:cstheme="minorHAnsi"/>
          <w:i/>
          <w:sz w:val="24"/>
          <w:szCs w:val="24"/>
          <w:lang w:val="fr-FR"/>
        </w:rPr>
        <w:t xml:space="preserve">Standing at the </w:t>
      </w:r>
      <w:proofErr w:type="spellStart"/>
      <w:r w:rsidRPr="00DE4E17">
        <w:rPr>
          <w:rFonts w:cstheme="minorHAnsi"/>
          <w:i/>
          <w:sz w:val="24"/>
          <w:szCs w:val="24"/>
          <w:lang w:val="fr-FR"/>
        </w:rPr>
        <w:t>Threshold</w:t>
      </w:r>
      <w:proofErr w:type="spellEnd"/>
      <w:r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Pr="00DE4E17">
        <w:rPr>
          <w:rFonts w:cstheme="minorHAnsi"/>
          <w:i/>
          <w:sz w:val="24"/>
          <w:szCs w:val="24"/>
          <w:lang w:val="fr-FR"/>
        </w:rPr>
        <w:t>Working</w:t>
      </w:r>
      <w:proofErr w:type="spellEnd"/>
      <w:r w:rsidRPr="00DE4E17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Pr="00DE4E17">
        <w:rPr>
          <w:rFonts w:cstheme="minorHAnsi"/>
          <w:i/>
          <w:sz w:val="24"/>
          <w:szCs w:val="24"/>
          <w:lang w:val="fr-FR"/>
        </w:rPr>
        <w:t>through</w:t>
      </w:r>
      <w:proofErr w:type="spellEnd"/>
      <w:r w:rsidRPr="00DE4E17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Pr="00DE4E17">
        <w:rPr>
          <w:rFonts w:cstheme="minorHAnsi"/>
          <w:i/>
          <w:sz w:val="24"/>
          <w:szCs w:val="24"/>
          <w:lang w:val="fr-FR"/>
        </w:rPr>
        <w:t>Liminality</w:t>
      </w:r>
      <w:proofErr w:type="spellEnd"/>
      <w:r w:rsidRPr="00DE4E17">
        <w:rPr>
          <w:rFonts w:cstheme="minorHAnsi"/>
          <w:i/>
          <w:sz w:val="24"/>
          <w:szCs w:val="24"/>
          <w:lang w:val="fr-FR"/>
        </w:rPr>
        <w:t xml:space="preserve"> in the Composition and </w:t>
      </w:r>
      <w:proofErr w:type="spellStart"/>
      <w:r w:rsidRPr="00DE4E17">
        <w:rPr>
          <w:rFonts w:cstheme="minorHAnsi"/>
          <w:i/>
          <w:sz w:val="24"/>
          <w:szCs w:val="24"/>
          <w:lang w:val="fr-FR"/>
        </w:rPr>
        <w:t>Rhetoric</w:t>
      </w:r>
      <w:proofErr w:type="spellEnd"/>
      <w:r w:rsidRPr="00DE4E17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Pr="00DE4E17">
        <w:rPr>
          <w:rFonts w:cstheme="minorHAnsi"/>
          <w:i/>
          <w:sz w:val="24"/>
          <w:szCs w:val="24"/>
          <w:lang w:val="fr-FR"/>
        </w:rPr>
        <w:t>TAship</w:t>
      </w:r>
      <w:proofErr w:type="spellEnd"/>
      <w:r w:rsidR="000A7622" w:rsidRPr="00C04F25">
        <w:rPr>
          <w:rFonts w:cstheme="minorHAnsi"/>
          <w:sz w:val="24"/>
          <w:szCs w:val="24"/>
          <w:lang w:val="fr-FR"/>
        </w:rPr>
        <w:t xml:space="preserve">, </w:t>
      </w:r>
      <w:proofErr w:type="spellStart"/>
      <w:r>
        <w:rPr>
          <w:rFonts w:cstheme="minorHAnsi"/>
          <w:sz w:val="24"/>
          <w:szCs w:val="24"/>
          <w:lang w:val="fr-FR"/>
        </w:rPr>
        <w:t>Chapter</w:t>
      </w:r>
      <w:proofErr w:type="spellEnd"/>
      <w:r>
        <w:rPr>
          <w:rFonts w:cstheme="minorHAnsi"/>
          <w:sz w:val="24"/>
          <w:szCs w:val="24"/>
          <w:lang w:val="fr-FR"/>
        </w:rPr>
        <w:t xml:space="preserve"> 2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2021</w:t>
      </w:r>
      <w:proofErr w:type="gramStart"/>
      <w:r w:rsidR="000A7622" w:rsidRPr="00C04F25">
        <w:rPr>
          <w:rFonts w:cstheme="minorHAnsi"/>
          <w:sz w:val="24"/>
          <w:szCs w:val="24"/>
          <w:lang w:val="fr-FR"/>
        </w:rPr>
        <w:t>):</w:t>
      </w:r>
      <w:proofErr w:type="gramEnd"/>
      <w:r w:rsidR="000A7622" w:rsidRPr="00C04F25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31-</w:t>
      </w:r>
      <w:r w:rsidR="00E05FE2">
        <w:rPr>
          <w:rFonts w:cstheme="minorHAnsi"/>
          <w:sz w:val="24"/>
          <w:szCs w:val="24"/>
          <w:lang w:val="fr-FR"/>
        </w:rPr>
        <w:t>59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9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r w:rsidR="00E05FE2">
        <w:rPr>
          <w:rFonts w:cstheme="minorHAnsi"/>
          <w:sz w:val="24"/>
          <w:szCs w:val="24"/>
        </w:rPr>
        <w:t>Ut</w:t>
      </w:r>
      <w:r w:rsidR="00461A35">
        <w:rPr>
          <w:rFonts w:cstheme="minorHAnsi"/>
          <w:sz w:val="24"/>
          <w:szCs w:val="24"/>
        </w:rPr>
        <w:t>a</w:t>
      </w:r>
      <w:r w:rsidR="00E05FE2">
        <w:rPr>
          <w:rFonts w:cstheme="minorHAnsi"/>
          <w:sz w:val="24"/>
          <w:szCs w:val="24"/>
        </w:rPr>
        <w:t>h State University Press</w:t>
      </w:r>
      <w:r w:rsidR="000A7622"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10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C04F25">
        <w:rPr>
          <w:rFonts w:cstheme="minorHAnsi"/>
          <w:sz w:val="24"/>
          <w:szCs w:val="24"/>
        </w:rPr>
        <w:t xml:space="preserve">. </w:t>
      </w:r>
      <w:r w:rsidR="00461A35">
        <w:rPr>
          <w:rFonts w:cstheme="minorHAnsi"/>
          <w:sz w:val="24"/>
          <w:szCs w:val="24"/>
        </w:rPr>
        <w:t>Utah State University Press</w:t>
      </w:r>
      <w:r w:rsidR="000A7622"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461A35">
        <w:rPr>
          <w:rFonts w:cstheme="minorHAnsi"/>
          <w:sz w:val="24"/>
          <w:szCs w:val="24"/>
        </w:rPr>
        <w:t>Utah State University Press</w:t>
      </w:r>
      <w:r w:rsidR="000A7622" w:rsidRPr="00C04F25">
        <w:rPr>
          <w:rFonts w:cstheme="minorHAnsi"/>
          <w:sz w:val="24"/>
          <w:szCs w:val="24"/>
        </w:rPr>
        <w:t xml:space="preserve">. </w:t>
      </w:r>
      <w:bookmarkEnd w:id="1"/>
    </w:p>
    <w:p w14:paraId="79540ADB" w14:textId="77777777" w:rsidR="009C728A" w:rsidRDefault="009C728A" w:rsidP="00D14423">
      <w:pPr>
        <w:rPr>
          <w:rFonts w:cstheme="minorHAnsi"/>
          <w:sz w:val="24"/>
          <w:szCs w:val="24"/>
        </w:rPr>
      </w:pPr>
    </w:p>
    <w:p w14:paraId="093F6A57" w14:textId="77777777" w:rsidR="00B50795" w:rsidRPr="002F2A9B" w:rsidRDefault="00B50795" w:rsidP="00B568BB">
      <w:pPr>
        <w:pStyle w:val="Title"/>
      </w:pPr>
      <w:r w:rsidRPr="002F2A9B">
        <w:t>2</w:t>
      </w:r>
    </w:p>
    <w:p w14:paraId="14E050B9" w14:textId="7269CAAF" w:rsidR="00B50795" w:rsidRDefault="00B50795" w:rsidP="00B568BB">
      <w:pPr>
        <w:pStyle w:val="Title"/>
        <w:rPr>
          <w:i/>
          <w:iCs/>
        </w:rPr>
      </w:pPr>
      <w:r w:rsidRPr="002F2A9B">
        <w:t>MULTIMODAL ANALYSIS AND</w:t>
      </w:r>
      <w:r w:rsidR="006920EE">
        <w:t xml:space="preserve"> </w:t>
      </w:r>
      <w:r w:rsidRPr="002F2A9B">
        <w:t xml:space="preserve">THE COMPOSITION </w:t>
      </w:r>
      <w:proofErr w:type="gramStart"/>
      <w:r w:rsidRPr="002F2A9B">
        <w:t>TASHIP</w:t>
      </w:r>
      <w:r w:rsidR="00B568BB">
        <w:t xml:space="preserve"> :</w:t>
      </w:r>
      <w:proofErr w:type="gramEnd"/>
      <w:r w:rsidR="00B568BB">
        <w:t xml:space="preserve"> </w:t>
      </w:r>
      <w:r w:rsidRPr="002F2A9B">
        <w:rPr>
          <w:i/>
          <w:iCs/>
        </w:rPr>
        <w:t>Exploring Embodied Teaching in the Writing Classroom</w:t>
      </w:r>
    </w:p>
    <w:p w14:paraId="6046A371" w14:textId="77777777" w:rsidR="00B568BB" w:rsidRPr="00B568BB" w:rsidRDefault="00B568BB" w:rsidP="00B568BB"/>
    <w:p w14:paraId="3FD82426" w14:textId="77777777" w:rsidR="00E66901" w:rsidRPr="00155EE3" w:rsidRDefault="00B50795" w:rsidP="00155EE3">
      <w:pPr>
        <w:pStyle w:val="NoSpacing"/>
        <w:rPr>
          <w:sz w:val="32"/>
          <w:szCs w:val="32"/>
        </w:rPr>
      </w:pPr>
      <w:r w:rsidRPr="00155EE3">
        <w:rPr>
          <w:sz w:val="32"/>
          <w:szCs w:val="32"/>
        </w:rPr>
        <w:t>Lillian Campbell</w:t>
      </w:r>
    </w:p>
    <w:p w14:paraId="0DFEA242" w14:textId="2AA9EB49" w:rsidR="00073E19" w:rsidRPr="00155EE3" w:rsidRDefault="00830A7C" w:rsidP="00155EE3">
      <w:pPr>
        <w:pStyle w:val="NoSpacing"/>
        <w:rPr>
          <w:sz w:val="24"/>
          <w:szCs w:val="24"/>
        </w:rPr>
      </w:pPr>
      <w:r w:rsidRPr="00155EE3">
        <w:rPr>
          <w:sz w:val="24"/>
          <w:szCs w:val="24"/>
        </w:rPr>
        <w:t>English, Marquette University, Milwaukee, WI</w:t>
      </w:r>
    </w:p>
    <w:p w14:paraId="7C858512" w14:textId="3E578D65" w:rsidR="00B50795" w:rsidRPr="00155EE3" w:rsidRDefault="00B50795" w:rsidP="00155EE3">
      <w:pPr>
        <w:pStyle w:val="NoSpacing"/>
        <w:rPr>
          <w:sz w:val="32"/>
          <w:szCs w:val="32"/>
        </w:rPr>
      </w:pPr>
      <w:r w:rsidRPr="00155EE3">
        <w:rPr>
          <w:sz w:val="32"/>
          <w:szCs w:val="32"/>
        </w:rPr>
        <w:t>Jaclyn Fiscus-</w:t>
      </w:r>
      <w:proofErr w:type="spellStart"/>
      <w:r w:rsidRPr="00155EE3">
        <w:rPr>
          <w:sz w:val="32"/>
          <w:szCs w:val="32"/>
        </w:rPr>
        <w:t>Cannaday</w:t>
      </w:r>
      <w:proofErr w:type="spellEnd"/>
    </w:p>
    <w:p w14:paraId="3AD6A6D1" w14:textId="578A0A73" w:rsidR="00073E19" w:rsidRPr="00155EE3" w:rsidRDefault="001D7066" w:rsidP="00155EE3">
      <w:pPr>
        <w:pStyle w:val="NoSpacing"/>
        <w:rPr>
          <w:sz w:val="24"/>
          <w:szCs w:val="24"/>
        </w:rPr>
      </w:pPr>
      <w:r w:rsidRPr="00155EE3">
        <w:rPr>
          <w:sz w:val="24"/>
          <w:szCs w:val="24"/>
        </w:rPr>
        <w:t xml:space="preserve">English, Florida State University, </w:t>
      </w:r>
      <w:r w:rsidR="00155EE3" w:rsidRPr="00155EE3">
        <w:rPr>
          <w:sz w:val="24"/>
          <w:szCs w:val="24"/>
        </w:rPr>
        <w:t>Tallahassee, FL</w:t>
      </w:r>
    </w:p>
    <w:p w14:paraId="0B5507A3" w14:textId="77777777" w:rsidR="00155EE3" w:rsidRDefault="00155EE3" w:rsidP="002F2A9B">
      <w:pPr>
        <w:rPr>
          <w:rFonts w:cstheme="minorHAnsi"/>
          <w:sz w:val="24"/>
          <w:szCs w:val="24"/>
        </w:rPr>
      </w:pPr>
    </w:p>
    <w:p w14:paraId="246E2694" w14:textId="6E52B3BB" w:rsidR="00B50795" w:rsidRPr="002F2A9B" w:rsidRDefault="00B50795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Lillian Campbell and Jaclyn Fiscus- </w:t>
      </w:r>
      <w:proofErr w:type="spellStart"/>
      <w:r w:rsidRPr="002F2A9B">
        <w:rPr>
          <w:rFonts w:cstheme="minorHAnsi"/>
          <w:sz w:val="24"/>
          <w:szCs w:val="24"/>
        </w:rPr>
        <w:t>Cannaday</w:t>
      </w:r>
      <w:proofErr w:type="spellEnd"/>
      <w:r w:rsidRPr="002F2A9B">
        <w:rPr>
          <w:rFonts w:cstheme="minorHAnsi"/>
          <w:sz w:val="24"/>
          <w:szCs w:val="24"/>
        </w:rPr>
        <w:t xml:space="preserve"> gathered this research at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University of Washington (UW)— a large public institution in which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most undergraduate students identify as STEM— while they were both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graduate students in rhetoric and composition at UW. There are two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writing programs at UW housed in the English department: the expository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writing program (EWP), which is the larger of the two and adopts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 writing- across- the- curriculum approach, and the interdisciplinary writing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program (IWP), which adopts a writing- in- the- disciplines approach.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This research draws on the experiences of first- and second- year TAs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tasked with being instructors of record for one of the strains of the EWP</w:t>
      </w:r>
      <w:r w:rsidR="00D01B2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first-year writing course.</w:t>
      </w:r>
    </w:p>
    <w:p w14:paraId="0ADAC298" w14:textId="57719B06" w:rsidR="00234BBA" w:rsidRPr="002F2A9B" w:rsidRDefault="00B50795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As composition TA Cleo begins teaching complex arguments, she draws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her fingers into a fist. Watching a video of herself later, she laughs: “My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crystallization hand motion that I did was </w:t>
      </w:r>
      <w:proofErr w:type="gramStart"/>
      <w:r w:rsidRPr="002F2A9B">
        <w:rPr>
          <w:rFonts w:cstheme="minorHAnsi"/>
          <w:sz w:val="24"/>
          <w:szCs w:val="24"/>
        </w:rPr>
        <w:t>really funny</w:t>
      </w:r>
      <w:proofErr w:type="gramEnd"/>
      <w:r w:rsidRPr="002F2A9B">
        <w:rPr>
          <w:rFonts w:cstheme="minorHAnsi"/>
          <w:sz w:val="24"/>
          <w:szCs w:val="24"/>
        </w:rPr>
        <w:t xml:space="preserve">. Bring </w:t>
      </w:r>
      <w:proofErr w:type="gramStart"/>
      <w:r w:rsidRPr="002F2A9B">
        <w:rPr>
          <w:rFonts w:cstheme="minorHAnsi"/>
          <w:sz w:val="24"/>
          <w:szCs w:val="24"/>
        </w:rPr>
        <w:t>all of</w:t>
      </w:r>
      <w:proofErr w:type="gramEnd"/>
      <w:r w:rsidRPr="002F2A9B">
        <w:rPr>
          <w:rFonts w:cstheme="minorHAnsi"/>
          <w:sz w:val="24"/>
          <w:szCs w:val="24"/>
        </w:rPr>
        <w:t xml:space="preserve"> the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things you want to say together into a big fist.” Meanwhile, TA Chris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explains how arguments shape an essay’s organization by making a dramatic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weaving gesture, which he later connects to his scholarship in medieval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literature: “Text comes from textus, which is Latin for cloth or to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weave, so I mean . . . weaving your concession throughout your argument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is an important point.” In these moments, new TAs offer complex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pedagogical performances of writing concepts, drawing on embodied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resources informed by their own writing experiences, teacher education,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disciplinary identities. This chapter calls for composition TAs to pay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increased attention to the embodied and performative aspects of their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teaching, especially as they navigate the liminal position between burgeoning</w:t>
      </w:r>
      <w:r w:rsidR="00B2789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scholar and first- year writing teacher.</w:t>
      </w:r>
    </w:p>
    <w:p w14:paraId="7BA1FA95" w14:textId="739DAA59" w:rsidR="00B50795" w:rsidRPr="002F2A9B" w:rsidRDefault="00B50795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While scholars have long recognized the complexity of writing TAs’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identifications and institutional positions, their classroom performances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are an underutilized site for studying processes of identity negotiation.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This chapter begins with a review of scholarship on the relationships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among TA liminality, performative pedagogy, and embodied writing.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We position this research at an intersection between education scholarship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 teaching as embodied performance (Enriquez et al. 2015;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Freedman and Holmes 2003) and writing studies research on material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embodied writing processes (Gonzales 2015; Haas and Witte 2001;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Wolfe 2005). We argue that multimodal discourse analysis has much to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offer writing TAs working to understand their complex positioning and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unique identifications, providing an analytic framework for attending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how embodied talk “index[es] specific discourses about self, writing,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[and] academia” (Lillis 2009, 176).</w:t>
      </w:r>
    </w:p>
    <w:p w14:paraId="4D9902E3" w14:textId="77777777" w:rsidR="00217664" w:rsidRDefault="00B50795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Next, we introduce data from a case study of four first-year composition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TAs— three literature scholars and one composition scholar— all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second- year graduate instructors in the same composition program at a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large public university. Each teacher was video recorded during a lesson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 argument and then interviewed about select moments from that lesson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about their views on writing, disciplinary identity, and pedagogy.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images featured in this chapter are recreations of the TA’s gestures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the screenshots that we used for analysis. Unfortunately, the quality of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those screenshots was not high enough to include them in publication.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Our analysis demonstrates how gestures can index both connection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making and tension between disparate areas of disciplinary expertise.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TAs also physically enact a range of versions of what constitutes good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writing, emphasizing practices like nuancing and close reading. Analysis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how each of these TAs negotiates their unique history and perspectives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 the classroom fuels even more questions. How do TAs balance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 general principles about writing practice with a view of writing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 situated and constantly in flux? How do they structure a classroom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discussion to support authentic, collaborative discovery of knowledge?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How do TAs value student incomes while ensuring they achieve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program outcomes? How do they take what they learned in previous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classrooms and apply it to new teaching contexts? This proliferation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questions is evidence of the richness and complexity that becomes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visible through multimodal analyses of TAs’ classroom performances.</w:t>
      </w:r>
      <w:r w:rsidR="0056303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approach modeled in this chapter certainly does not promise easy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answers. However, it does offer a framework for further understanding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complex layers of personal experience, institutional regulations, and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programmatic guidelines that undergird the composition TA position.</w:t>
      </w:r>
    </w:p>
    <w:p w14:paraId="7AE9775A" w14:textId="0890B031" w:rsidR="00A93227" w:rsidRPr="002F2A9B" w:rsidRDefault="00A9322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In the conclusion, we discuss implications of an embodied view of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the composition </w:t>
      </w:r>
      <w:proofErr w:type="spellStart"/>
      <w:r w:rsidRPr="002F2A9B">
        <w:rPr>
          <w:rFonts w:cstheme="minorHAnsi"/>
          <w:sz w:val="24"/>
          <w:szCs w:val="24"/>
        </w:rPr>
        <w:t>TAship</w:t>
      </w:r>
      <w:proofErr w:type="spellEnd"/>
      <w:r w:rsidRPr="002F2A9B">
        <w:rPr>
          <w:rFonts w:cstheme="minorHAnsi"/>
          <w:sz w:val="24"/>
          <w:szCs w:val="24"/>
        </w:rPr>
        <w:t xml:space="preserve"> for TA training, professional development, and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future research. Videotaping lessons is already a popular exercise in TA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training, but our research points to possible improvements to this practice.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We argue that teaching videos can help TAs recognize and evaluate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strategies they use to negotiate a multiplicity of identities in the classroom.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We also discuss how future researchers might adopt our methodological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framework for projects involving teacher development and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embodied identity performance. Overall, this chapter demonstrates that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by theorizing and attending to composition TAs’ embodied resources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the classroom, writing TAs can better understand the unique affordances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limitations of their liminal position.</w:t>
      </w:r>
    </w:p>
    <w:p w14:paraId="6994C11D" w14:textId="57C5D728" w:rsidR="00A93227" w:rsidRPr="002F2A9B" w:rsidRDefault="00A93227" w:rsidP="00217664">
      <w:pPr>
        <w:pStyle w:val="Heading1"/>
      </w:pPr>
      <w:r w:rsidRPr="002F2A9B">
        <w:t>EMBODYING LIMINAL TA IDENTITIES</w:t>
      </w:r>
    </w:p>
    <w:p w14:paraId="60B2D8EE" w14:textId="20654B33" w:rsidR="00A93227" w:rsidRPr="002F2A9B" w:rsidRDefault="00A9322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Recent research demonstrates how new TAs negotiate a range of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identities— as students, scholars, writers, and teachers— which can support,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interfere with, or complicate their teaching experiences. The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unique position of graduate students as novice academic writers and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teachers who are “themselves still learning disciplinary writing conventions,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genres, and ideologies” has the potential to make them effective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brokers of field- specific writing norms (</w:t>
      </w:r>
      <w:proofErr w:type="spellStart"/>
      <w:r w:rsidRPr="002F2A9B">
        <w:rPr>
          <w:rFonts w:cstheme="minorHAnsi"/>
          <w:sz w:val="24"/>
          <w:szCs w:val="24"/>
        </w:rPr>
        <w:t>Winzenried</w:t>
      </w:r>
      <w:proofErr w:type="spellEnd"/>
      <w:r w:rsidRPr="002F2A9B">
        <w:rPr>
          <w:rFonts w:cstheme="minorHAnsi"/>
          <w:sz w:val="24"/>
          <w:szCs w:val="24"/>
        </w:rPr>
        <w:t xml:space="preserve"> 2016). At the same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time, composition TAs’ burgeoning identity as disciplinary scholars,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often in fields outside rhetoric and composition, can shape their developing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 personas and limit their ability to find a comfortable role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the composition classroom (</w:t>
      </w:r>
      <w:proofErr w:type="spellStart"/>
      <w:r w:rsidRPr="002F2A9B">
        <w:rPr>
          <w:rFonts w:cstheme="minorHAnsi"/>
          <w:sz w:val="24"/>
          <w:szCs w:val="24"/>
        </w:rPr>
        <w:t>Restaino</w:t>
      </w:r>
      <w:proofErr w:type="spellEnd"/>
      <w:r w:rsidRPr="002F2A9B">
        <w:rPr>
          <w:rFonts w:cstheme="minorHAnsi"/>
          <w:sz w:val="24"/>
          <w:szCs w:val="24"/>
        </w:rPr>
        <w:t xml:space="preserve"> 2012). For some composition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TAs, the split between their scholarly work and their classroom teaching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can lead them to see the identities of teacher and scholar as incommensurable: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“Their identities as scholars lie outside of composition while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identities as teacher lie within it. By seeing these identities as separate,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they are unable to see the relevance of composition scholarship”</w:t>
      </w:r>
      <w:r w:rsidR="0021766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(</w:t>
      </w:r>
      <w:proofErr w:type="spellStart"/>
      <w:r w:rsidRPr="002F2A9B">
        <w:rPr>
          <w:rFonts w:cstheme="minorHAnsi"/>
          <w:sz w:val="24"/>
          <w:szCs w:val="24"/>
        </w:rPr>
        <w:t>Grouling</w:t>
      </w:r>
      <w:proofErr w:type="spellEnd"/>
      <w:r w:rsidRPr="002F2A9B">
        <w:rPr>
          <w:rFonts w:cstheme="minorHAnsi"/>
          <w:sz w:val="24"/>
          <w:szCs w:val="24"/>
        </w:rPr>
        <w:t xml:space="preserve"> 2015, “Graduate Student- Teacher Identity”).</w:t>
      </w:r>
    </w:p>
    <w:p w14:paraId="76C84C43" w14:textId="1303E73C" w:rsidR="00A93227" w:rsidRPr="002F2A9B" w:rsidRDefault="00A9322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To help new composition TAs navigate the complexities of their various</w:t>
      </w:r>
      <w:r w:rsidR="006A28C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identities, many writing programs require practicum courses, which offer</w:t>
      </w:r>
      <w:r w:rsidR="006A28C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theoretical perspectives and pedagogical insights for teaching writing. As</w:t>
      </w:r>
      <w:r w:rsidR="006A28C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Jennifer Johnson discusses in detail in this collection, these experiences</w:t>
      </w:r>
      <w:r w:rsidR="006A28C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do the work of enculturation: steeping graduate students in the composition</w:t>
      </w:r>
      <w:r w:rsidR="006A28C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theory of their specific writing program’s brand. Scholarship on new</w:t>
      </w:r>
      <w:r w:rsidR="006A28C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composition TAs has found general resistance to the theoretical thrust of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these practicum courses and demand for emphasizing pragmatic teaching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strategies (</w:t>
      </w:r>
      <w:proofErr w:type="spellStart"/>
      <w:r w:rsidRPr="002F2A9B">
        <w:rPr>
          <w:rFonts w:cstheme="minorHAnsi"/>
          <w:sz w:val="24"/>
          <w:szCs w:val="24"/>
        </w:rPr>
        <w:t>Grouling</w:t>
      </w:r>
      <w:proofErr w:type="spellEnd"/>
      <w:r w:rsidRPr="002F2A9B">
        <w:rPr>
          <w:rFonts w:cstheme="minorHAnsi"/>
          <w:sz w:val="24"/>
          <w:szCs w:val="24"/>
        </w:rPr>
        <w:t xml:space="preserve"> 2015; Hesse 1993). In response, </w:t>
      </w:r>
      <w:proofErr w:type="gramStart"/>
      <w:r w:rsidRPr="002F2A9B">
        <w:rPr>
          <w:rFonts w:cstheme="minorHAnsi"/>
          <w:sz w:val="24"/>
          <w:szCs w:val="24"/>
        </w:rPr>
        <w:t>a number of</w:t>
      </w:r>
      <w:proofErr w:type="gramEnd"/>
      <w:r w:rsidRPr="002F2A9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scholars have called for more diverse modes of writing practice within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practicum course, arguing that reflective writing activities, journaling,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drafting can lead to better engagement and TA self- understanding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(</w:t>
      </w:r>
      <w:proofErr w:type="spellStart"/>
      <w:r w:rsidRPr="002F2A9B">
        <w:rPr>
          <w:rFonts w:cstheme="minorHAnsi"/>
          <w:sz w:val="24"/>
          <w:szCs w:val="24"/>
        </w:rPr>
        <w:t>Ebest</w:t>
      </w:r>
      <w:proofErr w:type="spellEnd"/>
      <w:r w:rsidRPr="002F2A9B">
        <w:rPr>
          <w:rFonts w:cstheme="minorHAnsi"/>
          <w:sz w:val="24"/>
          <w:szCs w:val="24"/>
        </w:rPr>
        <w:t xml:space="preserve"> 2005; Reid 2009). Leah </w:t>
      </w:r>
      <w:proofErr w:type="spellStart"/>
      <w:r w:rsidRPr="002F2A9B">
        <w:rPr>
          <w:rFonts w:cstheme="minorHAnsi"/>
          <w:sz w:val="24"/>
          <w:szCs w:val="24"/>
        </w:rPr>
        <w:t>Zuidema</w:t>
      </w:r>
      <w:proofErr w:type="spellEnd"/>
      <w:r w:rsidRPr="002F2A9B">
        <w:rPr>
          <w:rFonts w:cstheme="minorHAnsi"/>
          <w:sz w:val="24"/>
          <w:szCs w:val="24"/>
        </w:rPr>
        <w:t xml:space="preserve"> and James </w:t>
      </w:r>
      <w:proofErr w:type="spellStart"/>
      <w:r w:rsidRPr="002F2A9B">
        <w:rPr>
          <w:rFonts w:cstheme="minorHAnsi"/>
          <w:sz w:val="24"/>
          <w:szCs w:val="24"/>
        </w:rPr>
        <w:t>Fredricksen</w:t>
      </w:r>
      <w:proofErr w:type="spellEnd"/>
      <w:r w:rsidRPr="002F2A9B">
        <w:rPr>
          <w:rFonts w:cstheme="minorHAnsi"/>
          <w:sz w:val="24"/>
          <w:szCs w:val="24"/>
        </w:rPr>
        <w:t xml:space="preserve"> assert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that providing a variety of writing experiences for preservice teachers is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vital: “They should experience a depth and breadth of writing opportunities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be guided in reflecting on those experiences to better understand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how writing works” (2016, 15). Given the increasing investment in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multimodal pedagogy, one could also argue that teachers should have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opportunities to practice and reflect on multimedia composing. Indeed,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in “Multimodality, Performance, and Teacher Training,” Laura </w:t>
      </w:r>
      <w:proofErr w:type="spellStart"/>
      <w:r w:rsidRPr="002F2A9B">
        <w:rPr>
          <w:rFonts w:cstheme="minorHAnsi"/>
          <w:sz w:val="24"/>
          <w:szCs w:val="24"/>
        </w:rPr>
        <w:t>Micciche</w:t>
      </w:r>
      <w:proofErr w:type="spellEnd"/>
      <w:r w:rsidRPr="002F2A9B">
        <w:rPr>
          <w:rFonts w:cstheme="minorHAnsi"/>
          <w:sz w:val="24"/>
          <w:szCs w:val="24"/>
        </w:rPr>
        <w:t>,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Hannah Rule, and Liv Stratman (2012) offer examples of multimodal</w:t>
      </w:r>
      <w:r w:rsidR="00A461E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assignments that call TAs’ attention to the “extra- linguistic aspects of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teaching” (“Updating an Old Standard”) and foster critical reflection.</w:t>
      </w:r>
    </w:p>
    <w:p w14:paraId="2D18A2A1" w14:textId="0021D9E4" w:rsidR="00A93227" w:rsidRPr="002F2A9B" w:rsidRDefault="00A93227" w:rsidP="002F2A9B">
      <w:pPr>
        <w:rPr>
          <w:rFonts w:cstheme="minorHAnsi"/>
          <w:sz w:val="24"/>
          <w:szCs w:val="24"/>
        </w:rPr>
      </w:pPr>
      <w:proofErr w:type="spellStart"/>
      <w:r w:rsidRPr="002F2A9B">
        <w:rPr>
          <w:rFonts w:cstheme="minorHAnsi"/>
          <w:sz w:val="24"/>
          <w:szCs w:val="24"/>
        </w:rPr>
        <w:t>Micciche</w:t>
      </w:r>
      <w:proofErr w:type="spellEnd"/>
      <w:r w:rsidRPr="002F2A9B">
        <w:rPr>
          <w:rFonts w:cstheme="minorHAnsi"/>
          <w:sz w:val="24"/>
          <w:szCs w:val="24"/>
        </w:rPr>
        <w:t>, Rule, and Stratman’s (2012) research has implications that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go far beyond multimodal assignments for TA pedagogy courses, however.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Their study argues that by conceiving of the composition </w:t>
      </w:r>
      <w:proofErr w:type="spellStart"/>
      <w:r w:rsidRPr="002F2A9B">
        <w:rPr>
          <w:rFonts w:cstheme="minorHAnsi"/>
          <w:sz w:val="24"/>
          <w:szCs w:val="24"/>
        </w:rPr>
        <w:t>TAship</w:t>
      </w:r>
      <w:proofErr w:type="spellEnd"/>
      <w:r w:rsidRPr="002F2A9B">
        <w:rPr>
          <w:rFonts w:cstheme="minorHAnsi"/>
          <w:sz w:val="24"/>
          <w:szCs w:val="24"/>
        </w:rPr>
        <w:t xml:space="preserve"> as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embodied, TAs can gain new ways of understanding how their identities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are negotiated during a “pedagogical performance.” For the authors,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teacher identity is always performed and constantly in flux: “Gestures,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vocal tendencies, listening practices, and movements, among other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things, produce us as teachers” (“Introduction”). This perspective is not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new; research on secondary education has long drawn on theories of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performance and embodiment to understand teachers’ classroom experiences</w:t>
      </w:r>
      <w:r w:rsidR="001F00D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(Enriquez et al. 2015; Freedman and Holmes 2003; Louis 2005).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Performative frameworks have often been used in contexts in which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the teachers’ body is markedly different from the </w:t>
      </w:r>
      <w:proofErr w:type="gramStart"/>
      <w:r w:rsidRPr="002F2A9B">
        <w:rPr>
          <w:rFonts w:cstheme="minorHAnsi"/>
          <w:sz w:val="24"/>
          <w:szCs w:val="24"/>
        </w:rPr>
        <w:t>students’</w:t>
      </w:r>
      <w:proofErr w:type="gramEnd"/>
      <w:r w:rsidRPr="002F2A9B">
        <w:rPr>
          <w:rFonts w:cstheme="minorHAnsi"/>
          <w:sz w:val="24"/>
          <w:szCs w:val="24"/>
        </w:rPr>
        <w:t xml:space="preserve"> in order to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understand how these physical differences can be bridged. For example,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Elisabeth Johnson’s (2013) article explores how an English teacher counters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her own white, middle- class identity and reaches her black, working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class students through engagement with popular- culture artifacts.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Working from a cultural studies framework, this research is primarily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focused on understanding how bodies index affiliations with </w:t>
      </w:r>
      <w:proofErr w:type="gramStart"/>
      <w:r w:rsidRPr="002F2A9B">
        <w:rPr>
          <w:rFonts w:cstheme="minorHAnsi"/>
          <w:sz w:val="24"/>
          <w:szCs w:val="24"/>
        </w:rPr>
        <w:t>particular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groups</w:t>
      </w:r>
      <w:proofErr w:type="gramEnd"/>
      <w:r w:rsidRPr="002F2A9B">
        <w:rPr>
          <w:rFonts w:cstheme="minorHAnsi"/>
          <w:sz w:val="24"/>
          <w:szCs w:val="24"/>
        </w:rPr>
        <w:t xml:space="preserve"> or identities and how that might impact classroom practices.</w:t>
      </w:r>
    </w:p>
    <w:p w14:paraId="47B98441" w14:textId="62172DF6" w:rsidR="007814E7" w:rsidRPr="002F2A9B" w:rsidRDefault="00A9322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Instead of viewing the body primarily as a site of social construction,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recent theories of embodiment also emphasize its rhetorical force. As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Kristie Fleckenstein explains, “While the body exists as a social construct,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reinforced through language and image, embodiment exists as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 ongoing creation arising out of an individual’s unique incarnate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experiences in the world” (2009, 107– 8). A focus on embodiment, then,</w:t>
      </w:r>
      <w:r w:rsidR="006D0F2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calls attention to situated performances and raises questions about</w:t>
      </w:r>
      <w:r w:rsidRPr="002F2A9B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how individuals enact conflicting allegiances and identifications. For</w:t>
      </w:r>
      <w:r w:rsidR="006D0F23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example, Pierre Bourdieu’s (1980) theory of habitus emphasizes how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over time and through participation in different communities and institutions,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individuals accrue physical ways of being in the world that are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not fully conscious. Meanwhile, T. Kenny Fountain’s concept of trained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vision draws on these theories to describe how disciplinary expertise is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a process of “develop[</w:t>
      </w:r>
      <w:proofErr w:type="spellStart"/>
      <w:r w:rsidR="007814E7" w:rsidRPr="002F2A9B">
        <w:rPr>
          <w:rFonts w:cstheme="minorHAnsi"/>
          <w:sz w:val="24"/>
          <w:szCs w:val="24"/>
        </w:rPr>
        <w:t>ing</w:t>
      </w:r>
      <w:proofErr w:type="spellEnd"/>
      <w:r w:rsidR="007814E7" w:rsidRPr="002F2A9B">
        <w:rPr>
          <w:rFonts w:cstheme="minorHAnsi"/>
          <w:sz w:val="24"/>
          <w:szCs w:val="24"/>
        </w:rPr>
        <w:t>] the skilled capacities necessary to use the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discourse and objects, the displays and documents, according to the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explicit and tacit rules of that community” (2014, 5). For composition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TAs, then, part of the process of developing teaching expertise involves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negotiating between movements they have accrued throughout their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lives and the new discourse and objects of the classroom—the chalkboard,</w:t>
      </w:r>
      <w:r w:rsidR="00B033C5">
        <w:rPr>
          <w:rFonts w:cstheme="minorHAnsi"/>
          <w:sz w:val="24"/>
          <w:szCs w:val="24"/>
        </w:rPr>
        <w:t xml:space="preserve"> </w:t>
      </w:r>
      <w:r w:rsidR="007814E7" w:rsidRPr="002F2A9B">
        <w:rPr>
          <w:rFonts w:cstheme="minorHAnsi"/>
          <w:sz w:val="24"/>
          <w:szCs w:val="24"/>
        </w:rPr>
        <w:t>the attendance sheet, the student desks.</w:t>
      </w:r>
    </w:p>
    <w:p w14:paraId="0BF62CD8" w14:textId="46A916F5" w:rsidR="007814E7" w:rsidRPr="002F2A9B" w:rsidRDefault="007814E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Within rhetoric and composition scholarship, there is growing interest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how student and professional writers embody both the writing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process and their views of writing; however, there has been less attention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how teachers do the same. For example, Christina Haas and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Stephen Witte (2001) and Joanna Wolfe (2005) both consider how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groups of writers (a multidisciplinary engineering team and a group of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engineering students respectively) use gesture and movement to negotiate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writing process and distribute knowledge across group members.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Meanwhile, Laura Gonzales (2015) and Andrea Olinger (2014) study how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students’ gestures and movements index their attitudes towards writing.</w:t>
      </w:r>
      <w:r w:rsidR="00B033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Gonzales’s research on video recordings of multilingual- student focus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groups </w:t>
      </w:r>
      <w:proofErr w:type="gramStart"/>
      <w:r w:rsidRPr="002F2A9B">
        <w:rPr>
          <w:rFonts w:cstheme="minorHAnsi"/>
          <w:sz w:val="24"/>
          <w:szCs w:val="24"/>
        </w:rPr>
        <w:t>describes</w:t>
      </w:r>
      <w:proofErr w:type="gramEnd"/>
      <w:r w:rsidRPr="002F2A9B">
        <w:rPr>
          <w:rFonts w:cstheme="minorHAnsi"/>
          <w:sz w:val="24"/>
          <w:szCs w:val="24"/>
        </w:rPr>
        <w:t xml:space="preserve"> how their gestures convey their views on the differences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between textual and multimodal composing. Meanwhile, Olinger draws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 video interviews with three scientific coauthors to demonstrate how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they use verbal and gestural metaphors to convey their understandings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values about scientific writing style. These findings showcase how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studying embodiment can illuminate writerly and disciplinary identities,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we build off this research to explore the embodied practices of new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composition </w:t>
      </w:r>
      <w:proofErr w:type="spellStart"/>
      <w:r w:rsidRPr="002F2A9B">
        <w:rPr>
          <w:rFonts w:cstheme="minorHAnsi"/>
          <w:sz w:val="24"/>
          <w:szCs w:val="24"/>
        </w:rPr>
        <w:t>TAs.</w:t>
      </w:r>
      <w:proofErr w:type="spellEnd"/>
      <w:r w:rsidRPr="002F2A9B">
        <w:rPr>
          <w:rFonts w:cstheme="minorHAnsi"/>
          <w:sz w:val="24"/>
          <w:szCs w:val="24"/>
        </w:rPr>
        <w:t xml:space="preserve"> Given their liminal positioning within multiple identities,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our study draws on theories of embodiment to better understand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how TAs’ pedagogical performances can index disciplinary alignments,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 identities, and ideologies about what makes good writing.</w:t>
      </w:r>
    </w:p>
    <w:p w14:paraId="7E230CAB" w14:textId="734611B0" w:rsidR="007814E7" w:rsidRPr="002F2A9B" w:rsidRDefault="007814E7" w:rsidP="00CA1AB0">
      <w:pPr>
        <w:pStyle w:val="Heading1"/>
      </w:pPr>
      <w:r w:rsidRPr="002F2A9B">
        <w:t>DATA COLLECTION AND ANALYSIS</w:t>
      </w:r>
    </w:p>
    <w:p w14:paraId="302703C9" w14:textId="0906B1F9" w:rsidR="007814E7" w:rsidRPr="002F2A9B" w:rsidRDefault="007814E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The four TAs discussed in this chapter responded to a program- wide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email at a large public university, which introduced our study and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called for composition TAs in their first or second year to participate.</w:t>
      </w:r>
      <w:r w:rsidRPr="002F2A9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Upon selection, teachers informed us when they would be introducing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argument to their students for the first time so we could observe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class and video record their lesson. Most TAs selected the day they</w:t>
      </w:r>
      <w:r w:rsidR="00CA1AB0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were teaching complex claims, the composition program’s term for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 argumentative statement in college- level writing. The writing program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distinguished </w:t>
      </w:r>
      <w:r w:rsidRPr="002F2A9B">
        <w:rPr>
          <w:rFonts w:cstheme="minorHAnsi"/>
          <w:i/>
          <w:iCs/>
          <w:sz w:val="24"/>
          <w:szCs w:val="24"/>
        </w:rPr>
        <w:t xml:space="preserve">complex claims </w:t>
      </w:r>
      <w:r w:rsidRPr="002F2A9B">
        <w:rPr>
          <w:rFonts w:cstheme="minorHAnsi"/>
          <w:sz w:val="24"/>
          <w:szCs w:val="24"/>
        </w:rPr>
        <w:t>from a term students might be more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accustomed to from high school: </w:t>
      </w:r>
      <w:r w:rsidRPr="002F2A9B">
        <w:rPr>
          <w:rFonts w:cstheme="minorHAnsi"/>
          <w:i/>
          <w:iCs/>
          <w:sz w:val="24"/>
          <w:szCs w:val="24"/>
        </w:rPr>
        <w:t>thesis</w:t>
      </w:r>
      <w:r w:rsidRPr="002F2A9B">
        <w:rPr>
          <w:rFonts w:cstheme="minorHAnsi"/>
          <w:sz w:val="24"/>
          <w:szCs w:val="24"/>
        </w:rPr>
        <w:t>. We visited their classrooms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 the agreed- upon day, described the project to the class before our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observation, and obtained consent from both teachers and students to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having their audio and visuals represented in publications. We then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video recorded the lesson and later selected clips emblematic of the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TAs’ performances, focusing on excerpts in which gestures were being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used to coordinate classroom activity, communicate information,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embody their conception of argument. About two weeks after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we observed their self- selected class, we conducted </w:t>
      </w:r>
      <w:proofErr w:type="spellStart"/>
      <w:r w:rsidRPr="002F2A9B">
        <w:rPr>
          <w:rFonts w:cstheme="minorHAnsi"/>
          <w:sz w:val="24"/>
          <w:szCs w:val="24"/>
        </w:rPr>
        <w:t>semistructured</w:t>
      </w:r>
      <w:proofErr w:type="spellEnd"/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interviews with participants, obtaining background information about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 experience, research interests, and writing beliefs. We also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played the selected clips, asking participants to describe their embodied</w:t>
      </w:r>
      <w:r w:rsidR="003C2003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 practices and discuss connections to their classroom aims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scholarly positioning.</w:t>
      </w:r>
    </w:p>
    <w:p w14:paraId="56FDBA13" w14:textId="3723B87D" w:rsidR="00B50795" w:rsidRPr="002F2A9B" w:rsidRDefault="007814E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To analyze our multimodal data, we began by creating screenshots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the teaching clips we had identified prior to our interviews and transcribing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classroom talk from these excerpts. We then transcribed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all four participant interviews and open coded the video and interview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transcripts with attention to (1) disciplinary positioning, (2) student orientation,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(3) views on writing. We organized our coding into a large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spreadsheet. For each instructor, we selected quotes from the interview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that had been coded for each of the three categories. We also described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key embodied moments in which the TAs’ positioning came to the fore.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For example, for Chris, under </w:t>
      </w:r>
      <w:r w:rsidRPr="002F2A9B">
        <w:rPr>
          <w:rFonts w:cstheme="minorHAnsi"/>
          <w:i/>
          <w:iCs/>
          <w:sz w:val="24"/>
          <w:szCs w:val="24"/>
        </w:rPr>
        <w:t>student orientation</w:t>
      </w:r>
      <w:r w:rsidRPr="002F2A9B">
        <w:rPr>
          <w:rFonts w:cstheme="minorHAnsi"/>
          <w:sz w:val="24"/>
          <w:szCs w:val="24"/>
        </w:rPr>
        <w:t>, we had quotes describing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limitations of the composition curriculum, his frustrations with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programmatic outcomes, and his focus on “deprogramming” students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from their high-school learning. Under </w:t>
      </w:r>
      <w:r w:rsidRPr="002F2A9B">
        <w:rPr>
          <w:rFonts w:cstheme="minorHAnsi"/>
          <w:i/>
          <w:iCs/>
          <w:sz w:val="24"/>
          <w:szCs w:val="24"/>
        </w:rPr>
        <w:t>embodied moments</w:t>
      </w:r>
      <w:r w:rsidRPr="002F2A9B">
        <w:rPr>
          <w:rFonts w:cstheme="minorHAnsi"/>
          <w:sz w:val="24"/>
          <w:szCs w:val="24"/>
        </w:rPr>
        <w:t>, we noted his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tendency to face the board while rewording student contributions and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his frequent open- handed stance used to pose rhetorical questions,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among others. After organizing quotes and gestures in this way, we collaboratively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developed a descriptor that captured the nuances of these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perspectives and their embodiments. For Chris’ student orientation, we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used </w:t>
      </w:r>
      <w:r w:rsidRPr="002F2A9B">
        <w:rPr>
          <w:rFonts w:cstheme="minorHAnsi"/>
          <w:i/>
          <w:iCs/>
          <w:sz w:val="24"/>
          <w:szCs w:val="24"/>
        </w:rPr>
        <w:t xml:space="preserve">untrained informant </w:t>
      </w:r>
      <w:r w:rsidRPr="002F2A9B">
        <w:rPr>
          <w:rFonts w:cstheme="minorHAnsi"/>
          <w:sz w:val="24"/>
          <w:szCs w:val="24"/>
        </w:rPr>
        <w:t>to highlight both his emphasis on lack of experience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his authoritative positioning in the classroom. Ultimately, we</w:t>
      </w:r>
      <w:r w:rsidR="00533D86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found that our third category, </w:t>
      </w:r>
      <w:r w:rsidRPr="002F2A9B">
        <w:rPr>
          <w:rFonts w:cstheme="minorHAnsi"/>
          <w:i/>
          <w:iCs/>
          <w:sz w:val="24"/>
          <w:szCs w:val="24"/>
        </w:rPr>
        <w:t>views on writing</w:t>
      </w:r>
      <w:r w:rsidRPr="002F2A9B">
        <w:rPr>
          <w:rFonts w:cstheme="minorHAnsi"/>
          <w:sz w:val="24"/>
          <w:szCs w:val="24"/>
        </w:rPr>
        <w:t>, overlapped substantially</w:t>
      </w:r>
      <w:r w:rsidRPr="002F2A9B">
        <w:rPr>
          <w:rFonts w:cstheme="minorHAnsi"/>
          <w:sz w:val="24"/>
          <w:szCs w:val="24"/>
        </w:rPr>
        <w:t xml:space="preserve"> </w:t>
      </w:r>
      <w:r w:rsidR="00A23BBA" w:rsidRPr="002F2A9B">
        <w:rPr>
          <w:rFonts w:cstheme="minorHAnsi"/>
          <w:sz w:val="24"/>
          <w:szCs w:val="24"/>
        </w:rPr>
        <w:t>with the first two, so we only developed descriptors for each participants’</w:t>
      </w:r>
      <w:r w:rsidR="00A26374">
        <w:rPr>
          <w:rFonts w:cstheme="minorHAnsi"/>
          <w:sz w:val="24"/>
          <w:szCs w:val="24"/>
        </w:rPr>
        <w:t xml:space="preserve"> </w:t>
      </w:r>
      <w:r w:rsidR="00A23BBA" w:rsidRPr="002F2A9B">
        <w:rPr>
          <w:rFonts w:cstheme="minorHAnsi"/>
          <w:sz w:val="24"/>
          <w:szCs w:val="24"/>
        </w:rPr>
        <w:t>disciplinary positioning and student orientation. A full list of descriptors</w:t>
      </w:r>
      <w:r w:rsidR="00A26374">
        <w:rPr>
          <w:rFonts w:cstheme="minorHAnsi"/>
          <w:sz w:val="24"/>
          <w:szCs w:val="24"/>
        </w:rPr>
        <w:t xml:space="preserve"> </w:t>
      </w:r>
      <w:r w:rsidR="00A23BBA" w:rsidRPr="002F2A9B">
        <w:rPr>
          <w:rFonts w:cstheme="minorHAnsi"/>
          <w:sz w:val="24"/>
          <w:szCs w:val="24"/>
        </w:rPr>
        <w:t>and their definitions can be found in table 2.1 above, along with</w:t>
      </w:r>
      <w:r w:rsidR="00A26374">
        <w:rPr>
          <w:rFonts w:cstheme="minorHAnsi"/>
          <w:sz w:val="24"/>
          <w:szCs w:val="24"/>
        </w:rPr>
        <w:t xml:space="preserve"> </w:t>
      </w:r>
      <w:r w:rsidR="00A23BBA" w:rsidRPr="002F2A9B">
        <w:rPr>
          <w:rFonts w:cstheme="minorHAnsi"/>
          <w:sz w:val="24"/>
          <w:szCs w:val="24"/>
        </w:rPr>
        <w:t>information about each of the TAs’ composition courses. Unpacking</w:t>
      </w:r>
      <w:r w:rsidR="00A26374">
        <w:rPr>
          <w:rFonts w:cstheme="minorHAnsi"/>
          <w:sz w:val="24"/>
          <w:szCs w:val="24"/>
        </w:rPr>
        <w:t xml:space="preserve"> </w:t>
      </w:r>
      <w:r w:rsidR="00A23BBA" w:rsidRPr="002F2A9B">
        <w:rPr>
          <w:rFonts w:cstheme="minorHAnsi"/>
          <w:sz w:val="24"/>
          <w:szCs w:val="24"/>
        </w:rPr>
        <w:t>these categories and what they can tell us about TAs’ pedagogical performances</w:t>
      </w:r>
      <w:r w:rsidR="00A26374">
        <w:rPr>
          <w:rFonts w:cstheme="minorHAnsi"/>
          <w:sz w:val="24"/>
          <w:szCs w:val="24"/>
        </w:rPr>
        <w:t xml:space="preserve"> </w:t>
      </w:r>
      <w:r w:rsidR="00A23BBA" w:rsidRPr="002F2A9B">
        <w:rPr>
          <w:rFonts w:cstheme="minorHAnsi"/>
          <w:sz w:val="24"/>
          <w:szCs w:val="24"/>
        </w:rPr>
        <w:t>became the basis for the analysis section of this article.</w:t>
      </w:r>
    </w:p>
    <w:p w14:paraId="2DA91278" w14:textId="645A4267" w:rsidR="00B50795" w:rsidRPr="002F2A9B" w:rsidRDefault="00A23BBA" w:rsidP="004D17D4">
      <w:pPr>
        <w:spacing w:after="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Table 2.1. Teaching assistants by course, disciplinary positioning, and orientation to students</w:t>
      </w:r>
    </w:p>
    <w:tbl>
      <w:tblPr>
        <w:tblStyle w:val="TableGrid"/>
        <w:tblW w:w="0" w:type="auto"/>
        <w:tblLook w:val="0020" w:firstRow="1" w:lastRow="0" w:firstColumn="0" w:lastColumn="0" w:noHBand="0" w:noVBand="0"/>
      </w:tblPr>
      <w:tblGrid>
        <w:gridCol w:w="1287"/>
        <w:gridCol w:w="1632"/>
        <w:gridCol w:w="2971"/>
        <w:gridCol w:w="4180"/>
      </w:tblGrid>
      <w:tr w:rsidR="003F44B6" w:rsidRPr="002F2A9B" w14:paraId="196BCFD1" w14:textId="77777777" w:rsidTr="00015A9E">
        <w:trPr>
          <w:trHeight w:val="288"/>
        </w:trPr>
        <w:tc>
          <w:tcPr>
            <w:tcW w:w="0" w:type="auto"/>
          </w:tcPr>
          <w:p w14:paraId="1C3634F1" w14:textId="77777777" w:rsidR="00A23BBA" w:rsidRPr="002F2A9B" w:rsidRDefault="00A23BBA" w:rsidP="002F2A9B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2F2A9B">
              <w:rPr>
                <w:rFonts w:cstheme="minorHAnsi"/>
                <w:i/>
                <w:iCs/>
                <w:sz w:val="24"/>
                <w:szCs w:val="24"/>
              </w:rPr>
              <w:t>Participant</w:t>
            </w:r>
          </w:p>
        </w:tc>
        <w:tc>
          <w:tcPr>
            <w:tcW w:w="0" w:type="auto"/>
          </w:tcPr>
          <w:p w14:paraId="3499DE7F" w14:textId="77777777" w:rsidR="00A23BBA" w:rsidRPr="002F2A9B" w:rsidRDefault="00A23BBA" w:rsidP="002F2A9B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2F2A9B">
              <w:rPr>
                <w:rFonts w:cstheme="minorHAnsi"/>
                <w:i/>
                <w:iCs/>
                <w:sz w:val="24"/>
                <w:szCs w:val="24"/>
              </w:rPr>
              <w:t>FYC Course</w:t>
            </w:r>
          </w:p>
        </w:tc>
        <w:tc>
          <w:tcPr>
            <w:tcW w:w="0" w:type="auto"/>
          </w:tcPr>
          <w:p w14:paraId="0DF980B6" w14:textId="77777777" w:rsidR="00A23BBA" w:rsidRPr="002F2A9B" w:rsidRDefault="00A23BBA" w:rsidP="002F2A9B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2F2A9B">
              <w:rPr>
                <w:rFonts w:cstheme="minorHAnsi"/>
                <w:i/>
                <w:iCs/>
                <w:sz w:val="24"/>
                <w:szCs w:val="24"/>
              </w:rPr>
              <w:t>Disciplinary Positioning</w:t>
            </w:r>
          </w:p>
        </w:tc>
        <w:tc>
          <w:tcPr>
            <w:tcW w:w="0" w:type="auto"/>
          </w:tcPr>
          <w:p w14:paraId="14FBC2C6" w14:textId="77777777" w:rsidR="00A23BBA" w:rsidRPr="002F2A9B" w:rsidRDefault="00A23BBA" w:rsidP="002F2A9B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2F2A9B">
              <w:rPr>
                <w:rFonts w:cstheme="minorHAnsi"/>
                <w:i/>
                <w:iCs/>
                <w:sz w:val="24"/>
                <w:szCs w:val="24"/>
              </w:rPr>
              <w:t>Orientation to Students</w:t>
            </w:r>
          </w:p>
        </w:tc>
      </w:tr>
      <w:tr w:rsidR="003F44B6" w:rsidRPr="002F2A9B" w14:paraId="136B2644" w14:textId="77777777" w:rsidTr="00015A9E">
        <w:trPr>
          <w:trHeight w:val="288"/>
        </w:trPr>
        <w:tc>
          <w:tcPr>
            <w:tcW w:w="0" w:type="auto"/>
          </w:tcPr>
          <w:p w14:paraId="58104D01" w14:textId="77777777" w:rsidR="00A44AF4" w:rsidRPr="002F2A9B" w:rsidRDefault="00A44AF4" w:rsidP="002F2A9B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Chris</w:t>
            </w:r>
          </w:p>
        </w:tc>
        <w:tc>
          <w:tcPr>
            <w:tcW w:w="0" w:type="auto"/>
          </w:tcPr>
          <w:p w14:paraId="04671587" w14:textId="77777777" w:rsidR="00A44AF4" w:rsidRPr="002F2A9B" w:rsidRDefault="00A44AF4" w:rsidP="002F2A9B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Literature-based</w:t>
            </w:r>
          </w:p>
        </w:tc>
        <w:tc>
          <w:tcPr>
            <w:tcW w:w="0" w:type="auto"/>
          </w:tcPr>
          <w:p w14:paraId="01B1A0AE" w14:textId="22ACC332" w:rsidR="00A44AF4" w:rsidRPr="002F2A9B" w:rsidRDefault="00A44AF4" w:rsidP="00A44AF4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Expert: expertise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in his discipline is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fundamental to his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self-identity and his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role in the classroom</w:t>
            </w:r>
          </w:p>
        </w:tc>
        <w:tc>
          <w:tcPr>
            <w:tcW w:w="0" w:type="auto"/>
          </w:tcPr>
          <w:p w14:paraId="166DF560" w14:textId="781BC453" w:rsidR="00A44AF4" w:rsidRPr="002F2A9B" w:rsidRDefault="00A44AF4" w:rsidP="008524E4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Untrained informant: believes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his experience as an academic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writer can be a resource for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helping “deprogram” students’</w:t>
            </w:r>
            <w:r w:rsidR="008524E4"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writing but doesn’t buy into programmatic vision or goals</w:t>
            </w:r>
          </w:p>
        </w:tc>
      </w:tr>
      <w:tr w:rsidR="003F44B6" w:rsidRPr="002F2A9B" w14:paraId="29526B1B" w14:textId="77777777" w:rsidTr="00015A9E">
        <w:trPr>
          <w:trHeight w:val="288"/>
        </w:trPr>
        <w:tc>
          <w:tcPr>
            <w:tcW w:w="0" w:type="auto"/>
          </w:tcPr>
          <w:p w14:paraId="32D11D11" w14:textId="77777777" w:rsidR="008524E4" w:rsidRPr="002F2A9B" w:rsidRDefault="008524E4" w:rsidP="002F2A9B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Matt</w:t>
            </w:r>
          </w:p>
        </w:tc>
        <w:tc>
          <w:tcPr>
            <w:tcW w:w="0" w:type="auto"/>
          </w:tcPr>
          <w:p w14:paraId="1B54E4D4" w14:textId="77777777" w:rsidR="008524E4" w:rsidRPr="002F2A9B" w:rsidRDefault="008524E4" w:rsidP="002F2A9B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Literature-based</w:t>
            </w:r>
          </w:p>
        </w:tc>
        <w:tc>
          <w:tcPr>
            <w:tcW w:w="0" w:type="auto"/>
          </w:tcPr>
          <w:p w14:paraId="22DB4FB7" w14:textId="7E6BFB94" w:rsidR="008524E4" w:rsidRPr="002F2A9B" w:rsidRDefault="008524E4" w:rsidP="003F44B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F2A9B">
              <w:rPr>
                <w:rFonts w:cstheme="minorHAnsi"/>
                <w:sz w:val="24"/>
                <w:szCs w:val="24"/>
              </w:rPr>
              <w:t>Flâneur</w:t>
            </w:r>
            <w:proofErr w:type="spellEnd"/>
            <w:r w:rsidRPr="002F2A9B">
              <w:rPr>
                <w:rFonts w:cstheme="minorHAnsi"/>
                <w:sz w:val="24"/>
                <w:szCs w:val="24"/>
              </w:rPr>
              <w:t>: confident in</w:t>
            </w:r>
            <w:r w:rsidR="003F44B6"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his disciplinary knowledge but likes to move</w:t>
            </w:r>
            <w:r w:rsidR="003F44B6"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between disciplines</w:t>
            </w:r>
            <w:r w:rsidR="003F44B6"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in ways that suit his</w:t>
            </w:r>
            <w:r w:rsidR="003F44B6"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“weird” interests</w:t>
            </w:r>
          </w:p>
        </w:tc>
        <w:tc>
          <w:tcPr>
            <w:tcW w:w="0" w:type="auto"/>
          </w:tcPr>
          <w:p w14:paraId="528DE9E2" w14:textId="2DAD208A" w:rsidR="008524E4" w:rsidRPr="002F2A9B" w:rsidRDefault="008524E4" w:rsidP="003F44B6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 xml:space="preserve">Coordinator of </w:t>
            </w:r>
            <w:proofErr w:type="gramStart"/>
            <w:r w:rsidRPr="002F2A9B">
              <w:rPr>
                <w:rFonts w:cstheme="minorHAnsi"/>
                <w:sz w:val="24"/>
                <w:szCs w:val="24"/>
              </w:rPr>
              <w:t>chaos:</w:t>
            </w:r>
            <w:proofErr w:type="gramEnd"/>
            <w:r w:rsidRPr="002F2A9B">
              <w:rPr>
                <w:rFonts w:cstheme="minorHAnsi"/>
                <w:sz w:val="24"/>
                <w:szCs w:val="24"/>
              </w:rPr>
              <w:t xml:space="preserve"> wants students to experience an authentic</w:t>
            </w:r>
            <w:r w:rsidR="003F44B6"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exploration of ideas. He coordinates conversation to the degree</w:t>
            </w:r>
            <w:r w:rsidR="003F44B6"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 xml:space="preserve">he feels </w:t>
            </w:r>
            <w:proofErr w:type="gramStart"/>
            <w:r w:rsidRPr="002F2A9B">
              <w:rPr>
                <w:rFonts w:cstheme="minorHAnsi"/>
                <w:sz w:val="24"/>
                <w:szCs w:val="24"/>
              </w:rPr>
              <w:t>necessary, but</w:t>
            </w:r>
            <w:proofErr w:type="gramEnd"/>
            <w:r w:rsidRPr="002F2A9B">
              <w:rPr>
                <w:rFonts w:cstheme="minorHAnsi"/>
                <w:sz w:val="24"/>
                <w:szCs w:val="24"/>
              </w:rPr>
              <w:t xml:space="preserve"> is also</w:t>
            </w:r>
            <w:r w:rsidR="003F44B6"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invested in foregrounding student voices.</w:t>
            </w:r>
          </w:p>
        </w:tc>
      </w:tr>
      <w:tr w:rsidR="003F44B6" w:rsidRPr="002F2A9B" w14:paraId="4F2A8D62" w14:textId="77777777" w:rsidTr="00015A9E">
        <w:trPr>
          <w:trHeight w:val="288"/>
        </w:trPr>
        <w:tc>
          <w:tcPr>
            <w:tcW w:w="0" w:type="auto"/>
          </w:tcPr>
          <w:p w14:paraId="0585BCDD" w14:textId="77777777" w:rsidR="003F44B6" w:rsidRPr="002F2A9B" w:rsidRDefault="003F44B6" w:rsidP="002F2A9B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Cleo</w:t>
            </w:r>
          </w:p>
        </w:tc>
        <w:tc>
          <w:tcPr>
            <w:tcW w:w="0" w:type="auto"/>
          </w:tcPr>
          <w:p w14:paraId="76AB13DE" w14:textId="1AA2C376" w:rsidR="003F44B6" w:rsidRPr="002F2A9B" w:rsidRDefault="003F44B6" w:rsidP="003F44B6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Stretch version,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nonfiction</w:t>
            </w:r>
          </w:p>
        </w:tc>
        <w:tc>
          <w:tcPr>
            <w:tcW w:w="0" w:type="auto"/>
          </w:tcPr>
          <w:p w14:paraId="1C262496" w14:textId="2FAE8CD2" w:rsidR="003F44B6" w:rsidRPr="002F2A9B" w:rsidRDefault="003F44B6" w:rsidP="003F44B6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Pragmatist: disciplinary knowledge informs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teaching, and teaching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informs disciplinary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interests (recursive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relationship)</w:t>
            </w:r>
          </w:p>
        </w:tc>
        <w:tc>
          <w:tcPr>
            <w:tcW w:w="0" w:type="auto"/>
          </w:tcPr>
          <w:p w14:paraId="7E56488F" w14:textId="29766A98" w:rsidR="003F44B6" w:rsidRPr="002F2A9B" w:rsidRDefault="003F44B6" w:rsidP="003F44B6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Connection maker: emphasizes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the relationship between lessons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and students’ prior experiences,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highlighting the role of their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incoming knowledge in learning</w:t>
            </w:r>
          </w:p>
        </w:tc>
      </w:tr>
      <w:tr w:rsidR="003F44B6" w:rsidRPr="002F2A9B" w14:paraId="11CEFAF7" w14:textId="77777777" w:rsidTr="00015A9E">
        <w:trPr>
          <w:trHeight w:val="288"/>
        </w:trPr>
        <w:tc>
          <w:tcPr>
            <w:tcW w:w="0" w:type="auto"/>
          </w:tcPr>
          <w:p w14:paraId="0CAE0327" w14:textId="77777777" w:rsidR="003F44B6" w:rsidRPr="002F2A9B" w:rsidRDefault="003F44B6" w:rsidP="002F2A9B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Greg</w:t>
            </w:r>
          </w:p>
        </w:tc>
        <w:tc>
          <w:tcPr>
            <w:tcW w:w="0" w:type="auto"/>
          </w:tcPr>
          <w:p w14:paraId="0ABBA665" w14:textId="273D23EA" w:rsidR="003F44B6" w:rsidRPr="002F2A9B" w:rsidRDefault="003F44B6" w:rsidP="003F44B6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Multilingual,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nonfiction</w:t>
            </w:r>
          </w:p>
        </w:tc>
        <w:tc>
          <w:tcPr>
            <w:tcW w:w="0" w:type="auto"/>
          </w:tcPr>
          <w:p w14:paraId="5BEB1F25" w14:textId="67B1797F" w:rsidR="003F44B6" w:rsidRPr="002F2A9B" w:rsidRDefault="003F44B6" w:rsidP="003F44B6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Practitioner: frames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research interests and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scholarship in relation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to his experiences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teaching</w:t>
            </w:r>
          </w:p>
        </w:tc>
        <w:tc>
          <w:tcPr>
            <w:tcW w:w="0" w:type="auto"/>
          </w:tcPr>
          <w:p w14:paraId="6616BFF5" w14:textId="2784D67E" w:rsidR="003F44B6" w:rsidRPr="002F2A9B" w:rsidRDefault="003F44B6" w:rsidP="003F44B6">
            <w:pPr>
              <w:rPr>
                <w:rFonts w:cstheme="minorHAnsi"/>
                <w:sz w:val="24"/>
                <w:szCs w:val="24"/>
              </w:rPr>
            </w:pPr>
            <w:r w:rsidRPr="002F2A9B">
              <w:rPr>
                <w:rFonts w:cstheme="minorHAnsi"/>
                <w:sz w:val="24"/>
                <w:szCs w:val="24"/>
              </w:rPr>
              <w:t>Activity organizer: spontaneously leverages student and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environmental affordances to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guide the learning process,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F2A9B">
              <w:rPr>
                <w:rFonts w:cstheme="minorHAnsi"/>
                <w:sz w:val="24"/>
                <w:szCs w:val="24"/>
              </w:rPr>
              <w:t>drawing on his extensive teaching experience</w:t>
            </w:r>
          </w:p>
        </w:tc>
      </w:tr>
    </w:tbl>
    <w:p w14:paraId="1EA828A9" w14:textId="77777777" w:rsidR="00B50795" w:rsidRPr="002F2A9B" w:rsidRDefault="00B50795" w:rsidP="002F2A9B">
      <w:pPr>
        <w:rPr>
          <w:rFonts w:cstheme="minorHAnsi"/>
          <w:sz w:val="24"/>
          <w:szCs w:val="24"/>
        </w:rPr>
      </w:pPr>
    </w:p>
    <w:p w14:paraId="763E4A33" w14:textId="7623F8AC" w:rsidR="000C7A8A" w:rsidRPr="002F2A9B" w:rsidRDefault="000C7A8A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Finally, our transcription approach for this article was informed by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Sigrid Norris’s (2004) ethnographic research on German women’s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identity construction. Her framework incorporates both embodied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modes (gesture, gaze, posture, etc.) and disembodied modes (music,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written/printed text, layout). Norris transcribed talk over screen clips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of video data </w:t>
      </w:r>
      <w:proofErr w:type="gramStart"/>
      <w:r w:rsidRPr="002F2A9B">
        <w:rPr>
          <w:rFonts w:cstheme="minorHAnsi"/>
          <w:sz w:val="24"/>
          <w:szCs w:val="24"/>
        </w:rPr>
        <w:t>in order to</w:t>
      </w:r>
      <w:proofErr w:type="gramEnd"/>
      <w:r w:rsidRPr="002F2A9B">
        <w:rPr>
          <w:rFonts w:cstheme="minorHAnsi"/>
          <w:sz w:val="24"/>
          <w:szCs w:val="24"/>
        </w:rPr>
        <w:t xml:space="preserve"> emphasize relationships between movement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discourse. We also selected snapshots to showcase embodied modes,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but for ease of readability, we numbered those snapshots and put them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alongside the discourse. Ultimately, this method enabled us to draw on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both interviews and transcribed video excerpts in our analysis to highlight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various contradictions and connections visible in participants’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pedagogical performances. As previously mentioned, we were unable to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include the original screenshots in this chapter but have recreated the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gestures we analyzed.</w:t>
      </w:r>
    </w:p>
    <w:p w14:paraId="4EB18861" w14:textId="1A660534" w:rsidR="000C7A8A" w:rsidRPr="002F2A9B" w:rsidRDefault="000C7A8A" w:rsidP="00D7797B">
      <w:pPr>
        <w:pStyle w:val="Heading1"/>
      </w:pPr>
      <w:r w:rsidRPr="002F2A9B">
        <w:t>BACKGROUND ON PARTICIPANTS</w:t>
      </w:r>
    </w:p>
    <w:p w14:paraId="439E6EEE" w14:textId="01203D98" w:rsidR="000C7A8A" w:rsidRPr="002F2A9B" w:rsidRDefault="000C7A8A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The four TA participants in this project— Chris, Matt, Cleo, and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Greg1— were pursuing their PhDs from the same English department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but had varied academic specialties and teaching backgrounds. They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all were in their second year of teaching composition within a writing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program that has a WAC approach, uses program- wide outcomes, and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gives TAs flexibility in course design. Our research participants had all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completed a new TA orientation and taken a practicum course during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first year of teaching. Greg, though a new TA in this context, had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over six years of teaching experience internationally through the Peace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Corps and in other university contexts. He was teaching a multilingual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section of a nonfiction FYC course and studying composition and multilingual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pedagogy. Chris and Matt were teaching literature- based </w:t>
      </w:r>
      <w:r w:rsidR="00D7797B" w:rsidRPr="002F2A9B">
        <w:rPr>
          <w:rFonts w:cstheme="minorHAnsi"/>
          <w:sz w:val="24"/>
          <w:szCs w:val="24"/>
        </w:rPr>
        <w:t>first-year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composition (FYC) courses and were literature scholars. Finally,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Cleo was teaching the first of two courses in a stretch version of FYC for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underprepared students. While she was primarily a literature scholar,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she was also interested in pedagogical applications of literature for writing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studies. After our study, both Cleo and Greg would take on leadership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roles as graduate student assistant directors of the first- year writing</w:t>
      </w:r>
      <w:r w:rsidR="00D7797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program, training and supporting new </w:t>
      </w:r>
      <w:proofErr w:type="spellStart"/>
      <w:r w:rsidRPr="002F2A9B">
        <w:rPr>
          <w:rFonts w:cstheme="minorHAnsi"/>
          <w:sz w:val="24"/>
          <w:szCs w:val="24"/>
        </w:rPr>
        <w:t>TAs.</w:t>
      </w:r>
      <w:proofErr w:type="spellEnd"/>
    </w:p>
    <w:p w14:paraId="067AD39E" w14:textId="15FBDA5A" w:rsidR="006B0C63" w:rsidRPr="002F2A9B" w:rsidRDefault="000C7A8A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Given their range of experiences, each TA has a different perspective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 what constitutes good writing and how the composition course can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support it. Chris and Matt ground their ideas about writing in their own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experience as academic writers. Chris is somewhat resistant to the writing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program goals, mainly because he feels teaching composition is outside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his area of expertise. He draws on his experiences as an academic writer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inform his pedagogy, ultimately believing good writing is tied to the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larger educational goals of developing “nuanced, critical thought.” He is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willing to align with the composition program’s outcomes to the extent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that they can foster this complex thinking but also expresses frequent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concern that students will be unable to engage flexibly or situationally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with the writing practices he is teaching, “that they perhaps become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wedded to it.” Much like Chris, Matt is invested in complicating student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thinking within the classroom and destabilizing assumptions about a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text, an object, or the world. For him, good writing facilitates this complex</w:t>
      </w:r>
      <w:r w:rsidR="00FF7C1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thinking or opportunities for what he describes as a “second look.”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Rather than carefully structuring his classes to teach complexity, however,</w:t>
      </w:r>
      <w:r w:rsidRPr="002F2A9B">
        <w:rPr>
          <w:rFonts w:cstheme="minorHAnsi"/>
          <w:sz w:val="24"/>
          <w:szCs w:val="24"/>
        </w:rPr>
        <w:t xml:space="preserve"> </w:t>
      </w:r>
      <w:r w:rsidR="006B0C63" w:rsidRPr="002F2A9B">
        <w:rPr>
          <w:rFonts w:cstheme="minorHAnsi"/>
          <w:sz w:val="24"/>
          <w:szCs w:val="24"/>
        </w:rPr>
        <w:t>Matt favors an improvisational classroom atmosphere in which students</w:t>
      </w:r>
      <w:r w:rsidR="007064B9">
        <w:rPr>
          <w:rFonts w:cstheme="minorHAnsi"/>
          <w:sz w:val="24"/>
          <w:szCs w:val="24"/>
        </w:rPr>
        <w:t xml:space="preserve"> </w:t>
      </w:r>
      <w:r w:rsidR="006B0C63" w:rsidRPr="002F2A9B">
        <w:rPr>
          <w:rFonts w:cstheme="minorHAnsi"/>
          <w:sz w:val="24"/>
          <w:szCs w:val="24"/>
        </w:rPr>
        <w:t>arrive at understandings of writing through dialogue about texts.</w:t>
      </w:r>
    </w:p>
    <w:p w14:paraId="0BFB4E20" w14:textId="40DABAE7" w:rsidR="006B0C63" w:rsidRPr="002F2A9B" w:rsidRDefault="006B0C63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In contrast, Cleo and Greg are more inclined to rely on programmatic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teacherly knowledge to shape their understandings of good writing.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Cleo structures her course content around the writing program’s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standardized goals, pedagogical values, and shared jargon. However, her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past experiences as an underrepresented college student, coming from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same high school as many of her current students, also make her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empathetic to student experience. She endeavors to recognize and value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knowledge her students bring with them into the classroom. Ideal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 writing for Cleo, then, leverages previous writing strategies but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contextualizes them within the language and goals of the university’s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composition program. Finally, as someone who has taught a wide variety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students in both local and international contexts, Greg’s understanding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good writing is grounded in what he has seen as the biggest challenges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for his prior composition students. For example, when discussing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argument, Greg notes, “I was seeing a lot of students make a claim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that wasn’t debatable at all</w:t>
      </w:r>
      <w:proofErr w:type="gramStart"/>
      <w:r w:rsidRPr="002F2A9B">
        <w:rPr>
          <w:rFonts w:cstheme="minorHAnsi"/>
          <w:sz w:val="24"/>
          <w:szCs w:val="24"/>
        </w:rPr>
        <w:t>. . . .</w:t>
      </w:r>
      <w:proofErr w:type="gramEnd"/>
      <w:r w:rsidRPr="002F2A9B">
        <w:rPr>
          <w:rFonts w:cstheme="minorHAnsi"/>
          <w:sz w:val="24"/>
          <w:szCs w:val="24"/>
        </w:rPr>
        <w:t xml:space="preserve"> It was sort of like an accepted truth for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target audience or something so extreme that they would never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convince [them].” Thus, his lesson focuses on encouraging students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articulate specific claims and subclaims that warrant debate. While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Greg has his own perspective on good writing, student contributions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are central to communicating this perspective. In his classroom, Greg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relies on experiential knowledge to adjust his lessons responsively to student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needs and available class time, space, and resources. To showcase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patterns within new TA demographics, the next section of this chapter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is organized so TAs with tension between their scholarly interests and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 are compared to those with scholar identities that work in concert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with their teaching identities.</w:t>
      </w:r>
    </w:p>
    <w:p w14:paraId="2DF243AF" w14:textId="2490FF23" w:rsidR="006B0C63" w:rsidRPr="002F2A9B" w:rsidRDefault="006B0C63" w:rsidP="007064B9">
      <w:pPr>
        <w:pStyle w:val="Heading1"/>
      </w:pPr>
      <w:r w:rsidRPr="002F2A9B">
        <w:t>CHRIS AND MATT: NEGOTIATING DIVERGENT</w:t>
      </w:r>
      <w:r w:rsidR="007064B9">
        <w:t xml:space="preserve"> </w:t>
      </w:r>
      <w:r w:rsidRPr="002F2A9B">
        <w:t>DISCIPLINARY AND TEACHING IDENTITIES</w:t>
      </w:r>
    </w:p>
    <w:p w14:paraId="7B8B6DC3" w14:textId="5330C3BC" w:rsidR="006B0C63" w:rsidRPr="002F2A9B" w:rsidRDefault="006B0C63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For TAs involved in large composition programs, Chris and Matt offer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familiar personas. We are well accustomed to the English PhD students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whose primary focus in graduate school is the advancement of literary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scholarship. They are often grateful for the teaching experience and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opportunity to fund their education but less enthusiastic about composition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curriculum. These TAs may be visible in practicum courses as resistant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voices, the tensions in how they are identifying as scholars and as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teachers more immediately apparent than the rhetoric and composition</w:t>
      </w:r>
      <w:r w:rsidRPr="002F2A9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TAs we discuss in the next section. While Chris and Matt may seem familiar,</w:t>
      </w:r>
      <w:r w:rsidR="007064B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however, a closer examination of how they embody contradictions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their pedagogical performances can destabilize our assumptions. This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analysis provides new perspectives into the challenges literary scholars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face as TAs in composition programs, as well as their potential affordances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for negotiating this liminal position.</w:t>
      </w:r>
    </w:p>
    <w:p w14:paraId="3599BCEF" w14:textId="3BD98A19" w:rsidR="006B0C63" w:rsidRPr="002F2A9B" w:rsidRDefault="006B0C63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In relation to his field, we label Chris a </w:t>
      </w:r>
      <w:r w:rsidRPr="002F2A9B">
        <w:rPr>
          <w:rFonts w:cstheme="minorHAnsi"/>
          <w:i/>
          <w:iCs/>
          <w:sz w:val="24"/>
          <w:szCs w:val="24"/>
        </w:rPr>
        <w:t xml:space="preserve">disciplinary expert </w:t>
      </w:r>
      <w:r w:rsidRPr="002F2A9B">
        <w:rPr>
          <w:rFonts w:cstheme="minorHAnsi"/>
          <w:sz w:val="24"/>
          <w:szCs w:val="24"/>
        </w:rPr>
        <w:t>because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his identity as a medieval literature scholar is fundamental to his </w:t>
      </w:r>
      <w:r w:rsidR="00B11962" w:rsidRPr="002F2A9B">
        <w:rPr>
          <w:rFonts w:cstheme="minorHAnsi"/>
          <w:sz w:val="24"/>
          <w:szCs w:val="24"/>
        </w:rPr>
        <w:t>self-understanding</w:t>
      </w:r>
      <w:r w:rsidRPr="002F2A9B">
        <w:rPr>
          <w:rFonts w:cstheme="minorHAnsi"/>
          <w:sz w:val="24"/>
          <w:szCs w:val="24"/>
        </w:rPr>
        <w:t>,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much of his knowledge about writing is tied to his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disciplinary experiences. Early on in his interview, when asked about his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scholarship, Chris provided the longest and most specific explanation of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his field: “I work on Anglo- Latin literary culture from 500 to 1100. I specialize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particularly in Latin- Latin glosses, Latin- Anglo- Saxon glosses, and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Anglo- Saxon pedagogical approaches.” This well- developed disciplinary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identity continued to manifest in various ways throughout our conversation,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from mentioning “a junior colleague of mine at Oxford” to spontaneous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literary references. Meanwhile, Chris’s clear scholarly identity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shapes his understandings of writing. For example, when asked about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his incoming knowledge of argument, he gave a lengthy anecdote about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his recent experiences with publishing an academic journal article to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demonstrate how much one’s work changes over time. In the field of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medieval literature, Chris experiences writing as highly situational, iterative,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complex, and he hopes to translate this perspective to students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his introductory writing courses as well.</w:t>
      </w:r>
    </w:p>
    <w:p w14:paraId="177E2479" w14:textId="2160882B" w:rsidR="008F22BD" w:rsidRPr="002F2A9B" w:rsidRDefault="006B0C63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In orienting to his students, Chris also takes on an expert role, but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one he attributes to his experiences writing as an academic and not to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training in composition; we call this identity the </w:t>
      </w:r>
      <w:r w:rsidRPr="002F2A9B">
        <w:rPr>
          <w:rFonts w:cstheme="minorHAnsi"/>
          <w:i/>
          <w:iCs/>
          <w:sz w:val="24"/>
          <w:szCs w:val="24"/>
        </w:rPr>
        <w:t>untrained informant</w:t>
      </w:r>
      <w:r w:rsidRPr="002F2A9B">
        <w:rPr>
          <w:rFonts w:cstheme="minorHAnsi"/>
          <w:sz w:val="24"/>
          <w:szCs w:val="24"/>
        </w:rPr>
        <w:t>.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Chris described feeling underprepared to teach writing, especially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nonnative English speakers. However, he still imagines a role for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himself in “deprogramming” students away from the assumptions they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bring from high- school writing experiences that writing is straightforward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formulaic: “That’s been so beaten into them as they work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towards you know their SATs and things like that and so deprogramming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them can be a challenge.” For Chris, the primary goal for his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courses is to teach students to begin to recognize and appreciate the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complexity and nuance of academic writing processes. However, he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struggles with teaching the course outcomes in ways that can emphasize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this nuance and situational awareness. For example, when asked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how he might revise a lesson on complex claims that broke down the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component parts of argument one by one, he discussed the possibility</w:t>
      </w:r>
      <w:r w:rsidR="00B11962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ending the PowerPoint with “talking about the iterative nature of</w:t>
      </w:r>
      <w:r w:rsidRPr="002F2A9B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writing and how like this isn’t a one- size- fits- all approach . . . at the same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time I’m wondering if that might not confuse issues more.” Here, he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has trouble reconciling his scholarly understanding that writing is iterative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and situational with student expectations that they will learn a set of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clearly defined writing skills during the course. He wants to complicate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their assumptions but also worries about the impact this complication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will have on the writing they produce. He fears what he teaches will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ultimately be taken up just like their previous writing “rules.” Thus, his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experiences offer an opportunity for TAs to reflect on how they mitigate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the tensions between their own understanding of writing and their</w:t>
      </w:r>
      <w:r w:rsidR="003A3952">
        <w:rPr>
          <w:rFonts w:cstheme="minorHAnsi"/>
          <w:sz w:val="24"/>
          <w:szCs w:val="24"/>
        </w:rPr>
        <w:t xml:space="preserve"> </w:t>
      </w:r>
      <w:r w:rsidR="008F22BD" w:rsidRPr="002F2A9B">
        <w:rPr>
          <w:rFonts w:cstheme="minorHAnsi"/>
          <w:sz w:val="24"/>
          <w:szCs w:val="24"/>
        </w:rPr>
        <w:t>views of students’ expectations.</w:t>
      </w:r>
    </w:p>
    <w:p w14:paraId="6A24FBAC" w14:textId="04EB31B3" w:rsidR="008F22BD" w:rsidRPr="002F2A9B" w:rsidRDefault="008F22BD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As an untrained expert, Chris is in charge in his classroom, standing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at the front of the room and using the chalkboard and PowerPoint to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communicate information. While he often solicits student participation,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responses are typically used as starting points to arrive at his own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insights about writing. As he writes student responses on the board, he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usually faces it and records his own version of the comment. In turning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the board, he physically creates an opportunity to reinterpret student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answers in line with his aims for the discussion. Another frequent mode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student engagement for Chris is to ask a question with an obvious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answer and pose with his arms open (figure 2.1c). This mode allows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Chris to solicit student participation while maintaining control over the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direction of the class conversation; students are positioned as contributors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an existing line of discussion.</w:t>
      </w:r>
    </w:p>
    <w:p w14:paraId="5C819401" w14:textId="323656F1" w:rsidR="008F22BD" w:rsidRPr="002F2A9B" w:rsidRDefault="008F22BD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As the expert in the room, Chris’s gestures emphasize what he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believes to be at the core of successful college- level writing— nuanced,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complex thinking. Midway through explaining the component parts of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 complex argument, he hit the air three times with his fist: “Nuance,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nuance, nuance. Be nuanced in your thinking! That’s the most important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thing that you’re going to take out of this class is nuanced thinking,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right?” His lesson on complex claims suggested this nuance could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manifest in </w:t>
      </w:r>
      <w:proofErr w:type="gramStart"/>
      <w:r w:rsidRPr="002F2A9B">
        <w:rPr>
          <w:rFonts w:cstheme="minorHAnsi"/>
          <w:sz w:val="24"/>
          <w:szCs w:val="24"/>
        </w:rPr>
        <w:t>a number of</w:t>
      </w:r>
      <w:proofErr w:type="gramEnd"/>
      <w:r w:rsidRPr="002F2A9B">
        <w:rPr>
          <w:rFonts w:cstheme="minorHAnsi"/>
          <w:sz w:val="24"/>
          <w:szCs w:val="24"/>
        </w:rPr>
        <w:t xml:space="preserve"> ways— from getting specific about a text to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intertextual engagement. He ties comments about nuance to lessons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about how to structure both a complex claim and a </w:t>
      </w:r>
      <w:proofErr w:type="gramStart"/>
      <w:r w:rsidRPr="002F2A9B">
        <w:rPr>
          <w:rFonts w:cstheme="minorHAnsi"/>
          <w:sz w:val="24"/>
          <w:szCs w:val="24"/>
        </w:rPr>
        <w:t>paper as a whole,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calling</w:t>
      </w:r>
      <w:proofErr w:type="gramEnd"/>
      <w:r w:rsidRPr="002F2A9B">
        <w:rPr>
          <w:rFonts w:cstheme="minorHAnsi"/>
          <w:sz w:val="24"/>
          <w:szCs w:val="24"/>
        </w:rPr>
        <w:t xml:space="preserve"> for students to integrate ideas and make connections throughout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length of the paper. The following excerpt aligns with figure</w:t>
      </w:r>
      <w:r w:rsidR="003B0A49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2.1a–g.</w:t>
      </w:r>
    </w:p>
    <w:p w14:paraId="1ED5E01E" w14:textId="563DB660" w:rsidR="00B50795" w:rsidRPr="00BD588F" w:rsidRDefault="008F22BD" w:rsidP="00BD588F">
      <w:pPr>
        <w:pStyle w:val="NoSpacing"/>
        <w:ind w:left="720" w:hanging="720"/>
        <w:rPr>
          <w:sz w:val="24"/>
          <w:szCs w:val="24"/>
        </w:rPr>
      </w:pPr>
      <w:r w:rsidRPr="00BD588F">
        <w:rPr>
          <w:sz w:val="24"/>
          <w:szCs w:val="24"/>
        </w:rPr>
        <w:t>Chris: [2.1a] You see how you start doing that? You start introducing</w:t>
      </w:r>
      <w:r w:rsidR="00781EDB" w:rsidRPr="00BD588F">
        <w:rPr>
          <w:sz w:val="24"/>
          <w:szCs w:val="24"/>
        </w:rPr>
        <w:t xml:space="preserve"> </w:t>
      </w:r>
      <w:r w:rsidRPr="00BD588F">
        <w:rPr>
          <w:sz w:val="24"/>
          <w:szCs w:val="24"/>
        </w:rPr>
        <w:t>[</w:t>
      </w:r>
      <w:r w:rsidRPr="00BD588F">
        <w:rPr>
          <w:i/>
          <w:iCs/>
          <w:sz w:val="24"/>
          <w:szCs w:val="24"/>
        </w:rPr>
        <w:t>makes winding motion with both hands</w:t>
      </w:r>
      <w:r w:rsidRPr="00BD588F">
        <w:rPr>
          <w:sz w:val="24"/>
          <w:szCs w:val="24"/>
        </w:rPr>
        <w:t>] other ideas? [2.1b] Now do</w:t>
      </w:r>
      <w:r w:rsidR="00781EDB" w:rsidRPr="00BD588F">
        <w:rPr>
          <w:sz w:val="24"/>
          <w:szCs w:val="24"/>
        </w:rPr>
        <w:t xml:space="preserve"> </w:t>
      </w:r>
      <w:r w:rsidRPr="00BD588F">
        <w:rPr>
          <w:sz w:val="24"/>
          <w:szCs w:val="24"/>
        </w:rPr>
        <w:t>you just drop it in here and never come back to that? [2.1c] No,</w:t>
      </w:r>
      <w:r w:rsidR="00781EDB" w:rsidRPr="00BD588F">
        <w:rPr>
          <w:sz w:val="24"/>
          <w:szCs w:val="24"/>
        </w:rPr>
        <w:t xml:space="preserve"> </w:t>
      </w:r>
      <w:r w:rsidRPr="00BD588F">
        <w:rPr>
          <w:sz w:val="24"/>
          <w:szCs w:val="24"/>
        </w:rPr>
        <w:t>you’ll want to engage with it at some point and it’s oftentimes good</w:t>
      </w:r>
      <w:r w:rsidRPr="00BD588F">
        <w:rPr>
          <w:sz w:val="24"/>
          <w:szCs w:val="24"/>
        </w:rPr>
        <w:t xml:space="preserve"> </w:t>
      </w:r>
      <w:r w:rsidRPr="00BD588F">
        <w:rPr>
          <w:sz w:val="24"/>
          <w:szCs w:val="24"/>
        </w:rPr>
        <w:t>to engage with [2.1d–f] that other idea or that other perspective</w:t>
      </w:r>
      <w:r w:rsidR="00781EDB" w:rsidRPr="00BD588F">
        <w:rPr>
          <w:sz w:val="24"/>
          <w:szCs w:val="24"/>
        </w:rPr>
        <w:t xml:space="preserve"> </w:t>
      </w:r>
      <w:r w:rsidRPr="00BD588F">
        <w:rPr>
          <w:sz w:val="24"/>
          <w:szCs w:val="24"/>
        </w:rPr>
        <w:t>throughout [</w:t>
      </w:r>
      <w:r w:rsidRPr="00BD588F">
        <w:rPr>
          <w:i/>
          <w:iCs/>
          <w:sz w:val="24"/>
          <w:szCs w:val="24"/>
        </w:rPr>
        <w:t>goes back and repeats spiral twice more</w:t>
      </w:r>
      <w:r w:rsidRPr="00BD588F">
        <w:rPr>
          <w:sz w:val="24"/>
          <w:szCs w:val="24"/>
        </w:rPr>
        <w:t>] throughout your</w:t>
      </w:r>
      <w:r w:rsidR="00781EDB" w:rsidRPr="00BD588F">
        <w:rPr>
          <w:sz w:val="24"/>
          <w:szCs w:val="24"/>
        </w:rPr>
        <w:t xml:space="preserve"> </w:t>
      </w:r>
      <w:r w:rsidRPr="00BD588F">
        <w:rPr>
          <w:sz w:val="24"/>
          <w:szCs w:val="24"/>
        </w:rPr>
        <w:t>paper, kind of weaving it in rather than [2.1g] relegating it to a paragraph</w:t>
      </w:r>
      <w:r w:rsidR="00781EDB" w:rsidRPr="00BD588F">
        <w:rPr>
          <w:sz w:val="24"/>
          <w:szCs w:val="24"/>
        </w:rPr>
        <w:t xml:space="preserve"> </w:t>
      </w:r>
      <w:r w:rsidRPr="00BD588F">
        <w:rPr>
          <w:sz w:val="24"/>
          <w:szCs w:val="24"/>
        </w:rPr>
        <w:t>at the end before the conclusion.</w:t>
      </w:r>
    </w:p>
    <w:p w14:paraId="077BC7FF" w14:textId="17B7AB19" w:rsidR="008F22BD" w:rsidRPr="002F2A9B" w:rsidRDefault="009528A1" w:rsidP="001F5B6E">
      <w:pPr>
        <w:pStyle w:val="NoSpacing"/>
      </w:pPr>
      <w:r w:rsidRPr="002F2A9B">
        <w:rPr>
          <w:noProof/>
        </w:rPr>
        <w:drawing>
          <wp:inline distT="0" distB="0" distL="0" distR="0" wp14:anchorId="61C62783" wp14:editId="1C7A3AFA">
            <wp:extent cx="2624328" cy="3657600"/>
            <wp:effectExtent l="0" t="0" r="5080" b="0"/>
            <wp:docPr id="6" name="Picture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328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BFAFB" w14:textId="10237DA5" w:rsidR="008F22BD" w:rsidRPr="002F2A9B" w:rsidRDefault="00EA0369" w:rsidP="001F5B6E">
      <w:pPr>
        <w:pStyle w:val="NoSpacing"/>
      </w:pPr>
      <w:r w:rsidRPr="002F2A9B">
        <w:rPr>
          <w:i/>
          <w:iCs/>
        </w:rPr>
        <w:t xml:space="preserve">Figure 2.1. Chris’s weaving gesture uses his </w:t>
      </w:r>
      <w:r w:rsidR="001F5B6E" w:rsidRPr="002F2A9B">
        <w:rPr>
          <w:i/>
          <w:iCs/>
        </w:rPr>
        <w:t>finger</w:t>
      </w:r>
      <w:r w:rsidRPr="002F2A9B">
        <w:rPr>
          <w:i/>
          <w:iCs/>
        </w:rPr>
        <w:t xml:space="preserve"> to trace the integration o</w:t>
      </w:r>
      <w:r w:rsidR="001F5B6E">
        <w:rPr>
          <w:i/>
          <w:iCs/>
        </w:rPr>
        <w:t>f</w:t>
      </w:r>
      <w:r w:rsidRPr="002F2A9B">
        <w:rPr>
          <w:rFonts w:eastAsia="MVYPRT蠑ｫOptima-Italic"/>
          <w:i/>
          <w:iCs/>
        </w:rPr>
        <w:t xml:space="preserve"> </w:t>
      </w:r>
      <w:r w:rsidRPr="002F2A9B">
        <w:rPr>
          <w:i/>
          <w:iCs/>
        </w:rPr>
        <w:t>the student’s</w:t>
      </w:r>
      <w:r w:rsidR="00BD588F">
        <w:rPr>
          <w:i/>
          <w:iCs/>
        </w:rPr>
        <w:t xml:space="preserve"> </w:t>
      </w:r>
      <w:r w:rsidRPr="002F2A9B">
        <w:rPr>
          <w:i/>
          <w:iCs/>
        </w:rPr>
        <w:t>argument at different stages of their paper.</w:t>
      </w:r>
    </w:p>
    <w:p w14:paraId="7158E28E" w14:textId="77777777" w:rsidR="008F22BD" w:rsidRPr="002F2A9B" w:rsidRDefault="008F22BD" w:rsidP="002F2A9B">
      <w:pPr>
        <w:rPr>
          <w:rFonts w:cstheme="minorHAnsi"/>
          <w:sz w:val="24"/>
          <w:szCs w:val="24"/>
        </w:rPr>
      </w:pPr>
    </w:p>
    <w:p w14:paraId="50E0F5A6" w14:textId="69B44EDB" w:rsidR="00BF3E92" w:rsidRPr="002F2A9B" w:rsidRDefault="00BF3E92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In one sequence he uses weaving as a metaphor to highlight the</w:t>
      </w:r>
      <w:r w:rsidR="001F5B6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importance of integrating concessions to other arguments throughout</w:t>
      </w:r>
      <w:r w:rsidR="001F5B6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 paper. When we discussed this excerpt during his interview, Chris saw</w:t>
      </w:r>
      <w:r w:rsidR="001F5B6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clear connections between his weaving gesture and both his disciplinary</w:t>
      </w:r>
      <w:r w:rsidR="001F5B6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background and views of good writing. He explained,</w:t>
      </w:r>
    </w:p>
    <w:p w14:paraId="04332860" w14:textId="56F23667" w:rsidR="00BF3E92" w:rsidRPr="002F2A9B" w:rsidRDefault="00BF3E92" w:rsidP="00914E85">
      <w:pPr>
        <w:pStyle w:val="NoSpacing"/>
        <w:ind w:left="720"/>
      </w:pPr>
      <w:r w:rsidRPr="002F2A9B">
        <w:t>The reason that we’re concerned about these complex claims . . . is that</w:t>
      </w:r>
      <w:r w:rsidR="001F5B6E">
        <w:t xml:space="preserve"> </w:t>
      </w:r>
      <w:r w:rsidRPr="002F2A9B">
        <w:t>we’re looking for something that is more cogent and also compelling</w:t>
      </w:r>
      <w:r w:rsidR="001F5B6E">
        <w:t xml:space="preserve"> </w:t>
      </w:r>
      <w:r w:rsidRPr="002F2A9B">
        <w:t>and nuanced because I mean like that’s the idea behind the liberal arts</w:t>
      </w:r>
      <w:r w:rsidR="001F5B6E">
        <w:t xml:space="preserve"> </w:t>
      </w:r>
      <w:r w:rsidRPr="002F2A9B">
        <w:t>education</w:t>
      </w:r>
      <w:proofErr w:type="gramStart"/>
      <w:r w:rsidRPr="002F2A9B">
        <w:t>. . . .</w:t>
      </w:r>
      <w:proofErr w:type="gramEnd"/>
      <w:r w:rsidRPr="002F2A9B">
        <w:t xml:space="preserve"> </w:t>
      </w:r>
      <w:proofErr w:type="gramStart"/>
      <w:r w:rsidRPr="002F2A9B">
        <w:t>So</w:t>
      </w:r>
      <w:proofErr w:type="gramEnd"/>
      <w:r w:rsidRPr="002F2A9B">
        <w:t xml:space="preserve"> these little gestures are kind of like “look we’re connecting</w:t>
      </w:r>
      <w:r w:rsidR="001F5B6E">
        <w:t xml:space="preserve"> </w:t>
      </w:r>
      <w:r w:rsidRPr="002F2A9B">
        <w:t>it back to your argument” . . . it’s kind of a goofy little, remember</w:t>
      </w:r>
      <w:r w:rsidR="001F5B6E">
        <w:t xml:space="preserve"> </w:t>
      </w:r>
      <w:r w:rsidRPr="002F2A9B">
        <w:t xml:space="preserve">connect them back. </w:t>
      </w:r>
      <w:proofErr w:type="gramStart"/>
      <w:r w:rsidRPr="002F2A9B">
        <w:t>Similarly</w:t>
      </w:r>
      <w:proofErr w:type="gramEnd"/>
      <w:r w:rsidRPr="002F2A9B">
        <w:t xml:space="preserve"> the kind of like weaving these, and this is</w:t>
      </w:r>
      <w:r w:rsidR="001F5B6E">
        <w:t xml:space="preserve"> </w:t>
      </w:r>
      <w:r w:rsidRPr="002F2A9B">
        <w:t>the thing because of course “text” comes from “textus,” which is Latin</w:t>
      </w:r>
      <w:r w:rsidR="00914E85">
        <w:t xml:space="preserve"> </w:t>
      </w:r>
      <w:r w:rsidRPr="002F2A9B">
        <w:t>for cloth or to weave, so I mean that weaving that stuff through it is weaving</w:t>
      </w:r>
      <w:r w:rsidR="00914E85">
        <w:t xml:space="preserve"> </w:t>
      </w:r>
      <w:r w:rsidRPr="002F2A9B">
        <w:t>your concession throughout your argument is an important point I</w:t>
      </w:r>
      <w:r w:rsidR="00914E85">
        <w:t xml:space="preserve"> </w:t>
      </w:r>
      <w:r w:rsidRPr="002F2A9B">
        <w:t>feel for them.</w:t>
      </w:r>
    </w:p>
    <w:p w14:paraId="03DF9093" w14:textId="77777777" w:rsidR="00914E85" w:rsidRDefault="00914E85" w:rsidP="002F2A9B">
      <w:pPr>
        <w:rPr>
          <w:rFonts w:cstheme="minorHAnsi"/>
          <w:sz w:val="24"/>
          <w:szCs w:val="24"/>
        </w:rPr>
      </w:pPr>
    </w:p>
    <w:p w14:paraId="1FEA43E5" w14:textId="65CF4D54" w:rsidR="00BF3E92" w:rsidRPr="002F2A9B" w:rsidRDefault="00BF3E92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Chris went on to discuss how students are prone to relegating a concession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the conclusion, a habit he sees as connected to the many problematic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writing incomes they learn for standardized tests or high- school courses.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Overall, Chris’s gestures and physical positioning in the classroom help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illuminate both his disciplinary allegiances and his expert- instructor positioning.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His gestures punctuate detailed explanations to students about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how to arrive at good, nuanced writing. While students have opportunities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for participation (i.e., his rhetorical questions), the conversation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is structured around Chris’s goals. Meanwhile, the gestures emerge out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Chris’s experiences and values with writing and education— from the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physical metaphor of weaving to his repeated emphasis on nuance, which</w:t>
      </w:r>
      <w:r w:rsidR="00914E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reflects Chris’s belief that complex thinking is not the cornerstone of just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 writing course but also of a liberal arts education.</w:t>
      </w:r>
    </w:p>
    <w:p w14:paraId="788EE796" w14:textId="50FE7B53" w:rsidR="00BF3E92" w:rsidRPr="002F2A9B" w:rsidRDefault="00BF3E92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In contrast, Matt identifies his discipline as “</w:t>
      </w:r>
      <w:proofErr w:type="gramStart"/>
      <w:r w:rsidRPr="002F2A9B">
        <w:rPr>
          <w:rFonts w:cstheme="minorHAnsi"/>
          <w:sz w:val="24"/>
          <w:szCs w:val="24"/>
        </w:rPr>
        <w:t>nineteenth-century</w:t>
      </w:r>
      <w:proofErr w:type="gramEnd"/>
      <w:r w:rsidRPr="002F2A9B">
        <w:rPr>
          <w:rFonts w:cstheme="minorHAnsi"/>
          <w:sz w:val="24"/>
          <w:szCs w:val="24"/>
        </w:rPr>
        <w:t xml:space="preserve"> lit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philosophy of science, I guess,” already indicating some ambivalence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about the distinct tracks of literary scholarship. We ultimately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label Matt the </w:t>
      </w:r>
      <w:r w:rsidRPr="002F2A9B">
        <w:rPr>
          <w:rFonts w:cstheme="minorHAnsi"/>
          <w:i/>
          <w:iCs/>
          <w:sz w:val="24"/>
          <w:szCs w:val="24"/>
        </w:rPr>
        <w:t xml:space="preserve">disciplinary </w:t>
      </w:r>
      <w:proofErr w:type="spellStart"/>
      <w:r w:rsidRPr="002F2A9B">
        <w:rPr>
          <w:rFonts w:cstheme="minorHAnsi"/>
          <w:i/>
          <w:iCs/>
          <w:sz w:val="24"/>
          <w:szCs w:val="24"/>
        </w:rPr>
        <w:t>flâneur</w:t>
      </w:r>
      <w:proofErr w:type="spellEnd"/>
      <w:r w:rsidRPr="002F2A9B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reference to his flexible attitude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towards disciplinary expertise and his investment in wandering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through different philosophical ideas and perspectives, taking them in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with curiosity but also a degree of removal. He described his interests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 “a weird blend, it’s all this stuff like object studies . . . a lot of philosophy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the subject, but also materialism and epistemology.” These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disciplinary interests translate to a pedagogical investment in encouraging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students to take a “second look,” especially at the material world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around them and how they react to it. Describing his teaching goals,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Matt explained, “A lot of it is actually attention to the ordinary, like</w:t>
      </w:r>
      <w:r w:rsidRPr="002F2A9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really ordinary things that they would typically skip over . . . in the text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itself and also in their reactions to it. . . . What in those kind of gut- level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first reactions can be productive to formulating a more complicated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argument?” Thus, in drawing on his disciplinary interests to teach writing,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Matt aims to foster in students a curious disposition much like his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own that could guide them through complex texts and writing tasks.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Matt’s experiences, then, have implications for TAs who begin from the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assumption that writing is about thinking and are invested in teaching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ways of seeing.</w:t>
      </w:r>
    </w:p>
    <w:p w14:paraId="48287B93" w14:textId="134B29D3" w:rsidR="008F22BD" w:rsidRPr="002F2A9B" w:rsidRDefault="00BF3E92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Because he is not interested in communicating specific rules about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writing and instead wants to model attitudes and modes of engagement,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Matt tries to let student thoughts and questions guide conversation.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Describing his ideal classroom environment, he reflected, “I like kind of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 chaotic atmosphere,” and he emphasized he enjoys teaching first- year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students because they tend to have more tolerance for chaos in their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writing: “They’re not as disciplined yet in their disciplines so they’re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trying stuff.” These aims are reflected in how Matt orients to students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in his classroom as well, which we ultimately describe as </w:t>
      </w:r>
      <w:r w:rsidRPr="002F2A9B">
        <w:rPr>
          <w:rFonts w:cstheme="minorHAnsi"/>
          <w:i/>
          <w:iCs/>
          <w:sz w:val="24"/>
          <w:szCs w:val="24"/>
        </w:rPr>
        <w:t>coordinator of</w:t>
      </w:r>
      <w:r w:rsidR="00062D9F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>chaos</w:t>
      </w:r>
      <w:r w:rsidRPr="002F2A9B">
        <w:rPr>
          <w:rFonts w:cstheme="minorHAnsi"/>
          <w:sz w:val="24"/>
          <w:szCs w:val="24"/>
        </w:rPr>
        <w:t>. Matt’s positioning in the room and gestures highlight student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perspectives, using these as the center point in a collaborative investigation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into what makes good writing. In the lesson we observed, students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discussed excerpts from </w:t>
      </w:r>
      <w:proofErr w:type="spellStart"/>
      <w:r w:rsidRPr="002F2A9B">
        <w:rPr>
          <w:rFonts w:cstheme="minorHAnsi"/>
          <w:sz w:val="24"/>
          <w:szCs w:val="24"/>
        </w:rPr>
        <w:t>Nietzche</w:t>
      </w:r>
      <w:proofErr w:type="spellEnd"/>
      <w:r w:rsidRPr="002F2A9B">
        <w:rPr>
          <w:rFonts w:cstheme="minorHAnsi"/>
          <w:sz w:val="24"/>
          <w:szCs w:val="24"/>
        </w:rPr>
        <w:t xml:space="preserve"> about engaging an opponent to consider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how they might inform writing arguments and integrating sources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their papers.</w:t>
      </w:r>
    </w:p>
    <w:p w14:paraId="2118CCD4" w14:textId="10794378" w:rsidR="00BF3E92" w:rsidRPr="002F2A9B" w:rsidRDefault="003A4813" w:rsidP="00062D9F">
      <w:pPr>
        <w:pStyle w:val="NoSpacing"/>
      </w:pPr>
      <w:r w:rsidRPr="002F2A9B">
        <w:rPr>
          <w:noProof/>
        </w:rPr>
        <w:drawing>
          <wp:inline distT="0" distB="0" distL="0" distR="0" wp14:anchorId="0B1165A8" wp14:editId="183551F4">
            <wp:extent cx="2743200" cy="2203704"/>
            <wp:effectExtent l="0" t="0" r="0" b="6350"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03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23A5A" w14:textId="59D4C6AC" w:rsidR="00BF3E92" w:rsidRPr="002F2A9B" w:rsidRDefault="003C7D10" w:rsidP="00062D9F">
      <w:pPr>
        <w:pStyle w:val="NoSpacing"/>
      </w:pPr>
      <w:r w:rsidRPr="002F2A9B">
        <w:rPr>
          <w:i/>
          <w:iCs/>
        </w:rPr>
        <w:t>Figure 2.2. Matt</w:t>
      </w:r>
      <w:r w:rsidR="00062D9F">
        <w:rPr>
          <w:i/>
          <w:iCs/>
        </w:rPr>
        <w:t xml:space="preserve"> </w:t>
      </w:r>
      <w:r w:rsidRPr="002F2A9B">
        <w:rPr>
          <w:i/>
          <w:iCs/>
        </w:rPr>
        <w:t>leans against the wall</w:t>
      </w:r>
      <w:r w:rsidR="00062D9F">
        <w:rPr>
          <w:i/>
          <w:iCs/>
        </w:rPr>
        <w:t xml:space="preserve"> </w:t>
      </w:r>
      <w:r w:rsidRPr="002F2A9B">
        <w:rPr>
          <w:i/>
          <w:iCs/>
        </w:rPr>
        <w:t>with arms casually</w:t>
      </w:r>
      <w:r w:rsidR="00062D9F">
        <w:rPr>
          <w:i/>
          <w:iCs/>
        </w:rPr>
        <w:t xml:space="preserve"> </w:t>
      </w:r>
      <w:r w:rsidRPr="002F2A9B">
        <w:rPr>
          <w:i/>
          <w:iCs/>
        </w:rPr>
        <w:t>open to the class.</w:t>
      </w:r>
    </w:p>
    <w:p w14:paraId="7AE1C2B2" w14:textId="77777777" w:rsidR="00062D9F" w:rsidRDefault="00062D9F" w:rsidP="002F2A9B">
      <w:pPr>
        <w:rPr>
          <w:rFonts w:cstheme="minorHAnsi"/>
          <w:sz w:val="24"/>
          <w:szCs w:val="24"/>
        </w:rPr>
      </w:pPr>
    </w:p>
    <w:p w14:paraId="3CDFF2BD" w14:textId="100B15F3" w:rsidR="003C7D10" w:rsidRPr="002F2A9B" w:rsidRDefault="003C7D10" w:rsidP="002F2A9B">
      <w:pPr>
        <w:rPr>
          <w:rFonts w:cstheme="minorHAnsi"/>
          <w:sz w:val="24"/>
          <w:szCs w:val="24"/>
        </w:rPr>
      </w:pPr>
      <w:proofErr w:type="gramStart"/>
      <w:r w:rsidRPr="002F2A9B">
        <w:rPr>
          <w:rFonts w:cstheme="minorHAnsi"/>
          <w:sz w:val="24"/>
          <w:szCs w:val="24"/>
        </w:rPr>
        <w:t>In order to</w:t>
      </w:r>
      <w:proofErr w:type="gramEnd"/>
      <w:r w:rsidRPr="002F2A9B">
        <w:rPr>
          <w:rFonts w:cstheme="minorHAnsi"/>
          <w:sz w:val="24"/>
          <w:szCs w:val="24"/>
        </w:rPr>
        <w:t xml:space="preserve"> facilitate coordinated chaos, Matt takes a casual stance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his classroom (as represented in figure 2.2)—typically located in the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corner of the room, leaning against the blackboard, with his notebook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one hand and chalk in the other—in the hopes that he will foreground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 voices while removing himself from the center of the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action. He explained during his interview, “I have this tendency . . .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when they’re saying stuff I kind of slowly back into the corner and like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kind of slouch in the corner while they talk.” Other movements similarly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emphasize student contributions, including an open- handed gesture to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call on students (as represented in figure 2.3c) and detailed transcription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of their feedback, which is done at an </w:t>
      </w:r>
      <w:proofErr w:type="gramStart"/>
      <w:r w:rsidRPr="002F2A9B">
        <w:rPr>
          <w:rFonts w:cstheme="minorHAnsi"/>
          <w:sz w:val="24"/>
          <w:szCs w:val="24"/>
        </w:rPr>
        <w:t>angle</w:t>
      </w:r>
      <w:proofErr w:type="gramEnd"/>
      <w:r w:rsidRPr="002F2A9B">
        <w:rPr>
          <w:rFonts w:cstheme="minorHAnsi"/>
          <w:sz w:val="24"/>
          <w:szCs w:val="24"/>
        </w:rPr>
        <w:t xml:space="preserve"> so he avoids facing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away from the class (as represented in figure 2.3b). In his interview,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Matt described himself as a “transcription fiend like just putting up what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they’re saying, rather than an organizer,” suggesting again his desire to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let student voices predominate. At the same time, Matt struggles with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this student- centered pedagogy in contexts in which students are </w:t>
      </w:r>
      <w:proofErr w:type="gramStart"/>
      <w:r w:rsidRPr="002F2A9B">
        <w:rPr>
          <w:rFonts w:cstheme="minorHAnsi"/>
          <w:sz w:val="24"/>
          <w:szCs w:val="24"/>
        </w:rPr>
        <w:t>less</w:t>
      </w:r>
      <w:proofErr w:type="gramEnd"/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active participants, like the relatively quiet early- morning class Lilly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observed. Reflecting on his facilitation style during his interview, Matt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commented, “When everything is coming through me and they’re not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actually talking to each other, I think that can be a difficulty.” While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Matt’s gestures work to foreground student action and remove himself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from the center of the classroom, he still finds himself as the coordinator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student responses and is not sure how to engage them in the chaotic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dialogue with one another that is his ultimate goal. The following</w:t>
      </w:r>
      <w:r w:rsidR="00062D9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excerpt aligns with figure 2.3a–d.</w:t>
      </w:r>
    </w:p>
    <w:p w14:paraId="7670246F" w14:textId="77777777" w:rsidR="003C7D10" w:rsidRPr="000F4BD4" w:rsidRDefault="003C7D10" w:rsidP="009959C5">
      <w:pPr>
        <w:pStyle w:val="NoSpacing"/>
        <w:ind w:left="720" w:hanging="720"/>
      </w:pPr>
      <w:r w:rsidRPr="000F4BD4">
        <w:t>Matt: What else have we heard about him?</w:t>
      </w:r>
    </w:p>
    <w:p w14:paraId="4732A61E" w14:textId="6F8ED1D0" w:rsidR="003C7D10" w:rsidRPr="000F4BD4" w:rsidRDefault="00121F28" w:rsidP="009959C5">
      <w:pPr>
        <w:pStyle w:val="NoSpacing"/>
        <w:ind w:left="720" w:hanging="720"/>
      </w:pPr>
      <w:r w:rsidRPr="000F4BD4">
        <w:t>S</w:t>
      </w:r>
      <w:r w:rsidR="003C7D10" w:rsidRPr="000F4BD4">
        <w:t xml:space="preserve">tudent: He’s </w:t>
      </w:r>
      <w:proofErr w:type="gramStart"/>
      <w:r w:rsidR="003C7D10" w:rsidRPr="000F4BD4">
        <w:t>pretty sexist</w:t>
      </w:r>
      <w:proofErr w:type="gramEnd"/>
      <w:r w:rsidR="003C7D10" w:rsidRPr="000F4BD4">
        <w:t>.</w:t>
      </w:r>
    </w:p>
    <w:p w14:paraId="4BC0A7FB" w14:textId="4885F40F" w:rsidR="003C7D10" w:rsidRPr="000F4BD4" w:rsidRDefault="003C7D10" w:rsidP="009959C5">
      <w:pPr>
        <w:pStyle w:val="NoSpacing"/>
        <w:ind w:left="720" w:hanging="720"/>
      </w:pPr>
      <w:r w:rsidRPr="000F4BD4">
        <w:t>Matt: [2.3a] Pretty sexist? Yep. [2.3b] [</w:t>
      </w:r>
      <w:r w:rsidRPr="000F4BD4">
        <w:rPr>
          <w:i/>
          <w:iCs/>
        </w:rPr>
        <w:t>writes “sexist” on the chalkboard</w:t>
      </w:r>
      <w:r w:rsidRPr="000F4BD4">
        <w:t>]</w:t>
      </w:r>
      <w:r w:rsidR="00121F28" w:rsidRPr="000F4BD4">
        <w:t xml:space="preserve"> </w:t>
      </w:r>
      <w:r w:rsidRPr="000F4BD4">
        <w:t>Did you notice that anywhere in the reading? [2.3c] Yeah? [</w:t>
      </w:r>
      <w:r w:rsidRPr="000F4BD4">
        <w:rPr>
          <w:i/>
          <w:iCs/>
        </w:rPr>
        <w:t>smiles</w:t>
      </w:r>
      <w:r w:rsidRPr="000F4BD4">
        <w:t>] Say</w:t>
      </w:r>
      <w:r w:rsidR="00121F28" w:rsidRPr="000F4BD4">
        <w:t xml:space="preserve"> </w:t>
      </w:r>
      <w:r w:rsidRPr="000F4BD4">
        <w:t>more.</w:t>
      </w:r>
    </w:p>
    <w:p w14:paraId="492DAB41" w14:textId="02183020" w:rsidR="003C7D10" w:rsidRPr="000F4BD4" w:rsidRDefault="00121F28" w:rsidP="009959C5">
      <w:pPr>
        <w:pStyle w:val="NoSpacing"/>
        <w:ind w:left="720" w:hanging="720"/>
      </w:pPr>
      <w:r w:rsidRPr="000F4BD4">
        <w:t>S</w:t>
      </w:r>
      <w:r w:rsidR="003C7D10" w:rsidRPr="000F4BD4">
        <w:t>tudent: There was a part in the reading where he talks about like vengeance</w:t>
      </w:r>
      <w:r w:rsidRPr="000F4BD4">
        <w:t xml:space="preserve"> </w:t>
      </w:r>
      <w:r w:rsidR="003C7D10" w:rsidRPr="000F4BD4">
        <w:t>being the weakness of the woman.</w:t>
      </w:r>
    </w:p>
    <w:p w14:paraId="3E94799B" w14:textId="77777777" w:rsidR="009959C5" w:rsidRPr="000F4BD4" w:rsidRDefault="003C7D10" w:rsidP="009959C5">
      <w:pPr>
        <w:pStyle w:val="NoSpacing"/>
        <w:ind w:left="720" w:hanging="720"/>
      </w:pPr>
      <w:r w:rsidRPr="000F4BD4">
        <w:t xml:space="preserve">Matt: </w:t>
      </w:r>
      <w:proofErr w:type="spellStart"/>
      <w:r w:rsidRPr="000F4BD4">
        <w:t>Mhm</w:t>
      </w:r>
      <w:proofErr w:type="spellEnd"/>
      <w:r w:rsidRPr="000F4BD4">
        <w:t>. [</w:t>
      </w:r>
      <w:r w:rsidRPr="000F4BD4">
        <w:rPr>
          <w:i/>
          <w:iCs/>
        </w:rPr>
        <w:t>writes “vengeance weakness of woman” on the chalkboard</w:t>
      </w:r>
      <w:r w:rsidRPr="000F4BD4">
        <w:t>]</w:t>
      </w:r>
      <w:r w:rsidR="00121F28" w:rsidRPr="000F4BD4">
        <w:t xml:space="preserve"> </w:t>
      </w:r>
      <w:r w:rsidRPr="000F4BD4">
        <w:t>What’d you think about that?</w:t>
      </w:r>
      <w:r w:rsidR="00121F28" w:rsidRPr="000F4BD4">
        <w:t xml:space="preserve"> </w:t>
      </w:r>
    </w:p>
    <w:p w14:paraId="0634677E" w14:textId="587E0EF1" w:rsidR="003C7D10" w:rsidRPr="000F4BD4" w:rsidRDefault="009959C5" w:rsidP="009959C5">
      <w:pPr>
        <w:pStyle w:val="NoSpacing"/>
        <w:ind w:left="720" w:hanging="720"/>
      </w:pPr>
      <w:r w:rsidRPr="000F4BD4">
        <w:t>S</w:t>
      </w:r>
      <w:r w:rsidR="003C7D10" w:rsidRPr="000F4BD4">
        <w:t>tudent: It was interesting.</w:t>
      </w:r>
    </w:p>
    <w:p w14:paraId="2BCE1FAC" w14:textId="47AD9357" w:rsidR="00FE6C99" w:rsidRPr="000F4BD4" w:rsidRDefault="003C7D10" w:rsidP="009959C5">
      <w:pPr>
        <w:pStyle w:val="NoSpacing"/>
        <w:ind w:left="720" w:hanging="720"/>
        <w:rPr>
          <w:i/>
          <w:iCs/>
          <w:noProof/>
        </w:rPr>
      </w:pPr>
      <w:r w:rsidRPr="000F4BD4">
        <w:t>Matt: [</w:t>
      </w:r>
      <w:r w:rsidRPr="000F4BD4">
        <w:rPr>
          <w:i/>
          <w:iCs/>
        </w:rPr>
        <w:t>smiles, finishes writing, turns to student</w:t>
      </w:r>
      <w:r w:rsidRPr="000F4BD4">
        <w:t xml:space="preserve">] I’m </w:t>
      </w:r>
      <w:proofErr w:type="gramStart"/>
      <w:r w:rsidRPr="000F4BD4">
        <w:t>pretty happy</w:t>
      </w:r>
      <w:proofErr w:type="gramEnd"/>
      <w:r w:rsidRPr="000F4BD4">
        <w:t xml:space="preserve"> you</w:t>
      </w:r>
      <w:r w:rsidR="009959C5" w:rsidRPr="000F4BD4">
        <w:t xml:space="preserve"> </w:t>
      </w:r>
      <w:r w:rsidRPr="000F4BD4">
        <w:t>brought that up because you know I’ve taught this section before and</w:t>
      </w:r>
      <w:r w:rsidR="009959C5" w:rsidRPr="000F4BD4">
        <w:t xml:space="preserve"> </w:t>
      </w:r>
      <w:r w:rsidRPr="000F4BD4">
        <w:t>every time I’m like, “So does he say anything about women? [</w:t>
      </w:r>
      <w:r w:rsidRPr="000F4BD4">
        <w:rPr>
          <w:i/>
          <w:iCs/>
        </w:rPr>
        <w:t>smiles</w:t>
      </w:r>
      <w:r w:rsidRPr="000F4BD4">
        <w:t>]</w:t>
      </w:r>
      <w:r w:rsidR="009959C5" w:rsidRPr="000F4BD4">
        <w:t xml:space="preserve"> </w:t>
      </w:r>
      <w:r w:rsidRPr="000F4BD4">
        <w:t>I don’t know.” [. . .] But it’s okay, you know it’s okay to say that. He’s</w:t>
      </w:r>
      <w:r w:rsidR="009959C5" w:rsidRPr="000F4BD4">
        <w:t xml:space="preserve"> </w:t>
      </w:r>
      <w:r w:rsidRPr="000F4BD4">
        <w:t>saying sexist [</w:t>
      </w:r>
      <w:r w:rsidRPr="000F4BD4">
        <w:rPr>
          <w:i/>
          <w:iCs/>
        </w:rPr>
        <w:t>underlines “sexist” on the blackboard</w:t>
      </w:r>
      <w:r w:rsidRPr="000F4BD4">
        <w:t>] things [2.3d] so um</w:t>
      </w:r>
      <w:r w:rsidR="009959C5" w:rsidRPr="000F4BD4">
        <w:t xml:space="preserve"> </w:t>
      </w:r>
      <w:r w:rsidRPr="000F4BD4">
        <w:t>that’s part of how, how we would read [</w:t>
      </w:r>
      <w:r w:rsidRPr="000F4BD4">
        <w:rPr>
          <w:i/>
          <w:iCs/>
        </w:rPr>
        <w:t>underlines “</w:t>
      </w:r>
      <w:proofErr w:type="spellStart"/>
      <w:r w:rsidRPr="000F4BD4">
        <w:rPr>
          <w:i/>
          <w:iCs/>
        </w:rPr>
        <w:t>Nietzche</w:t>
      </w:r>
      <w:proofErr w:type="spellEnd"/>
      <w:r w:rsidRPr="000F4BD4">
        <w:rPr>
          <w:i/>
          <w:iCs/>
        </w:rPr>
        <w:t>” on the</w:t>
      </w:r>
      <w:r w:rsidRPr="000F4BD4">
        <w:rPr>
          <w:i/>
          <w:iCs/>
        </w:rPr>
        <w:t xml:space="preserve"> </w:t>
      </w:r>
      <w:r w:rsidR="00FE6C99" w:rsidRPr="000F4BD4">
        <w:rPr>
          <w:i/>
          <w:iCs/>
        </w:rPr>
        <w:t>blackboard</w:t>
      </w:r>
      <w:r w:rsidR="00FE6C99" w:rsidRPr="000F4BD4">
        <w:t xml:space="preserve">] his arguments. And part of </w:t>
      </w:r>
      <w:proofErr w:type="spellStart"/>
      <w:r w:rsidR="00FE6C99" w:rsidRPr="000F4BD4">
        <w:t>it’s</w:t>
      </w:r>
      <w:proofErr w:type="spellEnd"/>
      <w:r w:rsidR="00FE6C99" w:rsidRPr="000F4BD4">
        <w:t xml:space="preserve"> saying what do we do when</w:t>
      </w:r>
      <w:r w:rsidR="009959C5" w:rsidRPr="000F4BD4">
        <w:t xml:space="preserve"> </w:t>
      </w:r>
      <w:r w:rsidR="00FE6C99" w:rsidRPr="000F4BD4">
        <w:t>there’s these [</w:t>
      </w:r>
      <w:r w:rsidR="00FE6C99" w:rsidRPr="000F4BD4">
        <w:rPr>
          <w:i/>
          <w:iCs/>
        </w:rPr>
        <w:t>draws a square around “sexist” on the blackboard</w:t>
      </w:r>
      <w:r w:rsidR="00FE6C99" w:rsidRPr="000F4BD4">
        <w:t>] these elements</w:t>
      </w:r>
      <w:r w:rsidR="009959C5" w:rsidRPr="000F4BD4">
        <w:t xml:space="preserve"> </w:t>
      </w:r>
      <w:r w:rsidR="00FE6C99" w:rsidRPr="000F4BD4">
        <w:t xml:space="preserve">that we don’t </w:t>
      </w:r>
      <w:proofErr w:type="gramStart"/>
      <w:r w:rsidR="00FE6C99" w:rsidRPr="000F4BD4">
        <w:t>accept</w:t>
      </w:r>
      <w:proofErr w:type="gramEnd"/>
      <w:r w:rsidR="00FE6C99" w:rsidRPr="000F4BD4">
        <w:t xml:space="preserve"> or we want to get rid of and yet there’s</w:t>
      </w:r>
      <w:r w:rsidR="009959C5" w:rsidRPr="000F4BD4">
        <w:t xml:space="preserve"> </w:t>
      </w:r>
      <w:r w:rsidR="00FE6C99" w:rsidRPr="000F4BD4">
        <w:t>these other elements that may be helpful for us? How do we take</w:t>
      </w:r>
      <w:r w:rsidR="009959C5" w:rsidRPr="000F4BD4">
        <w:t xml:space="preserve"> </w:t>
      </w:r>
      <w:r w:rsidR="00FE6C99" w:rsidRPr="000F4BD4">
        <w:t>those pieces?</w:t>
      </w:r>
    </w:p>
    <w:p w14:paraId="396D0FAF" w14:textId="78C800A8" w:rsidR="00BF3E92" w:rsidRPr="002F2A9B" w:rsidRDefault="007C67D5" w:rsidP="009959C5">
      <w:pPr>
        <w:pStyle w:val="NoSpacing"/>
      </w:pPr>
      <w:r w:rsidRPr="002F2A9B">
        <w:rPr>
          <w:noProof/>
        </w:rPr>
        <w:drawing>
          <wp:inline distT="0" distB="0" distL="0" distR="0" wp14:anchorId="31E7AD3A" wp14:editId="5095BBE8">
            <wp:extent cx="2743200" cy="1920240"/>
            <wp:effectExtent l="0" t="0" r="0" b="3810"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7A37A" w14:textId="07BB1DF7" w:rsidR="00BF3E92" w:rsidRDefault="0070740A" w:rsidP="009959C5">
      <w:pPr>
        <w:pStyle w:val="NoSpacing"/>
      </w:pPr>
      <w:r w:rsidRPr="002F2A9B">
        <w:t>Figure 2.3. Matt models the “second look” for students through his engagement with the</w:t>
      </w:r>
      <w:r w:rsidR="009959C5">
        <w:t xml:space="preserve"> </w:t>
      </w:r>
      <w:r w:rsidRPr="002F2A9B">
        <w:t>class and the white board.</w:t>
      </w:r>
    </w:p>
    <w:p w14:paraId="6DD4211C" w14:textId="77777777" w:rsidR="009959C5" w:rsidRPr="002F2A9B" w:rsidRDefault="009959C5" w:rsidP="002F2A9B">
      <w:pPr>
        <w:rPr>
          <w:rFonts w:cstheme="minorHAnsi"/>
          <w:sz w:val="24"/>
          <w:szCs w:val="24"/>
        </w:rPr>
      </w:pPr>
    </w:p>
    <w:p w14:paraId="0E618917" w14:textId="629E63C4" w:rsidR="000B5124" w:rsidRPr="002F2A9B" w:rsidRDefault="00FE6C99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Matt has aims for the class discussion— born from his disciplinary</w:t>
      </w:r>
      <w:r w:rsidR="009959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values and views on writing— to practice a specific method of textual</w:t>
      </w:r>
      <w:r w:rsidR="009959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engagement and argument. This method questions initial impressions</w:t>
      </w:r>
      <w:r w:rsidR="009959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assumptions about material and digs deeper into implications,</w:t>
      </w:r>
      <w:r w:rsidR="009959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teaching for what he calls “a second look.” </w:t>
      </w:r>
      <w:proofErr w:type="gramStart"/>
      <w:r w:rsidRPr="002F2A9B">
        <w:rPr>
          <w:rFonts w:cstheme="minorHAnsi"/>
          <w:sz w:val="24"/>
          <w:szCs w:val="24"/>
        </w:rPr>
        <w:t>Early on in the</w:t>
      </w:r>
      <w:proofErr w:type="gramEnd"/>
      <w:r w:rsidRPr="002F2A9B">
        <w:rPr>
          <w:rFonts w:cstheme="minorHAnsi"/>
          <w:sz w:val="24"/>
          <w:szCs w:val="24"/>
        </w:rPr>
        <w:t xml:space="preserve"> class lesson,</w:t>
      </w:r>
      <w:r w:rsidR="009959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he models the second look by taking up a student comment about</w:t>
      </w:r>
      <w:r w:rsidR="009959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Nietzsche’s sexism and writing it verbatim on the board. In this example,</w:t>
      </w:r>
      <w:r w:rsidR="009959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Matt uses the comment to emphasize the importance of considering different</w:t>
      </w:r>
      <w:r w:rsidR="009959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facets of an author’s background and raises a question about how</w:t>
      </w:r>
      <w:r w:rsidR="009959C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this knowledge impacts engagement with an author’s arguments. These</w:t>
      </w:r>
      <w:r w:rsidR="000B5124" w:rsidRPr="002F2A9B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open- handed gestures as well as verbatim transcription of her comments.</w:t>
      </w:r>
      <w:r w:rsidR="009959C5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In addition, Matt’s smiling throughout this example models for</w:t>
      </w:r>
      <w:r w:rsidR="009959C5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students the pleasure found in digging deeper into Nietzsche’s sexism.</w:t>
      </w:r>
      <w:r w:rsidR="009959C5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Meanwhile, his writing on the board serves not only as transcription of</w:t>
      </w:r>
      <w:r w:rsidR="009959C5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student feedback but also as a means of calling students back to a point</w:t>
      </w:r>
      <w:r w:rsidR="00D2043D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for that second look. When he underlines and then squares “sexism”</w:t>
      </w:r>
      <w:r w:rsidR="00D2043D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and underlines “Nietzsche,” it is part of an ongoing investigation into</w:t>
      </w:r>
      <w:r w:rsidR="00D2043D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how the understanding of an author must necessarily change as we dig</w:t>
      </w:r>
      <w:r w:rsidR="00D2043D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into their sexist values. Thus, Matt’s movements in this excerpt— both</w:t>
      </w:r>
      <w:r w:rsidR="00D2043D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physically in the room and in relation to the board— demonstrate a</w:t>
      </w:r>
      <w:r w:rsidR="00D2043D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negotiation between putting student voices center stage and modeling</w:t>
      </w:r>
      <w:r w:rsidR="00D2043D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an exploratory method of engaging with arguments that is fundamental</w:t>
      </w:r>
      <w:r w:rsidR="00D2043D">
        <w:rPr>
          <w:rFonts w:cstheme="minorHAnsi"/>
          <w:sz w:val="24"/>
          <w:szCs w:val="24"/>
        </w:rPr>
        <w:t xml:space="preserve"> </w:t>
      </w:r>
      <w:r w:rsidR="000B5124" w:rsidRPr="002F2A9B">
        <w:rPr>
          <w:rFonts w:cstheme="minorHAnsi"/>
          <w:sz w:val="24"/>
          <w:szCs w:val="24"/>
        </w:rPr>
        <w:t>to his views on writing.</w:t>
      </w:r>
    </w:p>
    <w:p w14:paraId="3D332FB2" w14:textId="4A72E1A7" w:rsidR="000B5124" w:rsidRPr="002F2A9B" w:rsidRDefault="000B5124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Overall, both Chris and Matt mobilize clearly defined and embodied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understandings of what constitutes good writing drawn from their own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experiences with scholarly academic prose. Yet they differ in how they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help students arrive at these understandings, with Chris keeping careful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control over classroom discussion and Matt working to facilitate a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collaborative process of discovery. </w:t>
      </w:r>
      <w:proofErr w:type="gramStart"/>
      <w:r w:rsidRPr="002F2A9B">
        <w:rPr>
          <w:rFonts w:cstheme="minorHAnsi"/>
          <w:sz w:val="24"/>
          <w:szCs w:val="24"/>
        </w:rPr>
        <w:t>Both of them</w:t>
      </w:r>
      <w:proofErr w:type="gramEnd"/>
      <w:r w:rsidRPr="002F2A9B">
        <w:rPr>
          <w:rFonts w:cstheme="minorHAnsi"/>
          <w:sz w:val="24"/>
          <w:szCs w:val="24"/>
        </w:rPr>
        <w:t xml:space="preserve"> find surprising ways to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leverage their own disciplinary experiences to shape their performances,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even as they encounter contradictions in aligning their research and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 backgrounds. For Chris, though his disciplinary identity makes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him feel unprepared to teach a composition course, his teacher identity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 an untrained informant positions him as an expert on academic writing.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Given his divide between scholarly and teacherly identities, Matt also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relies on his experiences as a writer. Yet, because Matt resists a strict disciplinary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position, he also avoids the expert role, adopting a coordinator of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chaos position. Thus, these case studies offer insight into how two seemingly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similar new TAs— those who identify as literature experts with some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reservations about teaching composition— might manifest their identities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distinct ways, with overlapping but ultimately very different effects.</w:t>
      </w:r>
    </w:p>
    <w:p w14:paraId="3CD15C31" w14:textId="1A893E64" w:rsidR="000B5124" w:rsidRPr="002F2A9B" w:rsidRDefault="000B5124" w:rsidP="00D2043D">
      <w:pPr>
        <w:pStyle w:val="Heading1"/>
      </w:pPr>
      <w:r w:rsidRPr="002F2A9B">
        <w:t>CLEO AND GREG: DISCIPLINARY IDENTITIES</w:t>
      </w:r>
      <w:r w:rsidR="00D2043D">
        <w:t xml:space="preserve"> </w:t>
      </w:r>
      <w:r w:rsidRPr="002F2A9B">
        <w:t>COMPLEMENT TEACHING IDENTITIES</w:t>
      </w:r>
    </w:p>
    <w:p w14:paraId="34713BF9" w14:textId="4D8BAAC3" w:rsidR="000B5124" w:rsidRPr="002F2A9B" w:rsidRDefault="000B5124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Cleo and Greg may also be familiar TA personas; as students with interests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writing pedagogy, they are excited about teaching composition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are invested in the writing program’s goals. Though Cleo is a literary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scholar and Greg is a compositionist, their teacher and scholar identities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complement one another. Greg’s scholarly pursuits emerge from</w:t>
      </w:r>
      <w:r w:rsidR="00D2043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his teacher experiences while Cleo’s identity as a teacher has influenced</w:t>
      </w:r>
      <w:r w:rsidR="00D2043D">
        <w:rPr>
          <w:rFonts w:cstheme="minorHAnsi"/>
          <w:sz w:val="24"/>
          <w:szCs w:val="24"/>
        </w:rPr>
        <w:t xml:space="preserve"> </w:t>
      </w:r>
      <w:r w:rsidR="00FE6C99" w:rsidRPr="002F2A9B">
        <w:rPr>
          <w:rFonts w:cstheme="minorHAnsi"/>
          <w:sz w:val="24"/>
          <w:szCs w:val="24"/>
        </w:rPr>
        <w:t>questions would guide much of the class conversation on argument,</w:t>
      </w:r>
      <w:r w:rsidR="00D2043D">
        <w:rPr>
          <w:rFonts w:cstheme="minorHAnsi"/>
          <w:sz w:val="24"/>
          <w:szCs w:val="24"/>
        </w:rPr>
        <w:t xml:space="preserve"> </w:t>
      </w:r>
      <w:r w:rsidR="00FE6C99" w:rsidRPr="002F2A9B">
        <w:rPr>
          <w:rFonts w:cstheme="minorHAnsi"/>
          <w:sz w:val="24"/>
          <w:szCs w:val="24"/>
        </w:rPr>
        <w:t>informed by Nietzsche’s own claims about how to engage an enemy.</w:t>
      </w:r>
      <w:r w:rsidR="00D15678">
        <w:rPr>
          <w:rFonts w:cstheme="minorHAnsi"/>
          <w:sz w:val="24"/>
          <w:szCs w:val="24"/>
        </w:rPr>
        <w:t xml:space="preserve"> </w:t>
      </w:r>
      <w:r w:rsidR="00FE6C99" w:rsidRPr="002F2A9B">
        <w:rPr>
          <w:rFonts w:cstheme="minorHAnsi"/>
          <w:sz w:val="24"/>
          <w:szCs w:val="24"/>
        </w:rPr>
        <w:t>Visible in this example are Matt’s various embodied strategies for emphasizing</w:t>
      </w:r>
      <w:r w:rsidR="00D15678">
        <w:rPr>
          <w:rFonts w:cstheme="minorHAnsi"/>
          <w:sz w:val="24"/>
          <w:szCs w:val="24"/>
        </w:rPr>
        <w:t xml:space="preserve"> </w:t>
      </w:r>
      <w:r w:rsidR="00FE6C99" w:rsidRPr="002F2A9B">
        <w:rPr>
          <w:rFonts w:cstheme="minorHAnsi"/>
          <w:sz w:val="24"/>
          <w:szCs w:val="24"/>
        </w:rPr>
        <w:t>the value and even pleasure of the second look. As previously discussed,</w:t>
      </w:r>
      <w:r w:rsidR="00D15678">
        <w:rPr>
          <w:rFonts w:cstheme="minorHAnsi"/>
          <w:sz w:val="24"/>
          <w:szCs w:val="24"/>
        </w:rPr>
        <w:t xml:space="preserve"> </w:t>
      </w:r>
      <w:r w:rsidR="00FE6C99" w:rsidRPr="002F2A9B">
        <w:rPr>
          <w:rFonts w:cstheme="minorHAnsi"/>
          <w:sz w:val="24"/>
          <w:szCs w:val="24"/>
        </w:rPr>
        <w:t>his gestures highlight student contribution, keeping the student</w:t>
      </w:r>
      <w:r w:rsidR="00D15678">
        <w:rPr>
          <w:rFonts w:cstheme="minorHAnsi"/>
          <w:sz w:val="24"/>
          <w:szCs w:val="24"/>
        </w:rPr>
        <w:t xml:space="preserve"> </w:t>
      </w:r>
      <w:r w:rsidR="00FE6C99" w:rsidRPr="002F2A9B">
        <w:rPr>
          <w:rFonts w:cstheme="minorHAnsi"/>
          <w:sz w:val="24"/>
          <w:szCs w:val="24"/>
        </w:rPr>
        <w:t>who raised the point actively involved through regular eye contact and</w:t>
      </w:r>
      <w:r w:rsidRPr="002F2A9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her scholarly interests and pushed her more towards pedagogical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research. Greg’s pedagogical performances are informed by past teaching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experiences and his training at other institutions, while Cleo relies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 her past experiences as a student and her recent training from the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writing program. Though the two vary widely in experience level, both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are enthusiastic about teaching, interested in composition as a field, and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generally aligned with the writing program’s objectives.</w:t>
      </w:r>
    </w:p>
    <w:p w14:paraId="4A48505E" w14:textId="6E8E5E03" w:rsidR="000B5124" w:rsidRPr="002F2A9B" w:rsidRDefault="000B5124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In explaining her disciplinary positionality, Cleo said, “Super, super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generally I’m thinking about applications for teaching American ethnic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literature towards goals of both composition work and community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engagement.” We identify her as a </w:t>
      </w:r>
      <w:r w:rsidRPr="002F2A9B">
        <w:rPr>
          <w:rFonts w:cstheme="minorHAnsi"/>
          <w:i/>
          <w:iCs/>
          <w:sz w:val="24"/>
          <w:szCs w:val="24"/>
        </w:rPr>
        <w:t xml:space="preserve">disciplinary pragmatist </w:t>
      </w:r>
      <w:r w:rsidRPr="002F2A9B">
        <w:rPr>
          <w:rFonts w:cstheme="minorHAnsi"/>
          <w:sz w:val="24"/>
          <w:szCs w:val="24"/>
        </w:rPr>
        <w:t>because of the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recursive relationship between her disciplinary knowledge and her writing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pedagogy. Though she initially went to graduate school because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her interest in American ethnic literature, her interest in pedagogy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community engagement broadened her disciplinary knowledge to</w:t>
      </w:r>
      <w:r w:rsidR="00D15678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include composition, especially basic writing and </w:t>
      </w:r>
      <w:proofErr w:type="spellStart"/>
      <w:r w:rsidRPr="002F2A9B">
        <w:rPr>
          <w:rFonts w:cstheme="minorHAnsi"/>
          <w:sz w:val="24"/>
          <w:szCs w:val="24"/>
        </w:rPr>
        <w:t>translingualism</w:t>
      </w:r>
      <w:proofErr w:type="spellEnd"/>
      <w:r w:rsidRPr="002F2A9B">
        <w:rPr>
          <w:rFonts w:cstheme="minorHAnsi"/>
          <w:sz w:val="24"/>
          <w:szCs w:val="24"/>
        </w:rPr>
        <w:t>.</w:t>
      </w:r>
    </w:p>
    <w:p w14:paraId="3E1389F3" w14:textId="4241B0A3" w:rsidR="000B5124" w:rsidRPr="002F2A9B" w:rsidRDefault="000B5124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As a novice compositionist, Cleo places value in the writing program,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trusting its programmatic goals and teaching argument using methods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prescribed by the program leaders. Her affiliation to the writing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program not only influenced when terminology was introduced in the</w:t>
      </w:r>
      <w:r w:rsidR="00BF32DD">
        <w:rPr>
          <w:rFonts w:cstheme="minorHAnsi"/>
          <w:sz w:val="24"/>
          <w:szCs w:val="24"/>
        </w:rPr>
        <w:t xml:space="preserve"> </w:t>
      </w:r>
      <w:proofErr w:type="gramStart"/>
      <w:r w:rsidRPr="002F2A9B">
        <w:rPr>
          <w:rFonts w:cstheme="minorHAnsi"/>
          <w:sz w:val="24"/>
          <w:szCs w:val="24"/>
        </w:rPr>
        <w:t>class</w:t>
      </w:r>
      <w:proofErr w:type="gramEnd"/>
      <w:r w:rsidRPr="002F2A9B">
        <w:rPr>
          <w:rFonts w:cstheme="minorHAnsi"/>
          <w:sz w:val="24"/>
          <w:szCs w:val="24"/>
        </w:rPr>
        <w:t xml:space="preserve"> we observed but also how argument was taught. For example,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when asked why she chose to explain argument as three types of claims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(claims of fact, value, and policy), Cleo said, “It was in the textbook.”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Meanwhile, her breakdown of complex claims— including stakes, evidence,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roadmap, and counterargument or concession—came from “orientation.”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This </w:t>
      </w:r>
      <w:proofErr w:type="gramStart"/>
      <w:r w:rsidRPr="002F2A9B">
        <w:rPr>
          <w:rFonts w:cstheme="minorHAnsi"/>
          <w:sz w:val="24"/>
          <w:szCs w:val="24"/>
        </w:rPr>
        <w:t>is in contrast to</w:t>
      </w:r>
      <w:proofErr w:type="gramEnd"/>
      <w:r w:rsidRPr="002F2A9B">
        <w:rPr>
          <w:rFonts w:cstheme="minorHAnsi"/>
          <w:sz w:val="24"/>
          <w:szCs w:val="24"/>
        </w:rPr>
        <w:t xml:space="preserve"> Matt and Chris, who do not reference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writing program in their understanding of argument but focus on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own writing practices.</w:t>
      </w:r>
    </w:p>
    <w:p w14:paraId="4E7EAC3B" w14:textId="77F4F64F" w:rsidR="0030180C" w:rsidRPr="002F2A9B" w:rsidRDefault="000B5124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Though Cleo’s teaching of argument is shaped primarily by her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understanding of writing program expectations, she also draws on her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own experiences as a high- school student growing up in an area similar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the one many of her students grew up in. Therefore, Cleo’s case study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demonstrates how alignment with a writing program’s objectives can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become integrated with a TA’s previous writing experience through their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teaching. For example, though she teaches the five elements of complex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claims defined by the composition program’s curriculum, she has moved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away from teaching students to write those as “the big block” showcased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during new- TA orientation. During her interview, she explained this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move: “It makes more sense to students because they’re so used to working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with thesis statements,” and she feels the block model “is too constricting</w:t>
      </w:r>
      <w:r w:rsidR="00BF32DD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for people and too formulaic for students.” Thus, while Matt and</w:t>
      </w:r>
      <w:r w:rsidRPr="002F2A9B">
        <w:rPr>
          <w:rFonts w:cstheme="minorHAnsi"/>
          <w:sz w:val="24"/>
          <w:szCs w:val="24"/>
        </w:rPr>
        <w:t xml:space="preserve"> </w:t>
      </w:r>
      <w:r w:rsidR="0030180C" w:rsidRPr="002F2A9B">
        <w:rPr>
          <w:rFonts w:cstheme="minorHAnsi"/>
          <w:sz w:val="24"/>
          <w:szCs w:val="24"/>
        </w:rPr>
        <w:t>Chris rely on their disciplinary writing experiences to help define good</w:t>
      </w:r>
      <w:r w:rsidR="00BF32DD">
        <w:rPr>
          <w:rFonts w:cstheme="minorHAnsi"/>
          <w:sz w:val="24"/>
          <w:szCs w:val="24"/>
        </w:rPr>
        <w:t xml:space="preserve"> </w:t>
      </w:r>
      <w:r w:rsidR="0030180C" w:rsidRPr="002F2A9B">
        <w:rPr>
          <w:rFonts w:cstheme="minorHAnsi"/>
          <w:sz w:val="24"/>
          <w:szCs w:val="24"/>
        </w:rPr>
        <w:t>writing, Cleo draws on previous experiences as a student writer to shape</w:t>
      </w:r>
      <w:r w:rsidR="00BF32DD">
        <w:rPr>
          <w:rFonts w:cstheme="minorHAnsi"/>
          <w:sz w:val="24"/>
          <w:szCs w:val="24"/>
        </w:rPr>
        <w:t xml:space="preserve"> </w:t>
      </w:r>
      <w:r w:rsidR="0030180C" w:rsidRPr="002F2A9B">
        <w:rPr>
          <w:rFonts w:cstheme="minorHAnsi"/>
          <w:sz w:val="24"/>
          <w:szCs w:val="24"/>
        </w:rPr>
        <w:t>her curriculum. Since she frequently considers how she might bridge</w:t>
      </w:r>
      <w:r w:rsidR="00BF32DD">
        <w:rPr>
          <w:rFonts w:cstheme="minorHAnsi"/>
          <w:sz w:val="24"/>
          <w:szCs w:val="24"/>
        </w:rPr>
        <w:t xml:space="preserve"> </w:t>
      </w:r>
      <w:r w:rsidR="0030180C" w:rsidRPr="002F2A9B">
        <w:rPr>
          <w:rFonts w:cstheme="minorHAnsi"/>
          <w:sz w:val="24"/>
          <w:szCs w:val="24"/>
        </w:rPr>
        <w:t>students’ prior knowledge with the expectations of the writing program,</w:t>
      </w:r>
      <w:r w:rsidR="00BF32DD">
        <w:rPr>
          <w:rFonts w:cstheme="minorHAnsi"/>
          <w:sz w:val="24"/>
          <w:szCs w:val="24"/>
        </w:rPr>
        <w:t xml:space="preserve"> </w:t>
      </w:r>
      <w:r w:rsidR="0030180C" w:rsidRPr="002F2A9B">
        <w:rPr>
          <w:rFonts w:cstheme="minorHAnsi"/>
          <w:sz w:val="24"/>
          <w:szCs w:val="24"/>
        </w:rPr>
        <w:t xml:space="preserve">we categorize her orientation to students as </w:t>
      </w:r>
      <w:r w:rsidR="0030180C" w:rsidRPr="002F2A9B">
        <w:rPr>
          <w:rFonts w:cstheme="minorHAnsi"/>
          <w:i/>
          <w:iCs/>
          <w:sz w:val="24"/>
          <w:szCs w:val="24"/>
        </w:rPr>
        <w:t>connection maker</w:t>
      </w:r>
      <w:r w:rsidR="0030180C" w:rsidRPr="002F2A9B">
        <w:rPr>
          <w:rFonts w:cstheme="minorHAnsi"/>
          <w:sz w:val="24"/>
          <w:szCs w:val="24"/>
        </w:rPr>
        <w:t>.</w:t>
      </w:r>
    </w:p>
    <w:p w14:paraId="6D2F6F64" w14:textId="773776D3" w:rsidR="0030180C" w:rsidRPr="002F2A9B" w:rsidRDefault="0030180C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During her lesson, Cleo makes connections to previous learning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clear to her students, referencing how they have worked with theses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before but today they are going to learn explicitly about claims, a word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used in the university’s composition classes. This kind of explicit reference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the writing program as impetus for her choice of jargon is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repeated throughout the lesson and marks Cleo’s negotiation between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writer incomes and programmatic expectations. Cleo also uses a conversational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tone and open- handed gestures, cushioning any jargon with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explanation and physically embodied visuals. During the first part of the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lesson, she goes over a self- made worksheet with students that bridges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things students already know from high school and her class with the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current goal of creating arguments. Then, she asks students to tell her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elements of good arguments based on what they already know. She follows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up with an activity in which students work in groups to create their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own claims on topics of their choosing and share out. Her lesson plan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follows a typical I do/we do/you do format modeled in new- TA orientation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but uses self- made materials rather than the textbook to make her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curriculum student friendly.</w:t>
      </w:r>
    </w:p>
    <w:p w14:paraId="41356841" w14:textId="316F4B18" w:rsidR="0030180C" w:rsidRPr="002F2A9B" w:rsidRDefault="0030180C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Throughout the lesson, Cleo’s discourse signals she values using what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students already know to help them be successful in this college context.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She tends to use open gestures to show empathy for her students,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trying to be a friendly guide for them as they adjust to college writing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expectations. While she teaches, her joy for teaching is visible through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her slightly upturned lips and/or use of her eyebrows and dimples to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indicate a slight smile as she talks. She also uses a friendly tone and even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sounds as if she might laugh while poking fun at the jargon of the word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“claim.” In the following excerpt, Cleo models for students an ideal relationship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programmatic expectations for good writing. She engages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with the jargon, but her smile and teasing tone seem to recognize it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overlaps with writing strategies already familiar to her students. The following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excerpt aligns with figure 2.4a–e.</w:t>
      </w:r>
    </w:p>
    <w:p w14:paraId="5F9089A4" w14:textId="7BE0AF80" w:rsidR="00BF3E92" w:rsidRPr="002F2A9B" w:rsidRDefault="0030180C" w:rsidP="00593A71">
      <w:pPr>
        <w:pStyle w:val="NoSpacing"/>
        <w:ind w:left="720" w:hanging="720"/>
      </w:pPr>
      <w:r w:rsidRPr="002F2A9B">
        <w:t>Cleo: When I say claim, I know I’ve used claim [2.4a] and argument</w:t>
      </w:r>
      <w:r w:rsidR="00593A71">
        <w:t xml:space="preserve"> </w:t>
      </w:r>
      <w:r w:rsidRPr="002F2A9B">
        <w:t xml:space="preserve">interchangeably [2.4b, </w:t>
      </w:r>
      <w:r w:rsidRPr="002F2A9B">
        <w:rPr>
          <w:i/>
          <w:iCs/>
        </w:rPr>
        <w:t xml:space="preserve">moving hands back and forth, </w:t>
      </w:r>
      <w:proofErr w:type="gramStart"/>
      <w:r w:rsidRPr="002F2A9B">
        <w:rPr>
          <w:i/>
          <w:iCs/>
        </w:rPr>
        <w:t>up</w:t>
      </w:r>
      <w:proofErr w:type="gramEnd"/>
      <w:r w:rsidRPr="002F2A9B">
        <w:rPr>
          <w:i/>
          <w:iCs/>
        </w:rPr>
        <w:t xml:space="preserve"> and down</w:t>
      </w:r>
      <w:r w:rsidRPr="002F2A9B">
        <w:t>]</w:t>
      </w:r>
      <w:r w:rsidR="00593A71">
        <w:t xml:space="preserve"> </w:t>
      </w:r>
      <w:r w:rsidRPr="002F2A9B">
        <w:t xml:space="preserve">all quarter and that’s because they’re </w:t>
      </w:r>
      <w:proofErr w:type="spellStart"/>
      <w:r w:rsidRPr="002F2A9B">
        <w:t>kinda</w:t>
      </w:r>
      <w:proofErr w:type="spellEnd"/>
      <w:r w:rsidRPr="002F2A9B">
        <w:t xml:space="preserve"> the same thing [</w:t>
      </w:r>
      <w:r w:rsidRPr="002F2A9B">
        <w:rPr>
          <w:i/>
          <w:iCs/>
        </w:rPr>
        <w:t>raises</w:t>
      </w:r>
      <w:r w:rsidR="00593A71">
        <w:rPr>
          <w:i/>
          <w:iCs/>
        </w:rPr>
        <w:t xml:space="preserve"> </w:t>
      </w:r>
      <w:r w:rsidRPr="002F2A9B">
        <w:rPr>
          <w:i/>
          <w:iCs/>
        </w:rPr>
        <w:t>eyebrows, as if in amusement</w:t>
      </w:r>
      <w:r w:rsidRPr="002F2A9B">
        <w:t>]. Um when we talk about claims in this</w:t>
      </w:r>
      <w:r w:rsidR="00593A71">
        <w:t xml:space="preserve"> </w:t>
      </w:r>
      <w:r w:rsidRPr="002F2A9B">
        <w:t>class and when we talk about claims [2.4c] generally when you’re in</w:t>
      </w:r>
      <w:r w:rsidRPr="002F2A9B">
        <w:t xml:space="preserve"> </w:t>
      </w:r>
      <w:r w:rsidRPr="002F2A9B">
        <w:t>composition classes generally at UW, a claim is basically [2.4d] the</w:t>
      </w:r>
      <w:r w:rsidR="00593A71">
        <w:t xml:space="preserve"> </w:t>
      </w:r>
      <w:r w:rsidRPr="002F2A9B">
        <w:t>same as a thesis statement which is what you guys are more familiar</w:t>
      </w:r>
      <w:r w:rsidR="00593A71">
        <w:t xml:space="preserve"> </w:t>
      </w:r>
      <w:r w:rsidRPr="002F2A9B">
        <w:t>with from high school I’m guessing. That kind of distil—that crystallization</w:t>
      </w:r>
      <w:r w:rsidR="00593A71">
        <w:t xml:space="preserve"> </w:t>
      </w:r>
      <w:r w:rsidRPr="002F2A9B">
        <w:t>[2.4e], like what is your argument [</w:t>
      </w:r>
      <w:r w:rsidRPr="002F2A9B">
        <w:rPr>
          <w:i/>
          <w:iCs/>
        </w:rPr>
        <w:t>bounces the crystallization</w:t>
      </w:r>
      <w:r w:rsidR="00593A71">
        <w:rPr>
          <w:i/>
          <w:iCs/>
        </w:rPr>
        <w:t xml:space="preserve"> </w:t>
      </w:r>
      <w:r w:rsidRPr="002F2A9B">
        <w:rPr>
          <w:i/>
          <w:iCs/>
        </w:rPr>
        <w:t>symbol for emphasis, with each word</w:t>
      </w:r>
      <w:r w:rsidRPr="002F2A9B">
        <w:t>] in one to two sentences that’s what</w:t>
      </w:r>
      <w:r w:rsidR="00593A71">
        <w:t xml:space="preserve"> </w:t>
      </w:r>
      <w:r w:rsidRPr="002F2A9B">
        <w:t>we mean by a claim. It’s that argument that you’re making, the core</w:t>
      </w:r>
      <w:r w:rsidR="00593A71">
        <w:t xml:space="preserve"> </w:t>
      </w:r>
      <w:r w:rsidRPr="002F2A9B">
        <w:t>of your argument.</w:t>
      </w:r>
    </w:p>
    <w:p w14:paraId="2E756803" w14:textId="5571DB27" w:rsidR="000B5124" w:rsidRPr="002F2A9B" w:rsidRDefault="009B5A4E" w:rsidP="00593A71">
      <w:pPr>
        <w:pStyle w:val="NoSpacing"/>
      </w:pPr>
      <w:r w:rsidRPr="002F2A9B">
        <w:rPr>
          <w:noProof/>
        </w:rPr>
        <w:drawing>
          <wp:inline distT="0" distB="0" distL="0" distR="0" wp14:anchorId="1271514C" wp14:editId="1B568AF3">
            <wp:extent cx="2743200" cy="5358384"/>
            <wp:effectExtent l="0" t="0" r="0" b="0"/>
            <wp:docPr id="10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358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0FB38" w14:textId="5EEC9DB0" w:rsidR="000B5124" w:rsidRPr="002F2A9B" w:rsidRDefault="001F7B6B" w:rsidP="00593A71">
      <w:pPr>
        <w:pStyle w:val="NoSpacing"/>
      </w:pPr>
      <w:r w:rsidRPr="002F2A9B">
        <w:rPr>
          <w:i/>
          <w:iCs/>
        </w:rPr>
        <w:t>Figure 2.4. Cleo’s hand gestures model the crystallization of student ideas</w:t>
      </w:r>
      <w:r w:rsidR="00593A71">
        <w:rPr>
          <w:i/>
          <w:iCs/>
        </w:rPr>
        <w:t xml:space="preserve"> </w:t>
      </w:r>
      <w:r w:rsidRPr="002F2A9B">
        <w:rPr>
          <w:i/>
          <w:iCs/>
        </w:rPr>
        <w:t>into an argument or claim.</w:t>
      </w:r>
    </w:p>
    <w:p w14:paraId="2A78C573" w14:textId="77777777" w:rsidR="00593A71" w:rsidRDefault="00593A71" w:rsidP="002F2A9B">
      <w:pPr>
        <w:rPr>
          <w:rFonts w:cstheme="minorHAnsi"/>
          <w:sz w:val="24"/>
          <w:szCs w:val="24"/>
        </w:rPr>
      </w:pPr>
    </w:p>
    <w:p w14:paraId="4A8B1113" w14:textId="2CA5DA9F" w:rsidR="001F7B6B" w:rsidRPr="002F2A9B" w:rsidRDefault="001F7B6B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As she talks, Cleo is in near constant motion. She uses primarily circular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gestures with open hands to give an aura of energy and inclusivity.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This movement is, in fact, what Cleo noticed most when watching her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clips. She reflected, “I try and stay animated . . . I prefer to sit down when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 teach because it’s, I feel like I am engaging in the conversation with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people instead of talking down to people, so to make up for that I feel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like I </w:t>
      </w:r>
      <w:proofErr w:type="gramStart"/>
      <w:r w:rsidRPr="002F2A9B">
        <w:rPr>
          <w:rFonts w:cstheme="minorHAnsi"/>
          <w:sz w:val="24"/>
          <w:szCs w:val="24"/>
        </w:rPr>
        <w:t>have to</w:t>
      </w:r>
      <w:proofErr w:type="gramEnd"/>
      <w:r w:rsidRPr="002F2A9B">
        <w:rPr>
          <w:rFonts w:cstheme="minorHAnsi"/>
          <w:sz w:val="24"/>
          <w:szCs w:val="24"/>
        </w:rPr>
        <w:t xml:space="preserve"> do a lot.” Because the classroom’s layout would make it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challenging for students to see her over their computers, however, Cleo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stands still and uses constant gesturing in this context. In figure 2.4e,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Cleo disrupts her open- handed gestures with a fist, which she moves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up and down in rhythm with her voice. As she laughingly explained in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her interview, this offers an embodied metaphor for the crystallization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an argument; how students might “bring all the things [they] want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say together into a big fist.” Like Chris, Cleo offers a gestural metaphor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capture her perspective on good writing, embodying argument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 two hands clasped together and a coming together of ideas into a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unified whole. In contrast to Chris, however, this gesture mirrors her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understanding of how the writing program defines argument, which was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introduced to her in orientation, reified through the explanation in the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textbook, and then physically represented to her students. Together, her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linguistic and paralinguistic cues show Cleo’s empathy for her students,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her adherence to programmatic considerations, and her effort to make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connections between high- school and college writing expectations. TAs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can use her case study to consider how they might productively navigate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among competing forces of writing program expectations, past experiences,</w:t>
      </w:r>
      <w:r w:rsidR="00593A71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teaching personas.</w:t>
      </w:r>
    </w:p>
    <w:p w14:paraId="5E4FEFDC" w14:textId="5BB82602" w:rsidR="001F7B6B" w:rsidRPr="002F2A9B" w:rsidRDefault="001F7B6B" w:rsidP="002F2A9B">
      <w:pPr>
        <w:rPr>
          <w:rFonts w:cstheme="minorHAnsi"/>
          <w:sz w:val="24"/>
          <w:szCs w:val="24"/>
        </w:rPr>
      </w:pPr>
      <w:proofErr w:type="gramStart"/>
      <w:r w:rsidRPr="002F2A9B">
        <w:rPr>
          <w:rFonts w:cstheme="minorHAnsi"/>
          <w:sz w:val="24"/>
          <w:szCs w:val="24"/>
        </w:rPr>
        <w:t>Similar to</w:t>
      </w:r>
      <w:proofErr w:type="gramEnd"/>
      <w:r w:rsidRPr="002F2A9B">
        <w:rPr>
          <w:rFonts w:cstheme="minorHAnsi"/>
          <w:sz w:val="24"/>
          <w:szCs w:val="24"/>
        </w:rPr>
        <w:t xml:space="preserve"> Cleo, Greg’s disciplinary identity is connected to his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identity as a teacher. However, for Greg, his experiences as a second</w:t>
      </w:r>
      <w:r w:rsidR="005E218E">
        <w:rPr>
          <w:rFonts w:cstheme="minorHAnsi"/>
          <w:sz w:val="24"/>
          <w:szCs w:val="24"/>
        </w:rPr>
        <w:t>-</w:t>
      </w:r>
      <w:r w:rsidRPr="002F2A9B">
        <w:rPr>
          <w:rFonts w:cstheme="minorHAnsi"/>
          <w:sz w:val="24"/>
          <w:szCs w:val="24"/>
        </w:rPr>
        <w:t>language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teacher led him to his scholarly pursuits. As he explained,</w:t>
      </w:r>
    </w:p>
    <w:p w14:paraId="79B97BF3" w14:textId="15E442C1" w:rsidR="000B5124" w:rsidRPr="002F2A9B" w:rsidRDefault="001F7B6B" w:rsidP="005E218E">
      <w:pPr>
        <w:pStyle w:val="NoSpacing"/>
        <w:ind w:left="720"/>
      </w:pPr>
      <w:r w:rsidRPr="002F2A9B">
        <w:t xml:space="preserve">Second- language teaching </w:t>
      </w:r>
      <w:proofErr w:type="gramStart"/>
      <w:r w:rsidRPr="002F2A9B">
        <w:t>and also</w:t>
      </w:r>
      <w:proofErr w:type="gramEnd"/>
      <w:r w:rsidRPr="002F2A9B">
        <w:t xml:space="preserve"> language policy [are my areas]. One</w:t>
      </w:r>
      <w:r w:rsidR="005E218E">
        <w:t xml:space="preserve"> </w:t>
      </w:r>
      <w:r w:rsidRPr="002F2A9B">
        <w:t>of the reasons that I wanted to come back to school. I do consider myself</w:t>
      </w:r>
      <w:r w:rsidR="005E218E">
        <w:t xml:space="preserve"> </w:t>
      </w:r>
      <w:r w:rsidRPr="002F2A9B">
        <w:t>primarily a teacher. But being an English teacher in a world where sort of</w:t>
      </w:r>
      <w:r w:rsidR="005E218E">
        <w:t xml:space="preserve"> </w:t>
      </w:r>
      <w:r w:rsidRPr="002F2A9B">
        <w:t>we’re at the forefront of a lot of imperial processes I wanted to figure out</w:t>
      </w:r>
      <w:r w:rsidR="005E218E">
        <w:t xml:space="preserve"> </w:t>
      </w:r>
      <w:r w:rsidRPr="002F2A9B">
        <w:t>how can I continue to be an English teacher while not necessarily promoting</w:t>
      </w:r>
      <w:r w:rsidR="005E218E">
        <w:t xml:space="preserve"> </w:t>
      </w:r>
      <w:r w:rsidRPr="002F2A9B">
        <w:t>that sort of hegemony.</w:t>
      </w:r>
    </w:p>
    <w:p w14:paraId="24C9199E" w14:textId="4CF50627" w:rsidR="00C16797" w:rsidRPr="002F2A9B" w:rsidRDefault="00C1679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Since Greg’s dominant identity is his teacherly persona, we identify him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as a </w:t>
      </w:r>
      <w:r w:rsidRPr="002F2A9B">
        <w:rPr>
          <w:rFonts w:cstheme="minorHAnsi"/>
          <w:i/>
          <w:iCs/>
          <w:sz w:val="24"/>
          <w:szCs w:val="24"/>
        </w:rPr>
        <w:t>disciplinary practitioner</w:t>
      </w:r>
      <w:r w:rsidRPr="002F2A9B">
        <w:rPr>
          <w:rFonts w:cstheme="minorHAnsi"/>
          <w:sz w:val="24"/>
          <w:szCs w:val="24"/>
        </w:rPr>
        <w:t>. Although he went back for his PhD because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his interest in the political nature of language teaching, Greg does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not explicitly address that topic with his students. Instead, he integrates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strategies to best support multilingual students, like speaking slowly and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providing multiple modes of communication. When asked about his experiences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with the concept argument, Greg referenced prior teaching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rather than experiences as a writer, explaining he first came to understand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argument in the new- TA training at his first institution in “2009 or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2010.” Given that both Cleo and Greg name orientation as influential in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understanding of argument, it seems that new TAs whose teacherly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scholarly identities are aligned may rely more readily on institutionalized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understandings of writing. That said, they also may need more</w:t>
      </w:r>
      <w:r w:rsidR="005E218E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prompting to draw on their own experiences as writers as a resource.</w:t>
      </w:r>
    </w:p>
    <w:p w14:paraId="1521B33D" w14:textId="19F96712" w:rsidR="00C16797" w:rsidRPr="002F2A9B" w:rsidRDefault="00C1679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As Greg teaches, he reacts to students in the moment, keeping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them engaged and fostering learning through discovery. We identify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him as an </w:t>
      </w:r>
      <w:r w:rsidRPr="002F2A9B">
        <w:rPr>
          <w:rFonts w:cstheme="minorHAnsi"/>
          <w:i/>
          <w:iCs/>
          <w:sz w:val="24"/>
          <w:szCs w:val="24"/>
        </w:rPr>
        <w:t xml:space="preserve">activity organizer </w:t>
      </w:r>
      <w:r w:rsidRPr="002F2A9B">
        <w:rPr>
          <w:rFonts w:cstheme="minorHAnsi"/>
          <w:sz w:val="24"/>
          <w:szCs w:val="24"/>
        </w:rPr>
        <w:t>because he tends to teach students through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doing. Rather than offering an isolated explanation of argument, for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example, he integrates his commentary on what an argument should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entail through a series of activities. In fact, Greg’s desk is littered with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different possibilities for activities so he can adjust his lesson at any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moment in response to the class’s pace and interest. Greg does not just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ask students to engage in the activity, either; he is also in near-constant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motion. Though the smallness of his classroom relegates Greg to the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front of the room near the blackboard, he paces and gesticulates to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“bring some energy into the classroom.” During our interview, when he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saw the video of himself teaching, Greg reminisced about one of his first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videoed observations in which he noticed he was “swaying.” While the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swaying was not visible in this demonstration, he still described himself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 “a little bit hyperactive perhaps.” Greg also tends to touch physical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artifacts like the chalk, desk, board, or textbook and use classroom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objects as examples when possible. He explained these gestures: “A lot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times what I’m talking about is sort of vague and abstract . . . the more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physical, the more present, the more familiar [an object] is then the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easier it is to get into it.”</w:t>
      </w:r>
    </w:p>
    <w:p w14:paraId="41C1CEA3" w14:textId="15554E58" w:rsidR="00C16797" w:rsidRPr="002F2A9B" w:rsidRDefault="00C1679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Greg’s lesson plan to teach argument comes from his past experiences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 a teacher; he decides to model possible subclaims of a larger arguable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claim for students. Unlike Cleo, who thinks about her own experiences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 a college student, or Matt and Chris, who rely on their experiences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 writers, Greg uses his teaching experiences to inform his curriculum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decisions. He begins his lesson by asking students to workshop a claim</w:t>
      </w:r>
      <w:r w:rsidRPr="002F2A9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through classroom discussion on the chalkboard. He facilitates the activity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by questioning students about how the claim could be more arguable,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calling on students to hear their suggestions and writing down their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specific revisions. Thus, while Greg has clear goals for what he wants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students to understand about good arguments, their contributions shape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lesson, and they model the specificity he is after collaboratively.</w:t>
      </w:r>
    </w:p>
    <w:p w14:paraId="28AE7FE8" w14:textId="25A91B88" w:rsidR="00C16797" w:rsidRPr="002F2A9B" w:rsidRDefault="00C1679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Afterwards, he glances at the clock, saying, “Yeah I think we’ll have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time for this,” showcasing his teacher experience through both his flexibility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his ability to predict the length of an activity. He introduces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 small- group activity in which students work together to put claims in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order from easiest to hardest to support. Rather than giving students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examples of good arguments, like Chris, Greg asks them to evaluate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examples themselves and defend their choices. Once the students confirm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they are ready, he asks them to share out, an excerpt of which is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included below.</w:t>
      </w:r>
    </w:p>
    <w:p w14:paraId="1C2831AC" w14:textId="0E9DFDF0" w:rsidR="00C16797" w:rsidRPr="002F2A9B" w:rsidRDefault="00C16797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Greg’s teaching experience and love for teaching both come through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this short excerpt in which he organizes the students’ activity on the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board. Like Cleo and Matt, Greg shares his joy with his students by smiling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often while he teaches. The “call- and- response” aspect of the activity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makes him laugh because “[he’s] taught </w:t>
      </w:r>
      <w:proofErr w:type="gramStart"/>
      <w:r w:rsidRPr="002F2A9B">
        <w:rPr>
          <w:rFonts w:cstheme="minorHAnsi"/>
          <w:sz w:val="24"/>
          <w:szCs w:val="24"/>
        </w:rPr>
        <w:t>this four or five times</w:t>
      </w:r>
      <w:proofErr w:type="gramEnd"/>
      <w:r w:rsidRPr="002F2A9B">
        <w:rPr>
          <w:rFonts w:cstheme="minorHAnsi"/>
          <w:sz w:val="24"/>
          <w:szCs w:val="24"/>
        </w:rPr>
        <w:t xml:space="preserve"> but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normally it’s not so unified,” and his students share in his joy, laughing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along with him. Greg’s hand gestures are somewhat constricted, unlike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Cleo’s open gestures, because he is holding all the </w:t>
      </w:r>
      <w:proofErr w:type="gramStart"/>
      <w:r w:rsidRPr="002F2A9B">
        <w:rPr>
          <w:rFonts w:cstheme="minorHAnsi"/>
          <w:sz w:val="24"/>
          <w:szCs w:val="24"/>
        </w:rPr>
        <w:t>materials</w:t>
      </w:r>
      <w:proofErr w:type="gramEnd"/>
      <w:r w:rsidRPr="002F2A9B">
        <w:rPr>
          <w:rFonts w:cstheme="minorHAnsi"/>
          <w:sz w:val="24"/>
          <w:szCs w:val="24"/>
        </w:rPr>
        <w:t xml:space="preserve"> he needs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organize this activity: a piece of chalk in one hand and a copy of the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worksheet another. During the interview, Greg explained this choice, saying,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“I have tried to write out the numbers before but that takes a while”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“doing the projector in this class is difficult because I have to move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students out of the way.” Greg’s solution is to hold the worksheet and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write just the numbers on the board, but he regrets turning towards the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board because it might make the lesson more difficult for his multilingual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students to follow. Overall, Greg relies on interactivity to teach his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students, emphasizing his own values for a strong argument— arguable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claims being supported by specific subclaims— through touching the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board as he facilitates the </w:t>
      </w:r>
      <w:proofErr w:type="spellStart"/>
      <w:r w:rsidRPr="002F2A9B">
        <w:rPr>
          <w:rFonts w:cstheme="minorHAnsi"/>
          <w:sz w:val="24"/>
          <w:szCs w:val="24"/>
        </w:rPr>
        <w:t>shareout</w:t>
      </w:r>
      <w:proofErr w:type="spellEnd"/>
      <w:r w:rsidRPr="002F2A9B">
        <w:rPr>
          <w:rFonts w:cstheme="minorHAnsi"/>
          <w:sz w:val="24"/>
          <w:szCs w:val="24"/>
        </w:rPr>
        <w:t>. The following excerpt aligns with</w:t>
      </w:r>
      <w:r w:rsidR="008418EA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figure 2.5a–d.</w:t>
      </w:r>
    </w:p>
    <w:p w14:paraId="4D06623C" w14:textId="171284DA" w:rsidR="00C16797" w:rsidRPr="002F2A9B" w:rsidRDefault="00C16797" w:rsidP="000F4BD4">
      <w:pPr>
        <w:pStyle w:val="NoSpacing"/>
        <w:ind w:left="720" w:hanging="720"/>
      </w:pPr>
      <w:r w:rsidRPr="002F2A9B">
        <w:t>Gre</w:t>
      </w:r>
      <w:r w:rsidR="008418EA">
        <w:t>g</w:t>
      </w:r>
      <w:r w:rsidRPr="002F2A9B">
        <w:t>: [2.5a] [</w:t>
      </w:r>
      <w:r w:rsidRPr="002F2A9B">
        <w:rPr>
          <w:i/>
          <w:iCs/>
        </w:rPr>
        <w:t>looking at the activity worksheet</w:t>
      </w:r>
      <w:r w:rsidRPr="002F2A9B">
        <w:t>] And then what next?</w:t>
      </w:r>
    </w:p>
    <w:p w14:paraId="08F36DF8" w14:textId="77777777" w:rsidR="00C16797" w:rsidRPr="002F2A9B" w:rsidRDefault="00C16797" w:rsidP="000F4BD4">
      <w:pPr>
        <w:pStyle w:val="NoSpacing"/>
        <w:ind w:left="720" w:hanging="720"/>
      </w:pPr>
      <w:r w:rsidRPr="002F2A9B">
        <w:t>Group of students: Five . . . One</w:t>
      </w:r>
    </w:p>
    <w:p w14:paraId="244E650C" w14:textId="77777777" w:rsidR="008418EA" w:rsidRDefault="00C16797" w:rsidP="000F4BD4">
      <w:pPr>
        <w:pStyle w:val="NoSpacing"/>
        <w:ind w:left="720" w:hanging="720"/>
      </w:pPr>
      <w:r w:rsidRPr="002F2A9B">
        <w:t>Gre</w:t>
      </w:r>
      <w:r w:rsidR="008418EA">
        <w:t>g</w:t>
      </w:r>
      <w:r w:rsidRPr="002F2A9B">
        <w:t>: [2.5b] [</w:t>
      </w:r>
      <w:r w:rsidRPr="002F2A9B">
        <w:rPr>
          <w:i/>
          <w:iCs/>
        </w:rPr>
        <w:t>turning away from the class to write the number on the board</w:t>
      </w:r>
      <w:r w:rsidRPr="002F2A9B">
        <w:t>]</w:t>
      </w:r>
      <w:r w:rsidR="008418EA">
        <w:t xml:space="preserve"> </w:t>
      </w:r>
      <w:r w:rsidRPr="002F2A9B">
        <w:t xml:space="preserve">Five or one [2.5c, </w:t>
      </w:r>
      <w:r w:rsidRPr="002F2A9B">
        <w:rPr>
          <w:i/>
          <w:iCs/>
        </w:rPr>
        <w:t>rotates back to students, smiling</w:t>
      </w:r>
      <w:r w:rsidRPr="002F2A9B">
        <w:t>], so which one, five or</w:t>
      </w:r>
      <w:r w:rsidR="008418EA">
        <w:t xml:space="preserve"> </w:t>
      </w:r>
    </w:p>
    <w:p w14:paraId="7111CB4E" w14:textId="2EE863EE" w:rsidR="00710C74" w:rsidRPr="002F2A9B" w:rsidRDefault="00710C74" w:rsidP="000F4BD4">
      <w:pPr>
        <w:pStyle w:val="NoSpacing"/>
        <w:ind w:left="720" w:hanging="720"/>
      </w:pPr>
      <w:r w:rsidRPr="002F2A9B">
        <w:t>Group of students: [</w:t>
      </w:r>
      <w:r w:rsidRPr="002F2A9B">
        <w:rPr>
          <w:i/>
          <w:iCs/>
        </w:rPr>
        <w:t>laughter</w:t>
      </w:r>
      <w:r w:rsidRPr="002F2A9B">
        <w:t>] Five</w:t>
      </w:r>
    </w:p>
    <w:p w14:paraId="52B17575" w14:textId="07087DC5" w:rsidR="00710C74" w:rsidRPr="002F2A9B" w:rsidRDefault="00710C74" w:rsidP="000F4BD4">
      <w:pPr>
        <w:pStyle w:val="NoSpacing"/>
        <w:ind w:left="720" w:hanging="720"/>
      </w:pPr>
      <w:r w:rsidRPr="002F2A9B">
        <w:t>Gre</w:t>
      </w:r>
      <w:r w:rsidR="00470FF0">
        <w:t>g</w:t>
      </w:r>
      <w:r w:rsidRPr="002F2A9B">
        <w:t>: Okay five then [</w:t>
      </w:r>
      <w:r w:rsidRPr="002F2A9B">
        <w:rPr>
          <w:i/>
          <w:iCs/>
        </w:rPr>
        <w:t>writes “five” on the blackboard</w:t>
      </w:r>
      <w:r w:rsidRPr="002F2A9B">
        <w:t>]</w:t>
      </w:r>
    </w:p>
    <w:p w14:paraId="7CF3E8BC" w14:textId="77777777" w:rsidR="00710C74" w:rsidRPr="002F2A9B" w:rsidRDefault="00710C74" w:rsidP="000F4BD4">
      <w:pPr>
        <w:pStyle w:val="NoSpacing"/>
        <w:ind w:left="720" w:hanging="720"/>
      </w:pPr>
      <w:r w:rsidRPr="002F2A9B">
        <w:t>Group of students: [</w:t>
      </w:r>
      <w:r w:rsidRPr="002F2A9B">
        <w:rPr>
          <w:i/>
          <w:iCs/>
        </w:rPr>
        <w:t>in unison</w:t>
      </w:r>
      <w:r w:rsidRPr="002F2A9B">
        <w:t>] One</w:t>
      </w:r>
    </w:p>
    <w:p w14:paraId="1A140BDD" w14:textId="6CEF862F" w:rsidR="000B5124" w:rsidRPr="002F2A9B" w:rsidRDefault="00710C74" w:rsidP="000F4BD4">
      <w:pPr>
        <w:pStyle w:val="NoSpacing"/>
        <w:ind w:left="720" w:hanging="720"/>
      </w:pPr>
      <w:r w:rsidRPr="002F2A9B">
        <w:t>Gre</w:t>
      </w:r>
      <w:r w:rsidR="00470FF0">
        <w:t>g</w:t>
      </w:r>
      <w:r w:rsidRPr="002F2A9B">
        <w:t>: [</w:t>
      </w:r>
      <w:r w:rsidRPr="002F2A9B">
        <w:rPr>
          <w:i/>
          <w:iCs/>
        </w:rPr>
        <w:t>writes “one” on the blackboard</w:t>
      </w:r>
      <w:r w:rsidRPr="002F2A9B">
        <w:t>] Okay. Does anyone have anything</w:t>
      </w:r>
      <w:r w:rsidR="00470FF0">
        <w:t xml:space="preserve"> </w:t>
      </w:r>
      <w:r w:rsidRPr="002F2A9B">
        <w:t xml:space="preserve">significantly [2.5d] different than this? Okay so let’s </w:t>
      </w:r>
      <w:proofErr w:type="gramStart"/>
      <w:r w:rsidRPr="002F2A9B">
        <w:t>take a look</w:t>
      </w:r>
      <w:proofErr w:type="gramEnd"/>
      <w:r w:rsidRPr="002F2A9B">
        <w:t xml:space="preserve"> at</w:t>
      </w:r>
      <w:r w:rsidR="00470FF0">
        <w:t xml:space="preserve"> </w:t>
      </w:r>
      <w:r w:rsidRPr="002F2A9B">
        <w:t>this.</w:t>
      </w:r>
    </w:p>
    <w:p w14:paraId="43F56BE6" w14:textId="423596D4" w:rsidR="000B5124" w:rsidRPr="002F2A9B" w:rsidRDefault="00D549F6" w:rsidP="000F4BD4">
      <w:pPr>
        <w:pStyle w:val="NoSpacing"/>
      </w:pPr>
      <w:r w:rsidRPr="002F2A9B">
        <w:rPr>
          <w:noProof/>
        </w:rPr>
        <w:drawing>
          <wp:inline distT="0" distB="0" distL="0" distR="0" wp14:anchorId="6AD1AC4B" wp14:editId="621D53AF">
            <wp:extent cx="2743200" cy="2606040"/>
            <wp:effectExtent l="0" t="0" r="0" b="3810"/>
            <wp:docPr id="11" name="Picture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45FD0" w14:textId="68EFFA44" w:rsidR="00BF3E92" w:rsidRPr="002F2A9B" w:rsidRDefault="00D549F6" w:rsidP="000F4BD4">
      <w:pPr>
        <w:pStyle w:val="NoSpacing"/>
        <w:rPr>
          <w:i/>
          <w:iCs/>
        </w:rPr>
      </w:pPr>
      <w:r w:rsidRPr="002F2A9B">
        <w:rPr>
          <w:i/>
          <w:iCs/>
        </w:rPr>
        <w:t>Figure 2.5. Greg acts as an activity organizer at the board, encouraging student suggestions</w:t>
      </w:r>
      <w:r w:rsidR="000F4BD4">
        <w:rPr>
          <w:i/>
          <w:iCs/>
        </w:rPr>
        <w:t xml:space="preserve"> </w:t>
      </w:r>
      <w:r w:rsidRPr="002F2A9B">
        <w:rPr>
          <w:i/>
          <w:iCs/>
        </w:rPr>
        <w:t xml:space="preserve">and documenting </w:t>
      </w:r>
      <w:proofErr w:type="gramStart"/>
      <w:r w:rsidRPr="002F2A9B">
        <w:rPr>
          <w:i/>
          <w:iCs/>
        </w:rPr>
        <w:t>them</w:t>
      </w:r>
      <w:proofErr w:type="gramEnd"/>
    </w:p>
    <w:p w14:paraId="769D13C6" w14:textId="77777777" w:rsidR="000F4BD4" w:rsidRDefault="000F4BD4" w:rsidP="002F2A9B">
      <w:pPr>
        <w:rPr>
          <w:rFonts w:cstheme="minorHAnsi"/>
          <w:sz w:val="24"/>
          <w:szCs w:val="24"/>
        </w:rPr>
      </w:pPr>
    </w:p>
    <w:p w14:paraId="6E7D0E7D" w14:textId="118ABCEB" w:rsidR="00A670B3" w:rsidRPr="002F2A9B" w:rsidRDefault="00A670B3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Because Cleo and Greg see reciprocal relationships between their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identities as teachers and scholars, they rely on their own experiences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as students or in other teaching contexts, along with composition training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provided by the writing program. One of the strengths of these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complementary identities is the TAs’ openness to using teaching to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inform their scholarly pursuits and scholarship to inform their teaching.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Yet, they still struggle with conflicting ideologies about writing. Cleo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negotiates her desire to honor students’ incomes with her adherence to</w:t>
      </w:r>
      <w:r w:rsidRPr="002F2A9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writing program’s expectations, while Greg works to align various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 experiences with this current context. Ultimately, embodiment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plays a role in mitigating these conflicting perspectives. Cleo clasps her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hands together in a fist to show how an argument crystallizes ideas;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Greg touches the board to demonstrate how claims are built upon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one another. These two case studies offer insight into the productive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navigation of competing identities for TAs who attempt to blend past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experiences with new writing program demands. They also complicate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notion that new TAs who buy into a writing program are seamlessly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negotiating these identities.</w:t>
      </w:r>
    </w:p>
    <w:p w14:paraId="4EA1C759" w14:textId="127E3B45" w:rsidR="00A670B3" w:rsidRPr="002F2A9B" w:rsidRDefault="00A670B3" w:rsidP="000F4BD4">
      <w:pPr>
        <w:pStyle w:val="Heading1"/>
      </w:pPr>
      <w:r w:rsidRPr="002F2A9B">
        <w:t>CONCLUSION</w:t>
      </w:r>
    </w:p>
    <w:p w14:paraId="7C3595F4" w14:textId="610C8DDB" w:rsidR="00A670B3" w:rsidRPr="002F2A9B" w:rsidRDefault="00A670B3" w:rsidP="002F2A9B">
      <w:pPr>
        <w:rPr>
          <w:rFonts w:cstheme="minorHAnsi"/>
          <w:sz w:val="24"/>
          <w:szCs w:val="24"/>
        </w:rPr>
      </w:pPr>
      <w:proofErr w:type="gramStart"/>
      <w:r w:rsidRPr="002F2A9B">
        <w:rPr>
          <w:rFonts w:cstheme="minorHAnsi"/>
          <w:sz w:val="24"/>
          <w:szCs w:val="24"/>
        </w:rPr>
        <w:t>All of</w:t>
      </w:r>
      <w:proofErr w:type="gramEnd"/>
      <w:r w:rsidRPr="002F2A9B">
        <w:rPr>
          <w:rFonts w:cstheme="minorHAnsi"/>
          <w:sz w:val="24"/>
          <w:szCs w:val="24"/>
        </w:rPr>
        <w:t xml:space="preserve"> our participants’ pedagogical performances showcase their disciplinary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identities and their orientation towards the students in their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classes. Our participants’ beliefs about what constitutes good writing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manifest not only in their talk but also in their embodied actions. From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punching the air to emphasize “nuance” in writing, then underlining,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then squaring a concept on the board to physically enacting a “second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look.” From a raised eyebrow that pokes fun at programmatic jargon to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 collective laugh with the class about their evaluations of different arguments.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One thing we learn from examining TAs’ lessons, then, is that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beliefs about writing </w:t>
      </w:r>
      <w:r w:rsidRPr="002F2A9B">
        <w:rPr>
          <w:rFonts w:cstheme="minorHAnsi"/>
          <w:i/>
          <w:iCs/>
          <w:sz w:val="24"/>
          <w:szCs w:val="24"/>
        </w:rPr>
        <w:t xml:space="preserve">are </w:t>
      </w:r>
      <w:r w:rsidRPr="002F2A9B">
        <w:rPr>
          <w:rFonts w:cstheme="minorHAnsi"/>
          <w:sz w:val="24"/>
          <w:szCs w:val="24"/>
        </w:rPr>
        <w:t>embodied and pedagogical performances can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be a site for accessing these embodied ideologies and recognizing internal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contradictions. Examining these embodied teaching practices does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not lead TAs or WPAs to immediate resolutions. However, looking at the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pedagogical performances of four TAs who might seem quite familiar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 background and orientation does help illuminate the complexity of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experiences and their choices— the layered, multimodal nature of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positioning.</w:t>
      </w:r>
    </w:p>
    <w:p w14:paraId="0299EE9F" w14:textId="398EA100" w:rsidR="00A670B3" w:rsidRPr="002F2A9B" w:rsidRDefault="00A670B3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Pedagogical performances are sites of contradiction, where conflicting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identities are made visible and negotiated. We see this in Chris’s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embodiment of the informant role, where he attempts to provide clear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directions for writing complex claims even when his own experience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demonstrates how argument is always situated, iterative, and complex.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Meanwhile, Matt struggles to help students experience a process of collaborative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discovery without taking the conversational lead. While he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has a clear goal for what students will learn, he wants to let that goal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emerge out of chaotic discussion. On the other hand, </w:t>
      </w:r>
      <w:proofErr w:type="gramStart"/>
      <w:r w:rsidRPr="002F2A9B">
        <w:rPr>
          <w:rFonts w:cstheme="minorHAnsi"/>
          <w:sz w:val="24"/>
          <w:szCs w:val="24"/>
        </w:rPr>
        <w:t>Cleo’s</w:t>
      </w:r>
      <w:proofErr w:type="gramEnd"/>
      <w:r w:rsidRPr="002F2A9B">
        <w:rPr>
          <w:rFonts w:cstheme="minorHAnsi"/>
          <w:sz w:val="24"/>
          <w:szCs w:val="24"/>
        </w:rPr>
        <w:t xml:space="preserve"> and Greg’s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reciprocal relationships between their identities as teachers and scholars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still necessitate frequent negotiation between past teaching and learning</w:t>
      </w:r>
      <w:r w:rsidRPr="002F2A9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experiences and programmatic goals. Like Chris, Cleo provides clear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guidelines for writing a complex claim and is willing to potentially oversimplify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similarities between high school and college so she can honor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students’ already established knowledge. </w:t>
      </w:r>
      <w:proofErr w:type="gramStart"/>
      <w:r w:rsidRPr="002F2A9B">
        <w:rPr>
          <w:rFonts w:cstheme="minorHAnsi"/>
          <w:sz w:val="24"/>
          <w:szCs w:val="24"/>
        </w:rPr>
        <w:t>In an effort to</w:t>
      </w:r>
      <w:proofErr w:type="gramEnd"/>
      <w:r w:rsidRPr="002F2A9B">
        <w:rPr>
          <w:rFonts w:cstheme="minorHAnsi"/>
          <w:sz w:val="24"/>
          <w:szCs w:val="24"/>
        </w:rPr>
        <w:t xml:space="preserve"> be clear, both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Chris and Cleo incorporate lecture elements. Chris uses a more structured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lecture with a coordinating PowerPoint and gestures of authority,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while Cleo does a mini conversational lecture with a shared worksheet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inclusive gestures. Matt and Greg, on the other hand, use student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activity to teach, with Greg using a more structured activity and Chris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using a more open-ended conversation. Thus, complicated negotiations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of teacher practices are visible in the ways new TAs balance lecturing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activity- based instruction.</w:t>
      </w:r>
    </w:p>
    <w:p w14:paraId="0C444CF0" w14:textId="381A6855" w:rsidR="00A670B3" w:rsidRPr="002F2A9B" w:rsidRDefault="00A670B3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Our analysis shows how teacher performance can be used as a site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for discovery for researchers, writing program administrators, and TAs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themselves. At the time we conducted this research, we were graduate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students ourselves, and our own embodied experiences were the catalyst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for designing a study that used multimodal discourse analysis to analyze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TAs’ liminal position. We both functioned as new TAs, then assistant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directors of the EWP, and later as more experienced TAs— and we knew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 importance of how we carried our bodies as TAs and observed others’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teaching performances. We hope more graduate students will use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own embodied expertise to design studies about graduate students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their liminal positionality. As future research is done on liminality,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we suggest that those experiencing their liminality might be called upon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design research studies that can shed even more light on intersecting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identities not explored here, like race, class, sexuality, and so forth.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More research can and should be done into how other identities like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class, gender, sexuality, and race play a role in the complicated negotiation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between teacherly and scholarly identities for new </w:t>
      </w:r>
      <w:proofErr w:type="spellStart"/>
      <w:r w:rsidRPr="002F2A9B">
        <w:rPr>
          <w:rFonts w:cstheme="minorHAnsi"/>
          <w:sz w:val="24"/>
          <w:szCs w:val="24"/>
        </w:rPr>
        <w:t>TAs.</w:t>
      </w:r>
      <w:proofErr w:type="spellEnd"/>
      <w:r w:rsidRPr="002F2A9B">
        <w:rPr>
          <w:rFonts w:cstheme="minorHAnsi"/>
          <w:sz w:val="24"/>
          <w:szCs w:val="24"/>
        </w:rPr>
        <w:t xml:space="preserve"> Though the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teachers in our case study did vary in their disciplinary identities and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their relationship to the writing program, we only represent snapshots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into four TAs, three of whom are white men. What we hope is that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this research can offer a starting point for recognizing the interactions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between the identities of teachers and burgeoning scholars. Continued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research into teacher performance, particularly research that adopts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multimodal methodologies for analysis, would provide much- needed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insight into complicated teacher identities and offer new perspectives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on embodied teaching philosophies.</w:t>
      </w:r>
    </w:p>
    <w:p w14:paraId="4D324778" w14:textId="097F57A7" w:rsidR="002F2A9B" w:rsidRPr="002F2A9B" w:rsidRDefault="00A670B3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In the meantime, TAs should consider how they might leverage video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recordings of their teaching performances to explore and illuminate a</w:t>
      </w:r>
      <w:r w:rsidR="000F4BD4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range of identities. This could be an important practice of self- efficacy,</w:t>
      </w:r>
      <w:r w:rsidRPr="002F2A9B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which Megan Schoettler and Elizabeth Saur argue in this volume is</w:t>
      </w:r>
      <w:r w:rsidR="000F4BD4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critical to TA development. Our interviews with TAs in this study productively</w:t>
      </w:r>
      <w:r w:rsidR="000F4BD4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invited them to identify embodied practices and think about</w:t>
      </w:r>
      <w:r w:rsidR="000F4BD4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their performance as evidence of their teaching and scholarly identities.</w:t>
      </w:r>
      <w:r w:rsidR="000F4BD4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These conversations worked as reflective moments, and given the richness</w:t>
      </w:r>
      <w:r w:rsidR="000F4BD4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of these conversations, we suggest all video analysis be reflected</w:t>
      </w:r>
      <w:r w:rsidR="000F4BD4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upon through a heuristic, an assignment, a conversation, journaling, or</w:t>
      </w:r>
      <w:r w:rsidR="000F4BD4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some other genre of reflection. In addition, we believe a TA- led initiative</w:t>
      </w:r>
      <w:r w:rsidR="000F4BD4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of video review and reflection would help TAs develop their pedagogy.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As John F. McCullagh (2012) argues, video reflection can be used as a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form of professional development to improve TA teaching. We also are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proponents of recording class sessions and using these as a prompt for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instructor reflection in writing programs with observations. Assignments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could be designed to be not only self- reflexive moments of analyzing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embodied performance but also exercises in which TAs have the potential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to learn from another’s performance by doing the observation and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videography for another TA in their practicum course. This is beneficial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for TAs to gain experience with mentoring fellow graduate students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 xml:space="preserve">(Henderson 2010). Graduate student </w:t>
      </w:r>
      <w:proofErr w:type="spellStart"/>
      <w:r w:rsidR="002F2A9B" w:rsidRPr="002F2A9B">
        <w:rPr>
          <w:rFonts w:cstheme="minorHAnsi"/>
          <w:sz w:val="24"/>
          <w:szCs w:val="24"/>
        </w:rPr>
        <w:t>observees</w:t>
      </w:r>
      <w:proofErr w:type="spellEnd"/>
      <w:r w:rsidR="002F2A9B" w:rsidRPr="002F2A9B">
        <w:rPr>
          <w:rFonts w:cstheme="minorHAnsi"/>
          <w:sz w:val="24"/>
          <w:szCs w:val="24"/>
        </w:rPr>
        <w:t xml:space="preserve"> could reflect upon their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embodied performance much as our participants did, while their graduate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student observers could provide video services and note the extent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to which their colleagues imitate the programmatic goals. Imitation, as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Lew Caccia argues in his chapter in this collection, helps students practice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identifying composition theory in practice, and this practice could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 xml:space="preserve">provide a tangible example of how </w:t>
      </w:r>
      <w:proofErr w:type="gramStart"/>
      <w:r w:rsidR="002F2A9B" w:rsidRPr="002F2A9B">
        <w:rPr>
          <w:rFonts w:cstheme="minorHAnsi"/>
          <w:sz w:val="24"/>
          <w:szCs w:val="24"/>
        </w:rPr>
        <w:t>imitation</w:t>
      </w:r>
      <w:proofErr w:type="gramEnd"/>
      <w:r w:rsidR="002F2A9B" w:rsidRPr="002F2A9B">
        <w:rPr>
          <w:rFonts w:cstheme="minorHAnsi"/>
          <w:sz w:val="24"/>
          <w:szCs w:val="24"/>
        </w:rPr>
        <w:t xml:space="preserve"> and innovation exist on a</w:t>
      </w:r>
      <w:r w:rsidR="00C95985">
        <w:rPr>
          <w:rFonts w:cstheme="minorHAnsi"/>
          <w:sz w:val="24"/>
          <w:szCs w:val="24"/>
        </w:rPr>
        <w:t xml:space="preserve"> </w:t>
      </w:r>
      <w:r w:rsidR="002F2A9B" w:rsidRPr="002F2A9B">
        <w:rPr>
          <w:rFonts w:cstheme="minorHAnsi"/>
          <w:sz w:val="24"/>
          <w:szCs w:val="24"/>
        </w:rPr>
        <w:t>continuum rather than in a dichotomy.</w:t>
      </w:r>
    </w:p>
    <w:p w14:paraId="235521E5" w14:textId="47FA402B" w:rsidR="002F2A9B" w:rsidRPr="002F2A9B" w:rsidRDefault="002F2A9B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Along with incorporating multimodal assignments in which TAs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might explore their embodied performances as </w:t>
      </w:r>
      <w:proofErr w:type="spellStart"/>
      <w:r w:rsidRPr="002F2A9B">
        <w:rPr>
          <w:rFonts w:cstheme="minorHAnsi"/>
          <w:sz w:val="24"/>
          <w:szCs w:val="24"/>
        </w:rPr>
        <w:t>Micciche</w:t>
      </w:r>
      <w:proofErr w:type="spellEnd"/>
      <w:r w:rsidRPr="002F2A9B">
        <w:rPr>
          <w:rFonts w:cstheme="minorHAnsi"/>
          <w:sz w:val="24"/>
          <w:szCs w:val="24"/>
        </w:rPr>
        <w:t>, Rule, and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Stratman (2012) suggest, we also recommend that TAs find opportunities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read scholarship on teaching performances. This scholarship can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educate TAs about how to negotiate tricky relationships between their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burgeoning teacher and scholar identities. Liminal positioning is not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something graduate students experience only as new </w:t>
      </w:r>
      <w:proofErr w:type="spellStart"/>
      <w:r w:rsidRPr="002F2A9B">
        <w:rPr>
          <w:rFonts w:cstheme="minorHAnsi"/>
          <w:sz w:val="24"/>
          <w:szCs w:val="24"/>
        </w:rPr>
        <w:t>TAs.</w:t>
      </w:r>
      <w:proofErr w:type="spellEnd"/>
      <w:r w:rsidRPr="002F2A9B">
        <w:rPr>
          <w:rFonts w:cstheme="minorHAnsi"/>
          <w:sz w:val="24"/>
          <w:szCs w:val="24"/>
        </w:rPr>
        <w:t xml:space="preserve"> They also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have the potential to experience liminality in various roles within their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career trajectory: postdoctoral positions, writing program administrators,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other hybrid positions are increasingly popular. To understand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how to negotiate their current liminal positioning and their potential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future experiences, we see analysis of and reflection upon video recordings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to be incredibly important. Ultimately, our research suggests that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video- based analysis of teacher performance paired with critical reflection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can help TAs attune themselves to critical embodied moments</w:t>
      </w:r>
      <w:r w:rsidRPr="002F2A9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during their teaching and to think comprehensively about how habitual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movement patterns are emblematic of larger understandings of writing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and teaching. We hope that in doing so, TAs can identify and better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understand their liminal positions and develop effective strategies for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negotiation both in their current role and in their future ones.</w:t>
      </w:r>
    </w:p>
    <w:p w14:paraId="14021A52" w14:textId="667C81CB" w:rsidR="002F2A9B" w:rsidRPr="002F2A9B" w:rsidRDefault="002F2A9B" w:rsidP="00C95985">
      <w:pPr>
        <w:pStyle w:val="Heading1"/>
      </w:pPr>
      <w:r w:rsidRPr="002F2A9B">
        <w:t>NOTE</w:t>
      </w:r>
    </w:p>
    <w:p w14:paraId="2FB8843F" w14:textId="77777777" w:rsidR="002F2A9B" w:rsidRPr="002F2A9B" w:rsidRDefault="002F2A9B" w:rsidP="002F2A9B">
      <w:pPr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1. All the names used for the TAs are pseudonyms, in accordance with IRB.</w:t>
      </w:r>
    </w:p>
    <w:p w14:paraId="54B6312A" w14:textId="0C6A3B63" w:rsidR="002F2A9B" w:rsidRPr="002F2A9B" w:rsidRDefault="002F2A9B" w:rsidP="00C95985">
      <w:pPr>
        <w:pStyle w:val="Heading1"/>
      </w:pPr>
      <w:r w:rsidRPr="002F2A9B">
        <w:t>REFERENCES</w:t>
      </w:r>
    </w:p>
    <w:p w14:paraId="5C3840B4" w14:textId="541994F4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Bourdieu, Pierre. 1980. </w:t>
      </w:r>
      <w:r w:rsidRPr="002F2A9B">
        <w:rPr>
          <w:rFonts w:cstheme="minorHAnsi"/>
          <w:i/>
          <w:iCs/>
          <w:sz w:val="24"/>
          <w:szCs w:val="24"/>
        </w:rPr>
        <w:t>The Logic of Practice</w:t>
      </w:r>
      <w:r w:rsidRPr="002F2A9B">
        <w:rPr>
          <w:rFonts w:cstheme="minorHAnsi"/>
          <w:sz w:val="24"/>
          <w:szCs w:val="24"/>
        </w:rPr>
        <w:t>. Translated by Richard Nice. Stanford: Stanford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University Press.</w:t>
      </w:r>
    </w:p>
    <w:p w14:paraId="10E214C4" w14:textId="452E4877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2F2A9B">
        <w:rPr>
          <w:rFonts w:cstheme="minorHAnsi"/>
          <w:sz w:val="24"/>
          <w:szCs w:val="24"/>
        </w:rPr>
        <w:t>Ebest</w:t>
      </w:r>
      <w:proofErr w:type="spellEnd"/>
      <w:r w:rsidRPr="002F2A9B">
        <w:rPr>
          <w:rFonts w:cstheme="minorHAnsi"/>
          <w:sz w:val="24"/>
          <w:szCs w:val="24"/>
        </w:rPr>
        <w:t xml:space="preserve">, Sally Barr. 2005. </w:t>
      </w:r>
      <w:r w:rsidRPr="002F2A9B">
        <w:rPr>
          <w:rFonts w:cstheme="minorHAnsi"/>
          <w:i/>
          <w:iCs/>
          <w:sz w:val="24"/>
          <w:szCs w:val="24"/>
        </w:rPr>
        <w:t>Changing the Way We Teach: Writing and Resistance in the Training of</w:t>
      </w:r>
      <w:r w:rsidR="00C95985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>Teaching Assistants</w:t>
      </w:r>
      <w:r w:rsidRPr="002F2A9B">
        <w:rPr>
          <w:rFonts w:cstheme="minorHAnsi"/>
          <w:sz w:val="24"/>
          <w:szCs w:val="24"/>
        </w:rPr>
        <w:t>. Carbondale: Southern Illinois University Press.</w:t>
      </w:r>
    </w:p>
    <w:p w14:paraId="7BB6495C" w14:textId="54D472BE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Enriquez, Grace, Elisabeth Johnson, </w:t>
      </w:r>
      <w:proofErr w:type="spellStart"/>
      <w:r w:rsidRPr="002F2A9B">
        <w:rPr>
          <w:rFonts w:cstheme="minorHAnsi"/>
          <w:sz w:val="24"/>
          <w:szCs w:val="24"/>
        </w:rPr>
        <w:t>Stavroula</w:t>
      </w:r>
      <w:proofErr w:type="spellEnd"/>
      <w:r w:rsidRPr="002F2A9B">
        <w:rPr>
          <w:rFonts w:cstheme="minorHAnsi"/>
          <w:sz w:val="24"/>
          <w:szCs w:val="24"/>
        </w:rPr>
        <w:t xml:space="preserve"> </w:t>
      </w:r>
      <w:proofErr w:type="spellStart"/>
      <w:r w:rsidRPr="002F2A9B">
        <w:rPr>
          <w:rFonts w:cstheme="minorHAnsi"/>
          <w:sz w:val="24"/>
          <w:szCs w:val="24"/>
        </w:rPr>
        <w:t>Kontovourki</w:t>
      </w:r>
      <w:proofErr w:type="spellEnd"/>
      <w:r w:rsidRPr="002F2A9B">
        <w:rPr>
          <w:rFonts w:cstheme="minorHAnsi"/>
          <w:sz w:val="24"/>
          <w:szCs w:val="24"/>
        </w:rPr>
        <w:t xml:space="preserve">, and Christine A. </w:t>
      </w:r>
      <w:proofErr w:type="spellStart"/>
      <w:r w:rsidRPr="002F2A9B">
        <w:rPr>
          <w:rFonts w:cstheme="minorHAnsi"/>
          <w:sz w:val="24"/>
          <w:szCs w:val="24"/>
        </w:rPr>
        <w:t>Mallozzi</w:t>
      </w:r>
      <w:proofErr w:type="spellEnd"/>
      <w:r w:rsidRPr="002F2A9B">
        <w:rPr>
          <w:rFonts w:cstheme="minorHAnsi"/>
          <w:sz w:val="24"/>
          <w:szCs w:val="24"/>
        </w:rPr>
        <w:t>,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eds. 2015. </w:t>
      </w:r>
      <w:r w:rsidRPr="002F2A9B">
        <w:rPr>
          <w:rFonts w:cstheme="minorHAnsi"/>
          <w:i/>
          <w:iCs/>
          <w:sz w:val="24"/>
          <w:szCs w:val="24"/>
        </w:rPr>
        <w:t>Literacies, Learning, and the Body: Putting Theory and Research into Pedagogical</w:t>
      </w:r>
      <w:r w:rsidR="00C95985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>Practice</w:t>
      </w:r>
      <w:r w:rsidRPr="002F2A9B">
        <w:rPr>
          <w:rFonts w:cstheme="minorHAnsi"/>
          <w:sz w:val="24"/>
          <w:szCs w:val="24"/>
        </w:rPr>
        <w:t>. New York: Routledge.</w:t>
      </w:r>
    </w:p>
    <w:p w14:paraId="1AB18230" w14:textId="0566BEA6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Fleckenstein, Kristie S. 2009. </w:t>
      </w:r>
      <w:r w:rsidRPr="002F2A9B">
        <w:rPr>
          <w:rFonts w:cstheme="minorHAnsi"/>
          <w:i/>
          <w:iCs/>
          <w:sz w:val="24"/>
          <w:szCs w:val="24"/>
        </w:rPr>
        <w:t>Vision, Rhetoric, and Social Action in the Composition Classroom</w:t>
      </w:r>
      <w:r w:rsidRPr="002F2A9B">
        <w:rPr>
          <w:rFonts w:cstheme="minorHAnsi"/>
          <w:sz w:val="24"/>
          <w:szCs w:val="24"/>
        </w:rPr>
        <w:t>.</w:t>
      </w:r>
      <w:r w:rsidR="00C95985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Carbondale: Southern Illinois University Press.</w:t>
      </w:r>
    </w:p>
    <w:p w14:paraId="6763D41D" w14:textId="327E58FF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Fountain, T. Kenny. 2014. </w:t>
      </w:r>
      <w:r w:rsidRPr="002F2A9B">
        <w:rPr>
          <w:rFonts w:cstheme="minorHAnsi"/>
          <w:i/>
          <w:iCs/>
          <w:sz w:val="24"/>
          <w:szCs w:val="24"/>
        </w:rPr>
        <w:t>Rhetoric in the Flesh: Trained Vision, Technical Expertise, and the Gross</w:t>
      </w:r>
      <w:r w:rsidR="00E46F67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>Anatomy Lab</w:t>
      </w:r>
      <w:r w:rsidRPr="002F2A9B">
        <w:rPr>
          <w:rFonts w:cstheme="minorHAnsi"/>
          <w:sz w:val="24"/>
          <w:szCs w:val="24"/>
        </w:rPr>
        <w:t>. New York: Routledge.</w:t>
      </w:r>
    </w:p>
    <w:p w14:paraId="0FE4766A" w14:textId="47C758CE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Freedman, Diane </w:t>
      </w:r>
      <w:proofErr w:type="gramStart"/>
      <w:r w:rsidRPr="002F2A9B">
        <w:rPr>
          <w:rFonts w:cstheme="minorHAnsi"/>
          <w:sz w:val="24"/>
          <w:szCs w:val="24"/>
        </w:rPr>
        <w:t>P.</w:t>
      </w:r>
      <w:proofErr w:type="gramEnd"/>
      <w:r w:rsidRPr="002F2A9B">
        <w:rPr>
          <w:rFonts w:cstheme="minorHAnsi"/>
          <w:sz w:val="24"/>
          <w:szCs w:val="24"/>
        </w:rPr>
        <w:t xml:space="preserve"> and Martha Stoddard Holmes. 2003. </w:t>
      </w:r>
      <w:r w:rsidRPr="002F2A9B">
        <w:rPr>
          <w:rFonts w:cstheme="minorHAnsi"/>
          <w:i/>
          <w:iCs/>
          <w:sz w:val="24"/>
          <w:szCs w:val="24"/>
        </w:rPr>
        <w:t>The Teacher’s Body, The: Embodiment,</w:t>
      </w:r>
      <w:r w:rsidR="00E46F67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>Authority, and Identity in the Academy</w:t>
      </w:r>
      <w:r w:rsidRPr="002F2A9B">
        <w:rPr>
          <w:rFonts w:cstheme="minorHAnsi"/>
          <w:sz w:val="24"/>
          <w:szCs w:val="24"/>
        </w:rPr>
        <w:t>. Albany: SUNY Press.</w:t>
      </w:r>
    </w:p>
    <w:p w14:paraId="382BEF8C" w14:textId="319002BC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Gonzales, Laura. 2015. “Multimodality, </w:t>
      </w:r>
      <w:proofErr w:type="spellStart"/>
      <w:r w:rsidRPr="002F2A9B">
        <w:rPr>
          <w:rFonts w:cstheme="minorHAnsi"/>
          <w:sz w:val="24"/>
          <w:szCs w:val="24"/>
        </w:rPr>
        <w:t>Translingualism</w:t>
      </w:r>
      <w:proofErr w:type="spellEnd"/>
      <w:r w:rsidRPr="002F2A9B">
        <w:rPr>
          <w:rFonts w:cstheme="minorHAnsi"/>
          <w:sz w:val="24"/>
          <w:szCs w:val="24"/>
        </w:rPr>
        <w:t>, and Rhetorical Genre Studies.”</w:t>
      </w:r>
      <w:r w:rsidR="00E46F67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 xml:space="preserve">Composition Forum </w:t>
      </w:r>
      <w:r w:rsidRPr="002F2A9B">
        <w:rPr>
          <w:rFonts w:cstheme="minorHAnsi"/>
          <w:sz w:val="24"/>
          <w:szCs w:val="24"/>
        </w:rPr>
        <w:t>31 (Spring). https://compositionforum.com/issue/31/multimodality.php.</w:t>
      </w:r>
    </w:p>
    <w:p w14:paraId="056C9F6F" w14:textId="5168C29A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2F2A9B">
        <w:rPr>
          <w:rFonts w:cstheme="minorHAnsi"/>
          <w:sz w:val="24"/>
          <w:szCs w:val="24"/>
        </w:rPr>
        <w:t>Grouling</w:t>
      </w:r>
      <w:proofErr w:type="spellEnd"/>
      <w:r w:rsidRPr="002F2A9B">
        <w:rPr>
          <w:rFonts w:cstheme="minorHAnsi"/>
          <w:sz w:val="24"/>
          <w:szCs w:val="24"/>
        </w:rPr>
        <w:t>, Jennifer. 2015. “Resistance and Identity Formation: The Journey of the Graduate</w:t>
      </w:r>
      <w:r w:rsidR="003B7B8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Student-Teacher.” </w:t>
      </w:r>
      <w:r w:rsidRPr="002F2A9B">
        <w:rPr>
          <w:rFonts w:cstheme="minorHAnsi"/>
          <w:i/>
          <w:iCs/>
          <w:sz w:val="24"/>
          <w:szCs w:val="24"/>
        </w:rPr>
        <w:t xml:space="preserve">Composition Forum </w:t>
      </w:r>
      <w:r w:rsidRPr="002F2A9B">
        <w:rPr>
          <w:rFonts w:cstheme="minorHAnsi"/>
          <w:sz w:val="24"/>
          <w:szCs w:val="24"/>
        </w:rPr>
        <w:t>32 (Fall). https://compositionforum.com/issue/32/resistance .</w:t>
      </w:r>
      <w:proofErr w:type="spellStart"/>
      <w:r w:rsidRPr="002F2A9B">
        <w:rPr>
          <w:rFonts w:cstheme="minorHAnsi"/>
          <w:sz w:val="24"/>
          <w:szCs w:val="24"/>
        </w:rPr>
        <w:t>php</w:t>
      </w:r>
      <w:proofErr w:type="spellEnd"/>
      <w:r w:rsidRPr="002F2A9B">
        <w:rPr>
          <w:rFonts w:cstheme="minorHAnsi"/>
          <w:sz w:val="24"/>
          <w:szCs w:val="24"/>
        </w:rPr>
        <w:t>.</w:t>
      </w:r>
    </w:p>
    <w:p w14:paraId="240D49DE" w14:textId="1D21E3B5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Haas, Christina, and Stephen P. Witte. 2001. “Writing as an Embodied Practice: The Case</w:t>
      </w:r>
      <w:r w:rsidR="003B7B8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of Engineering Standards.” </w:t>
      </w:r>
      <w:r w:rsidRPr="002F2A9B">
        <w:rPr>
          <w:rFonts w:cstheme="minorHAnsi"/>
          <w:i/>
          <w:iCs/>
          <w:sz w:val="24"/>
          <w:szCs w:val="24"/>
        </w:rPr>
        <w:t xml:space="preserve">Journal of Business and Technical Communication </w:t>
      </w:r>
      <w:r w:rsidRPr="002F2A9B">
        <w:rPr>
          <w:rFonts w:cstheme="minorHAnsi"/>
          <w:sz w:val="24"/>
          <w:szCs w:val="24"/>
        </w:rPr>
        <w:t>15 (4): 413–57.</w:t>
      </w:r>
    </w:p>
    <w:p w14:paraId="7569E51D" w14:textId="33E56805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Henderson, Barbara. 2010. “Mentorship of Graduate Teaching Assistants: Effects on</w:t>
      </w:r>
      <w:r w:rsidR="003B7B8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Instruction and a Space for Preparing to Teach Adults.” </w:t>
      </w:r>
      <w:r w:rsidRPr="002F2A9B">
        <w:rPr>
          <w:rFonts w:cstheme="minorHAnsi"/>
          <w:i/>
          <w:iCs/>
          <w:sz w:val="24"/>
          <w:szCs w:val="24"/>
        </w:rPr>
        <w:t xml:space="preserve">Studying Teacher Education </w:t>
      </w:r>
      <w:r w:rsidRPr="002F2A9B">
        <w:rPr>
          <w:rFonts w:cstheme="minorHAnsi"/>
          <w:sz w:val="24"/>
          <w:szCs w:val="24"/>
        </w:rPr>
        <w:t>6</w:t>
      </w:r>
      <w:r w:rsidR="003B7B8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(3): 245– 56.</w:t>
      </w:r>
    </w:p>
    <w:p w14:paraId="3DCFDCFE" w14:textId="6331EF74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Hesse, Douglas. 1993. “Teachers as Students, Reflecting Resistance.” </w:t>
      </w:r>
      <w:r w:rsidRPr="002F2A9B">
        <w:rPr>
          <w:rFonts w:cstheme="minorHAnsi"/>
          <w:i/>
          <w:iCs/>
          <w:sz w:val="24"/>
          <w:szCs w:val="24"/>
        </w:rPr>
        <w:t>College Composition and</w:t>
      </w:r>
      <w:r w:rsidR="003B7B8F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 xml:space="preserve">Communication </w:t>
      </w:r>
      <w:r w:rsidRPr="002F2A9B">
        <w:rPr>
          <w:rFonts w:cstheme="minorHAnsi"/>
          <w:sz w:val="24"/>
          <w:szCs w:val="24"/>
        </w:rPr>
        <w:t>44 (2): 224– 31.</w:t>
      </w:r>
    </w:p>
    <w:p w14:paraId="2C1CF185" w14:textId="3B9A0713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Johnson, Elisabeth. 2013. “Embodying English: Performing and Positioning the White</w:t>
      </w:r>
      <w:r w:rsidR="003B7B8F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Teacher in a High School English Class.” </w:t>
      </w:r>
      <w:r w:rsidRPr="002F2A9B">
        <w:rPr>
          <w:rFonts w:cstheme="minorHAnsi"/>
          <w:i/>
          <w:iCs/>
          <w:sz w:val="24"/>
          <w:szCs w:val="24"/>
        </w:rPr>
        <w:t xml:space="preserve">English Education </w:t>
      </w:r>
      <w:r w:rsidRPr="002F2A9B">
        <w:rPr>
          <w:rFonts w:cstheme="minorHAnsi"/>
          <w:sz w:val="24"/>
          <w:szCs w:val="24"/>
        </w:rPr>
        <w:t>46 (1): 5– 33.</w:t>
      </w:r>
    </w:p>
    <w:p w14:paraId="64F934CE" w14:textId="3A1C59D8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Lillis, Theresa. 2009. “Bringing Writers’ Voices to Writing Research.” In </w:t>
      </w:r>
      <w:r w:rsidRPr="002F2A9B">
        <w:rPr>
          <w:rFonts w:cstheme="minorHAnsi"/>
          <w:i/>
          <w:iCs/>
          <w:sz w:val="24"/>
          <w:szCs w:val="24"/>
        </w:rPr>
        <w:t>Why Writing Matters:</w:t>
      </w:r>
      <w:r w:rsidR="003B7B8F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>Issues of Access and Identity in Writing Research and Pedagogy</w:t>
      </w:r>
      <w:r w:rsidRPr="002F2A9B">
        <w:rPr>
          <w:rFonts w:cstheme="minorHAnsi"/>
          <w:sz w:val="24"/>
          <w:szCs w:val="24"/>
        </w:rPr>
        <w:t xml:space="preserve">, edited by </w:t>
      </w:r>
      <w:proofErr w:type="spellStart"/>
      <w:r w:rsidRPr="002F2A9B">
        <w:rPr>
          <w:rFonts w:cstheme="minorHAnsi"/>
          <w:sz w:val="24"/>
          <w:szCs w:val="24"/>
        </w:rPr>
        <w:t>Awena</w:t>
      </w:r>
      <w:proofErr w:type="spellEnd"/>
      <w:r w:rsidRPr="002F2A9B">
        <w:rPr>
          <w:rFonts w:cstheme="minorHAnsi"/>
          <w:sz w:val="24"/>
          <w:szCs w:val="24"/>
        </w:rPr>
        <w:t xml:space="preserve"> Carter,</w:t>
      </w:r>
      <w:r w:rsidR="00DD148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Theresa Lillis, and Sue Parkin, 169– 87. Amsterdam: John Benjamins.</w:t>
      </w:r>
    </w:p>
    <w:p w14:paraId="082F75F6" w14:textId="0B440C0B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Louis, Ross. 2005. “Performing English, Performing Bodies: A Case for Critical Performative</w:t>
      </w:r>
      <w:r w:rsidR="00DD148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Language Pedagogy.” </w:t>
      </w:r>
      <w:r w:rsidRPr="002F2A9B">
        <w:rPr>
          <w:rFonts w:cstheme="minorHAnsi"/>
          <w:i/>
          <w:iCs/>
          <w:sz w:val="24"/>
          <w:szCs w:val="24"/>
        </w:rPr>
        <w:t xml:space="preserve">Text and Performance Quarterly </w:t>
      </w:r>
      <w:r w:rsidRPr="002F2A9B">
        <w:rPr>
          <w:rFonts w:cstheme="minorHAnsi"/>
          <w:sz w:val="24"/>
          <w:szCs w:val="24"/>
        </w:rPr>
        <w:t>25 (4): 334– 53.</w:t>
      </w:r>
    </w:p>
    <w:p w14:paraId="149504FD" w14:textId="15399E6A" w:rsidR="00D549F6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McCullagh, John F. 2012. “How can video supported reflection enhance teachers’ professional</w:t>
      </w:r>
      <w:r w:rsidR="00DD148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development?” </w:t>
      </w:r>
      <w:r w:rsidRPr="002F2A9B">
        <w:rPr>
          <w:rFonts w:cstheme="minorHAnsi"/>
          <w:i/>
          <w:iCs/>
          <w:sz w:val="24"/>
          <w:szCs w:val="24"/>
        </w:rPr>
        <w:t xml:space="preserve">Cultural studies of science education </w:t>
      </w:r>
      <w:r w:rsidRPr="002F2A9B">
        <w:rPr>
          <w:rFonts w:cstheme="minorHAnsi"/>
          <w:sz w:val="24"/>
          <w:szCs w:val="24"/>
        </w:rPr>
        <w:t>7 (1): 137– 52.</w:t>
      </w:r>
    </w:p>
    <w:p w14:paraId="3619CAC4" w14:textId="0870FA9B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2F2A9B">
        <w:rPr>
          <w:rFonts w:cstheme="minorHAnsi"/>
          <w:sz w:val="24"/>
          <w:szCs w:val="24"/>
        </w:rPr>
        <w:t>Micciche</w:t>
      </w:r>
      <w:proofErr w:type="spellEnd"/>
      <w:r w:rsidRPr="002F2A9B">
        <w:rPr>
          <w:rFonts w:cstheme="minorHAnsi"/>
          <w:sz w:val="24"/>
          <w:szCs w:val="24"/>
        </w:rPr>
        <w:t>, Laura, Hannah Rule, and Liv Stratman. 2012. Multimodality, Performance, and</w:t>
      </w:r>
      <w:r w:rsidR="00DD148B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Teacher Training. </w:t>
      </w:r>
      <w:r w:rsidRPr="002F2A9B">
        <w:rPr>
          <w:rFonts w:cstheme="minorHAnsi"/>
          <w:i/>
          <w:iCs/>
          <w:sz w:val="24"/>
          <w:szCs w:val="24"/>
        </w:rPr>
        <w:t>Computers and Composition Online</w:t>
      </w:r>
      <w:r w:rsidRPr="002F2A9B">
        <w:rPr>
          <w:rFonts w:cstheme="minorHAnsi"/>
          <w:sz w:val="24"/>
          <w:szCs w:val="24"/>
        </w:rPr>
        <w:t>. http://cconlinejournal.org/cconline</w:t>
      </w:r>
      <w:r w:rsidR="0045336C">
        <w:rPr>
          <w:rFonts w:cstheme="minorHAnsi"/>
          <w:sz w:val="24"/>
          <w:szCs w:val="24"/>
        </w:rPr>
        <w:t>_</w:t>
      </w:r>
      <w:r w:rsidRPr="002F2A9B">
        <w:rPr>
          <w:rFonts w:cstheme="minorHAnsi"/>
          <w:sz w:val="24"/>
          <w:szCs w:val="24"/>
        </w:rPr>
        <w:t>Sp</w:t>
      </w:r>
      <w:r w:rsidR="0045336C">
        <w:rPr>
          <w:rFonts w:cstheme="minorHAnsi"/>
          <w:sz w:val="24"/>
          <w:szCs w:val="24"/>
        </w:rPr>
        <w:t>_</w:t>
      </w:r>
      <w:r w:rsidRPr="002F2A9B">
        <w:rPr>
          <w:rFonts w:cstheme="minorHAnsi"/>
          <w:sz w:val="24"/>
          <w:szCs w:val="24"/>
        </w:rPr>
        <w:t>2012/Multimodality_Rev - 2011-12/tdm.html.</w:t>
      </w:r>
    </w:p>
    <w:p w14:paraId="74E42D34" w14:textId="17765525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 xml:space="preserve">Norris, Sigrid. 2004. </w:t>
      </w:r>
      <w:r w:rsidRPr="002F2A9B">
        <w:rPr>
          <w:rFonts w:cstheme="minorHAnsi"/>
          <w:i/>
          <w:iCs/>
          <w:sz w:val="24"/>
          <w:szCs w:val="24"/>
        </w:rPr>
        <w:t>Analyzing Multimodal Interaction: A Methodological Framework</w:t>
      </w:r>
      <w:r w:rsidRPr="002F2A9B">
        <w:rPr>
          <w:rFonts w:cstheme="minorHAnsi"/>
          <w:sz w:val="24"/>
          <w:szCs w:val="24"/>
        </w:rPr>
        <w:t>. New York:</w:t>
      </w:r>
      <w:r w:rsidR="0045336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>Routledge.</w:t>
      </w:r>
    </w:p>
    <w:p w14:paraId="14A07BAB" w14:textId="2C73B94D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Olinger, Andrea R. 2014. “On the Instability of Disciplinary Style: Common and Conflicting</w:t>
      </w:r>
      <w:r w:rsidR="0045336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Metaphors and Practices in Text, Talk, and Gesture.” </w:t>
      </w:r>
      <w:r w:rsidRPr="002F2A9B">
        <w:rPr>
          <w:rFonts w:cstheme="minorHAnsi"/>
          <w:i/>
          <w:iCs/>
          <w:sz w:val="24"/>
          <w:szCs w:val="24"/>
        </w:rPr>
        <w:t>Research in the Teaching of</w:t>
      </w:r>
      <w:r w:rsidR="0045336C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 xml:space="preserve">English </w:t>
      </w:r>
      <w:r w:rsidRPr="002F2A9B">
        <w:rPr>
          <w:rFonts w:cstheme="minorHAnsi"/>
          <w:sz w:val="24"/>
          <w:szCs w:val="24"/>
        </w:rPr>
        <w:t>48 (4): 453– 78.</w:t>
      </w:r>
    </w:p>
    <w:p w14:paraId="18E12863" w14:textId="3CC7DE01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Reid, E. Shelley. 2009. “Teaching Writing Teachers Writing: Difficulty, Exploration, and</w:t>
      </w:r>
      <w:r w:rsidR="0045336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Critical Reflection.” </w:t>
      </w:r>
      <w:r w:rsidRPr="002F2A9B">
        <w:rPr>
          <w:rFonts w:cstheme="minorHAnsi"/>
          <w:i/>
          <w:iCs/>
          <w:sz w:val="24"/>
          <w:szCs w:val="24"/>
        </w:rPr>
        <w:t xml:space="preserve">College Composition and Communication </w:t>
      </w:r>
      <w:r w:rsidRPr="002F2A9B">
        <w:rPr>
          <w:rFonts w:cstheme="minorHAnsi"/>
          <w:sz w:val="24"/>
          <w:szCs w:val="24"/>
        </w:rPr>
        <w:t>61 (2): W197– W221.</w:t>
      </w:r>
    </w:p>
    <w:p w14:paraId="28FB08BD" w14:textId="1B69CDA9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2F2A9B">
        <w:rPr>
          <w:rFonts w:cstheme="minorHAnsi"/>
          <w:sz w:val="24"/>
          <w:szCs w:val="24"/>
        </w:rPr>
        <w:t>Restaino</w:t>
      </w:r>
      <w:proofErr w:type="spellEnd"/>
      <w:r w:rsidRPr="002F2A9B">
        <w:rPr>
          <w:rFonts w:cstheme="minorHAnsi"/>
          <w:sz w:val="24"/>
          <w:szCs w:val="24"/>
        </w:rPr>
        <w:t xml:space="preserve">, Jessica. 2012. </w:t>
      </w:r>
      <w:r w:rsidRPr="002F2A9B">
        <w:rPr>
          <w:rFonts w:cstheme="minorHAnsi"/>
          <w:i/>
          <w:iCs/>
          <w:sz w:val="24"/>
          <w:szCs w:val="24"/>
        </w:rPr>
        <w:t>First Semester: Graduate Students, Teaching Writing, and the Challenge of</w:t>
      </w:r>
      <w:r w:rsidR="0045336C">
        <w:rPr>
          <w:rFonts w:cstheme="minorHAnsi"/>
          <w:i/>
          <w:iCs/>
          <w:sz w:val="24"/>
          <w:szCs w:val="24"/>
        </w:rPr>
        <w:t xml:space="preserve"> </w:t>
      </w:r>
      <w:r w:rsidRPr="002F2A9B">
        <w:rPr>
          <w:rFonts w:cstheme="minorHAnsi"/>
          <w:i/>
          <w:iCs/>
          <w:sz w:val="24"/>
          <w:szCs w:val="24"/>
        </w:rPr>
        <w:t>Middle Ground</w:t>
      </w:r>
      <w:r w:rsidRPr="002F2A9B">
        <w:rPr>
          <w:rFonts w:cstheme="minorHAnsi"/>
          <w:sz w:val="24"/>
          <w:szCs w:val="24"/>
        </w:rPr>
        <w:t>. Carbondale: Southern Illinois University Press.</w:t>
      </w:r>
    </w:p>
    <w:p w14:paraId="0B6574CD" w14:textId="73FEFD84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2F2A9B">
        <w:rPr>
          <w:rFonts w:cstheme="minorHAnsi"/>
          <w:sz w:val="24"/>
          <w:szCs w:val="24"/>
        </w:rPr>
        <w:t>Winzenried</w:t>
      </w:r>
      <w:proofErr w:type="spellEnd"/>
      <w:r w:rsidRPr="002F2A9B">
        <w:rPr>
          <w:rFonts w:cstheme="minorHAnsi"/>
          <w:sz w:val="24"/>
          <w:szCs w:val="24"/>
        </w:rPr>
        <w:t>, Misty Anne. 2016. “Brokering Disciplinary Writing: TAs and the Teaching of</w:t>
      </w:r>
      <w:r w:rsidR="0045336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Writing across the Disciplines.” </w:t>
      </w:r>
      <w:r w:rsidRPr="002F2A9B">
        <w:rPr>
          <w:rFonts w:cstheme="minorHAnsi"/>
          <w:i/>
          <w:iCs/>
          <w:sz w:val="24"/>
          <w:szCs w:val="24"/>
        </w:rPr>
        <w:t xml:space="preserve">Across the Disciplines </w:t>
      </w:r>
      <w:r w:rsidRPr="002F2A9B">
        <w:rPr>
          <w:rFonts w:cstheme="minorHAnsi"/>
          <w:sz w:val="24"/>
          <w:szCs w:val="24"/>
        </w:rPr>
        <w:t>13 (3): 1.</w:t>
      </w:r>
    </w:p>
    <w:p w14:paraId="5352D5DC" w14:textId="03C1CC69" w:rsidR="002F2A9B" w:rsidRPr="002F2A9B" w:rsidRDefault="002F2A9B" w:rsidP="00C95985">
      <w:pPr>
        <w:spacing w:after="0"/>
        <w:ind w:left="720" w:hanging="720"/>
        <w:rPr>
          <w:rFonts w:cstheme="minorHAnsi"/>
          <w:sz w:val="24"/>
          <w:szCs w:val="24"/>
        </w:rPr>
      </w:pPr>
      <w:r w:rsidRPr="002F2A9B">
        <w:rPr>
          <w:rFonts w:cstheme="minorHAnsi"/>
          <w:sz w:val="24"/>
          <w:szCs w:val="24"/>
        </w:rPr>
        <w:t>Wolfe, Joanna. 2005. “Gesture and Collaborative Planning: A Case Study of a Student Writing</w:t>
      </w:r>
      <w:r w:rsidR="0045336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Group.” </w:t>
      </w:r>
      <w:r w:rsidRPr="002F2A9B">
        <w:rPr>
          <w:rFonts w:cstheme="minorHAnsi"/>
          <w:i/>
          <w:iCs/>
          <w:sz w:val="24"/>
          <w:szCs w:val="24"/>
        </w:rPr>
        <w:t xml:space="preserve">Written Communication </w:t>
      </w:r>
      <w:r w:rsidRPr="002F2A9B">
        <w:rPr>
          <w:rFonts w:cstheme="minorHAnsi"/>
          <w:sz w:val="24"/>
          <w:szCs w:val="24"/>
        </w:rPr>
        <w:t>22 (3): 298– 332.</w:t>
      </w:r>
    </w:p>
    <w:p w14:paraId="7A648023" w14:textId="0F72AEEF" w:rsidR="00D549F6" w:rsidRDefault="002F2A9B" w:rsidP="004C6635">
      <w:pPr>
        <w:spacing w:after="0"/>
        <w:ind w:left="720" w:hanging="720"/>
        <w:rPr>
          <w:rFonts w:cstheme="minorHAnsi"/>
          <w:sz w:val="24"/>
          <w:szCs w:val="24"/>
        </w:rPr>
      </w:pPr>
      <w:proofErr w:type="spellStart"/>
      <w:r w:rsidRPr="002F2A9B">
        <w:rPr>
          <w:rFonts w:cstheme="minorHAnsi"/>
          <w:sz w:val="24"/>
          <w:szCs w:val="24"/>
        </w:rPr>
        <w:t>Zuidema</w:t>
      </w:r>
      <w:proofErr w:type="spellEnd"/>
      <w:r w:rsidRPr="002F2A9B">
        <w:rPr>
          <w:rFonts w:cstheme="minorHAnsi"/>
          <w:sz w:val="24"/>
          <w:szCs w:val="24"/>
        </w:rPr>
        <w:t xml:space="preserve">, Leah, and James </w:t>
      </w:r>
      <w:proofErr w:type="spellStart"/>
      <w:r w:rsidRPr="002F2A9B">
        <w:rPr>
          <w:rFonts w:cstheme="minorHAnsi"/>
          <w:sz w:val="24"/>
          <w:szCs w:val="24"/>
        </w:rPr>
        <w:t>Fredricksen</w:t>
      </w:r>
      <w:proofErr w:type="spellEnd"/>
      <w:r w:rsidRPr="002F2A9B">
        <w:rPr>
          <w:rFonts w:cstheme="minorHAnsi"/>
          <w:sz w:val="24"/>
          <w:szCs w:val="24"/>
        </w:rPr>
        <w:t>. 2016. “Resources Preservice Teachers Use to</w:t>
      </w:r>
      <w:r w:rsidR="0045336C">
        <w:rPr>
          <w:rFonts w:cstheme="minorHAnsi"/>
          <w:sz w:val="24"/>
          <w:szCs w:val="24"/>
        </w:rPr>
        <w:t xml:space="preserve"> </w:t>
      </w:r>
      <w:r w:rsidRPr="002F2A9B">
        <w:rPr>
          <w:rFonts w:cstheme="minorHAnsi"/>
          <w:sz w:val="24"/>
          <w:szCs w:val="24"/>
        </w:rPr>
        <w:t xml:space="preserve">Think about Student Writing.” </w:t>
      </w:r>
      <w:r w:rsidRPr="002F2A9B">
        <w:rPr>
          <w:rFonts w:cstheme="minorHAnsi"/>
          <w:i/>
          <w:iCs/>
          <w:sz w:val="24"/>
          <w:szCs w:val="24"/>
        </w:rPr>
        <w:t xml:space="preserve">Research in the Teaching of English </w:t>
      </w:r>
      <w:r w:rsidRPr="002F2A9B">
        <w:rPr>
          <w:rFonts w:cstheme="minorHAnsi"/>
          <w:sz w:val="24"/>
          <w:szCs w:val="24"/>
        </w:rPr>
        <w:t>51 (1): 12– 36.</w:t>
      </w:r>
    </w:p>
    <w:p w14:paraId="6F8A24D8" w14:textId="77777777" w:rsidR="00D549F6" w:rsidRPr="00D549F6" w:rsidRDefault="00D549F6" w:rsidP="00D549F6">
      <w:pPr>
        <w:rPr>
          <w:rFonts w:cstheme="minorHAnsi"/>
          <w:sz w:val="24"/>
          <w:szCs w:val="24"/>
        </w:rPr>
      </w:pPr>
    </w:p>
    <w:sectPr w:rsidR="00D549F6" w:rsidRPr="00D549F6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VYPRT蠑ｫOptima-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D7244"/>
    <w:multiLevelType w:val="multilevel"/>
    <w:tmpl w:val="B606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0069B4"/>
    <w:multiLevelType w:val="hybridMultilevel"/>
    <w:tmpl w:val="78F61C4A"/>
    <w:lvl w:ilvl="0" w:tplc="842AD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82F0E"/>
    <w:multiLevelType w:val="multilevel"/>
    <w:tmpl w:val="CC72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6945340">
    <w:abstractNumId w:val="0"/>
  </w:num>
  <w:num w:numId="2" w16cid:durableId="42485251">
    <w:abstractNumId w:val="2"/>
  </w:num>
  <w:num w:numId="3" w16cid:durableId="962153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jylORYsNbwsLlggGFZfEKqtG4qkRko+vVPge5qkntkxu85IN/3APeRNEDJH5gRi5J/WTJAO8FVUZbdBI2H47g==" w:salt="cwb8Bx8ugsXk4CnuNWABiA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6265"/>
    <w:rsid w:val="0000729D"/>
    <w:rsid w:val="000078BE"/>
    <w:rsid w:val="0001072F"/>
    <w:rsid w:val="00013176"/>
    <w:rsid w:val="00014F38"/>
    <w:rsid w:val="00015A9E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1B33"/>
    <w:rsid w:val="000525F1"/>
    <w:rsid w:val="0005413F"/>
    <w:rsid w:val="00057D20"/>
    <w:rsid w:val="000606A8"/>
    <w:rsid w:val="00061102"/>
    <w:rsid w:val="00062D9F"/>
    <w:rsid w:val="00064ECB"/>
    <w:rsid w:val="00071537"/>
    <w:rsid w:val="00072612"/>
    <w:rsid w:val="000735D6"/>
    <w:rsid w:val="00073E19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0F8A"/>
    <w:rsid w:val="00091815"/>
    <w:rsid w:val="00092DFF"/>
    <w:rsid w:val="00093C1A"/>
    <w:rsid w:val="00097FBC"/>
    <w:rsid w:val="000A0975"/>
    <w:rsid w:val="000A266C"/>
    <w:rsid w:val="000A7622"/>
    <w:rsid w:val="000A7F84"/>
    <w:rsid w:val="000B1EEB"/>
    <w:rsid w:val="000B22D3"/>
    <w:rsid w:val="000B2768"/>
    <w:rsid w:val="000B3464"/>
    <w:rsid w:val="000B389E"/>
    <w:rsid w:val="000B501D"/>
    <w:rsid w:val="000B5124"/>
    <w:rsid w:val="000B5170"/>
    <w:rsid w:val="000C0E5B"/>
    <w:rsid w:val="000C6BA7"/>
    <w:rsid w:val="000C7A8A"/>
    <w:rsid w:val="000D3573"/>
    <w:rsid w:val="000D4F0B"/>
    <w:rsid w:val="000D6BF2"/>
    <w:rsid w:val="000E02B7"/>
    <w:rsid w:val="000E69EF"/>
    <w:rsid w:val="000E7C46"/>
    <w:rsid w:val="000F0449"/>
    <w:rsid w:val="000F08DA"/>
    <w:rsid w:val="000F14F0"/>
    <w:rsid w:val="000F1D5E"/>
    <w:rsid w:val="000F33D0"/>
    <w:rsid w:val="000F4BD4"/>
    <w:rsid w:val="00101A98"/>
    <w:rsid w:val="00104CE6"/>
    <w:rsid w:val="00107EA8"/>
    <w:rsid w:val="001102B4"/>
    <w:rsid w:val="00114114"/>
    <w:rsid w:val="00117F89"/>
    <w:rsid w:val="00120313"/>
    <w:rsid w:val="00121F28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295B"/>
    <w:rsid w:val="00154AF2"/>
    <w:rsid w:val="00154D34"/>
    <w:rsid w:val="00155EE3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A4198"/>
    <w:rsid w:val="001B6E76"/>
    <w:rsid w:val="001C3A3F"/>
    <w:rsid w:val="001D1087"/>
    <w:rsid w:val="001D2448"/>
    <w:rsid w:val="001D3ADE"/>
    <w:rsid w:val="001D58D3"/>
    <w:rsid w:val="001D7066"/>
    <w:rsid w:val="001D776C"/>
    <w:rsid w:val="001D7BCC"/>
    <w:rsid w:val="001E18FE"/>
    <w:rsid w:val="001F00DF"/>
    <w:rsid w:val="001F5B6E"/>
    <w:rsid w:val="001F70BC"/>
    <w:rsid w:val="001F7B6B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17664"/>
    <w:rsid w:val="00224240"/>
    <w:rsid w:val="00225ECD"/>
    <w:rsid w:val="00226FA2"/>
    <w:rsid w:val="00234BBA"/>
    <w:rsid w:val="0024134B"/>
    <w:rsid w:val="00251132"/>
    <w:rsid w:val="002534F0"/>
    <w:rsid w:val="002535DF"/>
    <w:rsid w:val="00253DB5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84FCE"/>
    <w:rsid w:val="0029129F"/>
    <w:rsid w:val="00296B90"/>
    <w:rsid w:val="00297296"/>
    <w:rsid w:val="002A0668"/>
    <w:rsid w:val="002A3472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2E78C5"/>
    <w:rsid w:val="002F2A9B"/>
    <w:rsid w:val="00300857"/>
    <w:rsid w:val="00300EE4"/>
    <w:rsid w:val="0030180C"/>
    <w:rsid w:val="0030197F"/>
    <w:rsid w:val="0030223E"/>
    <w:rsid w:val="00303A1E"/>
    <w:rsid w:val="00303BBD"/>
    <w:rsid w:val="00313440"/>
    <w:rsid w:val="00314FCD"/>
    <w:rsid w:val="00323EC8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8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4337"/>
    <w:rsid w:val="003A3952"/>
    <w:rsid w:val="003A437A"/>
    <w:rsid w:val="003A4813"/>
    <w:rsid w:val="003A503E"/>
    <w:rsid w:val="003A6039"/>
    <w:rsid w:val="003B0A49"/>
    <w:rsid w:val="003B47FA"/>
    <w:rsid w:val="003B6208"/>
    <w:rsid w:val="003B7B8F"/>
    <w:rsid w:val="003B7F8F"/>
    <w:rsid w:val="003C2003"/>
    <w:rsid w:val="003C4172"/>
    <w:rsid w:val="003C437D"/>
    <w:rsid w:val="003C4456"/>
    <w:rsid w:val="003C7D10"/>
    <w:rsid w:val="003D1441"/>
    <w:rsid w:val="003D3301"/>
    <w:rsid w:val="003D4641"/>
    <w:rsid w:val="003E05B7"/>
    <w:rsid w:val="003E0C0A"/>
    <w:rsid w:val="003E6CFF"/>
    <w:rsid w:val="003F44B6"/>
    <w:rsid w:val="004010E3"/>
    <w:rsid w:val="004055B8"/>
    <w:rsid w:val="0040709D"/>
    <w:rsid w:val="0040778E"/>
    <w:rsid w:val="004122F9"/>
    <w:rsid w:val="004124D3"/>
    <w:rsid w:val="004139BA"/>
    <w:rsid w:val="00414591"/>
    <w:rsid w:val="00421CBC"/>
    <w:rsid w:val="0043008C"/>
    <w:rsid w:val="00430B91"/>
    <w:rsid w:val="004374EF"/>
    <w:rsid w:val="00440F61"/>
    <w:rsid w:val="004441CB"/>
    <w:rsid w:val="00450DB8"/>
    <w:rsid w:val="004515AD"/>
    <w:rsid w:val="0045336C"/>
    <w:rsid w:val="00453D2C"/>
    <w:rsid w:val="00454851"/>
    <w:rsid w:val="00456070"/>
    <w:rsid w:val="00456B26"/>
    <w:rsid w:val="004570E7"/>
    <w:rsid w:val="00460A1D"/>
    <w:rsid w:val="004613DF"/>
    <w:rsid w:val="00461A35"/>
    <w:rsid w:val="00461BB2"/>
    <w:rsid w:val="00463F96"/>
    <w:rsid w:val="004660BE"/>
    <w:rsid w:val="0046696C"/>
    <w:rsid w:val="00466DD7"/>
    <w:rsid w:val="00470FF0"/>
    <w:rsid w:val="00471F7D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70DF"/>
    <w:rsid w:val="00497E47"/>
    <w:rsid w:val="004A0368"/>
    <w:rsid w:val="004A2715"/>
    <w:rsid w:val="004A2894"/>
    <w:rsid w:val="004A2B41"/>
    <w:rsid w:val="004A2EA5"/>
    <w:rsid w:val="004A3B3E"/>
    <w:rsid w:val="004B2226"/>
    <w:rsid w:val="004B6BED"/>
    <w:rsid w:val="004B77C2"/>
    <w:rsid w:val="004C0B3D"/>
    <w:rsid w:val="004C2D7B"/>
    <w:rsid w:val="004C45D2"/>
    <w:rsid w:val="004C5EEF"/>
    <w:rsid w:val="004C6635"/>
    <w:rsid w:val="004D118A"/>
    <w:rsid w:val="004D17D4"/>
    <w:rsid w:val="004D1CB9"/>
    <w:rsid w:val="004D21C9"/>
    <w:rsid w:val="004E34F8"/>
    <w:rsid w:val="004E3C84"/>
    <w:rsid w:val="004E528B"/>
    <w:rsid w:val="004F146C"/>
    <w:rsid w:val="004F1F3C"/>
    <w:rsid w:val="004F657B"/>
    <w:rsid w:val="0050408D"/>
    <w:rsid w:val="00504C6A"/>
    <w:rsid w:val="00510364"/>
    <w:rsid w:val="005116C9"/>
    <w:rsid w:val="00511BEE"/>
    <w:rsid w:val="00511CEE"/>
    <w:rsid w:val="005143FB"/>
    <w:rsid w:val="005175E9"/>
    <w:rsid w:val="00520368"/>
    <w:rsid w:val="0052658A"/>
    <w:rsid w:val="00533270"/>
    <w:rsid w:val="00533D86"/>
    <w:rsid w:val="00540146"/>
    <w:rsid w:val="00543C22"/>
    <w:rsid w:val="0054405B"/>
    <w:rsid w:val="0054567F"/>
    <w:rsid w:val="00546B44"/>
    <w:rsid w:val="00553291"/>
    <w:rsid w:val="005546FF"/>
    <w:rsid w:val="00556B72"/>
    <w:rsid w:val="005605E4"/>
    <w:rsid w:val="0056303A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3A71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5B86"/>
    <w:rsid w:val="005C663B"/>
    <w:rsid w:val="005D066F"/>
    <w:rsid w:val="005D1C38"/>
    <w:rsid w:val="005D1ED6"/>
    <w:rsid w:val="005D767A"/>
    <w:rsid w:val="005E218E"/>
    <w:rsid w:val="005E2628"/>
    <w:rsid w:val="005E3FF6"/>
    <w:rsid w:val="005E5140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1F1"/>
    <w:rsid w:val="006647E7"/>
    <w:rsid w:val="00666FD4"/>
    <w:rsid w:val="00667217"/>
    <w:rsid w:val="006702C6"/>
    <w:rsid w:val="00674009"/>
    <w:rsid w:val="006769E6"/>
    <w:rsid w:val="00676C63"/>
    <w:rsid w:val="00682333"/>
    <w:rsid w:val="006844CA"/>
    <w:rsid w:val="006871E0"/>
    <w:rsid w:val="006920EE"/>
    <w:rsid w:val="00693B53"/>
    <w:rsid w:val="00694EBF"/>
    <w:rsid w:val="00697377"/>
    <w:rsid w:val="006A1F61"/>
    <w:rsid w:val="006A28C2"/>
    <w:rsid w:val="006A533C"/>
    <w:rsid w:val="006A5E52"/>
    <w:rsid w:val="006A712D"/>
    <w:rsid w:val="006A7B71"/>
    <w:rsid w:val="006B0C63"/>
    <w:rsid w:val="006B20FD"/>
    <w:rsid w:val="006B3B2B"/>
    <w:rsid w:val="006C024E"/>
    <w:rsid w:val="006C7ED1"/>
    <w:rsid w:val="006D0F23"/>
    <w:rsid w:val="006D2367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4B9"/>
    <w:rsid w:val="007065D3"/>
    <w:rsid w:val="007071B1"/>
    <w:rsid w:val="0070740A"/>
    <w:rsid w:val="00707EC1"/>
    <w:rsid w:val="00710582"/>
    <w:rsid w:val="00710C74"/>
    <w:rsid w:val="00714EE9"/>
    <w:rsid w:val="00717018"/>
    <w:rsid w:val="007179E7"/>
    <w:rsid w:val="007246B0"/>
    <w:rsid w:val="007258CB"/>
    <w:rsid w:val="00730E29"/>
    <w:rsid w:val="00732FF6"/>
    <w:rsid w:val="00735393"/>
    <w:rsid w:val="00745E32"/>
    <w:rsid w:val="007466F7"/>
    <w:rsid w:val="00756C38"/>
    <w:rsid w:val="00757D89"/>
    <w:rsid w:val="0076194B"/>
    <w:rsid w:val="00761AF8"/>
    <w:rsid w:val="00763676"/>
    <w:rsid w:val="00772776"/>
    <w:rsid w:val="00776E56"/>
    <w:rsid w:val="007814E7"/>
    <w:rsid w:val="00781619"/>
    <w:rsid w:val="00781EDB"/>
    <w:rsid w:val="0079146B"/>
    <w:rsid w:val="00791DD5"/>
    <w:rsid w:val="0079457D"/>
    <w:rsid w:val="00796875"/>
    <w:rsid w:val="0079756E"/>
    <w:rsid w:val="007A1233"/>
    <w:rsid w:val="007A258F"/>
    <w:rsid w:val="007A3232"/>
    <w:rsid w:val="007A3B3A"/>
    <w:rsid w:val="007B0BBA"/>
    <w:rsid w:val="007C16F7"/>
    <w:rsid w:val="007C67D5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0A7C"/>
    <w:rsid w:val="008322E3"/>
    <w:rsid w:val="00834DF7"/>
    <w:rsid w:val="00836F01"/>
    <w:rsid w:val="008406F5"/>
    <w:rsid w:val="008418EA"/>
    <w:rsid w:val="00841F1E"/>
    <w:rsid w:val="00842203"/>
    <w:rsid w:val="00850E3E"/>
    <w:rsid w:val="008524E4"/>
    <w:rsid w:val="00864432"/>
    <w:rsid w:val="008649A3"/>
    <w:rsid w:val="0086670A"/>
    <w:rsid w:val="00870BA1"/>
    <w:rsid w:val="008736FA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A7B06"/>
    <w:rsid w:val="008B15CF"/>
    <w:rsid w:val="008B2242"/>
    <w:rsid w:val="008B4AD1"/>
    <w:rsid w:val="008B6D93"/>
    <w:rsid w:val="008B7AF1"/>
    <w:rsid w:val="008C3543"/>
    <w:rsid w:val="008D0690"/>
    <w:rsid w:val="008D0F0D"/>
    <w:rsid w:val="008D0FF2"/>
    <w:rsid w:val="008D14D6"/>
    <w:rsid w:val="008D1D7F"/>
    <w:rsid w:val="008D3526"/>
    <w:rsid w:val="008F0401"/>
    <w:rsid w:val="008F04C1"/>
    <w:rsid w:val="008F22BD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4E85"/>
    <w:rsid w:val="00915110"/>
    <w:rsid w:val="009151B5"/>
    <w:rsid w:val="00916ADA"/>
    <w:rsid w:val="00916C64"/>
    <w:rsid w:val="00921CD7"/>
    <w:rsid w:val="00925107"/>
    <w:rsid w:val="00925421"/>
    <w:rsid w:val="009267EE"/>
    <w:rsid w:val="00926994"/>
    <w:rsid w:val="00927998"/>
    <w:rsid w:val="00932185"/>
    <w:rsid w:val="009346E4"/>
    <w:rsid w:val="009347C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6DC"/>
    <w:rsid w:val="009528A1"/>
    <w:rsid w:val="00952B32"/>
    <w:rsid w:val="00952C61"/>
    <w:rsid w:val="00954B3E"/>
    <w:rsid w:val="009554A6"/>
    <w:rsid w:val="00956C21"/>
    <w:rsid w:val="00956FEB"/>
    <w:rsid w:val="009650D5"/>
    <w:rsid w:val="0096535F"/>
    <w:rsid w:val="00965F35"/>
    <w:rsid w:val="00966500"/>
    <w:rsid w:val="009729A3"/>
    <w:rsid w:val="009732A9"/>
    <w:rsid w:val="009761C9"/>
    <w:rsid w:val="00977C0E"/>
    <w:rsid w:val="00977F1D"/>
    <w:rsid w:val="00982217"/>
    <w:rsid w:val="00984B39"/>
    <w:rsid w:val="00986A83"/>
    <w:rsid w:val="00990645"/>
    <w:rsid w:val="009959C5"/>
    <w:rsid w:val="009A130B"/>
    <w:rsid w:val="009A2639"/>
    <w:rsid w:val="009A29E5"/>
    <w:rsid w:val="009A397F"/>
    <w:rsid w:val="009B4F83"/>
    <w:rsid w:val="009B5A4E"/>
    <w:rsid w:val="009B6983"/>
    <w:rsid w:val="009C5450"/>
    <w:rsid w:val="009C5716"/>
    <w:rsid w:val="009C728A"/>
    <w:rsid w:val="009D316A"/>
    <w:rsid w:val="009D3527"/>
    <w:rsid w:val="009D5368"/>
    <w:rsid w:val="009D54DF"/>
    <w:rsid w:val="009D7F90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07F07"/>
    <w:rsid w:val="00A11F34"/>
    <w:rsid w:val="00A1350A"/>
    <w:rsid w:val="00A20052"/>
    <w:rsid w:val="00A231A4"/>
    <w:rsid w:val="00A23BBA"/>
    <w:rsid w:val="00A26374"/>
    <w:rsid w:val="00A310DA"/>
    <w:rsid w:val="00A32FCB"/>
    <w:rsid w:val="00A3561C"/>
    <w:rsid w:val="00A400BC"/>
    <w:rsid w:val="00A40701"/>
    <w:rsid w:val="00A42169"/>
    <w:rsid w:val="00A424F1"/>
    <w:rsid w:val="00A426B2"/>
    <w:rsid w:val="00A44AF4"/>
    <w:rsid w:val="00A45EE8"/>
    <w:rsid w:val="00A461E1"/>
    <w:rsid w:val="00A463AF"/>
    <w:rsid w:val="00A465FC"/>
    <w:rsid w:val="00A47484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670B3"/>
    <w:rsid w:val="00A7290A"/>
    <w:rsid w:val="00A75006"/>
    <w:rsid w:val="00A80FCC"/>
    <w:rsid w:val="00A81E28"/>
    <w:rsid w:val="00A82932"/>
    <w:rsid w:val="00A82D07"/>
    <w:rsid w:val="00A868FB"/>
    <w:rsid w:val="00A915ED"/>
    <w:rsid w:val="00A91CF2"/>
    <w:rsid w:val="00A93227"/>
    <w:rsid w:val="00A93BA4"/>
    <w:rsid w:val="00A9416E"/>
    <w:rsid w:val="00A962F3"/>
    <w:rsid w:val="00AA432C"/>
    <w:rsid w:val="00AA493D"/>
    <w:rsid w:val="00AB4807"/>
    <w:rsid w:val="00AB4813"/>
    <w:rsid w:val="00AC0052"/>
    <w:rsid w:val="00AC04D6"/>
    <w:rsid w:val="00AC428F"/>
    <w:rsid w:val="00AD0685"/>
    <w:rsid w:val="00AD1A1F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3C5"/>
    <w:rsid w:val="00B03D08"/>
    <w:rsid w:val="00B05BF7"/>
    <w:rsid w:val="00B079F6"/>
    <w:rsid w:val="00B1094A"/>
    <w:rsid w:val="00B11962"/>
    <w:rsid w:val="00B129D1"/>
    <w:rsid w:val="00B12F61"/>
    <w:rsid w:val="00B14CBC"/>
    <w:rsid w:val="00B1760D"/>
    <w:rsid w:val="00B17FF0"/>
    <w:rsid w:val="00B27898"/>
    <w:rsid w:val="00B30468"/>
    <w:rsid w:val="00B32160"/>
    <w:rsid w:val="00B32B07"/>
    <w:rsid w:val="00B336E9"/>
    <w:rsid w:val="00B3397D"/>
    <w:rsid w:val="00B3426B"/>
    <w:rsid w:val="00B34F7B"/>
    <w:rsid w:val="00B35999"/>
    <w:rsid w:val="00B37D51"/>
    <w:rsid w:val="00B43446"/>
    <w:rsid w:val="00B44237"/>
    <w:rsid w:val="00B47D09"/>
    <w:rsid w:val="00B50108"/>
    <w:rsid w:val="00B50795"/>
    <w:rsid w:val="00B525D3"/>
    <w:rsid w:val="00B55B5C"/>
    <w:rsid w:val="00B56290"/>
    <w:rsid w:val="00B568BB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A7BB9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D588F"/>
    <w:rsid w:val="00BE2644"/>
    <w:rsid w:val="00BE42F3"/>
    <w:rsid w:val="00BE551C"/>
    <w:rsid w:val="00BF32DD"/>
    <w:rsid w:val="00BF3E92"/>
    <w:rsid w:val="00BF6ECD"/>
    <w:rsid w:val="00BF790B"/>
    <w:rsid w:val="00C007C1"/>
    <w:rsid w:val="00C01E67"/>
    <w:rsid w:val="00C04D2D"/>
    <w:rsid w:val="00C05302"/>
    <w:rsid w:val="00C06B6B"/>
    <w:rsid w:val="00C06F37"/>
    <w:rsid w:val="00C0799A"/>
    <w:rsid w:val="00C13438"/>
    <w:rsid w:val="00C16797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3CEB"/>
    <w:rsid w:val="00C85BDD"/>
    <w:rsid w:val="00C86B81"/>
    <w:rsid w:val="00C91557"/>
    <w:rsid w:val="00C92F74"/>
    <w:rsid w:val="00C95985"/>
    <w:rsid w:val="00CA1AB0"/>
    <w:rsid w:val="00CA1C19"/>
    <w:rsid w:val="00CA204D"/>
    <w:rsid w:val="00CA2E14"/>
    <w:rsid w:val="00CA60CD"/>
    <w:rsid w:val="00CB06D2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E7AC2"/>
    <w:rsid w:val="00CF53EE"/>
    <w:rsid w:val="00D01B25"/>
    <w:rsid w:val="00D01E5B"/>
    <w:rsid w:val="00D02378"/>
    <w:rsid w:val="00D02952"/>
    <w:rsid w:val="00D02BE9"/>
    <w:rsid w:val="00D101DD"/>
    <w:rsid w:val="00D14423"/>
    <w:rsid w:val="00D15678"/>
    <w:rsid w:val="00D15F27"/>
    <w:rsid w:val="00D162A6"/>
    <w:rsid w:val="00D17394"/>
    <w:rsid w:val="00D17B7F"/>
    <w:rsid w:val="00D2043D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4B37"/>
    <w:rsid w:val="00D45330"/>
    <w:rsid w:val="00D45705"/>
    <w:rsid w:val="00D45A48"/>
    <w:rsid w:val="00D45DB8"/>
    <w:rsid w:val="00D45FAE"/>
    <w:rsid w:val="00D505CD"/>
    <w:rsid w:val="00D50821"/>
    <w:rsid w:val="00D52361"/>
    <w:rsid w:val="00D52D25"/>
    <w:rsid w:val="00D539AD"/>
    <w:rsid w:val="00D549F6"/>
    <w:rsid w:val="00D657EC"/>
    <w:rsid w:val="00D65A57"/>
    <w:rsid w:val="00D66306"/>
    <w:rsid w:val="00D66B18"/>
    <w:rsid w:val="00D726DB"/>
    <w:rsid w:val="00D73164"/>
    <w:rsid w:val="00D7469C"/>
    <w:rsid w:val="00D7797B"/>
    <w:rsid w:val="00D77E53"/>
    <w:rsid w:val="00D8135F"/>
    <w:rsid w:val="00D81DD5"/>
    <w:rsid w:val="00D85787"/>
    <w:rsid w:val="00D87BB8"/>
    <w:rsid w:val="00D90BD9"/>
    <w:rsid w:val="00D932C5"/>
    <w:rsid w:val="00D939A7"/>
    <w:rsid w:val="00D9581C"/>
    <w:rsid w:val="00D95DCB"/>
    <w:rsid w:val="00D96228"/>
    <w:rsid w:val="00DA5459"/>
    <w:rsid w:val="00DA619A"/>
    <w:rsid w:val="00DA684F"/>
    <w:rsid w:val="00DB357A"/>
    <w:rsid w:val="00DB4233"/>
    <w:rsid w:val="00DB5097"/>
    <w:rsid w:val="00DC4F7C"/>
    <w:rsid w:val="00DC7134"/>
    <w:rsid w:val="00DC7C2C"/>
    <w:rsid w:val="00DD148B"/>
    <w:rsid w:val="00DD1502"/>
    <w:rsid w:val="00DD2256"/>
    <w:rsid w:val="00DD4B55"/>
    <w:rsid w:val="00DD5871"/>
    <w:rsid w:val="00DE2F66"/>
    <w:rsid w:val="00DE4173"/>
    <w:rsid w:val="00DE4592"/>
    <w:rsid w:val="00DE4E17"/>
    <w:rsid w:val="00DE6744"/>
    <w:rsid w:val="00DF6125"/>
    <w:rsid w:val="00E05FE2"/>
    <w:rsid w:val="00E12335"/>
    <w:rsid w:val="00E13E05"/>
    <w:rsid w:val="00E15784"/>
    <w:rsid w:val="00E16734"/>
    <w:rsid w:val="00E179BE"/>
    <w:rsid w:val="00E20401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46F67"/>
    <w:rsid w:val="00E50522"/>
    <w:rsid w:val="00E52F87"/>
    <w:rsid w:val="00E6120D"/>
    <w:rsid w:val="00E61D06"/>
    <w:rsid w:val="00E66901"/>
    <w:rsid w:val="00E7043E"/>
    <w:rsid w:val="00E747D9"/>
    <w:rsid w:val="00E75D5D"/>
    <w:rsid w:val="00E766CA"/>
    <w:rsid w:val="00E77DA0"/>
    <w:rsid w:val="00E81F85"/>
    <w:rsid w:val="00E8413D"/>
    <w:rsid w:val="00E84C2A"/>
    <w:rsid w:val="00E90CA1"/>
    <w:rsid w:val="00E91D25"/>
    <w:rsid w:val="00E94035"/>
    <w:rsid w:val="00E95F4D"/>
    <w:rsid w:val="00E97067"/>
    <w:rsid w:val="00EA0369"/>
    <w:rsid w:val="00EA3852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E1F48"/>
    <w:rsid w:val="00EE262B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04BB0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387E"/>
    <w:rsid w:val="00F559A5"/>
    <w:rsid w:val="00F55F9D"/>
    <w:rsid w:val="00F56E1A"/>
    <w:rsid w:val="00F60EEE"/>
    <w:rsid w:val="00F6204B"/>
    <w:rsid w:val="00F62CDA"/>
    <w:rsid w:val="00F6448C"/>
    <w:rsid w:val="00F65D8A"/>
    <w:rsid w:val="00F668FB"/>
    <w:rsid w:val="00F74422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E2208"/>
    <w:rsid w:val="00FE2769"/>
    <w:rsid w:val="00FE2ED0"/>
    <w:rsid w:val="00FE3C8C"/>
    <w:rsid w:val="00FE430B"/>
    <w:rsid w:val="00FE46AF"/>
    <w:rsid w:val="00FE6C99"/>
    <w:rsid w:val="00FE73C3"/>
    <w:rsid w:val="00FE761B"/>
    <w:rsid w:val="00FF1F94"/>
    <w:rsid w:val="00FF2B49"/>
    <w:rsid w:val="00FF3001"/>
    <w:rsid w:val="00FF5582"/>
    <w:rsid w:val="00FF7C1C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A9B"/>
  </w:style>
  <w:style w:type="paragraph" w:styleId="Heading1">
    <w:name w:val="heading 1"/>
    <w:basedOn w:val="Normal"/>
    <w:next w:val="Normal"/>
    <w:link w:val="Heading1Char"/>
    <w:uiPriority w:val="9"/>
    <w:qFormat/>
    <w:rsid w:val="002F2A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2A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2A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F2A9B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A9B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A9B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A9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A9B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A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A9B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F2A9B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F2A9B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F2A9B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A9B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A9B"/>
  </w:style>
  <w:style w:type="character" w:customStyle="1" w:styleId="Heading7Char">
    <w:name w:val="Heading 7 Char"/>
    <w:basedOn w:val="DefaultParagraphFont"/>
    <w:link w:val="Heading7"/>
    <w:uiPriority w:val="9"/>
    <w:semiHidden/>
    <w:rsid w:val="002F2A9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A9B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A9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F2A9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F2A9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A9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A9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F2A9B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2F2A9B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2F2A9B"/>
    <w:rPr>
      <w:i/>
      <w:iCs/>
      <w:color w:val="auto"/>
    </w:rPr>
  </w:style>
  <w:style w:type="paragraph" w:styleId="NoSpacing">
    <w:name w:val="No Spacing"/>
    <w:uiPriority w:val="1"/>
    <w:qFormat/>
    <w:rsid w:val="002F2A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F2A9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A9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A9B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A9B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2F2A9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F2A9B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F2A9B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F2A9B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2F2A9B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2A9B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37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uiPriority w:val="99"/>
    <w:rsid w:val="00D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295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2952"/>
    <w:rPr>
      <w:color w:val="800080"/>
      <w:u w:val="single"/>
    </w:rPr>
  </w:style>
  <w:style w:type="character" w:customStyle="1" w:styleId="table-captionlabel">
    <w:name w:val="table-caption__label"/>
    <w:basedOn w:val="DefaultParagraphFont"/>
    <w:rsid w:val="00D02952"/>
  </w:style>
  <w:style w:type="character" w:customStyle="1" w:styleId="section-footnote">
    <w:name w:val="section-footnote"/>
    <w:basedOn w:val="DefaultParagraphFont"/>
    <w:rsid w:val="00D02952"/>
  </w:style>
  <w:style w:type="paragraph" w:customStyle="1" w:styleId="footnotepopupitem">
    <w:name w:val="footnotepopup__item"/>
    <w:basedOn w:val="Normal"/>
    <w:rsid w:val="00D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">
    <w:name w:val="number"/>
    <w:basedOn w:val="DefaultParagraphFont"/>
    <w:rsid w:val="00D02952"/>
  </w:style>
  <w:style w:type="paragraph" w:customStyle="1" w:styleId="previous">
    <w:name w:val="previous"/>
    <w:basedOn w:val="Normal"/>
    <w:uiPriority w:val="99"/>
    <w:semiHidden/>
    <w:rsid w:val="00C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">
    <w:name w:val="next"/>
    <w:basedOn w:val="Normal"/>
    <w:uiPriority w:val="99"/>
    <w:semiHidden/>
    <w:rsid w:val="00C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gend">
    <w:name w:val="legend"/>
    <w:basedOn w:val="Normal"/>
    <w:uiPriority w:val="99"/>
    <w:semiHidden/>
    <w:rsid w:val="00C83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isplay">
    <w:name w:val="display"/>
    <w:basedOn w:val="DefaultParagraphFont"/>
    <w:rsid w:val="00C83CEB"/>
  </w:style>
  <w:style w:type="character" w:customStyle="1" w:styleId="anchor-text">
    <w:name w:val="anchor-text"/>
    <w:basedOn w:val="DefaultParagraphFont"/>
    <w:rsid w:val="00C83CEB"/>
  </w:style>
  <w:style w:type="character" w:customStyle="1" w:styleId="download-link-title">
    <w:name w:val="download-link-title"/>
    <w:basedOn w:val="DefaultParagraphFont"/>
    <w:rsid w:val="00C83CEB"/>
  </w:style>
  <w:style w:type="character" w:customStyle="1" w:styleId="button-alternative-text">
    <w:name w:val="button-alternative-text"/>
    <w:basedOn w:val="DefaultParagraphFont"/>
    <w:rsid w:val="00C83CEB"/>
  </w:style>
  <w:style w:type="character" w:customStyle="1" w:styleId="extra-detail-1">
    <w:name w:val="extra-detail-1"/>
    <w:basedOn w:val="DefaultParagraphFont"/>
    <w:rsid w:val="00C83CEB"/>
  </w:style>
  <w:style w:type="character" w:customStyle="1" w:styleId="extra-detail-2">
    <w:name w:val="extra-detail-2"/>
    <w:basedOn w:val="DefaultParagraphFont"/>
    <w:rsid w:val="00C83CEB"/>
  </w:style>
  <w:style w:type="character" w:customStyle="1" w:styleId="captions">
    <w:name w:val="captions"/>
    <w:basedOn w:val="DefaultParagraphFont"/>
    <w:rsid w:val="00C83CEB"/>
  </w:style>
  <w:style w:type="character" w:customStyle="1" w:styleId="label">
    <w:name w:val="label"/>
    <w:basedOn w:val="DefaultParagraphFont"/>
    <w:rsid w:val="00C83CEB"/>
  </w:style>
  <w:style w:type="character" w:customStyle="1" w:styleId="math">
    <w:name w:val="math"/>
    <w:basedOn w:val="DefaultParagraphFont"/>
    <w:rsid w:val="00C83CEB"/>
  </w:style>
  <w:style w:type="character" w:customStyle="1" w:styleId="mathjaxpreview">
    <w:name w:val="mathjax_preview"/>
    <w:basedOn w:val="DefaultParagraphFont"/>
    <w:rsid w:val="00C83CEB"/>
  </w:style>
  <w:style w:type="character" w:customStyle="1" w:styleId="mathjaxsvg">
    <w:name w:val="mathjax_svg"/>
    <w:basedOn w:val="DefaultParagraphFont"/>
    <w:rsid w:val="00C83CEB"/>
  </w:style>
  <w:style w:type="character" w:customStyle="1" w:styleId="mjxassistivemathml">
    <w:name w:val="mjx_assistive_mathml"/>
    <w:basedOn w:val="DefaultParagraphFont"/>
    <w:rsid w:val="00C83CEB"/>
  </w:style>
  <w:style w:type="character" w:customStyle="1" w:styleId="formula">
    <w:name w:val="formula"/>
    <w:basedOn w:val="DefaultParagraphFont"/>
    <w:rsid w:val="00C83CEB"/>
  </w:style>
  <w:style w:type="character" w:customStyle="1" w:styleId="screen-reader-only">
    <w:name w:val="screen-reader-only"/>
    <w:basedOn w:val="DefaultParagraphFont"/>
    <w:rsid w:val="00C83CEB"/>
  </w:style>
  <w:style w:type="character" w:styleId="PlaceholderText">
    <w:name w:val="Placeholder Text"/>
    <w:basedOn w:val="DefaultParagraphFont"/>
    <w:uiPriority w:val="99"/>
    <w:semiHidden/>
    <w:rsid w:val="00956C21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E7A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2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5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7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9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0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hyperlink" Target="http://epublications.marquette.ed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dx.doi.org/10.7330/9781646420896.c002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  <ds:schemaRef ds:uri="64b3fc17-cb00-4edb-b6f2-d57effab0d92"/>
    <ds:schemaRef ds:uri="2e71e008-532d-4ad1-addb-d1316e538cd6"/>
  </ds:schemaRefs>
</ds:datastoreItem>
</file>

<file path=customXml/itemProps2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E290E-86BA-495B-9778-72E74D258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7D64F3-00FF-4BAC-BA7D-E20F32CB2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22</Pages>
  <Words>10357</Words>
  <Characters>59038</Characters>
  <Application>Microsoft Office Word</Application>
  <DocSecurity>8</DocSecurity>
  <Lines>491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88</cp:revision>
  <dcterms:created xsi:type="dcterms:W3CDTF">2023-03-17T18:13:00Z</dcterms:created>
  <dcterms:modified xsi:type="dcterms:W3CDTF">2023-03-17T19:37:00Z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  <property fmtid="{D5CDD505-2E9C-101B-9397-08002B2CF9AE}" pid="3" name="MediaServiceImageTags">
    <vt:lpwstr/>
  </property>
</Properties>
</file>