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059B5D" w14:textId="77777777" w:rsidR="003122BC" w:rsidRPr="00C04F25" w:rsidRDefault="003122BC" w:rsidP="003122BC">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26260991" w14:textId="77777777" w:rsidR="003122BC" w:rsidRPr="00C04F25" w:rsidRDefault="003122BC" w:rsidP="003122BC">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1C49BDCB" w14:textId="77777777" w:rsidR="003122BC" w:rsidRPr="006F33A4" w:rsidRDefault="003122BC" w:rsidP="003122BC">
      <w:pPr>
        <w:autoSpaceDE w:val="0"/>
        <w:autoSpaceDN w:val="0"/>
        <w:adjustRightInd w:val="0"/>
        <w:rPr>
          <w:rFonts w:cstheme="minorHAnsi"/>
          <w:b/>
          <w:bCs/>
          <w:i/>
          <w:iCs/>
        </w:rPr>
      </w:pPr>
    </w:p>
    <w:p w14:paraId="5402DE7A" w14:textId="016E4E55" w:rsidR="003122BC" w:rsidRPr="00C04F25" w:rsidRDefault="00894E49" w:rsidP="003122BC">
      <w:pPr>
        <w:autoSpaceDE w:val="0"/>
        <w:autoSpaceDN w:val="0"/>
        <w:adjustRightInd w:val="0"/>
        <w:rPr>
          <w:rFonts w:cstheme="minorHAnsi"/>
          <w:b/>
          <w:bCs/>
          <w:i/>
          <w:iCs/>
          <w:sz w:val="32"/>
          <w:szCs w:val="32"/>
        </w:rPr>
      </w:pPr>
      <w:r>
        <w:rPr>
          <w:rFonts w:cstheme="minorHAnsi"/>
          <w:b/>
          <w:bCs/>
          <w:i/>
          <w:iCs/>
          <w:sz w:val="32"/>
          <w:szCs w:val="32"/>
        </w:rPr>
        <w:t>Department of Economics</w:t>
      </w:r>
      <w:r w:rsidR="003122BC" w:rsidRPr="00C04F25">
        <w:rPr>
          <w:rFonts w:cstheme="minorHAnsi"/>
          <w:b/>
          <w:bCs/>
          <w:i/>
          <w:iCs/>
          <w:sz w:val="32"/>
          <w:szCs w:val="32"/>
        </w:rPr>
        <w:t xml:space="preserve"> Research and Publications/</w:t>
      </w:r>
      <w:r w:rsidR="00130411">
        <w:rPr>
          <w:rFonts w:cstheme="minorHAnsi"/>
          <w:b/>
          <w:bCs/>
          <w:i/>
          <w:iCs/>
          <w:sz w:val="32"/>
          <w:szCs w:val="32"/>
        </w:rPr>
        <w:t>College of Business</w:t>
      </w:r>
      <w:r w:rsidR="009527C3">
        <w:rPr>
          <w:rFonts w:cstheme="minorHAnsi"/>
          <w:b/>
          <w:bCs/>
          <w:i/>
          <w:iCs/>
          <w:sz w:val="32"/>
          <w:szCs w:val="32"/>
        </w:rPr>
        <w:t xml:space="preserve"> Administration</w:t>
      </w:r>
    </w:p>
    <w:bookmarkEnd w:id="0"/>
    <w:p w14:paraId="0D1DBDF9" w14:textId="77777777" w:rsidR="003122BC" w:rsidRPr="006F33A4" w:rsidRDefault="003122BC" w:rsidP="003122BC">
      <w:pPr>
        <w:jc w:val="center"/>
        <w:rPr>
          <w:rFonts w:cstheme="minorHAnsi"/>
          <w:b/>
          <w:bCs/>
          <w:i/>
          <w:iCs/>
        </w:rPr>
      </w:pPr>
    </w:p>
    <w:p w14:paraId="490DB028" w14:textId="77777777" w:rsidR="003122BC" w:rsidRPr="00C04F25" w:rsidRDefault="003122BC" w:rsidP="003122BC">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 xml:space="preserve">The published version may be </w:t>
      </w:r>
      <w:bookmarkStart w:id="2" w:name="_GoBack"/>
      <w:bookmarkEnd w:id="2"/>
      <w:r w:rsidRPr="00C04F25">
        <w:rPr>
          <w:rFonts w:cstheme="minorHAnsi"/>
          <w:sz w:val="24"/>
          <w:szCs w:val="24"/>
        </w:rPr>
        <w:t>accessed by following the link in the citation below.</w:t>
      </w:r>
    </w:p>
    <w:p w14:paraId="2D2BB8F0" w14:textId="77777777" w:rsidR="003122BC" w:rsidRPr="00C04F25" w:rsidRDefault="003122BC" w:rsidP="003122BC">
      <w:pPr>
        <w:jc w:val="center"/>
        <w:rPr>
          <w:rFonts w:cstheme="minorHAnsi"/>
          <w:sz w:val="24"/>
          <w:szCs w:val="24"/>
        </w:rPr>
      </w:pPr>
    </w:p>
    <w:p w14:paraId="016290D4" w14:textId="10EF9FDB" w:rsidR="003122BC" w:rsidRDefault="00B732E0" w:rsidP="003122BC">
      <w:pPr>
        <w:rPr>
          <w:rFonts w:cstheme="minorHAnsi"/>
          <w:sz w:val="24"/>
          <w:szCs w:val="24"/>
        </w:rPr>
      </w:pPr>
      <w:r>
        <w:rPr>
          <w:rFonts w:cstheme="minorHAnsi"/>
          <w:i/>
          <w:sz w:val="24"/>
          <w:szCs w:val="24"/>
          <w:lang w:val="fr-FR"/>
        </w:rPr>
        <w:t xml:space="preserve">The Manchester </w:t>
      </w:r>
      <w:proofErr w:type="spellStart"/>
      <w:r>
        <w:rPr>
          <w:rFonts w:cstheme="minorHAnsi"/>
          <w:i/>
          <w:sz w:val="24"/>
          <w:szCs w:val="24"/>
          <w:lang w:val="fr-FR"/>
        </w:rPr>
        <w:t>School</w:t>
      </w:r>
      <w:proofErr w:type="spellEnd"/>
      <w:r w:rsidR="003122BC" w:rsidRPr="00C04F25">
        <w:rPr>
          <w:rFonts w:cstheme="minorHAnsi"/>
          <w:sz w:val="24"/>
          <w:szCs w:val="24"/>
          <w:lang w:val="fr-FR"/>
        </w:rPr>
        <w:t xml:space="preserve">, Vol. </w:t>
      </w:r>
      <w:r w:rsidR="00342C17">
        <w:rPr>
          <w:rFonts w:cstheme="minorHAnsi"/>
          <w:sz w:val="24"/>
          <w:szCs w:val="24"/>
          <w:lang w:val="fr-FR"/>
        </w:rPr>
        <w:t>52</w:t>
      </w:r>
      <w:r w:rsidR="003122BC" w:rsidRPr="00C04F25">
        <w:rPr>
          <w:rFonts w:cstheme="minorHAnsi"/>
          <w:sz w:val="24"/>
          <w:szCs w:val="24"/>
          <w:lang w:val="fr-FR"/>
        </w:rPr>
        <w:t xml:space="preserve">, No. </w:t>
      </w:r>
      <w:r w:rsidR="00342C17">
        <w:rPr>
          <w:rFonts w:cstheme="minorHAnsi"/>
          <w:sz w:val="24"/>
          <w:szCs w:val="24"/>
          <w:lang w:val="fr-FR"/>
        </w:rPr>
        <w:t>4</w:t>
      </w:r>
      <w:r w:rsidR="003122BC" w:rsidRPr="00C04F25">
        <w:rPr>
          <w:rFonts w:cstheme="minorHAnsi"/>
          <w:sz w:val="24"/>
          <w:szCs w:val="24"/>
          <w:lang w:val="fr-FR"/>
        </w:rPr>
        <w:t xml:space="preserve"> (</w:t>
      </w:r>
      <w:r w:rsidR="00755746">
        <w:rPr>
          <w:rFonts w:cstheme="minorHAnsi"/>
          <w:sz w:val="24"/>
          <w:szCs w:val="24"/>
          <w:lang w:val="fr-FR"/>
        </w:rPr>
        <w:t>1984</w:t>
      </w:r>
      <w:r w:rsidR="003122BC" w:rsidRPr="00C04F25">
        <w:rPr>
          <w:rFonts w:cstheme="minorHAnsi"/>
          <w:sz w:val="24"/>
          <w:szCs w:val="24"/>
          <w:lang w:val="fr-FR"/>
        </w:rPr>
        <w:t>)</w:t>
      </w:r>
      <w:r w:rsidR="00F16889">
        <w:rPr>
          <w:rFonts w:cstheme="minorHAnsi"/>
          <w:sz w:val="24"/>
          <w:szCs w:val="24"/>
          <w:lang w:val="fr-FR"/>
        </w:rPr>
        <w:t xml:space="preserve"> </w:t>
      </w:r>
      <w:r w:rsidR="003122BC" w:rsidRPr="00C04F25">
        <w:rPr>
          <w:rFonts w:cstheme="minorHAnsi"/>
          <w:sz w:val="24"/>
          <w:szCs w:val="24"/>
          <w:lang w:val="fr-FR"/>
        </w:rPr>
        <w:t xml:space="preserve">: </w:t>
      </w:r>
      <w:r w:rsidR="00342C17">
        <w:rPr>
          <w:rFonts w:cstheme="minorHAnsi"/>
          <w:sz w:val="24"/>
          <w:szCs w:val="24"/>
          <w:lang w:val="fr-FR"/>
        </w:rPr>
        <w:t>417</w:t>
      </w:r>
      <w:r w:rsidR="003122BC" w:rsidRPr="00C04F25">
        <w:rPr>
          <w:rFonts w:cstheme="minorHAnsi"/>
          <w:sz w:val="24"/>
          <w:szCs w:val="24"/>
          <w:lang w:val="fr-FR"/>
        </w:rPr>
        <w:t>-</w:t>
      </w:r>
      <w:r w:rsidR="00342C17">
        <w:rPr>
          <w:rFonts w:cstheme="minorHAnsi"/>
          <w:sz w:val="24"/>
          <w:szCs w:val="24"/>
          <w:lang w:val="fr-FR"/>
        </w:rPr>
        <w:t>424</w:t>
      </w:r>
      <w:r w:rsidR="003122BC" w:rsidRPr="00C04F25">
        <w:rPr>
          <w:rFonts w:cstheme="minorHAnsi"/>
          <w:sz w:val="24"/>
          <w:szCs w:val="24"/>
          <w:lang w:val="fr-FR"/>
        </w:rPr>
        <w:t xml:space="preserve">. </w:t>
      </w:r>
      <w:hyperlink r:id="rId7" w:history="1">
        <w:r w:rsidR="003122BC" w:rsidRPr="00C04F25">
          <w:rPr>
            <w:rFonts w:cstheme="minorHAnsi"/>
            <w:color w:val="0563C1" w:themeColor="hyperlink"/>
            <w:sz w:val="24"/>
            <w:szCs w:val="24"/>
            <w:u w:val="single"/>
            <w:lang w:val="fr-FR"/>
          </w:rPr>
          <w:t>DOI</w:t>
        </w:r>
      </w:hyperlink>
      <w:r w:rsidR="003122BC" w:rsidRPr="00C04F25">
        <w:rPr>
          <w:rFonts w:cstheme="minorHAnsi"/>
          <w:sz w:val="24"/>
          <w:szCs w:val="24"/>
          <w:lang w:val="fr-FR"/>
        </w:rPr>
        <w:t xml:space="preserve">. </w:t>
      </w:r>
      <w:r w:rsidR="003122BC" w:rsidRPr="00C04F25">
        <w:rPr>
          <w:rFonts w:cstheme="minorHAnsi"/>
          <w:sz w:val="24"/>
          <w:szCs w:val="24"/>
        </w:rPr>
        <w:t xml:space="preserve">This article is © </w:t>
      </w:r>
      <w:r w:rsidR="00755746">
        <w:rPr>
          <w:rFonts w:cstheme="minorHAnsi"/>
          <w:sz w:val="24"/>
          <w:szCs w:val="24"/>
        </w:rPr>
        <w:t>Wiley</w:t>
      </w:r>
      <w:r w:rsidR="003122BC" w:rsidRPr="00C04F25">
        <w:rPr>
          <w:rFonts w:cstheme="minorHAnsi"/>
          <w:sz w:val="24"/>
          <w:szCs w:val="24"/>
        </w:rPr>
        <w:t xml:space="preserve"> and permission has been granted for this version to appear in </w:t>
      </w:r>
      <w:hyperlink r:id="rId8" w:history="1">
        <w:r w:rsidR="003122BC" w:rsidRPr="00C04F25">
          <w:rPr>
            <w:rFonts w:cstheme="minorHAnsi"/>
            <w:color w:val="0563C1" w:themeColor="hyperlink"/>
            <w:sz w:val="24"/>
            <w:szCs w:val="24"/>
            <w:u w:val="single"/>
          </w:rPr>
          <w:t>e-Publications@Marquette</w:t>
        </w:r>
      </w:hyperlink>
      <w:r w:rsidR="003122BC" w:rsidRPr="00C04F25">
        <w:rPr>
          <w:rFonts w:cstheme="minorHAnsi"/>
          <w:sz w:val="24"/>
          <w:szCs w:val="24"/>
        </w:rPr>
        <w:t xml:space="preserve">. </w:t>
      </w:r>
      <w:r w:rsidR="00755746">
        <w:rPr>
          <w:rFonts w:cstheme="minorHAnsi"/>
          <w:sz w:val="24"/>
          <w:szCs w:val="24"/>
        </w:rPr>
        <w:t>Wiley</w:t>
      </w:r>
      <w:r w:rsidR="00C84002">
        <w:rPr>
          <w:rFonts w:cstheme="minorHAnsi"/>
          <w:sz w:val="24"/>
          <w:szCs w:val="24"/>
        </w:rPr>
        <w:t xml:space="preserve"> </w:t>
      </w:r>
      <w:r w:rsidR="003122BC" w:rsidRPr="00C04F25">
        <w:rPr>
          <w:rFonts w:cstheme="minorHAnsi"/>
          <w:sz w:val="24"/>
          <w:szCs w:val="24"/>
        </w:rPr>
        <w:t xml:space="preserve">does not grant permission for this article to be further copied/distributed or hosted elsewhere without the express permission from </w:t>
      </w:r>
      <w:r w:rsidR="00755746">
        <w:rPr>
          <w:rFonts w:cstheme="minorHAnsi"/>
          <w:sz w:val="24"/>
          <w:szCs w:val="24"/>
        </w:rPr>
        <w:t>Wiley</w:t>
      </w:r>
      <w:r w:rsidR="003122BC" w:rsidRPr="00C04F25">
        <w:rPr>
          <w:rFonts w:cstheme="minorHAnsi"/>
          <w:sz w:val="24"/>
          <w:szCs w:val="24"/>
        </w:rPr>
        <w:t xml:space="preserve">. </w:t>
      </w:r>
    </w:p>
    <w:p w14:paraId="46CD6799" w14:textId="77777777" w:rsidR="008A688A" w:rsidRDefault="008A688A" w:rsidP="003122BC">
      <w:pPr>
        <w:rPr>
          <w:rFonts w:cstheme="minorHAnsi"/>
          <w:sz w:val="24"/>
          <w:szCs w:val="24"/>
        </w:rPr>
      </w:pPr>
    </w:p>
    <w:p w14:paraId="2F514D51" w14:textId="5E4FC43E" w:rsidR="00625BFB" w:rsidRPr="001A023D" w:rsidRDefault="00625BFB" w:rsidP="00C84002">
      <w:pPr>
        <w:pStyle w:val="Title"/>
      </w:pPr>
      <w:r w:rsidRPr="001A023D">
        <w:t>W</w:t>
      </w:r>
      <w:r w:rsidR="007B5294">
        <w:t>age</w:t>
      </w:r>
      <w:r w:rsidRPr="001A023D">
        <w:t xml:space="preserve"> S</w:t>
      </w:r>
      <w:r w:rsidR="007B5294">
        <w:t>hare</w:t>
      </w:r>
      <w:r w:rsidRPr="001A023D">
        <w:t>, M</w:t>
      </w:r>
      <w:r w:rsidR="007B5294">
        <w:t>arket</w:t>
      </w:r>
      <w:r w:rsidRPr="001A023D">
        <w:t xml:space="preserve"> P</w:t>
      </w:r>
      <w:r w:rsidR="007B5294">
        <w:t>ower</w:t>
      </w:r>
      <w:r w:rsidRPr="001A023D">
        <w:t xml:space="preserve"> </w:t>
      </w:r>
      <w:r w:rsidR="00350786">
        <w:t>and</w:t>
      </w:r>
      <w:r w:rsidRPr="001A023D">
        <w:t xml:space="preserve"> U</w:t>
      </w:r>
      <w:r w:rsidR="00350786">
        <w:t>nionism</w:t>
      </w:r>
      <w:r w:rsidRPr="001A023D">
        <w:t>: S</w:t>
      </w:r>
      <w:r w:rsidR="007B5294">
        <w:t>ome</w:t>
      </w:r>
      <w:r w:rsidRPr="001A023D">
        <w:t xml:space="preserve"> C</w:t>
      </w:r>
      <w:r w:rsidR="007B5294">
        <w:t>ontrary</w:t>
      </w:r>
      <w:r w:rsidRPr="001A023D">
        <w:t xml:space="preserve"> U.S. E</w:t>
      </w:r>
      <w:r w:rsidR="00350786">
        <w:t>vidence</w:t>
      </w:r>
    </w:p>
    <w:p w14:paraId="47AC88C8" w14:textId="77777777" w:rsidR="00625BFB" w:rsidRDefault="00625BFB" w:rsidP="009A0DC2">
      <w:pPr>
        <w:spacing w:after="0" w:line="276" w:lineRule="auto"/>
        <w:jc w:val="center"/>
        <w:rPr>
          <w:rFonts w:ascii="Verdana" w:hAnsi="Verdana"/>
          <w:sz w:val="32"/>
          <w:szCs w:val="32"/>
        </w:rPr>
      </w:pPr>
    </w:p>
    <w:p w14:paraId="454E0409" w14:textId="73B57733" w:rsidR="009A0DC2" w:rsidRPr="001A023D" w:rsidRDefault="001A023D" w:rsidP="00C84002">
      <w:pPr>
        <w:spacing w:after="0" w:line="276" w:lineRule="auto"/>
        <w:rPr>
          <w:rFonts w:cstheme="minorHAnsi"/>
          <w:sz w:val="32"/>
          <w:szCs w:val="32"/>
        </w:rPr>
      </w:pPr>
      <w:r w:rsidRPr="001A023D">
        <w:rPr>
          <w:rFonts w:cstheme="minorHAnsi"/>
          <w:sz w:val="32"/>
          <w:szCs w:val="32"/>
        </w:rPr>
        <w:t>Brian C. Brush</w:t>
      </w:r>
    </w:p>
    <w:p w14:paraId="0A094E76" w14:textId="364FB415" w:rsidR="009A0DC2" w:rsidRPr="001A023D" w:rsidRDefault="009A0DC2" w:rsidP="00C84002">
      <w:pPr>
        <w:spacing w:after="0" w:line="276" w:lineRule="auto"/>
        <w:rPr>
          <w:rFonts w:cstheme="minorHAnsi"/>
          <w:i/>
          <w:sz w:val="24"/>
          <w:szCs w:val="24"/>
        </w:rPr>
      </w:pPr>
      <w:r w:rsidRPr="001A023D">
        <w:rPr>
          <w:rFonts w:cstheme="minorHAnsi"/>
          <w:i/>
          <w:sz w:val="24"/>
          <w:szCs w:val="24"/>
        </w:rPr>
        <w:t>Department</w:t>
      </w:r>
      <w:r w:rsidR="0089608E">
        <w:rPr>
          <w:rFonts w:cstheme="minorHAnsi"/>
          <w:i/>
          <w:sz w:val="24"/>
          <w:szCs w:val="24"/>
        </w:rPr>
        <w:t xml:space="preserve"> of Economics</w:t>
      </w:r>
      <w:r w:rsidRPr="001A023D">
        <w:rPr>
          <w:rFonts w:cstheme="minorHAnsi"/>
          <w:i/>
          <w:sz w:val="24"/>
          <w:szCs w:val="24"/>
        </w:rPr>
        <w:t xml:space="preserve">, </w:t>
      </w:r>
      <w:r w:rsidR="0089608E">
        <w:rPr>
          <w:rFonts w:cstheme="minorHAnsi"/>
          <w:i/>
          <w:sz w:val="24"/>
          <w:szCs w:val="24"/>
        </w:rPr>
        <w:t>Marquette</w:t>
      </w:r>
      <w:r w:rsidRPr="001A023D">
        <w:rPr>
          <w:rFonts w:cstheme="minorHAnsi"/>
          <w:i/>
          <w:sz w:val="24"/>
          <w:szCs w:val="24"/>
        </w:rPr>
        <w:t xml:space="preserve"> University</w:t>
      </w:r>
      <w:r w:rsidR="00C84002">
        <w:rPr>
          <w:rFonts w:cstheme="minorHAnsi"/>
          <w:i/>
          <w:sz w:val="24"/>
          <w:szCs w:val="24"/>
        </w:rPr>
        <w:t xml:space="preserve">, </w:t>
      </w:r>
      <w:r w:rsidR="0089608E">
        <w:rPr>
          <w:rFonts w:cstheme="minorHAnsi"/>
          <w:i/>
          <w:sz w:val="24"/>
          <w:szCs w:val="24"/>
        </w:rPr>
        <w:t>Milwaukee, WI</w:t>
      </w:r>
    </w:p>
    <w:p w14:paraId="67A84FC1" w14:textId="3F5538BE" w:rsidR="009A0DC2" w:rsidRPr="001A023D" w:rsidRDefault="00F66675" w:rsidP="00C84002">
      <w:pPr>
        <w:spacing w:after="0" w:line="276" w:lineRule="auto"/>
        <w:rPr>
          <w:rFonts w:cstheme="minorHAnsi"/>
          <w:sz w:val="32"/>
          <w:szCs w:val="32"/>
        </w:rPr>
      </w:pPr>
      <w:r>
        <w:rPr>
          <w:rFonts w:cstheme="minorHAnsi"/>
          <w:sz w:val="32"/>
          <w:szCs w:val="32"/>
        </w:rPr>
        <w:t>Steven E. Crane</w:t>
      </w:r>
    </w:p>
    <w:p w14:paraId="3E6E36CF" w14:textId="5667CAED" w:rsidR="00614841" w:rsidRPr="001A023D" w:rsidRDefault="00614841" w:rsidP="00C84002">
      <w:pPr>
        <w:spacing w:after="0" w:line="276" w:lineRule="auto"/>
        <w:rPr>
          <w:rFonts w:cstheme="minorHAnsi"/>
          <w:i/>
          <w:sz w:val="24"/>
          <w:szCs w:val="24"/>
        </w:rPr>
      </w:pPr>
      <w:r w:rsidRPr="001A023D">
        <w:rPr>
          <w:rFonts w:cstheme="minorHAnsi"/>
          <w:i/>
          <w:sz w:val="24"/>
          <w:szCs w:val="24"/>
        </w:rPr>
        <w:t>Department</w:t>
      </w:r>
      <w:r>
        <w:rPr>
          <w:rFonts w:cstheme="minorHAnsi"/>
          <w:i/>
          <w:sz w:val="24"/>
          <w:szCs w:val="24"/>
        </w:rPr>
        <w:t xml:space="preserve"> of Economics</w:t>
      </w:r>
      <w:r w:rsidRPr="001A023D">
        <w:rPr>
          <w:rFonts w:cstheme="minorHAnsi"/>
          <w:i/>
          <w:sz w:val="24"/>
          <w:szCs w:val="24"/>
        </w:rPr>
        <w:t xml:space="preserve">, </w:t>
      </w:r>
      <w:r>
        <w:rPr>
          <w:rFonts w:cstheme="minorHAnsi"/>
          <w:i/>
          <w:sz w:val="24"/>
          <w:szCs w:val="24"/>
        </w:rPr>
        <w:t>Marquette</w:t>
      </w:r>
      <w:r w:rsidRPr="001A023D">
        <w:rPr>
          <w:rFonts w:cstheme="minorHAnsi"/>
          <w:i/>
          <w:sz w:val="24"/>
          <w:szCs w:val="24"/>
        </w:rPr>
        <w:t xml:space="preserve"> University</w:t>
      </w:r>
      <w:r w:rsidR="00C84002">
        <w:rPr>
          <w:rFonts w:cstheme="minorHAnsi"/>
          <w:i/>
          <w:sz w:val="24"/>
          <w:szCs w:val="24"/>
        </w:rPr>
        <w:t xml:space="preserve">, </w:t>
      </w:r>
      <w:r>
        <w:rPr>
          <w:rFonts w:cstheme="minorHAnsi"/>
          <w:i/>
          <w:sz w:val="24"/>
          <w:szCs w:val="24"/>
        </w:rPr>
        <w:t>Milwaukee, WI</w:t>
      </w:r>
    </w:p>
    <w:bookmarkEnd w:id="1"/>
    <w:p w14:paraId="3E1B63A7" w14:textId="52A4730D" w:rsidR="00A36509" w:rsidRDefault="00A36509"/>
    <w:p w14:paraId="09DE96F0" w14:textId="10F88AB8" w:rsidR="00A36509" w:rsidRPr="006B7132" w:rsidRDefault="006B7132" w:rsidP="006B7132">
      <w:pPr>
        <w:pStyle w:val="Heading1"/>
        <w:rPr>
          <w:color w:val="auto"/>
        </w:rPr>
      </w:pPr>
      <w:r w:rsidRPr="006B7132">
        <w:rPr>
          <w:color w:val="auto"/>
        </w:rPr>
        <w:t>Abstract</w:t>
      </w:r>
    </w:p>
    <w:p w14:paraId="00DC8D96" w14:textId="41756A4D" w:rsidR="00A36509" w:rsidRPr="00652367" w:rsidRDefault="00A36509" w:rsidP="00A36509">
      <w:r w:rsidRPr="00652367">
        <w:t xml:space="preserve">In a recent article, Cowling and </w:t>
      </w:r>
      <w:proofErr w:type="spellStart"/>
      <w:r w:rsidRPr="00652367">
        <w:t>Molho</w:t>
      </w:r>
      <w:proofErr w:type="spellEnd"/>
      <w:r w:rsidRPr="00652367">
        <w:t xml:space="preserve"> (1982) presented empirical evidence on the relationships among the wage share, market power, and unionism in the U.K. Using multiple regression analysis on cross-sectional</w:t>
      </w:r>
      <w:r w:rsidR="00777AE9" w:rsidRPr="00652367">
        <w:t xml:space="preserve"> </w:t>
      </w:r>
      <w:r w:rsidRPr="00652367">
        <w:t xml:space="preserve">1968 data for 118 </w:t>
      </w:r>
      <w:r w:rsidR="00777AE9" w:rsidRPr="00652367">
        <w:t>industries</w:t>
      </w:r>
      <w:r w:rsidR="003B6364">
        <w:t>,</w:t>
      </w:r>
      <w:r w:rsidR="003B6364" w:rsidRPr="003B6364">
        <w:rPr>
          <w:vertAlign w:val="superscript"/>
        </w:rPr>
        <w:t>1</w:t>
      </w:r>
      <w:r w:rsidRPr="003B6364">
        <w:rPr>
          <w:vertAlign w:val="superscript"/>
        </w:rPr>
        <w:t xml:space="preserve"> </w:t>
      </w:r>
      <w:r w:rsidRPr="00652367">
        <w:t>they found strong, negative relationships</w:t>
      </w:r>
      <w:r w:rsidR="00777AE9" w:rsidRPr="00652367">
        <w:t xml:space="preserve"> </w:t>
      </w:r>
      <w:r w:rsidRPr="00652367">
        <w:t>between the share of production worker wages in value added and two</w:t>
      </w:r>
      <w:r w:rsidR="00777AE9" w:rsidRPr="00652367">
        <w:t xml:space="preserve"> </w:t>
      </w:r>
      <w:r w:rsidRPr="00652367">
        <w:t>measures of monopoly power in the product market, namely, concentration</w:t>
      </w:r>
      <w:r w:rsidR="00777AE9" w:rsidRPr="00652367">
        <w:t xml:space="preserve"> </w:t>
      </w:r>
      <w:r w:rsidRPr="00652367">
        <w:t xml:space="preserve">and advertising intensity. However, </w:t>
      </w:r>
      <w:r w:rsidR="005161EF" w:rsidRPr="00652367">
        <w:t>utilizing</w:t>
      </w:r>
      <w:r w:rsidRPr="00652367">
        <w:t xml:space="preserve"> several alternative measures</w:t>
      </w:r>
      <w:r w:rsidR="00777AE9" w:rsidRPr="00652367">
        <w:t xml:space="preserve"> </w:t>
      </w:r>
      <w:r w:rsidRPr="00652367">
        <w:t>of union power, they found only limited support for the hypothesis that</w:t>
      </w:r>
      <w:r w:rsidR="00777AE9" w:rsidRPr="00652367">
        <w:t xml:space="preserve"> </w:t>
      </w:r>
      <w:r w:rsidRPr="00652367">
        <w:t>union power is positively associated with this wage share.</w:t>
      </w:r>
      <w:r w:rsidR="00777AE9" w:rsidRPr="00652367">
        <w:t xml:space="preserve">  </w:t>
      </w:r>
      <w:r w:rsidRPr="00652367">
        <w:t xml:space="preserve">Cowling and </w:t>
      </w:r>
      <w:proofErr w:type="spellStart"/>
      <w:r w:rsidRPr="00652367">
        <w:t>Molho</w:t>
      </w:r>
      <w:proofErr w:type="spellEnd"/>
      <w:r w:rsidRPr="00652367">
        <w:t xml:space="preserve"> (hereafter, GM) also examined the relationships</w:t>
      </w:r>
      <w:r w:rsidR="00777AE9" w:rsidRPr="00652367">
        <w:t xml:space="preserve"> </w:t>
      </w:r>
      <w:r w:rsidRPr="00652367">
        <w:t>between the share of non-production worker salaries in value added and these</w:t>
      </w:r>
      <w:r w:rsidR="00777AE9" w:rsidRPr="00652367">
        <w:t xml:space="preserve"> </w:t>
      </w:r>
      <w:r w:rsidRPr="00652367">
        <w:t>same market power variables. They found a significant, positive relationship</w:t>
      </w:r>
      <w:r w:rsidR="00777AE9" w:rsidRPr="00652367">
        <w:t xml:space="preserve"> </w:t>
      </w:r>
      <w:r w:rsidRPr="00652367">
        <w:t xml:space="preserve">between the salary </w:t>
      </w:r>
      <w:r w:rsidR="005161EF" w:rsidRPr="00652367">
        <w:t>share</w:t>
      </w:r>
      <w:r w:rsidRPr="00652367">
        <w:t xml:space="preserve"> and concentration and no relationship between the</w:t>
      </w:r>
      <w:r w:rsidR="00777AE9" w:rsidRPr="00652367">
        <w:t xml:space="preserve"> </w:t>
      </w:r>
      <w:r w:rsidRPr="00652367">
        <w:t>salary share and advertising intensity. Their one puzzling result was that union</w:t>
      </w:r>
      <w:r w:rsidR="00777AE9" w:rsidRPr="00652367">
        <w:t xml:space="preserve"> </w:t>
      </w:r>
      <w:r w:rsidRPr="00652367">
        <w:t>power appeared to be more closely related to the salary share of nonproduction</w:t>
      </w:r>
      <w:r w:rsidR="00777AE9" w:rsidRPr="00652367">
        <w:t xml:space="preserve"> </w:t>
      </w:r>
      <w:r w:rsidRPr="00652367">
        <w:lastRenderedPageBreak/>
        <w:t>workers than it was to the wage share of production workers.</w:t>
      </w:r>
      <w:r w:rsidR="00777AE9" w:rsidRPr="00652367">
        <w:t xml:space="preserve">  </w:t>
      </w:r>
      <w:r w:rsidRPr="00652367">
        <w:t>The C-M results with respect to the concentration-wage share relationship</w:t>
      </w:r>
      <w:r w:rsidR="00777AE9" w:rsidRPr="00652367">
        <w:t xml:space="preserve"> </w:t>
      </w:r>
      <w:r w:rsidRPr="00652367">
        <w:t>are inconsistent with the only previously published study on the topic</w:t>
      </w:r>
      <w:r w:rsidR="00777AE9" w:rsidRPr="00652367">
        <w:t xml:space="preserve"> </w:t>
      </w:r>
      <w:r w:rsidRPr="00652367">
        <w:t>(Maroney and Allen, 1969) but consistent with the unpublished work of</w:t>
      </w:r>
      <w:r w:rsidR="00777AE9" w:rsidRPr="00652367">
        <w:t xml:space="preserve"> </w:t>
      </w:r>
      <w:r w:rsidRPr="00652367">
        <w:t>Barbee (1974). Since little empirical work has been done on this question,</w:t>
      </w:r>
      <w:r w:rsidR="00777AE9" w:rsidRPr="00652367">
        <w:t xml:space="preserve"> </w:t>
      </w:r>
      <w:r w:rsidRPr="00652367">
        <w:t>and since no other study has estimated the effect of either advertising or</w:t>
      </w:r>
      <w:r w:rsidR="00777AE9" w:rsidRPr="00652367">
        <w:t xml:space="preserve"> </w:t>
      </w:r>
      <w:r w:rsidRPr="00652367">
        <w:t xml:space="preserve">union power on the wage and salary shares, </w:t>
      </w:r>
      <w:proofErr w:type="gramStart"/>
      <w:r w:rsidRPr="00652367">
        <w:t>it is clear that more</w:t>
      </w:r>
      <w:proofErr w:type="gramEnd"/>
      <w:r w:rsidRPr="00652367">
        <w:t xml:space="preserve"> research on</w:t>
      </w:r>
      <w:r w:rsidR="00E346E3" w:rsidRPr="00652367">
        <w:t xml:space="preserve"> </w:t>
      </w:r>
      <w:r w:rsidRPr="00652367">
        <w:t>these questions is in order.</w:t>
      </w:r>
    </w:p>
    <w:p w14:paraId="751501BD" w14:textId="544E496E" w:rsidR="00A36509" w:rsidRPr="00996946" w:rsidRDefault="003B5DE4" w:rsidP="00996946">
      <w:pPr>
        <w:pStyle w:val="Heading1"/>
        <w:rPr>
          <w:color w:val="auto"/>
        </w:rPr>
      </w:pPr>
      <w:r w:rsidRPr="00996946">
        <w:rPr>
          <w:color w:val="auto"/>
        </w:rPr>
        <w:t>I</w:t>
      </w:r>
      <w:r w:rsidR="00996946" w:rsidRPr="00996946">
        <w:rPr>
          <w:color w:val="auto"/>
        </w:rPr>
        <w:t>n</w:t>
      </w:r>
      <w:r w:rsidRPr="00996946">
        <w:rPr>
          <w:color w:val="auto"/>
        </w:rPr>
        <w:t>troduction</w:t>
      </w:r>
    </w:p>
    <w:p w14:paraId="164AC821" w14:textId="0F0CFBC5" w:rsidR="00A36509" w:rsidRPr="00A36509" w:rsidRDefault="00A36509" w:rsidP="00A36509">
      <w:r w:rsidRPr="00A36509">
        <w:t>The purpose of this paper is to present empirical findings on tests of the</w:t>
      </w:r>
      <w:r w:rsidR="00E346E3">
        <w:t xml:space="preserve"> </w:t>
      </w:r>
      <w:r w:rsidR="005161EF">
        <w:t>C-</w:t>
      </w:r>
      <w:r w:rsidRPr="00A36509">
        <w:t xml:space="preserve">M model using </w:t>
      </w:r>
      <w:r w:rsidRPr="00A36509">
        <w:rPr>
          <w:b/>
          <w:bCs/>
        </w:rPr>
        <w:t xml:space="preserve">US. </w:t>
      </w:r>
      <w:r w:rsidRPr="00A36509">
        <w:t>data. We pay special attention to the role of advertising</w:t>
      </w:r>
      <w:r w:rsidR="00E346E3">
        <w:t xml:space="preserve"> </w:t>
      </w:r>
      <w:r w:rsidRPr="00A36509">
        <w:t xml:space="preserve">and our results differ in important respects from the </w:t>
      </w:r>
      <w:r w:rsidR="005161EF">
        <w:t>C</w:t>
      </w:r>
      <w:r w:rsidRPr="00A36509">
        <w:t>-M results, indicating</w:t>
      </w:r>
      <w:r w:rsidR="00F21F5B">
        <w:t xml:space="preserve"> </w:t>
      </w:r>
      <w:r w:rsidRPr="00A36509">
        <w:t>that the basic issues are far from settled.</w:t>
      </w:r>
    </w:p>
    <w:p w14:paraId="4DEC4DB0" w14:textId="4782E43F" w:rsidR="00A36509" w:rsidRPr="00D7050A" w:rsidRDefault="00996946" w:rsidP="00D7050A">
      <w:pPr>
        <w:pStyle w:val="Heading1"/>
        <w:rPr>
          <w:color w:val="auto"/>
        </w:rPr>
      </w:pPr>
      <w:r w:rsidRPr="00D7050A">
        <w:rPr>
          <w:color w:val="auto"/>
        </w:rPr>
        <w:t>The U.S. Sample Data</w:t>
      </w:r>
    </w:p>
    <w:p w14:paraId="1361B5E2" w14:textId="624A6EDD" w:rsidR="003B5DE4" w:rsidRPr="00652367" w:rsidRDefault="00A36509" w:rsidP="00A36509">
      <w:r w:rsidRPr="00652367">
        <w:t>We test the C-M model</w:t>
      </w:r>
      <w:r w:rsidRPr="003B6364">
        <w:rPr>
          <w:vertAlign w:val="superscript"/>
        </w:rPr>
        <w:t>2</w:t>
      </w:r>
      <w:r w:rsidRPr="00652367">
        <w:t xml:space="preserve"> using 1967 US. data for 208 four-digit manufacturing</w:t>
      </w:r>
      <w:r w:rsidR="00F21F5B" w:rsidRPr="00652367">
        <w:t xml:space="preserve"> </w:t>
      </w:r>
      <w:r w:rsidRPr="00652367">
        <w:t>industries, as defined in the Standard Industrial Classification</w:t>
      </w:r>
      <w:r w:rsidR="00F21F5B" w:rsidRPr="00652367">
        <w:t xml:space="preserve"> </w:t>
      </w:r>
      <w:r w:rsidRPr="00652367">
        <w:t>System. The sample consists of all U.S. manufacturing industries for which</w:t>
      </w:r>
      <w:r w:rsidR="00F21F5B" w:rsidRPr="00652367">
        <w:t xml:space="preserve"> </w:t>
      </w:r>
      <w:r w:rsidRPr="00652367">
        <w:t>the requisite data are available except (1) those industries with “miscellaneous”</w:t>
      </w:r>
      <w:r w:rsidR="00F21F5B" w:rsidRPr="00652367">
        <w:t xml:space="preserve"> </w:t>
      </w:r>
      <w:r w:rsidRPr="00652367">
        <w:t>or “not elsewhere classified” in their titles, and (2) the several industries</w:t>
      </w:r>
      <w:r w:rsidR="00F21F5B" w:rsidRPr="00652367">
        <w:t xml:space="preserve"> </w:t>
      </w:r>
      <w:r w:rsidRPr="00652367">
        <w:t>primarily military-related, for which government is the major purchaser.</w:t>
      </w:r>
      <w:r w:rsidRPr="003B6364">
        <w:rPr>
          <w:vertAlign w:val="superscript"/>
        </w:rPr>
        <w:t>3</w:t>
      </w:r>
      <w:r w:rsidR="00F21F5B" w:rsidRPr="00652367">
        <w:t xml:space="preserve"> </w:t>
      </w:r>
      <w:r w:rsidRPr="00652367">
        <w:t>For reasons to be discussed shortly, the sample has been divided into two</w:t>
      </w:r>
      <w:r w:rsidR="00F21F5B" w:rsidRPr="00652367">
        <w:t xml:space="preserve"> </w:t>
      </w:r>
      <w:r w:rsidRPr="00652367">
        <w:t>subsamples, based on whether the industry is primarily involved in producing</w:t>
      </w:r>
      <w:r w:rsidR="00F21F5B" w:rsidRPr="00652367">
        <w:t xml:space="preserve"> </w:t>
      </w:r>
      <w:r w:rsidRPr="00652367">
        <w:t>consumer goods or producer goods. For each subsample, measures of the</w:t>
      </w:r>
      <w:r w:rsidR="00F21F5B" w:rsidRPr="00652367">
        <w:t xml:space="preserve"> </w:t>
      </w:r>
      <w:r w:rsidRPr="00652367">
        <w:t>wage and salary shares are regressed on measures of market concentration,</w:t>
      </w:r>
      <w:r w:rsidR="00F21F5B" w:rsidRPr="00652367">
        <w:t xml:space="preserve"> </w:t>
      </w:r>
      <w:r w:rsidRPr="00652367">
        <w:t xml:space="preserve">advertising intensity, </w:t>
      </w:r>
      <w:r w:rsidR="00CA38E0" w:rsidRPr="00652367">
        <w:t>unionization</w:t>
      </w:r>
      <w:r w:rsidRPr="00652367">
        <w:t>, and capital intensity.</w:t>
      </w:r>
      <w:r w:rsidRPr="003B6364">
        <w:rPr>
          <w:vertAlign w:val="superscript"/>
        </w:rPr>
        <w:t>4</w:t>
      </w:r>
      <w:r w:rsidR="00F21F5B" w:rsidRPr="00652367">
        <w:t xml:space="preserve">  </w:t>
      </w:r>
      <w:r w:rsidRPr="00652367">
        <w:t xml:space="preserve">Our measure of market concentration </w:t>
      </w:r>
      <w:r w:rsidRPr="00652367">
        <w:rPr>
          <w:i/>
          <w:iCs/>
        </w:rPr>
        <w:t xml:space="preserve">(C) </w:t>
      </w:r>
      <w:r w:rsidRPr="00652367">
        <w:t>is the four-firm concentration</w:t>
      </w:r>
      <w:r w:rsidR="00F21F5B" w:rsidRPr="00652367">
        <w:t xml:space="preserve"> </w:t>
      </w:r>
      <w:r w:rsidRPr="00652367">
        <w:t>ratio reported by the U.S. Bureau of the Census, as adjusted by Weiss and</w:t>
      </w:r>
      <w:r w:rsidR="00F21F5B" w:rsidRPr="00652367">
        <w:t xml:space="preserve"> </w:t>
      </w:r>
      <w:r w:rsidRPr="00652367">
        <w:t>Pascoe (1981) to account for overly broad or narrow product definitions,</w:t>
      </w:r>
      <w:r w:rsidR="00F21F5B" w:rsidRPr="00652367">
        <w:t xml:space="preserve"> </w:t>
      </w:r>
      <w:r w:rsidRPr="00652367">
        <w:t>regional and local markets, and imports</w:t>
      </w:r>
      <w:r w:rsidR="003B5DE4" w:rsidRPr="00652367">
        <w:t>.</w:t>
      </w:r>
      <w:r w:rsidR="003B5DE4" w:rsidRPr="003B6364">
        <w:rPr>
          <w:vertAlign w:val="superscript"/>
        </w:rPr>
        <w:t>5</w:t>
      </w:r>
    </w:p>
    <w:p w14:paraId="0848D670" w14:textId="117C0C58" w:rsidR="007554CB" w:rsidRPr="007554CB" w:rsidRDefault="00A36509" w:rsidP="007554CB">
      <w:pPr>
        <w:pStyle w:val="Heading1"/>
        <w:rPr>
          <w:i/>
          <w:iCs/>
          <w:color w:val="auto"/>
        </w:rPr>
      </w:pPr>
      <w:r w:rsidRPr="005E51A6">
        <w:rPr>
          <w:i/>
          <w:iCs/>
          <w:color w:val="auto"/>
        </w:rPr>
        <w:t xml:space="preserve">Wage Share, Market Power and Unionism: Some Contrary U.S. Evidence </w:t>
      </w:r>
    </w:p>
    <w:p w14:paraId="5F6E6759" w14:textId="7AAD711A" w:rsidR="00A36509" w:rsidRPr="00652367" w:rsidRDefault="00A36509" w:rsidP="00A36509">
      <w:r w:rsidRPr="00652367">
        <w:t xml:space="preserve">Advertising intensity </w:t>
      </w:r>
      <w:proofErr w:type="gramStart"/>
      <w:r w:rsidRPr="00652367">
        <w:rPr>
          <w:i/>
          <w:iCs/>
        </w:rPr>
        <w:t>( A</w:t>
      </w:r>
      <w:proofErr w:type="gramEnd"/>
      <w:r w:rsidRPr="00652367">
        <w:rPr>
          <w:i/>
          <w:iCs/>
        </w:rPr>
        <w:t xml:space="preserve"> ) </w:t>
      </w:r>
      <w:r w:rsidRPr="00652367">
        <w:t>is measured as the 1967 ratio of advertising</w:t>
      </w:r>
      <w:r w:rsidR="00674A81" w:rsidRPr="00652367">
        <w:t xml:space="preserve"> </w:t>
      </w:r>
      <w:r w:rsidRPr="00652367">
        <w:t>expenditures to sales revenues. The advertising-sales ratios, which originated</w:t>
      </w:r>
      <w:r w:rsidR="00674A81" w:rsidRPr="00652367">
        <w:t xml:space="preserve"> </w:t>
      </w:r>
      <w:r w:rsidRPr="00652367">
        <w:t>in the U.S. input-output tables, can be found in Ornstein (1977). Our measure</w:t>
      </w:r>
      <w:r w:rsidR="00674A81" w:rsidRPr="00652367">
        <w:t xml:space="preserve"> </w:t>
      </w:r>
      <w:r w:rsidRPr="00652367">
        <w:t xml:space="preserve">of union pressure </w:t>
      </w:r>
      <w:r w:rsidRPr="00652367">
        <w:rPr>
          <w:i/>
          <w:iCs/>
        </w:rPr>
        <w:t xml:space="preserve">(U) </w:t>
      </w:r>
      <w:r w:rsidRPr="00652367">
        <w:t>is the percentage of production workers who are</w:t>
      </w:r>
      <w:r w:rsidR="00674A81" w:rsidRPr="00652367">
        <w:t xml:space="preserve"> </w:t>
      </w:r>
      <w:r w:rsidRPr="00652367">
        <w:t xml:space="preserve">covered by collective bargaining, from Freeman and </w:t>
      </w:r>
      <w:proofErr w:type="spellStart"/>
      <w:r w:rsidRPr="00652367">
        <w:t>Medoff</w:t>
      </w:r>
      <w:proofErr w:type="spellEnd"/>
      <w:r w:rsidRPr="00652367">
        <w:t xml:space="preserve"> (1979).</w:t>
      </w:r>
      <w:r w:rsidRPr="003B6364">
        <w:rPr>
          <w:vertAlign w:val="superscript"/>
        </w:rPr>
        <w:t>6</w:t>
      </w:r>
      <w:r w:rsidRPr="00652367">
        <w:t xml:space="preserve"> Thus,</w:t>
      </w:r>
      <w:r w:rsidR="00674A81" w:rsidRPr="00652367">
        <w:t xml:space="preserve"> </w:t>
      </w:r>
      <w:r w:rsidRPr="00652367">
        <w:t>our advertising variable is equivalent to that employed by C-M, while our</w:t>
      </w:r>
      <w:r w:rsidR="00674A81" w:rsidRPr="00652367">
        <w:t xml:space="preserve"> </w:t>
      </w:r>
      <w:r w:rsidRPr="00652367">
        <w:t>concentration and union pressure variables are very similar to measures used</w:t>
      </w:r>
      <w:r w:rsidR="00674A81" w:rsidRPr="00652367">
        <w:t xml:space="preserve"> </w:t>
      </w:r>
      <w:r w:rsidRPr="00652367">
        <w:t>by C-M.</w:t>
      </w:r>
      <w:r w:rsidR="00674A81" w:rsidRPr="00652367">
        <w:t xml:space="preserve">  </w:t>
      </w:r>
      <w:r w:rsidRPr="003B6364">
        <w:rPr>
          <w:vertAlign w:val="superscript"/>
        </w:rPr>
        <w:t>7</w:t>
      </w:r>
      <w:r w:rsidR="00235938" w:rsidRPr="00652367">
        <w:t xml:space="preserve"> </w:t>
      </w:r>
      <w:r w:rsidRPr="00652367">
        <w:t>In examining the effects of market power on wage and salary shares, it</w:t>
      </w:r>
      <w:r w:rsidR="00235938" w:rsidRPr="00652367">
        <w:t xml:space="preserve"> </w:t>
      </w:r>
      <w:r w:rsidRPr="00652367">
        <w:t>is important to control for capital intensity, a factor which is notoriously</w:t>
      </w:r>
      <w:r w:rsidR="00235938" w:rsidRPr="00652367">
        <w:t xml:space="preserve"> </w:t>
      </w:r>
      <w:r w:rsidRPr="00652367">
        <w:t>difficult to measure. The C-M measure, the ratio of a single year’s investment</w:t>
      </w:r>
      <w:r w:rsidR="005E51A6" w:rsidRPr="00652367">
        <w:t xml:space="preserve"> </w:t>
      </w:r>
      <w:r w:rsidRPr="00652367">
        <w:t>spending to value added, did not work well. But since their measure seems</w:t>
      </w:r>
      <w:r w:rsidR="00235938" w:rsidRPr="00652367">
        <w:t xml:space="preserve"> </w:t>
      </w:r>
      <w:r w:rsidRPr="00652367">
        <w:t>particularly weak, these results may not be reliable. As an alternative, we</w:t>
      </w:r>
      <w:r w:rsidR="00235938" w:rsidRPr="00652367">
        <w:t xml:space="preserve"> </w:t>
      </w:r>
      <w:r w:rsidRPr="00652367">
        <w:t>have chosen a theoretically preferable measure, the 1967 gross book value</w:t>
      </w:r>
      <w:r w:rsidR="008D6117" w:rsidRPr="00652367">
        <w:t xml:space="preserve"> </w:t>
      </w:r>
      <w:r w:rsidRPr="00652367">
        <w:t>of</w:t>
      </w:r>
      <w:r w:rsidR="00235938" w:rsidRPr="00652367">
        <w:t xml:space="preserve"> </w:t>
      </w:r>
      <w:r w:rsidRPr="00652367">
        <w:t xml:space="preserve">assets divided by the 1967 production worker man-hours </w:t>
      </w:r>
      <w:r w:rsidRPr="00652367">
        <w:rPr>
          <w:i/>
          <w:iCs/>
        </w:rPr>
        <w:t>(K</w:t>
      </w:r>
      <w:r w:rsidR="006E41D4" w:rsidRPr="00652367">
        <w:rPr>
          <w:i/>
          <w:iCs/>
        </w:rPr>
        <w:t xml:space="preserve">). </w:t>
      </w:r>
      <w:r w:rsidR="001A24A0" w:rsidRPr="001A24A0">
        <w:rPr>
          <w:vertAlign w:val="superscript"/>
        </w:rPr>
        <w:t>8</w:t>
      </w:r>
      <w:r w:rsidRPr="00652367">
        <w:rPr>
          <w:i/>
          <w:iCs/>
        </w:rPr>
        <w:t xml:space="preserve"> </w:t>
      </w:r>
      <w:r w:rsidRPr="00652367">
        <w:t>Data for the</w:t>
      </w:r>
      <w:r w:rsidR="00235938" w:rsidRPr="00652367">
        <w:t xml:space="preserve"> </w:t>
      </w:r>
      <w:r w:rsidRPr="00652367">
        <w:t>capital intensity measure are from U.S. Bureau of the Census (1971b).</w:t>
      </w:r>
      <w:r w:rsidR="006E41D4" w:rsidRPr="00652367">
        <w:t xml:space="preserve">  </w:t>
      </w:r>
      <w:r w:rsidRPr="00652367">
        <w:t xml:space="preserve">For each industry in the sample, the wage share </w:t>
      </w:r>
      <w:r w:rsidRPr="00652367">
        <w:rPr>
          <w:i/>
          <w:iCs/>
        </w:rPr>
        <w:t xml:space="preserve">(W) </w:t>
      </w:r>
      <w:r w:rsidRPr="00652367">
        <w:t>is calculated as the</w:t>
      </w:r>
      <w:r w:rsidR="006E41D4" w:rsidRPr="00652367">
        <w:t xml:space="preserve"> </w:t>
      </w:r>
      <w:r w:rsidRPr="00652367">
        <w:t>total compensation of production workers in 1967 divided by 1967 “advertising-adjusted’’ value added. This measure includes fringe benefits as well as</w:t>
      </w:r>
      <w:r w:rsidR="006E41D4" w:rsidRPr="00652367">
        <w:t xml:space="preserve"> </w:t>
      </w:r>
      <w:r w:rsidRPr="00652367">
        <w:t>wages.</w:t>
      </w:r>
      <w:r w:rsidR="000E7152" w:rsidRPr="00652367">
        <w:t xml:space="preserve">  </w:t>
      </w:r>
      <w:r w:rsidR="000E7152" w:rsidRPr="001A24A0">
        <w:rPr>
          <w:vertAlign w:val="superscript"/>
        </w:rPr>
        <w:t>9</w:t>
      </w:r>
      <w:r w:rsidRPr="00652367">
        <w:t>The basic data are from the U.S. Bureau of the Census (1971b).</w:t>
      </w:r>
      <w:r w:rsidR="000E7152" w:rsidRPr="00652367">
        <w:t xml:space="preserve">  </w:t>
      </w:r>
      <w:r w:rsidRPr="00652367">
        <w:t>In the wage share calculations, value added has been adjusted by</w:t>
      </w:r>
      <w:r w:rsidR="000E7152" w:rsidRPr="00652367">
        <w:t xml:space="preserve"> </w:t>
      </w:r>
      <w:r w:rsidRPr="00652367">
        <w:t>subtracting each industry’s absolute advertising expenditures from its value</w:t>
      </w:r>
      <w:r w:rsidR="000E7152" w:rsidRPr="00652367">
        <w:t xml:space="preserve"> </w:t>
      </w:r>
      <w:r w:rsidRPr="00652367">
        <w:t>added.</w:t>
      </w:r>
      <w:r w:rsidRPr="001A24A0">
        <w:rPr>
          <w:vertAlign w:val="superscript"/>
        </w:rPr>
        <w:t>10</w:t>
      </w:r>
      <w:r w:rsidRPr="00652367">
        <w:t xml:space="preserve"> The purpose is to reduce the possibility of finding a spurious</w:t>
      </w:r>
      <w:r w:rsidR="000E7152" w:rsidRPr="00652367">
        <w:t xml:space="preserve"> </w:t>
      </w:r>
      <w:r w:rsidRPr="00652367">
        <w:t>relationship between advertising intensity and the wage share. Unlike an</w:t>
      </w:r>
      <w:r w:rsidR="008D6117" w:rsidRPr="00652367">
        <w:t xml:space="preserve"> </w:t>
      </w:r>
      <w:r w:rsidRPr="00652367">
        <w:t>ideal measure of value added which would be closely related to the income</w:t>
      </w:r>
      <w:r w:rsidR="008D6117" w:rsidRPr="00652367">
        <w:t xml:space="preserve"> </w:t>
      </w:r>
      <w:r w:rsidRPr="00652367">
        <w:t>generated in production, the U.S. Census Bureau’s concept of “value added”</w:t>
      </w:r>
      <w:r w:rsidR="00C96825" w:rsidRPr="00652367">
        <w:t xml:space="preserve"> </w:t>
      </w:r>
      <w:r w:rsidRPr="00652367">
        <w:t>includes all purchased services, including expenditures for the services of</w:t>
      </w:r>
      <w:r w:rsidR="00C96825" w:rsidRPr="00652367">
        <w:t xml:space="preserve"> </w:t>
      </w:r>
      <w:r w:rsidRPr="00652367">
        <w:t>advertising agencies and media time and space.</w:t>
      </w:r>
      <w:r w:rsidRPr="001A24A0">
        <w:rPr>
          <w:vertAlign w:val="superscript"/>
        </w:rPr>
        <w:t>11</w:t>
      </w:r>
      <w:r w:rsidRPr="00652367">
        <w:t xml:space="preserve"> Under these circumstances,</w:t>
      </w:r>
      <w:r w:rsidR="00C96825" w:rsidRPr="00652367">
        <w:t xml:space="preserve"> </w:t>
      </w:r>
      <w:r w:rsidRPr="00652367">
        <w:t>an increase in advertising expenditures would reduce the wage share while</w:t>
      </w:r>
      <w:r w:rsidR="00C96825" w:rsidRPr="00652367">
        <w:t xml:space="preserve"> </w:t>
      </w:r>
      <w:r w:rsidRPr="00652367">
        <w:t xml:space="preserve">raising the advertising-to-sales ratio. Correcting the </w:t>
      </w:r>
      <w:proofErr w:type="gramStart"/>
      <w:r w:rsidRPr="00652367">
        <w:t>value added</w:t>
      </w:r>
      <w:proofErr w:type="gramEnd"/>
      <w:r w:rsidRPr="00652367">
        <w:t xml:space="preserve"> figures for</w:t>
      </w:r>
      <w:r w:rsidR="00C96825" w:rsidRPr="00652367">
        <w:t xml:space="preserve"> </w:t>
      </w:r>
      <w:r w:rsidRPr="00652367">
        <w:t>advertising eliminates this induced effect.</w:t>
      </w:r>
      <w:r w:rsidR="00C96825" w:rsidRPr="00652367">
        <w:t xml:space="preserve"> </w:t>
      </w:r>
      <w:r w:rsidRPr="00652367">
        <w:t xml:space="preserve">Our measure of salary share </w:t>
      </w:r>
      <w:r w:rsidRPr="00652367">
        <w:rPr>
          <w:i/>
          <w:iCs/>
        </w:rPr>
        <w:t>(</w:t>
      </w:r>
      <w:r w:rsidR="00C96825" w:rsidRPr="00652367">
        <w:rPr>
          <w:i/>
          <w:iCs/>
        </w:rPr>
        <w:t>8)</w:t>
      </w:r>
      <w:r w:rsidR="00C96825" w:rsidRPr="00652367">
        <w:t xml:space="preserve"> is</w:t>
      </w:r>
      <w:r w:rsidRPr="00652367">
        <w:t xml:space="preserve"> the total salaries and fringe benefits</w:t>
      </w:r>
      <w:r w:rsidR="00C96825" w:rsidRPr="00652367">
        <w:t xml:space="preserve"> </w:t>
      </w:r>
      <w:r w:rsidRPr="00652367">
        <w:t>paid to non-production workers in 1967 divided by “advertising-adjusted”</w:t>
      </w:r>
      <w:r w:rsidR="00C96825" w:rsidRPr="00652367">
        <w:t xml:space="preserve"> </w:t>
      </w:r>
      <w:r w:rsidRPr="00652367">
        <w:t>value added.</w:t>
      </w:r>
      <w:r w:rsidRPr="001A24A0">
        <w:rPr>
          <w:vertAlign w:val="superscript"/>
        </w:rPr>
        <w:t>12</w:t>
      </w:r>
      <w:r w:rsidRPr="00652367">
        <w:t xml:space="preserve"> Again, the basic data are from the U.S. Bureau of the Census</w:t>
      </w:r>
      <w:r w:rsidR="00C96825" w:rsidRPr="00652367">
        <w:t xml:space="preserve"> </w:t>
      </w:r>
      <w:r w:rsidRPr="00652367">
        <w:t>(197 1 b).</w:t>
      </w:r>
      <w:r w:rsidR="00C96825" w:rsidRPr="00652367">
        <w:t xml:space="preserve">  </w:t>
      </w:r>
      <w:r w:rsidRPr="00652367">
        <w:t>As noted earlier, we have divided our sample into consumer and producer</w:t>
      </w:r>
      <w:r w:rsidR="00C96825" w:rsidRPr="00652367">
        <w:t xml:space="preserve"> </w:t>
      </w:r>
      <w:r w:rsidRPr="00652367">
        <w:t>goods subsamples.</w:t>
      </w:r>
      <w:r w:rsidRPr="001A24A0">
        <w:rPr>
          <w:vertAlign w:val="superscript"/>
        </w:rPr>
        <w:t xml:space="preserve">13 </w:t>
      </w:r>
      <w:r w:rsidRPr="00652367">
        <w:t>The distinction between consumer and producer goods</w:t>
      </w:r>
      <w:r w:rsidR="00C96825" w:rsidRPr="00652367">
        <w:t xml:space="preserve"> </w:t>
      </w:r>
      <w:r w:rsidRPr="00652367">
        <w:t>has generally been considered important in assessing the competitive effects</w:t>
      </w:r>
      <w:r w:rsidR="00C96825" w:rsidRPr="00652367">
        <w:t xml:space="preserve"> </w:t>
      </w:r>
      <w:r w:rsidRPr="00652367">
        <w:t>of advertising (</w:t>
      </w:r>
      <w:proofErr w:type="spellStart"/>
      <w:r w:rsidRPr="00652367">
        <w:t>Comanor</w:t>
      </w:r>
      <w:proofErr w:type="spellEnd"/>
      <w:r w:rsidRPr="00652367">
        <w:t xml:space="preserve"> and Wilson, 1979, p. 461) and, indeed, most researchers</w:t>
      </w:r>
      <w:r w:rsidR="00C96825" w:rsidRPr="00652367">
        <w:t xml:space="preserve"> </w:t>
      </w:r>
      <w:r w:rsidRPr="00652367">
        <w:t>have studied advertising’s effects only for consumer goods</w:t>
      </w:r>
      <w:r w:rsidR="005F596C" w:rsidRPr="00652367">
        <w:t xml:space="preserve"> </w:t>
      </w:r>
      <w:r w:rsidRPr="00652367">
        <w:t>industries. While the extent of overall sales promotion costs may be an</w:t>
      </w:r>
      <w:r w:rsidR="005F596C" w:rsidRPr="00652367">
        <w:t xml:space="preserve"> </w:t>
      </w:r>
      <w:r w:rsidRPr="00652367">
        <w:t xml:space="preserve">indicator of monopoly, it is generally </w:t>
      </w:r>
      <w:r w:rsidR="007476E9" w:rsidRPr="00652367">
        <w:t>recognized</w:t>
      </w:r>
      <w:r w:rsidRPr="00652367">
        <w:t xml:space="preserve"> that producer goods industries</w:t>
      </w:r>
      <w:r w:rsidR="005F596C" w:rsidRPr="00652367">
        <w:t xml:space="preserve"> </w:t>
      </w:r>
      <w:r w:rsidRPr="00652367">
        <w:t>typically rely on means other than mass advertising to differentiate</w:t>
      </w:r>
      <w:r w:rsidR="005F596C" w:rsidRPr="00652367">
        <w:t xml:space="preserve"> </w:t>
      </w:r>
      <w:r w:rsidRPr="00652367">
        <w:t>their products and typically have much lower advertising intensities than do</w:t>
      </w:r>
      <w:r w:rsidR="005F596C" w:rsidRPr="00652367">
        <w:t xml:space="preserve"> </w:t>
      </w:r>
      <w:r w:rsidRPr="00652367">
        <w:t>consumer goods industries.</w:t>
      </w:r>
      <w:r w:rsidRPr="001A24A0">
        <w:rPr>
          <w:vertAlign w:val="superscript"/>
        </w:rPr>
        <w:t>14</w:t>
      </w:r>
      <w:r w:rsidRPr="00652367">
        <w:t xml:space="preserve"> Thus, while a measure of advertising intensity</w:t>
      </w:r>
      <w:r w:rsidR="005F596C" w:rsidRPr="00652367">
        <w:t xml:space="preserve"> </w:t>
      </w:r>
      <w:r w:rsidRPr="00652367">
        <w:t>may well be a useful proxy for sales promotion intensity in consumer goods</w:t>
      </w:r>
      <w:r w:rsidR="005F596C" w:rsidRPr="00652367">
        <w:t xml:space="preserve"> </w:t>
      </w:r>
      <w:r w:rsidRPr="00652367">
        <w:t>industries, it is unlikely to be for producer goods industries. To the extent</w:t>
      </w:r>
      <w:r w:rsidR="005F596C" w:rsidRPr="00652367">
        <w:t xml:space="preserve"> </w:t>
      </w:r>
      <w:r w:rsidRPr="00652367">
        <w:t>that advertising intensity is related to the wage share at all, we should</w:t>
      </w:r>
      <w:r w:rsidR="005F596C" w:rsidRPr="00652367">
        <w:t xml:space="preserve"> </w:t>
      </w:r>
      <w:r w:rsidRPr="00652367">
        <w:t>expect to find the relationship in consumer, but not producer, goods industries.</w:t>
      </w:r>
      <w:r w:rsidRPr="001A24A0">
        <w:rPr>
          <w:vertAlign w:val="superscript"/>
        </w:rPr>
        <w:t>15</w:t>
      </w:r>
    </w:p>
    <w:p w14:paraId="75EBB3FF" w14:textId="3A3FFF37" w:rsidR="00A36509" w:rsidRPr="007554CB" w:rsidRDefault="00A36509" w:rsidP="007554CB">
      <w:pPr>
        <w:pStyle w:val="Heading1"/>
        <w:rPr>
          <w:color w:val="auto"/>
        </w:rPr>
      </w:pPr>
      <w:r w:rsidRPr="007554CB">
        <w:rPr>
          <w:color w:val="auto"/>
        </w:rPr>
        <w:t>S</w:t>
      </w:r>
      <w:r w:rsidR="001C0C1F" w:rsidRPr="007554CB">
        <w:rPr>
          <w:color w:val="auto"/>
        </w:rPr>
        <w:t>ome New Wage Results</w:t>
      </w:r>
    </w:p>
    <w:p w14:paraId="74A4670A" w14:textId="0ECB39A1" w:rsidR="00A36509" w:rsidRDefault="00A36509" w:rsidP="00A36509">
      <w:r w:rsidRPr="00652367">
        <w:t>Equations (1) and (2) in Table 1 show our wage share results for the</w:t>
      </w:r>
      <w:r w:rsidR="00C40106" w:rsidRPr="00652367">
        <w:t xml:space="preserve"> </w:t>
      </w:r>
      <w:r w:rsidRPr="00652367">
        <w:t>consumer goods and producer goods subsamples, using the linear-in-logs</w:t>
      </w:r>
      <w:r w:rsidR="00C40106" w:rsidRPr="00652367">
        <w:t xml:space="preserve"> </w:t>
      </w:r>
      <w:r w:rsidRPr="00652367">
        <w:t xml:space="preserve">specification </w:t>
      </w:r>
      <w:proofErr w:type="spellStart"/>
      <w:r w:rsidRPr="00652367">
        <w:t>favoured</w:t>
      </w:r>
      <w:proofErr w:type="spellEnd"/>
      <w:r w:rsidRPr="00652367">
        <w:t xml:space="preserve"> by C-M. In both equations, the coefficients on market</w:t>
      </w:r>
      <w:r w:rsidR="00C40106" w:rsidRPr="00652367">
        <w:t xml:space="preserve"> </w:t>
      </w:r>
      <w:r w:rsidRPr="00652367">
        <w:t>concentration, one of the two market power proxies, have the expected</w:t>
      </w:r>
      <w:r w:rsidR="00C40106" w:rsidRPr="00652367">
        <w:t xml:space="preserve"> </w:t>
      </w:r>
      <w:r w:rsidRPr="00652367">
        <w:t>negative signs but are statistically insignificant. The coefficients of the other</w:t>
      </w:r>
    </w:p>
    <w:p w14:paraId="5F47689B" w14:textId="77777777" w:rsidR="00875900" w:rsidRPr="00875900" w:rsidRDefault="00875900" w:rsidP="00875900">
      <w:pPr>
        <w:rPr>
          <w:rFonts w:eastAsiaTheme="minorHAnsi"/>
        </w:rPr>
      </w:pPr>
      <w:r w:rsidRPr="00875900">
        <w:rPr>
          <w:rFonts w:eastAsiaTheme="minorHAnsi"/>
        </w:rPr>
        <w:t>Table I</w:t>
      </w:r>
    </w:p>
    <w:p w14:paraId="13F7AD93" w14:textId="6294EB1A" w:rsidR="00F47461" w:rsidRPr="00F47461" w:rsidRDefault="00875900" w:rsidP="00875900">
      <w:pPr>
        <w:rPr>
          <w:rFonts w:eastAsiaTheme="minorHAnsi"/>
        </w:rPr>
      </w:pPr>
      <w:r w:rsidRPr="00875900">
        <w:rPr>
          <w:rFonts w:eastAsiaTheme="minorHAnsi"/>
        </w:rPr>
        <w:t>Regression Equations Explaining Wage Share</w:t>
      </w:r>
      <w:r w:rsidR="00C84002">
        <w:rPr>
          <w:rFonts w:eastAsiaTheme="minorHAnsi"/>
        </w:rPr>
        <w:t xml:space="preserve"> </w:t>
      </w:r>
      <w:r w:rsidRPr="00875900">
        <w:rPr>
          <w:rFonts w:eastAsiaTheme="minorHAnsi"/>
        </w:rPr>
        <w:t>and Salary Share in US. Manufacturing, 1967</w:t>
      </w:r>
    </w:p>
    <w:p w14:paraId="1FCA9A66" w14:textId="34D52824" w:rsidR="00F47461" w:rsidRPr="00F47461" w:rsidRDefault="00F47461" w:rsidP="00F47461">
      <w:pPr>
        <w:kinsoku w:val="0"/>
        <w:overflowPunct w:val="0"/>
        <w:autoSpaceDE w:val="0"/>
        <w:autoSpaceDN w:val="0"/>
        <w:adjustRightInd w:val="0"/>
        <w:spacing w:after="15" w:line="188" w:lineRule="exact"/>
        <w:ind w:left="206"/>
        <w:rPr>
          <w:rFonts w:ascii="Times New Roman" w:eastAsiaTheme="minorHAnsi" w:hAnsi="Times New Roman" w:cs="Times New Roman"/>
          <w:sz w:val="16"/>
          <w:szCs w:val="16"/>
        </w:rPr>
      </w:pPr>
    </w:p>
    <w:tbl>
      <w:tblPr>
        <w:tblStyle w:val="TableGrid"/>
        <w:tblW w:w="0" w:type="auto"/>
        <w:tblLook w:val="0020" w:firstRow="1" w:lastRow="0" w:firstColumn="0" w:lastColumn="0" w:noHBand="0" w:noVBand="0"/>
      </w:tblPr>
      <w:tblGrid>
        <w:gridCol w:w="1968"/>
        <w:gridCol w:w="2020"/>
        <w:gridCol w:w="1921"/>
        <w:gridCol w:w="2062"/>
        <w:gridCol w:w="1924"/>
      </w:tblGrid>
      <w:tr w:rsidR="00515403" w:rsidRPr="00C61672" w14:paraId="4A256C17" w14:textId="77777777" w:rsidTr="00ED55E1">
        <w:trPr>
          <w:trHeight w:val="441"/>
        </w:trPr>
        <w:tc>
          <w:tcPr>
            <w:tcW w:w="0" w:type="auto"/>
          </w:tcPr>
          <w:p w14:paraId="3A07167A" w14:textId="367894C5" w:rsidR="00F47461" w:rsidRPr="00C61672" w:rsidRDefault="00F47461" w:rsidP="00134343">
            <w:pPr>
              <w:pStyle w:val="NoSpacing"/>
              <w:rPr>
                <w:rFonts w:eastAsiaTheme="minorHAnsi" w:cstheme="minorHAnsi"/>
                <w:w w:val="110"/>
                <w:sz w:val="20"/>
                <w:szCs w:val="20"/>
              </w:rPr>
            </w:pPr>
            <w:r w:rsidRPr="00C61672">
              <w:rPr>
                <w:rFonts w:eastAsiaTheme="minorHAnsi" w:cstheme="minorHAnsi"/>
                <w:sz w:val="20"/>
                <w:szCs w:val="20"/>
              </w:rPr>
              <w:t xml:space="preserve">Equation </w:t>
            </w:r>
          </w:p>
        </w:tc>
        <w:tc>
          <w:tcPr>
            <w:tcW w:w="0" w:type="auto"/>
          </w:tcPr>
          <w:p w14:paraId="52A33F05" w14:textId="3D23E053" w:rsidR="00F47461" w:rsidRPr="00C61672" w:rsidRDefault="00F47461" w:rsidP="00134343">
            <w:pPr>
              <w:pStyle w:val="NoSpacing"/>
              <w:rPr>
                <w:rFonts w:eastAsiaTheme="minorHAnsi" w:cstheme="minorHAnsi"/>
                <w:sz w:val="20"/>
                <w:szCs w:val="20"/>
              </w:rPr>
            </w:pPr>
            <w:r w:rsidRPr="00C61672">
              <w:rPr>
                <w:rFonts w:eastAsiaTheme="minorHAnsi" w:cstheme="minorHAnsi"/>
                <w:position w:val="1"/>
                <w:sz w:val="20"/>
                <w:szCs w:val="20"/>
              </w:rPr>
              <w:t>(I)</w:t>
            </w:r>
          </w:p>
        </w:tc>
        <w:tc>
          <w:tcPr>
            <w:tcW w:w="0" w:type="auto"/>
          </w:tcPr>
          <w:p w14:paraId="5BB5760F" w14:textId="770822AF" w:rsidR="00F47461" w:rsidRPr="00C61672" w:rsidRDefault="00F47461" w:rsidP="00134343">
            <w:pPr>
              <w:pStyle w:val="NoSpacing"/>
              <w:rPr>
                <w:rFonts w:eastAsiaTheme="minorHAnsi" w:cstheme="minorHAnsi"/>
                <w:sz w:val="20"/>
                <w:szCs w:val="20"/>
              </w:rPr>
            </w:pPr>
            <w:r w:rsidRPr="00C61672">
              <w:rPr>
                <w:rFonts w:eastAsiaTheme="minorHAnsi" w:cstheme="minorHAnsi"/>
                <w:sz w:val="20"/>
                <w:szCs w:val="20"/>
              </w:rPr>
              <w:t>(2)</w:t>
            </w:r>
          </w:p>
        </w:tc>
        <w:tc>
          <w:tcPr>
            <w:tcW w:w="0" w:type="auto"/>
          </w:tcPr>
          <w:p w14:paraId="5B7F1615" w14:textId="5A475C95" w:rsidR="00F47461" w:rsidRPr="00C61672" w:rsidRDefault="00F47461" w:rsidP="00134343">
            <w:pPr>
              <w:pStyle w:val="NoSpacing"/>
              <w:rPr>
                <w:rFonts w:eastAsiaTheme="minorHAnsi" w:cstheme="minorHAnsi"/>
                <w:sz w:val="20"/>
                <w:szCs w:val="20"/>
              </w:rPr>
            </w:pPr>
            <w:r w:rsidRPr="00C61672">
              <w:rPr>
                <w:rFonts w:eastAsiaTheme="minorHAnsi" w:cstheme="minorHAnsi"/>
                <w:sz w:val="20"/>
                <w:szCs w:val="20"/>
              </w:rPr>
              <w:t>(3)</w:t>
            </w:r>
          </w:p>
        </w:tc>
        <w:tc>
          <w:tcPr>
            <w:tcW w:w="0" w:type="auto"/>
          </w:tcPr>
          <w:p w14:paraId="3CF6263B" w14:textId="4AF02940" w:rsidR="00F47461" w:rsidRPr="00C61672" w:rsidRDefault="00F47461" w:rsidP="00134343">
            <w:pPr>
              <w:pStyle w:val="NoSpacing"/>
              <w:rPr>
                <w:rFonts w:eastAsiaTheme="minorHAnsi" w:cstheme="minorHAnsi"/>
                <w:sz w:val="20"/>
                <w:szCs w:val="20"/>
              </w:rPr>
            </w:pPr>
            <w:r w:rsidRPr="00C61672">
              <w:rPr>
                <w:rFonts w:eastAsiaTheme="minorHAnsi" w:cstheme="minorHAnsi"/>
                <w:sz w:val="20"/>
                <w:szCs w:val="20"/>
              </w:rPr>
              <w:t>(4)</w:t>
            </w:r>
          </w:p>
        </w:tc>
      </w:tr>
      <w:tr w:rsidR="007E52A3" w:rsidRPr="00C61672" w14:paraId="07F39F0E" w14:textId="77777777" w:rsidTr="00ED55E1">
        <w:trPr>
          <w:trHeight w:val="441"/>
        </w:trPr>
        <w:tc>
          <w:tcPr>
            <w:tcW w:w="0" w:type="auto"/>
          </w:tcPr>
          <w:p w14:paraId="5B7FC17E" w14:textId="0ED3D4F9" w:rsidR="00F47461" w:rsidRPr="00C61672" w:rsidRDefault="00515403" w:rsidP="00134343">
            <w:pPr>
              <w:pStyle w:val="NoSpacing"/>
              <w:rPr>
                <w:rFonts w:eastAsiaTheme="minorHAnsi" w:cstheme="minorHAnsi"/>
                <w:w w:val="105"/>
                <w:sz w:val="20"/>
                <w:szCs w:val="20"/>
              </w:rPr>
            </w:pPr>
            <w:r w:rsidRPr="00C61672">
              <w:rPr>
                <w:rFonts w:eastAsiaTheme="minorHAnsi" w:cstheme="minorHAnsi"/>
                <w:w w:val="110"/>
                <w:sz w:val="20"/>
                <w:szCs w:val="20"/>
              </w:rPr>
              <w:t>Dependent</w:t>
            </w:r>
            <w:r w:rsidRPr="00C61672">
              <w:rPr>
                <w:rFonts w:eastAsiaTheme="minorHAnsi" w:cstheme="minorHAnsi"/>
                <w:w w:val="105"/>
                <w:sz w:val="20"/>
                <w:szCs w:val="20"/>
              </w:rPr>
              <w:t xml:space="preserve"> </w:t>
            </w:r>
            <w:r w:rsidR="00F47461" w:rsidRPr="00C61672">
              <w:rPr>
                <w:rFonts w:eastAsiaTheme="minorHAnsi" w:cstheme="minorHAnsi"/>
                <w:w w:val="105"/>
                <w:sz w:val="20"/>
                <w:szCs w:val="20"/>
              </w:rPr>
              <w:t>Variable</w:t>
            </w:r>
          </w:p>
        </w:tc>
        <w:tc>
          <w:tcPr>
            <w:tcW w:w="0" w:type="auto"/>
          </w:tcPr>
          <w:p w14:paraId="4F2ED52A" w14:textId="77777777" w:rsidR="00F47461" w:rsidRPr="00C61672" w:rsidRDefault="00F47461" w:rsidP="00134343">
            <w:pPr>
              <w:pStyle w:val="NoSpacing"/>
              <w:rPr>
                <w:rFonts w:eastAsiaTheme="minorHAnsi" w:cstheme="minorHAnsi"/>
                <w:i/>
                <w:iCs/>
                <w:sz w:val="20"/>
                <w:szCs w:val="20"/>
              </w:rPr>
            </w:pPr>
            <w:r w:rsidRPr="00C61672">
              <w:rPr>
                <w:rFonts w:eastAsiaTheme="minorHAnsi" w:cstheme="minorHAnsi"/>
                <w:sz w:val="20"/>
                <w:szCs w:val="20"/>
              </w:rPr>
              <w:t xml:space="preserve">In </w:t>
            </w:r>
            <w:r w:rsidRPr="00C61672">
              <w:rPr>
                <w:rFonts w:eastAsiaTheme="minorHAnsi" w:cstheme="minorHAnsi"/>
                <w:i/>
                <w:iCs/>
                <w:sz w:val="20"/>
                <w:szCs w:val="20"/>
              </w:rPr>
              <w:t>W</w:t>
            </w:r>
          </w:p>
        </w:tc>
        <w:tc>
          <w:tcPr>
            <w:tcW w:w="0" w:type="auto"/>
          </w:tcPr>
          <w:p w14:paraId="52B496A8" w14:textId="77777777" w:rsidR="00F47461" w:rsidRPr="00C61672" w:rsidRDefault="00F47461" w:rsidP="00134343">
            <w:pPr>
              <w:pStyle w:val="NoSpacing"/>
              <w:rPr>
                <w:rFonts w:eastAsiaTheme="minorHAnsi" w:cstheme="minorHAnsi"/>
                <w:i/>
                <w:iCs/>
                <w:sz w:val="20"/>
                <w:szCs w:val="20"/>
              </w:rPr>
            </w:pPr>
            <w:r w:rsidRPr="00C61672">
              <w:rPr>
                <w:rFonts w:eastAsiaTheme="minorHAnsi" w:cstheme="minorHAnsi"/>
                <w:sz w:val="20"/>
                <w:szCs w:val="20"/>
              </w:rPr>
              <w:t xml:space="preserve">In </w:t>
            </w:r>
            <w:r w:rsidRPr="00C61672">
              <w:rPr>
                <w:rFonts w:eastAsiaTheme="minorHAnsi" w:cstheme="minorHAnsi"/>
                <w:i/>
                <w:iCs/>
                <w:sz w:val="20"/>
                <w:szCs w:val="20"/>
              </w:rPr>
              <w:t>W</w:t>
            </w:r>
          </w:p>
        </w:tc>
        <w:tc>
          <w:tcPr>
            <w:tcW w:w="0" w:type="auto"/>
          </w:tcPr>
          <w:p w14:paraId="7504822C" w14:textId="77777777" w:rsidR="00F47461" w:rsidRPr="00C61672" w:rsidRDefault="00F47461" w:rsidP="00134343">
            <w:pPr>
              <w:pStyle w:val="NoSpacing"/>
              <w:rPr>
                <w:rFonts w:eastAsiaTheme="minorHAnsi" w:cstheme="minorHAnsi"/>
                <w:sz w:val="20"/>
                <w:szCs w:val="20"/>
              </w:rPr>
            </w:pPr>
            <w:r w:rsidRPr="00C61672">
              <w:rPr>
                <w:rFonts w:eastAsiaTheme="minorHAnsi" w:cstheme="minorHAnsi"/>
                <w:sz w:val="20"/>
                <w:szCs w:val="20"/>
              </w:rPr>
              <w:t>In S</w:t>
            </w:r>
          </w:p>
        </w:tc>
        <w:tc>
          <w:tcPr>
            <w:tcW w:w="0" w:type="auto"/>
          </w:tcPr>
          <w:p w14:paraId="4902B557" w14:textId="77777777" w:rsidR="00F47461" w:rsidRPr="00C61672" w:rsidRDefault="00F47461" w:rsidP="00134343">
            <w:pPr>
              <w:pStyle w:val="NoSpacing"/>
              <w:rPr>
                <w:rFonts w:eastAsiaTheme="minorHAnsi" w:cstheme="minorHAnsi"/>
                <w:sz w:val="20"/>
                <w:szCs w:val="20"/>
              </w:rPr>
            </w:pPr>
            <w:r w:rsidRPr="00C61672">
              <w:rPr>
                <w:rFonts w:eastAsiaTheme="minorHAnsi" w:cstheme="minorHAnsi"/>
                <w:sz w:val="20"/>
                <w:szCs w:val="20"/>
              </w:rPr>
              <w:t>In S</w:t>
            </w:r>
          </w:p>
        </w:tc>
      </w:tr>
      <w:tr w:rsidR="007E52A3" w:rsidRPr="00C61672" w14:paraId="119EAC43" w14:textId="77777777" w:rsidTr="00ED55E1">
        <w:trPr>
          <w:trHeight w:val="441"/>
        </w:trPr>
        <w:tc>
          <w:tcPr>
            <w:tcW w:w="0" w:type="auto"/>
          </w:tcPr>
          <w:p w14:paraId="28298466" w14:textId="77777777" w:rsidR="00F47461" w:rsidRPr="00C61672" w:rsidRDefault="00F47461" w:rsidP="00134343">
            <w:pPr>
              <w:pStyle w:val="NoSpacing"/>
              <w:rPr>
                <w:rFonts w:eastAsiaTheme="minorHAnsi" w:cstheme="minorHAnsi"/>
                <w:w w:val="105"/>
                <w:sz w:val="20"/>
                <w:szCs w:val="20"/>
              </w:rPr>
            </w:pPr>
            <w:r w:rsidRPr="00C61672">
              <w:rPr>
                <w:rFonts w:eastAsiaTheme="minorHAnsi" w:cstheme="minorHAnsi"/>
                <w:w w:val="105"/>
                <w:sz w:val="20"/>
                <w:szCs w:val="20"/>
              </w:rPr>
              <w:t>Sample</w:t>
            </w:r>
          </w:p>
        </w:tc>
        <w:tc>
          <w:tcPr>
            <w:tcW w:w="0" w:type="auto"/>
          </w:tcPr>
          <w:p w14:paraId="61AB9CFA" w14:textId="3B590401" w:rsidR="00D158DC" w:rsidRPr="00C61672" w:rsidRDefault="00F47461" w:rsidP="00134343">
            <w:pPr>
              <w:pStyle w:val="NoSpacing"/>
              <w:rPr>
                <w:rFonts w:eastAsiaTheme="minorHAnsi" w:cstheme="minorHAnsi"/>
                <w:w w:val="105"/>
                <w:sz w:val="20"/>
                <w:szCs w:val="20"/>
              </w:rPr>
            </w:pPr>
            <w:r w:rsidRPr="00C61672">
              <w:rPr>
                <w:rFonts w:eastAsiaTheme="minorHAnsi" w:cstheme="minorHAnsi"/>
                <w:w w:val="110"/>
                <w:sz w:val="20"/>
                <w:szCs w:val="20"/>
              </w:rPr>
              <w:t>Consumer</w:t>
            </w:r>
            <w:r w:rsidR="00D158DC" w:rsidRPr="00C61672">
              <w:rPr>
                <w:rFonts w:eastAsiaTheme="minorHAnsi" w:cstheme="minorHAnsi"/>
                <w:w w:val="105"/>
                <w:sz w:val="20"/>
                <w:szCs w:val="20"/>
              </w:rPr>
              <w:t xml:space="preserve"> Industries</w:t>
            </w:r>
          </w:p>
          <w:p w14:paraId="5BC90C41" w14:textId="0FB2043B" w:rsidR="00F47461" w:rsidRPr="00C61672" w:rsidRDefault="00D158DC" w:rsidP="00134343">
            <w:pPr>
              <w:pStyle w:val="NoSpacing"/>
              <w:rPr>
                <w:rFonts w:eastAsiaTheme="minorHAnsi" w:cstheme="minorHAnsi"/>
                <w:w w:val="110"/>
                <w:sz w:val="20"/>
                <w:szCs w:val="20"/>
              </w:rPr>
            </w:pPr>
            <w:r w:rsidRPr="00C61672">
              <w:rPr>
                <w:rFonts w:eastAsiaTheme="minorHAnsi" w:cstheme="minorHAnsi"/>
                <w:sz w:val="20"/>
                <w:szCs w:val="20"/>
              </w:rPr>
              <w:t>(n =</w:t>
            </w:r>
            <w:r w:rsidRPr="00C61672">
              <w:rPr>
                <w:rFonts w:eastAsiaTheme="minorHAnsi" w:cstheme="minorHAnsi"/>
                <w:spacing w:val="20"/>
                <w:sz w:val="20"/>
                <w:szCs w:val="20"/>
              </w:rPr>
              <w:t xml:space="preserve"> </w:t>
            </w:r>
            <w:r w:rsidRPr="00C61672">
              <w:rPr>
                <w:rFonts w:eastAsiaTheme="minorHAnsi" w:cstheme="minorHAnsi"/>
                <w:sz w:val="20"/>
                <w:szCs w:val="20"/>
              </w:rPr>
              <w:t>64)</w:t>
            </w:r>
          </w:p>
        </w:tc>
        <w:tc>
          <w:tcPr>
            <w:tcW w:w="0" w:type="auto"/>
          </w:tcPr>
          <w:p w14:paraId="3D1A7987" w14:textId="2A23C1F7" w:rsidR="00D158DC" w:rsidRPr="00C61672" w:rsidRDefault="00F47461" w:rsidP="00134343">
            <w:pPr>
              <w:pStyle w:val="NoSpacing"/>
              <w:rPr>
                <w:rFonts w:eastAsiaTheme="minorHAnsi" w:cstheme="minorHAnsi"/>
                <w:w w:val="105"/>
                <w:sz w:val="20"/>
                <w:szCs w:val="20"/>
              </w:rPr>
            </w:pPr>
            <w:r w:rsidRPr="00C61672">
              <w:rPr>
                <w:rFonts w:eastAsiaTheme="minorHAnsi" w:cstheme="minorHAnsi"/>
                <w:w w:val="105"/>
                <w:sz w:val="20"/>
                <w:szCs w:val="20"/>
              </w:rPr>
              <w:t>Producer</w:t>
            </w:r>
            <w:r w:rsidR="00D158DC" w:rsidRPr="00C61672">
              <w:rPr>
                <w:rFonts w:eastAsiaTheme="minorHAnsi" w:cstheme="minorHAnsi"/>
                <w:w w:val="105"/>
                <w:sz w:val="20"/>
                <w:szCs w:val="20"/>
              </w:rPr>
              <w:t xml:space="preserve"> Industries</w:t>
            </w:r>
          </w:p>
          <w:p w14:paraId="4AE7F33A" w14:textId="3BB5023D" w:rsidR="00F47461" w:rsidRPr="00C61672" w:rsidRDefault="00D158DC" w:rsidP="00134343">
            <w:pPr>
              <w:pStyle w:val="NoSpacing"/>
              <w:rPr>
                <w:rFonts w:eastAsiaTheme="minorHAnsi" w:cstheme="minorHAnsi"/>
                <w:w w:val="105"/>
                <w:sz w:val="20"/>
                <w:szCs w:val="20"/>
              </w:rPr>
            </w:pPr>
            <w:r w:rsidRPr="00C61672">
              <w:rPr>
                <w:rFonts w:eastAsiaTheme="minorHAnsi" w:cstheme="minorHAnsi"/>
                <w:sz w:val="20"/>
                <w:szCs w:val="20"/>
              </w:rPr>
              <w:t>(n =</w:t>
            </w:r>
            <w:r w:rsidRPr="00C61672">
              <w:rPr>
                <w:rFonts w:eastAsiaTheme="minorHAnsi" w:cstheme="minorHAnsi"/>
                <w:spacing w:val="20"/>
                <w:sz w:val="20"/>
                <w:szCs w:val="20"/>
              </w:rPr>
              <w:t xml:space="preserve"> </w:t>
            </w:r>
            <w:r w:rsidRPr="00C61672">
              <w:rPr>
                <w:rFonts w:eastAsiaTheme="minorHAnsi" w:cstheme="minorHAnsi"/>
                <w:sz w:val="20"/>
                <w:szCs w:val="20"/>
              </w:rPr>
              <w:t>144)</w:t>
            </w:r>
          </w:p>
        </w:tc>
        <w:tc>
          <w:tcPr>
            <w:tcW w:w="0" w:type="auto"/>
          </w:tcPr>
          <w:p w14:paraId="5B9A6079" w14:textId="185E7DC3" w:rsidR="00D158DC" w:rsidRPr="00C61672" w:rsidRDefault="00F47461" w:rsidP="00134343">
            <w:pPr>
              <w:pStyle w:val="NoSpacing"/>
              <w:rPr>
                <w:rFonts w:eastAsiaTheme="minorHAnsi" w:cstheme="minorHAnsi"/>
                <w:w w:val="110"/>
                <w:sz w:val="20"/>
                <w:szCs w:val="20"/>
              </w:rPr>
            </w:pPr>
            <w:r w:rsidRPr="00C61672">
              <w:rPr>
                <w:rFonts w:eastAsiaTheme="minorHAnsi" w:cstheme="minorHAnsi"/>
                <w:w w:val="110"/>
                <w:sz w:val="20"/>
                <w:szCs w:val="20"/>
              </w:rPr>
              <w:t>Consumer</w:t>
            </w:r>
            <w:r w:rsidR="00D158DC" w:rsidRPr="00C61672">
              <w:rPr>
                <w:rFonts w:eastAsiaTheme="minorHAnsi" w:cstheme="minorHAnsi"/>
                <w:w w:val="110"/>
                <w:sz w:val="20"/>
                <w:szCs w:val="20"/>
              </w:rPr>
              <w:t xml:space="preserve"> Industries</w:t>
            </w:r>
          </w:p>
          <w:p w14:paraId="3F6ADB33" w14:textId="4C73FA84" w:rsidR="00F47461" w:rsidRPr="00C61672" w:rsidRDefault="00D158DC" w:rsidP="00134343">
            <w:pPr>
              <w:pStyle w:val="NoSpacing"/>
              <w:rPr>
                <w:rFonts w:eastAsiaTheme="minorHAnsi" w:cstheme="minorHAnsi"/>
                <w:w w:val="110"/>
                <w:sz w:val="20"/>
                <w:szCs w:val="20"/>
              </w:rPr>
            </w:pPr>
            <w:r w:rsidRPr="00C61672">
              <w:rPr>
                <w:rFonts w:eastAsiaTheme="minorHAnsi" w:cstheme="minorHAnsi"/>
                <w:sz w:val="20"/>
                <w:szCs w:val="20"/>
              </w:rPr>
              <w:t>(n =</w:t>
            </w:r>
            <w:r w:rsidRPr="00C61672">
              <w:rPr>
                <w:rFonts w:eastAsiaTheme="minorHAnsi" w:cstheme="minorHAnsi"/>
                <w:spacing w:val="20"/>
                <w:sz w:val="20"/>
                <w:szCs w:val="20"/>
              </w:rPr>
              <w:t xml:space="preserve"> </w:t>
            </w:r>
            <w:r w:rsidRPr="00C61672">
              <w:rPr>
                <w:rFonts w:eastAsiaTheme="minorHAnsi" w:cstheme="minorHAnsi"/>
                <w:sz w:val="20"/>
                <w:szCs w:val="20"/>
              </w:rPr>
              <w:t>64)</w:t>
            </w:r>
          </w:p>
        </w:tc>
        <w:tc>
          <w:tcPr>
            <w:tcW w:w="0" w:type="auto"/>
          </w:tcPr>
          <w:p w14:paraId="1E616B56" w14:textId="5EA93DAF" w:rsidR="00D158DC" w:rsidRPr="00C61672" w:rsidRDefault="00F47461" w:rsidP="00134343">
            <w:pPr>
              <w:pStyle w:val="NoSpacing"/>
              <w:rPr>
                <w:rFonts w:eastAsiaTheme="minorHAnsi" w:cstheme="minorHAnsi"/>
                <w:w w:val="105"/>
                <w:sz w:val="20"/>
                <w:szCs w:val="20"/>
              </w:rPr>
            </w:pPr>
            <w:r w:rsidRPr="00C61672">
              <w:rPr>
                <w:rFonts w:eastAsiaTheme="minorHAnsi" w:cstheme="minorHAnsi"/>
                <w:w w:val="110"/>
                <w:sz w:val="20"/>
                <w:szCs w:val="20"/>
              </w:rPr>
              <w:t>Producer</w:t>
            </w:r>
            <w:r w:rsidR="00D158DC" w:rsidRPr="00C61672">
              <w:rPr>
                <w:rFonts w:eastAsiaTheme="minorHAnsi" w:cstheme="minorHAnsi"/>
                <w:w w:val="105"/>
                <w:sz w:val="20"/>
                <w:szCs w:val="20"/>
              </w:rPr>
              <w:t xml:space="preserve"> Industries</w:t>
            </w:r>
          </w:p>
          <w:p w14:paraId="01681949" w14:textId="1A5F8CCC" w:rsidR="00F47461" w:rsidRPr="00C61672" w:rsidRDefault="00D158DC" w:rsidP="00134343">
            <w:pPr>
              <w:pStyle w:val="NoSpacing"/>
              <w:rPr>
                <w:rFonts w:eastAsiaTheme="minorHAnsi" w:cstheme="minorHAnsi"/>
                <w:w w:val="110"/>
                <w:sz w:val="20"/>
                <w:szCs w:val="20"/>
              </w:rPr>
            </w:pPr>
            <w:r w:rsidRPr="00C61672">
              <w:rPr>
                <w:rFonts w:eastAsiaTheme="minorHAnsi" w:cstheme="minorHAnsi"/>
                <w:sz w:val="20"/>
                <w:szCs w:val="20"/>
              </w:rPr>
              <w:t>(n =</w:t>
            </w:r>
            <w:r w:rsidRPr="00C61672">
              <w:rPr>
                <w:rFonts w:eastAsiaTheme="minorHAnsi" w:cstheme="minorHAnsi"/>
                <w:spacing w:val="20"/>
                <w:sz w:val="20"/>
                <w:szCs w:val="20"/>
              </w:rPr>
              <w:t xml:space="preserve"> </w:t>
            </w:r>
            <w:r w:rsidRPr="00C61672">
              <w:rPr>
                <w:rFonts w:eastAsiaTheme="minorHAnsi" w:cstheme="minorHAnsi"/>
                <w:sz w:val="20"/>
                <w:szCs w:val="20"/>
              </w:rPr>
              <w:t>144)</w:t>
            </w:r>
          </w:p>
        </w:tc>
      </w:tr>
      <w:tr w:rsidR="007E52A3" w:rsidRPr="00C61672" w14:paraId="30F9C209" w14:textId="77777777" w:rsidTr="00ED55E1">
        <w:trPr>
          <w:trHeight w:val="441"/>
        </w:trPr>
        <w:tc>
          <w:tcPr>
            <w:tcW w:w="0" w:type="auto"/>
          </w:tcPr>
          <w:p w14:paraId="70AC487A" w14:textId="77777777" w:rsidR="00F47461" w:rsidRPr="00C61672" w:rsidRDefault="00F47461" w:rsidP="00134343">
            <w:pPr>
              <w:pStyle w:val="NoSpacing"/>
              <w:rPr>
                <w:rFonts w:eastAsiaTheme="minorHAnsi" w:cstheme="minorHAnsi"/>
                <w:w w:val="110"/>
                <w:sz w:val="20"/>
                <w:szCs w:val="20"/>
              </w:rPr>
            </w:pPr>
            <w:r w:rsidRPr="00C61672">
              <w:rPr>
                <w:rFonts w:eastAsiaTheme="minorHAnsi" w:cstheme="minorHAnsi"/>
                <w:w w:val="110"/>
                <w:sz w:val="20"/>
                <w:szCs w:val="20"/>
              </w:rPr>
              <w:t>Constant</w:t>
            </w:r>
          </w:p>
        </w:tc>
        <w:tc>
          <w:tcPr>
            <w:tcW w:w="0" w:type="auto"/>
          </w:tcPr>
          <w:p w14:paraId="1C65557A" w14:textId="0AA3149E" w:rsidR="00F47461" w:rsidRPr="00C61672" w:rsidRDefault="00F47461" w:rsidP="00134343">
            <w:pPr>
              <w:pStyle w:val="NoSpacing"/>
              <w:rPr>
                <w:rFonts w:eastAsiaTheme="minorHAnsi" w:cstheme="minorHAnsi"/>
                <w:w w:val="115"/>
                <w:sz w:val="20"/>
                <w:szCs w:val="20"/>
              </w:rPr>
            </w:pPr>
            <w:r w:rsidRPr="00C61672">
              <w:rPr>
                <w:rFonts w:eastAsiaTheme="minorHAnsi" w:cstheme="minorHAnsi"/>
                <w:w w:val="115"/>
                <w:sz w:val="20"/>
                <w:szCs w:val="20"/>
              </w:rPr>
              <w:t>-0·07048</w:t>
            </w:r>
            <w:r w:rsidR="005072C7" w:rsidRPr="00C61672">
              <w:rPr>
                <w:rFonts w:eastAsiaTheme="minorHAnsi" w:cstheme="minorHAnsi"/>
                <w:w w:val="125"/>
                <w:sz w:val="20"/>
                <w:szCs w:val="20"/>
              </w:rPr>
              <w:t>(-0·24)</w:t>
            </w:r>
          </w:p>
        </w:tc>
        <w:tc>
          <w:tcPr>
            <w:tcW w:w="0" w:type="auto"/>
          </w:tcPr>
          <w:p w14:paraId="768CE52F" w14:textId="383BC27D" w:rsidR="00F47461" w:rsidRPr="00C61672" w:rsidRDefault="00F47461" w:rsidP="00134343">
            <w:pPr>
              <w:pStyle w:val="NoSpacing"/>
              <w:rPr>
                <w:rFonts w:eastAsiaTheme="minorHAnsi" w:cstheme="minorHAnsi"/>
                <w:w w:val="115"/>
                <w:sz w:val="20"/>
                <w:szCs w:val="20"/>
              </w:rPr>
            </w:pPr>
            <w:r w:rsidRPr="00C61672">
              <w:rPr>
                <w:rFonts w:eastAsiaTheme="minorHAnsi" w:cstheme="minorHAnsi"/>
                <w:w w:val="115"/>
                <w:sz w:val="20"/>
                <w:szCs w:val="20"/>
              </w:rPr>
              <w:t>-0·54919*</w:t>
            </w:r>
            <w:r w:rsidR="005072C7" w:rsidRPr="00C61672">
              <w:rPr>
                <w:rFonts w:eastAsiaTheme="minorHAnsi" w:cstheme="minorHAnsi"/>
                <w:w w:val="125"/>
                <w:sz w:val="20"/>
                <w:szCs w:val="20"/>
              </w:rPr>
              <w:t>(-2·40)</w:t>
            </w:r>
          </w:p>
        </w:tc>
        <w:tc>
          <w:tcPr>
            <w:tcW w:w="0" w:type="auto"/>
          </w:tcPr>
          <w:p w14:paraId="1641414D" w14:textId="456FAFBA" w:rsidR="00F47461" w:rsidRPr="00C61672" w:rsidRDefault="00F47461" w:rsidP="00134343">
            <w:pPr>
              <w:pStyle w:val="NoSpacing"/>
              <w:rPr>
                <w:rFonts w:eastAsiaTheme="minorHAnsi" w:cstheme="minorHAnsi"/>
                <w:w w:val="105"/>
                <w:sz w:val="20"/>
                <w:szCs w:val="20"/>
              </w:rPr>
            </w:pPr>
            <w:r w:rsidRPr="00C61672">
              <w:rPr>
                <w:rFonts w:eastAsiaTheme="minorHAnsi" w:cstheme="minorHAnsi"/>
                <w:w w:val="105"/>
                <w:sz w:val="20"/>
                <w:szCs w:val="20"/>
              </w:rPr>
              <w:t>-1 ·23740**</w:t>
            </w:r>
            <w:r w:rsidR="005072C7" w:rsidRPr="00C61672">
              <w:rPr>
                <w:rFonts w:eastAsiaTheme="minorHAnsi" w:cstheme="minorHAnsi"/>
                <w:w w:val="125"/>
                <w:sz w:val="20"/>
                <w:szCs w:val="20"/>
              </w:rPr>
              <w:t>(-3·24)</w:t>
            </w:r>
          </w:p>
        </w:tc>
        <w:tc>
          <w:tcPr>
            <w:tcW w:w="0" w:type="auto"/>
          </w:tcPr>
          <w:p w14:paraId="6072D8F3" w14:textId="4FA8352C" w:rsidR="00F47461" w:rsidRPr="00C61672" w:rsidRDefault="00F47461" w:rsidP="00134343">
            <w:pPr>
              <w:pStyle w:val="NoSpacing"/>
              <w:rPr>
                <w:rFonts w:eastAsiaTheme="minorHAnsi" w:cstheme="minorHAnsi"/>
                <w:sz w:val="20"/>
                <w:szCs w:val="20"/>
              </w:rPr>
            </w:pPr>
            <w:r w:rsidRPr="00C61672">
              <w:rPr>
                <w:rFonts w:eastAsiaTheme="minorHAnsi" w:cstheme="minorHAnsi"/>
                <w:sz w:val="20"/>
                <w:szCs w:val="20"/>
              </w:rPr>
              <w:t>- I ·62050**</w:t>
            </w:r>
            <w:r w:rsidR="005072C7" w:rsidRPr="00C61672">
              <w:rPr>
                <w:rFonts w:eastAsiaTheme="minorHAnsi" w:cstheme="minorHAnsi"/>
                <w:w w:val="125"/>
                <w:sz w:val="20"/>
                <w:szCs w:val="20"/>
              </w:rPr>
              <w:t>(-6·36)</w:t>
            </w:r>
          </w:p>
        </w:tc>
      </w:tr>
      <w:tr w:rsidR="007E52A3" w:rsidRPr="00C61672" w14:paraId="10657A12" w14:textId="77777777" w:rsidTr="00ED55E1">
        <w:trPr>
          <w:trHeight w:val="441"/>
        </w:trPr>
        <w:tc>
          <w:tcPr>
            <w:tcW w:w="0" w:type="auto"/>
          </w:tcPr>
          <w:p w14:paraId="76503ACA" w14:textId="77777777" w:rsidR="00F47461" w:rsidRPr="00C61672" w:rsidRDefault="00F47461" w:rsidP="00134343">
            <w:pPr>
              <w:pStyle w:val="NoSpacing"/>
              <w:rPr>
                <w:rFonts w:eastAsiaTheme="minorHAnsi" w:cstheme="minorHAnsi"/>
                <w:sz w:val="20"/>
                <w:szCs w:val="20"/>
              </w:rPr>
            </w:pPr>
            <w:r w:rsidRPr="00C61672">
              <w:rPr>
                <w:rFonts w:eastAsiaTheme="minorHAnsi" w:cstheme="minorHAnsi"/>
                <w:sz w:val="20"/>
                <w:szCs w:val="20"/>
              </w:rPr>
              <w:t>In C</w:t>
            </w:r>
          </w:p>
        </w:tc>
        <w:tc>
          <w:tcPr>
            <w:tcW w:w="0" w:type="auto"/>
          </w:tcPr>
          <w:p w14:paraId="7EEC4D64" w14:textId="56379CFE" w:rsidR="00F47461" w:rsidRPr="00C61672" w:rsidRDefault="00F47461" w:rsidP="00134343">
            <w:pPr>
              <w:pStyle w:val="NoSpacing"/>
              <w:rPr>
                <w:rFonts w:eastAsiaTheme="minorHAnsi" w:cstheme="minorHAnsi"/>
                <w:w w:val="115"/>
                <w:sz w:val="20"/>
                <w:szCs w:val="20"/>
              </w:rPr>
            </w:pPr>
            <w:r w:rsidRPr="00C61672">
              <w:rPr>
                <w:rFonts w:eastAsiaTheme="minorHAnsi" w:cstheme="minorHAnsi"/>
                <w:w w:val="115"/>
                <w:sz w:val="20"/>
                <w:szCs w:val="20"/>
              </w:rPr>
              <w:t>-0·10430</w:t>
            </w:r>
            <w:r w:rsidR="005072C7" w:rsidRPr="00C61672">
              <w:rPr>
                <w:rFonts w:eastAsiaTheme="minorHAnsi" w:cstheme="minorHAnsi"/>
                <w:w w:val="125"/>
                <w:sz w:val="20"/>
                <w:szCs w:val="20"/>
              </w:rPr>
              <w:t>(-1·34)</w:t>
            </w:r>
          </w:p>
        </w:tc>
        <w:tc>
          <w:tcPr>
            <w:tcW w:w="0" w:type="auto"/>
          </w:tcPr>
          <w:p w14:paraId="4A61F8D4" w14:textId="31D5EFBC" w:rsidR="00F47461" w:rsidRPr="00C61672" w:rsidRDefault="00F47461" w:rsidP="00134343">
            <w:pPr>
              <w:pStyle w:val="NoSpacing"/>
              <w:rPr>
                <w:rFonts w:eastAsiaTheme="minorHAnsi" w:cstheme="minorHAnsi"/>
                <w:w w:val="115"/>
                <w:sz w:val="20"/>
                <w:szCs w:val="20"/>
              </w:rPr>
            </w:pPr>
            <w:r w:rsidRPr="00C61672">
              <w:rPr>
                <w:rFonts w:eastAsiaTheme="minorHAnsi" w:cstheme="minorHAnsi"/>
                <w:w w:val="115"/>
                <w:sz w:val="20"/>
                <w:szCs w:val="20"/>
              </w:rPr>
              <w:t>-0·00914</w:t>
            </w:r>
            <w:r w:rsidR="005072C7" w:rsidRPr="00C61672">
              <w:rPr>
                <w:rFonts w:eastAsiaTheme="minorHAnsi" w:cstheme="minorHAnsi"/>
                <w:w w:val="125"/>
                <w:sz w:val="20"/>
                <w:szCs w:val="20"/>
              </w:rPr>
              <w:t>(-0·21)</w:t>
            </w:r>
          </w:p>
        </w:tc>
        <w:tc>
          <w:tcPr>
            <w:tcW w:w="0" w:type="auto"/>
          </w:tcPr>
          <w:p w14:paraId="2B93AE77" w14:textId="10F1F8A3" w:rsidR="00F47461" w:rsidRPr="00C61672" w:rsidRDefault="00F47461" w:rsidP="00134343">
            <w:pPr>
              <w:pStyle w:val="NoSpacing"/>
              <w:rPr>
                <w:rFonts w:eastAsiaTheme="minorHAnsi" w:cstheme="minorHAnsi"/>
                <w:sz w:val="20"/>
                <w:szCs w:val="20"/>
              </w:rPr>
            </w:pPr>
            <w:r w:rsidRPr="00C61672">
              <w:rPr>
                <w:rFonts w:eastAsiaTheme="minorHAnsi" w:cstheme="minorHAnsi"/>
                <w:sz w:val="20"/>
                <w:szCs w:val="20"/>
              </w:rPr>
              <w:t>0·01914</w:t>
            </w:r>
            <w:r w:rsidR="005072C7" w:rsidRPr="00C61672">
              <w:rPr>
                <w:rFonts w:eastAsiaTheme="minorHAnsi" w:cstheme="minorHAnsi"/>
                <w:sz w:val="20"/>
                <w:szCs w:val="20"/>
              </w:rPr>
              <w:t>(0·19)</w:t>
            </w:r>
          </w:p>
        </w:tc>
        <w:tc>
          <w:tcPr>
            <w:tcW w:w="0" w:type="auto"/>
          </w:tcPr>
          <w:p w14:paraId="5B98CFB7" w14:textId="2CEB9FDA" w:rsidR="00F47461" w:rsidRPr="00C61672" w:rsidRDefault="00F47461" w:rsidP="00134343">
            <w:pPr>
              <w:pStyle w:val="NoSpacing"/>
              <w:rPr>
                <w:rFonts w:eastAsiaTheme="minorHAnsi" w:cstheme="minorHAnsi"/>
                <w:sz w:val="20"/>
                <w:szCs w:val="20"/>
              </w:rPr>
            </w:pPr>
            <w:r w:rsidRPr="00C61672">
              <w:rPr>
                <w:rFonts w:eastAsiaTheme="minorHAnsi" w:cstheme="minorHAnsi"/>
                <w:sz w:val="20"/>
                <w:szCs w:val="20"/>
              </w:rPr>
              <w:t>0·03312</w:t>
            </w:r>
            <w:r w:rsidR="005072C7" w:rsidRPr="00C61672">
              <w:rPr>
                <w:rFonts w:eastAsiaTheme="minorHAnsi" w:cstheme="minorHAnsi"/>
                <w:sz w:val="20"/>
                <w:szCs w:val="20"/>
              </w:rPr>
              <w:t>(o-70)</w:t>
            </w:r>
          </w:p>
        </w:tc>
      </w:tr>
      <w:tr w:rsidR="007E52A3" w:rsidRPr="00C61672" w14:paraId="5D1DDEF7" w14:textId="77777777" w:rsidTr="00ED55E1">
        <w:trPr>
          <w:trHeight w:val="441"/>
        </w:trPr>
        <w:tc>
          <w:tcPr>
            <w:tcW w:w="0" w:type="auto"/>
          </w:tcPr>
          <w:p w14:paraId="3C50305D" w14:textId="77777777" w:rsidR="00F47461" w:rsidRPr="00C61672" w:rsidRDefault="00F47461" w:rsidP="00134343">
            <w:pPr>
              <w:pStyle w:val="NoSpacing"/>
              <w:rPr>
                <w:rFonts w:eastAsiaTheme="minorHAnsi" w:cstheme="minorHAnsi"/>
                <w:w w:val="95"/>
                <w:sz w:val="20"/>
                <w:szCs w:val="20"/>
              </w:rPr>
            </w:pPr>
            <w:r w:rsidRPr="00C61672">
              <w:rPr>
                <w:rFonts w:eastAsiaTheme="minorHAnsi" w:cstheme="minorHAnsi"/>
                <w:w w:val="95"/>
                <w:sz w:val="20"/>
                <w:szCs w:val="20"/>
              </w:rPr>
              <w:t>In A</w:t>
            </w:r>
          </w:p>
        </w:tc>
        <w:tc>
          <w:tcPr>
            <w:tcW w:w="0" w:type="auto"/>
          </w:tcPr>
          <w:p w14:paraId="6B5C3AF8" w14:textId="77777777" w:rsidR="00F47461" w:rsidRPr="00C61672" w:rsidRDefault="00F47461" w:rsidP="00134343">
            <w:pPr>
              <w:pStyle w:val="NoSpacing"/>
              <w:rPr>
                <w:rFonts w:eastAsiaTheme="minorHAnsi" w:cstheme="minorHAnsi"/>
                <w:w w:val="120"/>
                <w:sz w:val="20"/>
                <w:szCs w:val="20"/>
              </w:rPr>
            </w:pPr>
            <w:r w:rsidRPr="00C61672">
              <w:rPr>
                <w:rFonts w:eastAsiaTheme="minorHAnsi" w:cstheme="minorHAnsi"/>
                <w:w w:val="115"/>
                <w:sz w:val="20"/>
                <w:szCs w:val="20"/>
              </w:rPr>
              <w:t xml:space="preserve">-0·01887 </w:t>
            </w:r>
            <w:r w:rsidRPr="00C61672">
              <w:rPr>
                <w:rFonts w:eastAsiaTheme="minorHAnsi" w:cstheme="minorHAnsi"/>
                <w:w w:val="120"/>
                <w:sz w:val="20"/>
                <w:szCs w:val="20"/>
              </w:rPr>
              <w:t>(-0·49)</w:t>
            </w:r>
          </w:p>
        </w:tc>
        <w:tc>
          <w:tcPr>
            <w:tcW w:w="0" w:type="auto"/>
          </w:tcPr>
          <w:p w14:paraId="4C4F3E78" w14:textId="0E816151" w:rsidR="00F47461" w:rsidRPr="00C61672" w:rsidRDefault="00F47461" w:rsidP="00134343">
            <w:pPr>
              <w:pStyle w:val="NoSpacing"/>
              <w:rPr>
                <w:rFonts w:eastAsiaTheme="minorHAnsi" w:cstheme="minorHAnsi"/>
                <w:w w:val="120"/>
                <w:sz w:val="20"/>
                <w:szCs w:val="20"/>
              </w:rPr>
            </w:pPr>
            <w:r w:rsidRPr="00C61672">
              <w:rPr>
                <w:rFonts w:eastAsiaTheme="minorHAnsi" w:cstheme="minorHAnsi"/>
                <w:w w:val="110"/>
                <w:sz w:val="20"/>
                <w:szCs w:val="20"/>
              </w:rPr>
              <w:t xml:space="preserve">-0.06142** </w:t>
            </w:r>
            <w:r w:rsidRPr="00C61672">
              <w:rPr>
                <w:rFonts w:eastAsiaTheme="minorHAnsi" w:cstheme="minorHAnsi"/>
                <w:w w:val="120"/>
                <w:sz w:val="20"/>
                <w:szCs w:val="20"/>
              </w:rPr>
              <w:t>(</w:t>
            </w:r>
            <w:r w:rsidR="00EA42DD" w:rsidRPr="00C61672">
              <w:rPr>
                <w:rFonts w:eastAsiaTheme="minorHAnsi" w:cstheme="minorHAnsi"/>
                <w:w w:val="120"/>
                <w:sz w:val="20"/>
                <w:szCs w:val="20"/>
              </w:rPr>
              <w:t>-</w:t>
            </w:r>
            <w:r w:rsidRPr="00C61672">
              <w:rPr>
                <w:rFonts w:eastAsiaTheme="minorHAnsi" w:cstheme="minorHAnsi"/>
                <w:w w:val="120"/>
                <w:sz w:val="20"/>
                <w:szCs w:val="20"/>
              </w:rPr>
              <w:t>2</w:t>
            </w:r>
            <w:r w:rsidR="00EA42DD" w:rsidRPr="00C61672">
              <w:rPr>
                <w:rFonts w:eastAsiaTheme="minorHAnsi" w:cstheme="minorHAnsi"/>
                <w:w w:val="120"/>
                <w:sz w:val="20"/>
                <w:szCs w:val="20"/>
              </w:rPr>
              <w:t>.</w:t>
            </w:r>
            <w:r w:rsidRPr="00C61672">
              <w:rPr>
                <w:rFonts w:eastAsiaTheme="minorHAnsi" w:cstheme="minorHAnsi"/>
                <w:w w:val="120"/>
                <w:sz w:val="20"/>
                <w:szCs w:val="20"/>
              </w:rPr>
              <w:t>92)</w:t>
            </w:r>
          </w:p>
        </w:tc>
        <w:tc>
          <w:tcPr>
            <w:tcW w:w="0" w:type="auto"/>
          </w:tcPr>
          <w:p w14:paraId="171C5D89" w14:textId="77777777" w:rsidR="00F47461" w:rsidRPr="00C61672" w:rsidRDefault="00F47461" w:rsidP="00134343">
            <w:pPr>
              <w:pStyle w:val="NoSpacing"/>
              <w:rPr>
                <w:rFonts w:eastAsiaTheme="minorHAnsi" w:cstheme="minorHAnsi"/>
                <w:w w:val="120"/>
                <w:sz w:val="20"/>
                <w:szCs w:val="20"/>
              </w:rPr>
            </w:pPr>
            <w:r w:rsidRPr="00C61672">
              <w:rPr>
                <w:rFonts w:eastAsiaTheme="minorHAnsi" w:cstheme="minorHAnsi"/>
                <w:w w:val="115"/>
                <w:sz w:val="20"/>
                <w:szCs w:val="20"/>
              </w:rPr>
              <w:t xml:space="preserve">-0·06229 </w:t>
            </w:r>
            <w:r w:rsidRPr="00C61672">
              <w:rPr>
                <w:rFonts w:eastAsiaTheme="minorHAnsi" w:cstheme="minorHAnsi"/>
                <w:w w:val="120"/>
                <w:sz w:val="20"/>
                <w:szCs w:val="20"/>
              </w:rPr>
              <w:t>(-1·22)</w:t>
            </w:r>
          </w:p>
        </w:tc>
        <w:tc>
          <w:tcPr>
            <w:tcW w:w="0" w:type="auto"/>
          </w:tcPr>
          <w:p w14:paraId="363CFF60" w14:textId="77777777" w:rsidR="00F47461" w:rsidRPr="00C61672" w:rsidRDefault="00F47461" w:rsidP="00134343">
            <w:pPr>
              <w:pStyle w:val="NoSpacing"/>
              <w:rPr>
                <w:rFonts w:eastAsiaTheme="minorHAnsi" w:cstheme="minorHAnsi"/>
                <w:sz w:val="20"/>
                <w:szCs w:val="20"/>
              </w:rPr>
            </w:pPr>
            <w:r w:rsidRPr="00C61672">
              <w:rPr>
                <w:rFonts w:eastAsiaTheme="minorHAnsi" w:cstheme="minorHAnsi"/>
                <w:sz w:val="20"/>
                <w:szCs w:val="20"/>
              </w:rPr>
              <w:t>0·04671* (1·97)</w:t>
            </w:r>
          </w:p>
        </w:tc>
      </w:tr>
      <w:tr w:rsidR="007E52A3" w:rsidRPr="00C61672" w14:paraId="48C60F92" w14:textId="77777777" w:rsidTr="00ED55E1">
        <w:trPr>
          <w:trHeight w:val="441"/>
        </w:trPr>
        <w:tc>
          <w:tcPr>
            <w:tcW w:w="0" w:type="auto"/>
          </w:tcPr>
          <w:p w14:paraId="5DFF8272" w14:textId="77777777" w:rsidR="00F47461" w:rsidRPr="00C61672" w:rsidRDefault="00F47461" w:rsidP="00134343">
            <w:pPr>
              <w:pStyle w:val="NoSpacing"/>
              <w:rPr>
                <w:rFonts w:eastAsiaTheme="minorHAnsi" w:cstheme="minorHAnsi"/>
                <w:sz w:val="20"/>
                <w:szCs w:val="20"/>
              </w:rPr>
            </w:pPr>
            <w:r w:rsidRPr="00C61672">
              <w:rPr>
                <w:rFonts w:eastAsiaTheme="minorHAnsi" w:cstheme="minorHAnsi"/>
                <w:sz w:val="20"/>
                <w:szCs w:val="20"/>
              </w:rPr>
              <w:t>In U</w:t>
            </w:r>
          </w:p>
        </w:tc>
        <w:tc>
          <w:tcPr>
            <w:tcW w:w="0" w:type="auto"/>
          </w:tcPr>
          <w:p w14:paraId="2E3C2BA7" w14:textId="1095F18D" w:rsidR="00F47461" w:rsidRPr="00C61672" w:rsidRDefault="00F47461" w:rsidP="00134343">
            <w:pPr>
              <w:pStyle w:val="NoSpacing"/>
              <w:rPr>
                <w:rFonts w:eastAsiaTheme="minorHAnsi" w:cstheme="minorHAnsi"/>
                <w:sz w:val="20"/>
                <w:szCs w:val="20"/>
              </w:rPr>
            </w:pPr>
            <w:r w:rsidRPr="00C61672">
              <w:rPr>
                <w:rFonts w:eastAsiaTheme="minorHAnsi" w:cstheme="minorHAnsi"/>
                <w:sz w:val="20"/>
                <w:szCs w:val="20"/>
              </w:rPr>
              <w:t>0·02606</w:t>
            </w:r>
            <w:r w:rsidR="005072C7" w:rsidRPr="00C61672">
              <w:rPr>
                <w:rFonts w:eastAsiaTheme="minorHAnsi" w:cstheme="minorHAnsi"/>
                <w:sz w:val="20"/>
                <w:szCs w:val="20"/>
              </w:rPr>
              <w:t>(0·54)</w:t>
            </w:r>
          </w:p>
        </w:tc>
        <w:tc>
          <w:tcPr>
            <w:tcW w:w="0" w:type="auto"/>
          </w:tcPr>
          <w:p w14:paraId="55637025" w14:textId="1150FA70" w:rsidR="00F47461" w:rsidRPr="00C61672" w:rsidRDefault="00F47461" w:rsidP="00134343">
            <w:pPr>
              <w:pStyle w:val="NoSpacing"/>
              <w:rPr>
                <w:rFonts w:eastAsiaTheme="minorHAnsi" w:cstheme="minorHAnsi"/>
                <w:sz w:val="20"/>
                <w:szCs w:val="20"/>
              </w:rPr>
            </w:pPr>
            <w:r w:rsidRPr="00C61672">
              <w:rPr>
                <w:rFonts w:eastAsiaTheme="minorHAnsi" w:cstheme="minorHAnsi"/>
                <w:sz w:val="20"/>
                <w:szCs w:val="20"/>
              </w:rPr>
              <w:t>0·05426</w:t>
            </w:r>
            <w:r w:rsidR="005072C7" w:rsidRPr="00C61672">
              <w:rPr>
                <w:rFonts w:eastAsiaTheme="minorHAnsi" w:cstheme="minorHAnsi"/>
                <w:sz w:val="20"/>
                <w:szCs w:val="20"/>
              </w:rPr>
              <w:t>(I ·32)</w:t>
            </w:r>
          </w:p>
        </w:tc>
        <w:tc>
          <w:tcPr>
            <w:tcW w:w="0" w:type="auto"/>
          </w:tcPr>
          <w:p w14:paraId="62D22A69" w14:textId="4C77FF4B" w:rsidR="00F47461" w:rsidRPr="00C61672" w:rsidRDefault="00F47461" w:rsidP="00134343">
            <w:pPr>
              <w:pStyle w:val="NoSpacing"/>
              <w:rPr>
                <w:rFonts w:eastAsiaTheme="minorHAnsi" w:cstheme="minorHAnsi"/>
                <w:w w:val="115"/>
                <w:sz w:val="20"/>
                <w:szCs w:val="20"/>
              </w:rPr>
            </w:pPr>
            <w:r w:rsidRPr="00C61672">
              <w:rPr>
                <w:rFonts w:eastAsiaTheme="minorHAnsi" w:cstheme="minorHAnsi"/>
                <w:w w:val="115"/>
                <w:sz w:val="20"/>
                <w:szCs w:val="20"/>
              </w:rPr>
              <w:t>-0·01683</w:t>
            </w:r>
            <w:r w:rsidR="005072C7" w:rsidRPr="00C61672">
              <w:rPr>
                <w:rFonts w:eastAsiaTheme="minorHAnsi" w:cstheme="minorHAnsi"/>
                <w:w w:val="125"/>
                <w:sz w:val="20"/>
                <w:szCs w:val="20"/>
              </w:rPr>
              <w:t>(-0·26)</w:t>
            </w:r>
          </w:p>
        </w:tc>
        <w:tc>
          <w:tcPr>
            <w:tcW w:w="0" w:type="auto"/>
          </w:tcPr>
          <w:p w14:paraId="33B1D85C" w14:textId="45A1545C" w:rsidR="00F47461" w:rsidRPr="00C61672" w:rsidRDefault="00F47461" w:rsidP="00134343">
            <w:pPr>
              <w:pStyle w:val="NoSpacing"/>
              <w:rPr>
                <w:rFonts w:eastAsiaTheme="minorHAnsi" w:cstheme="minorHAnsi"/>
                <w:sz w:val="20"/>
                <w:szCs w:val="20"/>
              </w:rPr>
            </w:pPr>
            <w:r w:rsidRPr="00C61672">
              <w:rPr>
                <w:rFonts w:eastAsiaTheme="minorHAnsi" w:cstheme="minorHAnsi"/>
                <w:sz w:val="20"/>
                <w:szCs w:val="20"/>
              </w:rPr>
              <w:t>0·04881</w:t>
            </w:r>
            <w:r w:rsidR="005072C7" w:rsidRPr="00C61672">
              <w:rPr>
                <w:rFonts w:eastAsiaTheme="minorHAnsi" w:cstheme="minorHAnsi"/>
                <w:sz w:val="20"/>
                <w:szCs w:val="20"/>
              </w:rPr>
              <w:t>(1 ·05)</w:t>
            </w:r>
          </w:p>
        </w:tc>
      </w:tr>
      <w:tr w:rsidR="007E52A3" w:rsidRPr="00C61672" w14:paraId="4CD71019" w14:textId="77777777" w:rsidTr="00ED55E1">
        <w:trPr>
          <w:trHeight w:val="441"/>
        </w:trPr>
        <w:tc>
          <w:tcPr>
            <w:tcW w:w="0" w:type="auto"/>
          </w:tcPr>
          <w:p w14:paraId="1A2D8E45" w14:textId="77777777" w:rsidR="00F47461" w:rsidRPr="00C61672" w:rsidRDefault="00F47461" w:rsidP="00134343">
            <w:pPr>
              <w:pStyle w:val="NoSpacing"/>
              <w:rPr>
                <w:rFonts w:eastAsiaTheme="minorHAnsi" w:cstheme="minorHAnsi"/>
                <w:i/>
                <w:iCs/>
                <w:sz w:val="20"/>
                <w:szCs w:val="20"/>
              </w:rPr>
            </w:pPr>
            <w:r w:rsidRPr="00C61672">
              <w:rPr>
                <w:rFonts w:eastAsiaTheme="minorHAnsi" w:cstheme="minorHAnsi"/>
                <w:sz w:val="20"/>
                <w:szCs w:val="20"/>
              </w:rPr>
              <w:t xml:space="preserve">In </w:t>
            </w:r>
            <w:r w:rsidRPr="00C61672">
              <w:rPr>
                <w:rFonts w:eastAsiaTheme="minorHAnsi" w:cstheme="minorHAnsi"/>
                <w:i/>
                <w:iCs/>
                <w:sz w:val="20"/>
                <w:szCs w:val="20"/>
              </w:rPr>
              <w:t>K</w:t>
            </w:r>
          </w:p>
        </w:tc>
        <w:tc>
          <w:tcPr>
            <w:tcW w:w="0" w:type="auto"/>
          </w:tcPr>
          <w:p w14:paraId="60B7AC01" w14:textId="66547DA4" w:rsidR="00F47461" w:rsidRPr="00C61672" w:rsidRDefault="00F47461" w:rsidP="00134343">
            <w:pPr>
              <w:pStyle w:val="NoSpacing"/>
              <w:rPr>
                <w:rFonts w:eastAsiaTheme="minorHAnsi" w:cstheme="minorHAnsi"/>
                <w:w w:val="115"/>
                <w:sz w:val="20"/>
                <w:szCs w:val="20"/>
              </w:rPr>
            </w:pPr>
            <w:r w:rsidRPr="00C61672">
              <w:rPr>
                <w:rFonts w:eastAsiaTheme="minorHAnsi" w:cstheme="minorHAnsi"/>
                <w:w w:val="115"/>
                <w:sz w:val="20"/>
                <w:szCs w:val="20"/>
              </w:rPr>
              <w:t>-0·42497**</w:t>
            </w:r>
            <w:r w:rsidR="005072C7" w:rsidRPr="00C61672">
              <w:rPr>
                <w:rFonts w:eastAsiaTheme="minorHAnsi" w:cstheme="minorHAnsi"/>
                <w:w w:val="125"/>
                <w:sz w:val="20"/>
                <w:szCs w:val="20"/>
              </w:rPr>
              <w:t>(-6·93)</w:t>
            </w:r>
          </w:p>
        </w:tc>
        <w:tc>
          <w:tcPr>
            <w:tcW w:w="0" w:type="auto"/>
          </w:tcPr>
          <w:p w14:paraId="014E9263" w14:textId="3809FEE8" w:rsidR="00F47461" w:rsidRPr="00C61672" w:rsidRDefault="00F47461" w:rsidP="00134343">
            <w:pPr>
              <w:pStyle w:val="NoSpacing"/>
              <w:rPr>
                <w:rFonts w:eastAsiaTheme="minorHAnsi" w:cstheme="minorHAnsi"/>
                <w:w w:val="110"/>
                <w:sz w:val="20"/>
                <w:szCs w:val="20"/>
              </w:rPr>
            </w:pPr>
            <w:r w:rsidRPr="00C61672">
              <w:rPr>
                <w:rFonts w:eastAsiaTheme="minorHAnsi" w:cstheme="minorHAnsi"/>
                <w:w w:val="110"/>
                <w:sz w:val="20"/>
                <w:szCs w:val="20"/>
              </w:rPr>
              <w:t>-0·21115**</w:t>
            </w:r>
            <w:r w:rsidR="005072C7" w:rsidRPr="00C61672">
              <w:rPr>
                <w:rFonts w:eastAsiaTheme="minorHAnsi" w:cstheme="minorHAnsi"/>
                <w:w w:val="125"/>
                <w:sz w:val="20"/>
                <w:szCs w:val="20"/>
              </w:rPr>
              <w:t>(-6·55)</w:t>
            </w:r>
          </w:p>
        </w:tc>
        <w:tc>
          <w:tcPr>
            <w:tcW w:w="0" w:type="auto"/>
          </w:tcPr>
          <w:p w14:paraId="3E528248" w14:textId="62814B5C" w:rsidR="00F47461" w:rsidRPr="00C61672" w:rsidRDefault="00F47461" w:rsidP="00134343">
            <w:pPr>
              <w:pStyle w:val="NoSpacing"/>
              <w:rPr>
                <w:rFonts w:eastAsiaTheme="minorHAnsi" w:cstheme="minorHAnsi"/>
                <w:w w:val="115"/>
                <w:sz w:val="20"/>
                <w:szCs w:val="20"/>
              </w:rPr>
            </w:pPr>
            <w:r w:rsidRPr="00C61672">
              <w:rPr>
                <w:rFonts w:eastAsiaTheme="minorHAnsi" w:cstheme="minorHAnsi"/>
                <w:w w:val="115"/>
                <w:sz w:val="20"/>
                <w:szCs w:val="20"/>
              </w:rPr>
              <w:t>-0·19731*</w:t>
            </w:r>
            <w:r w:rsidR="005072C7" w:rsidRPr="00C61672">
              <w:rPr>
                <w:rFonts w:eastAsiaTheme="minorHAnsi" w:cstheme="minorHAnsi"/>
                <w:w w:val="125"/>
                <w:sz w:val="20"/>
                <w:szCs w:val="20"/>
              </w:rPr>
              <w:t>(-2·29)</w:t>
            </w:r>
          </w:p>
        </w:tc>
        <w:tc>
          <w:tcPr>
            <w:tcW w:w="0" w:type="auto"/>
          </w:tcPr>
          <w:p w14:paraId="7E5CE556" w14:textId="524A899A" w:rsidR="00F47461" w:rsidRPr="00C61672" w:rsidRDefault="00F47461" w:rsidP="00134343">
            <w:pPr>
              <w:pStyle w:val="NoSpacing"/>
              <w:rPr>
                <w:rFonts w:eastAsiaTheme="minorHAnsi" w:cstheme="minorHAnsi"/>
                <w:w w:val="115"/>
                <w:sz w:val="20"/>
                <w:szCs w:val="20"/>
              </w:rPr>
            </w:pPr>
            <w:r w:rsidRPr="00C61672">
              <w:rPr>
                <w:rFonts w:eastAsiaTheme="minorHAnsi" w:cstheme="minorHAnsi"/>
                <w:w w:val="115"/>
                <w:sz w:val="20"/>
                <w:szCs w:val="20"/>
              </w:rPr>
              <w:t>-0·28538*"</w:t>
            </w:r>
            <w:r w:rsidR="005072C7" w:rsidRPr="00C61672">
              <w:rPr>
                <w:rFonts w:eastAsiaTheme="minorHAnsi" w:cstheme="minorHAnsi"/>
                <w:w w:val="115"/>
                <w:sz w:val="20"/>
                <w:szCs w:val="20"/>
              </w:rPr>
              <w:t>(-7 ·99)</w:t>
            </w:r>
          </w:p>
        </w:tc>
      </w:tr>
      <w:tr w:rsidR="007E52A3" w:rsidRPr="00C61672" w14:paraId="4C452C99" w14:textId="77777777" w:rsidTr="00ED55E1">
        <w:trPr>
          <w:trHeight w:val="441"/>
        </w:trPr>
        <w:tc>
          <w:tcPr>
            <w:tcW w:w="0" w:type="auto"/>
          </w:tcPr>
          <w:p w14:paraId="7EB7EB92" w14:textId="33B23E1E" w:rsidR="00F47461" w:rsidRPr="00C61672" w:rsidRDefault="00455E23" w:rsidP="00134343">
            <w:pPr>
              <w:pStyle w:val="NoSpacing"/>
              <w:rPr>
                <w:rFonts w:eastAsiaTheme="minorHAnsi" w:cstheme="minorHAnsi"/>
                <w:w w:val="90"/>
                <w:sz w:val="20"/>
                <w:szCs w:val="20"/>
              </w:rPr>
            </w:pPr>
            <w:r w:rsidRPr="00C61672">
              <w:rPr>
                <w:rFonts w:eastAsiaTheme="minorHAnsi" w:cstheme="minorHAnsi"/>
                <w:w w:val="90"/>
                <w:sz w:val="20"/>
                <w:szCs w:val="20"/>
              </w:rPr>
              <w:t>R</w:t>
            </w:r>
            <w:r w:rsidRPr="00C61672">
              <w:rPr>
                <w:rFonts w:eastAsiaTheme="minorHAnsi" w:cstheme="minorHAnsi"/>
                <w:w w:val="90"/>
                <w:sz w:val="20"/>
                <w:szCs w:val="20"/>
                <w:vertAlign w:val="superscript"/>
              </w:rPr>
              <w:t>2</w:t>
            </w:r>
          </w:p>
        </w:tc>
        <w:tc>
          <w:tcPr>
            <w:tcW w:w="0" w:type="auto"/>
          </w:tcPr>
          <w:p w14:paraId="70D54423" w14:textId="77777777" w:rsidR="00F47461" w:rsidRPr="00C61672" w:rsidRDefault="00F47461" w:rsidP="00134343">
            <w:pPr>
              <w:pStyle w:val="NoSpacing"/>
              <w:rPr>
                <w:rFonts w:eastAsiaTheme="minorHAnsi" w:cstheme="minorHAnsi"/>
                <w:w w:val="105"/>
                <w:sz w:val="20"/>
                <w:szCs w:val="20"/>
              </w:rPr>
            </w:pPr>
            <w:r w:rsidRPr="00C61672">
              <w:rPr>
                <w:rFonts w:eastAsiaTheme="minorHAnsi" w:cstheme="minorHAnsi"/>
                <w:w w:val="105"/>
                <w:sz w:val="20"/>
                <w:szCs w:val="20"/>
              </w:rPr>
              <w:t>0·57</w:t>
            </w:r>
          </w:p>
        </w:tc>
        <w:tc>
          <w:tcPr>
            <w:tcW w:w="0" w:type="auto"/>
          </w:tcPr>
          <w:p w14:paraId="40A3D58C" w14:textId="77777777" w:rsidR="00F47461" w:rsidRPr="00C61672" w:rsidRDefault="00F47461" w:rsidP="00134343">
            <w:pPr>
              <w:pStyle w:val="NoSpacing"/>
              <w:rPr>
                <w:rFonts w:eastAsiaTheme="minorHAnsi" w:cstheme="minorHAnsi"/>
                <w:w w:val="110"/>
                <w:sz w:val="20"/>
                <w:szCs w:val="20"/>
              </w:rPr>
            </w:pPr>
            <w:r w:rsidRPr="00C61672">
              <w:rPr>
                <w:rFonts w:eastAsiaTheme="minorHAnsi" w:cstheme="minorHAnsi"/>
                <w:w w:val="110"/>
                <w:sz w:val="20"/>
                <w:szCs w:val="20"/>
              </w:rPr>
              <w:t>0·28</w:t>
            </w:r>
          </w:p>
        </w:tc>
        <w:tc>
          <w:tcPr>
            <w:tcW w:w="0" w:type="auto"/>
          </w:tcPr>
          <w:p w14:paraId="684425D0" w14:textId="77777777" w:rsidR="00F47461" w:rsidRPr="00C61672" w:rsidRDefault="00F47461" w:rsidP="00134343">
            <w:pPr>
              <w:pStyle w:val="NoSpacing"/>
              <w:rPr>
                <w:rFonts w:eastAsiaTheme="minorHAnsi" w:cstheme="minorHAnsi"/>
                <w:sz w:val="20"/>
                <w:szCs w:val="20"/>
              </w:rPr>
            </w:pPr>
            <w:r w:rsidRPr="00C61672">
              <w:rPr>
                <w:rFonts w:eastAsiaTheme="minorHAnsi" w:cstheme="minorHAnsi"/>
                <w:sz w:val="20"/>
                <w:szCs w:val="20"/>
              </w:rPr>
              <w:t>0·11</w:t>
            </w:r>
          </w:p>
        </w:tc>
        <w:tc>
          <w:tcPr>
            <w:tcW w:w="0" w:type="auto"/>
          </w:tcPr>
          <w:p w14:paraId="196B811E" w14:textId="77777777" w:rsidR="00F47461" w:rsidRPr="00C61672" w:rsidRDefault="00F47461" w:rsidP="00134343">
            <w:pPr>
              <w:pStyle w:val="NoSpacing"/>
              <w:rPr>
                <w:rFonts w:eastAsiaTheme="minorHAnsi" w:cstheme="minorHAnsi"/>
                <w:w w:val="105"/>
                <w:sz w:val="20"/>
                <w:szCs w:val="20"/>
              </w:rPr>
            </w:pPr>
            <w:r w:rsidRPr="00C61672">
              <w:rPr>
                <w:rFonts w:eastAsiaTheme="minorHAnsi" w:cstheme="minorHAnsi"/>
                <w:w w:val="105"/>
                <w:sz w:val="20"/>
                <w:szCs w:val="20"/>
              </w:rPr>
              <w:t>0·34</w:t>
            </w:r>
          </w:p>
        </w:tc>
      </w:tr>
      <w:tr w:rsidR="007E52A3" w:rsidRPr="00C61672" w14:paraId="398F24BB" w14:textId="77777777" w:rsidTr="00ED55E1">
        <w:trPr>
          <w:trHeight w:val="441"/>
        </w:trPr>
        <w:tc>
          <w:tcPr>
            <w:tcW w:w="0" w:type="auto"/>
          </w:tcPr>
          <w:p w14:paraId="14CCB51D" w14:textId="77777777" w:rsidR="00F47461" w:rsidRPr="00C61672" w:rsidRDefault="00F47461" w:rsidP="00134343">
            <w:pPr>
              <w:pStyle w:val="NoSpacing"/>
              <w:rPr>
                <w:rFonts w:eastAsiaTheme="minorHAnsi" w:cstheme="minorHAnsi"/>
                <w:i/>
                <w:iCs/>
                <w:w w:val="86"/>
                <w:sz w:val="20"/>
                <w:szCs w:val="20"/>
              </w:rPr>
            </w:pPr>
            <w:r w:rsidRPr="00C61672">
              <w:rPr>
                <w:rFonts w:eastAsiaTheme="minorHAnsi" w:cstheme="minorHAnsi"/>
                <w:i/>
                <w:iCs/>
                <w:w w:val="86"/>
                <w:sz w:val="20"/>
                <w:szCs w:val="20"/>
              </w:rPr>
              <w:t>F</w:t>
            </w:r>
          </w:p>
        </w:tc>
        <w:tc>
          <w:tcPr>
            <w:tcW w:w="0" w:type="auto"/>
          </w:tcPr>
          <w:p w14:paraId="0C4CD09C" w14:textId="77777777" w:rsidR="00F47461" w:rsidRPr="00C61672" w:rsidRDefault="00F47461" w:rsidP="00134343">
            <w:pPr>
              <w:pStyle w:val="NoSpacing"/>
              <w:rPr>
                <w:rFonts w:eastAsiaTheme="minorHAnsi" w:cstheme="minorHAnsi"/>
                <w:w w:val="105"/>
                <w:sz w:val="20"/>
                <w:szCs w:val="20"/>
              </w:rPr>
            </w:pPr>
            <w:r w:rsidRPr="00C61672">
              <w:rPr>
                <w:rFonts w:eastAsiaTheme="minorHAnsi" w:cstheme="minorHAnsi"/>
                <w:w w:val="105"/>
                <w:sz w:val="20"/>
                <w:szCs w:val="20"/>
              </w:rPr>
              <w:t>21·8</w:t>
            </w:r>
          </w:p>
        </w:tc>
        <w:tc>
          <w:tcPr>
            <w:tcW w:w="0" w:type="auto"/>
          </w:tcPr>
          <w:p w14:paraId="79EBB78D" w14:textId="77777777" w:rsidR="00F47461" w:rsidRPr="00C61672" w:rsidRDefault="00F47461" w:rsidP="00134343">
            <w:pPr>
              <w:pStyle w:val="NoSpacing"/>
              <w:rPr>
                <w:rFonts w:eastAsiaTheme="minorHAnsi" w:cstheme="minorHAnsi"/>
                <w:w w:val="105"/>
                <w:sz w:val="20"/>
                <w:szCs w:val="20"/>
              </w:rPr>
            </w:pPr>
            <w:r w:rsidRPr="00C61672">
              <w:rPr>
                <w:rFonts w:eastAsiaTheme="minorHAnsi" w:cstheme="minorHAnsi"/>
                <w:w w:val="105"/>
                <w:sz w:val="20"/>
                <w:szCs w:val="20"/>
              </w:rPr>
              <w:t>14·6</w:t>
            </w:r>
          </w:p>
        </w:tc>
        <w:tc>
          <w:tcPr>
            <w:tcW w:w="0" w:type="auto"/>
          </w:tcPr>
          <w:p w14:paraId="62ED95FB" w14:textId="77777777" w:rsidR="00F47461" w:rsidRPr="00C61672" w:rsidRDefault="00F47461" w:rsidP="00134343">
            <w:pPr>
              <w:pStyle w:val="NoSpacing"/>
              <w:rPr>
                <w:rFonts w:eastAsiaTheme="minorHAnsi" w:cstheme="minorHAnsi"/>
                <w:w w:val="105"/>
                <w:sz w:val="20"/>
                <w:szCs w:val="20"/>
              </w:rPr>
            </w:pPr>
            <w:r w:rsidRPr="00C61672">
              <w:rPr>
                <w:rFonts w:eastAsiaTheme="minorHAnsi" w:cstheme="minorHAnsi"/>
                <w:w w:val="105"/>
                <w:sz w:val="20"/>
                <w:szCs w:val="20"/>
              </w:rPr>
              <w:t>2·9</w:t>
            </w:r>
          </w:p>
        </w:tc>
        <w:tc>
          <w:tcPr>
            <w:tcW w:w="0" w:type="auto"/>
          </w:tcPr>
          <w:p w14:paraId="4F9F9E77" w14:textId="77777777" w:rsidR="00F47461" w:rsidRPr="00C61672" w:rsidRDefault="00F47461" w:rsidP="00134343">
            <w:pPr>
              <w:pStyle w:val="NoSpacing"/>
              <w:rPr>
                <w:rFonts w:eastAsiaTheme="minorHAnsi" w:cstheme="minorHAnsi"/>
                <w:sz w:val="20"/>
                <w:szCs w:val="20"/>
              </w:rPr>
            </w:pPr>
            <w:r w:rsidRPr="00C61672">
              <w:rPr>
                <w:rFonts w:eastAsiaTheme="minorHAnsi" w:cstheme="minorHAnsi"/>
                <w:sz w:val="20"/>
                <w:szCs w:val="20"/>
              </w:rPr>
              <w:t>19·3</w:t>
            </w:r>
          </w:p>
        </w:tc>
      </w:tr>
    </w:tbl>
    <w:p w14:paraId="56772D1C" w14:textId="77777777" w:rsidR="004422A6" w:rsidRDefault="004422A6" w:rsidP="007737EC">
      <w:pPr>
        <w:pStyle w:val="NoSpacing"/>
      </w:pPr>
      <w:r>
        <w:t>(The values in parentheses are t-statistics. A one-tailed test is used.)</w:t>
      </w:r>
    </w:p>
    <w:p w14:paraId="350A6F0D" w14:textId="77777777" w:rsidR="004422A6" w:rsidRDefault="004422A6" w:rsidP="007737EC">
      <w:pPr>
        <w:pStyle w:val="NoSpacing"/>
      </w:pPr>
      <w:r>
        <w:t>*Statistically significant at .95 level of confidence.</w:t>
      </w:r>
    </w:p>
    <w:p w14:paraId="256E7C3A" w14:textId="6C53246E" w:rsidR="00F47461" w:rsidRPr="00652367" w:rsidRDefault="004422A6" w:rsidP="007737EC">
      <w:pPr>
        <w:pStyle w:val="NoSpacing"/>
      </w:pPr>
      <w:r>
        <w:t>**Statistically significant at .99 level of confidence.</w:t>
      </w:r>
    </w:p>
    <w:p w14:paraId="340A0829" w14:textId="2397ED4B" w:rsidR="00641BD0" w:rsidRPr="00A36509" w:rsidRDefault="00641BD0" w:rsidP="00A36509"/>
    <w:p w14:paraId="70938F28" w14:textId="311A4D94" w:rsidR="00A36509" w:rsidRPr="00A36509" w:rsidRDefault="00A36509" w:rsidP="00A36509">
      <w:r w:rsidRPr="00A36509">
        <w:t>market power proxy, advertising intensity, also take the expected negative</w:t>
      </w:r>
      <w:r w:rsidR="00515B78">
        <w:t xml:space="preserve"> </w:t>
      </w:r>
      <w:r w:rsidRPr="00A36509">
        <w:t>signs in both equations. However, the advertising coefficient is not significantly</w:t>
      </w:r>
      <w:r w:rsidR="00515B78">
        <w:t xml:space="preserve"> </w:t>
      </w:r>
      <w:r w:rsidRPr="00A36509">
        <w:t>different from zero in the consumer goods subsample, while it is</w:t>
      </w:r>
      <w:r w:rsidR="00515B78">
        <w:t xml:space="preserve"> </w:t>
      </w:r>
      <w:r w:rsidRPr="00A36509">
        <w:t>highly significant in the producer goods subsample. This, of course, is exactly</w:t>
      </w:r>
      <w:r w:rsidR="00515B78">
        <w:t xml:space="preserve"> </w:t>
      </w:r>
      <w:r w:rsidRPr="00A36509">
        <w:t>the opposite of what should be expected. It suggests rather strongly that</w:t>
      </w:r>
      <w:r w:rsidR="00515B78">
        <w:t xml:space="preserve"> </w:t>
      </w:r>
      <w:r w:rsidRPr="00A36509">
        <w:t>advertising intensity is not serving as a useful proxy for product differentiation-based market power. In any event, the results with the concentration</w:t>
      </w:r>
      <w:r w:rsidR="00515B78">
        <w:t xml:space="preserve"> </w:t>
      </w:r>
      <w:r w:rsidRPr="00A36509">
        <w:t>variable along with these perverse results with the advertising variable do</w:t>
      </w:r>
      <w:r w:rsidR="00515B78">
        <w:t xml:space="preserve"> </w:t>
      </w:r>
      <w:r w:rsidRPr="00A36509">
        <w:t>not support the view that market power is inversely related to the wageshare.</w:t>
      </w:r>
      <w:r w:rsidRPr="008F403C">
        <w:rPr>
          <w:vertAlign w:val="superscript"/>
        </w:rPr>
        <w:t>16</w:t>
      </w:r>
    </w:p>
    <w:p w14:paraId="67FA41C8" w14:textId="2732FAFA" w:rsidR="00A36509" w:rsidRPr="00652367" w:rsidRDefault="00A36509" w:rsidP="00A36509">
      <w:r w:rsidRPr="00652367">
        <w:t>The union coverage variable also performs poorly in the wage share</w:t>
      </w:r>
      <w:r w:rsidR="006D29A2" w:rsidRPr="00652367">
        <w:t xml:space="preserve"> </w:t>
      </w:r>
      <w:r w:rsidRPr="00652367">
        <w:t xml:space="preserve">equations. The coefficients take the anticipated positive </w:t>
      </w:r>
      <w:r w:rsidR="006D29A2" w:rsidRPr="00652367">
        <w:t>signs but</w:t>
      </w:r>
      <w:r w:rsidRPr="00652367">
        <w:t xml:space="preserve"> are</w:t>
      </w:r>
      <w:r w:rsidR="006D29A2" w:rsidRPr="00652367">
        <w:t xml:space="preserve"> </w:t>
      </w:r>
      <w:r w:rsidRPr="00652367">
        <w:t>statistically insignificant. The one variable which clearly plays the predominant</w:t>
      </w:r>
      <w:r w:rsidR="006D29A2" w:rsidRPr="00652367">
        <w:t xml:space="preserve"> </w:t>
      </w:r>
      <w:r w:rsidRPr="00652367">
        <w:t>role in explaining inter-industry variations in the wage share is capital</w:t>
      </w:r>
      <w:r w:rsidR="006D29A2" w:rsidRPr="00652367">
        <w:t xml:space="preserve"> </w:t>
      </w:r>
      <w:r w:rsidRPr="00652367">
        <w:t>intensity. It has a highly significant, negative effect in both equations (1)</w:t>
      </w:r>
      <w:r w:rsidR="006D29A2" w:rsidRPr="00652367">
        <w:t xml:space="preserve"> </w:t>
      </w:r>
      <w:r w:rsidRPr="00652367">
        <w:t>and (2). In fact, a simple regression of wage share on the capital intensity</w:t>
      </w:r>
      <w:r w:rsidR="006D29A2" w:rsidRPr="00652367">
        <w:t xml:space="preserve"> </w:t>
      </w:r>
      <w:r w:rsidRPr="00652367">
        <w:t>variable performs almost as well in explaining the wage share variation as do</w:t>
      </w:r>
      <w:r w:rsidR="006D29A2" w:rsidRPr="00652367">
        <w:t xml:space="preserve"> </w:t>
      </w:r>
      <w:r w:rsidRPr="00652367">
        <w:t>equations (1) and (2).</w:t>
      </w:r>
      <w:r w:rsidR="006D29A2" w:rsidRPr="00652367">
        <w:t xml:space="preserve">  </w:t>
      </w:r>
      <w:r w:rsidRPr="00652367">
        <w:t xml:space="preserve">It should be noted that the concentration variable </w:t>
      </w:r>
      <w:r w:rsidRPr="00652367">
        <w:rPr>
          <w:i/>
          <w:iCs/>
        </w:rPr>
        <w:t xml:space="preserve">is </w:t>
      </w:r>
      <w:r w:rsidRPr="00652367">
        <w:t>inversely correlated</w:t>
      </w:r>
      <w:r w:rsidR="006D29A2" w:rsidRPr="00652367">
        <w:t xml:space="preserve"> </w:t>
      </w:r>
      <w:r w:rsidRPr="00652367">
        <w:t>with the wage share-the simple correlations are -0.50 in the consumer</w:t>
      </w:r>
      <w:r w:rsidR="006D29A2" w:rsidRPr="00652367">
        <w:t xml:space="preserve"> </w:t>
      </w:r>
      <w:r w:rsidRPr="00652367">
        <w:t>subsample and -0.20 in the producer subsample. However, it is also correlated</w:t>
      </w:r>
      <w:r w:rsidR="006D29A2" w:rsidRPr="00652367">
        <w:t xml:space="preserve"> </w:t>
      </w:r>
      <w:r w:rsidRPr="00652367">
        <w:t xml:space="preserve">with the capital intensity measure ($0.51 and </w:t>
      </w:r>
      <w:r w:rsidR="008449D3">
        <w:t>$</w:t>
      </w:r>
      <w:r w:rsidRPr="00652367">
        <w:t>0.33 for consumer and</w:t>
      </w:r>
      <w:r w:rsidR="006D29A2" w:rsidRPr="00652367">
        <w:t xml:space="preserve"> </w:t>
      </w:r>
      <w:r w:rsidRPr="00652367">
        <w:t>producer goods subsamples, respectively) and its inclusion in equations (1)</w:t>
      </w:r>
      <w:r w:rsidR="006D29A2" w:rsidRPr="00652367">
        <w:t xml:space="preserve"> </w:t>
      </w:r>
      <w:r w:rsidRPr="00652367">
        <w:t>and (2) adds very little to the explanatory power provided by the c</w:t>
      </w:r>
      <w:r w:rsidR="00EF3916" w:rsidRPr="00652367">
        <w:t xml:space="preserve">apital </w:t>
      </w:r>
      <w:proofErr w:type="spellStart"/>
      <w:r w:rsidR="00EF3916" w:rsidRPr="00652367">
        <w:t>labour</w:t>
      </w:r>
      <w:proofErr w:type="spellEnd"/>
      <w:r w:rsidR="00EF3916" w:rsidRPr="00652367">
        <w:t xml:space="preserve"> ratio.</w:t>
      </w:r>
      <w:r w:rsidRPr="0014356F">
        <w:rPr>
          <w:vertAlign w:val="superscript"/>
        </w:rPr>
        <w:t>17</w:t>
      </w:r>
      <w:r w:rsidR="00316B07" w:rsidRPr="00652367">
        <w:t xml:space="preserve"> </w:t>
      </w:r>
      <w:r w:rsidRPr="00652367">
        <w:t>Overall, our results with the wage share contrast sharply with those of</w:t>
      </w:r>
      <w:r w:rsidR="00316B07" w:rsidRPr="00652367">
        <w:t xml:space="preserve"> </w:t>
      </w:r>
      <w:r w:rsidRPr="00652367">
        <w:t>the Gill study.</w:t>
      </w:r>
      <w:r w:rsidR="00316B07" w:rsidRPr="0014356F">
        <w:rPr>
          <w:vertAlign w:val="superscript"/>
        </w:rPr>
        <w:t>18</w:t>
      </w:r>
      <w:r w:rsidRPr="00652367">
        <w:t xml:space="preserve"> Product market power and union power do not appear to</w:t>
      </w:r>
      <w:r w:rsidR="00316B07" w:rsidRPr="00652367">
        <w:t xml:space="preserve"> </w:t>
      </w:r>
      <w:r w:rsidRPr="00652367">
        <w:t>have an important influence on the wage share. Rather, it is capital intensity</w:t>
      </w:r>
      <w:r w:rsidR="00316B07" w:rsidRPr="00652367">
        <w:t xml:space="preserve"> </w:t>
      </w:r>
      <w:r w:rsidRPr="00652367">
        <w:t>which appears to be the major determinant.</w:t>
      </w:r>
    </w:p>
    <w:p w14:paraId="1EFF9B56" w14:textId="14DDE14B" w:rsidR="00301407" w:rsidRPr="00301407" w:rsidRDefault="00A36509" w:rsidP="00301407">
      <w:pPr>
        <w:pStyle w:val="Heading1"/>
        <w:rPr>
          <w:color w:val="auto"/>
        </w:rPr>
      </w:pPr>
      <w:r w:rsidRPr="00301407">
        <w:rPr>
          <w:color w:val="auto"/>
        </w:rPr>
        <w:t>R</w:t>
      </w:r>
      <w:r w:rsidR="005F5E77">
        <w:rPr>
          <w:color w:val="auto"/>
        </w:rPr>
        <w:t>esults</w:t>
      </w:r>
      <w:r w:rsidR="00BB0F90" w:rsidRPr="00301407">
        <w:rPr>
          <w:color w:val="auto"/>
        </w:rPr>
        <w:t xml:space="preserve"> for salary share</w:t>
      </w:r>
    </w:p>
    <w:p w14:paraId="2873CE58" w14:textId="728E5263" w:rsidR="00A36509" w:rsidRPr="00652367" w:rsidRDefault="00A36509" w:rsidP="00A36509">
      <w:r w:rsidRPr="00652367">
        <w:t>Equations (3) and (4) show our results with salary share for the consumer</w:t>
      </w:r>
      <w:r w:rsidR="00301407" w:rsidRPr="00652367">
        <w:t xml:space="preserve"> </w:t>
      </w:r>
      <w:r w:rsidRPr="00652367">
        <w:t>arid producer goods subsamples. C-M expected that the salary share would</w:t>
      </w:r>
      <w:r w:rsidR="00581633" w:rsidRPr="00652367">
        <w:t xml:space="preserve"> </w:t>
      </w:r>
      <w:r w:rsidRPr="00652367">
        <w:t>be invariant to market power if salary shares were competitively determined,</w:t>
      </w:r>
      <w:r w:rsidR="00581633" w:rsidRPr="00652367">
        <w:t xml:space="preserve"> </w:t>
      </w:r>
      <w:r w:rsidRPr="00652367">
        <w:t xml:space="preserve">or </w:t>
      </w:r>
      <w:r w:rsidRPr="00652367">
        <w:rPr>
          <w:i/>
          <w:iCs/>
        </w:rPr>
        <w:t xml:space="preserve">positively </w:t>
      </w:r>
      <w:r w:rsidRPr="00652367">
        <w:t>related to market power in a world of “managerial capitalism”.</w:t>
      </w:r>
      <w:r w:rsidR="00581633" w:rsidRPr="00652367">
        <w:t xml:space="preserve">  </w:t>
      </w:r>
      <w:r w:rsidRPr="00652367">
        <w:t>While their results provided modest support for the “managerial capitalism”</w:t>
      </w:r>
      <w:r w:rsidR="00581633" w:rsidRPr="00652367">
        <w:t xml:space="preserve"> </w:t>
      </w:r>
      <w:r w:rsidRPr="00652367">
        <w:t>hypothesis, our results do not. In both equations (3) and (4), the coefficients</w:t>
      </w:r>
      <w:r w:rsidR="00581633" w:rsidRPr="00652367">
        <w:t xml:space="preserve"> </w:t>
      </w:r>
      <w:r w:rsidRPr="00652367">
        <w:t>on the concentration variable have positive signs but are very weak and</w:t>
      </w:r>
      <w:r w:rsidR="00581633" w:rsidRPr="00652367">
        <w:t xml:space="preserve"> </w:t>
      </w:r>
      <w:r w:rsidRPr="00652367">
        <w:t>insignificant. The advertising variable again performs somewhat perversely.</w:t>
      </w:r>
      <w:r w:rsidR="005F5E77" w:rsidRPr="00652367">
        <w:t xml:space="preserve">  </w:t>
      </w:r>
      <w:r w:rsidRPr="00652367">
        <w:t>While its coefficient is negative but not significantly different from zero for</w:t>
      </w:r>
      <w:r w:rsidR="00652367" w:rsidRPr="00652367">
        <w:t xml:space="preserve"> </w:t>
      </w:r>
      <w:r w:rsidRPr="00652367">
        <w:t>consumer goods, it is positive and statistically significant for producer goods.</w:t>
      </w:r>
      <w:r w:rsidR="00703350" w:rsidRPr="00652367">
        <w:t xml:space="preserve">  </w:t>
      </w:r>
      <w:r w:rsidRPr="00652367">
        <w:t>As before, it does not appear that advertising is serving as a useful proxy for</w:t>
      </w:r>
      <w:r w:rsidR="00703350" w:rsidRPr="00652367">
        <w:t xml:space="preserve"> </w:t>
      </w:r>
      <w:r w:rsidRPr="00652367">
        <w:t>market power. The union coverage variable is again statistically weak and</w:t>
      </w:r>
      <w:r w:rsidR="00703350" w:rsidRPr="00652367">
        <w:t xml:space="preserve"> </w:t>
      </w:r>
      <w:r w:rsidRPr="00652367">
        <w:t>insignificant, which in the case of salary share is to be expected, since the</w:t>
      </w:r>
      <w:r w:rsidR="00703350" w:rsidRPr="00652367">
        <w:t xml:space="preserve"> </w:t>
      </w:r>
      <w:r w:rsidRPr="00652367">
        <w:t>measure is based on union coverage of production workers only.</w:t>
      </w:r>
      <w:r w:rsidR="00703350" w:rsidRPr="00652367">
        <w:t xml:space="preserve">  </w:t>
      </w:r>
      <w:r w:rsidRPr="00652367">
        <w:t>As with the wage share, the one independent variable which appears to</w:t>
      </w:r>
      <w:r w:rsidR="00703350" w:rsidRPr="00652367">
        <w:t xml:space="preserve"> </w:t>
      </w:r>
      <w:r w:rsidRPr="00652367">
        <w:t>be most important in explaining inter-industry variations in salary share is</w:t>
      </w:r>
      <w:r w:rsidR="00703350" w:rsidRPr="00652367">
        <w:t xml:space="preserve"> </w:t>
      </w:r>
      <w:r w:rsidRPr="00652367">
        <w:t>capital intensity. Its effect appears to be somewhat stronger for producer</w:t>
      </w:r>
      <w:r w:rsidR="00703350" w:rsidRPr="00652367">
        <w:t xml:space="preserve"> </w:t>
      </w:r>
      <w:r w:rsidRPr="00652367">
        <w:t xml:space="preserve">goods, but it has a statistically significant, negative effect for both </w:t>
      </w:r>
      <w:r w:rsidR="00703350" w:rsidRPr="00652367">
        <w:t>subsamples, a</w:t>
      </w:r>
      <w:r w:rsidRPr="00652367">
        <w:t xml:space="preserve"> result consistent with </w:t>
      </w:r>
      <w:r w:rsidR="00703350" w:rsidRPr="00652367">
        <w:t>C-</w:t>
      </w:r>
      <w:r w:rsidRPr="00652367">
        <w:t>M.</w:t>
      </w:r>
    </w:p>
    <w:p w14:paraId="413F2C65" w14:textId="29070018" w:rsidR="000C08AE" w:rsidRPr="00703350" w:rsidRDefault="000C08AE" w:rsidP="00703350">
      <w:pPr>
        <w:pStyle w:val="Heading1"/>
        <w:rPr>
          <w:color w:val="auto"/>
        </w:rPr>
      </w:pPr>
      <w:r w:rsidRPr="00703350">
        <w:rPr>
          <w:color w:val="auto"/>
        </w:rPr>
        <w:t>Concluding Remarks</w:t>
      </w:r>
    </w:p>
    <w:p w14:paraId="537B94A4" w14:textId="2C4A5842" w:rsidR="00A36509" w:rsidRDefault="00A36509" w:rsidP="006B7132">
      <w:r w:rsidRPr="00A36509">
        <w:t>Our results with data for a large sample of U.S. manufacturing industries</w:t>
      </w:r>
      <w:r w:rsidR="007A65FA">
        <w:t xml:space="preserve"> </w:t>
      </w:r>
      <w:r w:rsidRPr="00A36509">
        <w:t>offer little evidence that product market power is systematically related</w:t>
      </w:r>
      <w:r w:rsidR="007A65FA">
        <w:t xml:space="preserve"> </w:t>
      </w:r>
      <w:r w:rsidRPr="00A36509">
        <w:t xml:space="preserve">to </w:t>
      </w:r>
      <w:r w:rsidRPr="00A36509">
        <w:rPr>
          <w:i/>
          <w:iCs/>
        </w:rPr>
        <w:t xml:space="preserve">either </w:t>
      </w:r>
      <w:r w:rsidRPr="00A36509">
        <w:t xml:space="preserve">the share of production worker wages in value added </w:t>
      </w:r>
      <w:r w:rsidRPr="00A36509">
        <w:rPr>
          <w:i/>
          <w:iCs/>
        </w:rPr>
        <w:t xml:space="preserve">or </w:t>
      </w:r>
      <w:r w:rsidRPr="00A36509">
        <w:t>the share of</w:t>
      </w:r>
      <w:r w:rsidR="007A65FA">
        <w:t xml:space="preserve"> </w:t>
      </w:r>
      <w:r w:rsidRPr="00A36509">
        <w:t>non-production worker salaries in value added. After allowing for variations</w:t>
      </w:r>
      <w:r w:rsidR="007A65FA">
        <w:t xml:space="preserve"> </w:t>
      </w:r>
      <w:r w:rsidRPr="00A36509">
        <w:t>in capital intensity, a measure of market concentration contributed little to</w:t>
      </w:r>
      <w:r w:rsidR="007A65FA">
        <w:t xml:space="preserve"> </w:t>
      </w:r>
      <w:r w:rsidRPr="00A36509">
        <w:t>the explanation of wage and salary shares, while in our more refined tests</w:t>
      </w:r>
      <w:r w:rsidR="007A65FA">
        <w:t xml:space="preserve"> </w:t>
      </w:r>
      <w:r w:rsidRPr="00A36509">
        <w:t>advertising intensity appeared to be related to wage and salary shares only</w:t>
      </w:r>
      <w:r w:rsidR="007A65FA">
        <w:t xml:space="preserve"> </w:t>
      </w:r>
      <w:r w:rsidRPr="00A36509">
        <w:t>in producer goods industries, a rather unsatisfactory result. Our findings</w:t>
      </w:r>
      <w:r w:rsidR="007A65FA">
        <w:t xml:space="preserve"> </w:t>
      </w:r>
      <w:r w:rsidRPr="00A36509">
        <w:t xml:space="preserve">here differ sharply from those of Cowling and </w:t>
      </w:r>
      <w:proofErr w:type="spellStart"/>
      <w:r w:rsidRPr="00A36509">
        <w:t>Molho</w:t>
      </w:r>
      <w:proofErr w:type="spellEnd"/>
      <w:r w:rsidRPr="00A36509">
        <w:t xml:space="preserve"> for the U.K., indicating</w:t>
      </w:r>
      <w:r w:rsidR="007A65FA">
        <w:t xml:space="preserve"> </w:t>
      </w:r>
      <w:r w:rsidRPr="00A36509">
        <w:t>We also found little support, consistent with GM, for the hypothesis</w:t>
      </w:r>
      <w:r w:rsidR="007A65FA">
        <w:t xml:space="preserve"> </w:t>
      </w:r>
      <w:r w:rsidRPr="00A36509">
        <w:t>that union power can positively affect the wage share. This is also an important</w:t>
      </w:r>
      <w:r w:rsidR="007A65FA">
        <w:t xml:space="preserve"> </w:t>
      </w:r>
      <w:r w:rsidRPr="00A36509">
        <w:t>question in need of further research.</w:t>
      </w:r>
      <w:r w:rsidR="00014A7B">
        <w:t xml:space="preserve">  </w:t>
      </w:r>
      <w:r w:rsidRPr="00A36509">
        <w:t>The one variable which consistently performed well in both our wage</w:t>
      </w:r>
      <w:r w:rsidR="00014A7B">
        <w:t xml:space="preserve"> </w:t>
      </w:r>
      <w:r w:rsidRPr="00A36509">
        <w:t>share and salary share equations was capital intensity. The strong, negative</w:t>
      </w:r>
      <w:r w:rsidR="00014A7B">
        <w:t xml:space="preserve"> </w:t>
      </w:r>
      <w:r w:rsidRPr="00A36509">
        <w:t>relationship we found between capital intensity and the wage share is</w:t>
      </w:r>
      <w:r w:rsidR="00014A7B">
        <w:t xml:space="preserve"> </w:t>
      </w:r>
      <w:r w:rsidRPr="00A36509">
        <w:t>consistent with theoretical expectations, while the negative relationship</w:t>
      </w:r>
      <w:r w:rsidR="00014A7B">
        <w:t xml:space="preserve"> </w:t>
      </w:r>
      <w:r w:rsidRPr="00A36509">
        <w:t>between capital intensity and the salary share is also a plausible outcome.</w:t>
      </w:r>
      <w:r w:rsidR="00014A7B">
        <w:t xml:space="preserve">  </w:t>
      </w:r>
      <w:r w:rsidRPr="00A36509">
        <w:t>Thus, capital intensity, rather than market power, emerges from our study</w:t>
      </w:r>
      <w:r w:rsidR="00014A7B">
        <w:t xml:space="preserve"> </w:t>
      </w:r>
      <w:r w:rsidRPr="00A36509">
        <w:t>as the major determinant of wage and salary shares.</w:t>
      </w:r>
    </w:p>
    <w:p w14:paraId="3B28B631" w14:textId="6001702E" w:rsidR="007C13E6" w:rsidRDefault="007C13E6" w:rsidP="007C13E6">
      <w:pPr>
        <w:pStyle w:val="Heading1"/>
        <w:rPr>
          <w:color w:val="auto"/>
        </w:rPr>
      </w:pPr>
      <w:r w:rsidRPr="007C13E6">
        <w:rPr>
          <w:color w:val="auto"/>
        </w:rPr>
        <w:t>Footnotes</w:t>
      </w:r>
    </w:p>
    <w:p w14:paraId="1A7887C3" w14:textId="77777777" w:rsidR="007C13E6" w:rsidRPr="007C13E6" w:rsidRDefault="007C13E6" w:rsidP="007C13E6">
      <w:r w:rsidRPr="007C13E6">
        <w:t>*Manuscript received 28.6.83; final version received 30.8.84.</w:t>
      </w:r>
    </w:p>
    <w:p w14:paraId="1CFD03FB" w14:textId="77777777" w:rsidR="007C13E6" w:rsidRPr="007C13E6" w:rsidRDefault="007C13E6" w:rsidP="007737EC">
      <w:pPr>
        <w:pStyle w:val="NoSpacing"/>
        <w:ind w:left="720" w:hanging="720"/>
      </w:pPr>
      <w:r w:rsidRPr="007C13E6">
        <w:t>+We gratefully acknowledge the constructive comments of two anonymous referees.</w:t>
      </w:r>
    </w:p>
    <w:p w14:paraId="318E7A3E" w14:textId="77777777" w:rsidR="007C13E6" w:rsidRPr="007C13E6" w:rsidRDefault="007C13E6" w:rsidP="007737EC">
      <w:pPr>
        <w:pStyle w:val="NoSpacing"/>
        <w:ind w:left="720" w:hanging="720"/>
      </w:pPr>
      <w:r w:rsidRPr="007C13E6">
        <w:rPr>
          <w:vertAlign w:val="superscript"/>
        </w:rPr>
        <w:t>1</w:t>
      </w:r>
      <w:r w:rsidRPr="007C13E6">
        <w:t xml:space="preserve"> Additional </w:t>
      </w:r>
      <w:proofErr w:type="gramStart"/>
      <w:r w:rsidRPr="007C13E6">
        <w:t>tests</w:t>
      </w:r>
      <w:proofErr w:type="gramEnd"/>
      <w:r w:rsidRPr="007C13E6">
        <w:t xml:space="preserve"> were run for 1973, but lack of data necessitated the elimination of some</w:t>
      </w:r>
    </w:p>
    <w:p w14:paraId="41F46FFE" w14:textId="77777777" w:rsidR="007C13E6" w:rsidRPr="007C13E6" w:rsidRDefault="007C13E6" w:rsidP="007737EC">
      <w:pPr>
        <w:pStyle w:val="NoSpacing"/>
        <w:ind w:left="720" w:hanging="720"/>
      </w:pPr>
      <w:r w:rsidRPr="007C13E6">
        <w:t xml:space="preserve">417 of the variables from the regression equations. </w:t>
      </w:r>
    </w:p>
    <w:p w14:paraId="34A688AF" w14:textId="77777777" w:rsidR="00FC0BA7" w:rsidRPr="00FC0BA7" w:rsidRDefault="00FC0BA7" w:rsidP="007737EC">
      <w:pPr>
        <w:pStyle w:val="NoSpacing"/>
        <w:ind w:left="720" w:hanging="720"/>
      </w:pPr>
      <w:r w:rsidRPr="00FC0BA7">
        <w:rPr>
          <w:vertAlign w:val="superscript"/>
        </w:rPr>
        <w:t>2</w:t>
      </w:r>
      <w:r w:rsidRPr="00FC0BA7">
        <w:t xml:space="preserve"> For the theory underlying the model, see Cowling and </w:t>
      </w:r>
      <w:proofErr w:type="spellStart"/>
      <w:r w:rsidRPr="00FC0BA7">
        <w:t>Molho</w:t>
      </w:r>
      <w:proofErr w:type="spellEnd"/>
      <w:r w:rsidRPr="00FC0BA7">
        <w:t xml:space="preserve"> (1982, pp. 99-102). Also see </w:t>
      </w:r>
      <w:proofErr w:type="spellStart"/>
      <w:r w:rsidRPr="00FC0BA7">
        <w:t>Kalecki</w:t>
      </w:r>
      <w:proofErr w:type="spellEnd"/>
      <w:r w:rsidRPr="00FC0BA7">
        <w:t xml:space="preserve"> (1939); Weintraub (1958); and Maroney and Allen (1969). </w:t>
      </w:r>
    </w:p>
    <w:p w14:paraId="73D67544" w14:textId="77777777" w:rsidR="00FC0BA7" w:rsidRPr="00FC0BA7" w:rsidRDefault="00FC0BA7" w:rsidP="007737EC">
      <w:pPr>
        <w:pStyle w:val="NoSpacing"/>
        <w:ind w:left="720" w:hanging="720"/>
      </w:pPr>
      <w:r w:rsidRPr="00FC0BA7">
        <w:t xml:space="preserve"> </w:t>
      </w:r>
      <w:r w:rsidRPr="00FC0BA7">
        <w:rPr>
          <w:vertAlign w:val="superscript"/>
        </w:rPr>
        <w:t>3</w:t>
      </w:r>
      <w:r w:rsidRPr="00FC0BA7">
        <w:t xml:space="preserve"> The U.S. Bureau of the Census provides extensive data for 412 four-digit manufacturing industries for 1967. We include only 208 industries in our final sample for the following reasons. Fifty-seven industries were excluded because “miscellaneous” or “not elsewhere classified” appeared in their titles. Advertising data were unavailable for ninety industries. Adjusted concentration data were unavailable for ninety-nine industries. Assets data were unavailable for thirty industries. Finally, union coverage data were unavailable for four industries. Some industries were excluded for more than one reason, resulting in a final total of 208 industries. A complete list of all industries included in the sample is available from the authors.  </w:t>
      </w:r>
    </w:p>
    <w:p w14:paraId="055DADCA" w14:textId="77777777" w:rsidR="00FC0BA7" w:rsidRPr="00FC0BA7" w:rsidRDefault="00FC0BA7" w:rsidP="007737EC">
      <w:pPr>
        <w:pStyle w:val="NoSpacing"/>
        <w:ind w:left="720" w:hanging="720"/>
      </w:pPr>
      <w:r w:rsidRPr="00FC0BA7">
        <w:rPr>
          <w:vertAlign w:val="superscript"/>
        </w:rPr>
        <w:t xml:space="preserve">4 </w:t>
      </w:r>
      <w:r w:rsidRPr="00FC0BA7">
        <w:t xml:space="preserve">C-M also included as an additional independent variable the share of imports in total domestic sales. However, they included this measure in their wage share regression only because their concentration measure did not take account of imports. Since our concentration measure (discussed below) has been adjusted for imports. such a measure would be superfluous. C-M offer a second reason for including import share in the </w:t>
      </w:r>
      <w:r w:rsidRPr="00FC0BA7">
        <w:rPr>
          <w:iCs/>
        </w:rPr>
        <w:t xml:space="preserve">salary </w:t>
      </w:r>
      <w:r w:rsidRPr="00FC0BA7">
        <w:t xml:space="preserve">share regressions, based on a “capacity utilization” effect. However, this would clearly be a short-run phenomenon, and there is no reason to anticipate finding such an effect in cross-sectional analysis. </w:t>
      </w:r>
    </w:p>
    <w:p w14:paraId="75E0CA10" w14:textId="5B8A0380" w:rsidR="00FC0BA7" w:rsidRDefault="00FC0BA7" w:rsidP="007737EC">
      <w:pPr>
        <w:pStyle w:val="NoSpacing"/>
        <w:ind w:left="720" w:hanging="720"/>
      </w:pPr>
      <w:r w:rsidRPr="00FC0BA7">
        <w:t xml:space="preserve"> </w:t>
      </w:r>
      <w:r w:rsidRPr="00FC0BA7">
        <w:rPr>
          <w:vertAlign w:val="superscript"/>
        </w:rPr>
        <w:t xml:space="preserve">5 </w:t>
      </w:r>
      <w:r w:rsidRPr="00FC0BA7">
        <w:t xml:space="preserve">The Weiss-Pascoe corrected concentration data pertain to 1972. To estimate corrected 1967 ratios, the Weiss-Pascoe figures were multiplied by the ratio of the 1967 Census concentration ratios to the 1972 Census concentration ratios. See U.S. Bureau of the Census (1971a and 1975). </w:t>
      </w:r>
    </w:p>
    <w:p w14:paraId="0F0800BC" w14:textId="77777777" w:rsidR="00FC0BA7" w:rsidRPr="00FC0BA7" w:rsidRDefault="00FC0BA7" w:rsidP="007737EC">
      <w:pPr>
        <w:pStyle w:val="NoSpacing"/>
        <w:ind w:left="720" w:hanging="720"/>
        <w:rPr>
          <w:bCs/>
        </w:rPr>
      </w:pPr>
      <w:r w:rsidRPr="00FC0BA7">
        <w:rPr>
          <w:bCs/>
          <w:vertAlign w:val="superscript"/>
        </w:rPr>
        <w:t>6</w:t>
      </w:r>
      <w:r w:rsidRPr="00FC0BA7">
        <w:rPr>
          <w:bCs/>
        </w:rPr>
        <w:t xml:space="preserve"> These data relate to 1968-72 and are available only at the three-digit level of aggregation.  Therefore, each four-digit industry in our sample takes the value for the three-digit industry group of which it is s part. </w:t>
      </w:r>
    </w:p>
    <w:p w14:paraId="4110F5A7" w14:textId="77777777" w:rsidR="00FC0BA7" w:rsidRPr="00FC0BA7" w:rsidRDefault="00FC0BA7" w:rsidP="007737EC">
      <w:pPr>
        <w:pStyle w:val="NoSpacing"/>
        <w:ind w:left="720" w:hanging="720"/>
        <w:rPr>
          <w:bCs/>
        </w:rPr>
      </w:pPr>
      <w:r w:rsidRPr="00FC0BA7">
        <w:rPr>
          <w:bCs/>
        </w:rPr>
        <w:t xml:space="preserve"> </w:t>
      </w:r>
      <w:r w:rsidRPr="00FC0BA7">
        <w:rPr>
          <w:bCs/>
          <w:vertAlign w:val="superscript"/>
        </w:rPr>
        <w:t>7</w:t>
      </w:r>
      <w:r w:rsidRPr="00FC0BA7">
        <w:rPr>
          <w:bCs/>
        </w:rPr>
        <w:t xml:space="preserve"> They also presented 1968 results using a Herfindah1 measure of concentration and an alternative measure of union pressure based on the extent of strike activity. The choice of concentration and union pressure measures appeared to make little difference. See Cowling and </w:t>
      </w:r>
      <w:proofErr w:type="spellStart"/>
      <w:r w:rsidRPr="00FC0BA7">
        <w:rPr>
          <w:bCs/>
        </w:rPr>
        <w:t>molho</w:t>
      </w:r>
      <w:proofErr w:type="spellEnd"/>
      <w:r w:rsidRPr="00FC0BA7">
        <w:rPr>
          <w:bCs/>
        </w:rPr>
        <w:t xml:space="preserve"> (1982, p. 109). </w:t>
      </w:r>
    </w:p>
    <w:p w14:paraId="42ACDAD7" w14:textId="77777777" w:rsidR="00FC0BA7" w:rsidRPr="00FC0BA7" w:rsidRDefault="00FC0BA7" w:rsidP="007737EC">
      <w:pPr>
        <w:pStyle w:val="NoSpacing"/>
        <w:ind w:left="720" w:hanging="720"/>
        <w:rPr>
          <w:bCs/>
        </w:rPr>
      </w:pPr>
      <w:r w:rsidRPr="00FC0BA7">
        <w:rPr>
          <w:bCs/>
          <w:vertAlign w:val="superscript"/>
        </w:rPr>
        <w:t>8</w:t>
      </w:r>
      <w:r w:rsidRPr="00FC0BA7">
        <w:rPr>
          <w:bCs/>
        </w:rPr>
        <w:t xml:space="preserve"> Weintraub (1958), for example, explicitly used the capital-labor ratio in his model.  However. an anonymous referee has suggested that our measure of capital intensity may introduce simultaneous equation bias, since the quantity of labor appears implicitly in the numerator of the dependent variable and explicitly in the denominator of our capital intensity variable. However, there are three other terms embodied in these two variables. To the extent that these terms have significant variances of their own, simultaneity should not be a problem. The use of an instrumental variable of a form suggested by Durbin (1954) in place of the capital-labor ratio produced very similar results. These results are available from the authors.  </w:t>
      </w:r>
    </w:p>
    <w:p w14:paraId="7C543568" w14:textId="77777777" w:rsidR="00FC0BA7" w:rsidRPr="00FC0BA7" w:rsidRDefault="00FC0BA7" w:rsidP="007737EC">
      <w:pPr>
        <w:pStyle w:val="NoSpacing"/>
        <w:ind w:left="720" w:hanging="720"/>
        <w:rPr>
          <w:bCs/>
        </w:rPr>
      </w:pPr>
      <w:r w:rsidRPr="00FC0BA7">
        <w:rPr>
          <w:bCs/>
          <w:vertAlign w:val="superscript"/>
        </w:rPr>
        <w:t xml:space="preserve">9 </w:t>
      </w:r>
      <w:r w:rsidRPr="00FC0BA7">
        <w:rPr>
          <w:bCs/>
        </w:rPr>
        <w:t xml:space="preserve">This measure is estimated for each industry by multiplying the ratio of production worker wages to value added by the ratio of total </w:t>
      </w:r>
      <w:proofErr w:type="spellStart"/>
      <w:r w:rsidRPr="00FC0BA7">
        <w:rPr>
          <w:bCs/>
        </w:rPr>
        <w:t>labour</w:t>
      </w:r>
      <w:proofErr w:type="spellEnd"/>
      <w:r w:rsidRPr="00FC0BA7">
        <w:rPr>
          <w:bCs/>
        </w:rPr>
        <w:t xml:space="preserve"> costs to payroll for all employees. An alternative measure of the wage share, simply the ratio of production worker wages to value added, produced very similar results. </w:t>
      </w:r>
    </w:p>
    <w:p w14:paraId="4591C5AD" w14:textId="256D6669" w:rsidR="00FC0BA7" w:rsidRDefault="00FC0BA7" w:rsidP="007737EC">
      <w:pPr>
        <w:pStyle w:val="NoSpacing"/>
        <w:ind w:left="720" w:hanging="720"/>
        <w:rPr>
          <w:bCs/>
        </w:rPr>
      </w:pPr>
      <w:r w:rsidRPr="00FC0BA7">
        <w:rPr>
          <w:bCs/>
          <w:vertAlign w:val="superscript"/>
        </w:rPr>
        <w:t>10</w:t>
      </w:r>
      <w:r w:rsidRPr="00FC0BA7">
        <w:rPr>
          <w:bCs/>
        </w:rPr>
        <w:t xml:space="preserve"> For each industry, absolute advertising expenditures were estimated by multiplying the industry’s advertising-sales ratio by its sales (value of shipments).</w:t>
      </w:r>
    </w:p>
    <w:p w14:paraId="62D50527" w14:textId="77777777" w:rsidR="00FC0BA7" w:rsidRPr="00FC0BA7" w:rsidRDefault="00FC0BA7" w:rsidP="007737EC">
      <w:pPr>
        <w:pStyle w:val="NoSpacing"/>
        <w:ind w:left="720" w:hanging="720"/>
      </w:pPr>
      <w:r w:rsidRPr="00FC0BA7">
        <w:rPr>
          <w:vertAlign w:val="superscript"/>
        </w:rPr>
        <w:t>11</w:t>
      </w:r>
      <w:r w:rsidRPr="00FC0BA7">
        <w:t xml:space="preserve"> For a detailed discussion of the Census Bureau’s </w:t>
      </w:r>
      <w:proofErr w:type="gramStart"/>
      <w:r w:rsidRPr="00FC0BA7">
        <w:t>value added</w:t>
      </w:r>
      <w:proofErr w:type="gramEnd"/>
      <w:r w:rsidRPr="00FC0BA7">
        <w:t xml:space="preserve"> concept, see U.S. Bureau of the Census (1975, Appendix).</w:t>
      </w:r>
    </w:p>
    <w:p w14:paraId="21338DCD" w14:textId="77777777" w:rsidR="00FC0BA7" w:rsidRPr="00FC0BA7" w:rsidRDefault="00FC0BA7" w:rsidP="007737EC">
      <w:pPr>
        <w:pStyle w:val="NoSpacing"/>
        <w:ind w:left="720" w:hanging="720"/>
      </w:pPr>
      <w:r w:rsidRPr="00FC0BA7">
        <w:rPr>
          <w:vertAlign w:val="superscript"/>
        </w:rPr>
        <w:t>12</w:t>
      </w:r>
      <w:r w:rsidRPr="00FC0BA7">
        <w:t xml:space="preserve"> The salaries and fringes of non-production workers for each industry are estimated by subtracting from the industry’s total labor costs the wages and fringes of production workers, as previously estimated. An alternative measure of salary share, the ratio of non-production worker payroll to value added, produced very similar results.</w:t>
      </w:r>
    </w:p>
    <w:p w14:paraId="51D3A2C6" w14:textId="77777777" w:rsidR="00FC0BA7" w:rsidRPr="00FC0BA7" w:rsidRDefault="00FC0BA7" w:rsidP="007737EC">
      <w:pPr>
        <w:pStyle w:val="NoSpacing"/>
        <w:ind w:left="720" w:hanging="720"/>
      </w:pPr>
      <w:r w:rsidRPr="00FC0BA7">
        <w:rPr>
          <w:vertAlign w:val="superscript"/>
        </w:rPr>
        <w:t>13</w:t>
      </w:r>
      <w:r w:rsidRPr="00FC0BA7">
        <w:rPr>
          <w:i/>
          <w:iCs/>
        </w:rPr>
        <w:t xml:space="preserve"> </w:t>
      </w:r>
      <w:r w:rsidRPr="00FC0BA7">
        <w:rPr>
          <w:iCs/>
        </w:rPr>
        <w:t>The</w:t>
      </w:r>
      <w:r w:rsidRPr="00FC0BA7">
        <w:rPr>
          <w:i/>
          <w:iCs/>
        </w:rPr>
        <w:t xml:space="preserve"> </w:t>
      </w:r>
      <w:r w:rsidRPr="00FC0BA7">
        <w:t xml:space="preserve">classifications are from Ornstein (1977) and are based on an objective criterion, the ratio of consumer goods shipments to the industry’s total shipments. While the 50 percent critical value used by Ornstein is arbitrary, </w:t>
      </w:r>
      <w:proofErr w:type="gramStart"/>
      <w:r w:rsidRPr="00FC0BA7">
        <w:t>the vast majority of</w:t>
      </w:r>
      <w:proofErr w:type="gramEnd"/>
      <w:r w:rsidRPr="00FC0BA7">
        <w:t xml:space="preserve"> industries have ratios above 90 percent or below 10 percent.</w:t>
      </w:r>
    </w:p>
    <w:p w14:paraId="3F1873B3" w14:textId="77777777" w:rsidR="00FC0BA7" w:rsidRPr="00FC0BA7" w:rsidRDefault="00FC0BA7" w:rsidP="007737EC">
      <w:pPr>
        <w:pStyle w:val="NoSpacing"/>
        <w:ind w:left="720" w:hanging="720"/>
      </w:pPr>
      <w:r w:rsidRPr="00FC0BA7">
        <w:rPr>
          <w:vertAlign w:val="superscript"/>
        </w:rPr>
        <w:t xml:space="preserve">14 </w:t>
      </w:r>
      <w:r w:rsidRPr="00FC0BA7">
        <w:t>The mean advertising-sales ratio for the 64 consumer goods industries in our sample is 3.92 percent. For the 144 producer goods industries, the mean is 0.95 percent.</w:t>
      </w:r>
    </w:p>
    <w:p w14:paraId="281B77D7" w14:textId="2430FD8B" w:rsidR="00FC0BA7" w:rsidRDefault="00FC0BA7" w:rsidP="007737EC">
      <w:pPr>
        <w:pStyle w:val="NoSpacing"/>
        <w:ind w:left="720" w:hanging="720"/>
        <w:rPr>
          <w:i/>
          <w:iCs/>
        </w:rPr>
      </w:pPr>
      <w:r w:rsidRPr="00FC0BA7">
        <w:rPr>
          <w:vertAlign w:val="superscript"/>
        </w:rPr>
        <w:t>15</w:t>
      </w:r>
      <w:r w:rsidRPr="00FC0BA7">
        <w:t xml:space="preserve"> We are grateful to an anonymous referee for helping to clarify the argument.  </w:t>
      </w:r>
      <w:r w:rsidRPr="00FC0BA7">
        <w:rPr>
          <w:i/>
          <w:iCs/>
        </w:rPr>
        <w:t xml:space="preserve">Wage Share, Market Power and Unionism: Some Contrary U.S. Evidence </w:t>
      </w:r>
    </w:p>
    <w:p w14:paraId="70E05483" w14:textId="3CF59726" w:rsidR="00FC0BA7" w:rsidRDefault="00FC0BA7" w:rsidP="007737EC">
      <w:pPr>
        <w:pStyle w:val="NoSpacing"/>
        <w:ind w:left="720" w:hanging="720"/>
      </w:pPr>
      <w:r w:rsidRPr="00FC0BA7">
        <w:rPr>
          <w:vertAlign w:val="superscript"/>
        </w:rPr>
        <w:t>16</w:t>
      </w:r>
      <w:r w:rsidRPr="00FC0BA7">
        <w:t xml:space="preserve"> </w:t>
      </w:r>
      <w:proofErr w:type="gramStart"/>
      <w:r w:rsidRPr="00FC0BA7">
        <w:t>A number of</w:t>
      </w:r>
      <w:proofErr w:type="gramEnd"/>
      <w:r w:rsidRPr="00FC0BA7">
        <w:t xml:space="preserve"> studies have suggested that the competitive effects of advertising are likely to show up only in non-</w:t>
      </w:r>
      <w:r w:rsidR="00583979" w:rsidRPr="00FC0BA7">
        <w:t>dur</w:t>
      </w:r>
      <w:r w:rsidR="00583979">
        <w:t>abl</w:t>
      </w:r>
      <w:r w:rsidR="00583979" w:rsidRPr="00FC0BA7">
        <w:t>e</w:t>
      </w:r>
      <w:r w:rsidRPr="00FC0BA7">
        <w:t xml:space="preserve"> consumer goods industries (</w:t>
      </w:r>
      <w:proofErr w:type="spellStart"/>
      <w:r w:rsidRPr="00FC0BA7">
        <w:t>Comanor</w:t>
      </w:r>
      <w:proofErr w:type="spellEnd"/>
      <w:r w:rsidRPr="00FC0BA7">
        <w:t xml:space="preserve"> and Wilson. 1979, pp. 461-2). Consequently, we further divided our consumer goods subsample into durable and non-durable categories and ran separate regressions for each. The advertising </w:t>
      </w:r>
      <w:proofErr w:type="spellStart"/>
      <w:r w:rsidRPr="00FC0BA7">
        <w:t>variabIe</w:t>
      </w:r>
      <w:proofErr w:type="spellEnd"/>
      <w:r w:rsidRPr="00FC0BA7">
        <w:t xml:space="preserve"> did not approach statistical significance for either category.</w:t>
      </w:r>
    </w:p>
    <w:p w14:paraId="37A158E1" w14:textId="77777777" w:rsidR="00C23716" w:rsidRPr="00C23716" w:rsidRDefault="00C23716" w:rsidP="007737EC">
      <w:pPr>
        <w:pStyle w:val="NoSpacing"/>
        <w:ind w:left="720" w:hanging="720"/>
        <w:rPr>
          <w:bCs/>
        </w:rPr>
      </w:pPr>
      <w:r w:rsidRPr="00C23716">
        <w:rPr>
          <w:bCs/>
          <w:vertAlign w:val="superscript"/>
        </w:rPr>
        <w:t>17</w:t>
      </w:r>
      <w:r w:rsidRPr="00C23716">
        <w:rPr>
          <w:bCs/>
        </w:rPr>
        <w:t xml:space="preserve"> It is not obvious that the linear-in-logs specification is most appropriate, although there </w:t>
      </w:r>
      <w:r w:rsidRPr="00C23716">
        <w:rPr>
          <w:bCs/>
          <w:i/>
          <w:iCs/>
        </w:rPr>
        <w:t xml:space="preserve">is </w:t>
      </w:r>
      <w:r w:rsidRPr="00C23716">
        <w:rPr>
          <w:bCs/>
        </w:rPr>
        <w:t xml:space="preserve">some reason to expect interaction between the concentration and </w:t>
      </w:r>
      <w:proofErr w:type="spellStart"/>
      <w:r w:rsidRPr="00C23716">
        <w:rPr>
          <w:bCs/>
        </w:rPr>
        <w:t>unionisation</w:t>
      </w:r>
      <w:proofErr w:type="spellEnd"/>
      <w:r w:rsidRPr="00C23716">
        <w:rPr>
          <w:bCs/>
        </w:rPr>
        <w:t xml:space="preserve"> variables. Therefore, we also tested equations (1) and (2) in linear form. The one interesting difference is that, in linear form, the concentration variable is statistically significant for consumer goods. However, this result does not apply for the larger producer goods subsample.</w:t>
      </w:r>
    </w:p>
    <w:p w14:paraId="43DB71FA" w14:textId="77777777" w:rsidR="00C23716" w:rsidRPr="00C23716" w:rsidRDefault="00C23716" w:rsidP="007737EC">
      <w:pPr>
        <w:pStyle w:val="NoSpacing"/>
        <w:ind w:left="720" w:hanging="720"/>
        <w:rPr>
          <w:bCs/>
        </w:rPr>
      </w:pPr>
      <w:r w:rsidRPr="00C23716">
        <w:rPr>
          <w:bCs/>
          <w:vertAlign w:val="superscript"/>
        </w:rPr>
        <w:t xml:space="preserve">18 </w:t>
      </w:r>
      <w:r w:rsidRPr="00C23716">
        <w:rPr>
          <w:bCs/>
        </w:rPr>
        <w:t xml:space="preserve">These results also contrast with Barbee (1974), who also used 1967 U.S. data. However, there are </w:t>
      </w:r>
      <w:proofErr w:type="gramStart"/>
      <w:r w:rsidRPr="00C23716">
        <w:rPr>
          <w:bCs/>
        </w:rPr>
        <w:t>a number of</w:t>
      </w:r>
      <w:proofErr w:type="gramEnd"/>
      <w:r w:rsidRPr="00C23716">
        <w:rPr>
          <w:bCs/>
        </w:rPr>
        <w:t xml:space="preserve"> important differences between Barbee’s and the present study.  Barbee’s study </w:t>
      </w:r>
      <w:r w:rsidRPr="00C23716">
        <w:rPr>
          <w:bCs/>
          <w:i/>
          <w:iCs/>
        </w:rPr>
        <w:t xml:space="preserve">(1) </w:t>
      </w:r>
      <w:r w:rsidRPr="00C23716">
        <w:rPr>
          <w:bCs/>
        </w:rPr>
        <w:t xml:space="preserve">failed to separate production worker wages from non-production worker salaries in calculating the wage share; (2) used a less fully adjusted set of concentration ratios; (3) used a less appropriate measure of capital intensity; and (4) did not include advertising or </w:t>
      </w:r>
      <w:proofErr w:type="spellStart"/>
      <w:r w:rsidRPr="00C23716">
        <w:rPr>
          <w:bCs/>
        </w:rPr>
        <w:t>unionisation</w:t>
      </w:r>
      <w:proofErr w:type="spellEnd"/>
      <w:r w:rsidRPr="00C23716">
        <w:rPr>
          <w:bCs/>
        </w:rPr>
        <w:t xml:space="preserve"> variables. Barbee found that both concentration and capital intensity were inversely related to the wage share in linear form, a result we found for our consumer subsample only.</w:t>
      </w:r>
    </w:p>
    <w:p w14:paraId="47022894" w14:textId="1D43A6A3" w:rsidR="00A36509" w:rsidRPr="006B7132" w:rsidRDefault="00A36509" w:rsidP="006B7132">
      <w:pPr>
        <w:pStyle w:val="Heading1"/>
        <w:rPr>
          <w:color w:val="auto"/>
        </w:rPr>
      </w:pPr>
      <w:r w:rsidRPr="006B7132">
        <w:rPr>
          <w:color w:val="auto"/>
        </w:rPr>
        <w:t>R</w:t>
      </w:r>
      <w:r w:rsidR="000C08AE" w:rsidRPr="006B7132">
        <w:rPr>
          <w:color w:val="auto"/>
        </w:rPr>
        <w:t>eferences</w:t>
      </w:r>
    </w:p>
    <w:p w14:paraId="6DCB137C" w14:textId="77777777" w:rsidR="00426170" w:rsidRPr="00434D0E" w:rsidRDefault="00A36509" w:rsidP="007737EC">
      <w:pPr>
        <w:pStyle w:val="NoSpacing"/>
        <w:ind w:left="720" w:hanging="720"/>
      </w:pPr>
      <w:r w:rsidRPr="00434D0E">
        <w:t xml:space="preserve">Barbee, W. C. </w:t>
      </w:r>
      <w:r w:rsidRPr="00434D0E">
        <w:rPr>
          <w:bCs/>
        </w:rPr>
        <w:t xml:space="preserve">(1974). </w:t>
      </w:r>
      <w:r w:rsidRPr="00434D0E">
        <w:t>“An Enquiry into the Relationship between Market</w:t>
      </w:r>
      <w:r w:rsidR="00FC5271" w:rsidRPr="00434D0E">
        <w:t xml:space="preserve"> </w:t>
      </w:r>
      <w:r w:rsidRPr="00434D0E">
        <w:t>Concentration and Labor’s Share of Value Added”, unpublished Ph.D.</w:t>
      </w:r>
      <w:r w:rsidR="00FC5271" w:rsidRPr="00434D0E">
        <w:t xml:space="preserve"> </w:t>
      </w:r>
      <w:r w:rsidR="00426170" w:rsidRPr="00434D0E">
        <w:t xml:space="preserve"> </w:t>
      </w:r>
      <w:r w:rsidRPr="00434D0E">
        <w:t>Dissertation, Catholic University of America.</w:t>
      </w:r>
      <w:r w:rsidR="00426170" w:rsidRPr="00434D0E">
        <w:t xml:space="preserve"> </w:t>
      </w:r>
    </w:p>
    <w:p w14:paraId="6AD975BE" w14:textId="76F9F223" w:rsidR="00A36509" w:rsidRPr="00434D0E" w:rsidRDefault="00A36509" w:rsidP="007737EC">
      <w:pPr>
        <w:pStyle w:val="NoSpacing"/>
        <w:ind w:left="720" w:hanging="720"/>
      </w:pPr>
      <w:proofErr w:type="spellStart"/>
      <w:r w:rsidRPr="00434D0E">
        <w:t>Comanor</w:t>
      </w:r>
      <w:proofErr w:type="spellEnd"/>
      <w:r w:rsidRPr="00434D0E">
        <w:t>, William S. and Wilson, Thomas A. “The Effects of Advertising on</w:t>
      </w:r>
      <w:r w:rsidR="00426170" w:rsidRPr="00434D0E">
        <w:t xml:space="preserve"> </w:t>
      </w:r>
      <w:r w:rsidRPr="00434D0E">
        <w:t xml:space="preserve">Competition: </w:t>
      </w:r>
      <w:r w:rsidRPr="00434D0E">
        <w:rPr>
          <w:bCs/>
        </w:rPr>
        <w:t xml:space="preserve">A </w:t>
      </w:r>
      <w:r w:rsidRPr="00434D0E">
        <w:t xml:space="preserve">Survey”, </w:t>
      </w:r>
      <w:r w:rsidRPr="00434D0E">
        <w:rPr>
          <w:i/>
          <w:iCs/>
        </w:rPr>
        <w:t xml:space="preserve">Journal </w:t>
      </w:r>
      <w:r w:rsidRPr="00434D0E">
        <w:t xml:space="preserve">of </w:t>
      </w:r>
      <w:r w:rsidRPr="00434D0E">
        <w:rPr>
          <w:i/>
          <w:iCs/>
        </w:rPr>
        <w:t xml:space="preserve">Economic Literature, </w:t>
      </w:r>
      <w:r w:rsidRPr="00434D0E">
        <w:t xml:space="preserve">Vol. </w:t>
      </w:r>
      <w:r w:rsidRPr="00434D0E">
        <w:rPr>
          <w:bCs/>
        </w:rPr>
        <w:t xml:space="preserve">17, </w:t>
      </w:r>
      <w:r w:rsidRPr="00434D0E">
        <w:t xml:space="preserve">No. </w:t>
      </w:r>
      <w:r w:rsidRPr="00434D0E">
        <w:rPr>
          <w:bCs/>
        </w:rPr>
        <w:t>2,</w:t>
      </w:r>
      <w:r w:rsidR="00426170" w:rsidRPr="00434D0E">
        <w:t xml:space="preserve"> </w:t>
      </w:r>
      <w:r w:rsidRPr="00434D0E">
        <w:t xml:space="preserve">pp. </w:t>
      </w:r>
      <w:r w:rsidRPr="00434D0E">
        <w:rPr>
          <w:bCs/>
        </w:rPr>
        <w:t>453-476.</w:t>
      </w:r>
    </w:p>
    <w:p w14:paraId="432BB9D7" w14:textId="2317DC6B" w:rsidR="00A36509" w:rsidRPr="00434D0E" w:rsidRDefault="00A36509" w:rsidP="007737EC">
      <w:pPr>
        <w:pStyle w:val="NoSpacing"/>
        <w:ind w:left="720" w:hanging="720"/>
      </w:pPr>
      <w:r w:rsidRPr="00434D0E">
        <w:t xml:space="preserve">Cowling, Keith and </w:t>
      </w:r>
      <w:proofErr w:type="spellStart"/>
      <w:r w:rsidRPr="00434D0E">
        <w:t>Molho</w:t>
      </w:r>
      <w:proofErr w:type="spellEnd"/>
      <w:r w:rsidRPr="00434D0E">
        <w:t>, Ian (1982). “Wage Share, Concentration, and</w:t>
      </w:r>
      <w:r w:rsidR="00B22264" w:rsidRPr="00434D0E">
        <w:t xml:space="preserve"> </w:t>
      </w:r>
      <w:r w:rsidRPr="00434D0E">
        <w:t xml:space="preserve">Unionism”, </w:t>
      </w:r>
      <w:r w:rsidRPr="00434D0E">
        <w:rPr>
          <w:i/>
          <w:iCs/>
        </w:rPr>
        <w:t xml:space="preserve">The </w:t>
      </w:r>
      <w:proofErr w:type="spellStart"/>
      <w:r w:rsidRPr="00434D0E">
        <w:rPr>
          <w:i/>
          <w:iCs/>
        </w:rPr>
        <w:t>Munchester</w:t>
      </w:r>
      <w:proofErr w:type="spellEnd"/>
      <w:r w:rsidRPr="00434D0E">
        <w:rPr>
          <w:i/>
          <w:iCs/>
        </w:rPr>
        <w:t xml:space="preserve"> School </w:t>
      </w:r>
      <w:r w:rsidRPr="00434D0E">
        <w:t xml:space="preserve">of </w:t>
      </w:r>
      <w:r w:rsidRPr="00434D0E">
        <w:rPr>
          <w:i/>
          <w:iCs/>
        </w:rPr>
        <w:t>Economic and Social Studies,</w:t>
      </w:r>
      <w:r w:rsidR="00B22264" w:rsidRPr="00434D0E">
        <w:t xml:space="preserve"> </w:t>
      </w:r>
      <w:r w:rsidRPr="00434D0E">
        <w:t xml:space="preserve">Vol. </w:t>
      </w:r>
      <w:r w:rsidRPr="00434D0E">
        <w:rPr>
          <w:bCs/>
        </w:rPr>
        <w:t xml:space="preserve">50, </w:t>
      </w:r>
      <w:r w:rsidRPr="00434D0E">
        <w:t>NO. 2, pp. 99-115.</w:t>
      </w:r>
    </w:p>
    <w:p w14:paraId="37869D82" w14:textId="5FBC4455" w:rsidR="00A36509" w:rsidRPr="00434D0E" w:rsidRDefault="00A36509" w:rsidP="007737EC">
      <w:pPr>
        <w:pStyle w:val="NoSpacing"/>
        <w:ind w:left="720" w:hanging="720"/>
        <w:rPr>
          <w:i/>
          <w:iCs/>
        </w:rPr>
      </w:pPr>
      <w:r w:rsidRPr="00434D0E">
        <w:t xml:space="preserve">Durbin, James (1954). “Errors in Variables”, </w:t>
      </w:r>
      <w:r w:rsidRPr="00434D0E">
        <w:rPr>
          <w:i/>
          <w:iCs/>
        </w:rPr>
        <w:t xml:space="preserve">Review </w:t>
      </w:r>
      <w:r w:rsidRPr="00434D0E">
        <w:rPr>
          <w:bCs/>
          <w:i/>
          <w:iCs/>
        </w:rPr>
        <w:t xml:space="preserve">of </w:t>
      </w:r>
      <w:r w:rsidRPr="00434D0E">
        <w:rPr>
          <w:i/>
          <w:iCs/>
        </w:rPr>
        <w:t>the Internationa</w:t>
      </w:r>
      <w:r w:rsidR="00B22264" w:rsidRPr="00434D0E">
        <w:rPr>
          <w:i/>
          <w:iCs/>
        </w:rPr>
        <w:t xml:space="preserve">l </w:t>
      </w:r>
      <w:r w:rsidRPr="00434D0E">
        <w:rPr>
          <w:i/>
          <w:iCs/>
        </w:rPr>
        <w:t xml:space="preserve">Statistics Institute, </w:t>
      </w:r>
      <w:r w:rsidRPr="00434D0E">
        <w:t>Vol. 22, No. 113, pp. 23-32.</w:t>
      </w:r>
    </w:p>
    <w:p w14:paraId="08BC8C81" w14:textId="77CE5932" w:rsidR="00A36509" w:rsidRPr="00434D0E" w:rsidRDefault="00A36509" w:rsidP="007737EC">
      <w:pPr>
        <w:pStyle w:val="NoSpacing"/>
        <w:ind w:left="720" w:hanging="720"/>
      </w:pPr>
      <w:r w:rsidRPr="00434D0E">
        <w:t xml:space="preserve">Freeman, Richard B. and </w:t>
      </w:r>
      <w:proofErr w:type="spellStart"/>
      <w:r w:rsidRPr="00434D0E">
        <w:t>Medoff</w:t>
      </w:r>
      <w:proofErr w:type="spellEnd"/>
      <w:r w:rsidRPr="00434D0E">
        <w:t xml:space="preserve">, James </w:t>
      </w:r>
      <w:r w:rsidRPr="00434D0E">
        <w:rPr>
          <w:bCs/>
        </w:rPr>
        <w:t xml:space="preserve">L. </w:t>
      </w:r>
      <w:r w:rsidRPr="00434D0E">
        <w:t>(1979). “New Estimates of</w:t>
      </w:r>
      <w:r w:rsidR="00844876" w:rsidRPr="00434D0E">
        <w:t xml:space="preserve"> </w:t>
      </w:r>
      <w:r w:rsidRPr="00434D0E">
        <w:t xml:space="preserve">Private Sector Unionism in the United States”, </w:t>
      </w:r>
      <w:r w:rsidRPr="00434D0E">
        <w:rPr>
          <w:i/>
          <w:iCs/>
        </w:rPr>
        <w:t>Industrial and Labor</w:t>
      </w:r>
      <w:r w:rsidR="00844876" w:rsidRPr="00434D0E">
        <w:t xml:space="preserve"> </w:t>
      </w:r>
      <w:r w:rsidRPr="00434D0E">
        <w:rPr>
          <w:i/>
          <w:iCs/>
        </w:rPr>
        <w:t xml:space="preserve">Relations Review, </w:t>
      </w:r>
      <w:r w:rsidRPr="00434D0E">
        <w:t>Vol. 32, No. 2, pp. 143-174.</w:t>
      </w:r>
    </w:p>
    <w:p w14:paraId="18A1E01C" w14:textId="4E8FAEE1" w:rsidR="00A36509" w:rsidRPr="00434D0E" w:rsidRDefault="00A36509" w:rsidP="007737EC">
      <w:pPr>
        <w:pStyle w:val="NoSpacing"/>
        <w:ind w:left="720" w:hanging="720"/>
      </w:pPr>
      <w:proofErr w:type="spellStart"/>
      <w:r w:rsidRPr="00434D0E">
        <w:t>Kalecki</w:t>
      </w:r>
      <w:proofErr w:type="spellEnd"/>
      <w:r w:rsidRPr="00434D0E">
        <w:t>, M. (1939). “The Distribution of the National Income” in</w:t>
      </w:r>
      <w:r w:rsidR="00844876" w:rsidRPr="00434D0E">
        <w:t xml:space="preserve"> </w:t>
      </w:r>
      <w:r w:rsidRPr="00434D0E">
        <w:rPr>
          <w:i/>
          <w:iCs/>
        </w:rPr>
        <w:t xml:space="preserve">Essays in the Theory </w:t>
      </w:r>
      <w:r w:rsidRPr="00434D0E">
        <w:rPr>
          <w:bCs/>
        </w:rPr>
        <w:t xml:space="preserve">of </w:t>
      </w:r>
      <w:r w:rsidRPr="00434D0E">
        <w:rPr>
          <w:i/>
          <w:iCs/>
        </w:rPr>
        <w:t xml:space="preserve">Economic Fluctuations, </w:t>
      </w:r>
      <w:r w:rsidRPr="00434D0E">
        <w:t>London, George Allen</w:t>
      </w:r>
      <w:r w:rsidR="00844876" w:rsidRPr="00434D0E">
        <w:t xml:space="preserve"> </w:t>
      </w:r>
      <w:r w:rsidRPr="00434D0E">
        <w:t xml:space="preserve">and Unwin, pp. 13-41. (Reprinted in W. </w:t>
      </w:r>
      <w:proofErr w:type="spellStart"/>
      <w:r w:rsidRPr="00434D0E">
        <w:t>Fellner</w:t>
      </w:r>
      <w:proofErr w:type="spellEnd"/>
      <w:r w:rsidRPr="00434D0E">
        <w:t xml:space="preserve"> and B. </w:t>
      </w:r>
      <w:proofErr w:type="spellStart"/>
      <w:r w:rsidRPr="00434D0E">
        <w:t>Hsley</w:t>
      </w:r>
      <w:proofErr w:type="spellEnd"/>
      <w:r w:rsidRPr="00434D0E">
        <w:t xml:space="preserve"> (eds.),</w:t>
      </w:r>
      <w:r w:rsidR="00844876" w:rsidRPr="00434D0E">
        <w:t xml:space="preserve"> </w:t>
      </w:r>
      <w:r w:rsidRPr="00434D0E">
        <w:rPr>
          <w:i/>
          <w:iCs/>
        </w:rPr>
        <w:t xml:space="preserve">Readings in the Theory </w:t>
      </w:r>
      <w:r w:rsidRPr="00434D0E">
        <w:rPr>
          <w:bCs/>
          <w:i/>
          <w:iCs/>
        </w:rPr>
        <w:t xml:space="preserve">of </w:t>
      </w:r>
      <w:r w:rsidRPr="00434D0E">
        <w:rPr>
          <w:i/>
          <w:iCs/>
        </w:rPr>
        <w:t xml:space="preserve">Income Distribution, </w:t>
      </w:r>
      <w:r w:rsidRPr="00434D0E">
        <w:t xml:space="preserve">Philadelphia, </w:t>
      </w:r>
      <w:r w:rsidRPr="00434D0E">
        <w:rPr>
          <w:bCs/>
        </w:rPr>
        <w:t>The</w:t>
      </w:r>
      <w:r w:rsidR="00844876" w:rsidRPr="00434D0E">
        <w:t xml:space="preserve"> </w:t>
      </w:r>
      <w:proofErr w:type="spellStart"/>
      <w:r w:rsidRPr="00434D0E">
        <w:t>Blakiston</w:t>
      </w:r>
      <w:proofErr w:type="spellEnd"/>
      <w:r w:rsidRPr="00434D0E">
        <w:t xml:space="preserve"> Co., 1951, pp. 197-217.)</w:t>
      </w:r>
    </w:p>
    <w:p w14:paraId="54ED387F" w14:textId="51CB2E58" w:rsidR="00A36509" w:rsidRPr="00434D0E" w:rsidRDefault="00A36509" w:rsidP="007737EC">
      <w:pPr>
        <w:pStyle w:val="NoSpacing"/>
        <w:ind w:left="720" w:hanging="720"/>
      </w:pPr>
      <w:r w:rsidRPr="00434D0E">
        <w:t>Maroney, J. R. and Allen, B. T. (1969). “Monopoly Power and the Relative</w:t>
      </w:r>
      <w:r w:rsidR="00844876" w:rsidRPr="00434D0E">
        <w:t xml:space="preserve"> </w:t>
      </w:r>
      <w:r w:rsidRPr="00434D0E">
        <w:t xml:space="preserve">Share of Labor”, </w:t>
      </w:r>
      <w:r w:rsidRPr="00434D0E">
        <w:rPr>
          <w:i/>
          <w:iCs/>
        </w:rPr>
        <w:t xml:space="preserve">Industrial and Labor Relations Review, </w:t>
      </w:r>
      <w:r w:rsidRPr="00434D0E">
        <w:t>Vol. 22, No. 2,</w:t>
      </w:r>
      <w:r w:rsidR="00844876" w:rsidRPr="00434D0E">
        <w:t xml:space="preserve"> </w:t>
      </w:r>
      <w:r w:rsidRPr="00434D0E">
        <w:t xml:space="preserve">Ornstein, Stanley I. (1977). </w:t>
      </w:r>
      <w:r w:rsidRPr="00434D0E">
        <w:rPr>
          <w:i/>
          <w:iCs/>
        </w:rPr>
        <w:t>Industrial Concentration and Advertising Intensity,</w:t>
      </w:r>
      <w:r w:rsidR="00844876" w:rsidRPr="00434D0E">
        <w:t xml:space="preserve"> </w:t>
      </w:r>
      <w:r w:rsidRPr="00434D0E">
        <w:t>Washington, D.C., American Enterprise Institute for Public</w:t>
      </w:r>
      <w:r w:rsidR="00844876" w:rsidRPr="00434D0E">
        <w:t xml:space="preserve"> </w:t>
      </w:r>
      <w:r w:rsidRPr="00434D0E">
        <w:t>Policy Research.</w:t>
      </w:r>
    </w:p>
    <w:p w14:paraId="19ED7502" w14:textId="2392C2E8" w:rsidR="00A36509" w:rsidRPr="00434D0E" w:rsidRDefault="00A36509" w:rsidP="007737EC">
      <w:pPr>
        <w:pStyle w:val="NoSpacing"/>
        <w:ind w:left="720" w:hanging="720"/>
        <w:rPr>
          <w:i/>
          <w:iCs/>
        </w:rPr>
      </w:pPr>
      <w:r w:rsidRPr="00434D0E">
        <w:t xml:space="preserve">U.S. Bureau of the Census (1971a). </w:t>
      </w:r>
      <w:r w:rsidRPr="00434D0E">
        <w:rPr>
          <w:i/>
          <w:iCs/>
        </w:rPr>
        <w:t>Concentration Ratios in Manufacturing,</w:t>
      </w:r>
      <w:r w:rsidR="00C85884" w:rsidRPr="00434D0E">
        <w:rPr>
          <w:i/>
          <w:iCs/>
        </w:rPr>
        <w:t xml:space="preserve"> </w:t>
      </w:r>
      <w:r w:rsidRPr="00434D0E">
        <w:rPr>
          <w:i/>
          <w:iCs/>
        </w:rPr>
        <w:t xml:space="preserve">Part </w:t>
      </w:r>
      <w:r w:rsidRPr="00434D0E">
        <w:rPr>
          <w:bCs/>
          <w:i/>
          <w:iCs/>
        </w:rPr>
        <w:t xml:space="preserve">1 </w:t>
      </w:r>
      <w:r w:rsidRPr="00434D0E">
        <w:t>(1967 Census of Manufactures, Special Report), Washington,</w:t>
      </w:r>
      <w:r w:rsidR="00C85884" w:rsidRPr="00434D0E">
        <w:rPr>
          <w:i/>
          <w:iCs/>
        </w:rPr>
        <w:t xml:space="preserve"> </w:t>
      </w:r>
      <w:r w:rsidRPr="00434D0E">
        <w:t>D.C., U.S. Government Printing Office.</w:t>
      </w:r>
    </w:p>
    <w:p w14:paraId="5437A733" w14:textId="324A31B8" w:rsidR="00A36509" w:rsidRPr="00434D0E" w:rsidRDefault="00A36509" w:rsidP="007737EC">
      <w:pPr>
        <w:pStyle w:val="NoSpacing"/>
        <w:ind w:left="720" w:hanging="720"/>
        <w:rPr>
          <w:i/>
          <w:iCs/>
        </w:rPr>
      </w:pPr>
      <w:r w:rsidRPr="00434D0E">
        <w:t xml:space="preserve">(1971b). </w:t>
      </w:r>
      <w:r w:rsidRPr="00434D0E">
        <w:rPr>
          <w:i/>
          <w:iCs/>
        </w:rPr>
        <w:t xml:space="preserve">Annual Survey </w:t>
      </w:r>
      <w:r w:rsidRPr="00434D0E">
        <w:rPr>
          <w:bCs/>
          <w:i/>
          <w:iCs/>
        </w:rPr>
        <w:t xml:space="preserve">of </w:t>
      </w:r>
      <w:r w:rsidRPr="00434D0E">
        <w:rPr>
          <w:i/>
          <w:iCs/>
        </w:rPr>
        <w:t>Manufactures, 1968-9,</w:t>
      </w:r>
      <w:r w:rsidR="00C85884" w:rsidRPr="00434D0E">
        <w:rPr>
          <w:i/>
          <w:iCs/>
        </w:rPr>
        <w:t xml:space="preserve"> </w:t>
      </w:r>
      <w:r w:rsidRPr="00434D0E">
        <w:t>Washington, D.C., U.S. Government Printing O</w:t>
      </w:r>
      <w:r w:rsidR="00392807" w:rsidRPr="00434D0E">
        <w:t>ffi</w:t>
      </w:r>
      <w:r w:rsidRPr="00434D0E">
        <w:t>ce.</w:t>
      </w:r>
    </w:p>
    <w:p w14:paraId="077F2CB4" w14:textId="743E8F26" w:rsidR="00A36509" w:rsidRPr="00434D0E" w:rsidRDefault="00A36509" w:rsidP="007737EC">
      <w:pPr>
        <w:pStyle w:val="NoSpacing"/>
        <w:ind w:left="720" w:hanging="720"/>
        <w:rPr>
          <w:i/>
          <w:iCs/>
        </w:rPr>
      </w:pPr>
      <w:r w:rsidRPr="00434D0E">
        <w:t xml:space="preserve">(1975). </w:t>
      </w:r>
      <w:r w:rsidRPr="00434D0E">
        <w:rPr>
          <w:i/>
          <w:iCs/>
        </w:rPr>
        <w:t xml:space="preserve">Concentration Ratios in </w:t>
      </w:r>
      <w:r w:rsidR="00392807" w:rsidRPr="00434D0E">
        <w:rPr>
          <w:i/>
          <w:iCs/>
        </w:rPr>
        <w:t>Manufacturing</w:t>
      </w:r>
      <w:r w:rsidR="00392807" w:rsidRPr="00434D0E">
        <w:t xml:space="preserve"> (</w:t>
      </w:r>
      <w:r w:rsidRPr="00434D0E">
        <w:t>1972 Census of Manufactures, Special Report), Washington, D.C., U.S.</w:t>
      </w:r>
      <w:r w:rsidR="00392807" w:rsidRPr="00434D0E">
        <w:rPr>
          <w:i/>
          <w:iCs/>
        </w:rPr>
        <w:t xml:space="preserve"> </w:t>
      </w:r>
      <w:r w:rsidRPr="00434D0E">
        <w:t>Government Printing O</w:t>
      </w:r>
      <w:r w:rsidR="00C85884" w:rsidRPr="00434D0E">
        <w:t>ffice</w:t>
      </w:r>
      <w:r w:rsidRPr="00434D0E">
        <w:t>.</w:t>
      </w:r>
    </w:p>
    <w:p w14:paraId="74EB5009" w14:textId="5C03A5E0" w:rsidR="00A36509" w:rsidRPr="00434D0E" w:rsidRDefault="00A36509" w:rsidP="007737EC">
      <w:pPr>
        <w:pStyle w:val="NoSpacing"/>
        <w:ind w:left="720" w:hanging="720"/>
        <w:rPr>
          <w:i/>
          <w:iCs/>
        </w:rPr>
      </w:pPr>
      <w:r w:rsidRPr="00434D0E">
        <w:t xml:space="preserve">Weintraub, Sidney (1958). </w:t>
      </w:r>
      <w:r w:rsidRPr="00434D0E">
        <w:rPr>
          <w:i/>
          <w:iCs/>
        </w:rPr>
        <w:t xml:space="preserve">An Approach </w:t>
      </w:r>
      <w:r w:rsidRPr="00434D0E">
        <w:rPr>
          <w:bCs/>
          <w:i/>
          <w:iCs/>
        </w:rPr>
        <w:t xml:space="preserve">to </w:t>
      </w:r>
      <w:r w:rsidRPr="00434D0E">
        <w:rPr>
          <w:i/>
          <w:iCs/>
        </w:rPr>
        <w:t xml:space="preserve">the Theory </w:t>
      </w:r>
      <w:r w:rsidRPr="00434D0E">
        <w:rPr>
          <w:bCs/>
          <w:i/>
          <w:iCs/>
        </w:rPr>
        <w:t xml:space="preserve">of </w:t>
      </w:r>
      <w:r w:rsidRPr="00434D0E">
        <w:rPr>
          <w:i/>
          <w:iCs/>
        </w:rPr>
        <w:t>Income Distribution,</w:t>
      </w:r>
      <w:r w:rsidR="00392807" w:rsidRPr="00434D0E">
        <w:rPr>
          <w:i/>
          <w:iCs/>
        </w:rPr>
        <w:t xml:space="preserve"> </w:t>
      </w:r>
      <w:r w:rsidRPr="00434D0E">
        <w:t>Philadelphia, Chilton Publishing.</w:t>
      </w:r>
    </w:p>
    <w:p w14:paraId="20AF92DE" w14:textId="0D0C2163" w:rsidR="00A36509" w:rsidRPr="00434D0E" w:rsidRDefault="00A36509" w:rsidP="007737EC">
      <w:pPr>
        <w:pStyle w:val="NoSpacing"/>
        <w:ind w:left="720" w:hanging="720"/>
      </w:pPr>
      <w:r w:rsidRPr="00434D0E">
        <w:t>Weiss, Leonard W. and Pascoe, George (1981). “Adjusted Concentration</w:t>
      </w:r>
      <w:r w:rsidR="00392807" w:rsidRPr="00434D0E">
        <w:t xml:space="preserve"> </w:t>
      </w:r>
      <w:r w:rsidRPr="00434D0E">
        <w:t>Ratios in Manufacturing-1972”, Federal Trade Commission, mimeo</w:t>
      </w:r>
      <w:r w:rsidR="00D21C26" w:rsidRPr="00434D0E">
        <w:t>.</w:t>
      </w:r>
    </w:p>
    <w:sectPr w:rsidR="00A36509" w:rsidRPr="00434D0E" w:rsidSect="00A36509">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ocumentProtection w:edit="readOnly" w:formatting="1" w:enforcement="1" w:cryptProviderType="rsaAES" w:cryptAlgorithmClass="hash" w:cryptAlgorithmType="typeAny" w:cryptAlgorithmSid="14" w:cryptSpinCount="100000" w:hash="K4T187Jd9Keqif8wFsnbcN1Bi1qG//CO9vDUX9pibzjLCJOptYbJ1smqS2MBemuNEcL4n6VMg7xuNZPImFZnng==" w:salt="ZqKn66F/+weEFioJGgXRGQ=="/>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2BC"/>
    <w:rsid w:val="00014A7B"/>
    <w:rsid w:val="00092914"/>
    <w:rsid w:val="000C08AE"/>
    <w:rsid w:val="000D3F05"/>
    <w:rsid w:val="000E7152"/>
    <w:rsid w:val="00130411"/>
    <w:rsid w:val="00134343"/>
    <w:rsid w:val="0013615B"/>
    <w:rsid w:val="00136C1A"/>
    <w:rsid w:val="0014356F"/>
    <w:rsid w:val="001A023D"/>
    <w:rsid w:val="001A24A0"/>
    <w:rsid w:val="001C0C1F"/>
    <w:rsid w:val="001C260C"/>
    <w:rsid w:val="001F476B"/>
    <w:rsid w:val="00235938"/>
    <w:rsid w:val="002E1CBE"/>
    <w:rsid w:val="00301407"/>
    <w:rsid w:val="003122BC"/>
    <w:rsid w:val="00316B07"/>
    <w:rsid w:val="00342C17"/>
    <w:rsid w:val="00350786"/>
    <w:rsid w:val="00392807"/>
    <w:rsid w:val="003B5DE4"/>
    <w:rsid w:val="003B6364"/>
    <w:rsid w:val="0040613B"/>
    <w:rsid w:val="00420F7A"/>
    <w:rsid w:val="004212D4"/>
    <w:rsid w:val="00426170"/>
    <w:rsid w:val="00434D0E"/>
    <w:rsid w:val="0043668B"/>
    <w:rsid w:val="004422A6"/>
    <w:rsid w:val="00444810"/>
    <w:rsid w:val="00455E23"/>
    <w:rsid w:val="005072C7"/>
    <w:rsid w:val="00515403"/>
    <w:rsid w:val="00515B78"/>
    <w:rsid w:val="005161EF"/>
    <w:rsid w:val="00581633"/>
    <w:rsid w:val="00583979"/>
    <w:rsid w:val="00594F44"/>
    <w:rsid w:val="005B7A9D"/>
    <w:rsid w:val="005C05C2"/>
    <w:rsid w:val="005E51A6"/>
    <w:rsid w:val="005F596C"/>
    <w:rsid w:val="005F5E77"/>
    <w:rsid w:val="00614841"/>
    <w:rsid w:val="00625BFB"/>
    <w:rsid w:val="00641BD0"/>
    <w:rsid w:val="00652367"/>
    <w:rsid w:val="00674A81"/>
    <w:rsid w:val="006B7132"/>
    <w:rsid w:val="006D29A2"/>
    <w:rsid w:val="006E41D4"/>
    <w:rsid w:val="006F077F"/>
    <w:rsid w:val="00702E71"/>
    <w:rsid w:val="00703350"/>
    <w:rsid w:val="00705216"/>
    <w:rsid w:val="007476E9"/>
    <w:rsid w:val="007554CB"/>
    <w:rsid w:val="00755746"/>
    <w:rsid w:val="00756313"/>
    <w:rsid w:val="007737EC"/>
    <w:rsid w:val="00777AE9"/>
    <w:rsid w:val="007A65FA"/>
    <w:rsid w:val="007B5294"/>
    <w:rsid w:val="007C13E6"/>
    <w:rsid w:val="007C557F"/>
    <w:rsid w:val="007E52A3"/>
    <w:rsid w:val="008164C4"/>
    <w:rsid w:val="008211F7"/>
    <w:rsid w:val="0082283C"/>
    <w:rsid w:val="00822DDD"/>
    <w:rsid w:val="00844876"/>
    <w:rsid w:val="008449D3"/>
    <w:rsid w:val="0086399A"/>
    <w:rsid w:val="00866A95"/>
    <w:rsid w:val="00875900"/>
    <w:rsid w:val="00894E49"/>
    <w:rsid w:val="0089608E"/>
    <w:rsid w:val="008A688A"/>
    <w:rsid w:val="008D6117"/>
    <w:rsid w:val="008F403C"/>
    <w:rsid w:val="00906AFB"/>
    <w:rsid w:val="009527C3"/>
    <w:rsid w:val="00986601"/>
    <w:rsid w:val="00996946"/>
    <w:rsid w:val="009A0DC2"/>
    <w:rsid w:val="00A36509"/>
    <w:rsid w:val="00A80B39"/>
    <w:rsid w:val="00B22264"/>
    <w:rsid w:val="00B732E0"/>
    <w:rsid w:val="00BB0F90"/>
    <w:rsid w:val="00BC2F6C"/>
    <w:rsid w:val="00C04C80"/>
    <w:rsid w:val="00C23716"/>
    <w:rsid w:val="00C40106"/>
    <w:rsid w:val="00C43790"/>
    <w:rsid w:val="00C61672"/>
    <w:rsid w:val="00C84002"/>
    <w:rsid w:val="00C85884"/>
    <w:rsid w:val="00C96825"/>
    <w:rsid w:val="00CA38E0"/>
    <w:rsid w:val="00D158DC"/>
    <w:rsid w:val="00D15B5A"/>
    <w:rsid w:val="00D21C26"/>
    <w:rsid w:val="00D7050A"/>
    <w:rsid w:val="00E3405C"/>
    <w:rsid w:val="00E346E3"/>
    <w:rsid w:val="00EA42DD"/>
    <w:rsid w:val="00ED55E1"/>
    <w:rsid w:val="00EF3916"/>
    <w:rsid w:val="00F16889"/>
    <w:rsid w:val="00F21F5B"/>
    <w:rsid w:val="00F47461"/>
    <w:rsid w:val="00F66675"/>
    <w:rsid w:val="00FC0BA7"/>
    <w:rsid w:val="00FC5271"/>
    <w:rsid w:val="00FD7E9B"/>
    <w:rsid w:val="00FE36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F3F6F"/>
  <w15:chartTrackingRefBased/>
  <w15:docId w15:val="{FE4D48DB-AC9A-4F03-9ED5-0A5510CB2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BA7"/>
    <w:rPr>
      <w:rFonts w:eastAsiaTheme="minorEastAsia"/>
    </w:rPr>
  </w:style>
  <w:style w:type="paragraph" w:styleId="Heading1">
    <w:name w:val="heading 1"/>
    <w:basedOn w:val="Normal"/>
    <w:next w:val="Normal"/>
    <w:link w:val="Heading1Char"/>
    <w:uiPriority w:val="9"/>
    <w:qFormat/>
    <w:rsid w:val="0030140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1407"/>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F474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C8400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4002"/>
    <w:rPr>
      <w:rFonts w:asciiTheme="majorHAnsi" w:eastAsiaTheme="majorEastAsia" w:hAnsiTheme="majorHAnsi" w:cstheme="majorBidi"/>
      <w:spacing w:val="-10"/>
      <w:kern w:val="28"/>
      <w:sz w:val="56"/>
      <w:szCs w:val="56"/>
    </w:rPr>
  </w:style>
  <w:style w:type="paragraph" w:styleId="NoSpacing">
    <w:name w:val="No Spacing"/>
    <w:uiPriority w:val="1"/>
    <w:qFormat/>
    <w:rsid w:val="00C84002"/>
    <w:pPr>
      <w:spacing w:after="0" w:line="240" w:lineRule="auto"/>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3" Type="http://schemas.openxmlformats.org/officeDocument/2006/relationships/customXml" Target="../customXml/item3.xml"/><Relationship Id="rId7" Type="http://schemas.openxmlformats.org/officeDocument/2006/relationships/hyperlink" Target="https://onlinelibrary.wiley.com/doi/abs/10.1111/j.1467-9957.1984.tb00794.x"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76BAECD-6961-47BE-995C-C6CD01F7D5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90FBB7-C039-4DCF-83ED-A6250FAAF8A3}">
  <ds:schemaRefs>
    <ds:schemaRef ds:uri="http://schemas.microsoft.com/sharepoint/v3/contenttype/forms"/>
  </ds:schemaRefs>
</ds:datastoreItem>
</file>

<file path=customXml/itemProps3.xml><?xml version="1.0" encoding="utf-8"?>
<ds:datastoreItem xmlns:ds="http://schemas.openxmlformats.org/officeDocument/2006/customXml" ds:itemID="{DBB2E5FC-EFF3-49C1-B270-0FBB99F2D6C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Pages>
  <Words>3348</Words>
  <Characters>18821</Characters>
  <Application>Microsoft Office Word</Application>
  <DocSecurity>8</DocSecurity>
  <Lines>303</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Brownlow, Liam</dc:creator>
  <cp:keywords/>
  <dc:description/>
  <cp:lastModifiedBy>Olson, Sharon</cp:lastModifiedBy>
  <cp:revision>34</cp:revision>
  <dcterms:created xsi:type="dcterms:W3CDTF">2019-02-07T18:22:00Z</dcterms:created>
  <dcterms:modified xsi:type="dcterms:W3CDTF">2020-01-13T15:19:00Z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y fmtid="{D5CDD505-2E9C-101B-9397-08002B2CF9AE}" pid="3" name="AuthorIds_UIVersion_512">
    <vt:lpwstr>45</vt:lpwstr>
  </property>
</Properties>
</file>