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D81C338" w:rsidR="000A7622" w:rsidRPr="00C04F25" w:rsidRDefault="009F3ADB"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EB958A3" w:rsidR="000A7622" w:rsidRDefault="00EB001C" w:rsidP="00D14423">
      <w:pPr>
        <w:rPr>
          <w:rFonts w:cstheme="minorHAnsi"/>
          <w:sz w:val="24"/>
          <w:szCs w:val="24"/>
        </w:rPr>
      </w:pPr>
      <w:r>
        <w:rPr>
          <w:rFonts w:cstheme="minorHAnsi"/>
          <w:i/>
          <w:sz w:val="24"/>
          <w:szCs w:val="24"/>
          <w:lang w:val="fr-FR"/>
        </w:rPr>
        <w:t xml:space="preserve">Psychology of </w:t>
      </w:r>
      <w:proofErr w:type="spellStart"/>
      <w:r>
        <w:rPr>
          <w:rFonts w:cstheme="minorHAnsi"/>
          <w:i/>
          <w:sz w:val="24"/>
          <w:szCs w:val="24"/>
          <w:lang w:val="fr-FR"/>
        </w:rPr>
        <w:t>Sexual</w:t>
      </w:r>
      <w:proofErr w:type="spellEnd"/>
      <w:r>
        <w:rPr>
          <w:rFonts w:cstheme="minorHAnsi"/>
          <w:i/>
          <w:sz w:val="24"/>
          <w:szCs w:val="24"/>
          <w:lang w:val="fr-FR"/>
        </w:rPr>
        <w:t xml:space="preserve"> Orientation and </w:t>
      </w:r>
      <w:proofErr w:type="spellStart"/>
      <w:r>
        <w:rPr>
          <w:rFonts w:cstheme="minorHAnsi"/>
          <w:i/>
          <w:sz w:val="24"/>
          <w:szCs w:val="24"/>
          <w:lang w:val="fr-FR"/>
        </w:rPr>
        <w:t>Gender</w:t>
      </w:r>
      <w:proofErr w:type="spellEnd"/>
      <w:r>
        <w:rPr>
          <w:rFonts w:cstheme="minorHAnsi"/>
          <w:i/>
          <w:sz w:val="24"/>
          <w:szCs w:val="24"/>
          <w:lang w:val="fr-FR"/>
        </w:rPr>
        <w:t xml:space="preserve"> Diversity</w:t>
      </w:r>
      <w:r w:rsidR="000A7622" w:rsidRPr="00C04F25">
        <w:rPr>
          <w:rFonts w:cstheme="minorHAnsi"/>
          <w:sz w:val="24"/>
          <w:szCs w:val="24"/>
          <w:lang w:val="fr-FR"/>
        </w:rPr>
        <w:t xml:space="preserve">, Vol. </w:t>
      </w:r>
      <w:r>
        <w:rPr>
          <w:rFonts w:cstheme="minorHAnsi"/>
          <w:sz w:val="24"/>
          <w:szCs w:val="24"/>
          <w:lang w:val="fr-FR"/>
        </w:rPr>
        <w:t>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242-255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E196B">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E196B">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2E196B">
        <w:rPr>
          <w:rFonts w:cstheme="minorHAnsi"/>
          <w:sz w:val="24"/>
          <w:szCs w:val="24"/>
        </w:rPr>
        <w:t>American Psychological Association</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56B3C435" w14:textId="77777777" w:rsidR="006E187A" w:rsidRPr="006E187A" w:rsidRDefault="006E187A" w:rsidP="006E187A">
      <w:pPr>
        <w:pStyle w:val="Title"/>
      </w:pPr>
      <w:r w:rsidRPr="006E187A">
        <w:t>Bisexual Well-Being: Assessing a Model of Predictors of Psychosocial Well-Being for Bisexual Men</w:t>
      </w:r>
    </w:p>
    <w:p w14:paraId="1E580E25" w14:textId="77777777" w:rsidR="006E187A" w:rsidRDefault="006E187A" w:rsidP="006E187A">
      <w:pPr>
        <w:rPr>
          <w:rFonts w:cstheme="minorHAnsi"/>
          <w:b/>
          <w:bCs/>
          <w:sz w:val="24"/>
          <w:szCs w:val="24"/>
        </w:rPr>
      </w:pPr>
    </w:p>
    <w:p w14:paraId="54CF7B49" w14:textId="3CA9F8F7" w:rsidR="006E187A" w:rsidRPr="006E187A" w:rsidRDefault="006E187A" w:rsidP="006E187A">
      <w:pPr>
        <w:pStyle w:val="NoSpacing"/>
        <w:rPr>
          <w:sz w:val="24"/>
          <w:szCs w:val="24"/>
        </w:rPr>
      </w:pPr>
      <w:r w:rsidRPr="006E187A">
        <w:rPr>
          <w:b/>
          <w:bCs/>
          <w:sz w:val="32"/>
          <w:szCs w:val="32"/>
        </w:rPr>
        <w:t>Philip J. Cooke</w:t>
      </w:r>
      <w:r w:rsidRPr="006E187A">
        <w:rPr>
          <w:sz w:val="32"/>
          <w:szCs w:val="32"/>
        </w:rPr>
        <w:br/>
      </w:r>
      <w:r w:rsidRPr="006E187A">
        <w:rPr>
          <w:sz w:val="24"/>
          <w:szCs w:val="24"/>
        </w:rPr>
        <w:t>Department of Counselor Education and Counseling Psychology, Marquette University</w:t>
      </w:r>
      <w:r w:rsidRPr="006E187A">
        <w:rPr>
          <w:sz w:val="24"/>
          <w:szCs w:val="24"/>
        </w:rPr>
        <w:br/>
      </w:r>
      <w:r w:rsidRPr="006E187A">
        <w:rPr>
          <w:b/>
          <w:bCs/>
          <w:sz w:val="32"/>
          <w:szCs w:val="32"/>
        </w:rPr>
        <w:t>Timothy P. Melchert</w:t>
      </w:r>
      <w:r w:rsidRPr="006E187A">
        <w:rPr>
          <w:sz w:val="32"/>
          <w:szCs w:val="32"/>
        </w:rPr>
        <w:br/>
      </w:r>
      <w:r w:rsidRPr="006E187A">
        <w:rPr>
          <w:sz w:val="24"/>
          <w:szCs w:val="24"/>
        </w:rPr>
        <w:t>Department of Counselor Education and Counseling Psychology, Marquette University</w:t>
      </w:r>
    </w:p>
    <w:p w14:paraId="0D421EF3" w14:textId="77777777" w:rsidR="006E187A" w:rsidRDefault="006E187A" w:rsidP="006E187A">
      <w:pPr>
        <w:rPr>
          <w:rFonts w:cstheme="minorHAnsi"/>
          <w:b/>
          <w:bCs/>
          <w:sz w:val="24"/>
          <w:szCs w:val="24"/>
        </w:rPr>
      </w:pPr>
    </w:p>
    <w:p w14:paraId="36B9752A" w14:textId="78A2812A" w:rsidR="006E187A" w:rsidRPr="006E187A" w:rsidRDefault="006E187A" w:rsidP="006E187A">
      <w:pPr>
        <w:pStyle w:val="Heading1"/>
      </w:pPr>
      <w:r w:rsidRPr="006E187A">
        <w:t>Acknowledgement:</w:t>
      </w:r>
    </w:p>
    <w:p w14:paraId="03D09757" w14:textId="234BF0E5" w:rsidR="006E187A" w:rsidRPr="006E187A" w:rsidRDefault="006E187A" w:rsidP="006E187A">
      <w:pPr>
        <w:rPr>
          <w:rFonts w:cstheme="minorHAnsi"/>
          <w:sz w:val="24"/>
          <w:szCs w:val="24"/>
        </w:rPr>
      </w:pPr>
      <w:r w:rsidRPr="006E187A">
        <w:rPr>
          <w:rFonts w:cstheme="minorHAnsi"/>
          <w:sz w:val="24"/>
          <w:szCs w:val="24"/>
        </w:rPr>
        <w:t>The lives of sexual minority individuals over the past half-century have often been colored by stress and stigma, widespread private and public discrimination, and the devastation caused by the HIV/AIDS epidemic. As a result, psychologists and social scientists interested in the health and well-being of LGB individuals often focused on understanding the impacts of stress, stigma, and discrimination on sexual minority individuals (e.g., </w:t>
      </w:r>
      <w:proofErr w:type="spellStart"/>
      <w:r w:rsidRPr="006E187A">
        <w:rPr>
          <w:rFonts w:cstheme="minorHAnsi"/>
          <w:sz w:val="24"/>
          <w:szCs w:val="24"/>
        </w:rPr>
        <w:t>Herek</w:t>
      </w:r>
      <w:proofErr w:type="spellEnd"/>
      <w:r w:rsidRPr="006E187A">
        <w:rPr>
          <w:rFonts w:cstheme="minorHAnsi"/>
          <w:sz w:val="24"/>
          <w:szCs w:val="24"/>
        </w:rPr>
        <w:t xml:space="preserve"> &amp; Garnets, 2007; Meyer, 1995).</w:t>
      </w:r>
    </w:p>
    <w:p w14:paraId="744A983A" w14:textId="28F9CA3F" w:rsidR="006E187A" w:rsidRPr="006E187A" w:rsidRDefault="006E187A" w:rsidP="006E187A">
      <w:pPr>
        <w:rPr>
          <w:rFonts w:cstheme="minorHAnsi"/>
          <w:sz w:val="24"/>
          <w:szCs w:val="24"/>
        </w:rPr>
      </w:pPr>
      <w:r w:rsidRPr="006E187A">
        <w:rPr>
          <w:rFonts w:cstheme="minorHAnsi"/>
          <w:sz w:val="24"/>
          <w:szCs w:val="24"/>
        </w:rPr>
        <w:t xml:space="preserve">This research had undeniably important and beneficial impacts, although one downside was the tendency to focus on the negative aspects associated with having a sexual minority identity while ignoring LGBT strengths and well-being (Horne, Puckett, </w:t>
      </w:r>
      <w:proofErr w:type="spellStart"/>
      <w:r w:rsidRPr="006E187A">
        <w:rPr>
          <w:rFonts w:cstheme="minorHAnsi"/>
          <w:sz w:val="24"/>
          <w:szCs w:val="24"/>
        </w:rPr>
        <w:t>Apter</w:t>
      </w:r>
      <w:proofErr w:type="spellEnd"/>
      <w:r w:rsidRPr="006E187A">
        <w:rPr>
          <w:rFonts w:cstheme="minorHAnsi"/>
          <w:sz w:val="24"/>
          <w:szCs w:val="24"/>
        </w:rPr>
        <w:t>, &amp; Levitt, 2014). It was only in the past 10–15 years and the concurrent development of positive psychology that the strengths and positive health dimensions of LGB individuals began to be studied in earnest (Horne et al., 2014; </w:t>
      </w:r>
      <w:proofErr w:type="spellStart"/>
      <w:r w:rsidRPr="006E187A">
        <w:rPr>
          <w:rFonts w:cstheme="minorHAnsi"/>
          <w:sz w:val="24"/>
          <w:szCs w:val="24"/>
        </w:rPr>
        <w:t>Riggle</w:t>
      </w:r>
      <w:proofErr w:type="spellEnd"/>
      <w:r w:rsidRPr="006E187A">
        <w:rPr>
          <w:rFonts w:cstheme="minorHAnsi"/>
          <w:sz w:val="24"/>
          <w:szCs w:val="24"/>
        </w:rPr>
        <w:t xml:space="preserve"> &amp; </w:t>
      </w:r>
      <w:proofErr w:type="spellStart"/>
      <w:r w:rsidRPr="006E187A">
        <w:rPr>
          <w:rFonts w:cstheme="minorHAnsi"/>
          <w:sz w:val="24"/>
          <w:szCs w:val="24"/>
        </w:rPr>
        <w:t>Rostosky</w:t>
      </w:r>
      <w:proofErr w:type="spellEnd"/>
      <w:r w:rsidRPr="006E187A">
        <w:rPr>
          <w:rFonts w:cstheme="minorHAnsi"/>
          <w:sz w:val="24"/>
          <w:szCs w:val="24"/>
        </w:rPr>
        <w:t>, 2012). With the increasing acceptance of LGB individuals in mainstream society, there is now more need than ever to shift from a pathology focus toward a more holistic understanding of LGB health and well-being.</w:t>
      </w:r>
    </w:p>
    <w:p w14:paraId="6CBEEF0A" w14:textId="537CD4F9" w:rsidR="006E187A" w:rsidRPr="006E187A" w:rsidRDefault="006E187A" w:rsidP="006E187A">
      <w:pPr>
        <w:rPr>
          <w:rFonts w:cstheme="minorHAnsi"/>
          <w:sz w:val="24"/>
          <w:szCs w:val="24"/>
        </w:rPr>
      </w:pPr>
      <w:r w:rsidRPr="006E187A">
        <w:rPr>
          <w:rFonts w:cstheme="minorHAnsi"/>
          <w:sz w:val="24"/>
          <w:szCs w:val="24"/>
        </w:rPr>
        <w:t>The past 10–15 years have also seen a growing focus on the often-overlooked experiences of specific sexual minority groups such as bisexual individuals. Public health studies have suggested bisexual men and women experience greater physical and mental health disparities than their monosexual peers (</w:t>
      </w:r>
      <w:proofErr w:type="spellStart"/>
      <w:r w:rsidRPr="006E187A">
        <w:rPr>
          <w:rFonts w:cstheme="minorHAnsi"/>
          <w:sz w:val="24"/>
          <w:szCs w:val="24"/>
        </w:rPr>
        <w:t>Conron</w:t>
      </w:r>
      <w:proofErr w:type="spellEnd"/>
      <w:r w:rsidRPr="006E187A">
        <w:rPr>
          <w:rFonts w:cstheme="minorHAnsi"/>
          <w:sz w:val="24"/>
          <w:szCs w:val="24"/>
        </w:rPr>
        <w:t xml:space="preserve">, </w:t>
      </w:r>
      <w:proofErr w:type="spellStart"/>
      <w:r w:rsidRPr="006E187A">
        <w:rPr>
          <w:rFonts w:cstheme="minorHAnsi"/>
          <w:sz w:val="24"/>
          <w:szCs w:val="24"/>
        </w:rPr>
        <w:t>Mimiaga</w:t>
      </w:r>
      <w:proofErr w:type="spellEnd"/>
      <w:r w:rsidRPr="006E187A">
        <w:rPr>
          <w:rFonts w:cstheme="minorHAnsi"/>
          <w:sz w:val="24"/>
          <w:szCs w:val="24"/>
        </w:rPr>
        <w:t xml:space="preserve">, &amp; Landers, 2010; Dilley, Simmons, </w:t>
      </w:r>
      <w:proofErr w:type="spellStart"/>
      <w:r w:rsidRPr="006E187A">
        <w:rPr>
          <w:rFonts w:cstheme="minorHAnsi"/>
          <w:sz w:val="24"/>
          <w:szCs w:val="24"/>
        </w:rPr>
        <w:t>Boysun</w:t>
      </w:r>
      <w:proofErr w:type="spellEnd"/>
      <w:r w:rsidRPr="006E187A">
        <w:rPr>
          <w:rFonts w:cstheme="minorHAnsi"/>
          <w:sz w:val="24"/>
          <w:szCs w:val="24"/>
        </w:rPr>
        <w:t xml:space="preserve">, </w:t>
      </w:r>
      <w:proofErr w:type="spellStart"/>
      <w:r w:rsidRPr="006E187A">
        <w:rPr>
          <w:rFonts w:cstheme="minorHAnsi"/>
          <w:sz w:val="24"/>
          <w:szCs w:val="24"/>
        </w:rPr>
        <w:t>Pizacani</w:t>
      </w:r>
      <w:proofErr w:type="spellEnd"/>
      <w:r w:rsidRPr="006E187A">
        <w:rPr>
          <w:rFonts w:cstheme="minorHAnsi"/>
          <w:sz w:val="24"/>
          <w:szCs w:val="24"/>
        </w:rPr>
        <w:t xml:space="preserve">, &amp; Stark, 2010; Ross et al., 2018) as well as important strengths and positive experiences that may be unique to bisexual identification (e.g., Brownfield, Brown, </w:t>
      </w:r>
      <w:proofErr w:type="spellStart"/>
      <w:r w:rsidRPr="006E187A">
        <w:rPr>
          <w:rFonts w:cstheme="minorHAnsi"/>
          <w:sz w:val="24"/>
          <w:szCs w:val="24"/>
        </w:rPr>
        <w:t>Jeevanba</w:t>
      </w:r>
      <w:proofErr w:type="spellEnd"/>
      <w:r w:rsidRPr="006E187A">
        <w:rPr>
          <w:rFonts w:cstheme="minorHAnsi"/>
          <w:sz w:val="24"/>
          <w:szCs w:val="24"/>
        </w:rPr>
        <w:t xml:space="preserve">, &amp; </w:t>
      </w:r>
      <w:proofErr w:type="spellStart"/>
      <w:r w:rsidRPr="006E187A">
        <w:rPr>
          <w:rFonts w:cstheme="minorHAnsi"/>
          <w:sz w:val="24"/>
          <w:szCs w:val="24"/>
        </w:rPr>
        <w:t>VanMattson</w:t>
      </w:r>
      <w:proofErr w:type="spellEnd"/>
      <w:r w:rsidRPr="006E187A">
        <w:rPr>
          <w:rFonts w:cstheme="minorHAnsi"/>
          <w:sz w:val="24"/>
          <w:szCs w:val="24"/>
        </w:rPr>
        <w:t>, 2018; </w:t>
      </w:r>
      <w:proofErr w:type="spellStart"/>
      <w:r w:rsidRPr="006E187A">
        <w:rPr>
          <w:rFonts w:cstheme="minorHAnsi"/>
          <w:sz w:val="24"/>
          <w:szCs w:val="24"/>
        </w:rPr>
        <w:t>Rostosky</w:t>
      </w:r>
      <w:proofErr w:type="spellEnd"/>
      <w:r w:rsidRPr="006E187A">
        <w:rPr>
          <w:rFonts w:cstheme="minorHAnsi"/>
          <w:sz w:val="24"/>
          <w:szCs w:val="24"/>
        </w:rPr>
        <w:t xml:space="preserve">, </w:t>
      </w:r>
      <w:proofErr w:type="spellStart"/>
      <w:r w:rsidRPr="006E187A">
        <w:rPr>
          <w:rFonts w:cstheme="minorHAnsi"/>
          <w:sz w:val="24"/>
          <w:szCs w:val="24"/>
        </w:rPr>
        <w:t>Riggle</w:t>
      </w:r>
      <w:proofErr w:type="spellEnd"/>
      <w:r w:rsidRPr="006E187A">
        <w:rPr>
          <w:rFonts w:cstheme="minorHAnsi"/>
          <w:sz w:val="24"/>
          <w:szCs w:val="24"/>
        </w:rPr>
        <w:t>, Pascale-Hague, &amp; McCants, 2010). There has not, however, been much research on the predictors of well-being among bisexual individuals. This study seeks to add to this literature by investigating a model of predictors of the positive dimensions of psychosocial health for bisexual men.</w:t>
      </w:r>
    </w:p>
    <w:p w14:paraId="73E54A24" w14:textId="645C0DDB" w:rsidR="006E187A" w:rsidRPr="0056697C" w:rsidRDefault="006E187A" w:rsidP="0056697C">
      <w:pPr>
        <w:pStyle w:val="Heading1"/>
      </w:pPr>
      <w:r w:rsidRPr="005F029F">
        <w:t>The Minority Stress Model and LGB Well-Being</w:t>
      </w:r>
    </w:p>
    <w:p w14:paraId="26CF7987" w14:textId="1AD3C8AF" w:rsidR="006E187A" w:rsidRPr="006E187A" w:rsidRDefault="006E187A" w:rsidP="006E187A">
      <w:pPr>
        <w:rPr>
          <w:rFonts w:cstheme="minorHAnsi"/>
          <w:sz w:val="24"/>
          <w:szCs w:val="24"/>
        </w:rPr>
      </w:pPr>
      <w:r w:rsidRPr="006E187A">
        <w:rPr>
          <w:rFonts w:cstheme="minorHAnsi"/>
          <w:sz w:val="24"/>
          <w:szCs w:val="24"/>
        </w:rPr>
        <w:t>A substantial body of empirical research has been developed over the past half century documenting both physical and mental health disparities between sexual minority populations and heterosexuals (Centers for Disease Control &amp; Prevention, 2014; Cochran &amp; Mays, 2006; Fredriksen-Goldsen et al., 2014; </w:t>
      </w:r>
      <w:proofErr w:type="spellStart"/>
      <w:r w:rsidRPr="006E187A">
        <w:rPr>
          <w:rFonts w:cstheme="minorHAnsi"/>
          <w:sz w:val="24"/>
          <w:szCs w:val="24"/>
        </w:rPr>
        <w:t>Herek</w:t>
      </w:r>
      <w:proofErr w:type="spellEnd"/>
      <w:r w:rsidRPr="006E187A">
        <w:rPr>
          <w:rFonts w:cstheme="minorHAnsi"/>
          <w:sz w:val="24"/>
          <w:szCs w:val="24"/>
        </w:rPr>
        <w:t xml:space="preserve"> &amp; Garnets, 2007; King et al., 2008; Matthews &amp; Lee, 2014; Meyer &amp; Northridge, 2007) and between bisexual and monosexual minorities (</w:t>
      </w:r>
      <w:proofErr w:type="spellStart"/>
      <w:r w:rsidRPr="006E187A">
        <w:rPr>
          <w:rFonts w:cstheme="minorHAnsi"/>
          <w:sz w:val="24"/>
          <w:szCs w:val="24"/>
        </w:rPr>
        <w:t>Conron</w:t>
      </w:r>
      <w:proofErr w:type="spellEnd"/>
      <w:r w:rsidRPr="006E187A">
        <w:rPr>
          <w:rFonts w:cstheme="minorHAnsi"/>
          <w:sz w:val="24"/>
          <w:szCs w:val="24"/>
        </w:rPr>
        <w:t xml:space="preserve"> et al., 2010; Dilley et al., 2010; Fredriksen-Goldsen, Kim, </w:t>
      </w:r>
      <w:proofErr w:type="spellStart"/>
      <w:r w:rsidRPr="006E187A">
        <w:rPr>
          <w:rFonts w:cstheme="minorHAnsi"/>
          <w:sz w:val="24"/>
          <w:szCs w:val="24"/>
        </w:rPr>
        <w:t>Barkan</w:t>
      </w:r>
      <w:proofErr w:type="spellEnd"/>
      <w:r w:rsidRPr="006E187A">
        <w:rPr>
          <w:rFonts w:cstheme="minorHAnsi"/>
          <w:sz w:val="24"/>
          <w:szCs w:val="24"/>
        </w:rPr>
        <w:t>, Balsam, &amp; Mincer, 2010; </w:t>
      </w:r>
      <w:proofErr w:type="spellStart"/>
      <w:r w:rsidRPr="006E187A">
        <w:rPr>
          <w:rFonts w:cstheme="minorHAnsi"/>
          <w:sz w:val="24"/>
          <w:szCs w:val="24"/>
        </w:rPr>
        <w:t>Jorm</w:t>
      </w:r>
      <w:proofErr w:type="spellEnd"/>
      <w:r w:rsidRPr="006E187A">
        <w:rPr>
          <w:rFonts w:cstheme="minorHAnsi"/>
          <w:sz w:val="24"/>
          <w:szCs w:val="24"/>
        </w:rPr>
        <w:t xml:space="preserve">, </w:t>
      </w:r>
      <w:proofErr w:type="spellStart"/>
      <w:r w:rsidRPr="006E187A">
        <w:rPr>
          <w:rFonts w:cstheme="minorHAnsi"/>
          <w:sz w:val="24"/>
          <w:szCs w:val="24"/>
        </w:rPr>
        <w:t>Korten</w:t>
      </w:r>
      <w:proofErr w:type="spellEnd"/>
      <w:r w:rsidRPr="006E187A">
        <w:rPr>
          <w:rFonts w:cstheme="minorHAnsi"/>
          <w:sz w:val="24"/>
          <w:szCs w:val="24"/>
        </w:rPr>
        <w:t xml:space="preserve">, Rodgers, </w:t>
      </w:r>
      <w:proofErr w:type="spellStart"/>
      <w:r w:rsidRPr="006E187A">
        <w:rPr>
          <w:rFonts w:cstheme="minorHAnsi"/>
          <w:sz w:val="24"/>
          <w:szCs w:val="24"/>
        </w:rPr>
        <w:t>Jacomb</w:t>
      </w:r>
      <w:proofErr w:type="spellEnd"/>
      <w:r w:rsidRPr="006E187A">
        <w:rPr>
          <w:rFonts w:cstheme="minorHAnsi"/>
          <w:sz w:val="24"/>
          <w:szCs w:val="24"/>
        </w:rPr>
        <w:t>, &amp; Christensen, 2002). The minority stress model is the most well-established theory explaining the mental health disparities found among sexual minorities (</w:t>
      </w:r>
      <w:proofErr w:type="spellStart"/>
      <w:r w:rsidRPr="006E187A">
        <w:rPr>
          <w:rFonts w:cstheme="minorHAnsi"/>
          <w:sz w:val="24"/>
          <w:szCs w:val="24"/>
        </w:rPr>
        <w:t>Herek</w:t>
      </w:r>
      <w:proofErr w:type="spellEnd"/>
      <w:r w:rsidRPr="006E187A">
        <w:rPr>
          <w:rFonts w:cstheme="minorHAnsi"/>
          <w:sz w:val="24"/>
          <w:szCs w:val="24"/>
        </w:rPr>
        <w:t xml:space="preserve"> &amp; Garnets, 2007; Meyer, 1995, 2003). This model posits that due to the social marginalization of their sexual minority status, LGB individuals are subjected to chronic stress above and beyond normative, universally experienced stressors. This additive stress can lead to increased negative health outcomes (Meyer, 1995, 2003).</w:t>
      </w:r>
    </w:p>
    <w:p w14:paraId="0075FC06" w14:textId="0EDBEB09" w:rsidR="006E187A" w:rsidRPr="006E187A" w:rsidRDefault="006E187A" w:rsidP="006E187A">
      <w:pPr>
        <w:rPr>
          <w:rFonts w:cstheme="minorHAnsi"/>
          <w:sz w:val="24"/>
          <w:szCs w:val="24"/>
        </w:rPr>
      </w:pPr>
      <w:r w:rsidRPr="006E187A">
        <w:rPr>
          <w:rFonts w:cstheme="minorHAnsi"/>
          <w:sz w:val="24"/>
          <w:szCs w:val="24"/>
        </w:rPr>
        <w:t>Despite the ubiquity of the minority stress model in LGB research, there is relatively limited research testing the model with bisexual men, as most research has tended to group bisexual individuals with gay men or bisexual women (Israel, 2018). In addition to experiencing greater mental health disparities relative to monosexual minorities (Ross et al., 2018), bisexual individuals are subject to “double discrimination” from both the LGBT and heterosexual communities (Fredriksen-Goldsen et al., 2014; </w:t>
      </w:r>
      <w:proofErr w:type="spellStart"/>
      <w:r w:rsidRPr="006E187A">
        <w:rPr>
          <w:rFonts w:cstheme="minorHAnsi"/>
          <w:sz w:val="24"/>
          <w:szCs w:val="24"/>
        </w:rPr>
        <w:t>Mulick</w:t>
      </w:r>
      <w:proofErr w:type="spellEnd"/>
      <w:r w:rsidRPr="006E187A">
        <w:rPr>
          <w:rFonts w:cstheme="minorHAnsi"/>
          <w:sz w:val="24"/>
          <w:szCs w:val="24"/>
        </w:rPr>
        <w:t xml:space="preserve"> &amp; Wright, 2011). Some research has observed this prejudice as being slightly stronger toward bisexual men than woman (Fredriksen-Goldsen et al., 2014). Bisexuals have been shown to experience greater psychosocial distress and less well-being relative to gay men and lesbians (</w:t>
      </w:r>
      <w:proofErr w:type="spellStart"/>
      <w:r w:rsidRPr="006E187A">
        <w:rPr>
          <w:rFonts w:cstheme="minorHAnsi"/>
          <w:sz w:val="24"/>
          <w:szCs w:val="24"/>
        </w:rPr>
        <w:t>Shilo</w:t>
      </w:r>
      <w:proofErr w:type="spellEnd"/>
      <w:r w:rsidRPr="006E187A">
        <w:rPr>
          <w:rFonts w:cstheme="minorHAnsi"/>
          <w:sz w:val="24"/>
          <w:szCs w:val="24"/>
        </w:rPr>
        <w:t xml:space="preserve"> &amp; </w:t>
      </w:r>
      <w:proofErr w:type="spellStart"/>
      <w:r w:rsidRPr="006E187A">
        <w:rPr>
          <w:rFonts w:cstheme="minorHAnsi"/>
          <w:sz w:val="24"/>
          <w:szCs w:val="24"/>
        </w:rPr>
        <w:t>Savaya</w:t>
      </w:r>
      <w:proofErr w:type="spellEnd"/>
      <w:r w:rsidRPr="006E187A">
        <w:rPr>
          <w:rFonts w:cstheme="minorHAnsi"/>
          <w:sz w:val="24"/>
          <w:szCs w:val="24"/>
        </w:rPr>
        <w:t xml:space="preserve">, 2012). Proximal minority stress processes (i.e., internalized biphobia and expectations of stigma) have been found to directly predict mental health outcomes among bisexuals (Brewster, Moradi, </w:t>
      </w:r>
      <w:proofErr w:type="spellStart"/>
      <w:r w:rsidRPr="006E187A">
        <w:rPr>
          <w:rFonts w:cstheme="minorHAnsi"/>
          <w:sz w:val="24"/>
          <w:szCs w:val="24"/>
        </w:rPr>
        <w:t>DeBlaere</w:t>
      </w:r>
      <w:proofErr w:type="spellEnd"/>
      <w:r w:rsidRPr="006E187A">
        <w:rPr>
          <w:rFonts w:cstheme="minorHAnsi"/>
          <w:sz w:val="24"/>
          <w:szCs w:val="24"/>
        </w:rPr>
        <w:t>, &amp; Velez, 2013). Protective factors, particularly social support, may also be of elevated importance for bisexuals given the potential for ostracization in both straight and queer contexts (</w:t>
      </w:r>
      <w:proofErr w:type="spellStart"/>
      <w:r w:rsidRPr="006E187A">
        <w:rPr>
          <w:rFonts w:cstheme="minorHAnsi"/>
          <w:sz w:val="24"/>
          <w:szCs w:val="24"/>
        </w:rPr>
        <w:t>Kertzner</w:t>
      </w:r>
      <w:proofErr w:type="spellEnd"/>
      <w:r w:rsidRPr="006E187A">
        <w:rPr>
          <w:rFonts w:cstheme="minorHAnsi"/>
          <w:sz w:val="24"/>
          <w:szCs w:val="24"/>
        </w:rPr>
        <w:t xml:space="preserve">, Meyer, Frost, &amp; Stirratt, 2009; Ross, Dobinson, &amp; </w:t>
      </w:r>
      <w:proofErr w:type="spellStart"/>
      <w:r w:rsidRPr="006E187A">
        <w:rPr>
          <w:rFonts w:cstheme="minorHAnsi"/>
          <w:sz w:val="24"/>
          <w:szCs w:val="24"/>
        </w:rPr>
        <w:t>Eady</w:t>
      </w:r>
      <w:proofErr w:type="spellEnd"/>
      <w:r w:rsidRPr="006E187A">
        <w:rPr>
          <w:rFonts w:cstheme="minorHAnsi"/>
          <w:sz w:val="24"/>
          <w:szCs w:val="24"/>
        </w:rPr>
        <w:t>, 2010; </w:t>
      </w:r>
      <w:proofErr w:type="spellStart"/>
      <w:r w:rsidRPr="006E187A">
        <w:rPr>
          <w:rFonts w:cstheme="minorHAnsi"/>
          <w:sz w:val="24"/>
          <w:szCs w:val="24"/>
        </w:rPr>
        <w:t>Saewyc</w:t>
      </w:r>
      <w:proofErr w:type="spellEnd"/>
      <w:r w:rsidRPr="006E187A">
        <w:rPr>
          <w:rFonts w:cstheme="minorHAnsi"/>
          <w:sz w:val="24"/>
          <w:szCs w:val="24"/>
        </w:rPr>
        <w:t xml:space="preserve"> et al., 2009). While some studies (Brewster et al., 2013; </w:t>
      </w:r>
      <w:proofErr w:type="spellStart"/>
      <w:r w:rsidRPr="006E187A">
        <w:rPr>
          <w:rFonts w:cstheme="minorHAnsi"/>
          <w:sz w:val="24"/>
          <w:szCs w:val="24"/>
        </w:rPr>
        <w:t>Shilo</w:t>
      </w:r>
      <w:proofErr w:type="spellEnd"/>
      <w:r w:rsidRPr="006E187A">
        <w:rPr>
          <w:rFonts w:cstheme="minorHAnsi"/>
          <w:sz w:val="24"/>
          <w:szCs w:val="24"/>
        </w:rPr>
        <w:t xml:space="preserve"> &amp; </w:t>
      </w:r>
      <w:proofErr w:type="spellStart"/>
      <w:r w:rsidRPr="006E187A">
        <w:rPr>
          <w:rFonts w:cstheme="minorHAnsi"/>
          <w:sz w:val="24"/>
          <w:szCs w:val="24"/>
        </w:rPr>
        <w:t>Savaya</w:t>
      </w:r>
      <w:proofErr w:type="spellEnd"/>
      <w:r w:rsidRPr="006E187A">
        <w:rPr>
          <w:rFonts w:cstheme="minorHAnsi"/>
          <w:sz w:val="24"/>
          <w:szCs w:val="24"/>
        </w:rPr>
        <w:t>, 2012) looked at multiple aspects of the minority stress model and used indicators of psychosocial distress and well-being, few included multiple protective factors, such as resilience or positive attitudes toward one’s sexuality, and even fewer measured well-being holistically.</w:t>
      </w:r>
    </w:p>
    <w:p w14:paraId="7089A38C" w14:textId="2A862AE7" w:rsidR="006E187A" w:rsidRPr="006E187A" w:rsidRDefault="006E187A" w:rsidP="001654C1">
      <w:pPr>
        <w:pStyle w:val="Heading1"/>
        <w:rPr>
          <w:rFonts w:cstheme="minorHAnsi"/>
          <w:sz w:val="24"/>
          <w:szCs w:val="24"/>
        </w:rPr>
      </w:pPr>
      <w:r w:rsidRPr="005F029F">
        <w:t>Conceptualizing and Operationalizing Psychosocial Well-Being</w:t>
      </w:r>
    </w:p>
    <w:p w14:paraId="6B5412F7" w14:textId="164AD14A" w:rsidR="006E187A" w:rsidRPr="006E187A" w:rsidRDefault="006E187A" w:rsidP="006E187A">
      <w:pPr>
        <w:rPr>
          <w:rFonts w:cstheme="minorHAnsi"/>
          <w:sz w:val="24"/>
          <w:szCs w:val="24"/>
        </w:rPr>
      </w:pPr>
      <w:r w:rsidRPr="006E187A">
        <w:rPr>
          <w:rFonts w:cstheme="minorHAnsi"/>
          <w:sz w:val="24"/>
          <w:szCs w:val="24"/>
        </w:rPr>
        <w:t xml:space="preserve">The ways in which well-being has been conceptualized in the LGB mental health literature have varied widely, ranging from a focus on the absence of psychological distress or mental illness (e.g., Dibble, Eliason, &amp; Crawford, 2012; Rivers &amp; </w:t>
      </w:r>
      <w:proofErr w:type="spellStart"/>
      <w:r w:rsidRPr="006E187A">
        <w:rPr>
          <w:rFonts w:cstheme="minorHAnsi"/>
          <w:sz w:val="24"/>
          <w:szCs w:val="24"/>
        </w:rPr>
        <w:t>Noret</w:t>
      </w:r>
      <w:proofErr w:type="spellEnd"/>
      <w:r w:rsidRPr="006E187A">
        <w:rPr>
          <w:rFonts w:cstheme="minorHAnsi"/>
          <w:sz w:val="24"/>
          <w:szCs w:val="24"/>
        </w:rPr>
        <w:t xml:space="preserve">, 2008; Schick, Rosenberger, </w:t>
      </w:r>
      <w:proofErr w:type="spellStart"/>
      <w:r w:rsidRPr="006E187A">
        <w:rPr>
          <w:rFonts w:cstheme="minorHAnsi"/>
          <w:sz w:val="24"/>
          <w:szCs w:val="24"/>
        </w:rPr>
        <w:t>Herbenick</w:t>
      </w:r>
      <w:proofErr w:type="spellEnd"/>
      <w:r w:rsidRPr="006E187A">
        <w:rPr>
          <w:rFonts w:cstheme="minorHAnsi"/>
          <w:sz w:val="24"/>
          <w:szCs w:val="24"/>
        </w:rPr>
        <w:t>, Calabrese, &amp; Reece, 2012) to theories of psychological well-being (e.g., Jennings &amp; Tan, 2014; </w:t>
      </w:r>
      <w:proofErr w:type="spellStart"/>
      <w:r w:rsidRPr="006E187A">
        <w:rPr>
          <w:rFonts w:cstheme="minorHAnsi"/>
          <w:sz w:val="24"/>
          <w:szCs w:val="24"/>
        </w:rPr>
        <w:t>Riggle</w:t>
      </w:r>
      <w:proofErr w:type="spellEnd"/>
      <w:r w:rsidRPr="006E187A">
        <w:rPr>
          <w:rFonts w:cstheme="minorHAnsi"/>
          <w:sz w:val="24"/>
          <w:szCs w:val="24"/>
        </w:rPr>
        <w:t xml:space="preserve">, </w:t>
      </w:r>
      <w:proofErr w:type="spellStart"/>
      <w:r w:rsidRPr="006E187A">
        <w:rPr>
          <w:rFonts w:cstheme="minorHAnsi"/>
          <w:sz w:val="24"/>
          <w:szCs w:val="24"/>
        </w:rPr>
        <w:t>Rostosky</w:t>
      </w:r>
      <w:proofErr w:type="spellEnd"/>
      <w:r w:rsidRPr="006E187A">
        <w:rPr>
          <w:rFonts w:cstheme="minorHAnsi"/>
          <w:sz w:val="24"/>
          <w:szCs w:val="24"/>
        </w:rPr>
        <w:t>, &amp; Danner, 2009; Selvidge, Matthews, &amp; Bridges, 2008). The most prominent conceptualizations of psychological well-being focus on the achievement of happiness and positive affect (Diener, 1984), optimal functioning (</w:t>
      </w:r>
      <w:proofErr w:type="spellStart"/>
      <w:r w:rsidRPr="006E187A">
        <w:rPr>
          <w:rFonts w:cstheme="minorHAnsi"/>
          <w:sz w:val="24"/>
          <w:szCs w:val="24"/>
        </w:rPr>
        <w:t>Ryff</w:t>
      </w:r>
      <w:proofErr w:type="spellEnd"/>
      <w:r w:rsidRPr="006E187A">
        <w:rPr>
          <w:rFonts w:cstheme="minorHAnsi"/>
          <w:sz w:val="24"/>
          <w:szCs w:val="24"/>
        </w:rPr>
        <w:t xml:space="preserve"> &amp; Keyes, 1995), or optimal social functioning and attitudes (Cooke, Melchert, &amp; Connor, 2016; Keyes, 1998; Lent, 2004; Ryan &amp; Deci, 2001). Furthermore, empirical evidence shows that the presence of these positive aspects of well-being are distinct from the absence of mental illness (Keyes, 2002; Lent, 2004). Therefore, it is important that research on well-being focuses on the presence of positive dimensions of mental health rather than the absence of mental illness (Cooke et al., 2016; Keyes, 2002).</w:t>
      </w:r>
    </w:p>
    <w:p w14:paraId="13687728" w14:textId="3A2EEA0A" w:rsidR="006E187A" w:rsidRPr="006E187A" w:rsidRDefault="006E187A" w:rsidP="006E187A">
      <w:pPr>
        <w:rPr>
          <w:rFonts w:cstheme="minorHAnsi"/>
          <w:sz w:val="24"/>
          <w:szCs w:val="24"/>
        </w:rPr>
      </w:pPr>
      <w:r w:rsidRPr="006E187A">
        <w:rPr>
          <w:rFonts w:cstheme="minorHAnsi"/>
          <w:sz w:val="24"/>
          <w:szCs w:val="24"/>
        </w:rPr>
        <w:t xml:space="preserve">Researchers may be in general agreement that well-being is distinct from mental illness, but there is far less agreement on a single definition of well-being (Cooke et al., 2016). Within psychological well-being research, there are two primary philosophical approaches: hedonic and </w:t>
      </w:r>
      <w:proofErr w:type="spellStart"/>
      <w:r w:rsidRPr="006E187A">
        <w:rPr>
          <w:rFonts w:cstheme="minorHAnsi"/>
          <w:sz w:val="24"/>
          <w:szCs w:val="24"/>
        </w:rPr>
        <w:t>eudaimonic</w:t>
      </w:r>
      <w:proofErr w:type="spellEnd"/>
      <w:r w:rsidRPr="006E187A">
        <w:rPr>
          <w:rFonts w:cstheme="minorHAnsi"/>
          <w:sz w:val="24"/>
          <w:szCs w:val="24"/>
        </w:rPr>
        <w:t xml:space="preserve"> well-being (Lent, 2004). Hedonic well-being focuses on the attainment of happiness and </w:t>
      </w:r>
      <w:proofErr w:type="gramStart"/>
      <w:r w:rsidRPr="006E187A">
        <w:rPr>
          <w:rFonts w:cstheme="minorHAnsi"/>
          <w:sz w:val="24"/>
          <w:szCs w:val="24"/>
        </w:rPr>
        <w:t>pleasure, and</w:t>
      </w:r>
      <w:proofErr w:type="gramEnd"/>
      <w:r w:rsidRPr="006E187A">
        <w:rPr>
          <w:rFonts w:cstheme="minorHAnsi"/>
          <w:sz w:val="24"/>
          <w:szCs w:val="24"/>
        </w:rPr>
        <w:t xml:space="preserve"> is typically associated with Ed Diener’s subjective well-being theory, which views well-being as a combination of life satisfaction, positive affect, and minimal negative affect (Diener, Emmons, Larsen, &amp; Griffin, 1985). </w:t>
      </w:r>
      <w:proofErr w:type="spellStart"/>
      <w:r w:rsidRPr="006E187A">
        <w:rPr>
          <w:rFonts w:cstheme="minorHAnsi"/>
          <w:sz w:val="24"/>
          <w:szCs w:val="24"/>
        </w:rPr>
        <w:t>Eudaimonic</w:t>
      </w:r>
      <w:proofErr w:type="spellEnd"/>
      <w:r w:rsidRPr="006E187A">
        <w:rPr>
          <w:rFonts w:cstheme="minorHAnsi"/>
          <w:sz w:val="24"/>
          <w:szCs w:val="24"/>
        </w:rPr>
        <w:t xml:space="preserve"> well-being, on the other hand, views well-being as living in accord with one’s true self or achieving optimal functioning or potential (Lent, 2004; Ryan &amp; Deci, 2001). Two of the most prominent </w:t>
      </w:r>
      <w:proofErr w:type="spellStart"/>
      <w:r w:rsidRPr="006E187A">
        <w:rPr>
          <w:rFonts w:cstheme="minorHAnsi"/>
          <w:sz w:val="24"/>
          <w:szCs w:val="24"/>
        </w:rPr>
        <w:t>eudaimonic</w:t>
      </w:r>
      <w:proofErr w:type="spellEnd"/>
      <w:r w:rsidRPr="006E187A">
        <w:rPr>
          <w:rFonts w:cstheme="minorHAnsi"/>
          <w:sz w:val="24"/>
          <w:szCs w:val="24"/>
        </w:rPr>
        <w:t xml:space="preserve"> theories are Carol </w:t>
      </w:r>
      <w:proofErr w:type="spellStart"/>
      <w:r w:rsidRPr="006E187A">
        <w:rPr>
          <w:rFonts w:cstheme="minorHAnsi"/>
          <w:sz w:val="24"/>
          <w:szCs w:val="24"/>
        </w:rPr>
        <w:t>Ryff’s</w:t>
      </w:r>
      <w:proofErr w:type="spellEnd"/>
      <w:r w:rsidRPr="006E187A">
        <w:rPr>
          <w:rFonts w:cstheme="minorHAnsi"/>
          <w:sz w:val="24"/>
          <w:szCs w:val="24"/>
        </w:rPr>
        <w:t xml:space="preserve"> psychological well-being theory (PWB; </w:t>
      </w:r>
      <w:proofErr w:type="spellStart"/>
      <w:r w:rsidRPr="006E187A">
        <w:rPr>
          <w:rFonts w:cstheme="minorHAnsi"/>
          <w:sz w:val="24"/>
          <w:szCs w:val="24"/>
        </w:rPr>
        <w:t>Ryff</w:t>
      </w:r>
      <w:proofErr w:type="spellEnd"/>
      <w:r w:rsidRPr="006E187A">
        <w:rPr>
          <w:rFonts w:cstheme="minorHAnsi"/>
          <w:sz w:val="24"/>
          <w:szCs w:val="24"/>
        </w:rPr>
        <w:t xml:space="preserve">, 1989), which views well-being as consisting of six dimensions of optimal functioning (e.g., self-acceptance, purpose in life), and Keyes’s (1998) social well-being theory, which focuses on five areas of optimal social functioning (e.g., social integration, social contribution). Despite the limitations associated with each of these theories (Lent, 2004; Ryan &amp; Deci, 2001), all of them touch on important aspects of what it means to live a fulfilling and satisfying life. In recognition of this, Keyes (2002) proposed an integrative model of well-being, known as the mental health continuum, consisting of: (a) emotional well-being, or two of the three dimensions of subjective well-being (positive affect and life satisfaction); (b) psychological well-being, or the six dimensions of </w:t>
      </w:r>
      <w:proofErr w:type="spellStart"/>
      <w:r w:rsidRPr="006E187A">
        <w:rPr>
          <w:rFonts w:cstheme="minorHAnsi"/>
          <w:sz w:val="24"/>
          <w:szCs w:val="24"/>
        </w:rPr>
        <w:t>Ryff’s</w:t>
      </w:r>
      <w:proofErr w:type="spellEnd"/>
      <w:r w:rsidRPr="006E187A">
        <w:rPr>
          <w:rFonts w:cstheme="minorHAnsi"/>
          <w:sz w:val="24"/>
          <w:szCs w:val="24"/>
        </w:rPr>
        <w:t xml:space="preserve"> PWB theory; and (c) social well-being, or the five dimensions of Keyes’s social well-being theory.</w:t>
      </w:r>
    </w:p>
    <w:p w14:paraId="606B91A2" w14:textId="5D6FC365" w:rsidR="006E187A" w:rsidRPr="006E187A" w:rsidRDefault="006E187A" w:rsidP="001654C1">
      <w:pPr>
        <w:pStyle w:val="Heading1"/>
        <w:rPr>
          <w:rFonts w:cstheme="minorHAnsi"/>
          <w:sz w:val="24"/>
          <w:szCs w:val="24"/>
        </w:rPr>
      </w:pPr>
      <w:r w:rsidRPr="005F029F">
        <w:t>Sexual Minority Well-Being Research</w:t>
      </w:r>
    </w:p>
    <w:p w14:paraId="19BEE585" w14:textId="3A683083" w:rsidR="006E187A" w:rsidRPr="006E187A" w:rsidRDefault="006E187A" w:rsidP="006E187A">
      <w:pPr>
        <w:rPr>
          <w:rFonts w:cstheme="minorHAnsi"/>
          <w:sz w:val="24"/>
          <w:szCs w:val="24"/>
        </w:rPr>
      </w:pPr>
      <w:r w:rsidRPr="006E187A">
        <w:rPr>
          <w:rFonts w:cstheme="minorHAnsi"/>
          <w:sz w:val="24"/>
          <w:szCs w:val="24"/>
        </w:rPr>
        <w:t xml:space="preserve">There is a growing body of research at the intersection of positive psychology and sexual minority health (Dickinson &amp; Adams, 2014; Domínguez, </w:t>
      </w:r>
      <w:proofErr w:type="spellStart"/>
      <w:r w:rsidRPr="006E187A">
        <w:rPr>
          <w:rFonts w:cstheme="minorHAnsi"/>
          <w:sz w:val="24"/>
          <w:szCs w:val="24"/>
        </w:rPr>
        <w:t>Bobele</w:t>
      </w:r>
      <w:proofErr w:type="spellEnd"/>
      <w:r w:rsidRPr="006E187A">
        <w:rPr>
          <w:rFonts w:cstheme="minorHAnsi"/>
          <w:sz w:val="24"/>
          <w:szCs w:val="24"/>
        </w:rPr>
        <w:t>, Coppock, &amp; Peña, 2015; Meyer, 2014; </w:t>
      </w:r>
      <w:proofErr w:type="spellStart"/>
      <w:r w:rsidRPr="006E187A">
        <w:rPr>
          <w:rFonts w:cstheme="minorHAnsi"/>
          <w:sz w:val="24"/>
          <w:szCs w:val="24"/>
        </w:rPr>
        <w:t>Powdthavee</w:t>
      </w:r>
      <w:proofErr w:type="spellEnd"/>
      <w:r w:rsidRPr="006E187A">
        <w:rPr>
          <w:rFonts w:cstheme="minorHAnsi"/>
          <w:sz w:val="24"/>
          <w:szCs w:val="24"/>
        </w:rPr>
        <w:t xml:space="preserve"> &amp; Wooden, 2015; </w:t>
      </w:r>
      <w:proofErr w:type="spellStart"/>
      <w:r w:rsidRPr="006E187A">
        <w:rPr>
          <w:rFonts w:cstheme="minorHAnsi"/>
          <w:sz w:val="24"/>
          <w:szCs w:val="24"/>
        </w:rPr>
        <w:t>Riggle</w:t>
      </w:r>
      <w:proofErr w:type="spellEnd"/>
      <w:r w:rsidRPr="006E187A">
        <w:rPr>
          <w:rFonts w:cstheme="minorHAnsi"/>
          <w:sz w:val="24"/>
          <w:szCs w:val="24"/>
        </w:rPr>
        <w:t xml:space="preserve">, Mohr, </w:t>
      </w:r>
      <w:proofErr w:type="spellStart"/>
      <w:r w:rsidRPr="006E187A">
        <w:rPr>
          <w:rFonts w:cstheme="minorHAnsi"/>
          <w:sz w:val="24"/>
          <w:szCs w:val="24"/>
        </w:rPr>
        <w:t>Rostosky</w:t>
      </w:r>
      <w:proofErr w:type="spellEnd"/>
      <w:r w:rsidRPr="006E187A">
        <w:rPr>
          <w:rFonts w:cstheme="minorHAnsi"/>
          <w:sz w:val="24"/>
          <w:szCs w:val="24"/>
        </w:rPr>
        <w:t>, Fingerhut, &amp; Balsam, 2014; </w:t>
      </w:r>
      <w:proofErr w:type="spellStart"/>
      <w:r w:rsidRPr="006E187A">
        <w:rPr>
          <w:rFonts w:cstheme="minorHAnsi"/>
          <w:sz w:val="24"/>
          <w:szCs w:val="24"/>
        </w:rPr>
        <w:t>Riggle</w:t>
      </w:r>
      <w:proofErr w:type="spellEnd"/>
      <w:r w:rsidRPr="006E187A">
        <w:rPr>
          <w:rFonts w:cstheme="minorHAnsi"/>
          <w:sz w:val="24"/>
          <w:szCs w:val="24"/>
        </w:rPr>
        <w:t xml:space="preserve"> &amp; </w:t>
      </w:r>
      <w:proofErr w:type="spellStart"/>
      <w:r w:rsidRPr="006E187A">
        <w:rPr>
          <w:rFonts w:cstheme="minorHAnsi"/>
          <w:sz w:val="24"/>
          <w:szCs w:val="24"/>
        </w:rPr>
        <w:t>Rostosky</w:t>
      </w:r>
      <w:proofErr w:type="spellEnd"/>
      <w:r w:rsidRPr="006E187A">
        <w:rPr>
          <w:rFonts w:cstheme="minorHAnsi"/>
          <w:sz w:val="24"/>
          <w:szCs w:val="24"/>
        </w:rPr>
        <w:t xml:space="preserve">, 2012; Vaughan &amp; Rodriguez, 2014; Vaughan et al., 2014). This literature includes findings of lower </w:t>
      </w:r>
      <w:proofErr w:type="spellStart"/>
      <w:r w:rsidRPr="006E187A">
        <w:rPr>
          <w:rFonts w:cstheme="minorHAnsi"/>
          <w:sz w:val="24"/>
          <w:szCs w:val="24"/>
        </w:rPr>
        <w:t>eudaimonic</w:t>
      </w:r>
      <w:proofErr w:type="spellEnd"/>
      <w:r w:rsidRPr="006E187A">
        <w:rPr>
          <w:rFonts w:cstheme="minorHAnsi"/>
          <w:sz w:val="24"/>
          <w:szCs w:val="24"/>
        </w:rPr>
        <w:t xml:space="preserve"> well-being among sexual minority adults (</w:t>
      </w:r>
      <w:proofErr w:type="spellStart"/>
      <w:r w:rsidRPr="006E187A">
        <w:rPr>
          <w:rFonts w:cstheme="minorHAnsi"/>
          <w:sz w:val="24"/>
          <w:szCs w:val="24"/>
        </w:rPr>
        <w:t>Riggle</w:t>
      </w:r>
      <w:proofErr w:type="spellEnd"/>
      <w:r w:rsidRPr="006E187A">
        <w:rPr>
          <w:rFonts w:cstheme="minorHAnsi"/>
          <w:sz w:val="24"/>
          <w:szCs w:val="24"/>
        </w:rPr>
        <w:t xml:space="preserve"> et al., 2009) and lower social well-being among bisexuals relative to gay men and lesbians (</w:t>
      </w:r>
      <w:proofErr w:type="spellStart"/>
      <w:r w:rsidRPr="006E187A">
        <w:rPr>
          <w:rFonts w:cstheme="minorHAnsi"/>
          <w:sz w:val="24"/>
          <w:szCs w:val="24"/>
        </w:rPr>
        <w:t>Kertzner</w:t>
      </w:r>
      <w:proofErr w:type="spellEnd"/>
      <w:r w:rsidRPr="006E187A">
        <w:rPr>
          <w:rFonts w:cstheme="minorHAnsi"/>
          <w:sz w:val="24"/>
          <w:szCs w:val="24"/>
        </w:rPr>
        <w:t xml:space="preserve"> et al., 2009). A recent study (</w:t>
      </w:r>
      <w:proofErr w:type="spellStart"/>
      <w:r w:rsidRPr="006E187A">
        <w:rPr>
          <w:rFonts w:cstheme="minorHAnsi"/>
          <w:sz w:val="24"/>
          <w:szCs w:val="24"/>
        </w:rPr>
        <w:t>Bariola</w:t>
      </w:r>
      <w:proofErr w:type="spellEnd"/>
      <w:r w:rsidRPr="006E187A">
        <w:rPr>
          <w:rFonts w:cstheme="minorHAnsi"/>
          <w:sz w:val="24"/>
          <w:szCs w:val="24"/>
        </w:rPr>
        <w:t xml:space="preserve">, Lyons, &amp; </w:t>
      </w:r>
      <w:proofErr w:type="spellStart"/>
      <w:r w:rsidRPr="006E187A">
        <w:rPr>
          <w:rFonts w:cstheme="minorHAnsi"/>
          <w:sz w:val="24"/>
          <w:szCs w:val="24"/>
        </w:rPr>
        <w:t>Lucke</w:t>
      </w:r>
      <w:proofErr w:type="spellEnd"/>
      <w:r w:rsidRPr="006E187A">
        <w:rPr>
          <w:rFonts w:cstheme="minorHAnsi"/>
          <w:sz w:val="24"/>
          <w:szCs w:val="24"/>
        </w:rPr>
        <w:t>, 2017) using Keyes’ (2002) mental health continuum model and its associated measure, the Mental Health Continuum-Short Form (MHC-SF; Keyes et al., 2008), found that 47% of a sample of lesbians and gay men met Keyes’ criteria for flourishing, suggesting significant strengths among lesbians and gay men despite well documented mental health disparities. However, with few exceptions (e.g., </w:t>
      </w:r>
      <w:proofErr w:type="spellStart"/>
      <w:r w:rsidRPr="006E187A">
        <w:rPr>
          <w:rFonts w:cstheme="minorHAnsi"/>
          <w:sz w:val="24"/>
          <w:szCs w:val="24"/>
        </w:rPr>
        <w:t>Shilo</w:t>
      </w:r>
      <w:proofErr w:type="spellEnd"/>
      <w:r w:rsidRPr="006E187A">
        <w:rPr>
          <w:rFonts w:cstheme="minorHAnsi"/>
          <w:sz w:val="24"/>
          <w:szCs w:val="24"/>
        </w:rPr>
        <w:t xml:space="preserve"> &amp; </w:t>
      </w:r>
      <w:proofErr w:type="spellStart"/>
      <w:r w:rsidRPr="006E187A">
        <w:rPr>
          <w:rFonts w:cstheme="minorHAnsi"/>
          <w:sz w:val="24"/>
          <w:szCs w:val="24"/>
        </w:rPr>
        <w:t>Savaya</w:t>
      </w:r>
      <w:proofErr w:type="spellEnd"/>
      <w:r w:rsidRPr="006E187A">
        <w:rPr>
          <w:rFonts w:cstheme="minorHAnsi"/>
          <w:sz w:val="24"/>
          <w:szCs w:val="24"/>
        </w:rPr>
        <w:t>, 2012), studies rarely test the major hypotheses of the minority stress model using a holistic measure of psychosocial well-being such as the MHC-SF.</w:t>
      </w:r>
    </w:p>
    <w:p w14:paraId="4B77E7D9" w14:textId="6F08058A" w:rsidR="006E187A" w:rsidRPr="006E187A" w:rsidRDefault="006E187A" w:rsidP="006E187A">
      <w:pPr>
        <w:rPr>
          <w:rFonts w:cstheme="minorHAnsi"/>
          <w:sz w:val="24"/>
          <w:szCs w:val="24"/>
        </w:rPr>
      </w:pPr>
      <w:r w:rsidRPr="006E187A">
        <w:rPr>
          <w:rFonts w:cstheme="minorHAnsi"/>
          <w:sz w:val="24"/>
          <w:szCs w:val="24"/>
        </w:rPr>
        <w:t>Despite the limited amount of research in this area, some possible predictors of LGB well-being have been identified. For example, a positive view of one’s sexual identity (i.e., positive identity valence) has been associated with psychological well-being (</w:t>
      </w:r>
      <w:proofErr w:type="spellStart"/>
      <w:r w:rsidRPr="006E187A">
        <w:rPr>
          <w:rFonts w:cstheme="minorHAnsi"/>
          <w:sz w:val="24"/>
          <w:szCs w:val="24"/>
        </w:rPr>
        <w:t>Frable</w:t>
      </w:r>
      <w:proofErr w:type="spellEnd"/>
      <w:r w:rsidRPr="006E187A">
        <w:rPr>
          <w:rFonts w:cstheme="minorHAnsi"/>
          <w:sz w:val="24"/>
          <w:szCs w:val="24"/>
        </w:rPr>
        <w:t>, Wortman, &amp; Joseph, 1997; Ghavami, Fingerhut, Peplau, Grant, &amp; Wittig, 2011; Li, Johnson, &amp; Jenkins-</w:t>
      </w:r>
      <w:proofErr w:type="spellStart"/>
      <w:r w:rsidRPr="006E187A">
        <w:rPr>
          <w:rFonts w:cstheme="minorHAnsi"/>
          <w:sz w:val="24"/>
          <w:szCs w:val="24"/>
        </w:rPr>
        <w:t>Guarnieri</w:t>
      </w:r>
      <w:proofErr w:type="spellEnd"/>
      <w:r w:rsidRPr="006E187A">
        <w:rPr>
          <w:rFonts w:cstheme="minorHAnsi"/>
          <w:sz w:val="24"/>
          <w:szCs w:val="24"/>
        </w:rPr>
        <w:t>, 2013; </w:t>
      </w:r>
      <w:proofErr w:type="spellStart"/>
      <w:r w:rsidRPr="006E187A">
        <w:rPr>
          <w:rFonts w:cstheme="minorHAnsi"/>
          <w:sz w:val="24"/>
          <w:szCs w:val="24"/>
        </w:rPr>
        <w:t>Luhtanen</w:t>
      </w:r>
      <w:proofErr w:type="spellEnd"/>
      <w:r w:rsidRPr="006E187A">
        <w:rPr>
          <w:rFonts w:cstheme="minorHAnsi"/>
          <w:sz w:val="24"/>
          <w:szCs w:val="24"/>
        </w:rPr>
        <w:t>, 2003), as have various strengths associated with holding an LGB identity (e.g., self-awareness, intimacy; </w:t>
      </w:r>
      <w:proofErr w:type="spellStart"/>
      <w:r w:rsidRPr="006E187A">
        <w:rPr>
          <w:rFonts w:cstheme="minorHAnsi"/>
          <w:sz w:val="24"/>
          <w:szCs w:val="24"/>
        </w:rPr>
        <w:t>Riggle</w:t>
      </w:r>
      <w:proofErr w:type="spellEnd"/>
      <w:r w:rsidRPr="006E187A">
        <w:rPr>
          <w:rFonts w:cstheme="minorHAnsi"/>
          <w:sz w:val="24"/>
          <w:szCs w:val="24"/>
        </w:rPr>
        <w:t xml:space="preserve"> et al., 2014). Research has also identified general social support as an important factor associated with LGB well-being (Domínguez-Fuentes, </w:t>
      </w:r>
      <w:proofErr w:type="spellStart"/>
      <w:r w:rsidRPr="006E187A">
        <w:rPr>
          <w:rFonts w:cstheme="minorHAnsi"/>
          <w:sz w:val="24"/>
          <w:szCs w:val="24"/>
        </w:rPr>
        <w:t>Hombrados</w:t>
      </w:r>
      <w:proofErr w:type="spellEnd"/>
      <w:r w:rsidRPr="006E187A">
        <w:rPr>
          <w:rFonts w:cstheme="minorHAnsi"/>
          <w:sz w:val="24"/>
          <w:szCs w:val="24"/>
        </w:rPr>
        <w:t>-Mendieta, &amp; García-</w:t>
      </w:r>
      <w:proofErr w:type="spellStart"/>
      <w:r w:rsidRPr="006E187A">
        <w:rPr>
          <w:rFonts w:cstheme="minorHAnsi"/>
          <w:sz w:val="24"/>
          <w:szCs w:val="24"/>
        </w:rPr>
        <w:t>Leiva</w:t>
      </w:r>
      <w:proofErr w:type="spellEnd"/>
      <w:r w:rsidRPr="006E187A">
        <w:rPr>
          <w:rFonts w:cstheme="minorHAnsi"/>
          <w:sz w:val="24"/>
          <w:szCs w:val="24"/>
        </w:rPr>
        <w:t>, 2012; </w:t>
      </w:r>
      <w:proofErr w:type="spellStart"/>
      <w:r w:rsidRPr="006E187A">
        <w:rPr>
          <w:rFonts w:cstheme="minorHAnsi"/>
          <w:sz w:val="24"/>
          <w:szCs w:val="24"/>
        </w:rPr>
        <w:t>Higa</w:t>
      </w:r>
      <w:proofErr w:type="spellEnd"/>
      <w:r w:rsidRPr="006E187A">
        <w:rPr>
          <w:rFonts w:cstheme="minorHAnsi"/>
          <w:sz w:val="24"/>
          <w:szCs w:val="24"/>
        </w:rPr>
        <w:t xml:space="preserve"> et al., 2014; </w:t>
      </w:r>
      <w:proofErr w:type="spellStart"/>
      <w:r w:rsidRPr="006E187A">
        <w:rPr>
          <w:rFonts w:cstheme="minorHAnsi"/>
          <w:sz w:val="24"/>
          <w:szCs w:val="24"/>
        </w:rPr>
        <w:t>Masini</w:t>
      </w:r>
      <w:proofErr w:type="spellEnd"/>
      <w:r w:rsidRPr="006E187A">
        <w:rPr>
          <w:rFonts w:cstheme="minorHAnsi"/>
          <w:sz w:val="24"/>
          <w:szCs w:val="24"/>
        </w:rPr>
        <w:t xml:space="preserve"> &amp; Barrett, 2008; </w:t>
      </w:r>
      <w:proofErr w:type="spellStart"/>
      <w:r w:rsidRPr="006E187A">
        <w:rPr>
          <w:rFonts w:cstheme="minorHAnsi"/>
          <w:sz w:val="24"/>
          <w:szCs w:val="24"/>
        </w:rPr>
        <w:t>Riggle</w:t>
      </w:r>
      <w:proofErr w:type="spellEnd"/>
      <w:r w:rsidRPr="006E187A">
        <w:rPr>
          <w:rFonts w:cstheme="minorHAnsi"/>
          <w:sz w:val="24"/>
          <w:szCs w:val="24"/>
        </w:rPr>
        <w:t xml:space="preserve"> &amp; </w:t>
      </w:r>
      <w:proofErr w:type="spellStart"/>
      <w:r w:rsidRPr="006E187A">
        <w:rPr>
          <w:rFonts w:cstheme="minorHAnsi"/>
          <w:sz w:val="24"/>
          <w:szCs w:val="24"/>
        </w:rPr>
        <w:t>Rostosky</w:t>
      </w:r>
      <w:proofErr w:type="spellEnd"/>
      <w:r w:rsidRPr="006E187A">
        <w:rPr>
          <w:rFonts w:cstheme="minorHAnsi"/>
          <w:sz w:val="24"/>
          <w:szCs w:val="24"/>
        </w:rPr>
        <w:t>, 2012; </w:t>
      </w:r>
      <w:proofErr w:type="spellStart"/>
      <w:r w:rsidRPr="006E187A">
        <w:rPr>
          <w:rFonts w:cstheme="minorHAnsi"/>
          <w:sz w:val="24"/>
          <w:szCs w:val="24"/>
        </w:rPr>
        <w:t>Wayment</w:t>
      </w:r>
      <w:proofErr w:type="spellEnd"/>
      <w:r w:rsidRPr="006E187A">
        <w:rPr>
          <w:rFonts w:cstheme="minorHAnsi"/>
          <w:sz w:val="24"/>
          <w:szCs w:val="24"/>
        </w:rPr>
        <w:t xml:space="preserve"> &amp; Peplau, 1995) as well as connectedness to the LGBT community (Bachmann &amp; Simon, 2014; </w:t>
      </w:r>
      <w:proofErr w:type="spellStart"/>
      <w:r w:rsidRPr="006E187A">
        <w:rPr>
          <w:rFonts w:cstheme="minorHAnsi"/>
          <w:sz w:val="24"/>
          <w:szCs w:val="24"/>
        </w:rPr>
        <w:t>Kertzner</w:t>
      </w:r>
      <w:proofErr w:type="spellEnd"/>
      <w:r w:rsidRPr="006E187A">
        <w:rPr>
          <w:rFonts w:cstheme="minorHAnsi"/>
          <w:sz w:val="24"/>
          <w:szCs w:val="24"/>
        </w:rPr>
        <w:t xml:space="preserve"> et al., 2009; Ramirez-Valles, Fergus, Reisen, </w:t>
      </w:r>
      <w:proofErr w:type="spellStart"/>
      <w:r w:rsidRPr="006E187A">
        <w:rPr>
          <w:rFonts w:cstheme="minorHAnsi"/>
          <w:sz w:val="24"/>
          <w:szCs w:val="24"/>
        </w:rPr>
        <w:t>Poppen</w:t>
      </w:r>
      <w:proofErr w:type="spellEnd"/>
      <w:r w:rsidRPr="006E187A">
        <w:rPr>
          <w:rFonts w:cstheme="minorHAnsi"/>
          <w:sz w:val="24"/>
          <w:szCs w:val="24"/>
        </w:rPr>
        <w:t xml:space="preserve">, &amp; </w:t>
      </w:r>
      <w:proofErr w:type="spellStart"/>
      <w:r w:rsidRPr="006E187A">
        <w:rPr>
          <w:rFonts w:cstheme="minorHAnsi"/>
          <w:sz w:val="24"/>
          <w:szCs w:val="24"/>
        </w:rPr>
        <w:t>Zea</w:t>
      </w:r>
      <w:proofErr w:type="spellEnd"/>
      <w:r w:rsidRPr="006E187A">
        <w:rPr>
          <w:rFonts w:cstheme="minorHAnsi"/>
          <w:sz w:val="24"/>
          <w:szCs w:val="24"/>
        </w:rPr>
        <w:t>, 2005; </w:t>
      </w:r>
      <w:proofErr w:type="spellStart"/>
      <w:r w:rsidRPr="006E187A">
        <w:rPr>
          <w:rFonts w:cstheme="minorHAnsi"/>
          <w:sz w:val="24"/>
          <w:szCs w:val="24"/>
        </w:rPr>
        <w:t>Shilo</w:t>
      </w:r>
      <w:proofErr w:type="spellEnd"/>
      <w:r w:rsidRPr="006E187A">
        <w:rPr>
          <w:rFonts w:cstheme="minorHAnsi"/>
          <w:sz w:val="24"/>
          <w:szCs w:val="24"/>
        </w:rPr>
        <w:t xml:space="preserve"> &amp; </w:t>
      </w:r>
      <w:proofErr w:type="spellStart"/>
      <w:r w:rsidRPr="006E187A">
        <w:rPr>
          <w:rFonts w:cstheme="minorHAnsi"/>
          <w:sz w:val="24"/>
          <w:szCs w:val="24"/>
        </w:rPr>
        <w:t>Savaya</w:t>
      </w:r>
      <w:proofErr w:type="spellEnd"/>
      <w:r w:rsidRPr="006E187A">
        <w:rPr>
          <w:rFonts w:cstheme="minorHAnsi"/>
          <w:sz w:val="24"/>
          <w:szCs w:val="24"/>
        </w:rPr>
        <w:t>, 2012). While general social support has consistently predicted well-being, there are mixed findings regarding the effects of LGBT-specific support for bisexual individuals (Sheets &amp; Mohr, 2009; </w:t>
      </w:r>
      <w:proofErr w:type="spellStart"/>
      <w:r w:rsidRPr="006E187A">
        <w:rPr>
          <w:rFonts w:cstheme="minorHAnsi"/>
          <w:sz w:val="24"/>
          <w:szCs w:val="24"/>
        </w:rPr>
        <w:t>Shilo</w:t>
      </w:r>
      <w:proofErr w:type="spellEnd"/>
      <w:r w:rsidRPr="006E187A">
        <w:rPr>
          <w:rFonts w:cstheme="minorHAnsi"/>
          <w:sz w:val="24"/>
          <w:szCs w:val="24"/>
        </w:rPr>
        <w:t xml:space="preserve"> &amp; </w:t>
      </w:r>
      <w:proofErr w:type="spellStart"/>
      <w:r w:rsidRPr="006E187A">
        <w:rPr>
          <w:rFonts w:cstheme="minorHAnsi"/>
          <w:sz w:val="24"/>
          <w:szCs w:val="24"/>
        </w:rPr>
        <w:t>Savaya</w:t>
      </w:r>
      <w:proofErr w:type="spellEnd"/>
      <w:r w:rsidRPr="006E187A">
        <w:rPr>
          <w:rFonts w:cstheme="minorHAnsi"/>
          <w:sz w:val="24"/>
          <w:szCs w:val="24"/>
        </w:rPr>
        <w:t>, 2012). Coping and resilience, or one’s ability to bounce back after stressful experiences, has also been positively associated with well-being in LGB samples (Meyer, 2015; Walker &amp; Longmire-Avital, 2013).</w:t>
      </w:r>
    </w:p>
    <w:p w14:paraId="52064314" w14:textId="4F390648" w:rsidR="006E187A" w:rsidRPr="006E187A" w:rsidRDefault="006E187A" w:rsidP="006E187A">
      <w:pPr>
        <w:rPr>
          <w:rFonts w:cstheme="minorHAnsi"/>
          <w:sz w:val="24"/>
          <w:szCs w:val="24"/>
        </w:rPr>
      </w:pPr>
      <w:r w:rsidRPr="006E187A">
        <w:rPr>
          <w:rFonts w:cstheme="minorHAnsi"/>
          <w:sz w:val="24"/>
          <w:szCs w:val="24"/>
        </w:rPr>
        <w:t>The literature is less clear when it comes to the relationship between minority stress processes and positive mental health outcomes. Some studies have observed minimal influence of discrimination or heterosexist experiences on psychological well-being among sexual minority samples (Morrison, 2011; Selvidge et al., 2008). The relationship between minority stress and well-being for bisexual men is even less clear. Brewster et al. (2013) found a nonsignificant direct effect of antibisexual prejudice on well-being (defined by life satisfaction and self-esteem</w:t>
      </w:r>
      <w:proofErr w:type="gramStart"/>
      <w:r w:rsidRPr="006E187A">
        <w:rPr>
          <w:rFonts w:cstheme="minorHAnsi"/>
          <w:sz w:val="24"/>
          <w:szCs w:val="24"/>
        </w:rPr>
        <w:t>), but</w:t>
      </w:r>
      <w:proofErr w:type="gramEnd"/>
      <w:r w:rsidRPr="006E187A">
        <w:rPr>
          <w:rFonts w:cstheme="minorHAnsi"/>
          <w:sz w:val="24"/>
          <w:szCs w:val="24"/>
        </w:rPr>
        <w:t xml:space="preserve"> did find a significant indirect relationship through the mediating variable of expectations of stigma. </w:t>
      </w:r>
      <w:proofErr w:type="spellStart"/>
      <w:r w:rsidRPr="006E187A">
        <w:rPr>
          <w:rFonts w:cstheme="minorHAnsi"/>
          <w:sz w:val="24"/>
          <w:szCs w:val="24"/>
        </w:rPr>
        <w:t>Shilo</w:t>
      </w:r>
      <w:proofErr w:type="spellEnd"/>
      <w:r w:rsidRPr="006E187A">
        <w:rPr>
          <w:rFonts w:cstheme="minorHAnsi"/>
          <w:sz w:val="24"/>
          <w:szCs w:val="24"/>
        </w:rPr>
        <w:t xml:space="preserve"> and </w:t>
      </w:r>
      <w:proofErr w:type="spellStart"/>
      <w:r w:rsidRPr="006E187A">
        <w:rPr>
          <w:rFonts w:cstheme="minorHAnsi"/>
          <w:sz w:val="24"/>
          <w:szCs w:val="24"/>
        </w:rPr>
        <w:t>Savaya</w:t>
      </w:r>
      <w:proofErr w:type="spellEnd"/>
      <w:r w:rsidRPr="006E187A">
        <w:rPr>
          <w:rFonts w:cstheme="minorHAnsi"/>
          <w:sz w:val="24"/>
          <w:szCs w:val="24"/>
        </w:rPr>
        <w:t xml:space="preserve"> (2012) found that minority stressors, such as lack of family acceptance and identity concealment, and diminished communal and familial support predicted lower well-being among bisexuals, supporting the hypotheses of the minority stress model. No studies addressing the relationship between minority stress and well-being were found that looked at a broader array of protective factors (e.g., resilience, positive views of bisexual identity), used a holistic assessment of well-being, or used a sample exclusively of bisexual men, despite observed gender differences in health disparities (Dilley et al., 2010) among sexual minorities and elevated biphobia directed toward bisexual men (Fredriksen-Goldsen et al., 2014).</w:t>
      </w:r>
    </w:p>
    <w:p w14:paraId="4C47FA8B" w14:textId="37367034" w:rsidR="006E187A" w:rsidRPr="006E187A" w:rsidRDefault="006E187A" w:rsidP="001654C1">
      <w:pPr>
        <w:pStyle w:val="Heading1"/>
        <w:rPr>
          <w:rFonts w:cstheme="minorHAnsi"/>
          <w:sz w:val="24"/>
          <w:szCs w:val="24"/>
        </w:rPr>
      </w:pPr>
      <w:r w:rsidRPr="005F029F">
        <w:t>The Present Study</w:t>
      </w:r>
    </w:p>
    <w:p w14:paraId="00637A1F" w14:textId="1B969EB9" w:rsidR="006E187A" w:rsidRPr="006E187A" w:rsidRDefault="006E187A" w:rsidP="006E187A">
      <w:pPr>
        <w:rPr>
          <w:rFonts w:cstheme="minorHAnsi"/>
          <w:sz w:val="24"/>
          <w:szCs w:val="24"/>
        </w:rPr>
      </w:pPr>
      <w:r w:rsidRPr="006E187A">
        <w:rPr>
          <w:rFonts w:cstheme="minorHAnsi"/>
          <w:sz w:val="24"/>
          <w:szCs w:val="24"/>
        </w:rPr>
        <w:t xml:space="preserve">This study seeks to further clarify the predictors of psychosocial well-being for bisexual men. The sample was limited to bisexual men due to gender differences among bisexuals, such as noted gender differences in health disparities (Dilley et al., 2010) and elevated biphobia directed toward bisexual men (Fredriksen-Goldsen et al., 2014; Mohr &amp; </w:t>
      </w:r>
      <w:proofErr w:type="spellStart"/>
      <w:r w:rsidRPr="006E187A">
        <w:rPr>
          <w:rFonts w:cstheme="minorHAnsi"/>
          <w:sz w:val="24"/>
          <w:szCs w:val="24"/>
        </w:rPr>
        <w:t>Rochlen</w:t>
      </w:r>
      <w:proofErr w:type="spellEnd"/>
      <w:r w:rsidRPr="006E187A">
        <w:rPr>
          <w:rFonts w:cstheme="minorHAnsi"/>
          <w:sz w:val="24"/>
          <w:szCs w:val="24"/>
        </w:rPr>
        <w:t xml:space="preserve">, 1999). This study investigates (1) the direct effects of minority stress processes on psychosocial well-being, positive minority sexual identity, social support, and resilience; (2) the indirect effects of minority stress on well-being through the mediating variables of positive minority sexual identity, social support, and resilience; (3) the direct effects of social support, resilience, and positive minority sexual identity characteristics on well-being; and (4) the indirect effect of social support on well-being through the mediating variable of positive minority sexual identity. Structural equation modeling (SEM) was used for data analysis for multiple reasons. SEM is a data analytic procedure that is ideal for testing direct and indirect relationships between observed and latent variables (Weston &amp; Gore, 2006). Several of the predictors of interest to this study, such as minority stress processes and positive minority sexual identity characteristics, are not readily assessed </w:t>
      </w:r>
      <w:proofErr w:type="gramStart"/>
      <w:r w:rsidRPr="006E187A">
        <w:rPr>
          <w:rFonts w:cstheme="minorHAnsi"/>
          <w:sz w:val="24"/>
          <w:szCs w:val="24"/>
        </w:rPr>
        <w:t>by the use of</w:t>
      </w:r>
      <w:proofErr w:type="gramEnd"/>
      <w:r w:rsidRPr="006E187A">
        <w:rPr>
          <w:rFonts w:cstheme="minorHAnsi"/>
          <w:sz w:val="24"/>
          <w:szCs w:val="24"/>
        </w:rPr>
        <w:t xml:space="preserve"> a single indicator. Furthermore, SEM allows for testing both direct and indirect (i.e., mediation) effects within one model, which is particularly useful when studying the hypotheses of the minority stress model, a model that suggests several interrelated variables with causal connections.</w:t>
      </w:r>
    </w:p>
    <w:p w14:paraId="473E17EA" w14:textId="106B671B" w:rsidR="001654C1" w:rsidRPr="001654C1" w:rsidRDefault="006E187A" w:rsidP="001654C1">
      <w:pPr>
        <w:pStyle w:val="NoSpacing"/>
      </w:pPr>
      <w:r w:rsidRPr="006E187A">
        <w:t>The model examined in this study (see </w:t>
      </w:r>
      <w:r w:rsidRPr="005F029F">
        <w:rPr>
          <w:rFonts w:cstheme="minorHAnsi"/>
          <w:sz w:val="24"/>
          <w:szCs w:val="24"/>
        </w:rPr>
        <w:t>Figure 1</w:t>
      </w:r>
      <w:r w:rsidRPr="006E187A">
        <w:t>) was based on </w:t>
      </w:r>
      <w:r w:rsidRPr="005F029F">
        <w:rPr>
          <w:rFonts w:cstheme="minorHAnsi"/>
          <w:sz w:val="24"/>
          <w:szCs w:val="24"/>
        </w:rPr>
        <w:t>Meyer’s (2003)</w:t>
      </w:r>
      <w:r w:rsidRPr="006E187A">
        <w:t> minority stress theory with some modifications. Social support was conceptualized to include general support (e.g., family, friends) and LGBT-specific supports. Resilience, rather than coping, was included as the broader construct of coping may not be healthy or adaptive (</w:t>
      </w:r>
      <w:r w:rsidRPr="005F029F">
        <w:rPr>
          <w:rFonts w:cstheme="minorHAnsi"/>
          <w:sz w:val="24"/>
          <w:szCs w:val="24"/>
        </w:rPr>
        <w:t>Meyer, 2015</w:t>
      </w:r>
      <w:r w:rsidRPr="006E187A">
        <w:t>). A latent variable of positive minority sexual identity was measured through the combination of scales measuring positive aspects of LGB identity (e.g., self-awareness, intimacy; </w:t>
      </w:r>
      <w:proofErr w:type="spellStart"/>
      <w:r w:rsidRPr="005F029F">
        <w:rPr>
          <w:rFonts w:cstheme="minorHAnsi"/>
          <w:sz w:val="24"/>
          <w:szCs w:val="24"/>
        </w:rPr>
        <w:t>Riggle</w:t>
      </w:r>
      <w:proofErr w:type="spellEnd"/>
      <w:r w:rsidRPr="005F029F">
        <w:rPr>
          <w:rFonts w:cstheme="minorHAnsi"/>
          <w:sz w:val="24"/>
          <w:szCs w:val="24"/>
        </w:rPr>
        <w:t xml:space="preserve"> et al., 2014</w:t>
      </w:r>
      <w:r w:rsidRPr="006E187A">
        <w:t>) and positive identity valence (</w:t>
      </w:r>
      <w:r w:rsidRPr="005F029F">
        <w:rPr>
          <w:rFonts w:cstheme="minorHAnsi"/>
          <w:sz w:val="24"/>
          <w:szCs w:val="24"/>
        </w:rPr>
        <w:t>Meyer, 2003</w:t>
      </w:r>
      <w:r w:rsidRPr="006E187A">
        <w:t>). This factor was included to evaluate the effects of positive attitudes toward one’s sexual identity on an individual’s well-being (</w:t>
      </w:r>
      <w:r w:rsidRPr="005F029F">
        <w:rPr>
          <w:rFonts w:cstheme="minorHAnsi"/>
          <w:sz w:val="24"/>
          <w:szCs w:val="24"/>
        </w:rPr>
        <w:t>Vaughan &amp; Rodriguez, 2014</w:t>
      </w:r>
      <w:r w:rsidRPr="006E187A">
        <w:t>).</w:t>
      </w:r>
      <w:r w:rsidRPr="006E187A">
        <w:br/>
      </w:r>
      <w:r w:rsidRPr="006E187A">
        <w:br/>
      </w:r>
      <w:r w:rsidRPr="001654C1">
        <w:drawing>
          <wp:inline distT="0" distB="0" distL="0" distR="0" wp14:anchorId="3F5C79B9" wp14:editId="1DE92897">
            <wp:extent cx="2743200" cy="2048256"/>
            <wp:effectExtent l="0" t="0" r="0" b="952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03509FA7" w14:textId="165147D9" w:rsidR="006E187A" w:rsidRPr="001654C1" w:rsidRDefault="006E187A" w:rsidP="001654C1">
      <w:pPr>
        <w:pStyle w:val="NoSpacing"/>
      </w:pPr>
      <w:r w:rsidRPr="001654C1">
        <w:t>Figure 1. Hypothesized Structural Model. LGBIS = Lesbian, Gay, Bisexual Identity Scales; LGB-PIM = Lesbian, Gay, and Bisexual Positive Identity Measure; MHC-SF = Mental Health Continuum—Short Form.</w:t>
      </w:r>
    </w:p>
    <w:p w14:paraId="068B38D6" w14:textId="77777777" w:rsidR="001654C1" w:rsidRDefault="001654C1" w:rsidP="006E187A">
      <w:pPr>
        <w:rPr>
          <w:rFonts w:cstheme="minorHAnsi"/>
          <w:sz w:val="24"/>
          <w:szCs w:val="24"/>
        </w:rPr>
      </w:pPr>
    </w:p>
    <w:p w14:paraId="47097979" w14:textId="34283BCF" w:rsidR="006E187A" w:rsidRPr="006E187A" w:rsidRDefault="006E187A" w:rsidP="006E187A">
      <w:pPr>
        <w:rPr>
          <w:rFonts w:cstheme="minorHAnsi"/>
          <w:sz w:val="24"/>
          <w:szCs w:val="24"/>
        </w:rPr>
      </w:pPr>
      <w:r w:rsidRPr="006E187A">
        <w:rPr>
          <w:rFonts w:cstheme="minorHAnsi"/>
          <w:sz w:val="24"/>
          <w:szCs w:val="24"/>
        </w:rPr>
        <w:t>Several hypotheses were embedded in the model:</w:t>
      </w:r>
    </w:p>
    <w:p w14:paraId="5185FAD3" w14:textId="77777777" w:rsidR="006E187A" w:rsidRPr="006E187A" w:rsidRDefault="006E187A" w:rsidP="001654C1">
      <w:pPr>
        <w:numPr>
          <w:ilvl w:val="0"/>
          <w:numId w:val="5"/>
        </w:numPr>
        <w:spacing w:after="0"/>
        <w:rPr>
          <w:rFonts w:cstheme="minorHAnsi"/>
          <w:sz w:val="24"/>
          <w:szCs w:val="24"/>
        </w:rPr>
      </w:pPr>
      <w:r w:rsidRPr="006E187A">
        <w:rPr>
          <w:rFonts w:cstheme="minorHAnsi"/>
          <w:sz w:val="24"/>
          <w:szCs w:val="24"/>
        </w:rPr>
        <w:t xml:space="preserve">Minority stress processes would have a negative direct effect on social support, resilience, and positive identity valence, and a nonsignificant direct effect on </w:t>
      </w:r>
      <w:proofErr w:type="gramStart"/>
      <w:r w:rsidRPr="006E187A">
        <w:rPr>
          <w:rFonts w:cstheme="minorHAnsi"/>
          <w:sz w:val="24"/>
          <w:szCs w:val="24"/>
        </w:rPr>
        <w:t>well-being;</w:t>
      </w:r>
      <w:proofErr w:type="gramEnd"/>
    </w:p>
    <w:p w14:paraId="1BF44F70" w14:textId="77777777" w:rsidR="006E187A" w:rsidRPr="006E187A" w:rsidRDefault="006E187A" w:rsidP="001654C1">
      <w:pPr>
        <w:numPr>
          <w:ilvl w:val="0"/>
          <w:numId w:val="5"/>
        </w:numPr>
        <w:spacing w:after="0"/>
        <w:rPr>
          <w:rFonts w:cstheme="minorHAnsi"/>
          <w:sz w:val="24"/>
          <w:szCs w:val="24"/>
        </w:rPr>
      </w:pPr>
      <w:r w:rsidRPr="006E187A">
        <w:rPr>
          <w:rFonts w:cstheme="minorHAnsi"/>
          <w:sz w:val="24"/>
          <w:szCs w:val="24"/>
        </w:rPr>
        <w:t xml:space="preserve">Minority stress processes would have nonsignificant indirect effects on well-being through the mediating variables of positive minority sexual identity, social support, and </w:t>
      </w:r>
      <w:proofErr w:type="gramStart"/>
      <w:r w:rsidRPr="006E187A">
        <w:rPr>
          <w:rFonts w:cstheme="minorHAnsi"/>
          <w:sz w:val="24"/>
          <w:szCs w:val="24"/>
        </w:rPr>
        <w:t>resilience;</w:t>
      </w:r>
      <w:proofErr w:type="gramEnd"/>
    </w:p>
    <w:p w14:paraId="06984CEA" w14:textId="77777777" w:rsidR="006E187A" w:rsidRPr="006E187A" w:rsidRDefault="006E187A" w:rsidP="001654C1">
      <w:pPr>
        <w:numPr>
          <w:ilvl w:val="0"/>
          <w:numId w:val="5"/>
        </w:numPr>
        <w:spacing w:after="0"/>
        <w:rPr>
          <w:rFonts w:cstheme="minorHAnsi"/>
          <w:sz w:val="24"/>
          <w:szCs w:val="24"/>
        </w:rPr>
      </w:pPr>
      <w:r w:rsidRPr="006E187A">
        <w:rPr>
          <w:rFonts w:cstheme="minorHAnsi"/>
          <w:sz w:val="24"/>
          <w:szCs w:val="24"/>
        </w:rPr>
        <w:t xml:space="preserve">Positive minority sexual identity would have a positive direct effect on </w:t>
      </w:r>
      <w:proofErr w:type="gramStart"/>
      <w:r w:rsidRPr="006E187A">
        <w:rPr>
          <w:rFonts w:cstheme="minorHAnsi"/>
          <w:sz w:val="24"/>
          <w:szCs w:val="24"/>
        </w:rPr>
        <w:t>well-being;</w:t>
      </w:r>
      <w:proofErr w:type="gramEnd"/>
    </w:p>
    <w:p w14:paraId="1BCB5C97" w14:textId="77777777" w:rsidR="006E187A" w:rsidRPr="006E187A" w:rsidRDefault="006E187A" w:rsidP="001654C1">
      <w:pPr>
        <w:numPr>
          <w:ilvl w:val="0"/>
          <w:numId w:val="5"/>
        </w:numPr>
        <w:spacing w:after="0"/>
        <w:rPr>
          <w:rFonts w:cstheme="minorHAnsi"/>
          <w:sz w:val="24"/>
          <w:szCs w:val="24"/>
        </w:rPr>
      </w:pPr>
      <w:r w:rsidRPr="006E187A">
        <w:rPr>
          <w:rFonts w:cstheme="minorHAnsi"/>
          <w:sz w:val="24"/>
          <w:szCs w:val="24"/>
        </w:rPr>
        <w:t xml:space="preserve">Social support would have a positive direct effect on positive minority sexual identity and </w:t>
      </w:r>
      <w:proofErr w:type="gramStart"/>
      <w:r w:rsidRPr="006E187A">
        <w:rPr>
          <w:rFonts w:cstheme="minorHAnsi"/>
          <w:sz w:val="24"/>
          <w:szCs w:val="24"/>
        </w:rPr>
        <w:t>well-being;</w:t>
      </w:r>
      <w:proofErr w:type="gramEnd"/>
    </w:p>
    <w:p w14:paraId="63ABCD71" w14:textId="77777777" w:rsidR="006E187A" w:rsidRPr="006E187A" w:rsidRDefault="006E187A" w:rsidP="001654C1">
      <w:pPr>
        <w:numPr>
          <w:ilvl w:val="0"/>
          <w:numId w:val="5"/>
        </w:numPr>
        <w:spacing w:after="0"/>
        <w:rPr>
          <w:rFonts w:cstheme="minorHAnsi"/>
          <w:sz w:val="24"/>
          <w:szCs w:val="24"/>
        </w:rPr>
      </w:pPr>
      <w:r w:rsidRPr="006E187A">
        <w:rPr>
          <w:rFonts w:cstheme="minorHAnsi"/>
          <w:sz w:val="24"/>
          <w:szCs w:val="24"/>
        </w:rPr>
        <w:t>Social support would have an indirect effect on well-being through the mediating variable of positive minority sexual identity; and</w:t>
      </w:r>
    </w:p>
    <w:p w14:paraId="50F557EB" w14:textId="77777777" w:rsidR="006E187A" w:rsidRPr="006E187A" w:rsidRDefault="006E187A" w:rsidP="001654C1">
      <w:pPr>
        <w:numPr>
          <w:ilvl w:val="0"/>
          <w:numId w:val="5"/>
        </w:numPr>
        <w:spacing w:after="0"/>
        <w:rPr>
          <w:rFonts w:cstheme="minorHAnsi"/>
          <w:sz w:val="24"/>
          <w:szCs w:val="24"/>
        </w:rPr>
      </w:pPr>
      <w:r w:rsidRPr="006E187A">
        <w:rPr>
          <w:rFonts w:cstheme="minorHAnsi"/>
          <w:sz w:val="24"/>
          <w:szCs w:val="24"/>
        </w:rPr>
        <w:t>Resilience would have a positive direct effect on well-being.</w:t>
      </w:r>
    </w:p>
    <w:p w14:paraId="6F3AB37A" w14:textId="151D1500" w:rsidR="006E187A" w:rsidRPr="001654C1" w:rsidRDefault="006E187A" w:rsidP="001654C1">
      <w:pPr>
        <w:pStyle w:val="Heading1"/>
      </w:pPr>
      <w:r w:rsidRPr="005F029F">
        <w:t>Method</w:t>
      </w:r>
    </w:p>
    <w:p w14:paraId="4F01C0BE" w14:textId="77777777" w:rsidR="006E187A" w:rsidRPr="001654C1" w:rsidRDefault="006E187A" w:rsidP="001654C1">
      <w:pPr>
        <w:pStyle w:val="Heading2"/>
      </w:pPr>
      <w:r w:rsidRPr="001654C1">
        <w:t>Participants</w:t>
      </w:r>
    </w:p>
    <w:p w14:paraId="2DC800E9" w14:textId="60F7DEDD" w:rsidR="001654C1" w:rsidRDefault="006E187A" w:rsidP="006E187A">
      <w:pPr>
        <w:rPr>
          <w:rFonts w:cstheme="minorHAnsi"/>
          <w:sz w:val="24"/>
          <w:szCs w:val="24"/>
        </w:rPr>
      </w:pPr>
      <w:r w:rsidRPr="006E187A">
        <w:rPr>
          <w:rFonts w:cstheme="minorHAnsi"/>
          <w:sz w:val="24"/>
          <w:szCs w:val="24"/>
        </w:rPr>
        <w:t xml:space="preserve">The study sample included 251 participants who completed a series of online questionnaires. There were 465 individuals who completed part or </w:t>
      </w:r>
      <w:proofErr w:type="gramStart"/>
      <w:r w:rsidRPr="006E187A">
        <w:rPr>
          <w:rFonts w:cstheme="minorHAnsi"/>
          <w:sz w:val="24"/>
          <w:szCs w:val="24"/>
        </w:rPr>
        <w:t>all of</w:t>
      </w:r>
      <w:proofErr w:type="gramEnd"/>
      <w:r w:rsidRPr="006E187A">
        <w:rPr>
          <w:rFonts w:cstheme="minorHAnsi"/>
          <w:sz w:val="24"/>
          <w:szCs w:val="24"/>
        </w:rPr>
        <w:t xml:space="preserve"> the survey and 317 individuals who completed the full survey. Sixty-three participants identified as gay and were removed from the sample. One of these participants identified as female and another was under the age of 18 years, and both were removed from the sample. An additional participant who identified as straight and identified their past sexual behavior as “exclusively heterosexual” was also removed. The rest of the sample identified as either bisexual (</w:t>
      </w:r>
      <w:r w:rsidRPr="006E187A">
        <w:rPr>
          <w:rFonts w:cstheme="minorHAnsi"/>
          <w:i/>
          <w:iCs/>
          <w:sz w:val="24"/>
          <w:szCs w:val="24"/>
        </w:rPr>
        <w:t>N</w:t>
      </w:r>
      <w:r w:rsidRPr="006E187A">
        <w:rPr>
          <w:rFonts w:cstheme="minorHAnsi"/>
          <w:sz w:val="24"/>
          <w:szCs w:val="24"/>
        </w:rPr>
        <w:t> = 212), pansexual (</w:t>
      </w:r>
      <w:r w:rsidRPr="006E187A">
        <w:rPr>
          <w:rFonts w:cstheme="minorHAnsi"/>
          <w:i/>
          <w:iCs/>
          <w:sz w:val="24"/>
          <w:szCs w:val="24"/>
        </w:rPr>
        <w:t>N</w:t>
      </w:r>
      <w:r w:rsidRPr="006E187A">
        <w:rPr>
          <w:rFonts w:cstheme="minorHAnsi"/>
          <w:sz w:val="24"/>
          <w:szCs w:val="24"/>
        </w:rPr>
        <w:t> = 11), queer (</w:t>
      </w:r>
      <w:r w:rsidRPr="006E187A">
        <w:rPr>
          <w:rFonts w:cstheme="minorHAnsi"/>
          <w:i/>
          <w:iCs/>
          <w:sz w:val="24"/>
          <w:szCs w:val="24"/>
        </w:rPr>
        <w:t>N</w:t>
      </w:r>
      <w:r w:rsidRPr="006E187A">
        <w:rPr>
          <w:rFonts w:cstheme="minorHAnsi"/>
          <w:sz w:val="24"/>
          <w:szCs w:val="24"/>
        </w:rPr>
        <w:t> = 9), or some combination thereof (</w:t>
      </w:r>
      <w:r w:rsidRPr="006E187A">
        <w:rPr>
          <w:rFonts w:cstheme="minorHAnsi"/>
          <w:i/>
          <w:iCs/>
          <w:sz w:val="24"/>
          <w:szCs w:val="24"/>
        </w:rPr>
        <w:t>N</w:t>
      </w:r>
      <w:r w:rsidRPr="006E187A">
        <w:rPr>
          <w:rFonts w:cstheme="minorHAnsi"/>
          <w:sz w:val="24"/>
          <w:szCs w:val="24"/>
        </w:rPr>
        <w:t xml:space="preserve"> = 19). Therefore, the final sample included 251 participants. </w:t>
      </w:r>
      <w:proofErr w:type="gramStart"/>
      <w:r w:rsidRPr="006E187A">
        <w:rPr>
          <w:rFonts w:cstheme="minorHAnsi"/>
          <w:sz w:val="24"/>
          <w:szCs w:val="24"/>
        </w:rPr>
        <w:t>The vast majority of</w:t>
      </w:r>
      <w:proofErr w:type="gramEnd"/>
      <w:r w:rsidRPr="006E187A">
        <w:rPr>
          <w:rFonts w:cstheme="minorHAnsi"/>
          <w:sz w:val="24"/>
          <w:szCs w:val="24"/>
        </w:rPr>
        <w:t xml:space="preserve"> participants (</w:t>
      </w:r>
      <w:r w:rsidRPr="006E187A">
        <w:rPr>
          <w:rFonts w:cstheme="minorHAnsi"/>
          <w:i/>
          <w:iCs/>
          <w:sz w:val="24"/>
          <w:szCs w:val="24"/>
        </w:rPr>
        <w:t>N</w:t>
      </w:r>
      <w:r w:rsidRPr="006E187A">
        <w:rPr>
          <w:rFonts w:cstheme="minorHAnsi"/>
          <w:sz w:val="24"/>
          <w:szCs w:val="24"/>
        </w:rPr>
        <w:t> = 218; 87%) identified as White, and the average age of participants was 26.3 (</w:t>
      </w:r>
      <w:r w:rsidRPr="006E187A">
        <w:rPr>
          <w:rFonts w:cstheme="minorHAnsi"/>
          <w:i/>
          <w:iCs/>
          <w:sz w:val="24"/>
          <w:szCs w:val="24"/>
        </w:rPr>
        <w:t>SD</w:t>
      </w:r>
      <w:r w:rsidRPr="006E187A">
        <w:rPr>
          <w:rFonts w:cstheme="minorHAnsi"/>
          <w:sz w:val="24"/>
          <w:szCs w:val="24"/>
        </w:rPr>
        <w:t> = 8.1). Additional demographic information for these participants is provided in Table 1.</w:t>
      </w:r>
    </w:p>
    <w:p w14:paraId="2F2AB1F0" w14:textId="77777777" w:rsidR="000257FD" w:rsidRDefault="000257FD" w:rsidP="00843A78">
      <w:pPr>
        <w:spacing w:after="0"/>
        <w:rPr>
          <w:rFonts w:cstheme="minorHAnsi"/>
          <w:sz w:val="24"/>
          <w:szCs w:val="24"/>
        </w:rPr>
      </w:pPr>
      <w:r>
        <w:rPr>
          <w:rFonts w:cstheme="minorHAnsi"/>
          <w:sz w:val="24"/>
          <w:szCs w:val="24"/>
        </w:rPr>
        <w:t>Table 1. Sample Characteristics</w:t>
      </w:r>
    </w:p>
    <w:tbl>
      <w:tblPr>
        <w:tblStyle w:val="TableGrid"/>
        <w:tblW w:w="0" w:type="auto"/>
        <w:tblLook w:val="0020" w:firstRow="1" w:lastRow="0" w:firstColumn="0" w:lastColumn="0" w:noHBand="0" w:noVBand="0"/>
      </w:tblPr>
      <w:tblGrid>
        <w:gridCol w:w="6078"/>
        <w:gridCol w:w="2185"/>
      </w:tblGrid>
      <w:tr w:rsidR="006A64AF" w:rsidRPr="006A64AF" w14:paraId="08D964B3" w14:textId="77777777" w:rsidTr="00606AB6">
        <w:trPr>
          <w:trHeight w:val="233"/>
        </w:trPr>
        <w:tc>
          <w:tcPr>
            <w:tcW w:w="0" w:type="auto"/>
          </w:tcPr>
          <w:p w14:paraId="4B84B954" w14:textId="77777777" w:rsidR="006A64AF" w:rsidRPr="006A64AF" w:rsidRDefault="006A64AF" w:rsidP="006A64AF">
            <w:pPr>
              <w:spacing w:line="259" w:lineRule="auto"/>
              <w:rPr>
                <w:rFonts w:cstheme="minorHAnsi"/>
                <w:sz w:val="24"/>
                <w:szCs w:val="24"/>
              </w:rPr>
            </w:pPr>
            <w:bookmarkStart w:id="2" w:name="_bookmark0"/>
            <w:bookmarkEnd w:id="2"/>
            <w:r w:rsidRPr="006A64AF">
              <w:rPr>
                <w:rFonts w:cstheme="minorHAnsi"/>
                <w:sz w:val="24"/>
                <w:szCs w:val="24"/>
              </w:rPr>
              <w:t>Demographic</w:t>
            </w:r>
          </w:p>
        </w:tc>
        <w:tc>
          <w:tcPr>
            <w:tcW w:w="0" w:type="auto"/>
          </w:tcPr>
          <w:p w14:paraId="3DC6A5F4" w14:textId="77777777" w:rsidR="006A64AF" w:rsidRPr="006A64AF" w:rsidRDefault="006A64AF" w:rsidP="006A64AF">
            <w:pPr>
              <w:spacing w:line="259" w:lineRule="auto"/>
              <w:rPr>
                <w:rFonts w:cstheme="minorHAnsi"/>
                <w:sz w:val="24"/>
                <w:szCs w:val="24"/>
              </w:rPr>
            </w:pPr>
            <w:r w:rsidRPr="006A64AF">
              <w:rPr>
                <w:rFonts w:cstheme="minorHAnsi"/>
                <w:i/>
                <w:iCs/>
                <w:sz w:val="24"/>
                <w:szCs w:val="24"/>
              </w:rPr>
              <w:t xml:space="preserve">n </w:t>
            </w:r>
            <w:r w:rsidRPr="006A64AF">
              <w:rPr>
                <w:rFonts w:cstheme="minorHAnsi"/>
                <w:sz w:val="24"/>
                <w:szCs w:val="24"/>
              </w:rPr>
              <w:t>(%)</w:t>
            </w:r>
          </w:p>
        </w:tc>
      </w:tr>
      <w:tr w:rsidR="006A64AF" w:rsidRPr="006A64AF" w14:paraId="11EFA5F2" w14:textId="77777777" w:rsidTr="00606AB6">
        <w:trPr>
          <w:trHeight w:val="267"/>
        </w:trPr>
        <w:tc>
          <w:tcPr>
            <w:tcW w:w="0" w:type="auto"/>
          </w:tcPr>
          <w:p w14:paraId="16F8DF74" w14:textId="77777777" w:rsidR="006A64AF" w:rsidRPr="006A64AF" w:rsidRDefault="006A64AF" w:rsidP="006A64AF">
            <w:pPr>
              <w:spacing w:line="259" w:lineRule="auto"/>
              <w:rPr>
                <w:rFonts w:cstheme="minorHAnsi"/>
                <w:sz w:val="24"/>
                <w:szCs w:val="24"/>
              </w:rPr>
            </w:pPr>
            <w:r w:rsidRPr="006A64AF">
              <w:rPr>
                <w:rFonts w:cstheme="minorHAnsi"/>
                <w:sz w:val="24"/>
                <w:szCs w:val="24"/>
              </w:rPr>
              <w:t>Age</w:t>
            </w:r>
          </w:p>
        </w:tc>
        <w:tc>
          <w:tcPr>
            <w:tcW w:w="0" w:type="auto"/>
          </w:tcPr>
          <w:p w14:paraId="64A10FFF" w14:textId="6E6E4A5C" w:rsidR="006A64AF" w:rsidRPr="006A64AF" w:rsidRDefault="006A64AF" w:rsidP="006A64AF">
            <w:pPr>
              <w:spacing w:line="259" w:lineRule="auto"/>
              <w:rPr>
                <w:rFonts w:cstheme="minorHAnsi"/>
                <w:sz w:val="24"/>
                <w:szCs w:val="24"/>
              </w:rPr>
            </w:pPr>
            <w:r w:rsidRPr="006A64AF">
              <w:rPr>
                <w:rFonts w:cstheme="minorHAnsi"/>
                <w:i/>
                <w:iCs/>
                <w:sz w:val="24"/>
                <w:szCs w:val="24"/>
              </w:rPr>
              <w:t xml:space="preserve">M </w:t>
            </w:r>
            <w:r w:rsidRPr="006A64AF">
              <w:rPr>
                <w:rFonts w:cstheme="minorHAnsi"/>
                <w:sz w:val="24"/>
                <w:szCs w:val="24"/>
              </w:rPr>
              <w:t>= 26.27 (</w:t>
            </w:r>
            <w:r w:rsidRPr="006A64AF">
              <w:rPr>
                <w:rFonts w:cstheme="minorHAnsi"/>
                <w:i/>
                <w:iCs/>
                <w:sz w:val="24"/>
                <w:szCs w:val="24"/>
              </w:rPr>
              <w:t xml:space="preserve">SD </w:t>
            </w:r>
            <w:r w:rsidRPr="006A64AF">
              <w:rPr>
                <w:rFonts w:cstheme="minorHAnsi"/>
                <w:sz w:val="24"/>
                <w:szCs w:val="24"/>
              </w:rPr>
              <w:t>= .06)</w:t>
            </w:r>
          </w:p>
        </w:tc>
      </w:tr>
      <w:tr w:rsidR="006A64AF" w:rsidRPr="006A64AF" w14:paraId="51403A41" w14:textId="77777777" w:rsidTr="00606AB6">
        <w:trPr>
          <w:trHeight w:val="178"/>
        </w:trPr>
        <w:tc>
          <w:tcPr>
            <w:tcW w:w="0" w:type="auto"/>
          </w:tcPr>
          <w:p w14:paraId="31BDF581" w14:textId="77777777" w:rsidR="006A64AF" w:rsidRPr="006A64AF" w:rsidRDefault="006A64AF" w:rsidP="006A64AF">
            <w:pPr>
              <w:spacing w:line="259" w:lineRule="auto"/>
              <w:rPr>
                <w:rFonts w:cstheme="minorHAnsi"/>
                <w:sz w:val="24"/>
                <w:szCs w:val="24"/>
              </w:rPr>
            </w:pPr>
            <w:r w:rsidRPr="006A64AF">
              <w:rPr>
                <w:rFonts w:cstheme="minorHAnsi"/>
                <w:sz w:val="24"/>
                <w:szCs w:val="24"/>
              </w:rPr>
              <w:t>Gender Identity</w:t>
            </w:r>
          </w:p>
        </w:tc>
        <w:tc>
          <w:tcPr>
            <w:tcW w:w="0" w:type="auto"/>
          </w:tcPr>
          <w:p w14:paraId="5F801F5E" w14:textId="77777777" w:rsidR="006A64AF" w:rsidRPr="006A64AF" w:rsidRDefault="006A64AF" w:rsidP="006A64AF">
            <w:pPr>
              <w:spacing w:line="259" w:lineRule="auto"/>
              <w:rPr>
                <w:rFonts w:cstheme="minorHAnsi"/>
                <w:sz w:val="24"/>
                <w:szCs w:val="24"/>
              </w:rPr>
            </w:pPr>
          </w:p>
        </w:tc>
      </w:tr>
      <w:tr w:rsidR="006A64AF" w:rsidRPr="006A64AF" w14:paraId="36B54636" w14:textId="77777777" w:rsidTr="00606AB6">
        <w:trPr>
          <w:trHeight w:val="180"/>
        </w:trPr>
        <w:tc>
          <w:tcPr>
            <w:tcW w:w="0" w:type="auto"/>
          </w:tcPr>
          <w:p w14:paraId="2807B90A"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Male</w:t>
            </w:r>
          </w:p>
        </w:tc>
        <w:tc>
          <w:tcPr>
            <w:tcW w:w="0" w:type="auto"/>
          </w:tcPr>
          <w:p w14:paraId="4B527DEA" w14:textId="77777777" w:rsidR="006A64AF" w:rsidRPr="006A64AF" w:rsidRDefault="006A64AF" w:rsidP="006A64AF">
            <w:pPr>
              <w:spacing w:line="259" w:lineRule="auto"/>
              <w:rPr>
                <w:rFonts w:cstheme="minorHAnsi"/>
                <w:sz w:val="24"/>
                <w:szCs w:val="24"/>
              </w:rPr>
            </w:pPr>
            <w:r w:rsidRPr="006A64AF">
              <w:rPr>
                <w:rFonts w:cstheme="minorHAnsi"/>
                <w:sz w:val="24"/>
                <w:szCs w:val="24"/>
              </w:rPr>
              <w:t>236 (94%)</w:t>
            </w:r>
          </w:p>
        </w:tc>
      </w:tr>
      <w:tr w:rsidR="006A64AF" w:rsidRPr="006A64AF" w14:paraId="52A4F7CA" w14:textId="77777777" w:rsidTr="00606AB6">
        <w:trPr>
          <w:trHeight w:val="180"/>
        </w:trPr>
        <w:tc>
          <w:tcPr>
            <w:tcW w:w="0" w:type="auto"/>
          </w:tcPr>
          <w:p w14:paraId="4860F4B3" w14:textId="2D95B9C5" w:rsidR="006A64AF" w:rsidRPr="006A64AF" w:rsidRDefault="000A06B0" w:rsidP="000A06B0">
            <w:pPr>
              <w:spacing w:line="259" w:lineRule="auto"/>
              <w:ind w:left="336"/>
              <w:rPr>
                <w:rFonts w:cstheme="minorHAnsi"/>
                <w:sz w:val="24"/>
                <w:szCs w:val="24"/>
              </w:rPr>
            </w:pPr>
            <w:r w:rsidRPr="006A64AF">
              <w:rPr>
                <w:rFonts w:cstheme="minorHAnsi"/>
                <w:sz w:val="24"/>
                <w:szCs w:val="24"/>
              </w:rPr>
              <w:t>Transgender, gender nonconforming, or</w:t>
            </w:r>
            <w:r w:rsidRPr="006A64AF">
              <w:rPr>
                <w:rFonts w:cstheme="minorHAnsi"/>
                <w:sz w:val="24"/>
                <w:szCs w:val="24"/>
              </w:rPr>
              <w:t xml:space="preserve"> </w:t>
            </w:r>
            <w:r w:rsidR="006A64AF" w:rsidRPr="006A64AF">
              <w:rPr>
                <w:rFonts w:cstheme="minorHAnsi"/>
                <w:sz w:val="24"/>
                <w:szCs w:val="24"/>
              </w:rPr>
              <w:t>queer identified</w:t>
            </w:r>
          </w:p>
        </w:tc>
        <w:tc>
          <w:tcPr>
            <w:tcW w:w="0" w:type="auto"/>
          </w:tcPr>
          <w:p w14:paraId="4A985FEE" w14:textId="77777777" w:rsidR="006A64AF" w:rsidRPr="006A64AF" w:rsidRDefault="006A64AF" w:rsidP="006A64AF">
            <w:pPr>
              <w:spacing w:line="259" w:lineRule="auto"/>
              <w:rPr>
                <w:rFonts w:cstheme="minorHAnsi"/>
                <w:sz w:val="24"/>
                <w:szCs w:val="24"/>
              </w:rPr>
            </w:pPr>
            <w:r w:rsidRPr="006A64AF">
              <w:rPr>
                <w:rFonts w:cstheme="minorHAnsi"/>
                <w:sz w:val="24"/>
                <w:szCs w:val="24"/>
              </w:rPr>
              <w:t>12 (4.8%)</w:t>
            </w:r>
          </w:p>
        </w:tc>
      </w:tr>
      <w:tr w:rsidR="006A64AF" w:rsidRPr="006A64AF" w14:paraId="56DCAE21" w14:textId="77777777" w:rsidTr="00606AB6">
        <w:trPr>
          <w:trHeight w:val="180"/>
        </w:trPr>
        <w:tc>
          <w:tcPr>
            <w:tcW w:w="0" w:type="auto"/>
          </w:tcPr>
          <w:p w14:paraId="1DC2E16B"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Cis-gender male (explicitly identified)</w:t>
            </w:r>
          </w:p>
        </w:tc>
        <w:tc>
          <w:tcPr>
            <w:tcW w:w="0" w:type="auto"/>
          </w:tcPr>
          <w:p w14:paraId="584E81F6" w14:textId="77777777" w:rsidR="006A64AF" w:rsidRPr="006A64AF" w:rsidRDefault="006A64AF" w:rsidP="006A64AF">
            <w:pPr>
              <w:spacing w:line="259" w:lineRule="auto"/>
              <w:rPr>
                <w:rFonts w:cstheme="minorHAnsi"/>
                <w:sz w:val="24"/>
                <w:szCs w:val="24"/>
              </w:rPr>
            </w:pPr>
            <w:r w:rsidRPr="006A64AF">
              <w:rPr>
                <w:rFonts w:cstheme="minorHAnsi"/>
                <w:sz w:val="24"/>
                <w:szCs w:val="24"/>
              </w:rPr>
              <w:t>3 (1.2%)</w:t>
            </w:r>
          </w:p>
        </w:tc>
      </w:tr>
      <w:tr w:rsidR="006A64AF" w:rsidRPr="006A64AF" w14:paraId="7518EEDD" w14:textId="77777777" w:rsidTr="00606AB6">
        <w:trPr>
          <w:trHeight w:val="180"/>
        </w:trPr>
        <w:tc>
          <w:tcPr>
            <w:tcW w:w="0" w:type="auto"/>
          </w:tcPr>
          <w:p w14:paraId="6B111A2D" w14:textId="77777777" w:rsidR="006A64AF" w:rsidRPr="006A64AF" w:rsidRDefault="006A64AF" w:rsidP="006A64AF">
            <w:pPr>
              <w:spacing w:line="259" w:lineRule="auto"/>
              <w:rPr>
                <w:rFonts w:cstheme="minorHAnsi"/>
                <w:sz w:val="24"/>
                <w:szCs w:val="24"/>
              </w:rPr>
            </w:pPr>
            <w:r w:rsidRPr="006A64AF">
              <w:rPr>
                <w:rFonts w:cstheme="minorHAnsi"/>
                <w:sz w:val="24"/>
                <w:szCs w:val="24"/>
              </w:rPr>
              <w:t>Sexual Identity</w:t>
            </w:r>
          </w:p>
        </w:tc>
        <w:tc>
          <w:tcPr>
            <w:tcW w:w="0" w:type="auto"/>
          </w:tcPr>
          <w:p w14:paraId="0A2629A9" w14:textId="77777777" w:rsidR="006A64AF" w:rsidRPr="006A64AF" w:rsidRDefault="006A64AF" w:rsidP="006A64AF">
            <w:pPr>
              <w:spacing w:line="259" w:lineRule="auto"/>
              <w:rPr>
                <w:rFonts w:cstheme="minorHAnsi"/>
                <w:sz w:val="24"/>
                <w:szCs w:val="24"/>
              </w:rPr>
            </w:pPr>
          </w:p>
        </w:tc>
      </w:tr>
      <w:tr w:rsidR="006A64AF" w:rsidRPr="006A64AF" w14:paraId="78AF56CE" w14:textId="77777777" w:rsidTr="00606AB6">
        <w:trPr>
          <w:trHeight w:val="180"/>
        </w:trPr>
        <w:tc>
          <w:tcPr>
            <w:tcW w:w="0" w:type="auto"/>
          </w:tcPr>
          <w:p w14:paraId="58909682"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Bisexual</w:t>
            </w:r>
          </w:p>
        </w:tc>
        <w:tc>
          <w:tcPr>
            <w:tcW w:w="0" w:type="auto"/>
          </w:tcPr>
          <w:p w14:paraId="3DEAEDBE" w14:textId="77777777" w:rsidR="006A64AF" w:rsidRPr="006A64AF" w:rsidRDefault="006A64AF" w:rsidP="006A64AF">
            <w:pPr>
              <w:spacing w:line="259" w:lineRule="auto"/>
              <w:rPr>
                <w:rFonts w:cstheme="minorHAnsi"/>
                <w:sz w:val="24"/>
                <w:szCs w:val="24"/>
              </w:rPr>
            </w:pPr>
            <w:r w:rsidRPr="006A64AF">
              <w:rPr>
                <w:rFonts w:cstheme="minorHAnsi"/>
                <w:sz w:val="24"/>
                <w:szCs w:val="24"/>
              </w:rPr>
              <w:t>212 (84.4%)</w:t>
            </w:r>
          </w:p>
        </w:tc>
      </w:tr>
      <w:tr w:rsidR="006A64AF" w:rsidRPr="006A64AF" w14:paraId="6244D5E2" w14:textId="77777777" w:rsidTr="00606AB6">
        <w:trPr>
          <w:trHeight w:val="180"/>
        </w:trPr>
        <w:tc>
          <w:tcPr>
            <w:tcW w:w="0" w:type="auto"/>
          </w:tcPr>
          <w:p w14:paraId="79A2134B"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Pansexual</w:t>
            </w:r>
          </w:p>
        </w:tc>
        <w:tc>
          <w:tcPr>
            <w:tcW w:w="0" w:type="auto"/>
          </w:tcPr>
          <w:p w14:paraId="59CB2B31" w14:textId="77777777" w:rsidR="006A64AF" w:rsidRPr="006A64AF" w:rsidRDefault="006A64AF" w:rsidP="006A64AF">
            <w:pPr>
              <w:spacing w:line="259" w:lineRule="auto"/>
              <w:rPr>
                <w:rFonts w:cstheme="minorHAnsi"/>
                <w:sz w:val="24"/>
                <w:szCs w:val="24"/>
              </w:rPr>
            </w:pPr>
            <w:r w:rsidRPr="006A64AF">
              <w:rPr>
                <w:rFonts w:cstheme="minorHAnsi"/>
                <w:sz w:val="24"/>
                <w:szCs w:val="24"/>
              </w:rPr>
              <w:t>11 (4.4%)</w:t>
            </w:r>
          </w:p>
        </w:tc>
      </w:tr>
      <w:tr w:rsidR="006A64AF" w:rsidRPr="006A64AF" w14:paraId="128F5D00" w14:textId="77777777" w:rsidTr="00606AB6">
        <w:trPr>
          <w:trHeight w:val="180"/>
        </w:trPr>
        <w:tc>
          <w:tcPr>
            <w:tcW w:w="0" w:type="auto"/>
          </w:tcPr>
          <w:p w14:paraId="05CE2C33"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Queer</w:t>
            </w:r>
          </w:p>
        </w:tc>
        <w:tc>
          <w:tcPr>
            <w:tcW w:w="0" w:type="auto"/>
          </w:tcPr>
          <w:p w14:paraId="518265FC" w14:textId="77777777" w:rsidR="006A64AF" w:rsidRPr="006A64AF" w:rsidRDefault="006A64AF" w:rsidP="006A64AF">
            <w:pPr>
              <w:spacing w:line="259" w:lineRule="auto"/>
              <w:rPr>
                <w:rFonts w:cstheme="minorHAnsi"/>
                <w:sz w:val="24"/>
                <w:szCs w:val="24"/>
              </w:rPr>
            </w:pPr>
            <w:r w:rsidRPr="006A64AF">
              <w:rPr>
                <w:rFonts w:cstheme="minorHAnsi"/>
                <w:sz w:val="24"/>
                <w:szCs w:val="24"/>
              </w:rPr>
              <w:t>9 (3.6%)</w:t>
            </w:r>
          </w:p>
        </w:tc>
      </w:tr>
      <w:tr w:rsidR="006A64AF" w:rsidRPr="006A64AF" w14:paraId="49C53DC6" w14:textId="77777777" w:rsidTr="00606AB6">
        <w:trPr>
          <w:trHeight w:val="179"/>
        </w:trPr>
        <w:tc>
          <w:tcPr>
            <w:tcW w:w="0" w:type="auto"/>
          </w:tcPr>
          <w:p w14:paraId="42412F7A" w14:textId="0FD2BAEF" w:rsidR="006A64AF" w:rsidRPr="006A64AF" w:rsidRDefault="000A06B0" w:rsidP="000A06B0">
            <w:pPr>
              <w:spacing w:line="259" w:lineRule="auto"/>
              <w:ind w:left="336"/>
              <w:rPr>
                <w:rFonts w:cstheme="minorHAnsi"/>
                <w:sz w:val="24"/>
                <w:szCs w:val="24"/>
              </w:rPr>
            </w:pPr>
            <w:r w:rsidRPr="006A64AF">
              <w:rPr>
                <w:rFonts w:cstheme="minorHAnsi"/>
                <w:sz w:val="24"/>
                <w:szCs w:val="24"/>
              </w:rPr>
              <w:t>Some combination of bisexual,</w:t>
            </w:r>
            <w:r>
              <w:rPr>
                <w:rFonts w:cstheme="minorHAnsi"/>
                <w:sz w:val="24"/>
                <w:szCs w:val="24"/>
              </w:rPr>
              <w:t xml:space="preserve"> </w:t>
            </w:r>
            <w:r w:rsidR="006A64AF" w:rsidRPr="006A64AF">
              <w:rPr>
                <w:rFonts w:cstheme="minorHAnsi"/>
                <w:sz w:val="24"/>
                <w:szCs w:val="24"/>
              </w:rPr>
              <w:t>pansexual, and queer</w:t>
            </w:r>
          </w:p>
        </w:tc>
        <w:tc>
          <w:tcPr>
            <w:tcW w:w="0" w:type="auto"/>
          </w:tcPr>
          <w:p w14:paraId="59C73190" w14:textId="77777777" w:rsidR="006A64AF" w:rsidRPr="006A64AF" w:rsidRDefault="006A64AF" w:rsidP="006A64AF">
            <w:pPr>
              <w:spacing w:line="259" w:lineRule="auto"/>
              <w:rPr>
                <w:rFonts w:cstheme="minorHAnsi"/>
                <w:sz w:val="24"/>
                <w:szCs w:val="24"/>
              </w:rPr>
            </w:pPr>
            <w:r w:rsidRPr="006A64AF">
              <w:rPr>
                <w:rFonts w:cstheme="minorHAnsi"/>
                <w:sz w:val="24"/>
                <w:szCs w:val="24"/>
              </w:rPr>
              <w:t>19 (7.6%)</w:t>
            </w:r>
          </w:p>
        </w:tc>
      </w:tr>
      <w:tr w:rsidR="006A64AF" w:rsidRPr="006A64AF" w14:paraId="65D1D275" w14:textId="77777777" w:rsidTr="00606AB6">
        <w:trPr>
          <w:trHeight w:val="180"/>
        </w:trPr>
        <w:tc>
          <w:tcPr>
            <w:tcW w:w="0" w:type="auto"/>
          </w:tcPr>
          <w:p w14:paraId="2EDFB451" w14:textId="77777777" w:rsidR="006A64AF" w:rsidRPr="006A64AF" w:rsidRDefault="006A64AF" w:rsidP="006A64AF">
            <w:pPr>
              <w:spacing w:line="259" w:lineRule="auto"/>
              <w:rPr>
                <w:rFonts w:cstheme="minorHAnsi"/>
                <w:sz w:val="24"/>
                <w:szCs w:val="24"/>
              </w:rPr>
            </w:pPr>
            <w:r w:rsidRPr="006A64AF">
              <w:rPr>
                <w:rFonts w:cstheme="minorHAnsi"/>
                <w:sz w:val="24"/>
                <w:szCs w:val="24"/>
              </w:rPr>
              <w:t>Race</w:t>
            </w:r>
          </w:p>
        </w:tc>
        <w:tc>
          <w:tcPr>
            <w:tcW w:w="0" w:type="auto"/>
          </w:tcPr>
          <w:p w14:paraId="571543AB" w14:textId="77777777" w:rsidR="006A64AF" w:rsidRPr="006A64AF" w:rsidRDefault="006A64AF" w:rsidP="006A64AF">
            <w:pPr>
              <w:spacing w:line="259" w:lineRule="auto"/>
              <w:rPr>
                <w:rFonts w:cstheme="minorHAnsi"/>
                <w:sz w:val="24"/>
                <w:szCs w:val="24"/>
              </w:rPr>
            </w:pPr>
          </w:p>
        </w:tc>
      </w:tr>
      <w:tr w:rsidR="006A64AF" w:rsidRPr="006A64AF" w14:paraId="433EC476" w14:textId="77777777" w:rsidTr="00606AB6">
        <w:trPr>
          <w:trHeight w:val="180"/>
        </w:trPr>
        <w:tc>
          <w:tcPr>
            <w:tcW w:w="0" w:type="auto"/>
          </w:tcPr>
          <w:p w14:paraId="3D83BC74"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White</w:t>
            </w:r>
          </w:p>
        </w:tc>
        <w:tc>
          <w:tcPr>
            <w:tcW w:w="0" w:type="auto"/>
          </w:tcPr>
          <w:p w14:paraId="01E181D7" w14:textId="77777777" w:rsidR="006A64AF" w:rsidRPr="006A64AF" w:rsidRDefault="006A64AF" w:rsidP="006A64AF">
            <w:pPr>
              <w:spacing w:line="259" w:lineRule="auto"/>
              <w:rPr>
                <w:rFonts w:cstheme="minorHAnsi"/>
                <w:sz w:val="24"/>
                <w:szCs w:val="24"/>
              </w:rPr>
            </w:pPr>
            <w:r w:rsidRPr="006A64AF">
              <w:rPr>
                <w:rFonts w:cstheme="minorHAnsi"/>
                <w:sz w:val="24"/>
                <w:szCs w:val="24"/>
              </w:rPr>
              <w:t>218 (86.9%)</w:t>
            </w:r>
          </w:p>
        </w:tc>
      </w:tr>
      <w:tr w:rsidR="006A64AF" w:rsidRPr="006A64AF" w14:paraId="4FF7CBA8" w14:textId="77777777" w:rsidTr="00606AB6">
        <w:trPr>
          <w:trHeight w:val="180"/>
        </w:trPr>
        <w:tc>
          <w:tcPr>
            <w:tcW w:w="0" w:type="auto"/>
          </w:tcPr>
          <w:p w14:paraId="5A03B4EA"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Black/African American</w:t>
            </w:r>
          </w:p>
        </w:tc>
        <w:tc>
          <w:tcPr>
            <w:tcW w:w="0" w:type="auto"/>
          </w:tcPr>
          <w:p w14:paraId="5B4061E1" w14:textId="77777777" w:rsidR="006A64AF" w:rsidRPr="006A64AF" w:rsidRDefault="006A64AF" w:rsidP="006A64AF">
            <w:pPr>
              <w:spacing w:line="259" w:lineRule="auto"/>
              <w:rPr>
                <w:rFonts w:cstheme="minorHAnsi"/>
                <w:sz w:val="24"/>
                <w:szCs w:val="24"/>
              </w:rPr>
            </w:pPr>
            <w:r w:rsidRPr="006A64AF">
              <w:rPr>
                <w:rFonts w:cstheme="minorHAnsi"/>
                <w:sz w:val="24"/>
                <w:szCs w:val="24"/>
              </w:rPr>
              <w:t>8 (3.2%)</w:t>
            </w:r>
          </w:p>
        </w:tc>
      </w:tr>
      <w:tr w:rsidR="006A64AF" w:rsidRPr="006A64AF" w14:paraId="32C3ACBC" w14:textId="77777777" w:rsidTr="00606AB6">
        <w:trPr>
          <w:trHeight w:val="180"/>
        </w:trPr>
        <w:tc>
          <w:tcPr>
            <w:tcW w:w="0" w:type="auto"/>
          </w:tcPr>
          <w:p w14:paraId="704CBA7B"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American Indian/Alaska Native</w:t>
            </w:r>
          </w:p>
        </w:tc>
        <w:tc>
          <w:tcPr>
            <w:tcW w:w="0" w:type="auto"/>
          </w:tcPr>
          <w:p w14:paraId="4A9AE157" w14:textId="77777777" w:rsidR="006A64AF" w:rsidRPr="006A64AF" w:rsidRDefault="006A64AF" w:rsidP="006A64AF">
            <w:pPr>
              <w:spacing w:line="259" w:lineRule="auto"/>
              <w:rPr>
                <w:rFonts w:cstheme="minorHAnsi"/>
                <w:sz w:val="24"/>
                <w:szCs w:val="24"/>
              </w:rPr>
            </w:pPr>
            <w:r w:rsidRPr="006A64AF">
              <w:rPr>
                <w:rFonts w:cstheme="minorHAnsi"/>
                <w:sz w:val="24"/>
                <w:szCs w:val="24"/>
              </w:rPr>
              <w:t>2 (.8%)</w:t>
            </w:r>
          </w:p>
        </w:tc>
      </w:tr>
      <w:tr w:rsidR="006A64AF" w:rsidRPr="006A64AF" w14:paraId="5C31CF14" w14:textId="77777777" w:rsidTr="00606AB6">
        <w:trPr>
          <w:trHeight w:val="180"/>
        </w:trPr>
        <w:tc>
          <w:tcPr>
            <w:tcW w:w="0" w:type="auto"/>
          </w:tcPr>
          <w:p w14:paraId="17C671E1"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Latino/Hispanic</w:t>
            </w:r>
          </w:p>
        </w:tc>
        <w:tc>
          <w:tcPr>
            <w:tcW w:w="0" w:type="auto"/>
          </w:tcPr>
          <w:p w14:paraId="330B8674" w14:textId="77777777" w:rsidR="006A64AF" w:rsidRPr="006A64AF" w:rsidRDefault="006A64AF" w:rsidP="006A64AF">
            <w:pPr>
              <w:spacing w:line="259" w:lineRule="auto"/>
              <w:rPr>
                <w:rFonts w:cstheme="minorHAnsi"/>
                <w:sz w:val="24"/>
                <w:szCs w:val="24"/>
              </w:rPr>
            </w:pPr>
            <w:r w:rsidRPr="006A64AF">
              <w:rPr>
                <w:rFonts w:cstheme="minorHAnsi"/>
                <w:sz w:val="24"/>
                <w:szCs w:val="24"/>
              </w:rPr>
              <w:t>19 (7.6%)</w:t>
            </w:r>
          </w:p>
        </w:tc>
      </w:tr>
      <w:tr w:rsidR="006A64AF" w:rsidRPr="006A64AF" w14:paraId="1FCF6CDD" w14:textId="77777777" w:rsidTr="00606AB6">
        <w:trPr>
          <w:trHeight w:val="180"/>
        </w:trPr>
        <w:tc>
          <w:tcPr>
            <w:tcW w:w="0" w:type="auto"/>
          </w:tcPr>
          <w:p w14:paraId="7DE22248"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Asian</w:t>
            </w:r>
          </w:p>
        </w:tc>
        <w:tc>
          <w:tcPr>
            <w:tcW w:w="0" w:type="auto"/>
          </w:tcPr>
          <w:p w14:paraId="674A1333" w14:textId="77777777" w:rsidR="006A64AF" w:rsidRPr="006A64AF" w:rsidRDefault="006A64AF" w:rsidP="006A64AF">
            <w:pPr>
              <w:spacing w:line="259" w:lineRule="auto"/>
              <w:rPr>
                <w:rFonts w:cstheme="minorHAnsi"/>
                <w:sz w:val="24"/>
                <w:szCs w:val="24"/>
              </w:rPr>
            </w:pPr>
            <w:r w:rsidRPr="006A64AF">
              <w:rPr>
                <w:rFonts w:cstheme="minorHAnsi"/>
                <w:sz w:val="24"/>
                <w:szCs w:val="24"/>
              </w:rPr>
              <w:t>12 (4.8%)</w:t>
            </w:r>
          </w:p>
        </w:tc>
      </w:tr>
      <w:tr w:rsidR="006A64AF" w:rsidRPr="006A64AF" w14:paraId="3AB4FACA" w14:textId="77777777" w:rsidTr="00606AB6">
        <w:trPr>
          <w:trHeight w:val="180"/>
        </w:trPr>
        <w:tc>
          <w:tcPr>
            <w:tcW w:w="0" w:type="auto"/>
          </w:tcPr>
          <w:p w14:paraId="73900BE3"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Native Hawaiian or Pacific Islander</w:t>
            </w:r>
          </w:p>
        </w:tc>
        <w:tc>
          <w:tcPr>
            <w:tcW w:w="0" w:type="auto"/>
          </w:tcPr>
          <w:p w14:paraId="7824E6BE" w14:textId="77777777" w:rsidR="006A64AF" w:rsidRPr="006A64AF" w:rsidRDefault="006A64AF" w:rsidP="006A64AF">
            <w:pPr>
              <w:spacing w:line="259" w:lineRule="auto"/>
              <w:rPr>
                <w:rFonts w:cstheme="minorHAnsi"/>
                <w:sz w:val="24"/>
                <w:szCs w:val="24"/>
              </w:rPr>
            </w:pPr>
            <w:r w:rsidRPr="006A64AF">
              <w:rPr>
                <w:rFonts w:cstheme="minorHAnsi"/>
                <w:sz w:val="24"/>
                <w:szCs w:val="24"/>
              </w:rPr>
              <w:t>0 (0%)</w:t>
            </w:r>
          </w:p>
        </w:tc>
      </w:tr>
      <w:tr w:rsidR="006A64AF" w:rsidRPr="006A64AF" w14:paraId="60F417F6" w14:textId="77777777" w:rsidTr="00606AB6">
        <w:trPr>
          <w:trHeight w:val="180"/>
        </w:trPr>
        <w:tc>
          <w:tcPr>
            <w:tcW w:w="0" w:type="auto"/>
          </w:tcPr>
          <w:p w14:paraId="4C05E349" w14:textId="77777777" w:rsidR="006A64AF" w:rsidRPr="006A64AF" w:rsidRDefault="006A64AF" w:rsidP="000A06B0">
            <w:pPr>
              <w:spacing w:line="259" w:lineRule="auto"/>
              <w:ind w:left="336"/>
              <w:rPr>
                <w:rFonts w:cstheme="minorHAnsi"/>
                <w:sz w:val="24"/>
                <w:szCs w:val="24"/>
              </w:rPr>
            </w:pPr>
            <w:r w:rsidRPr="006A64AF">
              <w:rPr>
                <w:rFonts w:cstheme="minorHAnsi"/>
                <w:sz w:val="24"/>
                <w:szCs w:val="24"/>
              </w:rPr>
              <w:t>Other</w:t>
            </w:r>
          </w:p>
        </w:tc>
        <w:tc>
          <w:tcPr>
            <w:tcW w:w="0" w:type="auto"/>
          </w:tcPr>
          <w:p w14:paraId="18ED4170" w14:textId="77777777" w:rsidR="006A64AF" w:rsidRPr="006A64AF" w:rsidRDefault="006A64AF" w:rsidP="006A64AF">
            <w:pPr>
              <w:spacing w:line="259" w:lineRule="auto"/>
              <w:rPr>
                <w:rFonts w:cstheme="minorHAnsi"/>
                <w:sz w:val="24"/>
                <w:szCs w:val="24"/>
              </w:rPr>
            </w:pPr>
            <w:r w:rsidRPr="006A64AF">
              <w:rPr>
                <w:rFonts w:cstheme="minorHAnsi"/>
                <w:sz w:val="24"/>
                <w:szCs w:val="24"/>
              </w:rPr>
              <w:t>4 (1.6%)</w:t>
            </w:r>
          </w:p>
        </w:tc>
      </w:tr>
      <w:tr w:rsidR="006A64AF" w:rsidRPr="006A64AF" w14:paraId="6F73862C" w14:textId="77777777" w:rsidTr="00606AB6">
        <w:trPr>
          <w:trHeight w:val="180"/>
        </w:trPr>
        <w:tc>
          <w:tcPr>
            <w:tcW w:w="0" w:type="auto"/>
          </w:tcPr>
          <w:p w14:paraId="0F483401" w14:textId="77777777" w:rsidR="006A64AF" w:rsidRPr="006A64AF" w:rsidRDefault="006A64AF" w:rsidP="006A64AF">
            <w:pPr>
              <w:spacing w:line="259" w:lineRule="auto"/>
              <w:rPr>
                <w:rFonts w:cstheme="minorHAnsi"/>
                <w:sz w:val="24"/>
                <w:szCs w:val="24"/>
              </w:rPr>
            </w:pPr>
            <w:r w:rsidRPr="006A64AF">
              <w:rPr>
                <w:rFonts w:cstheme="minorHAnsi"/>
                <w:sz w:val="24"/>
                <w:szCs w:val="24"/>
              </w:rPr>
              <w:t>Education</w:t>
            </w:r>
          </w:p>
        </w:tc>
        <w:tc>
          <w:tcPr>
            <w:tcW w:w="0" w:type="auto"/>
          </w:tcPr>
          <w:p w14:paraId="5FFFB299" w14:textId="77777777" w:rsidR="006A64AF" w:rsidRPr="006A64AF" w:rsidRDefault="006A64AF" w:rsidP="006A64AF">
            <w:pPr>
              <w:spacing w:line="259" w:lineRule="auto"/>
              <w:rPr>
                <w:rFonts w:cstheme="minorHAnsi"/>
                <w:sz w:val="24"/>
                <w:szCs w:val="24"/>
              </w:rPr>
            </w:pPr>
          </w:p>
        </w:tc>
      </w:tr>
      <w:tr w:rsidR="006A64AF" w:rsidRPr="006A64AF" w14:paraId="51A47ABF" w14:textId="77777777" w:rsidTr="00606AB6">
        <w:trPr>
          <w:trHeight w:val="180"/>
        </w:trPr>
        <w:tc>
          <w:tcPr>
            <w:tcW w:w="0" w:type="auto"/>
          </w:tcPr>
          <w:p w14:paraId="3DEF4A15"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Did not graduate high school</w:t>
            </w:r>
          </w:p>
        </w:tc>
        <w:tc>
          <w:tcPr>
            <w:tcW w:w="0" w:type="auto"/>
          </w:tcPr>
          <w:p w14:paraId="1FF9EA76" w14:textId="77777777" w:rsidR="006A64AF" w:rsidRPr="006A64AF" w:rsidRDefault="006A64AF" w:rsidP="006A64AF">
            <w:pPr>
              <w:spacing w:line="259" w:lineRule="auto"/>
              <w:rPr>
                <w:rFonts w:cstheme="minorHAnsi"/>
                <w:sz w:val="24"/>
                <w:szCs w:val="24"/>
              </w:rPr>
            </w:pPr>
            <w:r w:rsidRPr="006A64AF">
              <w:rPr>
                <w:rFonts w:cstheme="minorHAnsi"/>
                <w:sz w:val="24"/>
                <w:szCs w:val="24"/>
              </w:rPr>
              <w:t>9 (3.6%)</w:t>
            </w:r>
          </w:p>
        </w:tc>
      </w:tr>
      <w:tr w:rsidR="006A64AF" w:rsidRPr="006A64AF" w14:paraId="0B719DF3" w14:textId="77777777" w:rsidTr="00606AB6">
        <w:trPr>
          <w:trHeight w:val="180"/>
        </w:trPr>
        <w:tc>
          <w:tcPr>
            <w:tcW w:w="0" w:type="auto"/>
          </w:tcPr>
          <w:p w14:paraId="2E05CEF9"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High school or equivalent (e.g., GED)</w:t>
            </w:r>
          </w:p>
        </w:tc>
        <w:tc>
          <w:tcPr>
            <w:tcW w:w="0" w:type="auto"/>
          </w:tcPr>
          <w:p w14:paraId="2FE1FB47" w14:textId="77777777" w:rsidR="006A64AF" w:rsidRPr="006A64AF" w:rsidRDefault="006A64AF" w:rsidP="006A64AF">
            <w:pPr>
              <w:spacing w:line="259" w:lineRule="auto"/>
              <w:rPr>
                <w:rFonts w:cstheme="minorHAnsi"/>
                <w:sz w:val="24"/>
                <w:szCs w:val="24"/>
              </w:rPr>
            </w:pPr>
            <w:r w:rsidRPr="006A64AF">
              <w:rPr>
                <w:rFonts w:cstheme="minorHAnsi"/>
                <w:sz w:val="24"/>
                <w:szCs w:val="24"/>
              </w:rPr>
              <w:t>41 (15.3%)</w:t>
            </w:r>
          </w:p>
        </w:tc>
      </w:tr>
      <w:tr w:rsidR="006A64AF" w:rsidRPr="006A64AF" w14:paraId="395CC306" w14:textId="77777777" w:rsidTr="00606AB6">
        <w:trPr>
          <w:trHeight w:val="180"/>
        </w:trPr>
        <w:tc>
          <w:tcPr>
            <w:tcW w:w="0" w:type="auto"/>
          </w:tcPr>
          <w:p w14:paraId="20C52DE0"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Some college (no degree)</w:t>
            </w:r>
          </w:p>
        </w:tc>
        <w:tc>
          <w:tcPr>
            <w:tcW w:w="0" w:type="auto"/>
          </w:tcPr>
          <w:p w14:paraId="477D9F80" w14:textId="77777777" w:rsidR="006A64AF" w:rsidRPr="006A64AF" w:rsidRDefault="006A64AF" w:rsidP="006A64AF">
            <w:pPr>
              <w:spacing w:line="259" w:lineRule="auto"/>
              <w:rPr>
                <w:rFonts w:cstheme="minorHAnsi"/>
                <w:sz w:val="24"/>
                <w:szCs w:val="24"/>
              </w:rPr>
            </w:pPr>
            <w:r w:rsidRPr="006A64AF">
              <w:rPr>
                <w:rFonts w:cstheme="minorHAnsi"/>
                <w:sz w:val="24"/>
                <w:szCs w:val="24"/>
              </w:rPr>
              <w:t>84 (33.5%)</w:t>
            </w:r>
          </w:p>
        </w:tc>
      </w:tr>
      <w:tr w:rsidR="006A64AF" w:rsidRPr="006A64AF" w14:paraId="327765CB" w14:textId="77777777" w:rsidTr="00606AB6">
        <w:trPr>
          <w:trHeight w:val="180"/>
        </w:trPr>
        <w:tc>
          <w:tcPr>
            <w:tcW w:w="0" w:type="auto"/>
          </w:tcPr>
          <w:p w14:paraId="36B288A2" w14:textId="77777777" w:rsidR="006A64AF" w:rsidRPr="006A64AF" w:rsidRDefault="006A64AF" w:rsidP="00C071F3">
            <w:pPr>
              <w:spacing w:line="259" w:lineRule="auto"/>
              <w:ind w:left="336"/>
              <w:rPr>
                <w:rFonts w:cstheme="minorHAnsi"/>
                <w:sz w:val="24"/>
                <w:szCs w:val="24"/>
              </w:rPr>
            </w:pPr>
            <w:proofErr w:type="gramStart"/>
            <w:r w:rsidRPr="006A64AF">
              <w:rPr>
                <w:rFonts w:cstheme="minorHAnsi"/>
                <w:sz w:val="24"/>
                <w:szCs w:val="24"/>
              </w:rPr>
              <w:t>Associate’s</w:t>
            </w:r>
            <w:proofErr w:type="gramEnd"/>
            <w:r w:rsidRPr="006A64AF">
              <w:rPr>
                <w:rFonts w:cstheme="minorHAnsi"/>
                <w:sz w:val="24"/>
                <w:szCs w:val="24"/>
              </w:rPr>
              <w:t xml:space="preserve"> degree (2-year degree)</w:t>
            </w:r>
          </w:p>
        </w:tc>
        <w:tc>
          <w:tcPr>
            <w:tcW w:w="0" w:type="auto"/>
          </w:tcPr>
          <w:p w14:paraId="7A308551" w14:textId="77777777" w:rsidR="006A64AF" w:rsidRPr="006A64AF" w:rsidRDefault="006A64AF" w:rsidP="006A64AF">
            <w:pPr>
              <w:spacing w:line="259" w:lineRule="auto"/>
              <w:rPr>
                <w:rFonts w:cstheme="minorHAnsi"/>
                <w:sz w:val="24"/>
                <w:szCs w:val="24"/>
              </w:rPr>
            </w:pPr>
            <w:r w:rsidRPr="006A64AF">
              <w:rPr>
                <w:rFonts w:cstheme="minorHAnsi"/>
                <w:sz w:val="24"/>
                <w:szCs w:val="24"/>
              </w:rPr>
              <w:t>12 (4.8%)</w:t>
            </w:r>
          </w:p>
        </w:tc>
      </w:tr>
      <w:tr w:rsidR="006A64AF" w:rsidRPr="006A64AF" w14:paraId="3393AC7D" w14:textId="77777777" w:rsidTr="00606AB6">
        <w:trPr>
          <w:trHeight w:val="180"/>
        </w:trPr>
        <w:tc>
          <w:tcPr>
            <w:tcW w:w="0" w:type="auto"/>
          </w:tcPr>
          <w:p w14:paraId="2988EFD8"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Bachelor’s degree (4 year-degree)</w:t>
            </w:r>
          </w:p>
        </w:tc>
        <w:tc>
          <w:tcPr>
            <w:tcW w:w="0" w:type="auto"/>
          </w:tcPr>
          <w:p w14:paraId="0565F5CF" w14:textId="77777777" w:rsidR="006A64AF" w:rsidRPr="006A64AF" w:rsidRDefault="006A64AF" w:rsidP="006A64AF">
            <w:pPr>
              <w:spacing w:line="259" w:lineRule="auto"/>
              <w:rPr>
                <w:rFonts w:cstheme="minorHAnsi"/>
                <w:sz w:val="24"/>
                <w:szCs w:val="24"/>
              </w:rPr>
            </w:pPr>
            <w:r w:rsidRPr="006A64AF">
              <w:rPr>
                <w:rFonts w:cstheme="minorHAnsi"/>
                <w:sz w:val="24"/>
                <w:szCs w:val="24"/>
              </w:rPr>
              <w:t>68 (27.1)</w:t>
            </w:r>
          </w:p>
        </w:tc>
      </w:tr>
      <w:tr w:rsidR="006A64AF" w:rsidRPr="006A64AF" w14:paraId="223EE04B" w14:textId="77777777" w:rsidTr="00606AB6">
        <w:trPr>
          <w:trHeight w:val="180"/>
        </w:trPr>
        <w:tc>
          <w:tcPr>
            <w:tcW w:w="0" w:type="auto"/>
          </w:tcPr>
          <w:p w14:paraId="434D0A48"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Master’s degree</w:t>
            </w:r>
          </w:p>
        </w:tc>
        <w:tc>
          <w:tcPr>
            <w:tcW w:w="0" w:type="auto"/>
          </w:tcPr>
          <w:p w14:paraId="7D9041F2" w14:textId="77777777" w:rsidR="006A64AF" w:rsidRPr="006A64AF" w:rsidRDefault="006A64AF" w:rsidP="006A64AF">
            <w:pPr>
              <w:spacing w:line="259" w:lineRule="auto"/>
              <w:rPr>
                <w:rFonts w:cstheme="minorHAnsi"/>
                <w:sz w:val="24"/>
                <w:szCs w:val="24"/>
              </w:rPr>
            </w:pPr>
            <w:r w:rsidRPr="006A64AF">
              <w:rPr>
                <w:rFonts w:cstheme="minorHAnsi"/>
                <w:sz w:val="24"/>
                <w:szCs w:val="24"/>
              </w:rPr>
              <w:t>23 (9.2%)</w:t>
            </w:r>
          </w:p>
        </w:tc>
      </w:tr>
      <w:tr w:rsidR="006A64AF" w:rsidRPr="006A64AF" w14:paraId="1BDA6C3D" w14:textId="77777777" w:rsidTr="00606AB6">
        <w:trPr>
          <w:trHeight w:val="179"/>
        </w:trPr>
        <w:tc>
          <w:tcPr>
            <w:tcW w:w="0" w:type="auto"/>
          </w:tcPr>
          <w:p w14:paraId="1C13E935" w14:textId="63FCF30A" w:rsidR="006A64AF" w:rsidRPr="006A64AF" w:rsidRDefault="00C071F3" w:rsidP="00C071F3">
            <w:pPr>
              <w:spacing w:line="259" w:lineRule="auto"/>
              <w:ind w:left="336"/>
              <w:rPr>
                <w:rFonts w:cstheme="minorHAnsi"/>
                <w:sz w:val="24"/>
                <w:szCs w:val="24"/>
              </w:rPr>
            </w:pPr>
            <w:r w:rsidRPr="006A64AF">
              <w:rPr>
                <w:rFonts w:cstheme="minorHAnsi"/>
                <w:sz w:val="24"/>
                <w:szCs w:val="24"/>
              </w:rPr>
              <w:t>Doctoral degree or professional degree</w:t>
            </w:r>
            <w:r w:rsidRPr="006A64AF">
              <w:rPr>
                <w:rFonts w:cstheme="minorHAnsi"/>
                <w:sz w:val="24"/>
                <w:szCs w:val="24"/>
              </w:rPr>
              <w:t xml:space="preserve"> </w:t>
            </w:r>
            <w:r w:rsidR="006A64AF" w:rsidRPr="006A64AF">
              <w:rPr>
                <w:rFonts w:cstheme="minorHAnsi"/>
                <w:sz w:val="24"/>
                <w:szCs w:val="24"/>
              </w:rPr>
              <w:t>(JD, MD)</w:t>
            </w:r>
          </w:p>
        </w:tc>
        <w:tc>
          <w:tcPr>
            <w:tcW w:w="0" w:type="auto"/>
          </w:tcPr>
          <w:p w14:paraId="42E665C1" w14:textId="77777777" w:rsidR="006A64AF" w:rsidRPr="006A64AF" w:rsidRDefault="006A64AF" w:rsidP="006A64AF">
            <w:pPr>
              <w:spacing w:line="259" w:lineRule="auto"/>
              <w:rPr>
                <w:rFonts w:cstheme="minorHAnsi"/>
                <w:sz w:val="24"/>
                <w:szCs w:val="24"/>
              </w:rPr>
            </w:pPr>
            <w:r w:rsidRPr="006A64AF">
              <w:rPr>
                <w:rFonts w:cstheme="minorHAnsi"/>
                <w:sz w:val="24"/>
                <w:szCs w:val="24"/>
              </w:rPr>
              <w:t>14 (5.5%)</w:t>
            </w:r>
          </w:p>
        </w:tc>
      </w:tr>
      <w:tr w:rsidR="006A64AF" w:rsidRPr="006A64AF" w14:paraId="31DB615F" w14:textId="77777777" w:rsidTr="00606AB6">
        <w:trPr>
          <w:trHeight w:val="180"/>
        </w:trPr>
        <w:tc>
          <w:tcPr>
            <w:tcW w:w="0" w:type="auto"/>
          </w:tcPr>
          <w:p w14:paraId="257732CF" w14:textId="77777777" w:rsidR="006A64AF" w:rsidRPr="006A64AF" w:rsidRDefault="006A64AF" w:rsidP="006A64AF">
            <w:pPr>
              <w:spacing w:line="259" w:lineRule="auto"/>
              <w:rPr>
                <w:rFonts w:cstheme="minorHAnsi"/>
                <w:sz w:val="24"/>
                <w:szCs w:val="24"/>
              </w:rPr>
            </w:pPr>
            <w:r w:rsidRPr="006A64AF">
              <w:rPr>
                <w:rFonts w:cstheme="minorHAnsi"/>
                <w:sz w:val="24"/>
                <w:szCs w:val="24"/>
              </w:rPr>
              <w:t>Income</w:t>
            </w:r>
          </w:p>
        </w:tc>
        <w:tc>
          <w:tcPr>
            <w:tcW w:w="0" w:type="auto"/>
          </w:tcPr>
          <w:p w14:paraId="68E4F016" w14:textId="77777777" w:rsidR="006A64AF" w:rsidRPr="006A64AF" w:rsidRDefault="006A64AF" w:rsidP="006A64AF">
            <w:pPr>
              <w:spacing w:line="259" w:lineRule="auto"/>
              <w:rPr>
                <w:rFonts w:cstheme="minorHAnsi"/>
                <w:sz w:val="24"/>
                <w:szCs w:val="24"/>
              </w:rPr>
            </w:pPr>
          </w:p>
        </w:tc>
      </w:tr>
      <w:tr w:rsidR="006A64AF" w:rsidRPr="006A64AF" w14:paraId="60FB8FFC" w14:textId="77777777" w:rsidTr="00606AB6">
        <w:trPr>
          <w:trHeight w:val="180"/>
        </w:trPr>
        <w:tc>
          <w:tcPr>
            <w:tcW w:w="0" w:type="auto"/>
          </w:tcPr>
          <w:p w14:paraId="48334A22"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Less than $10,000</w:t>
            </w:r>
          </w:p>
        </w:tc>
        <w:tc>
          <w:tcPr>
            <w:tcW w:w="0" w:type="auto"/>
          </w:tcPr>
          <w:p w14:paraId="72AFE545" w14:textId="77777777" w:rsidR="006A64AF" w:rsidRPr="006A64AF" w:rsidRDefault="006A64AF" w:rsidP="006A64AF">
            <w:pPr>
              <w:spacing w:line="259" w:lineRule="auto"/>
              <w:rPr>
                <w:rFonts w:cstheme="minorHAnsi"/>
                <w:sz w:val="24"/>
                <w:szCs w:val="24"/>
              </w:rPr>
            </w:pPr>
            <w:r w:rsidRPr="006A64AF">
              <w:rPr>
                <w:rFonts w:cstheme="minorHAnsi"/>
                <w:sz w:val="24"/>
                <w:szCs w:val="24"/>
              </w:rPr>
              <w:t>49 (19.5%)</w:t>
            </w:r>
          </w:p>
        </w:tc>
      </w:tr>
      <w:tr w:rsidR="006A64AF" w:rsidRPr="006A64AF" w14:paraId="7AACE59C" w14:textId="77777777" w:rsidTr="00606AB6">
        <w:trPr>
          <w:trHeight w:val="180"/>
        </w:trPr>
        <w:tc>
          <w:tcPr>
            <w:tcW w:w="0" w:type="auto"/>
          </w:tcPr>
          <w:p w14:paraId="2DCFA392"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$10,000–19,999</w:t>
            </w:r>
          </w:p>
        </w:tc>
        <w:tc>
          <w:tcPr>
            <w:tcW w:w="0" w:type="auto"/>
          </w:tcPr>
          <w:p w14:paraId="11C2D688" w14:textId="77777777" w:rsidR="006A64AF" w:rsidRPr="006A64AF" w:rsidRDefault="006A64AF" w:rsidP="006A64AF">
            <w:pPr>
              <w:spacing w:line="259" w:lineRule="auto"/>
              <w:rPr>
                <w:rFonts w:cstheme="minorHAnsi"/>
                <w:sz w:val="24"/>
                <w:szCs w:val="24"/>
              </w:rPr>
            </w:pPr>
            <w:r w:rsidRPr="006A64AF">
              <w:rPr>
                <w:rFonts w:cstheme="minorHAnsi"/>
                <w:sz w:val="24"/>
                <w:szCs w:val="24"/>
              </w:rPr>
              <w:t>29 (11.6%)</w:t>
            </w:r>
          </w:p>
        </w:tc>
      </w:tr>
      <w:tr w:rsidR="006A64AF" w:rsidRPr="006A64AF" w14:paraId="611A3CB4" w14:textId="77777777" w:rsidTr="00606AB6">
        <w:trPr>
          <w:trHeight w:val="180"/>
        </w:trPr>
        <w:tc>
          <w:tcPr>
            <w:tcW w:w="0" w:type="auto"/>
          </w:tcPr>
          <w:p w14:paraId="55F19971"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$20,000–29,999</w:t>
            </w:r>
          </w:p>
        </w:tc>
        <w:tc>
          <w:tcPr>
            <w:tcW w:w="0" w:type="auto"/>
          </w:tcPr>
          <w:p w14:paraId="309862FC" w14:textId="77777777" w:rsidR="006A64AF" w:rsidRPr="006A64AF" w:rsidRDefault="006A64AF" w:rsidP="006A64AF">
            <w:pPr>
              <w:spacing w:line="259" w:lineRule="auto"/>
              <w:rPr>
                <w:rFonts w:cstheme="minorHAnsi"/>
                <w:sz w:val="24"/>
                <w:szCs w:val="24"/>
              </w:rPr>
            </w:pPr>
            <w:r w:rsidRPr="006A64AF">
              <w:rPr>
                <w:rFonts w:cstheme="minorHAnsi"/>
                <w:sz w:val="24"/>
                <w:szCs w:val="24"/>
              </w:rPr>
              <w:t>25 (10.0%)</w:t>
            </w:r>
          </w:p>
        </w:tc>
      </w:tr>
      <w:tr w:rsidR="006A64AF" w:rsidRPr="006A64AF" w14:paraId="6BB8E6EE" w14:textId="77777777" w:rsidTr="00606AB6">
        <w:trPr>
          <w:trHeight w:val="180"/>
        </w:trPr>
        <w:tc>
          <w:tcPr>
            <w:tcW w:w="0" w:type="auto"/>
          </w:tcPr>
          <w:p w14:paraId="4697B974"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$30,000–39,999</w:t>
            </w:r>
          </w:p>
        </w:tc>
        <w:tc>
          <w:tcPr>
            <w:tcW w:w="0" w:type="auto"/>
          </w:tcPr>
          <w:p w14:paraId="45B27ED7" w14:textId="77777777" w:rsidR="006A64AF" w:rsidRPr="006A64AF" w:rsidRDefault="006A64AF" w:rsidP="006A64AF">
            <w:pPr>
              <w:spacing w:line="259" w:lineRule="auto"/>
              <w:rPr>
                <w:rFonts w:cstheme="minorHAnsi"/>
                <w:sz w:val="24"/>
                <w:szCs w:val="24"/>
              </w:rPr>
            </w:pPr>
            <w:r w:rsidRPr="006A64AF">
              <w:rPr>
                <w:rFonts w:cstheme="minorHAnsi"/>
                <w:sz w:val="24"/>
                <w:szCs w:val="24"/>
              </w:rPr>
              <w:t>37 (14.7%)</w:t>
            </w:r>
          </w:p>
        </w:tc>
      </w:tr>
      <w:tr w:rsidR="006A64AF" w:rsidRPr="006A64AF" w14:paraId="4198EB9F" w14:textId="77777777" w:rsidTr="00606AB6">
        <w:trPr>
          <w:trHeight w:val="180"/>
        </w:trPr>
        <w:tc>
          <w:tcPr>
            <w:tcW w:w="0" w:type="auto"/>
          </w:tcPr>
          <w:p w14:paraId="2F8016B9"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$40,000–49,999</w:t>
            </w:r>
          </w:p>
        </w:tc>
        <w:tc>
          <w:tcPr>
            <w:tcW w:w="0" w:type="auto"/>
          </w:tcPr>
          <w:p w14:paraId="5FF47E2A" w14:textId="77777777" w:rsidR="006A64AF" w:rsidRPr="006A64AF" w:rsidRDefault="006A64AF" w:rsidP="006A64AF">
            <w:pPr>
              <w:spacing w:line="259" w:lineRule="auto"/>
              <w:rPr>
                <w:rFonts w:cstheme="minorHAnsi"/>
                <w:sz w:val="24"/>
                <w:szCs w:val="24"/>
              </w:rPr>
            </w:pPr>
            <w:r w:rsidRPr="006A64AF">
              <w:rPr>
                <w:rFonts w:cstheme="minorHAnsi"/>
                <w:sz w:val="24"/>
                <w:szCs w:val="24"/>
              </w:rPr>
              <w:t>16 (6.4%)</w:t>
            </w:r>
          </w:p>
        </w:tc>
      </w:tr>
      <w:tr w:rsidR="006A64AF" w:rsidRPr="006A64AF" w14:paraId="1E868C83" w14:textId="77777777" w:rsidTr="00606AB6">
        <w:trPr>
          <w:trHeight w:val="180"/>
        </w:trPr>
        <w:tc>
          <w:tcPr>
            <w:tcW w:w="0" w:type="auto"/>
          </w:tcPr>
          <w:p w14:paraId="22940EDA"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$50,000–59,999</w:t>
            </w:r>
          </w:p>
        </w:tc>
        <w:tc>
          <w:tcPr>
            <w:tcW w:w="0" w:type="auto"/>
          </w:tcPr>
          <w:p w14:paraId="250A7DBD" w14:textId="77777777" w:rsidR="006A64AF" w:rsidRPr="006A64AF" w:rsidRDefault="006A64AF" w:rsidP="006A64AF">
            <w:pPr>
              <w:spacing w:line="259" w:lineRule="auto"/>
              <w:rPr>
                <w:rFonts w:cstheme="minorHAnsi"/>
                <w:sz w:val="24"/>
                <w:szCs w:val="24"/>
              </w:rPr>
            </w:pPr>
            <w:r w:rsidRPr="006A64AF">
              <w:rPr>
                <w:rFonts w:cstheme="minorHAnsi"/>
                <w:sz w:val="24"/>
                <w:szCs w:val="24"/>
              </w:rPr>
              <w:t>20 (8.0%)</w:t>
            </w:r>
          </w:p>
        </w:tc>
      </w:tr>
      <w:tr w:rsidR="006A64AF" w:rsidRPr="006A64AF" w14:paraId="40548EC5" w14:textId="77777777" w:rsidTr="00606AB6">
        <w:trPr>
          <w:trHeight w:val="180"/>
        </w:trPr>
        <w:tc>
          <w:tcPr>
            <w:tcW w:w="0" w:type="auto"/>
          </w:tcPr>
          <w:p w14:paraId="2AC930B1"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$60,000–79,999</w:t>
            </w:r>
          </w:p>
        </w:tc>
        <w:tc>
          <w:tcPr>
            <w:tcW w:w="0" w:type="auto"/>
          </w:tcPr>
          <w:p w14:paraId="035DCB80" w14:textId="77777777" w:rsidR="006A64AF" w:rsidRPr="006A64AF" w:rsidRDefault="006A64AF" w:rsidP="006A64AF">
            <w:pPr>
              <w:spacing w:line="259" w:lineRule="auto"/>
              <w:rPr>
                <w:rFonts w:cstheme="minorHAnsi"/>
                <w:sz w:val="24"/>
                <w:szCs w:val="24"/>
              </w:rPr>
            </w:pPr>
            <w:r w:rsidRPr="006A64AF">
              <w:rPr>
                <w:rFonts w:cstheme="minorHAnsi"/>
                <w:sz w:val="24"/>
                <w:szCs w:val="24"/>
              </w:rPr>
              <w:t>21 (8.4%)</w:t>
            </w:r>
          </w:p>
        </w:tc>
      </w:tr>
      <w:tr w:rsidR="006A64AF" w:rsidRPr="006A64AF" w14:paraId="7A358F35" w14:textId="77777777" w:rsidTr="00606AB6">
        <w:trPr>
          <w:trHeight w:val="180"/>
        </w:trPr>
        <w:tc>
          <w:tcPr>
            <w:tcW w:w="0" w:type="auto"/>
          </w:tcPr>
          <w:p w14:paraId="06F5E7EC"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$80,000–99,999</w:t>
            </w:r>
          </w:p>
        </w:tc>
        <w:tc>
          <w:tcPr>
            <w:tcW w:w="0" w:type="auto"/>
          </w:tcPr>
          <w:p w14:paraId="22CEFFBC" w14:textId="77777777" w:rsidR="006A64AF" w:rsidRPr="006A64AF" w:rsidRDefault="006A64AF" w:rsidP="006A64AF">
            <w:pPr>
              <w:spacing w:line="259" w:lineRule="auto"/>
              <w:rPr>
                <w:rFonts w:cstheme="minorHAnsi"/>
                <w:sz w:val="24"/>
                <w:szCs w:val="24"/>
              </w:rPr>
            </w:pPr>
            <w:r w:rsidRPr="006A64AF">
              <w:rPr>
                <w:rFonts w:cstheme="minorHAnsi"/>
                <w:sz w:val="24"/>
                <w:szCs w:val="24"/>
              </w:rPr>
              <w:t>17 (6.8%)</w:t>
            </w:r>
          </w:p>
        </w:tc>
      </w:tr>
      <w:tr w:rsidR="006A64AF" w:rsidRPr="006A64AF" w14:paraId="3C117B34" w14:textId="77777777" w:rsidTr="00606AB6">
        <w:trPr>
          <w:trHeight w:val="180"/>
        </w:trPr>
        <w:tc>
          <w:tcPr>
            <w:tcW w:w="0" w:type="auto"/>
          </w:tcPr>
          <w:p w14:paraId="73C3E221"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$100,000–149,999</w:t>
            </w:r>
          </w:p>
        </w:tc>
        <w:tc>
          <w:tcPr>
            <w:tcW w:w="0" w:type="auto"/>
          </w:tcPr>
          <w:p w14:paraId="3CC7122F" w14:textId="77777777" w:rsidR="006A64AF" w:rsidRPr="006A64AF" w:rsidRDefault="006A64AF" w:rsidP="006A64AF">
            <w:pPr>
              <w:spacing w:line="259" w:lineRule="auto"/>
              <w:rPr>
                <w:rFonts w:cstheme="minorHAnsi"/>
                <w:sz w:val="24"/>
                <w:szCs w:val="24"/>
              </w:rPr>
            </w:pPr>
            <w:r w:rsidRPr="006A64AF">
              <w:rPr>
                <w:rFonts w:cstheme="minorHAnsi"/>
                <w:sz w:val="24"/>
                <w:szCs w:val="24"/>
              </w:rPr>
              <w:t>19 (7.6%)</w:t>
            </w:r>
          </w:p>
        </w:tc>
      </w:tr>
      <w:tr w:rsidR="006A64AF" w:rsidRPr="006A64AF" w14:paraId="20EC976D" w14:textId="77777777" w:rsidTr="00606AB6">
        <w:trPr>
          <w:trHeight w:val="180"/>
        </w:trPr>
        <w:tc>
          <w:tcPr>
            <w:tcW w:w="0" w:type="auto"/>
          </w:tcPr>
          <w:p w14:paraId="05B04379"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$150,000 or more</w:t>
            </w:r>
          </w:p>
        </w:tc>
        <w:tc>
          <w:tcPr>
            <w:tcW w:w="0" w:type="auto"/>
          </w:tcPr>
          <w:p w14:paraId="56193AAB" w14:textId="77777777" w:rsidR="006A64AF" w:rsidRPr="006A64AF" w:rsidRDefault="006A64AF" w:rsidP="006A64AF">
            <w:pPr>
              <w:spacing w:line="259" w:lineRule="auto"/>
              <w:rPr>
                <w:rFonts w:cstheme="minorHAnsi"/>
                <w:sz w:val="24"/>
                <w:szCs w:val="24"/>
              </w:rPr>
            </w:pPr>
            <w:r w:rsidRPr="006A64AF">
              <w:rPr>
                <w:rFonts w:cstheme="minorHAnsi"/>
                <w:sz w:val="24"/>
                <w:szCs w:val="24"/>
              </w:rPr>
              <w:t>18 (7.2%)</w:t>
            </w:r>
          </w:p>
        </w:tc>
      </w:tr>
      <w:tr w:rsidR="006A64AF" w:rsidRPr="006A64AF" w14:paraId="2482166E" w14:textId="77777777" w:rsidTr="00606AB6">
        <w:trPr>
          <w:trHeight w:val="180"/>
        </w:trPr>
        <w:tc>
          <w:tcPr>
            <w:tcW w:w="0" w:type="auto"/>
          </w:tcPr>
          <w:p w14:paraId="2F79FA41" w14:textId="77777777" w:rsidR="006A64AF" w:rsidRPr="006A64AF" w:rsidRDefault="006A64AF" w:rsidP="006A64AF">
            <w:pPr>
              <w:spacing w:line="259" w:lineRule="auto"/>
              <w:rPr>
                <w:rFonts w:cstheme="minorHAnsi"/>
                <w:sz w:val="24"/>
                <w:szCs w:val="24"/>
              </w:rPr>
            </w:pPr>
            <w:r w:rsidRPr="006A64AF">
              <w:rPr>
                <w:rFonts w:cstheme="minorHAnsi"/>
                <w:sz w:val="24"/>
                <w:szCs w:val="24"/>
              </w:rPr>
              <w:t>Geographic Location</w:t>
            </w:r>
          </w:p>
        </w:tc>
        <w:tc>
          <w:tcPr>
            <w:tcW w:w="0" w:type="auto"/>
          </w:tcPr>
          <w:p w14:paraId="7582584A" w14:textId="77777777" w:rsidR="006A64AF" w:rsidRPr="006A64AF" w:rsidRDefault="006A64AF" w:rsidP="006A64AF">
            <w:pPr>
              <w:spacing w:line="259" w:lineRule="auto"/>
              <w:rPr>
                <w:rFonts w:cstheme="minorHAnsi"/>
                <w:sz w:val="24"/>
                <w:szCs w:val="24"/>
              </w:rPr>
            </w:pPr>
          </w:p>
        </w:tc>
      </w:tr>
      <w:tr w:rsidR="006A64AF" w:rsidRPr="006A64AF" w14:paraId="511FD4CA" w14:textId="77777777" w:rsidTr="00606AB6">
        <w:trPr>
          <w:trHeight w:val="180"/>
        </w:trPr>
        <w:tc>
          <w:tcPr>
            <w:tcW w:w="0" w:type="auto"/>
          </w:tcPr>
          <w:p w14:paraId="2DA34411"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Rural</w:t>
            </w:r>
          </w:p>
        </w:tc>
        <w:tc>
          <w:tcPr>
            <w:tcW w:w="0" w:type="auto"/>
          </w:tcPr>
          <w:p w14:paraId="6B770C4D" w14:textId="77777777" w:rsidR="006A64AF" w:rsidRPr="006A64AF" w:rsidRDefault="006A64AF" w:rsidP="006A64AF">
            <w:pPr>
              <w:spacing w:line="259" w:lineRule="auto"/>
              <w:rPr>
                <w:rFonts w:cstheme="minorHAnsi"/>
                <w:sz w:val="24"/>
                <w:szCs w:val="24"/>
              </w:rPr>
            </w:pPr>
            <w:r w:rsidRPr="006A64AF">
              <w:rPr>
                <w:rFonts w:cstheme="minorHAnsi"/>
                <w:sz w:val="24"/>
                <w:szCs w:val="24"/>
              </w:rPr>
              <w:t>14 (5.6%)</w:t>
            </w:r>
          </w:p>
        </w:tc>
      </w:tr>
      <w:tr w:rsidR="006A64AF" w:rsidRPr="006A64AF" w14:paraId="1BD49D55" w14:textId="77777777" w:rsidTr="00606AB6">
        <w:trPr>
          <w:trHeight w:val="180"/>
        </w:trPr>
        <w:tc>
          <w:tcPr>
            <w:tcW w:w="0" w:type="auto"/>
          </w:tcPr>
          <w:p w14:paraId="4D333C19"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Small town</w:t>
            </w:r>
          </w:p>
        </w:tc>
        <w:tc>
          <w:tcPr>
            <w:tcW w:w="0" w:type="auto"/>
          </w:tcPr>
          <w:p w14:paraId="41956871" w14:textId="77777777" w:rsidR="006A64AF" w:rsidRPr="006A64AF" w:rsidRDefault="006A64AF" w:rsidP="006A64AF">
            <w:pPr>
              <w:spacing w:line="259" w:lineRule="auto"/>
              <w:rPr>
                <w:rFonts w:cstheme="minorHAnsi"/>
                <w:sz w:val="24"/>
                <w:szCs w:val="24"/>
              </w:rPr>
            </w:pPr>
            <w:r w:rsidRPr="006A64AF">
              <w:rPr>
                <w:rFonts w:cstheme="minorHAnsi"/>
                <w:sz w:val="24"/>
                <w:szCs w:val="24"/>
              </w:rPr>
              <w:t>36 (14.3%)</w:t>
            </w:r>
          </w:p>
        </w:tc>
      </w:tr>
      <w:tr w:rsidR="006A64AF" w:rsidRPr="006A64AF" w14:paraId="31EE31B7" w14:textId="77777777" w:rsidTr="00606AB6">
        <w:trPr>
          <w:trHeight w:val="180"/>
        </w:trPr>
        <w:tc>
          <w:tcPr>
            <w:tcW w:w="0" w:type="auto"/>
          </w:tcPr>
          <w:p w14:paraId="46A47708"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Suburban town/city</w:t>
            </w:r>
          </w:p>
        </w:tc>
        <w:tc>
          <w:tcPr>
            <w:tcW w:w="0" w:type="auto"/>
          </w:tcPr>
          <w:p w14:paraId="2E774DBE" w14:textId="77777777" w:rsidR="006A64AF" w:rsidRPr="006A64AF" w:rsidRDefault="006A64AF" w:rsidP="006A64AF">
            <w:pPr>
              <w:spacing w:line="259" w:lineRule="auto"/>
              <w:rPr>
                <w:rFonts w:cstheme="minorHAnsi"/>
                <w:sz w:val="24"/>
                <w:szCs w:val="24"/>
              </w:rPr>
            </w:pPr>
            <w:r w:rsidRPr="006A64AF">
              <w:rPr>
                <w:rFonts w:cstheme="minorHAnsi"/>
                <w:sz w:val="24"/>
                <w:szCs w:val="24"/>
              </w:rPr>
              <w:t>114 (45.4%)</w:t>
            </w:r>
          </w:p>
        </w:tc>
      </w:tr>
      <w:tr w:rsidR="006A64AF" w:rsidRPr="006A64AF" w14:paraId="5F370826" w14:textId="77777777" w:rsidTr="00606AB6">
        <w:trPr>
          <w:trHeight w:val="179"/>
        </w:trPr>
        <w:tc>
          <w:tcPr>
            <w:tcW w:w="0" w:type="auto"/>
          </w:tcPr>
          <w:p w14:paraId="19F5FC18" w14:textId="77777777" w:rsidR="006A64AF" w:rsidRPr="006A64AF" w:rsidRDefault="006A64AF" w:rsidP="00C071F3">
            <w:pPr>
              <w:spacing w:line="259" w:lineRule="auto"/>
              <w:ind w:left="336"/>
              <w:rPr>
                <w:rFonts w:cstheme="minorHAnsi"/>
                <w:sz w:val="24"/>
                <w:szCs w:val="24"/>
              </w:rPr>
            </w:pPr>
            <w:r w:rsidRPr="006A64AF">
              <w:rPr>
                <w:rFonts w:cstheme="minorHAnsi"/>
                <w:sz w:val="24"/>
                <w:szCs w:val="24"/>
              </w:rPr>
              <w:t>Urban city</w:t>
            </w:r>
          </w:p>
        </w:tc>
        <w:tc>
          <w:tcPr>
            <w:tcW w:w="0" w:type="auto"/>
          </w:tcPr>
          <w:p w14:paraId="0CD4EA8E" w14:textId="77777777" w:rsidR="006A64AF" w:rsidRPr="006A64AF" w:rsidRDefault="006A64AF" w:rsidP="006A64AF">
            <w:pPr>
              <w:spacing w:line="259" w:lineRule="auto"/>
              <w:rPr>
                <w:rFonts w:cstheme="minorHAnsi"/>
                <w:sz w:val="24"/>
                <w:szCs w:val="24"/>
              </w:rPr>
            </w:pPr>
            <w:r w:rsidRPr="006A64AF">
              <w:rPr>
                <w:rFonts w:cstheme="minorHAnsi"/>
                <w:sz w:val="24"/>
                <w:szCs w:val="24"/>
              </w:rPr>
              <w:t>87 (34.6%)</w:t>
            </w:r>
          </w:p>
        </w:tc>
      </w:tr>
      <w:tr w:rsidR="006A64AF" w:rsidRPr="006A64AF" w14:paraId="64430AEC" w14:textId="77777777" w:rsidTr="00606AB6">
        <w:trPr>
          <w:trHeight w:val="182"/>
        </w:trPr>
        <w:tc>
          <w:tcPr>
            <w:tcW w:w="0" w:type="auto"/>
          </w:tcPr>
          <w:p w14:paraId="5D408D58" w14:textId="77777777" w:rsidR="006A64AF" w:rsidRPr="006A64AF" w:rsidRDefault="006A64AF" w:rsidP="006A64AF">
            <w:pPr>
              <w:spacing w:line="259" w:lineRule="auto"/>
              <w:rPr>
                <w:rFonts w:cstheme="minorHAnsi"/>
                <w:sz w:val="24"/>
                <w:szCs w:val="24"/>
                <w:vertAlign w:val="superscript"/>
              </w:rPr>
            </w:pPr>
            <w:r w:rsidRPr="006A64AF">
              <w:rPr>
                <w:rFonts w:cstheme="minorHAnsi"/>
                <w:sz w:val="24"/>
                <w:szCs w:val="24"/>
              </w:rPr>
              <w:t>Kinsey Scale</w:t>
            </w:r>
            <w:r w:rsidRPr="006A64AF">
              <w:rPr>
                <w:rFonts w:cstheme="minorHAnsi"/>
                <w:sz w:val="24"/>
                <w:szCs w:val="24"/>
                <w:vertAlign w:val="superscript"/>
              </w:rPr>
              <w:t>*</w:t>
            </w:r>
          </w:p>
        </w:tc>
        <w:tc>
          <w:tcPr>
            <w:tcW w:w="0" w:type="auto"/>
          </w:tcPr>
          <w:p w14:paraId="107B4642" w14:textId="77777777" w:rsidR="006A64AF" w:rsidRPr="006A64AF" w:rsidRDefault="006A64AF" w:rsidP="006A64AF">
            <w:pPr>
              <w:spacing w:line="259" w:lineRule="auto"/>
              <w:rPr>
                <w:rFonts w:cstheme="minorHAnsi"/>
                <w:sz w:val="24"/>
                <w:szCs w:val="24"/>
              </w:rPr>
            </w:pPr>
            <w:r w:rsidRPr="006A64AF">
              <w:rPr>
                <w:rFonts w:cstheme="minorHAnsi"/>
                <w:i/>
                <w:iCs/>
                <w:sz w:val="24"/>
                <w:szCs w:val="24"/>
              </w:rPr>
              <w:t xml:space="preserve">M </w:t>
            </w:r>
            <w:r w:rsidRPr="006A64AF">
              <w:rPr>
                <w:rFonts w:cstheme="minorHAnsi"/>
                <w:sz w:val="24"/>
                <w:szCs w:val="24"/>
              </w:rPr>
              <w:t>= 3.79 (</w:t>
            </w:r>
            <w:r w:rsidRPr="006A64AF">
              <w:rPr>
                <w:rFonts w:cstheme="minorHAnsi"/>
                <w:i/>
                <w:iCs/>
                <w:sz w:val="24"/>
                <w:szCs w:val="24"/>
              </w:rPr>
              <w:t xml:space="preserve">SD </w:t>
            </w:r>
            <w:r w:rsidRPr="006A64AF">
              <w:rPr>
                <w:rFonts w:cstheme="minorHAnsi"/>
                <w:sz w:val="24"/>
                <w:szCs w:val="24"/>
              </w:rPr>
              <w:t>= 1.24)</w:t>
            </w:r>
          </w:p>
        </w:tc>
      </w:tr>
      <w:tr w:rsidR="006A64AF" w:rsidRPr="006A64AF" w14:paraId="071DD5D2" w14:textId="77777777" w:rsidTr="00606AB6">
        <w:trPr>
          <w:trHeight w:val="177"/>
        </w:trPr>
        <w:tc>
          <w:tcPr>
            <w:tcW w:w="0" w:type="auto"/>
          </w:tcPr>
          <w:p w14:paraId="7B06DB5E" w14:textId="77777777" w:rsidR="006A64AF" w:rsidRPr="006A64AF" w:rsidRDefault="006A64AF" w:rsidP="006A64AF">
            <w:pPr>
              <w:spacing w:line="259" w:lineRule="auto"/>
              <w:rPr>
                <w:rFonts w:cstheme="minorHAnsi"/>
                <w:sz w:val="24"/>
                <w:szCs w:val="24"/>
              </w:rPr>
            </w:pPr>
            <w:r w:rsidRPr="006A64AF">
              <w:rPr>
                <w:rFonts w:cstheme="minorHAnsi"/>
                <w:sz w:val="24"/>
                <w:szCs w:val="24"/>
              </w:rPr>
              <w:t>Currently in romantic relationship</w:t>
            </w:r>
          </w:p>
        </w:tc>
        <w:tc>
          <w:tcPr>
            <w:tcW w:w="0" w:type="auto"/>
          </w:tcPr>
          <w:p w14:paraId="511AAAF8" w14:textId="77777777" w:rsidR="006A64AF" w:rsidRPr="006A64AF" w:rsidRDefault="006A64AF" w:rsidP="006A64AF">
            <w:pPr>
              <w:spacing w:line="259" w:lineRule="auto"/>
              <w:rPr>
                <w:rFonts w:cstheme="minorHAnsi"/>
                <w:sz w:val="24"/>
                <w:szCs w:val="24"/>
              </w:rPr>
            </w:pPr>
            <w:r w:rsidRPr="006A64AF">
              <w:rPr>
                <w:rFonts w:cstheme="minorHAnsi"/>
                <w:sz w:val="24"/>
                <w:szCs w:val="24"/>
              </w:rPr>
              <w:t>111 (44.2%)</w:t>
            </w:r>
          </w:p>
        </w:tc>
      </w:tr>
    </w:tbl>
    <w:p w14:paraId="114C0C32" w14:textId="7B24DF37" w:rsidR="006E187A" w:rsidRPr="00C801C2" w:rsidRDefault="0023216B" w:rsidP="0023216B">
      <w:pPr>
        <w:pStyle w:val="NoSpacing"/>
        <w:rPr>
          <w:rStyle w:val="Heading3Char"/>
          <w:i/>
          <w:iCs/>
        </w:rPr>
      </w:pPr>
      <w:bookmarkStart w:id="3" w:name="Minority stress processes"/>
      <w:bookmarkStart w:id="4" w:name="Positive minority sexual identity"/>
      <w:bookmarkEnd w:id="3"/>
      <w:bookmarkEnd w:id="4"/>
      <w:r w:rsidRPr="0023216B">
        <w:rPr>
          <w:vertAlign w:val="superscript"/>
        </w:rPr>
        <w:t>*</w:t>
      </w:r>
      <w:r w:rsidRPr="0023216B">
        <w:t xml:space="preserve"> Kinsey Scale measures sexual behavior, with 1 indicating exclusively</w:t>
      </w:r>
      <w:r>
        <w:t xml:space="preserve"> </w:t>
      </w:r>
      <w:r w:rsidRPr="0023216B">
        <w:t>heterosexual sexual behavior and 7 indicating exclusively homosexual</w:t>
      </w:r>
      <w:r>
        <w:t xml:space="preserve"> </w:t>
      </w:r>
      <w:r w:rsidRPr="0023216B">
        <w:t>behavior.</w:t>
      </w:r>
      <w:r w:rsidR="006E187A" w:rsidRPr="0023216B">
        <w:br/>
      </w:r>
      <w:r w:rsidR="006E187A" w:rsidRPr="006E187A">
        <w:rPr>
          <w:rFonts w:cstheme="minorHAnsi"/>
          <w:sz w:val="24"/>
          <w:szCs w:val="24"/>
        </w:rPr>
        <w:br/>
      </w:r>
      <w:r w:rsidR="006E187A" w:rsidRPr="00C801C2">
        <w:rPr>
          <w:rStyle w:val="Heading3Char"/>
          <w:i/>
          <w:iCs/>
        </w:rPr>
        <w:t>Sample Characteristics</w:t>
      </w:r>
    </w:p>
    <w:p w14:paraId="2D7CA578" w14:textId="77777777" w:rsidR="006E187A" w:rsidRPr="006E187A" w:rsidRDefault="006E187A" w:rsidP="006E187A">
      <w:pPr>
        <w:rPr>
          <w:rFonts w:cstheme="minorHAnsi"/>
          <w:sz w:val="24"/>
          <w:szCs w:val="24"/>
        </w:rPr>
      </w:pPr>
      <w:r w:rsidRPr="006E187A">
        <w:rPr>
          <w:rFonts w:cstheme="minorHAnsi"/>
          <w:sz w:val="24"/>
          <w:szCs w:val="24"/>
        </w:rPr>
        <w:t>When asked to describe the sexual behavior in their lifetime, 44.4% of participants (</w:t>
      </w:r>
      <w:r w:rsidRPr="006E187A">
        <w:rPr>
          <w:rFonts w:cstheme="minorHAnsi"/>
          <w:i/>
          <w:iCs/>
          <w:sz w:val="24"/>
          <w:szCs w:val="24"/>
        </w:rPr>
        <w:t>N</w:t>
      </w:r>
      <w:r w:rsidRPr="006E187A">
        <w:rPr>
          <w:rFonts w:cstheme="minorHAnsi"/>
          <w:sz w:val="24"/>
          <w:szCs w:val="24"/>
        </w:rPr>
        <w:t> = 111) described their sexual behavior as somewhere between exclusively heterosexual and bisexual, while 25.6% (</w:t>
      </w:r>
      <w:r w:rsidRPr="006E187A">
        <w:rPr>
          <w:rFonts w:cstheme="minorHAnsi"/>
          <w:i/>
          <w:iCs/>
          <w:sz w:val="24"/>
          <w:szCs w:val="24"/>
        </w:rPr>
        <w:t>N</w:t>
      </w:r>
      <w:r w:rsidRPr="006E187A">
        <w:rPr>
          <w:rFonts w:cstheme="minorHAnsi"/>
          <w:sz w:val="24"/>
          <w:szCs w:val="24"/>
        </w:rPr>
        <w:t> = 64) described their sexual behavior as somewhere between exclusively homosexual and bisexual, with the rest describing their behavior as equally heterosexual and homosexual (</w:t>
      </w:r>
      <w:r w:rsidRPr="006E187A">
        <w:rPr>
          <w:rFonts w:cstheme="minorHAnsi"/>
          <w:i/>
          <w:iCs/>
          <w:sz w:val="24"/>
          <w:szCs w:val="24"/>
        </w:rPr>
        <w:t>N</w:t>
      </w:r>
      <w:r w:rsidRPr="006E187A">
        <w:rPr>
          <w:rFonts w:cstheme="minorHAnsi"/>
          <w:sz w:val="24"/>
          <w:szCs w:val="24"/>
        </w:rPr>
        <w:t> = 75; 30%; one participant did not answer). The average age in which participants became aware of their sexual orientation was 17 years old; 83.7% of participants (</w:t>
      </w:r>
      <w:r w:rsidRPr="006E187A">
        <w:rPr>
          <w:rFonts w:cstheme="minorHAnsi"/>
          <w:i/>
          <w:iCs/>
          <w:sz w:val="24"/>
          <w:szCs w:val="24"/>
        </w:rPr>
        <w:t>N</w:t>
      </w:r>
      <w:r w:rsidRPr="006E187A">
        <w:rPr>
          <w:rFonts w:cstheme="minorHAnsi"/>
          <w:sz w:val="24"/>
          <w:szCs w:val="24"/>
        </w:rPr>
        <w:t> = 210) reported being “out”; and among those who were out, the mean age in which they came out was 20 years old. Slightly under half of participants (</w:t>
      </w:r>
      <w:r w:rsidRPr="006E187A">
        <w:rPr>
          <w:rFonts w:cstheme="minorHAnsi"/>
          <w:i/>
          <w:iCs/>
          <w:sz w:val="24"/>
          <w:szCs w:val="24"/>
        </w:rPr>
        <w:t>N</w:t>
      </w:r>
      <w:r w:rsidRPr="006E187A">
        <w:rPr>
          <w:rFonts w:cstheme="minorHAnsi"/>
          <w:sz w:val="24"/>
          <w:szCs w:val="24"/>
        </w:rPr>
        <w:t> = 111; 44.2%) indicated they were currently in a romantic relationship, and of those who were currently in a relationship, 27 (17.8%) indicated they were in a relationship with a male-identified partner and 79 (26.4%) indicated they were in a relationship with a female-identified partner (other participants identified their partner as “queer,” “gender queer,” or “gender fluid”).</w:t>
      </w:r>
    </w:p>
    <w:p w14:paraId="21E4B520" w14:textId="77777777" w:rsidR="006E187A" w:rsidRPr="006E187A" w:rsidRDefault="006E187A" w:rsidP="00C801C2">
      <w:pPr>
        <w:pStyle w:val="Heading2"/>
      </w:pPr>
      <w:r w:rsidRPr="006E187A">
        <w:t>Procedure</w:t>
      </w:r>
    </w:p>
    <w:p w14:paraId="5E055FDE" w14:textId="77777777" w:rsidR="006E187A" w:rsidRPr="006E187A" w:rsidRDefault="006E187A" w:rsidP="006E187A">
      <w:pPr>
        <w:rPr>
          <w:rFonts w:cstheme="minorHAnsi"/>
          <w:sz w:val="24"/>
          <w:szCs w:val="24"/>
        </w:rPr>
      </w:pPr>
      <w:proofErr w:type="gramStart"/>
      <w:r w:rsidRPr="006E187A">
        <w:rPr>
          <w:rFonts w:cstheme="minorHAnsi"/>
          <w:sz w:val="24"/>
          <w:szCs w:val="24"/>
        </w:rPr>
        <w:t>The majority of</w:t>
      </w:r>
      <w:proofErr w:type="gramEnd"/>
      <w:r w:rsidRPr="006E187A">
        <w:rPr>
          <w:rFonts w:cstheme="minorHAnsi"/>
          <w:sz w:val="24"/>
          <w:szCs w:val="24"/>
        </w:rPr>
        <w:t xml:space="preserve"> participants were recruited online through e-mail invitations and postings to social media platforms (e.g., LGBT-specific Facebook groups, LGBT Reddit pages). Snowball sampling techniques were also used by encouraging individuals to share information regarding the study on social media with others who might qualify for the study. Participants were also recruited at an LGBT pride festival in a midwestern city, where individuals provided consent to be contacted in the future and were given a link to the e-mail survey.</w:t>
      </w:r>
    </w:p>
    <w:p w14:paraId="0F3BC049" w14:textId="77777777" w:rsidR="006E187A" w:rsidRPr="006E187A" w:rsidRDefault="006E187A" w:rsidP="006E187A">
      <w:pPr>
        <w:rPr>
          <w:rFonts w:cstheme="minorHAnsi"/>
          <w:sz w:val="24"/>
          <w:szCs w:val="24"/>
        </w:rPr>
      </w:pPr>
      <w:r w:rsidRPr="006E187A">
        <w:rPr>
          <w:rFonts w:cstheme="minorHAnsi"/>
          <w:sz w:val="24"/>
          <w:szCs w:val="24"/>
        </w:rPr>
        <w:t>Data were collected through Qualtrics, an online survey platform. Informed consent was obtained on the first page of the survey, which was followed by a demographic questionnaire and the survey measures. At the end of the survey, participants were given the option to enter a drawing for one of four $25 Amazon gift cards.</w:t>
      </w:r>
    </w:p>
    <w:p w14:paraId="024C74EF" w14:textId="77777777" w:rsidR="006E187A" w:rsidRPr="006E187A" w:rsidRDefault="006E187A" w:rsidP="00C801C2">
      <w:pPr>
        <w:pStyle w:val="Heading2"/>
      </w:pPr>
      <w:r w:rsidRPr="006E187A">
        <w:t>Measures</w:t>
      </w:r>
    </w:p>
    <w:p w14:paraId="4A2EA215" w14:textId="77777777" w:rsidR="006E187A" w:rsidRPr="00C801C2" w:rsidRDefault="006E187A" w:rsidP="00C801C2">
      <w:pPr>
        <w:pStyle w:val="Heading3"/>
        <w:rPr>
          <w:i/>
          <w:iCs/>
        </w:rPr>
      </w:pPr>
      <w:r w:rsidRPr="00C801C2">
        <w:rPr>
          <w:i/>
          <w:iCs/>
        </w:rPr>
        <w:t>Psychosocial well-being</w:t>
      </w:r>
    </w:p>
    <w:p w14:paraId="7A0CCE61" w14:textId="31777684" w:rsidR="006E187A" w:rsidRPr="006E187A" w:rsidRDefault="006E187A" w:rsidP="006E187A">
      <w:pPr>
        <w:rPr>
          <w:rFonts w:cstheme="minorHAnsi"/>
          <w:sz w:val="24"/>
          <w:szCs w:val="24"/>
        </w:rPr>
      </w:pPr>
      <w:r w:rsidRPr="006E187A">
        <w:rPr>
          <w:rFonts w:cstheme="minorHAnsi"/>
          <w:sz w:val="24"/>
          <w:szCs w:val="24"/>
        </w:rPr>
        <w:t>For this study, psychosocial well-being was defined as the positive dimensions of psychosocial health and was measured by the Mental Health Continuum-Short Form (MHC-SF; Keyes et al., 2008). The MHC-SF was developed as a relatively short instrument (14 items total) for measuring three dimensions of positive mental health: (a) emotional well-being (3 items); (b) psychological well-being (6 items); and (c) social well-being (5 items). The instrument asks participants to indicate how often they felt a given feeling or attitude in the past month using a 6-point scale ranging from 1 (</w:t>
      </w:r>
      <w:r w:rsidRPr="006E187A">
        <w:rPr>
          <w:rFonts w:cstheme="minorHAnsi"/>
          <w:i/>
          <w:iCs/>
          <w:sz w:val="24"/>
          <w:szCs w:val="24"/>
        </w:rPr>
        <w:t>never</w:t>
      </w:r>
      <w:r w:rsidRPr="006E187A">
        <w:rPr>
          <w:rFonts w:cstheme="minorHAnsi"/>
          <w:sz w:val="24"/>
          <w:szCs w:val="24"/>
        </w:rPr>
        <w:t>) to 6 (</w:t>
      </w:r>
      <w:r w:rsidRPr="006E187A">
        <w:rPr>
          <w:rFonts w:cstheme="minorHAnsi"/>
          <w:i/>
          <w:iCs/>
          <w:sz w:val="24"/>
          <w:szCs w:val="24"/>
        </w:rPr>
        <w:t>almost every day</w:t>
      </w:r>
      <w:r w:rsidRPr="006E187A">
        <w:rPr>
          <w:rFonts w:cstheme="minorHAnsi"/>
          <w:sz w:val="24"/>
          <w:szCs w:val="24"/>
        </w:rPr>
        <w:t>). For example, one item asks, “How often in the past month have you felt happy?” and another asks, “How often in the past month have you felt that you had warm and trusting relationships with others?” The measure was first used with a sexual minority population by </w:t>
      </w:r>
      <w:proofErr w:type="spellStart"/>
      <w:r w:rsidRPr="006E187A">
        <w:rPr>
          <w:rFonts w:cstheme="minorHAnsi"/>
          <w:sz w:val="24"/>
          <w:szCs w:val="24"/>
        </w:rPr>
        <w:t>Bariola</w:t>
      </w:r>
      <w:proofErr w:type="spellEnd"/>
      <w:r w:rsidRPr="006E187A">
        <w:rPr>
          <w:rFonts w:cstheme="minorHAnsi"/>
          <w:sz w:val="24"/>
          <w:szCs w:val="24"/>
        </w:rPr>
        <w:t xml:space="preserve"> et al. (2017) and has been shown to discriminate from measures of psychological distress and has good convergent validity with measures of positive mental health (</w:t>
      </w:r>
      <w:proofErr w:type="spellStart"/>
      <w:r w:rsidRPr="006E187A">
        <w:rPr>
          <w:rFonts w:cstheme="minorHAnsi"/>
          <w:sz w:val="24"/>
          <w:szCs w:val="24"/>
        </w:rPr>
        <w:t>Bariola</w:t>
      </w:r>
      <w:proofErr w:type="spellEnd"/>
      <w:r w:rsidRPr="006E187A">
        <w:rPr>
          <w:rFonts w:cstheme="minorHAnsi"/>
          <w:sz w:val="24"/>
          <w:szCs w:val="24"/>
        </w:rPr>
        <w:t xml:space="preserve"> et al., 2017; Keyes et al., 2008). For the present sample, the three subscales demonstrated strong to adequate internal reliability (emotional well-being subscale, α = .88; social well-being subscale, α = .76; and psychological well-being subscale, α = .82).</w:t>
      </w:r>
    </w:p>
    <w:p w14:paraId="58564C68" w14:textId="77777777" w:rsidR="006E187A" w:rsidRPr="00C801C2" w:rsidRDefault="006E187A" w:rsidP="00C801C2">
      <w:pPr>
        <w:pStyle w:val="Heading3"/>
        <w:rPr>
          <w:i/>
          <w:iCs/>
        </w:rPr>
      </w:pPr>
      <w:r w:rsidRPr="00C801C2">
        <w:rPr>
          <w:i/>
          <w:iCs/>
        </w:rPr>
        <w:t>Minority stress processes</w:t>
      </w:r>
    </w:p>
    <w:p w14:paraId="01BE24A7" w14:textId="77AEBA10" w:rsidR="006E187A" w:rsidRPr="006E187A" w:rsidRDefault="006E187A" w:rsidP="006E187A">
      <w:pPr>
        <w:rPr>
          <w:rFonts w:cstheme="minorHAnsi"/>
          <w:sz w:val="24"/>
          <w:szCs w:val="24"/>
        </w:rPr>
      </w:pPr>
      <w:r w:rsidRPr="006E187A">
        <w:rPr>
          <w:rFonts w:cstheme="minorHAnsi"/>
          <w:sz w:val="24"/>
          <w:szCs w:val="24"/>
        </w:rPr>
        <w:t>The gay/bisexual male version of the Heterosexist Harassment, Rejection, and Discrimination Scale (HHRDS) was used to measure the distal minority stress processes of experienced prejudicial events due to minority sexual identity (Szymanski, 2006, 2009). The 14-item HHRDS is designed to assess the frequency of heterosexist acts of (1) harassment and rejection; (2) workplace and school discrimination; and (3) other discrimination. Using a 6-point scale ranging from 1 (</w:t>
      </w:r>
      <w:r w:rsidRPr="006E187A">
        <w:rPr>
          <w:rFonts w:cstheme="minorHAnsi"/>
          <w:i/>
          <w:iCs/>
          <w:sz w:val="24"/>
          <w:szCs w:val="24"/>
        </w:rPr>
        <w:t>never happened to you</w:t>
      </w:r>
      <w:r w:rsidRPr="006E187A">
        <w:rPr>
          <w:rFonts w:cstheme="minorHAnsi"/>
          <w:sz w:val="24"/>
          <w:szCs w:val="24"/>
        </w:rPr>
        <w:t>) to 6 (</w:t>
      </w:r>
      <w:r w:rsidRPr="006E187A">
        <w:rPr>
          <w:rFonts w:cstheme="minorHAnsi"/>
          <w:i/>
          <w:iCs/>
          <w:sz w:val="24"/>
          <w:szCs w:val="24"/>
        </w:rPr>
        <w:t>almost all the time</w:t>
      </w:r>
      <w:r w:rsidRPr="006E187A">
        <w:rPr>
          <w:rFonts w:cstheme="minorHAnsi"/>
          <w:sz w:val="24"/>
          <w:szCs w:val="24"/>
        </w:rPr>
        <w:t>), participants are asked to indicate the frequency with which they have experienced a prejudicial event in the past year because they are a sexual minority. Sample items include, “How many times have you been rejected by friends because you are a lesbian?” and another asks, “How many times have you heard anti-gay remarks from family members?” Prior studies have supported a three-factor structure for the items and provided evidence of convergent validity with measures of psychological distress (Szymanski, 2006, 2009). For this study, item language was modified to be inclusive of sexual minority men who do not identify as gay or bisexual. Internal consistency was strong (α = .90) in the present study sample.</w:t>
      </w:r>
    </w:p>
    <w:p w14:paraId="7690B93C" w14:textId="3DAA1865" w:rsidR="006E187A" w:rsidRPr="006E187A" w:rsidRDefault="006E187A" w:rsidP="006E187A">
      <w:pPr>
        <w:rPr>
          <w:rFonts w:cstheme="minorHAnsi"/>
          <w:sz w:val="24"/>
          <w:szCs w:val="24"/>
        </w:rPr>
      </w:pPr>
      <w:r w:rsidRPr="006E187A">
        <w:rPr>
          <w:rFonts w:cstheme="minorHAnsi"/>
          <w:sz w:val="24"/>
          <w:szCs w:val="24"/>
        </w:rPr>
        <w:t>To measure the proximal minority stress processes defined in Meyer’s (2003) model, two subscales from the Lesbian, Gay, and Bisexual Identity Scale (LGBIS; Mohr &amp; Kendra, 2011) were used: (1) Concealment Motivation and (2) Internalized Homonegativity. All items ask participants to respond based on their experience as an LGB person, using a 6-point scale from 1 (</w:t>
      </w:r>
      <w:r w:rsidRPr="006E187A">
        <w:rPr>
          <w:rFonts w:cstheme="minorHAnsi"/>
          <w:i/>
          <w:iCs/>
          <w:sz w:val="24"/>
          <w:szCs w:val="24"/>
        </w:rPr>
        <w:t>strongly disagree</w:t>
      </w:r>
      <w:r w:rsidRPr="006E187A">
        <w:rPr>
          <w:rFonts w:cstheme="minorHAnsi"/>
          <w:sz w:val="24"/>
          <w:szCs w:val="24"/>
        </w:rPr>
        <w:t>) to 6 (</w:t>
      </w:r>
      <w:r w:rsidRPr="006E187A">
        <w:rPr>
          <w:rFonts w:cstheme="minorHAnsi"/>
          <w:i/>
          <w:iCs/>
          <w:sz w:val="24"/>
          <w:szCs w:val="24"/>
        </w:rPr>
        <w:t>strongly agree</w:t>
      </w:r>
      <w:r w:rsidRPr="006E187A">
        <w:rPr>
          <w:rFonts w:cstheme="minorHAnsi"/>
          <w:sz w:val="24"/>
          <w:szCs w:val="24"/>
        </w:rPr>
        <w:t>). The Concealment Motivation scale includes 3 items measuring one’s “concern with and motivation to protect one’s privacy as an LGB person” (Mohr &amp; Kendra, 2011, p. 239). For example, one item is worded, “I keep careful control over who knows about my same-sex romantic relationships.” A moderately positive correlation with a measure of self-concealment helped to establish convergent validity, while discriminant validity was established through a moderately negative correlation with a measure of outness (Mohr &amp; Kendra, 2011). The Internalized Homonegativity scale includes three items measuring the degree to which one rejects his sexual minority identity. For example, one states, “I wish I were heterosexual.” Convergent Validity was supported with a strong correlation with a measure of ego dystonic homosexuality (Mohr &amp; Kendra, 2011). When necessary, item wording was modified to accommodate this study’s sample (e.g., “non-heterosexual” was used instead of “LGB”). The internal consistency coefficients for these two scales were both strong (α = .86 and .92, respectively).</w:t>
      </w:r>
    </w:p>
    <w:p w14:paraId="291F3733" w14:textId="77777777" w:rsidR="006E187A" w:rsidRPr="00C801C2" w:rsidRDefault="006E187A" w:rsidP="00C801C2">
      <w:pPr>
        <w:pStyle w:val="Heading3"/>
        <w:rPr>
          <w:i/>
          <w:iCs/>
        </w:rPr>
      </w:pPr>
      <w:r w:rsidRPr="00C801C2">
        <w:rPr>
          <w:i/>
          <w:iCs/>
        </w:rPr>
        <w:t>Positive minority sexual identity</w:t>
      </w:r>
    </w:p>
    <w:p w14:paraId="2D95686F" w14:textId="10A8AAE9" w:rsidR="006E187A" w:rsidRPr="006E187A" w:rsidRDefault="006E187A" w:rsidP="006E187A">
      <w:pPr>
        <w:rPr>
          <w:rFonts w:cstheme="minorHAnsi"/>
          <w:sz w:val="24"/>
          <w:szCs w:val="24"/>
        </w:rPr>
      </w:pPr>
      <w:r w:rsidRPr="006E187A">
        <w:rPr>
          <w:rFonts w:cstheme="minorHAnsi"/>
          <w:sz w:val="24"/>
          <w:szCs w:val="24"/>
        </w:rPr>
        <w:t>An LGB-specific adaptation (Fingerhut, Peplau, &amp; Ghavami, 2005; Ghavami et al., 2011) of the Multigroup Ethnic Identity Measure (MEIM; Phinney, 1992) was used to measure the degree to which one feels positively toward his minority sexual orientation. The 12-item measure assesses sexual identity affirmation, belonging, and achievement on a 6-point scale ranging from 1 (</w:t>
      </w:r>
      <w:r w:rsidRPr="006E187A">
        <w:rPr>
          <w:rFonts w:cstheme="minorHAnsi"/>
          <w:i/>
          <w:iCs/>
          <w:sz w:val="24"/>
          <w:szCs w:val="24"/>
        </w:rPr>
        <w:t>strongly disagree</w:t>
      </w:r>
      <w:r w:rsidRPr="006E187A">
        <w:rPr>
          <w:rFonts w:cstheme="minorHAnsi"/>
          <w:sz w:val="24"/>
          <w:szCs w:val="24"/>
        </w:rPr>
        <w:t>) to 6 (</w:t>
      </w:r>
      <w:r w:rsidRPr="006E187A">
        <w:rPr>
          <w:rFonts w:cstheme="minorHAnsi"/>
          <w:i/>
          <w:iCs/>
          <w:sz w:val="24"/>
          <w:szCs w:val="24"/>
        </w:rPr>
        <w:t>strongly agree</w:t>
      </w:r>
      <w:r w:rsidRPr="006E187A">
        <w:rPr>
          <w:rFonts w:cstheme="minorHAnsi"/>
          <w:sz w:val="24"/>
          <w:szCs w:val="24"/>
        </w:rPr>
        <w:t>; Fingerhut et al., 2005; Ghavami et al., 2011). Two sample items include, “I feel good about being LGBT,” and “I have a clear sense of my LGBT identity and what it means for me.” The measure has shown good reliability with lesbian and gay male samples (Fingerhut et al., 2005; Ghavami et al., 2011) and convergent validity with self-esteem (Phinney, 1992). The measure’s strong psychometric properties and use in prior studies with sexual minorities supported its use in the present study. Strong reliability (α = .87) was found in the present sample.</w:t>
      </w:r>
    </w:p>
    <w:p w14:paraId="57D43A0C" w14:textId="1CE4A77F" w:rsidR="006E187A" w:rsidRPr="006E187A" w:rsidRDefault="006E187A" w:rsidP="006E187A">
      <w:pPr>
        <w:rPr>
          <w:rFonts w:cstheme="minorHAnsi"/>
          <w:sz w:val="24"/>
          <w:szCs w:val="24"/>
        </w:rPr>
      </w:pPr>
      <w:r w:rsidRPr="006E187A">
        <w:rPr>
          <w:rFonts w:cstheme="minorHAnsi"/>
          <w:sz w:val="24"/>
          <w:szCs w:val="24"/>
        </w:rPr>
        <w:t>The Lesbian, Gay, and Bisexual Positive Identity Measure (LGB-PIM) was used to measure the degree to which individuals believe their minority sexual orientation has helped them to develop specific positive characteristics in their lives (</w:t>
      </w:r>
      <w:proofErr w:type="spellStart"/>
      <w:r w:rsidRPr="006E187A">
        <w:rPr>
          <w:rFonts w:cstheme="minorHAnsi"/>
          <w:sz w:val="24"/>
          <w:szCs w:val="24"/>
        </w:rPr>
        <w:t>Riggle</w:t>
      </w:r>
      <w:proofErr w:type="spellEnd"/>
      <w:r w:rsidRPr="006E187A">
        <w:rPr>
          <w:rFonts w:cstheme="minorHAnsi"/>
          <w:sz w:val="24"/>
          <w:szCs w:val="24"/>
        </w:rPr>
        <w:t xml:space="preserve"> et al., 2014). Items were developed based on several qualitative studies, including one with a sample of bisexual individuals (</w:t>
      </w:r>
      <w:proofErr w:type="spellStart"/>
      <w:r w:rsidRPr="006E187A">
        <w:rPr>
          <w:rFonts w:cstheme="minorHAnsi"/>
          <w:sz w:val="24"/>
          <w:szCs w:val="24"/>
        </w:rPr>
        <w:t>Rostosky</w:t>
      </w:r>
      <w:proofErr w:type="spellEnd"/>
      <w:r w:rsidRPr="006E187A">
        <w:rPr>
          <w:rFonts w:cstheme="minorHAnsi"/>
          <w:sz w:val="24"/>
          <w:szCs w:val="24"/>
        </w:rPr>
        <w:t xml:space="preserve"> et al., 2010). The instrument includes five subscales, each with 5 items that use a 7-point response scale from 1 (</w:t>
      </w:r>
      <w:r w:rsidRPr="006E187A">
        <w:rPr>
          <w:rFonts w:cstheme="minorHAnsi"/>
          <w:i/>
          <w:iCs/>
          <w:sz w:val="24"/>
          <w:szCs w:val="24"/>
        </w:rPr>
        <w:t>strongly disagree</w:t>
      </w:r>
      <w:r w:rsidRPr="006E187A">
        <w:rPr>
          <w:rFonts w:cstheme="minorHAnsi"/>
          <w:sz w:val="24"/>
          <w:szCs w:val="24"/>
        </w:rPr>
        <w:t>) to 7 (</w:t>
      </w:r>
      <w:r w:rsidRPr="006E187A">
        <w:rPr>
          <w:rFonts w:cstheme="minorHAnsi"/>
          <w:i/>
          <w:iCs/>
          <w:sz w:val="24"/>
          <w:szCs w:val="24"/>
        </w:rPr>
        <w:t>strongly agree</w:t>
      </w:r>
      <w:r w:rsidRPr="006E187A">
        <w:rPr>
          <w:rFonts w:cstheme="minorHAnsi"/>
          <w:sz w:val="24"/>
          <w:szCs w:val="24"/>
        </w:rPr>
        <w:t>). Exploratory and confirmatory factor analyses on different samples supported the measure’s five factor structure (</w:t>
      </w:r>
      <w:proofErr w:type="spellStart"/>
      <w:r w:rsidRPr="006E187A">
        <w:rPr>
          <w:rFonts w:cstheme="minorHAnsi"/>
          <w:sz w:val="24"/>
          <w:szCs w:val="24"/>
        </w:rPr>
        <w:t>Riggle</w:t>
      </w:r>
      <w:proofErr w:type="spellEnd"/>
      <w:r w:rsidRPr="006E187A">
        <w:rPr>
          <w:rFonts w:cstheme="minorHAnsi"/>
          <w:sz w:val="24"/>
          <w:szCs w:val="24"/>
        </w:rPr>
        <w:t xml:space="preserve"> et al., 2014).</w:t>
      </w:r>
    </w:p>
    <w:p w14:paraId="03C3C265" w14:textId="79BAC9A5" w:rsidR="006E187A" w:rsidRPr="006E187A" w:rsidRDefault="006E187A" w:rsidP="006E187A">
      <w:pPr>
        <w:rPr>
          <w:rFonts w:cstheme="minorHAnsi"/>
          <w:sz w:val="24"/>
          <w:szCs w:val="24"/>
        </w:rPr>
      </w:pPr>
      <w:r w:rsidRPr="006E187A">
        <w:rPr>
          <w:rFonts w:cstheme="minorHAnsi"/>
          <w:sz w:val="24"/>
          <w:szCs w:val="24"/>
        </w:rPr>
        <w:t>The Self-Awareness subscale assesses whether an individual perceives his LGB identity as having positively influenced his insight into himself (e.g., “My LGBT identity leads to me to important insights about myself”). Construct validity was supported with a statistically significant correlation with a measure of emotional self-awareness. Internal consistency in the present study was strong (α = .94). The Authenticity subscale is defined as “a comfort with one’s LGB identity and with expressing one’s identity in interaction with others,” including items such as, “I am honest with myself about my LGBT identity” (</w:t>
      </w:r>
      <w:proofErr w:type="spellStart"/>
      <w:r w:rsidRPr="006E187A">
        <w:rPr>
          <w:rFonts w:cstheme="minorHAnsi"/>
          <w:sz w:val="24"/>
          <w:szCs w:val="24"/>
        </w:rPr>
        <w:t>Riggle</w:t>
      </w:r>
      <w:proofErr w:type="spellEnd"/>
      <w:r w:rsidRPr="006E187A">
        <w:rPr>
          <w:rFonts w:cstheme="minorHAnsi"/>
          <w:sz w:val="24"/>
          <w:szCs w:val="24"/>
        </w:rPr>
        <w:t xml:space="preserve"> et al., 2014, p. 403). Internal consistency was good (α = .88). The scale was correlated with a measure of authentic living and negatively associated with a measure of self-alienation, suggesting good construct validity. The Community subscale measures an individual’s perception of “involvement with and support from LGBT communities,” as measured by items such as, “I feel supported by the LGBT community” (</w:t>
      </w:r>
      <w:proofErr w:type="spellStart"/>
      <w:r w:rsidRPr="006E187A">
        <w:rPr>
          <w:rFonts w:cstheme="minorHAnsi"/>
          <w:sz w:val="24"/>
          <w:szCs w:val="24"/>
        </w:rPr>
        <w:t>Riggle</w:t>
      </w:r>
      <w:proofErr w:type="spellEnd"/>
      <w:r w:rsidRPr="006E187A">
        <w:rPr>
          <w:rFonts w:cstheme="minorHAnsi"/>
          <w:sz w:val="24"/>
          <w:szCs w:val="24"/>
        </w:rPr>
        <w:t xml:space="preserve"> et al., 2014, pp. 403–404). Internal consistency was strong (α = .91). Construct validity was supported by a moderate positive correlation with a measure of group identity. The Intimacy subscale assesses the degree to which one believes his LGBT identity increases his ability to be intimate and sexually free (e.g., “My LGBT identity allows me to be closer to my intimate partner”). A low positive correlation between this scale and a measure of emotional intimacy suggested adequate construct validity. In the present study, internal consistency was good (α = .87). The Social Justice subscale measures the degree to which one’s LGBT identity is perceived to have positively influenced one’s awareness and concern with various types of social injustice and efforts to bring about positive social change (e.g., “As an LGBT person, it is important to act as an advocate for LGBT rights”). Construct validity evidence was provided through a moderate positive correlation with a measure of attitudes regarding social justice. In the present study, internal consistency was excellent (α = .92).</w:t>
      </w:r>
    </w:p>
    <w:p w14:paraId="08053C9D" w14:textId="77777777" w:rsidR="006E187A" w:rsidRPr="00C801C2" w:rsidRDefault="006E187A" w:rsidP="00C801C2">
      <w:pPr>
        <w:pStyle w:val="Heading3"/>
        <w:rPr>
          <w:i/>
          <w:iCs/>
        </w:rPr>
      </w:pPr>
      <w:r w:rsidRPr="00C801C2">
        <w:rPr>
          <w:i/>
          <w:iCs/>
        </w:rPr>
        <w:t>Social support</w:t>
      </w:r>
    </w:p>
    <w:p w14:paraId="4BF3150C" w14:textId="1BFD1B08" w:rsidR="006E187A" w:rsidRPr="006E187A" w:rsidRDefault="006E187A" w:rsidP="006E187A">
      <w:pPr>
        <w:rPr>
          <w:rFonts w:cstheme="minorHAnsi"/>
          <w:sz w:val="24"/>
          <w:szCs w:val="24"/>
        </w:rPr>
      </w:pPr>
      <w:r w:rsidRPr="006E187A">
        <w:rPr>
          <w:rFonts w:cstheme="minorHAnsi"/>
          <w:sz w:val="24"/>
          <w:szCs w:val="24"/>
        </w:rPr>
        <w:t>To measure social support and connectedness, the Multidimensional Scale of Perceived Social Support (MSPSS; </w:t>
      </w:r>
      <w:proofErr w:type="spellStart"/>
      <w:r w:rsidRPr="006E187A">
        <w:rPr>
          <w:rFonts w:cstheme="minorHAnsi"/>
          <w:sz w:val="24"/>
          <w:szCs w:val="24"/>
        </w:rPr>
        <w:t>Zimet</w:t>
      </w:r>
      <w:proofErr w:type="spellEnd"/>
      <w:r w:rsidRPr="006E187A">
        <w:rPr>
          <w:rFonts w:cstheme="minorHAnsi"/>
          <w:sz w:val="24"/>
          <w:szCs w:val="24"/>
        </w:rPr>
        <w:t xml:space="preserve">, </w:t>
      </w:r>
      <w:proofErr w:type="spellStart"/>
      <w:r w:rsidRPr="006E187A">
        <w:rPr>
          <w:rFonts w:cstheme="minorHAnsi"/>
          <w:sz w:val="24"/>
          <w:szCs w:val="24"/>
        </w:rPr>
        <w:t>Dahlem</w:t>
      </w:r>
      <w:proofErr w:type="spellEnd"/>
      <w:r w:rsidRPr="006E187A">
        <w:rPr>
          <w:rFonts w:cstheme="minorHAnsi"/>
          <w:sz w:val="24"/>
          <w:szCs w:val="24"/>
        </w:rPr>
        <w:t xml:space="preserve">, </w:t>
      </w:r>
      <w:proofErr w:type="spellStart"/>
      <w:r w:rsidRPr="006E187A">
        <w:rPr>
          <w:rFonts w:cstheme="minorHAnsi"/>
          <w:sz w:val="24"/>
          <w:szCs w:val="24"/>
        </w:rPr>
        <w:t>Zimet</w:t>
      </w:r>
      <w:proofErr w:type="spellEnd"/>
      <w:r w:rsidRPr="006E187A">
        <w:rPr>
          <w:rFonts w:cstheme="minorHAnsi"/>
          <w:sz w:val="24"/>
          <w:szCs w:val="24"/>
        </w:rPr>
        <w:t>, &amp; Farley, 1988) and Connectedness to the LGBT Community Scale (Frost &amp; Meyer, 2012) were used. The 12-item MSPSS assesses the perceived social support received from family, friends, and significant others using a 7-point scale ranging from 1 (</w:t>
      </w:r>
      <w:r w:rsidRPr="006E187A">
        <w:rPr>
          <w:rFonts w:cstheme="minorHAnsi"/>
          <w:i/>
          <w:iCs/>
          <w:sz w:val="24"/>
          <w:szCs w:val="24"/>
        </w:rPr>
        <w:t>very strongly disagree</w:t>
      </w:r>
      <w:r w:rsidRPr="006E187A">
        <w:rPr>
          <w:rFonts w:cstheme="minorHAnsi"/>
          <w:sz w:val="24"/>
          <w:szCs w:val="24"/>
        </w:rPr>
        <w:t>) to 7 (</w:t>
      </w:r>
      <w:r w:rsidRPr="006E187A">
        <w:rPr>
          <w:rFonts w:cstheme="minorHAnsi"/>
          <w:i/>
          <w:iCs/>
          <w:sz w:val="24"/>
          <w:szCs w:val="24"/>
        </w:rPr>
        <w:t>very strongly agree</w:t>
      </w:r>
      <w:r w:rsidRPr="006E187A">
        <w:rPr>
          <w:rFonts w:cstheme="minorHAnsi"/>
          <w:sz w:val="24"/>
          <w:szCs w:val="24"/>
        </w:rPr>
        <w:t>). It includes items such as, “I get the emotional help and support I need from my family.” Factor analysis has supported the three-factor structure, and negative correlations with measures of depression and anxiety support the validity of the measure (</w:t>
      </w:r>
      <w:proofErr w:type="spellStart"/>
      <w:r w:rsidRPr="006E187A">
        <w:rPr>
          <w:rFonts w:cstheme="minorHAnsi"/>
          <w:sz w:val="24"/>
          <w:szCs w:val="24"/>
        </w:rPr>
        <w:t>Zimet</w:t>
      </w:r>
      <w:proofErr w:type="spellEnd"/>
      <w:r w:rsidRPr="006E187A">
        <w:rPr>
          <w:rFonts w:cstheme="minorHAnsi"/>
          <w:sz w:val="24"/>
          <w:szCs w:val="24"/>
        </w:rPr>
        <w:t xml:space="preserve"> et al., 1988). The measure has been used in multiple studies with sexual minority men (e.g., Schwartz, Stratton, &amp; Hart, 2016). In the present study, internal consistency was strong (α = .91).</w:t>
      </w:r>
    </w:p>
    <w:p w14:paraId="477B482C" w14:textId="5B9D2DD1" w:rsidR="006E187A" w:rsidRPr="006E187A" w:rsidRDefault="006E187A" w:rsidP="006E187A">
      <w:pPr>
        <w:rPr>
          <w:rFonts w:cstheme="minorHAnsi"/>
          <w:sz w:val="24"/>
          <w:szCs w:val="24"/>
        </w:rPr>
      </w:pPr>
      <w:r w:rsidRPr="006E187A">
        <w:rPr>
          <w:rFonts w:cstheme="minorHAnsi"/>
          <w:sz w:val="24"/>
          <w:szCs w:val="24"/>
        </w:rPr>
        <w:t xml:space="preserve">The 8-item Connectedness to the LGBT Community Scale was developed by Frost and Meyer (2012) to focus on perceived connectedness to the LGBT community as opposed to participation in the </w:t>
      </w:r>
      <w:proofErr w:type="gramStart"/>
      <w:r w:rsidRPr="006E187A">
        <w:rPr>
          <w:rFonts w:cstheme="minorHAnsi"/>
          <w:sz w:val="24"/>
          <w:szCs w:val="24"/>
        </w:rPr>
        <w:t>community, and</w:t>
      </w:r>
      <w:proofErr w:type="gramEnd"/>
      <w:r w:rsidRPr="006E187A">
        <w:rPr>
          <w:rFonts w:cstheme="minorHAnsi"/>
          <w:sz w:val="24"/>
          <w:szCs w:val="24"/>
        </w:rPr>
        <w:t xml:space="preserve"> uses a 4-point scale ranging from 1 (</w:t>
      </w:r>
      <w:r w:rsidRPr="006E187A">
        <w:rPr>
          <w:rFonts w:cstheme="minorHAnsi"/>
          <w:i/>
          <w:iCs/>
          <w:sz w:val="24"/>
          <w:szCs w:val="24"/>
        </w:rPr>
        <w:t>agree strongly</w:t>
      </w:r>
      <w:r w:rsidRPr="006E187A">
        <w:rPr>
          <w:rFonts w:cstheme="minorHAnsi"/>
          <w:sz w:val="24"/>
          <w:szCs w:val="24"/>
        </w:rPr>
        <w:t>) to 4 (</w:t>
      </w:r>
      <w:r w:rsidRPr="006E187A">
        <w:rPr>
          <w:rFonts w:cstheme="minorHAnsi"/>
          <w:i/>
          <w:iCs/>
          <w:sz w:val="24"/>
          <w:szCs w:val="24"/>
        </w:rPr>
        <w:t>disagree strongly</w:t>
      </w:r>
      <w:r w:rsidRPr="006E187A">
        <w:rPr>
          <w:rFonts w:cstheme="minorHAnsi"/>
          <w:sz w:val="24"/>
          <w:szCs w:val="24"/>
        </w:rPr>
        <w:t>). This is assessed through items such as, “You feel a bond with the LGBT community.” The original study’s factor analysis supported one overarching factor and demonstrated adequate predictive validity through positive correlations with measures of psychological well-being and social support (Frost &amp; Meyer, 2012). Scores were reverse coded and in the present study, internal consistency was good (α = .88).</w:t>
      </w:r>
    </w:p>
    <w:p w14:paraId="5F8C9F84" w14:textId="77777777" w:rsidR="006E187A" w:rsidRPr="00C801C2" w:rsidRDefault="006E187A" w:rsidP="00C801C2">
      <w:pPr>
        <w:pStyle w:val="Heading3"/>
        <w:rPr>
          <w:i/>
          <w:iCs/>
        </w:rPr>
      </w:pPr>
      <w:r w:rsidRPr="00C801C2">
        <w:rPr>
          <w:i/>
          <w:iCs/>
        </w:rPr>
        <w:t>Resilience</w:t>
      </w:r>
    </w:p>
    <w:p w14:paraId="30D07B7F" w14:textId="3F2F4884" w:rsidR="006E187A" w:rsidRPr="006E187A" w:rsidRDefault="006E187A" w:rsidP="006E187A">
      <w:pPr>
        <w:rPr>
          <w:rFonts w:cstheme="minorHAnsi"/>
          <w:sz w:val="24"/>
          <w:szCs w:val="24"/>
        </w:rPr>
      </w:pPr>
      <w:r w:rsidRPr="006E187A">
        <w:rPr>
          <w:rFonts w:cstheme="minorHAnsi"/>
          <w:sz w:val="24"/>
          <w:szCs w:val="24"/>
        </w:rPr>
        <w:t>The Brief Resilience Scale (BRS; Smith et al., 2008) conceptualizes resilience as “bouncing back from stress” (Smith et al., 2008, p. 195). For example, one item reads, “I tend to bounce back quickly after hard times.” This 6-item measure uses a 5-point response scale ranging from 1 (</w:t>
      </w:r>
      <w:r w:rsidRPr="006E187A">
        <w:rPr>
          <w:rFonts w:cstheme="minorHAnsi"/>
          <w:i/>
          <w:iCs/>
          <w:sz w:val="24"/>
          <w:szCs w:val="24"/>
        </w:rPr>
        <w:t>strongly disagree</w:t>
      </w:r>
      <w:r w:rsidRPr="006E187A">
        <w:rPr>
          <w:rFonts w:cstheme="minorHAnsi"/>
          <w:sz w:val="24"/>
          <w:szCs w:val="24"/>
        </w:rPr>
        <w:t>) to 5 (</w:t>
      </w:r>
      <w:r w:rsidRPr="006E187A">
        <w:rPr>
          <w:rFonts w:cstheme="minorHAnsi"/>
          <w:i/>
          <w:iCs/>
          <w:sz w:val="24"/>
          <w:szCs w:val="24"/>
        </w:rPr>
        <w:t>strongly agree</w:t>
      </w:r>
      <w:r w:rsidRPr="006E187A">
        <w:rPr>
          <w:rFonts w:cstheme="minorHAnsi"/>
          <w:sz w:val="24"/>
          <w:szCs w:val="24"/>
        </w:rPr>
        <w:t>). The measure has shown high correlations with other measures of resilience as well as measures of optimism, purpose in life, and social support. In the present study, internal consistency was strong (α = .90).</w:t>
      </w:r>
    </w:p>
    <w:p w14:paraId="491E8A3B" w14:textId="77777777" w:rsidR="006E187A" w:rsidRPr="006E187A" w:rsidRDefault="006E187A" w:rsidP="00C801C2">
      <w:pPr>
        <w:pStyle w:val="Heading2"/>
      </w:pPr>
      <w:r w:rsidRPr="006E187A">
        <w:t>Data Analysis</w:t>
      </w:r>
    </w:p>
    <w:p w14:paraId="33A9E422" w14:textId="64ABE632" w:rsidR="006E187A" w:rsidRPr="006E187A" w:rsidRDefault="006E187A" w:rsidP="006E187A">
      <w:pPr>
        <w:rPr>
          <w:rFonts w:cstheme="minorHAnsi"/>
          <w:sz w:val="24"/>
          <w:szCs w:val="24"/>
        </w:rPr>
      </w:pPr>
      <w:r w:rsidRPr="006E187A">
        <w:rPr>
          <w:rFonts w:cstheme="minorHAnsi"/>
          <w:sz w:val="24"/>
          <w:szCs w:val="24"/>
        </w:rPr>
        <w:t xml:space="preserve">Data were analyzed using the two-step procedure recommended by Kline (2016) in which the measurement model is first analyzed and modified followed by analysis of the full structural model. All models were analyzed using the </w:t>
      </w:r>
      <w:proofErr w:type="spellStart"/>
      <w:r w:rsidRPr="006E187A">
        <w:rPr>
          <w:rFonts w:cstheme="minorHAnsi"/>
          <w:sz w:val="24"/>
          <w:szCs w:val="24"/>
        </w:rPr>
        <w:t>lavaan</w:t>
      </w:r>
      <w:proofErr w:type="spellEnd"/>
      <w:r w:rsidRPr="006E187A">
        <w:rPr>
          <w:rFonts w:cstheme="minorHAnsi"/>
          <w:sz w:val="24"/>
          <w:szCs w:val="24"/>
        </w:rPr>
        <w:t xml:space="preserve"> package for R, Version 0.5–23.1097 (Yves, 2012). All latent factors were standardized </w:t>
      </w:r>
      <w:proofErr w:type="gramStart"/>
      <w:r w:rsidRPr="006E187A">
        <w:rPr>
          <w:rFonts w:cstheme="minorHAnsi"/>
          <w:sz w:val="24"/>
          <w:szCs w:val="24"/>
        </w:rPr>
        <w:t>so as to</w:t>
      </w:r>
      <w:proofErr w:type="gramEnd"/>
      <w:r w:rsidRPr="006E187A">
        <w:rPr>
          <w:rFonts w:cstheme="minorHAnsi"/>
          <w:sz w:val="24"/>
          <w:szCs w:val="24"/>
        </w:rPr>
        <w:t xml:space="preserve"> have a mean of 0 and a variance of 1. Due to a lack of multivariate normality in the data, all models were analyzed using the “MLR” estimator—a maximum likelihood estimator (MLE) that uses the Yuan-</w:t>
      </w:r>
      <w:proofErr w:type="spellStart"/>
      <w:r w:rsidRPr="006E187A">
        <w:rPr>
          <w:rFonts w:cstheme="minorHAnsi"/>
          <w:sz w:val="24"/>
          <w:szCs w:val="24"/>
        </w:rPr>
        <w:t>Bentler</w:t>
      </w:r>
      <w:proofErr w:type="spellEnd"/>
      <w:r w:rsidRPr="006E187A">
        <w:rPr>
          <w:rFonts w:cstheme="minorHAnsi"/>
          <w:sz w:val="24"/>
          <w:szCs w:val="24"/>
        </w:rPr>
        <w:t xml:space="preserve"> residual-based χ</w:t>
      </w:r>
      <w:r w:rsidRPr="006E187A">
        <w:rPr>
          <w:rFonts w:cstheme="minorHAnsi"/>
          <w:sz w:val="24"/>
          <w:szCs w:val="24"/>
          <w:vertAlign w:val="superscript"/>
        </w:rPr>
        <w:t>2</w:t>
      </w:r>
      <w:r w:rsidRPr="006E187A">
        <w:rPr>
          <w:rFonts w:cstheme="minorHAnsi"/>
          <w:sz w:val="24"/>
          <w:szCs w:val="24"/>
        </w:rPr>
        <w:t> correction for non-normal data (Lei &amp; Wu, 2012). Full information maximum likelihood (FIML) was used to address missing data. FIML uses a statistical method that does not require listwise deletion or imputation of missing values, and therefore allows for the inclusion of all cases (Kline, 2016).</w:t>
      </w:r>
    </w:p>
    <w:p w14:paraId="17A1B902" w14:textId="32898A7C" w:rsidR="006E187A" w:rsidRPr="006E187A" w:rsidRDefault="006E187A" w:rsidP="006E187A">
      <w:pPr>
        <w:rPr>
          <w:rFonts w:cstheme="minorHAnsi"/>
          <w:sz w:val="24"/>
          <w:szCs w:val="24"/>
        </w:rPr>
      </w:pPr>
      <w:r w:rsidRPr="006E187A">
        <w:rPr>
          <w:rFonts w:cstheme="minorHAnsi"/>
          <w:sz w:val="24"/>
          <w:szCs w:val="24"/>
        </w:rPr>
        <w:t>Following the recommendations of Kline (2016), the Yuan-</w:t>
      </w:r>
      <w:proofErr w:type="spellStart"/>
      <w:r w:rsidRPr="006E187A">
        <w:rPr>
          <w:rFonts w:cstheme="minorHAnsi"/>
          <w:sz w:val="24"/>
          <w:szCs w:val="24"/>
        </w:rPr>
        <w:t>Bentler</w:t>
      </w:r>
      <w:proofErr w:type="spellEnd"/>
      <w:r w:rsidRPr="006E187A">
        <w:rPr>
          <w:rFonts w:cstheme="minorHAnsi"/>
          <w:sz w:val="24"/>
          <w:szCs w:val="24"/>
        </w:rPr>
        <w:t xml:space="preserve"> residual-based χ</w:t>
      </w:r>
      <w:r w:rsidRPr="006E187A">
        <w:rPr>
          <w:rFonts w:cstheme="minorHAnsi"/>
          <w:sz w:val="24"/>
          <w:szCs w:val="24"/>
          <w:vertAlign w:val="superscript"/>
        </w:rPr>
        <w:t>2</w:t>
      </w:r>
      <w:r w:rsidRPr="006E187A">
        <w:rPr>
          <w:rFonts w:cstheme="minorHAnsi"/>
          <w:sz w:val="24"/>
          <w:szCs w:val="24"/>
        </w:rPr>
        <w:t>(i.e., chi-square goodness of fit test), the root mean square error of approximation (RMSEA), the Comparative Fit Index (CFI), and the Standardized Root Mean Square Residual (SRMR) were used to evaluate the global fit of the models. For the χ</w:t>
      </w:r>
      <w:r w:rsidRPr="006E187A">
        <w:rPr>
          <w:rFonts w:cstheme="minorHAnsi"/>
          <w:sz w:val="24"/>
          <w:szCs w:val="24"/>
          <w:vertAlign w:val="superscript"/>
        </w:rPr>
        <w:t>2</w:t>
      </w:r>
      <w:r w:rsidRPr="006E187A">
        <w:rPr>
          <w:rFonts w:cstheme="minorHAnsi"/>
          <w:sz w:val="24"/>
          <w:szCs w:val="24"/>
        </w:rPr>
        <w:t> statistic, </w:t>
      </w:r>
      <w:r w:rsidRPr="006E187A">
        <w:rPr>
          <w:rFonts w:cstheme="minorHAnsi"/>
          <w:i/>
          <w:iCs/>
          <w:sz w:val="24"/>
          <w:szCs w:val="24"/>
        </w:rPr>
        <w:t>p</w:t>
      </w:r>
      <w:r w:rsidRPr="006E187A">
        <w:rPr>
          <w:rFonts w:cstheme="minorHAnsi"/>
          <w:sz w:val="24"/>
          <w:szCs w:val="24"/>
        </w:rPr>
        <w:t> values greater than .05 indicate exact model fit, and values less than .05 indicate poor model-data fit (Martens, 2005). For RMSEA, values lower than .06 generally indicate good fit, with values between .06 and .08 indicating acceptable fit, and values above .10 being potentially unacceptable fit (West, Taylor, &amp; Wu, 2012). For CFI, values greater than .95 indicate good model fit, while for SRMR, values less than .08 indicate good model fit (West et al., 2012).</w:t>
      </w:r>
    </w:p>
    <w:p w14:paraId="32432E3C" w14:textId="224BB7CC" w:rsidR="006E187A" w:rsidRPr="006E187A" w:rsidRDefault="006E187A" w:rsidP="006E187A">
      <w:pPr>
        <w:rPr>
          <w:rFonts w:cstheme="minorHAnsi"/>
          <w:sz w:val="24"/>
          <w:szCs w:val="24"/>
        </w:rPr>
      </w:pPr>
      <w:r w:rsidRPr="006E187A">
        <w:rPr>
          <w:rFonts w:cstheme="minorHAnsi"/>
          <w:sz w:val="24"/>
          <w:szCs w:val="24"/>
        </w:rPr>
        <w:t>Multiple power analysis guidelines were consulted (e.g., Kline, 2016; Weston &amp; Gore, 2006) that suggested the need for a sample size of between 200 and 500 participants. In addition, the minimum sample size necessary for conducting the RMSEA test for measure of model fit was computed through use of the statistical calculator developed by Preacher and Coffman (2006). This resulted in a recommended minimum sample size of 187.5 participants.</w:t>
      </w:r>
    </w:p>
    <w:p w14:paraId="56518997" w14:textId="78AEA225" w:rsidR="006E187A" w:rsidRPr="00C801C2" w:rsidRDefault="006E187A" w:rsidP="00C801C2">
      <w:pPr>
        <w:pStyle w:val="Heading1"/>
      </w:pPr>
      <w:r w:rsidRPr="005F029F">
        <w:t>Results</w:t>
      </w:r>
    </w:p>
    <w:p w14:paraId="6A30C2C2" w14:textId="5C3DD75F" w:rsidR="006E187A" w:rsidRPr="006E187A" w:rsidRDefault="006E187A" w:rsidP="006E187A">
      <w:pPr>
        <w:rPr>
          <w:rFonts w:cstheme="minorHAnsi"/>
          <w:sz w:val="24"/>
          <w:szCs w:val="24"/>
        </w:rPr>
      </w:pPr>
      <w:r w:rsidRPr="006E187A">
        <w:rPr>
          <w:rFonts w:cstheme="minorHAnsi"/>
          <w:sz w:val="24"/>
          <w:szCs w:val="24"/>
        </w:rPr>
        <w:t xml:space="preserve">To ensure that the statistical assumptions of SEM were met, analyses were run to assess for multivariate normality and multicollinearity. Data from only three scales were normally distributed, while the rest deviated from normality significantly based on an assessment of the histograms, Q-Q plots, skewness/kurtosis, and Shapiro-Wilk normality statistics. Transformations were therefore tested </w:t>
      </w:r>
      <w:proofErr w:type="gramStart"/>
      <w:r w:rsidRPr="006E187A">
        <w:rPr>
          <w:rFonts w:cstheme="minorHAnsi"/>
          <w:sz w:val="24"/>
          <w:szCs w:val="24"/>
        </w:rPr>
        <w:t>in an attempt to</w:t>
      </w:r>
      <w:proofErr w:type="gramEnd"/>
      <w:r w:rsidRPr="006E187A">
        <w:rPr>
          <w:rFonts w:cstheme="minorHAnsi"/>
          <w:sz w:val="24"/>
          <w:szCs w:val="24"/>
        </w:rPr>
        <w:t xml:space="preserve"> correct for the lack of normality in the data. These transformations only slightly improved the data distributions and consequently were not used in subsequent analyses. Instead, the Yuan-</w:t>
      </w:r>
      <w:proofErr w:type="spellStart"/>
      <w:r w:rsidRPr="006E187A">
        <w:rPr>
          <w:rFonts w:cstheme="minorHAnsi"/>
          <w:sz w:val="24"/>
          <w:szCs w:val="24"/>
        </w:rPr>
        <w:t>Bentler</w:t>
      </w:r>
      <w:proofErr w:type="spellEnd"/>
      <w:r w:rsidRPr="006E187A">
        <w:rPr>
          <w:rFonts w:cstheme="minorHAnsi"/>
          <w:sz w:val="24"/>
          <w:szCs w:val="24"/>
        </w:rPr>
        <w:t xml:space="preserve"> residual-based χ</w:t>
      </w:r>
      <w:r w:rsidRPr="006E187A">
        <w:rPr>
          <w:rFonts w:cstheme="minorHAnsi"/>
          <w:sz w:val="24"/>
          <w:szCs w:val="24"/>
          <w:vertAlign w:val="superscript"/>
        </w:rPr>
        <w:t>2</w:t>
      </w:r>
      <w:r w:rsidRPr="006E187A">
        <w:rPr>
          <w:rFonts w:cstheme="minorHAnsi"/>
          <w:sz w:val="24"/>
          <w:szCs w:val="24"/>
        </w:rPr>
        <w:t> was used to help minimize error introduced by the lack of normal distributions (Lei &amp; Wu, 2012).</w:t>
      </w:r>
    </w:p>
    <w:p w14:paraId="0C012BD4" w14:textId="3A72B1AE" w:rsidR="00AF5BE9" w:rsidRDefault="006E187A" w:rsidP="00A877ED">
      <w:pPr>
        <w:pStyle w:val="NoSpacing"/>
        <w:rPr>
          <w:sz w:val="24"/>
          <w:szCs w:val="24"/>
        </w:rPr>
        <w:sectPr w:rsidR="00AF5BE9" w:rsidSect="00013176">
          <w:pgSz w:w="12240" w:h="15840"/>
          <w:pgMar w:top="1080" w:right="1080" w:bottom="1080" w:left="1080" w:header="720" w:footer="720" w:gutter="0"/>
          <w:cols w:space="720"/>
          <w:docGrid w:linePitch="360"/>
        </w:sectPr>
      </w:pPr>
      <w:r w:rsidRPr="006E187A">
        <w:t>Bivariate correlations were analyzed to assess multicollinearity among the predictor variables (see </w:t>
      </w:r>
      <w:r w:rsidRPr="005F029F">
        <w:rPr>
          <w:rFonts w:cstheme="minorHAnsi"/>
          <w:sz w:val="24"/>
          <w:szCs w:val="24"/>
        </w:rPr>
        <w:t>Table 2</w:t>
      </w:r>
      <w:r w:rsidRPr="006E187A">
        <w:t>). Most of these correlations were not high enough to suggest multicollinearity. Of concern, however, were the correlations between (a) MEIM and the LGB-PIM authenticity scale, (b) MEIM and the Connectedness to the LGBT Community scale, (c) the Connectedness to the LGBT Community scale and the LGB-PIM Community scale, and (d) the Connectedness to the LGBT Community scale and the LGB-PIM Social Justice, all of which were equal to or greater than .72. These correlations were nonetheless deemed acceptable given the strong internal consistency of the scales (</w:t>
      </w:r>
      <w:r w:rsidRPr="005F029F">
        <w:rPr>
          <w:rFonts w:cstheme="minorHAnsi"/>
          <w:sz w:val="24"/>
          <w:szCs w:val="24"/>
        </w:rPr>
        <w:t>Grewal, Cote, &amp; Baumgartner, 2004</w:t>
      </w:r>
      <w:r w:rsidRPr="006E187A">
        <w:t>) and the ability to address collinearity issues through theoretically guided modifications to the model (e.g., setting the error terms of highly correlated variables to covary when theoretically appropriate; </w:t>
      </w:r>
      <w:r w:rsidRPr="005F029F">
        <w:rPr>
          <w:rFonts w:cstheme="minorHAnsi"/>
          <w:sz w:val="24"/>
          <w:szCs w:val="24"/>
        </w:rPr>
        <w:t>Kline, 2016</w:t>
      </w:r>
      <w:r w:rsidRPr="006E187A">
        <w:t>).</w:t>
      </w:r>
      <w:r w:rsidRPr="006E187A">
        <w:br/>
      </w:r>
      <w:r w:rsidRPr="006E187A">
        <w:br/>
      </w:r>
    </w:p>
    <w:p w14:paraId="6CBF70CA" w14:textId="1EE99A97" w:rsidR="00AF5BE9" w:rsidRPr="00AF5BE9" w:rsidRDefault="00A877ED" w:rsidP="00905007">
      <w:pPr>
        <w:pStyle w:val="NoSpacing"/>
        <w:rPr>
          <w:sz w:val="24"/>
          <w:szCs w:val="24"/>
        </w:rPr>
      </w:pPr>
      <w:r w:rsidRPr="00A877ED">
        <w:rPr>
          <w:sz w:val="24"/>
          <w:szCs w:val="24"/>
        </w:rPr>
        <w:t xml:space="preserve">Table 2. </w:t>
      </w:r>
      <w:r w:rsidR="006E187A" w:rsidRPr="00A877ED">
        <w:rPr>
          <w:sz w:val="24"/>
          <w:szCs w:val="24"/>
        </w:rPr>
        <w:t>Bivariate Correlations</w:t>
      </w:r>
    </w:p>
    <w:tbl>
      <w:tblPr>
        <w:tblStyle w:val="TableGrid"/>
        <w:tblW w:w="0" w:type="auto"/>
        <w:tblLook w:val="0020" w:firstRow="1" w:lastRow="0" w:firstColumn="0" w:lastColumn="0" w:noHBand="0" w:noVBand="0"/>
      </w:tblPr>
      <w:tblGrid>
        <w:gridCol w:w="3431"/>
        <w:gridCol w:w="634"/>
        <w:gridCol w:w="634"/>
        <w:gridCol w:w="702"/>
        <w:gridCol w:w="634"/>
        <w:gridCol w:w="702"/>
        <w:gridCol w:w="702"/>
        <w:gridCol w:w="634"/>
        <w:gridCol w:w="634"/>
        <w:gridCol w:w="634"/>
        <w:gridCol w:w="634"/>
        <w:gridCol w:w="634"/>
        <w:gridCol w:w="634"/>
        <w:gridCol w:w="634"/>
        <w:gridCol w:w="562"/>
      </w:tblGrid>
      <w:tr w:rsidR="00D3131C" w:rsidRPr="00AF5BE9" w14:paraId="02C65AA5" w14:textId="1656F87C" w:rsidTr="00606AB6">
        <w:trPr>
          <w:trHeight w:val="233"/>
        </w:trPr>
        <w:tc>
          <w:tcPr>
            <w:tcW w:w="0" w:type="auto"/>
          </w:tcPr>
          <w:p w14:paraId="0756EBA0" w14:textId="77777777" w:rsidR="00D3131C" w:rsidRPr="00AF5BE9" w:rsidRDefault="00D3131C" w:rsidP="00AF5BE9">
            <w:pPr>
              <w:spacing w:line="259" w:lineRule="auto"/>
            </w:pPr>
            <w:bookmarkStart w:id="5" w:name="Measurement Model - Confirmatory Factor "/>
            <w:bookmarkEnd w:id="5"/>
            <w:r w:rsidRPr="00AF5BE9">
              <w:t>Variable</w:t>
            </w:r>
          </w:p>
        </w:tc>
        <w:tc>
          <w:tcPr>
            <w:tcW w:w="0" w:type="auto"/>
          </w:tcPr>
          <w:p w14:paraId="2C99FE84" w14:textId="77777777" w:rsidR="00D3131C" w:rsidRPr="00AF5BE9" w:rsidRDefault="00D3131C" w:rsidP="00AF5BE9">
            <w:pPr>
              <w:spacing w:line="259" w:lineRule="auto"/>
            </w:pPr>
            <w:r w:rsidRPr="00AF5BE9">
              <w:t>1</w:t>
            </w:r>
          </w:p>
        </w:tc>
        <w:tc>
          <w:tcPr>
            <w:tcW w:w="0" w:type="auto"/>
          </w:tcPr>
          <w:p w14:paraId="2AC5D9EF" w14:textId="77777777" w:rsidR="00D3131C" w:rsidRPr="00AF5BE9" w:rsidRDefault="00D3131C" w:rsidP="00AF5BE9">
            <w:pPr>
              <w:spacing w:line="259" w:lineRule="auto"/>
            </w:pPr>
            <w:r w:rsidRPr="00AF5BE9">
              <w:t>2</w:t>
            </w:r>
          </w:p>
        </w:tc>
        <w:tc>
          <w:tcPr>
            <w:tcW w:w="0" w:type="auto"/>
          </w:tcPr>
          <w:p w14:paraId="03466059" w14:textId="77777777" w:rsidR="00D3131C" w:rsidRPr="00AF5BE9" w:rsidRDefault="00D3131C" w:rsidP="00AF5BE9">
            <w:pPr>
              <w:spacing w:line="259" w:lineRule="auto"/>
            </w:pPr>
            <w:r w:rsidRPr="00AF5BE9">
              <w:t>3</w:t>
            </w:r>
          </w:p>
        </w:tc>
        <w:tc>
          <w:tcPr>
            <w:tcW w:w="0" w:type="auto"/>
          </w:tcPr>
          <w:p w14:paraId="3DEAE47D" w14:textId="77777777" w:rsidR="00D3131C" w:rsidRPr="00AF5BE9" w:rsidRDefault="00D3131C" w:rsidP="00AF5BE9">
            <w:pPr>
              <w:spacing w:line="259" w:lineRule="auto"/>
            </w:pPr>
            <w:r w:rsidRPr="00AF5BE9">
              <w:t>4</w:t>
            </w:r>
          </w:p>
        </w:tc>
        <w:tc>
          <w:tcPr>
            <w:tcW w:w="0" w:type="auto"/>
          </w:tcPr>
          <w:p w14:paraId="774C650D" w14:textId="77777777" w:rsidR="00D3131C" w:rsidRPr="00AF5BE9" w:rsidRDefault="00D3131C" w:rsidP="00AF5BE9">
            <w:pPr>
              <w:spacing w:line="259" w:lineRule="auto"/>
            </w:pPr>
            <w:r w:rsidRPr="00AF5BE9">
              <w:t>5</w:t>
            </w:r>
          </w:p>
        </w:tc>
        <w:tc>
          <w:tcPr>
            <w:tcW w:w="0" w:type="auto"/>
          </w:tcPr>
          <w:p w14:paraId="48CDAC2B" w14:textId="77777777" w:rsidR="00D3131C" w:rsidRPr="00AF5BE9" w:rsidRDefault="00D3131C" w:rsidP="00AF5BE9">
            <w:pPr>
              <w:spacing w:line="259" w:lineRule="auto"/>
            </w:pPr>
            <w:r w:rsidRPr="00AF5BE9">
              <w:t>6</w:t>
            </w:r>
          </w:p>
        </w:tc>
        <w:tc>
          <w:tcPr>
            <w:tcW w:w="0" w:type="auto"/>
          </w:tcPr>
          <w:p w14:paraId="1552BE9F" w14:textId="45BD73BE" w:rsidR="00D3131C" w:rsidRPr="00AF5BE9" w:rsidRDefault="00D3131C" w:rsidP="00AF5BE9">
            <w:pPr>
              <w:spacing w:line="259" w:lineRule="auto"/>
            </w:pPr>
            <w:r w:rsidRPr="00AF5BE9">
              <w:t xml:space="preserve">7 </w:t>
            </w:r>
          </w:p>
        </w:tc>
        <w:tc>
          <w:tcPr>
            <w:tcW w:w="0" w:type="auto"/>
          </w:tcPr>
          <w:p w14:paraId="174D7246" w14:textId="100E0CAE" w:rsidR="00D3131C" w:rsidRPr="00AF5BE9" w:rsidRDefault="00D3131C" w:rsidP="00AF5BE9">
            <w:r w:rsidRPr="00AF5BE9">
              <w:t>8</w:t>
            </w:r>
          </w:p>
        </w:tc>
        <w:tc>
          <w:tcPr>
            <w:tcW w:w="0" w:type="auto"/>
          </w:tcPr>
          <w:p w14:paraId="22679ACD" w14:textId="2CBE303D" w:rsidR="00D3131C" w:rsidRPr="00AF5BE9" w:rsidRDefault="00D3131C" w:rsidP="00AF5BE9">
            <w:pPr>
              <w:spacing w:line="259" w:lineRule="auto"/>
            </w:pPr>
            <w:r w:rsidRPr="00AF5BE9">
              <w:t xml:space="preserve">9 </w:t>
            </w:r>
          </w:p>
        </w:tc>
        <w:tc>
          <w:tcPr>
            <w:tcW w:w="0" w:type="auto"/>
          </w:tcPr>
          <w:p w14:paraId="3C451296" w14:textId="0F87AC36" w:rsidR="00D3131C" w:rsidRPr="00AF5BE9" w:rsidRDefault="00D3131C" w:rsidP="00AF5BE9">
            <w:r w:rsidRPr="00AF5BE9">
              <w:t>10</w:t>
            </w:r>
          </w:p>
        </w:tc>
        <w:tc>
          <w:tcPr>
            <w:tcW w:w="0" w:type="auto"/>
          </w:tcPr>
          <w:p w14:paraId="7BAA776C" w14:textId="0FF16F3C" w:rsidR="00D3131C" w:rsidRPr="00AF5BE9" w:rsidRDefault="00D3131C" w:rsidP="00AF5BE9">
            <w:pPr>
              <w:spacing w:line="259" w:lineRule="auto"/>
            </w:pPr>
            <w:r w:rsidRPr="00AF5BE9">
              <w:t>11</w:t>
            </w:r>
          </w:p>
        </w:tc>
        <w:tc>
          <w:tcPr>
            <w:tcW w:w="0" w:type="auto"/>
          </w:tcPr>
          <w:p w14:paraId="55B458FA" w14:textId="689FC892" w:rsidR="00D3131C" w:rsidRPr="00AF5BE9" w:rsidRDefault="00D3131C" w:rsidP="00AF5BE9">
            <w:pPr>
              <w:spacing w:line="259" w:lineRule="auto"/>
            </w:pPr>
            <w:r w:rsidRPr="00AF5BE9">
              <w:t xml:space="preserve">12 </w:t>
            </w:r>
          </w:p>
        </w:tc>
        <w:tc>
          <w:tcPr>
            <w:tcW w:w="0" w:type="auto"/>
          </w:tcPr>
          <w:p w14:paraId="14FD4314" w14:textId="54DE765C" w:rsidR="00D3131C" w:rsidRPr="00AF5BE9" w:rsidRDefault="00D3131C" w:rsidP="00AF5BE9">
            <w:r w:rsidRPr="00AF5BE9">
              <w:t>13</w:t>
            </w:r>
          </w:p>
        </w:tc>
        <w:tc>
          <w:tcPr>
            <w:tcW w:w="0" w:type="auto"/>
          </w:tcPr>
          <w:p w14:paraId="21875C2E" w14:textId="064A2D73" w:rsidR="00D3131C" w:rsidRPr="00AF5BE9" w:rsidRDefault="00D3131C" w:rsidP="00AF5BE9">
            <w:r w:rsidRPr="00AF5BE9">
              <w:t>14</w:t>
            </w:r>
          </w:p>
        </w:tc>
      </w:tr>
      <w:tr w:rsidR="00D3131C" w:rsidRPr="00AF5BE9" w14:paraId="0908261E" w14:textId="5862A275" w:rsidTr="00606AB6">
        <w:trPr>
          <w:trHeight w:val="265"/>
        </w:trPr>
        <w:tc>
          <w:tcPr>
            <w:tcW w:w="0" w:type="auto"/>
          </w:tcPr>
          <w:p w14:paraId="0E902E08" w14:textId="77777777" w:rsidR="00D3131C" w:rsidRPr="00AF5BE9" w:rsidRDefault="00D3131C" w:rsidP="00AF5BE9">
            <w:pPr>
              <w:spacing w:line="259" w:lineRule="auto"/>
            </w:pPr>
            <w:r w:rsidRPr="00AF5BE9">
              <w:t>MHC-SF - Emotional Well-Being</w:t>
            </w:r>
          </w:p>
        </w:tc>
        <w:tc>
          <w:tcPr>
            <w:tcW w:w="0" w:type="auto"/>
          </w:tcPr>
          <w:p w14:paraId="4C42A454" w14:textId="77777777" w:rsidR="00D3131C" w:rsidRPr="00AF5BE9" w:rsidRDefault="00D3131C" w:rsidP="00AF5BE9">
            <w:pPr>
              <w:spacing w:line="259" w:lineRule="auto"/>
            </w:pPr>
          </w:p>
        </w:tc>
        <w:tc>
          <w:tcPr>
            <w:tcW w:w="0" w:type="auto"/>
          </w:tcPr>
          <w:p w14:paraId="33A6F692" w14:textId="77777777" w:rsidR="00D3131C" w:rsidRPr="00AF5BE9" w:rsidRDefault="00D3131C" w:rsidP="00AF5BE9">
            <w:pPr>
              <w:spacing w:line="259" w:lineRule="auto"/>
            </w:pPr>
          </w:p>
        </w:tc>
        <w:tc>
          <w:tcPr>
            <w:tcW w:w="0" w:type="auto"/>
          </w:tcPr>
          <w:p w14:paraId="274E0087" w14:textId="77777777" w:rsidR="00D3131C" w:rsidRPr="00AF5BE9" w:rsidRDefault="00D3131C" w:rsidP="00AF5BE9">
            <w:pPr>
              <w:spacing w:line="259" w:lineRule="auto"/>
            </w:pPr>
          </w:p>
        </w:tc>
        <w:tc>
          <w:tcPr>
            <w:tcW w:w="0" w:type="auto"/>
          </w:tcPr>
          <w:p w14:paraId="76770B70" w14:textId="77777777" w:rsidR="00D3131C" w:rsidRPr="00AF5BE9" w:rsidRDefault="00D3131C" w:rsidP="00AF5BE9">
            <w:pPr>
              <w:spacing w:line="259" w:lineRule="auto"/>
            </w:pPr>
          </w:p>
        </w:tc>
        <w:tc>
          <w:tcPr>
            <w:tcW w:w="0" w:type="auto"/>
          </w:tcPr>
          <w:p w14:paraId="4FFEC411" w14:textId="77777777" w:rsidR="00D3131C" w:rsidRPr="00AF5BE9" w:rsidRDefault="00D3131C" w:rsidP="00AF5BE9">
            <w:pPr>
              <w:spacing w:line="259" w:lineRule="auto"/>
            </w:pPr>
          </w:p>
        </w:tc>
        <w:tc>
          <w:tcPr>
            <w:tcW w:w="0" w:type="auto"/>
          </w:tcPr>
          <w:p w14:paraId="7BB4AE18" w14:textId="77777777" w:rsidR="00D3131C" w:rsidRPr="00AF5BE9" w:rsidRDefault="00D3131C" w:rsidP="00AF5BE9">
            <w:pPr>
              <w:spacing w:line="259" w:lineRule="auto"/>
            </w:pPr>
          </w:p>
        </w:tc>
        <w:tc>
          <w:tcPr>
            <w:tcW w:w="0" w:type="auto"/>
          </w:tcPr>
          <w:p w14:paraId="5D87BA77" w14:textId="77777777" w:rsidR="00D3131C" w:rsidRPr="00AF5BE9" w:rsidRDefault="00D3131C" w:rsidP="00AF5BE9">
            <w:pPr>
              <w:spacing w:line="259" w:lineRule="auto"/>
            </w:pPr>
          </w:p>
        </w:tc>
        <w:tc>
          <w:tcPr>
            <w:tcW w:w="0" w:type="auto"/>
          </w:tcPr>
          <w:p w14:paraId="079D10CF" w14:textId="77777777" w:rsidR="00D3131C" w:rsidRPr="00AF5BE9" w:rsidRDefault="00D3131C" w:rsidP="00AF5BE9"/>
        </w:tc>
        <w:tc>
          <w:tcPr>
            <w:tcW w:w="0" w:type="auto"/>
          </w:tcPr>
          <w:p w14:paraId="3B0948DD" w14:textId="2E9E3D29" w:rsidR="00D3131C" w:rsidRPr="00AF5BE9" w:rsidRDefault="00D3131C" w:rsidP="00AF5BE9">
            <w:pPr>
              <w:spacing w:line="259" w:lineRule="auto"/>
            </w:pPr>
          </w:p>
        </w:tc>
        <w:tc>
          <w:tcPr>
            <w:tcW w:w="0" w:type="auto"/>
          </w:tcPr>
          <w:p w14:paraId="4725A566" w14:textId="77777777" w:rsidR="00D3131C" w:rsidRPr="00AF5BE9" w:rsidRDefault="00D3131C" w:rsidP="00AF5BE9"/>
        </w:tc>
        <w:tc>
          <w:tcPr>
            <w:tcW w:w="0" w:type="auto"/>
          </w:tcPr>
          <w:p w14:paraId="6E3D13C2" w14:textId="327ED7B2" w:rsidR="00D3131C" w:rsidRPr="00AF5BE9" w:rsidRDefault="00D3131C" w:rsidP="00AF5BE9">
            <w:pPr>
              <w:spacing w:line="259" w:lineRule="auto"/>
            </w:pPr>
          </w:p>
        </w:tc>
        <w:tc>
          <w:tcPr>
            <w:tcW w:w="0" w:type="auto"/>
          </w:tcPr>
          <w:p w14:paraId="382BF2A3" w14:textId="77777777" w:rsidR="00D3131C" w:rsidRPr="00AF5BE9" w:rsidRDefault="00D3131C" w:rsidP="00AF5BE9">
            <w:pPr>
              <w:spacing w:line="259" w:lineRule="auto"/>
            </w:pPr>
          </w:p>
        </w:tc>
        <w:tc>
          <w:tcPr>
            <w:tcW w:w="0" w:type="auto"/>
          </w:tcPr>
          <w:p w14:paraId="656DFE56" w14:textId="77777777" w:rsidR="00D3131C" w:rsidRPr="00AF5BE9" w:rsidRDefault="00D3131C" w:rsidP="00AF5BE9"/>
        </w:tc>
        <w:tc>
          <w:tcPr>
            <w:tcW w:w="0" w:type="auto"/>
          </w:tcPr>
          <w:p w14:paraId="5AFF3AB1" w14:textId="0AEA9BF7" w:rsidR="00D3131C" w:rsidRPr="00AF5BE9" w:rsidRDefault="00D3131C" w:rsidP="00AF5BE9"/>
        </w:tc>
      </w:tr>
      <w:tr w:rsidR="00D3131C" w:rsidRPr="00AF5BE9" w14:paraId="6D691198" w14:textId="184744DC" w:rsidTr="00606AB6">
        <w:trPr>
          <w:trHeight w:val="180"/>
        </w:trPr>
        <w:tc>
          <w:tcPr>
            <w:tcW w:w="0" w:type="auto"/>
          </w:tcPr>
          <w:p w14:paraId="18AB0AA4" w14:textId="77777777" w:rsidR="00D3131C" w:rsidRPr="00AF5BE9" w:rsidRDefault="00D3131C" w:rsidP="00AF5BE9">
            <w:pPr>
              <w:spacing w:line="259" w:lineRule="auto"/>
            </w:pPr>
            <w:r w:rsidRPr="00AF5BE9">
              <w:t>MHC-SF - Psychological Well-Being</w:t>
            </w:r>
          </w:p>
        </w:tc>
        <w:tc>
          <w:tcPr>
            <w:tcW w:w="0" w:type="auto"/>
          </w:tcPr>
          <w:p w14:paraId="74C402D4" w14:textId="77777777" w:rsidR="00D3131C" w:rsidRPr="00AF5BE9" w:rsidRDefault="00D3131C" w:rsidP="00AF5BE9">
            <w:pPr>
              <w:spacing w:line="259" w:lineRule="auto"/>
              <w:rPr>
                <w:vertAlign w:val="superscript"/>
              </w:rPr>
            </w:pPr>
            <w:r w:rsidRPr="00AF5BE9">
              <w:t>.74</w:t>
            </w:r>
            <w:r w:rsidRPr="00AF5BE9">
              <w:rPr>
                <w:vertAlign w:val="superscript"/>
              </w:rPr>
              <w:t>**</w:t>
            </w:r>
          </w:p>
        </w:tc>
        <w:tc>
          <w:tcPr>
            <w:tcW w:w="0" w:type="auto"/>
          </w:tcPr>
          <w:p w14:paraId="1EAD6346" w14:textId="77777777" w:rsidR="00D3131C" w:rsidRPr="00AF5BE9" w:rsidRDefault="00D3131C" w:rsidP="00AF5BE9">
            <w:pPr>
              <w:spacing w:line="259" w:lineRule="auto"/>
            </w:pPr>
          </w:p>
        </w:tc>
        <w:tc>
          <w:tcPr>
            <w:tcW w:w="0" w:type="auto"/>
          </w:tcPr>
          <w:p w14:paraId="7CC62967" w14:textId="77777777" w:rsidR="00D3131C" w:rsidRPr="00AF5BE9" w:rsidRDefault="00D3131C" w:rsidP="00AF5BE9">
            <w:pPr>
              <w:spacing w:line="259" w:lineRule="auto"/>
            </w:pPr>
          </w:p>
        </w:tc>
        <w:tc>
          <w:tcPr>
            <w:tcW w:w="0" w:type="auto"/>
          </w:tcPr>
          <w:p w14:paraId="592F3E5E" w14:textId="77777777" w:rsidR="00D3131C" w:rsidRPr="00AF5BE9" w:rsidRDefault="00D3131C" w:rsidP="00AF5BE9">
            <w:pPr>
              <w:spacing w:line="259" w:lineRule="auto"/>
            </w:pPr>
          </w:p>
        </w:tc>
        <w:tc>
          <w:tcPr>
            <w:tcW w:w="0" w:type="auto"/>
          </w:tcPr>
          <w:p w14:paraId="04786FFF" w14:textId="77777777" w:rsidR="00D3131C" w:rsidRPr="00AF5BE9" w:rsidRDefault="00D3131C" w:rsidP="00AF5BE9">
            <w:pPr>
              <w:spacing w:line="259" w:lineRule="auto"/>
            </w:pPr>
          </w:p>
        </w:tc>
        <w:tc>
          <w:tcPr>
            <w:tcW w:w="0" w:type="auto"/>
          </w:tcPr>
          <w:p w14:paraId="1B6D46EE" w14:textId="77777777" w:rsidR="00D3131C" w:rsidRPr="00AF5BE9" w:rsidRDefault="00D3131C" w:rsidP="00AF5BE9">
            <w:pPr>
              <w:spacing w:line="259" w:lineRule="auto"/>
            </w:pPr>
          </w:p>
        </w:tc>
        <w:tc>
          <w:tcPr>
            <w:tcW w:w="0" w:type="auto"/>
          </w:tcPr>
          <w:p w14:paraId="4A46E244" w14:textId="77777777" w:rsidR="00D3131C" w:rsidRPr="00AF5BE9" w:rsidRDefault="00D3131C" w:rsidP="00AF5BE9">
            <w:pPr>
              <w:spacing w:line="259" w:lineRule="auto"/>
            </w:pPr>
          </w:p>
        </w:tc>
        <w:tc>
          <w:tcPr>
            <w:tcW w:w="0" w:type="auto"/>
          </w:tcPr>
          <w:p w14:paraId="1BDCF446" w14:textId="77777777" w:rsidR="00D3131C" w:rsidRPr="00AF5BE9" w:rsidRDefault="00D3131C" w:rsidP="00AF5BE9"/>
        </w:tc>
        <w:tc>
          <w:tcPr>
            <w:tcW w:w="0" w:type="auto"/>
          </w:tcPr>
          <w:p w14:paraId="1C632153" w14:textId="62060439" w:rsidR="00D3131C" w:rsidRPr="00AF5BE9" w:rsidRDefault="00D3131C" w:rsidP="00AF5BE9">
            <w:pPr>
              <w:spacing w:line="259" w:lineRule="auto"/>
            </w:pPr>
          </w:p>
        </w:tc>
        <w:tc>
          <w:tcPr>
            <w:tcW w:w="0" w:type="auto"/>
          </w:tcPr>
          <w:p w14:paraId="3B53CF34" w14:textId="77777777" w:rsidR="00D3131C" w:rsidRPr="00AF5BE9" w:rsidRDefault="00D3131C" w:rsidP="00AF5BE9"/>
        </w:tc>
        <w:tc>
          <w:tcPr>
            <w:tcW w:w="0" w:type="auto"/>
          </w:tcPr>
          <w:p w14:paraId="22021FBB" w14:textId="74E975A9" w:rsidR="00D3131C" w:rsidRPr="00AF5BE9" w:rsidRDefault="00D3131C" w:rsidP="00AF5BE9">
            <w:pPr>
              <w:spacing w:line="259" w:lineRule="auto"/>
            </w:pPr>
          </w:p>
        </w:tc>
        <w:tc>
          <w:tcPr>
            <w:tcW w:w="0" w:type="auto"/>
          </w:tcPr>
          <w:p w14:paraId="468813B6" w14:textId="77777777" w:rsidR="00D3131C" w:rsidRPr="00AF5BE9" w:rsidRDefault="00D3131C" w:rsidP="00AF5BE9">
            <w:pPr>
              <w:spacing w:line="259" w:lineRule="auto"/>
            </w:pPr>
          </w:p>
        </w:tc>
        <w:tc>
          <w:tcPr>
            <w:tcW w:w="0" w:type="auto"/>
          </w:tcPr>
          <w:p w14:paraId="54CE5D39" w14:textId="77777777" w:rsidR="00D3131C" w:rsidRPr="00AF5BE9" w:rsidRDefault="00D3131C" w:rsidP="00AF5BE9"/>
        </w:tc>
        <w:tc>
          <w:tcPr>
            <w:tcW w:w="0" w:type="auto"/>
          </w:tcPr>
          <w:p w14:paraId="01297894" w14:textId="058EDD59" w:rsidR="00D3131C" w:rsidRPr="00AF5BE9" w:rsidRDefault="00D3131C" w:rsidP="00AF5BE9"/>
        </w:tc>
      </w:tr>
      <w:tr w:rsidR="00D3131C" w:rsidRPr="00AF5BE9" w14:paraId="505B1205" w14:textId="6BBF1839" w:rsidTr="00606AB6">
        <w:trPr>
          <w:trHeight w:val="179"/>
        </w:trPr>
        <w:tc>
          <w:tcPr>
            <w:tcW w:w="0" w:type="auto"/>
          </w:tcPr>
          <w:p w14:paraId="72D4E44F" w14:textId="77777777" w:rsidR="00D3131C" w:rsidRPr="00AF5BE9" w:rsidRDefault="00D3131C" w:rsidP="00AF5BE9">
            <w:pPr>
              <w:spacing w:line="259" w:lineRule="auto"/>
            </w:pPr>
            <w:r w:rsidRPr="00AF5BE9">
              <w:t>MHC-SF - Social Well-Being</w:t>
            </w:r>
          </w:p>
        </w:tc>
        <w:tc>
          <w:tcPr>
            <w:tcW w:w="0" w:type="auto"/>
          </w:tcPr>
          <w:p w14:paraId="6C47A0B5" w14:textId="77777777" w:rsidR="00D3131C" w:rsidRPr="00AF5BE9" w:rsidRDefault="00D3131C" w:rsidP="00AF5BE9">
            <w:pPr>
              <w:spacing w:line="259" w:lineRule="auto"/>
              <w:rPr>
                <w:vertAlign w:val="superscript"/>
              </w:rPr>
            </w:pPr>
            <w:r w:rsidRPr="00AF5BE9">
              <w:t>.64</w:t>
            </w:r>
            <w:r w:rsidRPr="00AF5BE9">
              <w:rPr>
                <w:vertAlign w:val="superscript"/>
              </w:rPr>
              <w:t>**</w:t>
            </w:r>
          </w:p>
        </w:tc>
        <w:tc>
          <w:tcPr>
            <w:tcW w:w="0" w:type="auto"/>
          </w:tcPr>
          <w:p w14:paraId="12ED4342" w14:textId="77777777" w:rsidR="00D3131C" w:rsidRPr="00AF5BE9" w:rsidRDefault="00D3131C" w:rsidP="00AF5BE9">
            <w:pPr>
              <w:spacing w:line="259" w:lineRule="auto"/>
              <w:rPr>
                <w:vertAlign w:val="superscript"/>
              </w:rPr>
            </w:pPr>
            <w:r w:rsidRPr="00AF5BE9">
              <w:t>.67</w:t>
            </w:r>
            <w:r w:rsidRPr="00AF5BE9">
              <w:rPr>
                <w:vertAlign w:val="superscript"/>
              </w:rPr>
              <w:t>*</w:t>
            </w:r>
          </w:p>
        </w:tc>
        <w:tc>
          <w:tcPr>
            <w:tcW w:w="0" w:type="auto"/>
          </w:tcPr>
          <w:p w14:paraId="3339E610" w14:textId="77777777" w:rsidR="00D3131C" w:rsidRPr="00AF5BE9" w:rsidRDefault="00D3131C" w:rsidP="00AF5BE9">
            <w:pPr>
              <w:spacing w:line="259" w:lineRule="auto"/>
            </w:pPr>
          </w:p>
        </w:tc>
        <w:tc>
          <w:tcPr>
            <w:tcW w:w="0" w:type="auto"/>
          </w:tcPr>
          <w:p w14:paraId="4F3BB84C" w14:textId="77777777" w:rsidR="00D3131C" w:rsidRPr="00AF5BE9" w:rsidRDefault="00D3131C" w:rsidP="00AF5BE9">
            <w:pPr>
              <w:spacing w:line="259" w:lineRule="auto"/>
            </w:pPr>
          </w:p>
        </w:tc>
        <w:tc>
          <w:tcPr>
            <w:tcW w:w="0" w:type="auto"/>
          </w:tcPr>
          <w:p w14:paraId="411A1633" w14:textId="77777777" w:rsidR="00D3131C" w:rsidRPr="00AF5BE9" w:rsidRDefault="00D3131C" w:rsidP="00AF5BE9">
            <w:pPr>
              <w:spacing w:line="259" w:lineRule="auto"/>
            </w:pPr>
          </w:p>
        </w:tc>
        <w:tc>
          <w:tcPr>
            <w:tcW w:w="0" w:type="auto"/>
          </w:tcPr>
          <w:p w14:paraId="20D26D28" w14:textId="77777777" w:rsidR="00D3131C" w:rsidRPr="00AF5BE9" w:rsidRDefault="00D3131C" w:rsidP="00AF5BE9">
            <w:pPr>
              <w:spacing w:line="259" w:lineRule="auto"/>
            </w:pPr>
          </w:p>
        </w:tc>
        <w:tc>
          <w:tcPr>
            <w:tcW w:w="0" w:type="auto"/>
          </w:tcPr>
          <w:p w14:paraId="43B26E13" w14:textId="77777777" w:rsidR="00D3131C" w:rsidRPr="00AF5BE9" w:rsidRDefault="00D3131C" w:rsidP="00AF5BE9">
            <w:pPr>
              <w:spacing w:line="259" w:lineRule="auto"/>
            </w:pPr>
          </w:p>
        </w:tc>
        <w:tc>
          <w:tcPr>
            <w:tcW w:w="0" w:type="auto"/>
          </w:tcPr>
          <w:p w14:paraId="46B8B3AC" w14:textId="77777777" w:rsidR="00D3131C" w:rsidRPr="00AF5BE9" w:rsidRDefault="00D3131C" w:rsidP="00AF5BE9"/>
        </w:tc>
        <w:tc>
          <w:tcPr>
            <w:tcW w:w="0" w:type="auto"/>
          </w:tcPr>
          <w:p w14:paraId="2F35A0E0" w14:textId="3A5AC15C" w:rsidR="00D3131C" w:rsidRPr="00AF5BE9" w:rsidRDefault="00D3131C" w:rsidP="00AF5BE9">
            <w:pPr>
              <w:spacing w:line="259" w:lineRule="auto"/>
            </w:pPr>
          </w:p>
        </w:tc>
        <w:tc>
          <w:tcPr>
            <w:tcW w:w="0" w:type="auto"/>
          </w:tcPr>
          <w:p w14:paraId="27FE2C3F" w14:textId="77777777" w:rsidR="00D3131C" w:rsidRPr="00AF5BE9" w:rsidRDefault="00D3131C" w:rsidP="00AF5BE9"/>
        </w:tc>
        <w:tc>
          <w:tcPr>
            <w:tcW w:w="0" w:type="auto"/>
          </w:tcPr>
          <w:p w14:paraId="37698046" w14:textId="63D2C5E1" w:rsidR="00D3131C" w:rsidRPr="00AF5BE9" w:rsidRDefault="00D3131C" w:rsidP="00AF5BE9">
            <w:pPr>
              <w:spacing w:line="259" w:lineRule="auto"/>
            </w:pPr>
          </w:p>
        </w:tc>
        <w:tc>
          <w:tcPr>
            <w:tcW w:w="0" w:type="auto"/>
          </w:tcPr>
          <w:p w14:paraId="656AE188" w14:textId="77777777" w:rsidR="00D3131C" w:rsidRPr="00AF5BE9" w:rsidRDefault="00D3131C" w:rsidP="00AF5BE9">
            <w:pPr>
              <w:spacing w:line="259" w:lineRule="auto"/>
            </w:pPr>
          </w:p>
        </w:tc>
        <w:tc>
          <w:tcPr>
            <w:tcW w:w="0" w:type="auto"/>
          </w:tcPr>
          <w:p w14:paraId="22CC2310" w14:textId="77777777" w:rsidR="00D3131C" w:rsidRPr="00AF5BE9" w:rsidRDefault="00D3131C" w:rsidP="00AF5BE9"/>
        </w:tc>
        <w:tc>
          <w:tcPr>
            <w:tcW w:w="0" w:type="auto"/>
          </w:tcPr>
          <w:p w14:paraId="1D11231B" w14:textId="6DF31DD3" w:rsidR="00D3131C" w:rsidRPr="00AF5BE9" w:rsidRDefault="00D3131C" w:rsidP="00AF5BE9"/>
        </w:tc>
      </w:tr>
      <w:tr w:rsidR="00D3131C" w:rsidRPr="00AF5BE9" w14:paraId="13A45E2D" w14:textId="633332E9" w:rsidTr="00606AB6">
        <w:trPr>
          <w:trHeight w:val="181"/>
        </w:trPr>
        <w:tc>
          <w:tcPr>
            <w:tcW w:w="0" w:type="auto"/>
          </w:tcPr>
          <w:p w14:paraId="50CF2E12" w14:textId="77777777" w:rsidR="00D3131C" w:rsidRPr="00AF5BE9" w:rsidRDefault="00D3131C" w:rsidP="00AF5BE9">
            <w:pPr>
              <w:spacing w:line="259" w:lineRule="auto"/>
            </w:pPr>
            <w:r w:rsidRPr="00AF5BE9">
              <w:t>HHRDS</w:t>
            </w:r>
          </w:p>
        </w:tc>
        <w:tc>
          <w:tcPr>
            <w:tcW w:w="0" w:type="auto"/>
          </w:tcPr>
          <w:p w14:paraId="372743BA" w14:textId="77777777" w:rsidR="00D3131C" w:rsidRPr="00AF5BE9" w:rsidRDefault="00D3131C" w:rsidP="00AF5BE9">
            <w:pPr>
              <w:spacing w:line="259" w:lineRule="auto"/>
            </w:pPr>
            <w:r w:rsidRPr="00AF5BE9">
              <w:t>-.10</w:t>
            </w:r>
          </w:p>
        </w:tc>
        <w:tc>
          <w:tcPr>
            <w:tcW w:w="0" w:type="auto"/>
          </w:tcPr>
          <w:p w14:paraId="785E1294" w14:textId="77777777" w:rsidR="00D3131C" w:rsidRPr="00AF5BE9" w:rsidRDefault="00D3131C" w:rsidP="00AF5BE9">
            <w:pPr>
              <w:spacing w:line="259" w:lineRule="auto"/>
            </w:pPr>
            <w:r w:rsidRPr="00AF5BE9">
              <w:t>-.03</w:t>
            </w:r>
          </w:p>
        </w:tc>
        <w:tc>
          <w:tcPr>
            <w:tcW w:w="0" w:type="auto"/>
          </w:tcPr>
          <w:p w14:paraId="4BFBBA11" w14:textId="77777777" w:rsidR="00D3131C" w:rsidRPr="00AF5BE9" w:rsidRDefault="00D3131C" w:rsidP="00AF5BE9">
            <w:pPr>
              <w:spacing w:line="259" w:lineRule="auto"/>
              <w:rPr>
                <w:vertAlign w:val="superscript"/>
              </w:rPr>
            </w:pPr>
            <w:r w:rsidRPr="00AF5BE9">
              <w:t>-.17</w:t>
            </w:r>
            <w:r w:rsidRPr="00AF5BE9">
              <w:rPr>
                <w:vertAlign w:val="superscript"/>
              </w:rPr>
              <w:t>*</w:t>
            </w:r>
          </w:p>
        </w:tc>
        <w:tc>
          <w:tcPr>
            <w:tcW w:w="0" w:type="auto"/>
          </w:tcPr>
          <w:p w14:paraId="131DF339" w14:textId="77777777" w:rsidR="00D3131C" w:rsidRPr="00AF5BE9" w:rsidRDefault="00D3131C" w:rsidP="00AF5BE9">
            <w:pPr>
              <w:spacing w:line="259" w:lineRule="auto"/>
            </w:pPr>
          </w:p>
        </w:tc>
        <w:tc>
          <w:tcPr>
            <w:tcW w:w="0" w:type="auto"/>
          </w:tcPr>
          <w:p w14:paraId="7F088B66" w14:textId="77777777" w:rsidR="00D3131C" w:rsidRPr="00AF5BE9" w:rsidRDefault="00D3131C" w:rsidP="00AF5BE9">
            <w:pPr>
              <w:spacing w:line="259" w:lineRule="auto"/>
            </w:pPr>
          </w:p>
        </w:tc>
        <w:tc>
          <w:tcPr>
            <w:tcW w:w="0" w:type="auto"/>
          </w:tcPr>
          <w:p w14:paraId="05D8C304" w14:textId="77777777" w:rsidR="00D3131C" w:rsidRPr="00AF5BE9" w:rsidRDefault="00D3131C" w:rsidP="00AF5BE9">
            <w:pPr>
              <w:spacing w:line="259" w:lineRule="auto"/>
            </w:pPr>
          </w:p>
        </w:tc>
        <w:tc>
          <w:tcPr>
            <w:tcW w:w="0" w:type="auto"/>
          </w:tcPr>
          <w:p w14:paraId="67BE26C6" w14:textId="77777777" w:rsidR="00D3131C" w:rsidRPr="00AF5BE9" w:rsidRDefault="00D3131C" w:rsidP="00AF5BE9">
            <w:pPr>
              <w:spacing w:line="259" w:lineRule="auto"/>
            </w:pPr>
          </w:p>
        </w:tc>
        <w:tc>
          <w:tcPr>
            <w:tcW w:w="0" w:type="auto"/>
          </w:tcPr>
          <w:p w14:paraId="4AD6E468" w14:textId="77777777" w:rsidR="00D3131C" w:rsidRPr="00AF5BE9" w:rsidRDefault="00D3131C" w:rsidP="00AF5BE9"/>
        </w:tc>
        <w:tc>
          <w:tcPr>
            <w:tcW w:w="0" w:type="auto"/>
          </w:tcPr>
          <w:p w14:paraId="04E26E39" w14:textId="7F21B2D7" w:rsidR="00D3131C" w:rsidRPr="00AF5BE9" w:rsidRDefault="00D3131C" w:rsidP="00AF5BE9">
            <w:pPr>
              <w:spacing w:line="259" w:lineRule="auto"/>
            </w:pPr>
          </w:p>
        </w:tc>
        <w:tc>
          <w:tcPr>
            <w:tcW w:w="0" w:type="auto"/>
          </w:tcPr>
          <w:p w14:paraId="5A449C20" w14:textId="77777777" w:rsidR="00D3131C" w:rsidRPr="00AF5BE9" w:rsidRDefault="00D3131C" w:rsidP="00AF5BE9"/>
        </w:tc>
        <w:tc>
          <w:tcPr>
            <w:tcW w:w="0" w:type="auto"/>
          </w:tcPr>
          <w:p w14:paraId="7DAB3095" w14:textId="4297F2A6" w:rsidR="00D3131C" w:rsidRPr="00AF5BE9" w:rsidRDefault="00D3131C" w:rsidP="00AF5BE9">
            <w:pPr>
              <w:spacing w:line="259" w:lineRule="auto"/>
            </w:pPr>
          </w:p>
        </w:tc>
        <w:tc>
          <w:tcPr>
            <w:tcW w:w="0" w:type="auto"/>
          </w:tcPr>
          <w:p w14:paraId="2B73C6F5" w14:textId="77777777" w:rsidR="00D3131C" w:rsidRPr="00AF5BE9" w:rsidRDefault="00D3131C" w:rsidP="00AF5BE9">
            <w:pPr>
              <w:spacing w:line="259" w:lineRule="auto"/>
            </w:pPr>
          </w:p>
        </w:tc>
        <w:tc>
          <w:tcPr>
            <w:tcW w:w="0" w:type="auto"/>
          </w:tcPr>
          <w:p w14:paraId="79006E13" w14:textId="77777777" w:rsidR="00D3131C" w:rsidRPr="00AF5BE9" w:rsidRDefault="00D3131C" w:rsidP="00AF5BE9"/>
        </w:tc>
        <w:tc>
          <w:tcPr>
            <w:tcW w:w="0" w:type="auto"/>
          </w:tcPr>
          <w:p w14:paraId="3E350616" w14:textId="3C0077CB" w:rsidR="00D3131C" w:rsidRPr="00AF5BE9" w:rsidRDefault="00D3131C" w:rsidP="00AF5BE9"/>
        </w:tc>
      </w:tr>
      <w:tr w:rsidR="00D3131C" w:rsidRPr="00AF5BE9" w14:paraId="6F9E3CFA" w14:textId="56A173E4" w:rsidTr="00606AB6">
        <w:trPr>
          <w:trHeight w:val="180"/>
        </w:trPr>
        <w:tc>
          <w:tcPr>
            <w:tcW w:w="0" w:type="auto"/>
          </w:tcPr>
          <w:p w14:paraId="23BDAE87" w14:textId="77777777" w:rsidR="00D3131C" w:rsidRPr="00AF5BE9" w:rsidRDefault="00D3131C" w:rsidP="00AF5BE9">
            <w:pPr>
              <w:spacing w:line="259" w:lineRule="auto"/>
            </w:pPr>
            <w:r w:rsidRPr="00AF5BE9">
              <w:t>LGBIS - Concealment Motivations</w:t>
            </w:r>
          </w:p>
        </w:tc>
        <w:tc>
          <w:tcPr>
            <w:tcW w:w="0" w:type="auto"/>
          </w:tcPr>
          <w:p w14:paraId="3EDD4424" w14:textId="77777777" w:rsidR="00D3131C" w:rsidRPr="00AF5BE9" w:rsidRDefault="00D3131C" w:rsidP="00AF5BE9">
            <w:pPr>
              <w:spacing w:line="259" w:lineRule="auto"/>
              <w:rPr>
                <w:vertAlign w:val="superscript"/>
              </w:rPr>
            </w:pPr>
            <w:r w:rsidRPr="00AF5BE9">
              <w:t>-.19</w:t>
            </w:r>
            <w:r w:rsidRPr="00AF5BE9">
              <w:rPr>
                <w:vertAlign w:val="superscript"/>
              </w:rPr>
              <w:t>*</w:t>
            </w:r>
          </w:p>
        </w:tc>
        <w:tc>
          <w:tcPr>
            <w:tcW w:w="0" w:type="auto"/>
          </w:tcPr>
          <w:p w14:paraId="498BDD6A" w14:textId="77777777" w:rsidR="00D3131C" w:rsidRPr="00AF5BE9" w:rsidRDefault="00D3131C" w:rsidP="00AF5BE9">
            <w:pPr>
              <w:spacing w:line="259" w:lineRule="auto"/>
            </w:pPr>
            <w:r w:rsidRPr="00AF5BE9">
              <w:t>-.16</w:t>
            </w:r>
          </w:p>
        </w:tc>
        <w:tc>
          <w:tcPr>
            <w:tcW w:w="0" w:type="auto"/>
          </w:tcPr>
          <w:p w14:paraId="15B9F82A" w14:textId="77777777" w:rsidR="00D3131C" w:rsidRPr="00AF5BE9" w:rsidRDefault="00D3131C" w:rsidP="00AF5BE9">
            <w:pPr>
              <w:spacing w:line="259" w:lineRule="auto"/>
              <w:rPr>
                <w:vertAlign w:val="superscript"/>
              </w:rPr>
            </w:pPr>
            <w:r w:rsidRPr="00AF5BE9">
              <w:t>-.23</w:t>
            </w:r>
            <w:r w:rsidRPr="00AF5BE9">
              <w:rPr>
                <w:vertAlign w:val="superscript"/>
              </w:rPr>
              <w:t>**</w:t>
            </w:r>
          </w:p>
        </w:tc>
        <w:tc>
          <w:tcPr>
            <w:tcW w:w="0" w:type="auto"/>
          </w:tcPr>
          <w:p w14:paraId="1A720FC5" w14:textId="77777777" w:rsidR="00D3131C" w:rsidRPr="00AF5BE9" w:rsidRDefault="00D3131C" w:rsidP="00AF5BE9">
            <w:pPr>
              <w:spacing w:line="259" w:lineRule="auto"/>
            </w:pPr>
            <w:r w:rsidRPr="00AF5BE9">
              <w:t>-.02</w:t>
            </w:r>
          </w:p>
        </w:tc>
        <w:tc>
          <w:tcPr>
            <w:tcW w:w="0" w:type="auto"/>
          </w:tcPr>
          <w:p w14:paraId="24D3A7FF" w14:textId="77777777" w:rsidR="00D3131C" w:rsidRPr="00AF5BE9" w:rsidRDefault="00D3131C" w:rsidP="00AF5BE9">
            <w:pPr>
              <w:spacing w:line="259" w:lineRule="auto"/>
            </w:pPr>
          </w:p>
        </w:tc>
        <w:tc>
          <w:tcPr>
            <w:tcW w:w="0" w:type="auto"/>
          </w:tcPr>
          <w:p w14:paraId="66E0BAA6" w14:textId="77777777" w:rsidR="00D3131C" w:rsidRPr="00AF5BE9" w:rsidRDefault="00D3131C" w:rsidP="00AF5BE9">
            <w:pPr>
              <w:spacing w:line="259" w:lineRule="auto"/>
            </w:pPr>
          </w:p>
        </w:tc>
        <w:tc>
          <w:tcPr>
            <w:tcW w:w="0" w:type="auto"/>
          </w:tcPr>
          <w:p w14:paraId="56656A6A" w14:textId="77777777" w:rsidR="00D3131C" w:rsidRPr="00AF5BE9" w:rsidRDefault="00D3131C" w:rsidP="00AF5BE9">
            <w:pPr>
              <w:spacing w:line="259" w:lineRule="auto"/>
            </w:pPr>
          </w:p>
        </w:tc>
        <w:tc>
          <w:tcPr>
            <w:tcW w:w="0" w:type="auto"/>
          </w:tcPr>
          <w:p w14:paraId="4514B8BB" w14:textId="77777777" w:rsidR="00D3131C" w:rsidRPr="00AF5BE9" w:rsidRDefault="00D3131C" w:rsidP="00AF5BE9"/>
        </w:tc>
        <w:tc>
          <w:tcPr>
            <w:tcW w:w="0" w:type="auto"/>
          </w:tcPr>
          <w:p w14:paraId="0BB044DE" w14:textId="32E98EB6" w:rsidR="00D3131C" w:rsidRPr="00AF5BE9" w:rsidRDefault="00D3131C" w:rsidP="00AF5BE9">
            <w:pPr>
              <w:spacing w:line="259" w:lineRule="auto"/>
            </w:pPr>
          </w:p>
        </w:tc>
        <w:tc>
          <w:tcPr>
            <w:tcW w:w="0" w:type="auto"/>
          </w:tcPr>
          <w:p w14:paraId="3A4F2F7F" w14:textId="77777777" w:rsidR="00D3131C" w:rsidRPr="00AF5BE9" w:rsidRDefault="00D3131C" w:rsidP="00AF5BE9"/>
        </w:tc>
        <w:tc>
          <w:tcPr>
            <w:tcW w:w="0" w:type="auto"/>
          </w:tcPr>
          <w:p w14:paraId="044EC2C2" w14:textId="5F5AD2A0" w:rsidR="00D3131C" w:rsidRPr="00AF5BE9" w:rsidRDefault="00D3131C" w:rsidP="00AF5BE9">
            <w:pPr>
              <w:spacing w:line="259" w:lineRule="auto"/>
            </w:pPr>
          </w:p>
        </w:tc>
        <w:tc>
          <w:tcPr>
            <w:tcW w:w="0" w:type="auto"/>
          </w:tcPr>
          <w:p w14:paraId="5C92323D" w14:textId="77777777" w:rsidR="00D3131C" w:rsidRPr="00AF5BE9" w:rsidRDefault="00D3131C" w:rsidP="00AF5BE9">
            <w:pPr>
              <w:spacing w:line="259" w:lineRule="auto"/>
            </w:pPr>
          </w:p>
        </w:tc>
        <w:tc>
          <w:tcPr>
            <w:tcW w:w="0" w:type="auto"/>
          </w:tcPr>
          <w:p w14:paraId="145040E9" w14:textId="77777777" w:rsidR="00D3131C" w:rsidRPr="00AF5BE9" w:rsidRDefault="00D3131C" w:rsidP="00AF5BE9"/>
        </w:tc>
        <w:tc>
          <w:tcPr>
            <w:tcW w:w="0" w:type="auto"/>
          </w:tcPr>
          <w:p w14:paraId="0AE7E72B" w14:textId="6CA86C51" w:rsidR="00D3131C" w:rsidRPr="00AF5BE9" w:rsidRDefault="00D3131C" w:rsidP="00AF5BE9"/>
        </w:tc>
      </w:tr>
      <w:tr w:rsidR="00D3131C" w:rsidRPr="00AF5BE9" w14:paraId="3332D902" w14:textId="4029C85B" w:rsidTr="00606AB6">
        <w:trPr>
          <w:trHeight w:val="180"/>
        </w:trPr>
        <w:tc>
          <w:tcPr>
            <w:tcW w:w="0" w:type="auto"/>
          </w:tcPr>
          <w:p w14:paraId="24963576" w14:textId="77777777" w:rsidR="00D3131C" w:rsidRPr="00AF5BE9" w:rsidRDefault="00D3131C" w:rsidP="00AF5BE9">
            <w:pPr>
              <w:spacing w:line="259" w:lineRule="auto"/>
            </w:pPr>
            <w:r w:rsidRPr="00AF5BE9">
              <w:t>LGBIS - Internalized Homonegativity</w:t>
            </w:r>
          </w:p>
        </w:tc>
        <w:tc>
          <w:tcPr>
            <w:tcW w:w="0" w:type="auto"/>
          </w:tcPr>
          <w:p w14:paraId="318DC669" w14:textId="77777777" w:rsidR="00D3131C" w:rsidRPr="00AF5BE9" w:rsidRDefault="00D3131C" w:rsidP="00AF5BE9">
            <w:pPr>
              <w:spacing w:line="259" w:lineRule="auto"/>
            </w:pPr>
            <w:r w:rsidRPr="00AF5BE9">
              <w:t>.01</w:t>
            </w:r>
          </w:p>
        </w:tc>
        <w:tc>
          <w:tcPr>
            <w:tcW w:w="0" w:type="auto"/>
          </w:tcPr>
          <w:p w14:paraId="27017C1E" w14:textId="77777777" w:rsidR="00D3131C" w:rsidRPr="00AF5BE9" w:rsidRDefault="00D3131C" w:rsidP="00AF5BE9">
            <w:pPr>
              <w:spacing w:line="259" w:lineRule="auto"/>
            </w:pPr>
            <w:r w:rsidRPr="00AF5BE9">
              <w:t>-.05</w:t>
            </w:r>
          </w:p>
        </w:tc>
        <w:tc>
          <w:tcPr>
            <w:tcW w:w="0" w:type="auto"/>
          </w:tcPr>
          <w:p w14:paraId="7F0359CB" w14:textId="77777777" w:rsidR="00D3131C" w:rsidRPr="00AF5BE9" w:rsidRDefault="00D3131C" w:rsidP="00AF5BE9">
            <w:pPr>
              <w:spacing w:line="259" w:lineRule="auto"/>
            </w:pPr>
            <w:r w:rsidRPr="00AF5BE9">
              <w:t>-.01</w:t>
            </w:r>
          </w:p>
        </w:tc>
        <w:tc>
          <w:tcPr>
            <w:tcW w:w="0" w:type="auto"/>
          </w:tcPr>
          <w:p w14:paraId="3E98CB37" w14:textId="77777777" w:rsidR="00D3131C" w:rsidRPr="00AF5BE9" w:rsidRDefault="00D3131C" w:rsidP="00AF5BE9">
            <w:pPr>
              <w:spacing w:line="259" w:lineRule="auto"/>
            </w:pPr>
            <w:r w:rsidRPr="00AF5BE9">
              <w:t>.04</w:t>
            </w:r>
          </w:p>
        </w:tc>
        <w:tc>
          <w:tcPr>
            <w:tcW w:w="0" w:type="auto"/>
          </w:tcPr>
          <w:p w14:paraId="06B8CA3C" w14:textId="77777777" w:rsidR="00D3131C" w:rsidRPr="00AF5BE9" w:rsidRDefault="00D3131C" w:rsidP="00AF5BE9">
            <w:pPr>
              <w:spacing w:line="259" w:lineRule="auto"/>
              <w:rPr>
                <w:vertAlign w:val="superscript"/>
              </w:rPr>
            </w:pPr>
            <w:r w:rsidRPr="00AF5BE9">
              <w:t>.27</w:t>
            </w:r>
            <w:r w:rsidRPr="00AF5BE9">
              <w:rPr>
                <w:vertAlign w:val="superscript"/>
              </w:rPr>
              <w:t>**</w:t>
            </w:r>
          </w:p>
        </w:tc>
        <w:tc>
          <w:tcPr>
            <w:tcW w:w="0" w:type="auto"/>
          </w:tcPr>
          <w:p w14:paraId="7A331DAF" w14:textId="77777777" w:rsidR="00D3131C" w:rsidRPr="00AF5BE9" w:rsidRDefault="00D3131C" w:rsidP="00AF5BE9">
            <w:pPr>
              <w:spacing w:line="259" w:lineRule="auto"/>
            </w:pPr>
          </w:p>
        </w:tc>
        <w:tc>
          <w:tcPr>
            <w:tcW w:w="0" w:type="auto"/>
          </w:tcPr>
          <w:p w14:paraId="1606C421" w14:textId="77777777" w:rsidR="00D3131C" w:rsidRPr="00AF5BE9" w:rsidRDefault="00D3131C" w:rsidP="00AF5BE9">
            <w:pPr>
              <w:spacing w:line="259" w:lineRule="auto"/>
            </w:pPr>
          </w:p>
        </w:tc>
        <w:tc>
          <w:tcPr>
            <w:tcW w:w="0" w:type="auto"/>
          </w:tcPr>
          <w:p w14:paraId="01D18F60" w14:textId="77777777" w:rsidR="00D3131C" w:rsidRPr="00AF5BE9" w:rsidRDefault="00D3131C" w:rsidP="00AF5BE9"/>
        </w:tc>
        <w:tc>
          <w:tcPr>
            <w:tcW w:w="0" w:type="auto"/>
          </w:tcPr>
          <w:p w14:paraId="1C9EDBB7" w14:textId="4CB2C8E3" w:rsidR="00D3131C" w:rsidRPr="00AF5BE9" w:rsidRDefault="00D3131C" w:rsidP="00AF5BE9">
            <w:pPr>
              <w:spacing w:line="259" w:lineRule="auto"/>
            </w:pPr>
          </w:p>
        </w:tc>
        <w:tc>
          <w:tcPr>
            <w:tcW w:w="0" w:type="auto"/>
          </w:tcPr>
          <w:p w14:paraId="015F02B4" w14:textId="77777777" w:rsidR="00D3131C" w:rsidRPr="00AF5BE9" w:rsidRDefault="00D3131C" w:rsidP="00AF5BE9"/>
        </w:tc>
        <w:tc>
          <w:tcPr>
            <w:tcW w:w="0" w:type="auto"/>
          </w:tcPr>
          <w:p w14:paraId="155FB807" w14:textId="137818E0" w:rsidR="00D3131C" w:rsidRPr="00AF5BE9" w:rsidRDefault="00D3131C" w:rsidP="00AF5BE9">
            <w:pPr>
              <w:spacing w:line="259" w:lineRule="auto"/>
            </w:pPr>
          </w:p>
        </w:tc>
        <w:tc>
          <w:tcPr>
            <w:tcW w:w="0" w:type="auto"/>
          </w:tcPr>
          <w:p w14:paraId="14238F08" w14:textId="77777777" w:rsidR="00D3131C" w:rsidRPr="00AF5BE9" w:rsidRDefault="00D3131C" w:rsidP="00AF5BE9">
            <w:pPr>
              <w:spacing w:line="259" w:lineRule="auto"/>
            </w:pPr>
          </w:p>
        </w:tc>
        <w:tc>
          <w:tcPr>
            <w:tcW w:w="0" w:type="auto"/>
          </w:tcPr>
          <w:p w14:paraId="4EBF8B0E" w14:textId="77777777" w:rsidR="00D3131C" w:rsidRPr="00AF5BE9" w:rsidRDefault="00D3131C" w:rsidP="00AF5BE9"/>
        </w:tc>
        <w:tc>
          <w:tcPr>
            <w:tcW w:w="0" w:type="auto"/>
          </w:tcPr>
          <w:p w14:paraId="1DF822BA" w14:textId="0A35D881" w:rsidR="00D3131C" w:rsidRPr="00AF5BE9" w:rsidRDefault="00D3131C" w:rsidP="00AF5BE9"/>
        </w:tc>
      </w:tr>
      <w:tr w:rsidR="00D3131C" w:rsidRPr="00AF5BE9" w14:paraId="30081A87" w14:textId="1AC68E37" w:rsidTr="00606AB6">
        <w:trPr>
          <w:trHeight w:val="180"/>
        </w:trPr>
        <w:tc>
          <w:tcPr>
            <w:tcW w:w="0" w:type="auto"/>
          </w:tcPr>
          <w:p w14:paraId="40BBF6EC" w14:textId="77777777" w:rsidR="00D3131C" w:rsidRPr="00AF5BE9" w:rsidRDefault="00D3131C" w:rsidP="00AF5BE9">
            <w:pPr>
              <w:spacing w:line="259" w:lineRule="auto"/>
            </w:pPr>
            <w:r w:rsidRPr="00AF5BE9">
              <w:t>MEIM</w:t>
            </w:r>
          </w:p>
        </w:tc>
        <w:tc>
          <w:tcPr>
            <w:tcW w:w="0" w:type="auto"/>
          </w:tcPr>
          <w:p w14:paraId="05FC835F" w14:textId="77777777" w:rsidR="00D3131C" w:rsidRPr="00AF5BE9" w:rsidRDefault="00D3131C" w:rsidP="00AF5BE9">
            <w:pPr>
              <w:spacing w:line="259" w:lineRule="auto"/>
              <w:rPr>
                <w:vertAlign w:val="superscript"/>
              </w:rPr>
            </w:pPr>
            <w:r w:rsidRPr="00AF5BE9">
              <w:t>.19</w:t>
            </w:r>
            <w:r w:rsidRPr="00AF5BE9">
              <w:rPr>
                <w:vertAlign w:val="superscript"/>
              </w:rPr>
              <w:t>*</w:t>
            </w:r>
          </w:p>
        </w:tc>
        <w:tc>
          <w:tcPr>
            <w:tcW w:w="0" w:type="auto"/>
          </w:tcPr>
          <w:p w14:paraId="43487980" w14:textId="77777777" w:rsidR="00D3131C" w:rsidRPr="00AF5BE9" w:rsidRDefault="00D3131C" w:rsidP="00AF5BE9">
            <w:pPr>
              <w:spacing w:line="259" w:lineRule="auto"/>
              <w:rPr>
                <w:vertAlign w:val="superscript"/>
              </w:rPr>
            </w:pPr>
            <w:r w:rsidRPr="00AF5BE9">
              <w:t>.20</w:t>
            </w:r>
            <w:r w:rsidRPr="00AF5BE9">
              <w:rPr>
                <w:vertAlign w:val="superscript"/>
              </w:rPr>
              <w:t>*</w:t>
            </w:r>
          </w:p>
        </w:tc>
        <w:tc>
          <w:tcPr>
            <w:tcW w:w="0" w:type="auto"/>
          </w:tcPr>
          <w:p w14:paraId="4E6A00DC" w14:textId="77777777" w:rsidR="00D3131C" w:rsidRPr="00AF5BE9" w:rsidRDefault="00D3131C" w:rsidP="00AF5BE9">
            <w:pPr>
              <w:spacing w:line="259" w:lineRule="auto"/>
              <w:rPr>
                <w:vertAlign w:val="superscript"/>
              </w:rPr>
            </w:pPr>
            <w:r w:rsidRPr="00AF5BE9">
              <w:t>.21</w:t>
            </w:r>
            <w:r w:rsidRPr="00AF5BE9">
              <w:rPr>
                <w:vertAlign w:val="superscript"/>
              </w:rPr>
              <w:t>**</w:t>
            </w:r>
          </w:p>
        </w:tc>
        <w:tc>
          <w:tcPr>
            <w:tcW w:w="0" w:type="auto"/>
          </w:tcPr>
          <w:p w14:paraId="53AFDE33" w14:textId="77777777" w:rsidR="00D3131C" w:rsidRPr="00AF5BE9" w:rsidRDefault="00D3131C" w:rsidP="00AF5BE9">
            <w:pPr>
              <w:spacing w:line="259" w:lineRule="auto"/>
              <w:rPr>
                <w:vertAlign w:val="superscript"/>
              </w:rPr>
            </w:pPr>
            <w:r w:rsidRPr="00AF5BE9">
              <w:t>.30</w:t>
            </w:r>
            <w:r w:rsidRPr="00AF5BE9">
              <w:rPr>
                <w:vertAlign w:val="superscript"/>
              </w:rPr>
              <w:t>**</w:t>
            </w:r>
          </w:p>
        </w:tc>
        <w:tc>
          <w:tcPr>
            <w:tcW w:w="0" w:type="auto"/>
          </w:tcPr>
          <w:p w14:paraId="1CEC220C" w14:textId="77777777" w:rsidR="00D3131C" w:rsidRPr="00AF5BE9" w:rsidRDefault="00D3131C" w:rsidP="00AF5BE9">
            <w:pPr>
              <w:spacing w:line="259" w:lineRule="auto"/>
              <w:rPr>
                <w:vertAlign w:val="superscript"/>
              </w:rPr>
            </w:pPr>
            <w:r w:rsidRPr="00AF5BE9">
              <w:t>-.40</w:t>
            </w:r>
            <w:r w:rsidRPr="00AF5BE9">
              <w:rPr>
                <w:vertAlign w:val="superscript"/>
              </w:rPr>
              <w:t>**</w:t>
            </w:r>
          </w:p>
        </w:tc>
        <w:tc>
          <w:tcPr>
            <w:tcW w:w="0" w:type="auto"/>
          </w:tcPr>
          <w:p w14:paraId="29E2DFD5" w14:textId="77777777" w:rsidR="00D3131C" w:rsidRPr="00AF5BE9" w:rsidRDefault="00D3131C" w:rsidP="00AF5BE9">
            <w:pPr>
              <w:spacing w:line="259" w:lineRule="auto"/>
              <w:rPr>
                <w:vertAlign w:val="superscript"/>
              </w:rPr>
            </w:pPr>
            <w:r w:rsidRPr="00AF5BE9">
              <w:t>-.34</w:t>
            </w:r>
            <w:r w:rsidRPr="00AF5BE9">
              <w:rPr>
                <w:vertAlign w:val="superscript"/>
              </w:rPr>
              <w:t>**</w:t>
            </w:r>
          </w:p>
        </w:tc>
        <w:tc>
          <w:tcPr>
            <w:tcW w:w="0" w:type="auto"/>
          </w:tcPr>
          <w:p w14:paraId="7FB1AE10" w14:textId="77777777" w:rsidR="00D3131C" w:rsidRPr="00AF5BE9" w:rsidRDefault="00D3131C" w:rsidP="00AF5BE9">
            <w:pPr>
              <w:spacing w:line="259" w:lineRule="auto"/>
            </w:pPr>
          </w:p>
        </w:tc>
        <w:tc>
          <w:tcPr>
            <w:tcW w:w="0" w:type="auto"/>
          </w:tcPr>
          <w:p w14:paraId="4FA49A53" w14:textId="77777777" w:rsidR="00D3131C" w:rsidRPr="00AF5BE9" w:rsidRDefault="00D3131C" w:rsidP="00AF5BE9"/>
        </w:tc>
        <w:tc>
          <w:tcPr>
            <w:tcW w:w="0" w:type="auto"/>
          </w:tcPr>
          <w:p w14:paraId="5E6FAB26" w14:textId="798DCAA8" w:rsidR="00D3131C" w:rsidRPr="00AF5BE9" w:rsidRDefault="00D3131C" w:rsidP="00AF5BE9">
            <w:pPr>
              <w:spacing w:line="259" w:lineRule="auto"/>
            </w:pPr>
          </w:p>
        </w:tc>
        <w:tc>
          <w:tcPr>
            <w:tcW w:w="0" w:type="auto"/>
          </w:tcPr>
          <w:p w14:paraId="6A1B7BDA" w14:textId="77777777" w:rsidR="00D3131C" w:rsidRPr="00AF5BE9" w:rsidRDefault="00D3131C" w:rsidP="00AF5BE9"/>
        </w:tc>
        <w:tc>
          <w:tcPr>
            <w:tcW w:w="0" w:type="auto"/>
          </w:tcPr>
          <w:p w14:paraId="7D05BD13" w14:textId="71F1F39B" w:rsidR="00D3131C" w:rsidRPr="00AF5BE9" w:rsidRDefault="00D3131C" w:rsidP="00AF5BE9">
            <w:pPr>
              <w:spacing w:line="259" w:lineRule="auto"/>
            </w:pPr>
          </w:p>
        </w:tc>
        <w:tc>
          <w:tcPr>
            <w:tcW w:w="0" w:type="auto"/>
          </w:tcPr>
          <w:p w14:paraId="60336DCC" w14:textId="77777777" w:rsidR="00D3131C" w:rsidRPr="00AF5BE9" w:rsidRDefault="00D3131C" w:rsidP="00AF5BE9">
            <w:pPr>
              <w:spacing w:line="259" w:lineRule="auto"/>
            </w:pPr>
          </w:p>
        </w:tc>
        <w:tc>
          <w:tcPr>
            <w:tcW w:w="0" w:type="auto"/>
          </w:tcPr>
          <w:p w14:paraId="7AECB08F" w14:textId="77777777" w:rsidR="00D3131C" w:rsidRPr="00AF5BE9" w:rsidRDefault="00D3131C" w:rsidP="00AF5BE9"/>
        </w:tc>
        <w:tc>
          <w:tcPr>
            <w:tcW w:w="0" w:type="auto"/>
          </w:tcPr>
          <w:p w14:paraId="4E4A92C5" w14:textId="4EBE7072" w:rsidR="00D3131C" w:rsidRPr="00AF5BE9" w:rsidRDefault="00D3131C" w:rsidP="00AF5BE9"/>
        </w:tc>
      </w:tr>
      <w:tr w:rsidR="00D3131C" w:rsidRPr="00AF5BE9" w14:paraId="045DBF21" w14:textId="2AE79781" w:rsidTr="00606AB6">
        <w:trPr>
          <w:trHeight w:val="180"/>
        </w:trPr>
        <w:tc>
          <w:tcPr>
            <w:tcW w:w="0" w:type="auto"/>
          </w:tcPr>
          <w:p w14:paraId="41EE8AB4" w14:textId="77777777" w:rsidR="00D3131C" w:rsidRPr="00AF5BE9" w:rsidRDefault="00D3131C" w:rsidP="00AF5BE9">
            <w:pPr>
              <w:spacing w:line="259" w:lineRule="auto"/>
            </w:pPr>
            <w:r w:rsidRPr="00AF5BE9">
              <w:t>LGB-PIM Self-Awareness</w:t>
            </w:r>
          </w:p>
        </w:tc>
        <w:tc>
          <w:tcPr>
            <w:tcW w:w="0" w:type="auto"/>
          </w:tcPr>
          <w:p w14:paraId="774BF72D" w14:textId="77777777" w:rsidR="00D3131C" w:rsidRPr="00AF5BE9" w:rsidRDefault="00D3131C" w:rsidP="00AF5BE9">
            <w:pPr>
              <w:spacing w:line="259" w:lineRule="auto"/>
              <w:rPr>
                <w:vertAlign w:val="superscript"/>
              </w:rPr>
            </w:pPr>
            <w:r w:rsidRPr="00AF5BE9">
              <w:t>.17</w:t>
            </w:r>
            <w:r w:rsidRPr="00AF5BE9">
              <w:rPr>
                <w:vertAlign w:val="superscript"/>
              </w:rPr>
              <w:t>*</w:t>
            </w:r>
          </w:p>
        </w:tc>
        <w:tc>
          <w:tcPr>
            <w:tcW w:w="0" w:type="auto"/>
          </w:tcPr>
          <w:p w14:paraId="385666BE" w14:textId="77777777" w:rsidR="00D3131C" w:rsidRPr="00AF5BE9" w:rsidRDefault="00D3131C" w:rsidP="00AF5BE9">
            <w:pPr>
              <w:spacing w:line="259" w:lineRule="auto"/>
              <w:rPr>
                <w:vertAlign w:val="superscript"/>
              </w:rPr>
            </w:pPr>
            <w:r w:rsidRPr="00AF5BE9">
              <w:t>.20</w:t>
            </w:r>
            <w:r w:rsidRPr="00AF5BE9">
              <w:rPr>
                <w:vertAlign w:val="superscript"/>
              </w:rPr>
              <w:t>*</w:t>
            </w:r>
          </w:p>
        </w:tc>
        <w:tc>
          <w:tcPr>
            <w:tcW w:w="0" w:type="auto"/>
          </w:tcPr>
          <w:p w14:paraId="65B0685A" w14:textId="77777777" w:rsidR="00D3131C" w:rsidRPr="00AF5BE9" w:rsidRDefault="00D3131C" w:rsidP="00AF5BE9">
            <w:pPr>
              <w:spacing w:line="259" w:lineRule="auto"/>
            </w:pPr>
            <w:r w:rsidRPr="00AF5BE9">
              <w:t>.12</w:t>
            </w:r>
          </w:p>
        </w:tc>
        <w:tc>
          <w:tcPr>
            <w:tcW w:w="0" w:type="auto"/>
          </w:tcPr>
          <w:p w14:paraId="3BA04306" w14:textId="77777777" w:rsidR="00D3131C" w:rsidRPr="00AF5BE9" w:rsidRDefault="00D3131C" w:rsidP="00AF5BE9">
            <w:pPr>
              <w:spacing w:line="259" w:lineRule="auto"/>
              <w:rPr>
                <w:vertAlign w:val="superscript"/>
              </w:rPr>
            </w:pPr>
            <w:r w:rsidRPr="00AF5BE9">
              <w:t>.34</w:t>
            </w:r>
            <w:r w:rsidRPr="00AF5BE9">
              <w:rPr>
                <w:vertAlign w:val="superscript"/>
              </w:rPr>
              <w:t>**</w:t>
            </w:r>
          </w:p>
        </w:tc>
        <w:tc>
          <w:tcPr>
            <w:tcW w:w="0" w:type="auto"/>
          </w:tcPr>
          <w:p w14:paraId="0E382077" w14:textId="77777777" w:rsidR="00D3131C" w:rsidRPr="00AF5BE9" w:rsidRDefault="00D3131C" w:rsidP="00AF5BE9">
            <w:pPr>
              <w:spacing w:line="259" w:lineRule="auto"/>
              <w:rPr>
                <w:vertAlign w:val="superscript"/>
              </w:rPr>
            </w:pPr>
            <w:r w:rsidRPr="00AF5BE9">
              <w:t>-.18</w:t>
            </w:r>
            <w:r w:rsidRPr="00AF5BE9">
              <w:rPr>
                <w:vertAlign w:val="superscript"/>
              </w:rPr>
              <w:t>*</w:t>
            </w:r>
          </w:p>
        </w:tc>
        <w:tc>
          <w:tcPr>
            <w:tcW w:w="0" w:type="auto"/>
          </w:tcPr>
          <w:p w14:paraId="1A421C32" w14:textId="77777777" w:rsidR="00D3131C" w:rsidRPr="00AF5BE9" w:rsidRDefault="00D3131C" w:rsidP="00AF5BE9">
            <w:pPr>
              <w:spacing w:line="259" w:lineRule="auto"/>
            </w:pPr>
            <w:r w:rsidRPr="00AF5BE9">
              <w:t>-.13</w:t>
            </w:r>
          </w:p>
        </w:tc>
        <w:tc>
          <w:tcPr>
            <w:tcW w:w="0" w:type="auto"/>
          </w:tcPr>
          <w:p w14:paraId="75406F05" w14:textId="77777777" w:rsidR="00D3131C" w:rsidRPr="00AF5BE9" w:rsidRDefault="00D3131C" w:rsidP="00AF5BE9">
            <w:pPr>
              <w:spacing w:line="259" w:lineRule="auto"/>
              <w:rPr>
                <w:vertAlign w:val="superscript"/>
              </w:rPr>
            </w:pPr>
            <w:r w:rsidRPr="00AF5BE9">
              <w:t>.63</w:t>
            </w:r>
            <w:r w:rsidRPr="00AF5BE9">
              <w:rPr>
                <w:vertAlign w:val="superscript"/>
              </w:rPr>
              <w:t>**</w:t>
            </w:r>
          </w:p>
        </w:tc>
        <w:tc>
          <w:tcPr>
            <w:tcW w:w="0" w:type="auto"/>
          </w:tcPr>
          <w:p w14:paraId="591CF53D" w14:textId="77777777" w:rsidR="00D3131C" w:rsidRPr="00AF5BE9" w:rsidRDefault="00D3131C" w:rsidP="00AF5BE9"/>
        </w:tc>
        <w:tc>
          <w:tcPr>
            <w:tcW w:w="0" w:type="auto"/>
          </w:tcPr>
          <w:p w14:paraId="43F0103F" w14:textId="2923AFD3" w:rsidR="00D3131C" w:rsidRPr="00AF5BE9" w:rsidRDefault="00D3131C" w:rsidP="00AF5BE9">
            <w:pPr>
              <w:spacing w:line="259" w:lineRule="auto"/>
            </w:pPr>
          </w:p>
        </w:tc>
        <w:tc>
          <w:tcPr>
            <w:tcW w:w="0" w:type="auto"/>
          </w:tcPr>
          <w:p w14:paraId="58FB6363" w14:textId="77777777" w:rsidR="00D3131C" w:rsidRPr="00AF5BE9" w:rsidRDefault="00D3131C" w:rsidP="00AF5BE9"/>
        </w:tc>
        <w:tc>
          <w:tcPr>
            <w:tcW w:w="0" w:type="auto"/>
          </w:tcPr>
          <w:p w14:paraId="6BAC1D6C" w14:textId="46FFA8CC" w:rsidR="00D3131C" w:rsidRPr="00AF5BE9" w:rsidRDefault="00D3131C" w:rsidP="00AF5BE9">
            <w:pPr>
              <w:spacing w:line="259" w:lineRule="auto"/>
            </w:pPr>
          </w:p>
        </w:tc>
        <w:tc>
          <w:tcPr>
            <w:tcW w:w="0" w:type="auto"/>
          </w:tcPr>
          <w:p w14:paraId="44F19E96" w14:textId="77777777" w:rsidR="00D3131C" w:rsidRPr="00AF5BE9" w:rsidRDefault="00D3131C" w:rsidP="00AF5BE9">
            <w:pPr>
              <w:spacing w:line="259" w:lineRule="auto"/>
            </w:pPr>
          </w:p>
        </w:tc>
        <w:tc>
          <w:tcPr>
            <w:tcW w:w="0" w:type="auto"/>
          </w:tcPr>
          <w:p w14:paraId="399E39E5" w14:textId="77777777" w:rsidR="00D3131C" w:rsidRPr="00AF5BE9" w:rsidRDefault="00D3131C" w:rsidP="00AF5BE9"/>
        </w:tc>
        <w:tc>
          <w:tcPr>
            <w:tcW w:w="0" w:type="auto"/>
          </w:tcPr>
          <w:p w14:paraId="11AC00F0" w14:textId="61A95E94" w:rsidR="00D3131C" w:rsidRPr="00AF5BE9" w:rsidRDefault="00D3131C" w:rsidP="00AF5BE9"/>
        </w:tc>
      </w:tr>
      <w:tr w:rsidR="00D3131C" w:rsidRPr="00AF5BE9" w14:paraId="33BDB7CE" w14:textId="03996465" w:rsidTr="00606AB6">
        <w:trPr>
          <w:trHeight w:val="180"/>
        </w:trPr>
        <w:tc>
          <w:tcPr>
            <w:tcW w:w="0" w:type="auto"/>
          </w:tcPr>
          <w:p w14:paraId="1B7A1847" w14:textId="77777777" w:rsidR="00D3131C" w:rsidRPr="00AF5BE9" w:rsidRDefault="00D3131C" w:rsidP="00AF5BE9">
            <w:pPr>
              <w:spacing w:line="259" w:lineRule="auto"/>
            </w:pPr>
            <w:r w:rsidRPr="00AF5BE9">
              <w:t>LGB-PIM Authenticity</w:t>
            </w:r>
          </w:p>
        </w:tc>
        <w:tc>
          <w:tcPr>
            <w:tcW w:w="0" w:type="auto"/>
          </w:tcPr>
          <w:p w14:paraId="3602139E" w14:textId="77777777" w:rsidR="00D3131C" w:rsidRPr="00AF5BE9" w:rsidRDefault="00D3131C" w:rsidP="00AF5BE9">
            <w:pPr>
              <w:spacing w:line="259" w:lineRule="auto"/>
              <w:rPr>
                <w:vertAlign w:val="superscript"/>
              </w:rPr>
            </w:pPr>
            <w:r w:rsidRPr="00AF5BE9">
              <w:t>.30</w:t>
            </w:r>
            <w:r w:rsidRPr="00AF5BE9">
              <w:rPr>
                <w:vertAlign w:val="superscript"/>
              </w:rPr>
              <w:t>**</w:t>
            </w:r>
          </w:p>
        </w:tc>
        <w:tc>
          <w:tcPr>
            <w:tcW w:w="0" w:type="auto"/>
          </w:tcPr>
          <w:p w14:paraId="08B7543E" w14:textId="77777777" w:rsidR="00D3131C" w:rsidRPr="00AF5BE9" w:rsidRDefault="00D3131C" w:rsidP="00AF5BE9">
            <w:pPr>
              <w:spacing w:line="259" w:lineRule="auto"/>
              <w:rPr>
                <w:vertAlign w:val="superscript"/>
              </w:rPr>
            </w:pPr>
            <w:r w:rsidRPr="00AF5BE9">
              <w:t>.30</w:t>
            </w:r>
            <w:r w:rsidRPr="00AF5BE9">
              <w:rPr>
                <w:vertAlign w:val="superscript"/>
              </w:rPr>
              <w:t>**</w:t>
            </w:r>
          </w:p>
        </w:tc>
        <w:tc>
          <w:tcPr>
            <w:tcW w:w="0" w:type="auto"/>
          </w:tcPr>
          <w:p w14:paraId="7C2778B4" w14:textId="77777777" w:rsidR="00D3131C" w:rsidRPr="00AF5BE9" w:rsidRDefault="00D3131C" w:rsidP="00AF5BE9">
            <w:pPr>
              <w:spacing w:line="259" w:lineRule="auto"/>
              <w:rPr>
                <w:vertAlign w:val="superscript"/>
              </w:rPr>
            </w:pPr>
            <w:r w:rsidRPr="00AF5BE9">
              <w:t>.31</w:t>
            </w:r>
            <w:r w:rsidRPr="00AF5BE9">
              <w:rPr>
                <w:vertAlign w:val="superscript"/>
              </w:rPr>
              <w:t>**</w:t>
            </w:r>
          </w:p>
        </w:tc>
        <w:tc>
          <w:tcPr>
            <w:tcW w:w="0" w:type="auto"/>
          </w:tcPr>
          <w:p w14:paraId="114E9BB6" w14:textId="77777777" w:rsidR="00D3131C" w:rsidRPr="00AF5BE9" w:rsidRDefault="00D3131C" w:rsidP="00AF5BE9">
            <w:pPr>
              <w:spacing w:line="259" w:lineRule="auto"/>
            </w:pPr>
            <w:r w:rsidRPr="00AF5BE9">
              <w:t>-.02</w:t>
            </w:r>
          </w:p>
        </w:tc>
        <w:tc>
          <w:tcPr>
            <w:tcW w:w="0" w:type="auto"/>
          </w:tcPr>
          <w:p w14:paraId="0FB85496" w14:textId="77777777" w:rsidR="00D3131C" w:rsidRPr="00AF5BE9" w:rsidRDefault="00D3131C" w:rsidP="00AF5BE9">
            <w:pPr>
              <w:spacing w:line="259" w:lineRule="auto"/>
              <w:rPr>
                <w:vertAlign w:val="superscript"/>
              </w:rPr>
            </w:pPr>
            <w:r w:rsidRPr="00AF5BE9">
              <w:t>-.52</w:t>
            </w:r>
            <w:r w:rsidRPr="00AF5BE9">
              <w:rPr>
                <w:vertAlign w:val="superscript"/>
              </w:rPr>
              <w:t>**</w:t>
            </w:r>
          </w:p>
        </w:tc>
        <w:tc>
          <w:tcPr>
            <w:tcW w:w="0" w:type="auto"/>
          </w:tcPr>
          <w:p w14:paraId="2D91AC33" w14:textId="77777777" w:rsidR="00D3131C" w:rsidRPr="00AF5BE9" w:rsidRDefault="00D3131C" w:rsidP="00AF5BE9">
            <w:pPr>
              <w:spacing w:line="259" w:lineRule="auto"/>
              <w:rPr>
                <w:vertAlign w:val="superscript"/>
              </w:rPr>
            </w:pPr>
            <w:r w:rsidRPr="00AF5BE9">
              <w:t>-.53</w:t>
            </w:r>
            <w:r w:rsidRPr="00AF5BE9">
              <w:rPr>
                <w:vertAlign w:val="superscript"/>
              </w:rPr>
              <w:t>**</w:t>
            </w:r>
          </w:p>
        </w:tc>
        <w:tc>
          <w:tcPr>
            <w:tcW w:w="0" w:type="auto"/>
          </w:tcPr>
          <w:p w14:paraId="4887F2B9" w14:textId="5F38F1B7" w:rsidR="00D3131C" w:rsidRPr="00AF5BE9" w:rsidRDefault="00D3131C" w:rsidP="00AF5BE9">
            <w:pPr>
              <w:spacing w:line="259" w:lineRule="auto"/>
              <w:rPr>
                <w:vertAlign w:val="superscript"/>
              </w:rPr>
            </w:pPr>
            <w:r w:rsidRPr="00AF5BE9">
              <w:t>.54</w:t>
            </w:r>
            <w:r w:rsidRPr="00AF5BE9">
              <w:rPr>
                <w:vertAlign w:val="superscript"/>
              </w:rPr>
              <w:t>**</w:t>
            </w:r>
            <w:r w:rsidRPr="00AF5BE9">
              <w:t xml:space="preserve"> </w:t>
            </w:r>
          </w:p>
        </w:tc>
        <w:tc>
          <w:tcPr>
            <w:tcW w:w="0" w:type="auto"/>
          </w:tcPr>
          <w:p w14:paraId="5ED085F9" w14:textId="269DD160" w:rsidR="00D3131C" w:rsidRPr="00AF5BE9" w:rsidRDefault="00D3131C" w:rsidP="00AF5BE9">
            <w:r w:rsidRPr="00AF5BE9">
              <w:t>.30</w:t>
            </w:r>
            <w:r w:rsidRPr="00AF5BE9">
              <w:rPr>
                <w:vertAlign w:val="superscript"/>
              </w:rPr>
              <w:t>**</w:t>
            </w:r>
          </w:p>
        </w:tc>
        <w:tc>
          <w:tcPr>
            <w:tcW w:w="0" w:type="auto"/>
          </w:tcPr>
          <w:p w14:paraId="22778703" w14:textId="5209D8D7" w:rsidR="00D3131C" w:rsidRPr="00AF5BE9" w:rsidRDefault="00D3131C" w:rsidP="00AF5BE9">
            <w:pPr>
              <w:spacing w:line="259" w:lineRule="auto"/>
            </w:pPr>
          </w:p>
        </w:tc>
        <w:tc>
          <w:tcPr>
            <w:tcW w:w="0" w:type="auto"/>
          </w:tcPr>
          <w:p w14:paraId="784AD089" w14:textId="77777777" w:rsidR="00D3131C" w:rsidRPr="00AF5BE9" w:rsidRDefault="00D3131C" w:rsidP="00AF5BE9"/>
        </w:tc>
        <w:tc>
          <w:tcPr>
            <w:tcW w:w="0" w:type="auto"/>
          </w:tcPr>
          <w:p w14:paraId="5E8355D4" w14:textId="22141A89" w:rsidR="00D3131C" w:rsidRPr="00AF5BE9" w:rsidRDefault="00D3131C" w:rsidP="00AF5BE9">
            <w:pPr>
              <w:spacing w:line="259" w:lineRule="auto"/>
            </w:pPr>
          </w:p>
        </w:tc>
        <w:tc>
          <w:tcPr>
            <w:tcW w:w="0" w:type="auto"/>
          </w:tcPr>
          <w:p w14:paraId="6F809AC0" w14:textId="77777777" w:rsidR="00D3131C" w:rsidRPr="00AF5BE9" w:rsidRDefault="00D3131C" w:rsidP="00AF5BE9">
            <w:pPr>
              <w:spacing w:line="259" w:lineRule="auto"/>
            </w:pPr>
          </w:p>
        </w:tc>
        <w:tc>
          <w:tcPr>
            <w:tcW w:w="0" w:type="auto"/>
          </w:tcPr>
          <w:p w14:paraId="16BADFC2" w14:textId="77777777" w:rsidR="00D3131C" w:rsidRPr="00AF5BE9" w:rsidRDefault="00D3131C" w:rsidP="00AF5BE9"/>
        </w:tc>
        <w:tc>
          <w:tcPr>
            <w:tcW w:w="0" w:type="auto"/>
          </w:tcPr>
          <w:p w14:paraId="2EAD387B" w14:textId="018998E3" w:rsidR="00D3131C" w:rsidRPr="00AF5BE9" w:rsidRDefault="00D3131C" w:rsidP="00AF5BE9"/>
        </w:tc>
      </w:tr>
      <w:tr w:rsidR="00D3131C" w:rsidRPr="00AF5BE9" w14:paraId="5CBF8DFA" w14:textId="43E17D2B" w:rsidTr="00606AB6">
        <w:trPr>
          <w:trHeight w:val="180"/>
        </w:trPr>
        <w:tc>
          <w:tcPr>
            <w:tcW w:w="0" w:type="auto"/>
          </w:tcPr>
          <w:p w14:paraId="10411DA6" w14:textId="77777777" w:rsidR="00D3131C" w:rsidRPr="00AF5BE9" w:rsidRDefault="00D3131C" w:rsidP="00AF5BE9">
            <w:pPr>
              <w:spacing w:line="259" w:lineRule="auto"/>
            </w:pPr>
            <w:r w:rsidRPr="00AF5BE9">
              <w:t>LGB-PIM Community</w:t>
            </w:r>
          </w:p>
        </w:tc>
        <w:tc>
          <w:tcPr>
            <w:tcW w:w="0" w:type="auto"/>
          </w:tcPr>
          <w:p w14:paraId="2D1B2B8B" w14:textId="77777777" w:rsidR="00D3131C" w:rsidRPr="00AF5BE9" w:rsidRDefault="00D3131C" w:rsidP="00AF5BE9">
            <w:pPr>
              <w:spacing w:line="259" w:lineRule="auto"/>
              <w:rPr>
                <w:vertAlign w:val="superscript"/>
              </w:rPr>
            </w:pPr>
            <w:r w:rsidRPr="00AF5BE9">
              <w:t>.26</w:t>
            </w:r>
            <w:r w:rsidRPr="00AF5BE9">
              <w:rPr>
                <w:vertAlign w:val="superscript"/>
              </w:rPr>
              <w:t>**</w:t>
            </w:r>
          </w:p>
        </w:tc>
        <w:tc>
          <w:tcPr>
            <w:tcW w:w="0" w:type="auto"/>
          </w:tcPr>
          <w:p w14:paraId="06623CDB" w14:textId="77777777" w:rsidR="00D3131C" w:rsidRPr="00AF5BE9" w:rsidRDefault="00D3131C" w:rsidP="00AF5BE9">
            <w:pPr>
              <w:spacing w:line="259" w:lineRule="auto"/>
              <w:rPr>
                <w:vertAlign w:val="superscript"/>
              </w:rPr>
            </w:pPr>
            <w:r w:rsidRPr="00AF5BE9">
              <w:t>.22</w:t>
            </w:r>
            <w:r w:rsidRPr="00AF5BE9">
              <w:rPr>
                <w:vertAlign w:val="superscript"/>
              </w:rPr>
              <w:t>**</w:t>
            </w:r>
          </w:p>
        </w:tc>
        <w:tc>
          <w:tcPr>
            <w:tcW w:w="0" w:type="auto"/>
          </w:tcPr>
          <w:p w14:paraId="01C54A5F" w14:textId="77777777" w:rsidR="00D3131C" w:rsidRPr="00AF5BE9" w:rsidRDefault="00D3131C" w:rsidP="00AF5BE9">
            <w:pPr>
              <w:spacing w:line="259" w:lineRule="auto"/>
              <w:rPr>
                <w:vertAlign w:val="superscript"/>
              </w:rPr>
            </w:pPr>
            <w:r w:rsidRPr="00AF5BE9">
              <w:t>.28</w:t>
            </w:r>
            <w:r w:rsidRPr="00AF5BE9">
              <w:rPr>
                <w:vertAlign w:val="superscript"/>
              </w:rPr>
              <w:t>**</w:t>
            </w:r>
          </w:p>
        </w:tc>
        <w:tc>
          <w:tcPr>
            <w:tcW w:w="0" w:type="auto"/>
          </w:tcPr>
          <w:p w14:paraId="08C2C374" w14:textId="77777777" w:rsidR="00D3131C" w:rsidRPr="00AF5BE9" w:rsidRDefault="00D3131C" w:rsidP="00AF5BE9">
            <w:pPr>
              <w:spacing w:line="259" w:lineRule="auto"/>
            </w:pPr>
            <w:r w:rsidRPr="00AF5BE9">
              <w:t>.08</w:t>
            </w:r>
          </w:p>
        </w:tc>
        <w:tc>
          <w:tcPr>
            <w:tcW w:w="0" w:type="auto"/>
          </w:tcPr>
          <w:p w14:paraId="32D101AD" w14:textId="77777777" w:rsidR="00D3131C" w:rsidRPr="00AF5BE9" w:rsidRDefault="00D3131C" w:rsidP="00AF5BE9">
            <w:pPr>
              <w:spacing w:line="259" w:lineRule="auto"/>
              <w:rPr>
                <w:vertAlign w:val="superscript"/>
              </w:rPr>
            </w:pPr>
            <w:r w:rsidRPr="00AF5BE9">
              <w:t>-.36</w:t>
            </w:r>
            <w:r w:rsidRPr="00AF5BE9">
              <w:rPr>
                <w:vertAlign w:val="superscript"/>
              </w:rPr>
              <w:t>**</w:t>
            </w:r>
          </w:p>
        </w:tc>
        <w:tc>
          <w:tcPr>
            <w:tcW w:w="0" w:type="auto"/>
          </w:tcPr>
          <w:p w14:paraId="173A0DBA" w14:textId="77777777" w:rsidR="00D3131C" w:rsidRPr="00AF5BE9" w:rsidRDefault="00D3131C" w:rsidP="00AF5BE9">
            <w:pPr>
              <w:spacing w:line="259" w:lineRule="auto"/>
              <w:rPr>
                <w:vertAlign w:val="superscript"/>
              </w:rPr>
            </w:pPr>
            <w:r w:rsidRPr="00AF5BE9">
              <w:t>-.31</w:t>
            </w:r>
            <w:r w:rsidRPr="00AF5BE9">
              <w:rPr>
                <w:vertAlign w:val="superscript"/>
              </w:rPr>
              <w:t>**</w:t>
            </w:r>
          </w:p>
        </w:tc>
        <w:tc>
          <w:tcPr>
            <w:tcW w:w="0" w:type="auto"/>
          </w:tcPr>
          <w:p w14:paraId="292D5287" w14:textId="6786C2EB" w:rsidR="00D3131C" w:rsidRPr="00AF5BE9" w:rsidRDefault="00D3131C" w:rsidP="00AF5BE9">
            <w:pPr>
              <w:spacing w:line="259" w:lineRule="auto"/>
              <w:rPr>
                <w:vertAlign w:val="superscript"/>
              </w:rPr>
            </w:pPr>
            <w:r w:rsidRPr="00AF5BE9">
              <w:t>.73</w:t>
            </w:r>
            <w:r w:rsidRPr="00AF5BE9">
              <w:rPr>
                <w:vertAlign w:val="superscript"/>
              </w:rPr>
              <w:t>**</w:t>
            </w:r>
            <w:r w:rsidRPr="00AF5BE9">
              <w:t xml:space="preserve"> </w:t>
            </w:r>
          </w:p>
        </w:tc>
        <w:tc>
          <w:tcPr>
            <w:tcW w:w="0" w:type="auto"/>
          </w:tcPr>
          <w:p w14:paraId="7808C036" w14:textId="37F08DAF" w:rsidR="00D3131C" w:rsidRPr="00AF5BE9" w:rsidRDefault="00D3131C" w:rsidP="00AF5BE9">
            <w:r w:rsidRPr="00AF5BE9">
              <w:t>.46</w:t>
            </w:r>
            <w:r w:rsidRPr="00AF5BE9">
              <w:rPr>
                <w:vertAlign w:val="superscript"/>
              </w:rPr>
              <w:t>**</w:t>
            </w:r>
          </w:p>
        </w:tc>
        <w:tc>
          <w:tcPr>
            <w:tcW w:w="0" w:type="auto"/>
          </w:tcPr>
          <w:p w14:paraId="4AC3DED8" w14:textId="77AE6294" w:rsidR="00D3131C" w:rsidRPr="00AF5BE9" w:rsidRDefault="00D3131C" w:rsidP="00AF5BE9">
            <w:pPr>
              <w:spacing w:line="259" w:lineRule="auto"/>
              <w:rPr>
                <w:vertAlign w:val="superscript"/>
              </w:rPr>
            </w:pPr>
            <w:r w:rsidRPr="00AF5BE9">
              <w:t>.47</w:t>
            </w:r>
            <w:r w:rsidRPr="00AF5BE9">
              <w:rPr>
                <w:vertAlign w:val="superscript"/>
              </w:rPr>
              <w:t>**</w:t>
            </w:r>
          </w:p>
        </w:tc>
        <w:tc>
          <w:tcPr>
            <w:tcW w:w="0" w:type="auto"/>
          </w:tcPr>
          <w:p w14:paraId="3092C0D2" w14:textId="77777777" w:rsidR="00D3131C" w:rsidRPr="00AF5BE9" w:rsidRDefault="00D3131C" w:rsidP="00AF5BE9"/>
        </w:tc>
        <w:tc>
          <w:tcPr>
            <w:tcW w:w="0" w:type="auto"/>
          </w:tcPr>
          <w:p w14:paraId="5748E5D6" w14:textId="57534534" w:rsidR="00D3131C" w:rsidRPr="00AF5BE9" w:rsidRDefault="00D3131C" w:rsidP="00AF5BE9">
            <w:pPr>
              <w:spacing w:line="259" w:lineRule="auto"/>
            </w:pPr>
          </w:p>
        </w:tc>
        <w:tc>
          <w:tcPr>
            <w:tcW w:w="0" w:type="auto"/>
          </w:tcPr>
          <w:p w14:paraId="22A63157" w14:textId="77777777" w:rsidR="00D3131C" w:rsidRPr="00AF5BE9" w:rsidRDefault="00D3131C" w:rsidP="00AF5BE9">
            <w:pPr>
              <w:spacing w:line="259" w:lineRule="auto"/>
            </w:pPr>
          </w:p>
        </w:tc>
        <w:tc>
          <w:tcPr>
            <w:tcW w:w="0" w:type="auto"/>
          </w:tcPr>
          <w:p w14:paraId="7B9EEFED" w14:textId="77777777" w:rsidR="00D3131C" w:rsidRPr="00AF5BE9" w:rsidRDefault="00D3131C" w:rsidP="00AF5BE9"/>
        </w:tc>
        <w:tc>
          <w:tcPr>
            <w:tcW w:w="0" w:type="auto"/>
          </w:tcPr>
          <w:p w14:paraId="3C8BB848" w14:textId="1C40C3A9" w:rsidR="00D3131C" w:rsidRPr="00AF5BE9" w:rsidRDefault="00D3131C" w:rsidP="00AF5BE9"/>
        </w:tc>
      </w:tr>
      <w:tr w:rsidR="00D3131C" w:rsidRPr="00AF5BE9" w14:paraId="7CFA4087" w14:textId="1759EC40" w:rsidTr="00606AB6">
        <w:trPr>
          <w:trHeight w:val="180"/>
        </w:trPr>
        <w:tc>
          <w:tcPr>
            <w:tcW w:w="0" w:type="auto"/>
          </w:tcPr>
          <w:p w14:paraId="3BB69294" w14:textId="77777777" w:rsidR="00D3131C" w:rsidRPr="00AF5BE9" w:rsidRDefault="00D3131C" w:rsidP="00AF5BE9">
            <w:pPr>
              <w:spacing w:line="259" w:lineRule="auto"/>
            </w:pPr>
            <w:r w:rsidRPr="00AF5BE9">
              <w:t>LGB-PIM Intimacy</w:t>
            </w:r>
          </w:p>
        </w:tc>
        <w:tc>
          <w:tcPr>
            <w:tcW w:w="0" w:type="auto"/>
          </w:tcPr>
          <w:p w14:paraId="6621FAAD" w14:textId="77777777" w:rsidR="00D3131C" w:rsidRPr="00AF5BE9" w:rsidRDefault="00D3131C" w:rsidP="00AF5BE9">
            <w:pPr>
              <w:spacing w:line="259" w:lineRule="auto"/>
              <w:rPr>
                <w:vertAlign w:val="superscript"/>
              </w:rPr>
            </w:pPr>
            <w:r w:rsidRPr="00AF5BE9">
              <w:t>.22</w:t>
            </w:r>
            <w:r w:rsidRPr="00AF5BE9">
              <w:rPr>
                <w:vertAlign w:val="superscript"/>
              </w:rPr>
              <w:t>**</w:t>
            </w:r>
          </w:p>
        </w:tc>
        <w:tc>
          <w:tcPr>
            <w:tcW w:w="0" w:type="auto"/>
          </w:tcPr>
          <w:p w14:paraId="409AA08E" w14:textId="77777777" w:rsidR="00D3131C" w:rsidRPr="00AF5BE9" w:rsidRDefault="00D3131C" w:rsidP="00AF5BE9">
            <w:pPr>
              <w:spacing w:line="259" w:lineRule="auto"/>
              <w:rPr>
                <w:vertAlign w:val="superscript"/>
              </w:rPr>
            </w:pPr>
            <w:r w:rsidRPr="00AF5BE9">
              <w:t>.26</w:t>
            </w:r>
            <w:r w:rsidRPr="00AF5BE9">
              <w:rPr>
                <w:vertAlign w:val="superscript"/>
              </w:rPr>
              <w:t>**</w:t>
            </w:r>
          </w:p>
        </w:tc>
        <w:tc>
          <w:tcPr>
            <w:tcW w:w="0" w:type="auto"/>
          </w:tcPr>
          <w:p w14:paraId="070E3C09" w14:textId="77777777" w:rsidR="00D3131C" w:rsidRPr="00AF5BE9" w:rsidRDefault="00D3131C" w:rsidP="00AF5BE9">
            <w:pPr>
              <w:spacing w:line="259" w:lineRule="auto"/>
            </w:pPr>
            <w:r w:rsidRPr="00AF5BE9">
              <w:t>.11</w:t>
            </w:r>
          </w:p>
        </w:tc>
        <w:tc>
          <w:tcPr>
            <w:tcW w:w="0" w:type="auto"/>
          </w:tcPr>
          <w:p w14:paraId="4821CD95" w14:textId="77777777" w:rsidR="00D3131C" w:rsidRPr="00AF5BE9" w:rsidRDefault="00D3131C" w:rsidP="00AF5BE9">
            <w:pPr>
              <w:spacing w:line="259" w:lineRule="auto"/>
              <w:rPr>
                <w:vertAlign w:val="superscript"/>
              </w:rPr>
            </w:pPr>
            <w:r w:rsidRPr="00AF5BE9">
              <w:t>.21</w:t>
            </w:r>
            <w:r w:rsidRPr="00AF5BE9">
              <w:rPr>
                <w:vertAlign w:val="superscript"/>
              </w:rPr>
              <w:t>**</w:t>
            </w:r>
          </w:p>
        </w:tc>
        <w:tc>
          <w:tcPr>
            <w:tcW w:w="0" w:type="auto"/>
          </w:tcPr>
          <w:p w14:paraId="53D89C54" w14:textId="77777777" w:rsidR="00D3131C" w:rsidRPr="00AF5BE9" w:rsidRDefault="00D3131C" w:rsidP="00AF5BE9">
            <w:pPr>
              <w:spacing w:line="259" w:lineRule="auto"/>
              <w:rPr>
                <w:vertAlign w:val="superscript"/>
              </w:rPr>
            </w:pPr>
            <w:r w:rsidRPr="00AF5BE9">
              <w:t>-.21</w:t>
            </w:r>
            <w:r w:rsidRPr="00AF5BE9">
              <w:rPr>
                <w:vertAlign w:val="superscript"/>
              </w:rPr>
              <w:t>**</w:t>
            </w:r>
          </w:p>
        </w:tc>
        <w:tc>
          <w:tcPr>
            <w:tcW w:w="0" w:type="auto"/>
          </w:tcPr>
          <w:p w14:paraId="37F21C21" w14:textId="77777777" w:rsidR="00D3131C" w:rsidRPr="00AF5BE9" w:rsidRDefault="00D3131C" w:rsidP="00AF5BE9">
            <w:pPr>
              <w:spacing w:line="259" w:lineRule="auto"/>
              <w:rPr>
                <w:vertAlign w:val="superscript"/>
              </w:rPr>
            </w:pPr>
            <w:r w:rsidRPr="00AF5BE9">
              <w:t>-.20</w:t>
            </w:r>
            <w:r w:rsidRPr="00AF5BE9">
              <w:rPr>
                <w:vertAlign w:val="superscript"/>
              </w:rPr>
              <w:t>*</w:t>
            </w:r>
          </w:p>
        </w:tc>
        <w:tc>
          <w:tcPr>
            <w:tcW w:w="0" w:type="auto"/>
          </w:tcPr>
          <w:p w14:paraId="5E2E011E" w14:textId="794E5AC3" w:rsidR="00D3131C" w:rsidRPr="00AF5BE9" w:rsidRDefault="00D3131C" w:rsidP="00AF5BE9">
            <w:pPr>
              <w:spacing w:line="259" w:lineRule="auto"/>
              <w:rPr>
                <w:vertAlign w:val="superscript"/>
              </w:rPr>
            </w:pPr>
            <w:r w:rsidRPr="00AF5BE9">
              <w:t>.55</w:t>
            </w:r>
            <w:r w:rsidRPr="00AF5BE9">
              <w:rPr>
                <w:vertAlign w:val="superscript"/>
              </w:rPr>
              <w:t>**</w:t>
            </w:r>
            <w:r w:rsidRPr="00AF5BE9">
              <w:t xml:space="preserve"> </w:t>
            </w:r>
          </w:p>
        </w:tc>
        <w:tc>
          <w:tcPr>
            <w:tcW w:w="0" w:type="auto"/>
          </w:tcPr>
          <w:p w14:paraId="64D9EE76" w14:textId="4DFCDFE1" w:rsidR="00D3131C" w:rsidRPr="00AF5BE9" w:rsidRDefault="00D3131C" w:rsidP="00AF5BE9">
            <w:r w:rsidRPr="00AF5BE9">
              <w:t>.55</w:t>
            </w:r>
            <w:r w:rsidRPr="00AF5BE9">
              <w:rPr>
                <w:vertAlign w:val="superscript"/>
              </w:rPr>
              <w:t>**</w:t>
            </w:r>
          </w:p>
        </w:tc>
        <w:tc>
          <w:tcPr>
            <w:tcW w:w="0" w:type="auto"/>
          </w:tcPr>
          <w:p w14:paraId="25EDC1A7" w14:textId="1DC68B47" w:rsidR="00D3131C" w:rsidRPr="00AF5BE9" w:rsidRDefault="00D3131C" w:rsidP="00AF5BE9">
            <w:pPr>
              <w:spacing w:line="259" w:lineRule="auto"/>
              <w:rPr>
                <w:vertAlign w:val="superscript"/>
              </w:rPr>
            </w:pPr>
            <w:r w:rsidRPr="00AF5BE9">
              <w:t>.43</w:t>
            </w:r>
            <w:r w:rsidRPr="00AF5BE9">
              <w:rPr>
                <w:vertAlign w:val="superscript"/>
              </w:rPr>
              <w:t>**</w:t>
            </w:r>
            <w:r w:rsidRPr="00AF5BE9">
              <w:t xml:space="preserve"> </w:t>
            </w:r>
          </w:p>
        </w:tc>
        <w:tc>
          <w:tcPr>
            <w:tcW w:w="0" w:type="auto"/>
          </w:tcPr>
          <w:p w14:paraId="41156BFA" w14:textId="294A394D" w:rsidR="00D3131C" w:rsidRPr="00AF5BE9" w:rsidRDefault="00D3131C" w:rsidP="00AF5BE9">
            <w:r w:rsidRPr="00AF5BE9">
              <w:t>.43</w:t>
            </w:r>
            <w:r w:rsidRPr="00AF5BE9">
              <w:rPr>
                <w:vertAlign w:val="superscript"/>
              </w:rPr>
              <w:t>**</w:t>
            </w:r>
          </w:p>
        </w:tc>
        <w:tc>
          <w:tcPr>
            <w:tcW w:w="0" w:type="auto"/>
          </w:tcPr>
          <w:p w14:paraId="2D2AF0C5" w14:textId="5C443E43" w:rsidR="00D3131C" w:rsidRPr="00AF5BE9" w:rsidRDefault="00D3131C" w:rsidP="00AF5BE9">
            <w:pPr>
              <w:spacing w:line="259" w:lineRule="auto"/>
            </w:pPr>
          </w:p>
        </w:tc>
        <w:tc>
          <w:tcPr>
            <w:tcW w:w="0" w:type="auto"/>
          </w:tcPr>
          <w:p w14:paraId="63638BE2" w14:textId="77777777" w:rsidR="00D3131C" w:rsidRPr="00AF5BE9" w:rsidRDefault="00D3131C" w:rsidP="00AF5BE9">
            <w:pPr>
              <w:spacing w:line="259" w:lineRule="auto"/>
            </w:pPr>
          </w:p>
        </w:tc>
        <w:tc>
          <w:tcPr>
            <w:tcW w:w="0" w:type="auto"/>
          </w:tcPr>
          <w:p w14:paraId="375D5493" w14:textId="77777777" w:rsidR="00D3131C" w:rsidRPr="00AF5BE9" w:rsidRDefault="00D3131C" w:rsidP="00AF5BE9"/>
        </w:tc>
        <w:tc>
          <w:tcPr>
            <w:tcW w:w="0" w:type="auto"/>
          </w:tcPr>
          <w:p w14:paraId="6FC904ED" w14:textId="4B4529B1" w:rsidR="00D3131C" w:rsidRPr="00AF5BE9" w:rsidRDefault="00D3131C" w:rsidP="00AF5BE9"/>
        </w:tc>
      </w:tr>
      <w:tr w:rsidR="00D3131C" w:rsidRPr="00AF5BE9" w14:paraId="1ABB4894" w14:textId="0687E81D" w:rsidTr="00606AB6">
        <w:trPr>
          <w:trHeight w:val="179"/>
        </w:trPr>
        <w:tc>
          <w:tcPr>
            <w:tcW w:w="0" w:type="auto"/>
          </w:tcPr>
          <w:p w14:paraId="278A7CAC" w14:textId="77777777" w:rsidR="00D3131C" w:rsidRPr="00AF5BE9" w:rsidRDefault="00D3131C" w:rsidP="00AF5BE9">
            <w:pPr>
              <w:spacing w:line="259" w:lineRule="auto"/>
            </w:pPr>
            <w:r w:rsidRPr="00AF5BE9">
              <w:t>LGB-PIM Social Justice</w:t>
            </w:r>
          </w:p>
        </w:tc>
        <w:tc>
          <w:tcPr>
            <w:tcW w:w="0" w:type="auto"/>
          </w:tcPr>
          <w:p w14:paraId="06DD8F41" w14:textId="77777777" w:rsidR="00D3131C" w:rsidRPr="00AF5BE9" w:rsidRDefault="00D3131C" w:rsidP="00AF5BE9">
            <w:pPr>
              <w:spacing w:line="259" w:lineRule="auto"/>
            </w:pPr>
            <w:r w:rsidRPr="00AF5BE9">
              <w:t>.04</w:t>
            </w:r>
          </w:p>
        </w:tc>
        <w:tc>
          <w:tcPr>
            <w:tcW w:w="0" w:type="auto"/>
          </w:tcPr>
          <w:p w14:paraId="7CCD7000" w14:textId="77777777" w:rsidR="00D3131C" w:rsidRPr="00AF5BE9" w:rsidRDefault="00D3131C" w:rsidP="00AF5BE9">
            <w:pPr>
              <w:spacing w:line="259" w:lineRule="auto"/>
            </w:pPr>
            <w:r w:rsidRPr="00AF5BE9">
              <w:t>.04</w:t>
            </w:r>
          </w:p>
        </w:tc>
        <w:tc>
          <w:tcPr>
            <w:tcW w:w="0" w:type="auto"/>
          </w:tcPr>
          <w:p w14:paraId="704EA376" w14:textId="77777777" w:rsidR="00D3131C" w:rsidRPr="00AF5BE9" w:rsidRDefault="00D3131C" w:rsidP="00AF5BE9">
            <w:pPr>
              <w:spacing w:line="259" w:lineRule="auto"/>
            </w:pPr>
            <w:r w:rsidRPr="00AF5BE9">
              <w:t>-.03</w:t>
            </w:r>
          </w:p>
        </w:tc>
        <w:tc>
          <w:tcPr>
            <w:tcW w:w="0" w:type="auto"/>
          </w:tcPr>
          <w:p w14:paraId="13E1E2A0" w14:textId="77777777" w:rsidR="00D3131C" w:rsidRPr="00AF5BE9" w:rsidRDefault="00D3131C" w:rsidP="00AF5BE9">
            <w:pPr>
              <w:spacing w:line="259" w:lineRule="auto"/>
              <w:rPr>
                <w:vertAlign w:val="superscript"/>
              </w:rPr>
            </w:pPr>
            <w:r w:rsidRPr="00AF5BE9">
              <w:t>.27</w:t>
            </w:r>
            <w:r w:rsidRPr="00AF5BE9">
              <w:rPr>
                <w:vertAlign w:val="superscript"/>
              </w:rPr>
              <w:t>**</w:t>
            </w:r>
          </w:p>
        </w:tc>
        <w:tc>
          <w:tcPr>
            <w:tcW w:w="0" w:type="auto"/>
          </w:tcPr>
          <w:p w14:paraId="5BBFD83C" w14:textId="77777777" w:rsidR="00D3131C" w:rsidRPr="00AF5BE9" w:rsidRDefault="00D3131C" w:rsidP="00AF5BE9">
            <w:pPr>
              <w:spacing w:line="259" w:lineRule="auto"/>
            </w:pPr>
            <w:r w:rsidRPr="00AF5BE9">
              <w:t>-.12</w:t>
            </w:r>
          </w:p>
        </w:tc>
        <w:tc>
          <w:tcPr>
            <w:tcW w:w="0" w:type="auto"/>
          </w:tcPr>
          <w:p w14:paraId="69D753E8" w14:textId="77777777" w:rsidR="00D3131C" w:rsidRPr="00AF5BE9" w:rsidRDefault="00D3131C" w:rsidP="00AF5BE9">
            <w:pPr>
              <w:spacing w:line="259" w:lineRule="auto"/>
            </w:pPr>
            <w:r w:rsidRPr="00AF5BE9">
              <w:t>-.12</w:t>
            </w:r>
          </w:p>
        </w:tc>
        <w:tc>
          <w:tcPr>
            <w:tcW w:w="0" w:type="auto"/>
          </w:tcPr>
          <w:p w14:paraId="04BACA85" w14:textId="7D9AD646" w:rsidR="00D3131C" w:rsidRPr="00AF5BE9" w:rsidRDefault="00D3131C" w:rsidP="00AF5BE9">
            <w:pPr>
              <w:spacing w:line="259" w:lineRule="auto"/>
              <w:rPr>
                <w:vertAlign w:val="superscript"/>
              </w:rPr>
            </w:pPr>
            <w:r w:rsidRPr="00AF5BE9">
              <w:t>.61</w:t>
            </w:r>
            <w:r w:rsidRPr="00AF5BE9">
              <w:rPr>
                <w:vertAlign w:val="superscript"/>
              </w:rPr>
              <w:t>**</w:t>
            </w:r>
            <w:r w:rsidRPr="00AF5BE9">
              <w:t xml:space="preserve"> </w:t>
            </w:r>
          </w:p>
        </w:tc>
        <w:tc>
          <w:tcPr>
            <w:tcW w:w="0" w:type="auto"/>
          </w:tcPr>
          <w:p w14:paraId="13E3F661" w14:textId="381B2946" w:rsidR="00D3131C" w:rsidRPr="00AF5BE9" w:rsidRDefault="00D3131C" w:rsidP="00AF5BE9">
            <w:r w:rsidRPr="00AF5BE9">
              <w:t>.64</w:t>
            </w:r>
            <w:r w:rsidRPr="00AF5BE9">
              <w:rPr>
                <w:vertAlign w:val="superscript"/>
              </w:rPr>
              <w:t>**</w:t>
            </w:r>
          </w:p>
        </w:tc>
        <w:tc>
          <w:tcPr>
            <w:tcW w:w="0" w:type="auto"/>
          </w:tcPr>
          <w:p w14:paraId="0CF7FEA0" w14:textId="3B5A57B8" w:rsidR="00D3131C" w:rsidRPr="00AF5BE9" w:rsidRDefault="00D3131C" w:rsidP="00AF5BE9">
            <w:pPr>
              <w:spacing w:line="259" w:lineRule="auto"/>
              <w:rPr>
                <w:vertAlign w:val="superscript"/>
              </w:rPr>
            </w:pPr>
            <w:r w:rsidRPr="00AF5BE9">
              <w:t>.19</w:t>
            </w:r>
            <w:r w:rsidRPr="00AF5BE9">
              <w:rPr>
                <w:vertAlign w:val="superscript"/>
              </w:rPr>
              <w:t>*</w:t>
            </w:r>
            <w:r w:rsidRPr="00AF5BE9">
              <w:t xml:space="preserve"> </w:t>
            </w:r>
          </w:p>
        </w:tc>
        <w:tc>
          <w:tcPr>
            <w:tcW w:w="0" w:type="auto"/>
          </w:tcPr>
          <w:p w14:paraId="2C5F90FB" w14:textId="5CD0912B" w:rsidR="00D3131C" w:rsidRPr="00AF5BE9" w:rsidRDefault="00D3131C" w:rsidP="00AF5BE9">
            <w:r w:rsidRPr="00AF5BE9">
              <w:t>.41</w:t>
            </w:r>
            <w:r w:rsidRPr="00AF5BE9">
              <w:rPr>
                <w:vertAlign w:val="superscript"/>
              </w:rPr>
              <w:t>**</w:t>
            </w:r>
          </w:p>
        </w:tc>
        <w:tc>
          <w:tcPr>
            <w:tcW w:w="0" w:type="auto"/>
          </w:tcPr>
          <w:p w14:paraId="20EFFD58" w14:textId="519DC370" w:rsidR="00D3131C" w:rsidRPr="00AF5BE9" w:rsidRDefault="00D3131C" w:rsidP="00AF5BE9">
            <w:pPr>
              <w:spacing w:line="259" w:lineRule="auto"/>
              <w:rPr>
                <w:vertAlign w:val="superscript"/>
              </w:rPr>
            </w:pPr>
            <w:r w:rsidRPr="00AF5BE9">
              <w:t>.43</w:t>
            </w:r>
            <w:r w:rsidRPr="00AF5BE9">
              <w:rPr>
                <w:vertAlign w:val="superscript"/>
              </w:rPr>
              <w:t>**</w:t>
            </w:r>
          </w:p>
        </w:tc>
        <w:tc>
          <w:tcPr>
            <w:tcW w:w="0" w:type="auto"/>
          </w:tcPr>
          <w:p w14:paraId="31D6DBCE" w14:textId="77777777" w:rsidR="00D3131C" w:rsidRPr="00AF5BE9" w:rsidRDefault="00D3131C" w:rsidP="00AF5BE9">
            <w:pPr>
              <w:spacing w:line="259" w:lineRule="auto"/>
            </w:pPr>
          </w:p>
        </w:tc>
        <w:tc>
          <w:tcPr>
            <w:tcW w:w="0" w:type="auto"/>
          </w:tcPr>
          <w:p w14:paraId="46388B1A" w14:textId="77777777" w:rsidR="00D3131C" w:rsidRPr="00AF5BE9" w:rsidRDefault="00D3131C" w:rsidP="00AF5BE9"/>
        </w:tc>
        <w:tc>
          <w:tcPr>
            <w:tcW w:w="0" w:type="auto"/>
          </w:tcPr>
          <w:p w14:paraId="26E0457A" w14:textId="1D183F13" w:rsidR="00D3131C" w:rsidRPr="00AF5BE9" w:rsidRDefault="00D3131C" w:rsidP="00AF5BE9"/>
        </w:tc>
      </w:tr>
      <w:tr w:rsidR="00D3131C" w:rsidRPr="00AF5BE9" w14:paraId="78210480" w14:textId="3CD57053" w:rsidTr="00606AB6">
        <w:trPr>
          <w:trHeight w:val="180"/>
        </w:trPr>
        <w:tc>
          <w:tcPr>
            <w:tcW w:w="0" w:type="auto"/>
          </w:tcPr>
          <w:p w14:paraId="1DDC07F8" w14:textId="77777777" w:rsidR="00D3131C" w:rsidRPr="00AF5BE9" w:rsidRDefault="00D3131C" w:rsidP="00AF5BE9">
            <w:pPr>
              <w:spacing w:line="259" w:lineRule="auto"/>
            </w:pPr>
            <w:r w:rsidRPr="00AF5BE9">
              <w:t>MSPSS</w:t>
            </w:r>
          </w:p>
        </w:tc>
        <w:tc>
          <w:tcPr>
            <w:tcW w:w="0" w:type="auto"/>
          </w:tcPr>
          <w:p w14:paraId="1D2A8365" w14:textId="77777777" w:rsidR="00D3131C" w:rsidRPr="00AF5BE9" w:rsidRDefault="00D3131C" w:rsidP="00AF5BE9">
            <w:pPr>
              <w:spacing w:line="259" w:lineRule="auto"/>
              <w:rPr>
                <w:vertAlign w:val="superscript"/>
              </w:rPr>
            </w:pPr>
            <w:r w:rsidRPr="00AF5BE9">
              <w:t>.48</w:t>
            </w:r>
            <w:r w:rsidRPr="00AF5BE9">
              <w:rPr>
                <w:vertAlign w:val="superscript"/>
              </w:rPr>
              <w:t>**</w:t>
            </w:r>
          </w:p>
        </w:tc>
        <w:tc>
          <w:tcPr>
            <w:tcW w:w="0" w:type="auto"/>
          </w:tcPr>
          <w:p w14:paraId="02FF8C6B" w14:textId="77777777" w:rsidR="00D3131C" w:rsidRPr="00AF5BE9" w:rsidRDefault="00D3131C" w:rsidP="00AF5BE9">
            <w:pPr>
              <w:spacing w:line="259" w:lineRule="auto"/>
              <w:rPr>
                <w:vertAlign w:val="superscript"/>
              </w:rPr>
            </w:pPr>
            <w:r w:rsidRPr="00AF5BE9">
              <w:t>.53</w:t>
            </w:r>
            <w:r w:rsidRPr="00AF5BE9">
              <w:rPr>
                <w:vertAlign w:val="superscript"/>
              </w:rPr>
              <w:t>**</w:t>
            </w:r>
          </w:p>
        </w:tc>
        <w:tc>
          <w:tcPr>
            <w:tcW w:w="0" w:type="auto"/>
          </w:tcPr>
          <w:p w14:paraId="20BA865E" w14:textId="77777777" w:rsidR="00D3131C" w:rsidRPr="00AF5BE9" w:rsidRDefault="00D3131C" w:rsidP="00AF5BE9">
            <w:pPr>
              <w:spacing w:line="259" w:lineRule="auto"/>
              <w:rPr>
                <w:vertAlign w:val="superscript"/>
              </w:rPr>
            </w:pPr>
            <w:r w:rsidRPr="00AF5BE9">
              <w:t>.48</w:t>
            </w:r>
            <w:r w:rsidRPr="00AF5BE9">
              <w:rPr>
                <w:vertAlign w:val="superscript"/>
              </w:rPr>
              <w:t>**</w:t>
            </w:r>
          </w:p>
        </w:tc>
        <w:tc>
          <w:tcPr>
            <w:tcW w:w="0" w:type="auto"/>
          </w:tcPr>
          <w:p w14:paraId="2EC17F0C" w14:textId="77777777" w:rsidR="00D3131C" w:rsidRPr="00AF5BE9" w:rsidRDefault="00D3131C" w:rsidP="00AF5BE9">
            <w:pPr>
              <w:spacing w:line="259" w:lineRule="auto"/>
            </w:pPr>
            <w:r w:rsidRPr="00AF5BE9">
              <w:t>-.12</w:t>
            </w:r>
          </w:p>
        </w:tc>
        <w:tc>
          <w:tcPr>
            <w:tcW w:w="0" w:type="auto"/>
          </w:tcPr>
          <w:p w14:paraId="5033B0FF" w14:textId="77777777" w:rsidR="00D3131C" w:rsidRPr="00AF5BE9" w:rsidRDefault="00D3131C" w:rsidP="00AF5BE9">
            <w:pPr>
              <w:spacing w:line="259" w:lineRule="auto"/>
            </w:pPr>
            <w:r w:rsidRPr="00AF5BE9">
              <w:t>-.16</w:t>
            </w:r>
          </w:p>
        </w:tc>
        <w:tc>
          <w:tcPr>
            <w:tcW w:w="0" w:type="auto"/>
          </w:tcPr>
          <w:p w14:paraId="6A1A04F8" w14:textId="77777777" w:rsidR="00D3131C" w:rsidRPr="00AF5BE9" w:rsidRDefault="00D3131C" w:rsidP="00AF5BE9">
            <w:pPr>
              <w:spacing w:line="259" w:lineRule="auto"/>
            </w:pPr>
            <w:r w:rsidRPr="00AF5BE9">
              <w:t>-.01</w:t>
            </w:r>
          </w:p>
        </w:tc>
        <w:tc>
          <w:tcPr>
            <w:tcW w:w="0" w:type="auto"/>
          </w:tcPr>
          <w:p w14:paraId="033D923D" w14:textId="5E1BF732" w:rsidR="00D3131C" w:rsidRPr="00AF5BE9" w:rsidRDefault="00D3131C" w:rsidP="00AF5BE9">
            <w:pPr>
              <w:spacing w:line="259" w:lineRule="auto"/>
            </w:pPr>
            <w:r w:rsidRPr="00AF5BE9">
              <w:t>.25</w:t>
            </w:r>
            <w:r w:rsidRPr="00AF5BE9">
              <w:rPr>
                <w:vertAlign w:val="superscript"/>
              </w:rPr>
              <w:t>**</w:t>
            </w:r>
            <w:r w:rsidRPr="00AF5BE9">
              <w:t xml:space="preserve"> </w:t>
            </w:r>
          </w:p>
        </w:tc>
        <w:tc>
          <w:tcPr>
            <w:tcW w:w="0" w:type="auto"/>
          </w:tcPr>
          <w:p w14:paraId="125F2FEC" w14:textId="71E71B05" w:rsidR="00D3131C" w:rsidRPr="00AF5BE9" w:rsidRDefault="00D3131C" w:rsidP="00AF5BE9">
            <w:r w:rsidRPr="00AF5BE9">
              <w:t>.14</w:t>
            </w:r>
          </w:p>
        </w:tc>
        <w:tc>
          <w:tcPr>
            <w:tcW w:w="0" w:type="auto"/>
          </w:tcPr>
          <w:p w14:paraId="6C1FD01A" w14:textId="78F60D0A" w:rsidR="00D3131C" w:rsidRPr="00AF5BE9" w:rsidRDefault="00D3131C" w:rsidP="00AF5BE9">
            <w:pPr>
              <w:spacing w:line="259" w:lineRule="auto"/>
              <w:rPr>
                <w:vertAlign w:val="superscript"/>
              </w:rPr>
            </w:pPr>
            <w:r w:rsidRPr="00AF5BE9">
              <w:t>.27</w:t>
            </w:r>
            <w:r w:rsidRPr="00AF5BE9">
              <w:rPr>
                <w:vertAlign w:val="superscript"/>
              </w:rPr>
              <w:t>**</w:t>
            </w:r>
            <w:r w:rsidRPr="00AF5BE9">
              <w:t xml:space="preserve"> </w:t>
            </w:r>
          </w:p>
        </w:tc>
        <w:tc>
          <w:tcPr>
            <w:tcW w:w="0" w:type="auto"/>
          </w:tcPr>
          <w:p w14:paraId="7B332968" w14:textId="72E4CAFB" w:rsidR="00D3131C" w:rsidRPr="00AF5BE9" w:rsidRDefault="00D3131C" w:rsidP="00AF5BE9">
            <w:r w:rsidRPr="00AF5BE9">
              <w:t>.31</w:t>
            </w:r>
            <w:r w:rsidRPr="00AF5BE9">
              <w:rPr>
                <w:vertAlign w:val="superscript"/>
              </w:rPr>
              <w:t>**</w:t>
            </w:r>
          </w:p>
        </w:tc>
        <w:tc>
          <w:tcPr>
            <w:tcW w:w="0" w:type="auto"/>
          </w:tcPr>
          <w:p w14:paraId="1B7F5A27" w14:textId="518F22B4" w:rsidR="00D3131C" w:rsidRPr="00AF5BE9" w:rsidRDefault="00D3131C" w:rsidP="00AF5BE9">
            <w:pPr>
              <w:spacing w:line="259" w:lineRule="auto"/>
              <w:rPr>
                <w:vertAlign w:val="superscript"/>
              </w:rPr>
            </w:pPr>
            <w:r w:rsidRPr="00AF5BE9">
              <w:t>.30</w:t>
            </w:r>
            <w:r w:rsidRPr="00AF5BE9">
              <w:rPr>
                <w:vertAlign w:val="superscript"/>
              </w:rPr>
              <w:t>**</w:t>
            </w:r>
          </w:p>
        </w:tc>
        <w:tc>
          <w:tcPr>
            <w:tcW w:w="0" w:type="auto"/>
          </w:tcPr>
          <w:p w14:paraId="7FB25983" w14:textId="77777777" w:rsidR="00D3131C" w:rsidRPr="00AF5BE9" w:rsidRDefault="00D3131C" w:rsidP="00AF5BE9">
            <w:pPr>
              <w:spacing w:line="259" w:lineRule="auto"/>
            </w:pPr>
            <w:r w:rsidRPr="00AF5BE9">
              <w:t>.04</w:t>
            </w:r>
          </w:p>
        </w:tc>
        <w:tc>
          <w:tcPr>
            <w:tcW w:w="0" w:type="auto"/>
          </w:tcPr>
          <w:p w14:paraId="724EA16A" w14:textId="77777777" w:rsidR="00D3131C" w:rsidRPr="00AF5BE9" w:rsidRDefault="00D3131C" w:rsidP="00AF5BE9"/>
        </w:tc>
        <w:tc>
          <w:tcPr>
            <w:tcW w:w="0" w:type="auto"/>
          </w:tcPr>
          <w:p w14:paraId="6342E48F" w14:textId="698A1B85" w:rsidR="00D3131C" w:rsidRPr="00AF5BE9" w:rsidRDefault="00D3131C" w:rsidP="00AF5BE9"/>
        </w:tc>
      </w:tr>
      <w:tr w:rsidR="00D3131C" w:rsidRPr="00AF5BE9" w14:paraId="64FFC164" w14:textId="5EE2F391" w:rsidTr="00606AB6">
        <w:trPr>
          <w:trHeight w:val="180"/>
        </w:trPr>
        <w:tc>
          <w:tcPr>
            <w:tcW w:w="0" w:type="auto"/>
          </w:tcPr>
          <w:p w14:paraId="25B6A3E7" w14:textId="77777777" w:rsidR="00D3131C" w:rsidRPr="00AF5BE9" w:rsidRDefault="00D3131C" w:rsidP="00AF5BE9">
            <w:pPr>
              <w:spacing w:line="259" w:lineRule="auto"/>
            </w:pPr>
            <w:r w:rsidRPr="00AF5BE9">
              <w:t>Connectedness to LGBT Community</w:t>
            </w:r>
          </w:p>
        </w:tc>
        <w:tc>
          <w:tcPr>
            <w:tcW w:w="0" w:type="auto"/>
          </w:tcPr>
          <w:p w14:paraId="6ABAA311" w14:textId="77777777" w:rsidR="00D3131C" w:rsidRPr="00AF5BE9" w:rsidRDefault="00D3131C" w:rsidP="00AF5BE9">
            <w:pPr>
              <w:spacing w:line="259" w:lineRule="auto"/>
            </w:pPr>
            <w:r w:rsidRPr="00AF5BE9">
              <w:t>.13</w:t>
            </w:r>
          </w:p>
        </w:tc>
        <w:tc>
          <w:tcPr>
            <w:tcW w:w="0" w:type="auto"/>
          </w:tcPr>
          <w:p w14:paraId="150EAE54" w14:textId="77777777" w:rsidR="00D3131C" w:rsidRPr="00AF5BE9" w:rsidRDefault="00D3131C" w:rsidP="00AF5BE9">
            <w:pPr>
              <w:spacing w:line="259" w:lineRule="auto"/>
            </w:pPr>
            <w:r w:rsidRPr="00AF5BE9">
              <w:t>.11</w:t>
            </w:r>
          </w:p>
        </w:tc>
        <w:tc>
          <w:tcPr>
            <w:tcW w:w="0" w:type="auto"/>
          </w:tcPr>
          <w:p w14:paraId="6F427640" w14:textId="77777777" w:rsidR="00D3131C" w:rsidRPr="00AF5BE9" w:rsidRDefault="00D3131C" w:rsidP="00AF5BE9">
            <w:pPr>
              <w:spacing w:line="259" w:lineRule="auto"/>
            </w:pPr>
            <w:r w:rsidRPr="00AF5BE9">
              <w:t>.16</w:t>
            </w:r>
          </w:p>
        </w:tc>
        <w:tc>
          <w:tcPr>
            <w:tcW w:w="0" w:type="auto"/>
          </w:tcPr>
          <w:p w14:paraId="63BF55C1" w14:textId="77777777" w:rsidR="00D3131C" w:rsidRPr="00AF5BE9" w:rsidRDefault="00D3131C" w:rsidP="00AF5BE9">
            <w:pPr>
              <w:spacing w:line="259" w:lineRule="auto"/>
              <w:rPr>
                <w:vertAlign w:val="superscript"/>
              </w:rPr>
            </w:pPr>
            <w:r w:rsidRPr="00AF5BE9">
              <w:t>.22</w:t>
            </w:r>
            <w:r w:rsidRPr="00AF5BE9">
              <w:rPr>
                <w:vertAlign w:val="superscript"/>
              </w:rPr>
              <w:t>**</w:t>
            </w:r>
          </w:p>
        </w:tc>
        <w:tc>
          <w:tcPr>
            <w:tcW w:w="0" w:type="auto"/>
          </w:tcPr>
          <w:p w14:paraId="3E49CB85" w14:textId="77777777" w:rsidR="00D3131C" w:rsidRPr="00AF5BE9" w:rsidRDefault="00D3131C" w:rsidP="00AF5BE9">
            <w:pPr>
              <w:spacing w:line="259" w:lineRule="auto"/>
              <w:rPr>
                <w:vertAlign w:val="superscript"/>
              </w:rPr>
            </w:pPr>
            <w:r w:rsidRPr="00AF5BE9">
              <w:t>-.29</w:t>
            </w:r>
            <w:r w:rsidRPr="00AF5BE9">
              <w:rPr>
                <w:vertAlign w:val="superscript"/>
              </w:rPr>
              <w:t>**</w:t>
            </w:r>
          </w:p>
        </w:tc>
        <w:tc>
          <w:tcPr>
            <w:tcW w:w="0" w:type="auto"/>
          </w:tcPr>
          <w:p w14:paraId="30117134" w14:textId="77777777" w:rsidR="00D3131C" w:rsidRPr="00AF5BE9" w:rsidRDefault="00D3131C" w:rsidP="00AF5BE9">
            <w:pPr>
              <w:spacing w:line="259" w:lineRule="auto"/>
              <w:rPr>
                <w:vertAlign w:val="superscript"/>
              </w:rPr>
            </w:pPr>
            <w:r w:rsidRPr="00AF5BE9">
              <w:t>-.25</w:t>
            </w:r>
            <w:r w:rsidRPr="00AF5BE9">
              <w:rPr>
                <w:vertAlign w:val="superscript"/>
              </w:rPr>
              <w:t>**</w:t>
            </w:r>
          </w:p>
        </w:tc>
        <w:tc>
          <w:tcPr>
            <w:tcW w:w="0" w:type="auto"/>
          </w:tcPr>
          <w:p w14:paraId="2830A119" w14:textId="42E6D629" w:rsidR="00D3131C" w:rsidRPr="00AF5BE9" w:rsidRDefault="00D3131C" w:rsidP="00AF5BE9">
            <w:pPr>
              <w:spacing w:line="259" w:lineRule="auto"/>
              <w:rPr>
                <w:vertAlign w:val="superscript"/>
              </w:rPr>
            </w:pPr>
            <w:r w:rsidRPr="00AF5BE9">
              <w:t>.79</w:t>
            </w:r>
            <w:r w:rsidRPr="00AF5BE9">
              <w:rPr>
                <w:vertAlign w:val="superscript"/>
              </w:rPr>
              <w:t>**</w:t>
            </w:r>
            <w:r w:rsidRPr="00AF5BE9">
              <w:t xml:space="preserve"> </w:t>
            </w:r>
          </w:p>
        </w:tc>
        <w:tc>
          <w:tcPr>
            <w:tcW w:w="0" w:type="auto"/>
          </w:tcPr>
          <w:p w14:paraId="70EBB27F" w14:textId="2CB2B5FE" w:rsidR="00D3131C" w:rsidRPr="00AF5BE9" w:rsidRDefault="00D3131C" w:rsidP="00AF5BE9">
            <w:r w:rsidRPr="00AF5BE9">
              <w:t>.62</w:t>
            </w:r>
            <w:r w:rsidRPr="00AF5BE9">
              <w:rPr>
                <w:vertAlign w:val="superscript"/>
              </w:rPr>
              <w:t>**</w:t>
            </w:r>
          </w:p>
        </w:tc>
        <w:tc>
          <w:tcPr>
            <w:tcW w:w="0" w:type="auto"/>
          </w:tcPr>
          <w:p w14:paraId="6CA10150" w14:textId="6E593FA6" w:rsidR="00D3131C" w:rsidRPr="00AF5BE9" w:rsidRDefault="00D3131C" w:rsidP="00AF5BE9">
            <w:pPr>
              <w:spacing w:line="259" w:lineRule="auto"/>
              <w:rPr>
                <w:vertAlign w:val="superscript"/>
              </w:rPr>
            </w:pPr>
            <w:r w:rsidRPr="00AF5BE9">
              <w:t>.33</w:t>
            </w:r>
            <w:r w:rsidRPr="00AF5BE9">
              <w:rPr>
                <w:vertAlign w:val="superscript"/>
              </w:rPr>
              <w:t>**</w:t>
            </w:r>
            <w:r w:rsidRPr="00AF5BE9">
              <w:t xml:space="preserve"> </w:t>
            </w:r>
          </w:p>
        </w:tc>
        <w:tc>
          <w:tcPr>
            <w:tcW w:w="0" w:type="auto"/>
          </w:tcPr>
          <w:p w14:paraId="356D5ACF" w14:textId="1F93317A" w:rsidR="00D3131C" w:rsidRPr="00AF5BE9" w:rsidRDefault="00D3131C" w:rsidP="00AF5BE9">
            <w:r w:rsidRPr="00AF5BE9">
              <w:t>.72</w:t>
            </w:r>
            <w:r w:rsidRPr="00AF5BE9">
              <w:rPr>
                <w:vertAlign w:val="superscript"/>
              </w:rPr>
              <w:t>**</w:t>
            </w:r>
          </w:p>
        </w:tc>
        <w:tc>
          <w:tcPr>
            <w:tcW w:w="0" w:type="auto"/>
          </w:tcPr>
          <w:p w14:paraId="77BC53F8" w14:textId="1CF31B5C" w:rsidR="00D3131C" w:rsidRPr="00AF5BE9" w:rsidRDefault="00D3131C" w:rsidP="00AF5BE9">
            <w:pPr>
              <w:spacing w:line="259" w:lineRule="auto"/>
              <w:rPr>
                <w:vertAlign w:val="superscript"/>
              </w:rPr>
            </w:pPr>
            <w:r w:rsidRPr="00AF5BE9">
              <w:t>.49</w:t>
            </w:r>
            <w:r w:rsidRPr="00AF5BE9">
              <w:rPr>
                <w:vertAlign w:val="superscript"/>
              </w:rPr>
              <w:t>**</w:t>
            </w:r>
          </w:p>
        </w:tc>
        <w:tc>
          <w:tcPr>
            <w:tcW w:w="0" w:type="auto"/>
          </w:tcPr>
          <w:p w14:paraId="0EEE3F51" w14:textId="39EF80B3" w:rsidR="00D3131C" w:rsidRPr="00AF5BE9" w:rsidRDefault="00D3131C" w:rsidP="00AF5BE9">
            <w:pPr>
              <w:spacing w:line="259" w:lineRule="auto"/>
            </w:pPr>
            <w:r w:rsidRPr="00AF5BE9">
              <w:t>.74</w:t>
            </w:r>
            <w:r w:rsidRPr="00AF5BE9">
              <w:rPr>
                <w:vertAlign w:val="superscript"/>
              </w:rPr>
              <w:t>**</w:t>
            </w:r>
            <w:r w:rsidRPr="00AF5BE9">
              <w:t xml:space="preserve"> </w:t>
            </w:r>
          </w:p>
        </w:tc>
        <w:tc>
          <w:tcPr>
            <w:tcW w:w="0" w:type="auto"/>
          </w:tcPr>
          <w:p w14:paraId="5BA01D4C" w14:textId="34292646" w:rsidR="00D3131C" w:rsidRPr="00AF5BE9" w:rsidRDefault="00D3131C" w:rsidP="00AF5BE9">
            <w:r w:rsidRPr="00AF5BE9">
              <w:t>.14</w:t>
            </w:r>
          </w:p>
        </w:tc>
        <w:tc>
          <w:tcPr>
            <w:tcW w:w="0" w:type="auto"/>
          </w:tcPr>
          <w:p w14:paraId="43A6FDAF" w14:textId="34BD422A" w:rsidR="00D3131C" w:rsidRPr="00AF5BE9" w:rsidRDefault="00D3131C" w:rsidP="00AF5BE9"/>
        </w:tc>
      </w:tr>
      <w:tr w:rsidR="00D3131C" w:rsidRPr="00AF5BE9" w14:paraId="5E4B1DCF" w14:textId="01A981B8" w:rsidTr="00606AB6">
        <w:trPr>
          <w:trHeight w:val="181"/>
        </w:trPr>
        <w:tc>
          <w:tcPr>
            <w:tcW w:w="0" w:type="auto"/>
          </w:tcPr>
          <w:p w14:paraId="42AB17A8" w14:textId="77777777" w:rsidR="00D3131C" w:rsidRPr="00AF5BE9" w:rsidRDefault="00D3131C" w:rsidP="00AF5BE9">
            <w:pPr>
              <w:spacing w:line="259" w:lineRule="auto"/>
            </w:pPr>
            <w:r w:rsidRPr="00AF5BE9">
              <w:t>BRS</w:t>
            </w:r>
          </w:p>
        </w:tc>
        <w:tc>
          <w:tcPr>
            <w:tcW w:w="0" w:type="auto"/>
          </w:tcPr>
          <w:p w14:paraId="38B76B50" w14:textId="77777777" w:rsidR="00D3131C" w:rsidRPr="00AF5BE9" w:rsidRDefault="00D3131C" w:rsidP="00AF5BE9">
            <w:pPr>
              <w:spacing w:line="259" w:lineRule="auto"/>
              <w:rPr>
                <w:vertAlign w:val="superscript"/>
              </w:rPr>
            </w:pPr>
            <w:r w:rsidRPr="00AF5BE9">
              <w:t>.50</w:t>
            </w:r>
            <w:r w:rsidRPr="00AF5BE9">
              <w:rPr>
                <w:vertAlign w:val="superscript"/>
              </w:rPr>
              <w:t>**</w:t>
            </w:r>
          </w:p>
        </w:tc>
        <w:tc>
          <w:tcPr>
            <w:tcW w:w="0" w:type="auto"/>
          </w:tcPr>
          <w:p w14:paraId="6F9CA963" w14:textId="77777777" w:rsidR="00D3131C" w:rsidRPr="00AF5BE9" w:rsidRDefault="00D3131C" w:rsidP="00AF5BE9">
            <w:pPr>
              <w:spacing w:line="259" w:lineRule="auto"/>
              <w:rPr>
                <w:vertAlign w:val="superscript"/>
              </w:rPr>
            </w:pPr>
            <w:r w:rsidRPr="00AF5BE9">
              <w:t>.54</w:t>
            </w:r>
            <w:r w:rsidRPr="00AF5BE9">
              <w:rPr>
                <w:vertAlign w:val="superscript"/>
              </w:rPr>
              <w:t>**</w:t>
            </w:r>
          </w:p>
        </w:tc>
        <w:tc>
          <w:tcPr>
            <w:tcW w:w="0" w:type="auto"/>
          </w:tcPr>
          <w:p w14:paraId="681B262F" w14:textId="77777777" w:rsidR="00D3131C" w:rsidRPr="00AF5BE9" w:rsidRDefault="00D3131C" w:rsidP="00AF5BE9">
            <w:pPr>
              <w:spacing w:line="259" w:lineRule="auto"/>
              <w:rPr>
                <w:vertAlign w:val="superscript"/>
              </w:rPr>
            </w:pPr>
            <w:r w:rsidRPr="00AF5BE9">
              <w:t>.41</w:t>
            </w:r>
            <w:r w:rsidRPr="00AF5BE9">
              <w:rPr>
                <w:vertAlign w:val="superscript"/>
              </w:rPr>
              <w:t>**</w:t>
            </w:r>
          </w:p>
        </w:tc>
        <w:tc>
          <w:tcPr>
            <w:tcW w:w="0" w:type="auto"/>
          </w:tcPr>
          <w:p w14:paraId="7494D694" w14:textId="77777777" w:rsidR="00D3131C" w:rsidRPr="00AF5BE9" w:rsidRDefault="00D3131C" w:rsidP="00AF5BE9">
            <w:pPr>
              <w:spacing w:line="259" w:lineRule="auto"/>
            </w:pPr>
            <w:r w:rsidRPr="00AF5BE9">
              <w:t>-.08</w:t>
            </w:r>
          </w:p>
        </w:tc>
        <w:tc>
          <w:tcPr>
            <w:tcW w:w="0" w:type="auto"/>
          </w:tcPr>
          <w:p w14:paraId="0CF8CF20" w14:textId="77777777" w:rsidR="00D3131C" w:rsidRPr="00AF5BE9" w:rsidRDefault="00D3131C" w:rsidP="00AF5BE9">
            <w:pPr>
              <w:spacing w:line="259" w:lineRule="auto"/>
            </w:pPr>
            <w:r w:rsidRPr="00AF5BE9">
              <w:t>-.07</w:t>
            </w:r>
          </w:p>
        </w:tc>
        <w:tc>
          <w:tcPr>
            <w:tcW w:w="0" w:type="auto"/>
          </w:tcPr>
          <w:p w14:paraId="402EACB5" w14:textId="77777777" w:rsidR="00D3131C" w:rsidRPr="00AF5BE9" w:rsidRDefault="00D3131C" w:rsidP="00AF5BE9">
            <w:pPr>
              <w:spacing w:line="259" w:lineRule="auto"/>
            </w:pPr>
            <w:r w:rsidRPr="00AF5BE9">
              <w:t>-.03</w:t>
            </w:r>
          </w:p>
        </w:tc>
        <w:tc>
          <w:tcPr>
            <w:tcW w:w="0" w:type="auto"/>
          </w:tcPr>
          <w:p w14:paraId="59A46A6D" w14:textId="0A5937F9" w:rsidR="00D3131C" w:rsidRPr="00AF5BE9" w:rsidRDefault="00D3131C" w:rsidP="00AF5BE9">
            <w:pPr>
              <w:spacing w:line="259" w:lineRule="auto"/>
            </w:pPr>
            <w:r w:rsidRPr="00AF5BE9">
              <w:t xml:space="preserve">.06 </w:t>
            </w:r>
          </w:p>
        </w:tc>
        <w:tc>
          <w:tcPr>
            <w:tcW w:w="0" w:type="auto"/>
          </w:tcPr>
          <w:p w14:paraId="1B5FAAF6" w14:textId="1BC4FB7D" w:rsidR="00D3131C" w:rsidRPr="00AF5BE9" w:rsidRDefault="00D3131C" w:rsidP="00AF5BE9">
            <w:r w:rsidRPr="00AF5BE9">
              <w:t>.02</w:t>
            </w:r>
          </w:p>
        </w:tc>
        <w:tc>
          <w:tcPr>
            <w:tcW w:w="0" w:type="auto"/>
          </w:tcPr>
          <w:p w14:paraId="1393CD2A" w14:textId="0B035EFC" w:rsidR="00D3131C" w:rsidRPr="00AF5BE9" w:rsidRDefault="00D3131C" w:rsidP="00AF5BE9">
            <w:pPr>
              <w:spacing w:line="259" w:lineRule="auto"/>
            </w:pPr>
            <w:r w:rsidRPr="00AF5BE9">
              <w:t>.22</w:t>
            </w:r>
            <w:r w:rsidRPr="00AF5BE9">
              <w:rPr>
                <w:vertAlign w:val="superscript"/>
              </w:rPr>
              <w:t>**</w:t>
            </w:r>
            <w:r w:rsidRPr="00AF5BE9">
              <w:t xml:space="preserve"> </w:t>
            </w:r>
          </w:p>
        </w:tc>
        <w:tc>
          <w:tcPr>
            <w:tcW w:w="0" w:type="auto"/>
          </w:tcPr>
          <w:p w14:paraId="5EE039E6" w14:textId="72D8EEEE" w:rsidR="00D3131C" w:rsidRPr="00AF5BE9" w:rsidRDefault="00D3131C" w:rsidP="00AF5BE9">
            <w:r w:rsidRPr="00AF5BE9">
              <w:t>.10</w:t>
            </w:r>
          </w:p>
        </w:tc>
        <w:tc>
          <w:tcPr>
            <w:tcW w:w="0" w:type="auto"/>
          </w:tcPr>
          <w:p w14:paraId="28327783" w14:textId="2B7FBF72" w:rsidR="00D3131C" w:rsidRPr="00AF5BE9" w:rsidRDefault="00D3131C" w:rsidP="00AF5BE9">
            <w:pPr>
              <w:spacing w:line="259" w:lineRule="auto"/>
            </w:pPr>
            <w:r w:rsidRPr="00AF5BE9">
              <w:t>.13</w:t>
            </w:r>
          </w:p>
        </w:tc>
        <w:tc>
          <w:tcPr>
            <w:tcW w:w="0" w:type="auto"/>
          </w:tcPr>
          <w:p w14:paraId="331F995C" w14:textId="1A710881" w:rsidR="00D3131C" w:rsidRPr="00AF5BE9" w:rsidRDefault="00D3131C" w:rsidP="00AF5BE9">
            <w:pPr>
              <w:spacing w:line="259" w:lineRule="auto"/>
            </w:pPr>
            <w:r w:rsidRPr="00AF5BE9">
              <w:t xml:space="preserve">-.11       </w:t>
            </w:r>
          </w:p>
        </w:tc>
        <w:tc>
          <w:tcPr>
            <w:tcW w:w="0" w:type="auto"/>
          </w:tcPr>
          <w:p w14:paraId="031C9042" w14:textId="7D600CA9" w:rsidR="00D3131C" w:rsidRPr="00AF5BE9" w:rsidRDefault="00D3131C" w:rsidP="00AF5BE9">
            <w:r w:rsidRPr="00AF5BE9">
              <w:t>.24</w:t>
            </w:r>
            <w:r w:rsidRPr="00AF5BE9">
              <w:rPr>
                <w:vertAlign w:val="superscript"/>
              </w:rPr>
              <w:t>**</w:t>
            </w:r>
            <w:r w:rsidRPr="00AF5BE9">
              <w:t xml:space="preserve">    </w:t>
            </w:r>
          </w:p>
        </w:tc>
        <w:tc>
          <w:tcPr>
            <w:tcW w:w="0" w:type="auto"/>
          </w:tcPr>
          <w:p w14:paraId="5EE221AB" w14:textId="63138DC0" w:rsidR="00D3131C" w:rsidRPr="00AF5BE9" w:rsidRDefault="00D3131C" w:rsidP="00AF5BE9">
            <w:r w:rsidRPr="00AF5BE9">
              <w:t>-.03</w:t>
            </w:r>
          </w:p>
        </w:tc>
      </w:tr>
    </w:tbl>
    <w:p w14:paraId="6931AFFC" w14:textId="52BE3E72" w:rsidR="006540FF" w:rsidRDefault="006540FF" w:rsidP="006540FF">
      <w:pPr>
        <w:pStyle w:val="NoSpacing"/>
      </w:pPr>
      <w:r>
        <w:rPr>
          <w:rFonts w:ascii="Times-Italic" w:hAnsi="Times-Italic" w:cs="Times-Italic"/>
          <w:i/>
          <w:iCs/>
        </w:rPr>
        <w:t xml:space="preserve">Note. </w:t>
      </w:r>
      <w:r>
        <w:t xml:space="preserve">MHC-SF </w:t>
      </w:r>
      <w:r w:rsidR="003E5267">
        <w:t>=</w:t>
      </w:r>
      <w:r>
        <w:rPr>
          <w:rFonts w:ascii="Universal-GreekwithMathPi" w:hAnsi="Universal-GreekwithMathPi" w:cs="Universal-GreekwithMathPi"/>
        </w:rPr>
        <w:t xml:space="preserve"> </w:t>
      </w:r>
      <w:r>
        <w:t xml:space="preserve">Mental Health Continuum—Short Form; HHRDS </w:t>
      </w:r>
      <w:r w:rsidR="007251A3">
        <w:t>=</w:t>
      </w:r>
      <w:r>
        <w:rPr>
          <w:rFonts w:ascii="Universal-GreekwithMathPi" w:hAnsi="Universal-GreekwithMathPi" w:cs="Universal-GreekwithMathPi"/>
        </w:rPr>
        <w:t xml:space="preserve"> </w:t>
      </w:r>
      <w:r>
        <w:t xml:space="preserve">Heterosexist Harassment, Rejection, and Discrimination Scale; LGBIS </w:t>
      </w:r>
      <w:r w:rsidR="007251A3">
        <w:t>=</w:t>
      </w:r>
      <w:r>
        <w:rPr>
          <w:rFonts w:ascii="Universal-GreekwithMathPi" w:hAnsi="Universal-GreekwithMathPi" w:cs="Universal-GreekwithMathPi"/>
        </w:rPr>
        <w:t xml:space="preserve"> </w:t>
      </w:r>
      <w:r>
        <w:t>Lesbian,</w:t>
      </w:r>
      <w:r>
        <w:t xml:space="preserve"> </w:t>
      </w:r>
      <w:r>
        <w:t xml:space="preserve">Gay, Bisexual Identity Scales; MEIM </w:t>
      </w:r>
      <w:r w:rsidR="007251A3">
        <w:t>=</w:t>
      </w:r>
      <w:r>
        <w:rPr>
          <w:rFonts w:ascii="Universal-GreekwithMathPi" w:hAnsi="Universal-GreekwithMathPi" w:cs="Universal-GreekwithMathPi"/>
        </w:rPr>
        <w:t xml:space="preserve"> </w:t>
      </w:r>
      <w:r>
        <w:t xml:space="preserve">Multigroup Ethnic Identity Measure; LGB-PIM </w:t>
      </w:r>
      <w:r w:rsidR="007251A3">
        <w:t>=</w:t>
      </w:r>
      <w:r>
        <w:rPr>
          <w:rFonts w:ascii="Universal-GreekwithMathPi" w:hAnsi="Universal-GreekwithMathPi" w:cs="Universal-GreekwithMathPi"/>
        </w:rPr>
        <w:t xml:space="preserve"> </w:t>
      </w:r>
      <w:r>
        <w:t>Lesbian, Gay, and Bisexual Positive Identity Measure;</w:t>
      </w:r>
      <w:r>
        <w:t xml:space="preserve"> </w:t>
      </w:r>
      <w:r>
        <w:t xml:space="preserve">MSPSS </w:t>
      </w:r>
      <w:r w:rsidR="007251A3">
        <w:t>=</w:t>
      </w:r>
      <w:r>
        <w:rPr>
          <w:rFonts w:ascii="Universal-GreekwithMathPi" w:hAnsi="Universal-GreekwithMathPi" w:cs="Universal-GreekwithMathPi"/>
        </w:rPr>
        <w:t xml:space="preserve"> </w:t>
      </w:r>
      <w:r>
        <w:t xml:space="preserve">Multidimensional Scale of Perceived Social Support; BRS </w:t>
      </w:r>
      <w:r w:rsidR="007251A3">
        <w:t>=</w:t>
      </w:r>
      <w:r>
        <w:rPr>
          <w:rFonts w:ascii="Universal-GreekwithMathPi" w:hAnsi="Universal-GreekwithMathPi" w:cs="Universal-GreekwithMathPi"/>
        </w:rPr>
        <w:t xml:space="preserve"> </w:t>
      </w:r>
      <w:r>
        <w:t>Brief Resilience Scale.</w:t>
      </w:r>
    </w:p>
    <w:p w14:paraId="29AE1DB4" w14:textId="0AEAE968" w:rsidR="00D3131C" w:rsidRDefault="00DA002B" w:rsidP="006540FF">
      <w:pPr>
        <w:pStyle w:val="NoSpacing"/>
        <w:rPr>
          <w:rFonts w:cstheme="minorHAnsi"/>
          <w:b/>
          <w:bCs/>
          <w:sz w:val="24"/>
          <w:szCs w:val="24"/>
        </w:rPr>
        <w:sectPr w:rsidR="00D3131C" w:rsidSect="00AF5BE9">
          <w:pgSz w:w="15840" w:h="12240" w:orient="landscape"/>
          <w:pgMar w:top="1080" w:right="1080" w:bottom="1080" w:left="1080" w:header="720" w:footer="720" w:gutter="0"/>
          <w:cols w:space="720"/>
          <w:docGrid w:linePitch="360"/>
        </w:sectPr>
      </w:pPr>
      <w:r w:rsidRPr="00DA002B">
        <w:t>*</w:t>
      </w:r>
      <w:r w:rsidR="006540FF">
        <w:rPr>
          <w:rFonts w:ascii="MathematicalPi-Six" w:hAnsi="MathematicalPi-Six" w:cs="MathematicalPi-Six"/>
          <w:sz w:val="10"/>
          <w:szCs w:val="10"/>
        </w:rPr>
        <w:t xml:space="preserve"> </w:t>
      </w:r>
      <w:r w:rsidR="006540FF">
        <w:rPr>
          <w:rFonts w:ascii="Times-Italic" w:hAnsi="Times-Italic" w:cs="Times-Italic"/>
          <w:i/>
          <w:iCs/>
        </w:rPr>
        <w:t xml:space="preserve">p </w:t>
      </w:r>
      <w:r>
        <w:rPr>
          <w:rFonts w:ascii="Times-Italic" w:hAnsi="Times-Italic" w:cs="Times-Italic"/>
          <w:i/>
          <w:iCs/>
        </w:rPr>
        <w:t>&lt;</w:t>
      </w:r>
      <w:r w:rsidR="006540FF">
        <w:rPr>
          <w:rFonts w:ascii="Universal-GreekwithMathPi" w:hAnsi="Universal-GreekwithMathPi" w:cs="Universal-GreekwithMathPi"/>
        </w:rPr>
        <w:t xml:space="preserve"> </w:t>
      </w:r>
      <w:r w:rsidR="006540FF">
        <w:t xml:space="preserve">.01. </w:t>
      </w:r>
      <w:r>
        <w:t>**</w:t>
      </w:r>
      <w:r w:rsidR="006540FF">
        <w:rPr>
          <w:rFonts w:ascii="MathematicalPi-Six" w:hAnsi="MathematicalPi-Six" w:cs="MathematicalPi-Six"/>
          <w:sz w:val="10"/>
          <w:szCs w:val="10"/>
        </w:rPr>
        <w:t xml:space="preserve"> </w:t>
      </w:r>
      <w:r w:rsidR="006540FF">
        <w:rPr>
          <w:rFonts w:ascii="Times-Italic" w:hAnsi="Times-Italic" w:cs="Times-Italic"/>
          <w:i/>
          <w:iCs/>
        </w:rPr>
        <w:t xml:space="preserve">p </w:t>
      </w:r>
      <w:r>
        <w:rPr>
          <w:rFonts w:ascii="Times-Italic" w:hAnsi="Times-Italic" w:cs="Times-Italic"/>
          <w:i/>
          <w:iCs/>
        </w:rPr>
        <w:t>&lt;</w:t>
      </w:r>
      <w:r w:rsidR="006540FF">
        <w:rPr>
          <w:rFonts w:ascii="Universal-GreekwithMathPi" w:hAnsi="Universal-GreekwithMathPi" w:cs="Universal-GreekwithMathPi"/>
        </w:rPr>
        <w:t xml:space="preserve"> </w:t>
      </w:r>
      <w:r w:rsidR="006540FF">
        <w:t>.001.</w:t>
      </w:r>
    </w:p>
    <w:p w14:paraId="50D817D8" w14:textId="77777777" w:rsidR="006E187A" w:rsidRPr="006E187A" w:rsidRDefault="006E187A" w:rsidP="00C373E7">
      <w:pPr>
        <w:pStyle w:val="Heading2"/>
      </w:pPr>
      <w:r w:rsidRPr="006E187A">
        <w:t>Measurement Model - Confirmatory Factor Analysis (CFA)</w:t>
      </w:r>
    </w:p>
    <w:p w14:paraId="0D17AC0A" w14:textId="26609386" w:rsidR="006E187A" w:rsidRPr="006E187A" w:rsidRDefault="006E187A" w:rsidP="006E187A">
      <w:pPr>
        <w:rPr>
          <w:rFonts w:cstheme="minorHAnsi"/>
          <w:sz w:val="24"/>
          <w:szCs w:val="24"/>
        </w:rPr>
      </w:pPr>
      <w:r w:rsidRPr="006E187A">
        <w:rPr>
          <w:rFonts w:cstheme="minorHAnsi"/>
          <w:sz w:val="24"/>
          <w:szCs w:val="24"/>
        </w:rPr>
        <w:t xml:space="preserve">Confirmatory factor analysis was used to analyze the measurement portion of the model. Two </w:t>
      </w:r>
      <w:proofErr w:type="gramStart"/>
      <w:r w:rsidRPr="006E187A">
        <w:rPr>
          <w:rFonts w:cstheme="minorHAnsi"/>
          <w:sz w:val="24"/>
          <w:szCs w:val="24"/>
        </w:rPr>
        <w:t>slight</w:t>
      </w:r>
      <w:proofErr w:type="gramEnd"/>
      <w:r w:rsidRPr="006E187A">
        <w:rPr>
          <w:rFonts w:cstheme="minorHAnsi"/>
          <w:sz w:val="24"/>
          <w:szCs w:val="24"/>
        </w:rPr>
        <w:t xml:space="preserve"> a priori modifications were made based on an examination of bivariate correlations: The Connectedness to the LGBT Community scale was set to covary with both the Community and Social Justice scales of the LGB-PIM to help correct for potential collinearity issues. After initially running the analysis, three modifications were made to produce a positive definite latent variable covariance matrix, one of the statistical assumptions for MLE (Kline, 2016). The original measurement model produced a positive indefinite latent variable covariance matrix as indicated by implausibly high correlations between positive minority sexual identity and minority stress (r = −1.22) and social support (</w:t>
      </w:r>
      <w:r w:rsidRPr="006E187A">
        <w:rPr>
          <w:rFonts w:cstheme="minorHAnsi"/>
          <w:i/>
          <w:iCs/>
          <w:sz w:val="24"/>
          <w:szCs w:val="24"/>
        </w:rPr>
        <w:t>r</w:t>
      </w:r>
      <w:r w:rsidRPr="006E187A">
        <w:rPr>
          <w:rFonts w:cstheme="minorHAnsi"/>
          <w:sz w:val="24"/>
          <w:szCs w:val="24"/>
        </w:rPr>
        <w:t> = 1.47). This indicated that some combination of one or more of the observed indicators of each latent variable was too highly correlated. Model modifications were made to resolve this problem in a manner that was statistically and theoretically justified and resulted in as few modifications as possible. This approach resulted in removal of one indicator from each of the three identified latent variables: (1) the HHRDS from minority stress, (2) LGB-PIM Authenticity scale from positive minority sexual identity, and (3) the Connectedness to the LGBT Community scale from social support. The HHRDS was removed based on its significant deviation from normality (skew = 1.56, kurtosis = 3.12), which reflected minimal reporting of prejudicial experiences by the individuals in this sample. Removal of the HHRDS did not resolve the collinearity problem between the minority stress and positive minority sexual identity latent variables. Therefore, the LGB-PIM Authenticity scale was considered for removal since it had the highest bivariate correlations between any of the observed indicators of the minority stress and positive minority sexual identity latent variables (</w:t>
      </w:r>
      <w:r w:rsidRPr="006E187A">
        <w:rPr>
          <w:rFonts w:cstheme="minorHAnsi"/>
          <w:i/>
          <w:iCs/>
          <w:sz w:val="24"/>
          <w:szCs w:val="24"/>
        </w:rPr>
        <w:t>r</w:t>
      </w:r>
      <w:r w:rsidRPr="006E187A">
        <w:rPr>
          <w:rFonts w:cstheme="minorHAnsi"/>
          <w:sz w:val="24"/>
          <w:szCs w:val="24"/>
        </w:rPr>
        <w:t xml:space="preserve"> = .53 and .52, with the LGBIS Concealment Motivation and Internalized Homonegativity scales, respectively). Furthermore, the items on the LGB-PIM authenticity scale focus on how much one feels comfortable identifying openly as LGBT, which may be seen as the inverse of the minority stress process of concealment motivation (i.e., not being comfortable openly identifying as LGBT to others). Therefore, it seemed highly plausible that these scales were assessing the same construct, thus violating the assumption of multicollinearity. To resolve the issue of collinearity between the positive minority sexual identity and social support latent variables, the Connectedness to the LGBT Community scale was removed from the model. This was done because of the </w:t>
      </w:r>
      <w:proofErr w:type="gramStart"/>
      <w:r w:rsidRPr="006E187A">
        <w:rPr>
          <w:rFonts w:cstheme="minorHAnsi"/>
          <w:sz w:val="24"/>
          <w:szCs w:val="24"/>
        </w:rPr>
        <w:t>aforementioned high</w:t>
      </w:r>
      <w:proofErr w:type="gramEnd"/>
      <w:r w:rsidRPr="006E187A">
        <w:rPr>
          <w:rFonts w:cstheme="minorHAnsi"/>
          <w:sz w:val="24"/>
          <w:szCs w:val="24"/>
        </w:rPr>
        <w:t xml:space="preserve"> correlations between the Connectedness to the LGBT Community scale and several indicators of the positive minority sexual identity latent variable. The scale also appeared to have substantial theoretical overlap with the LGB-PIM Community and MEIM scales. With this change, the social support latent variable had only one indicator and was changed from a latent to an observed variable, resulting in the removal of the social support latent variable from the measurement model entirely.</w:t>
      </w:r>
    </w:p>
    <w:p w14:paraId="602FA4B1" w14:textId="15D6E961" w:rsidR="006E187A" w:rsidRPr="006E187A" w:rsidRDefault="006E187A" w:rsidP="006E187A">
      <w:pPr>
        <w:rPr>
          <w:rFonts w:cstheme="minorHAnsi"/>
          <w:sz w:val="24"/>
          <w:szCs w:val="24"/>
        </w:rPr>
      </w:pPr>
      <w:r w:rsidRPr="006E187A">
        <w:rPr>
          <w:rFonts w:cstheme="minorHAnsi"/>
          <w:sz w:val="24"/>
          <w:szCs w:val="24"/>
        </w:rPr>
        <w:t>With these modifications, the model converged normally. All observed variables had highly significant factor loadings, but model fit was poor (Yuan-</w:t>
      </w:r>
      <w:proofErr w:type="spellStart"/>
      <w:r w:rsidRPr="006E187A">
        <w:rPr>
          <w:rFonts w:cstheme="minorHAnsi"/>
          <w:sz w:val="24"/>
          <w:szCs w:val="24"/>
        </w:rPr>
        <w:t>Bentler</w:t>
      </w:r>
      <w:proofErr w:type="spellEnd"/>
      <w:r w:rsidRPr="006E187A">
        <w:rPr>
          <w:rFonts w:cstheme="minorHAnsi"/>
          <w:sz w:val="24"/>
          <w:szCs w:val="24"/>
        </w:rPr>
        <w:t xml:space="preserve"> residual-based χ</w:t>
      </w:r>
      <w:r w:rsidRPr="006E187A">
        <w:rPr>
          <w:rFonts w:cstheme="minorHAnsi"/>
          <w:sz w:val="24"/>
          <w:szCs w:val="24"/>
          <w:vertAlign w:val="superscript"/>
        </w:rPr>
        <w:t>2</w:t>
      </w:r>
      <w:r w:rsidRPr="006E187A">
        <w:rPr>
          <w:rFonts w:cstheme="minorHAnsi"/>
          <w:sz w:val="24"/>
          <w:szCs w:val="24"/>
        </w:rPr>
        <w:t> = 123.110, </w:t>
      </w:r>
      <w:r w:rsidRPr="006E187A">
        <w:rPr>
          <w:rFonts w:cstheme="minorHAnsi"/>
          <w:i/>
          <w:iCs/>
          <w:sz w:val="24"/>
          <w:szCs w:val="24"/>
        </w:rPr>
        <w:t>p</w:t>
      </w:r>
      <w:r w:rsidRPr="006E187A">
        <w:rPr>
          <w:rFonts w:cstheme="minorHAnsi"/>
          <w:sz w:val="24"/>
          <w:szCs w:val="24"/>
        </w:rPr>
        <w:t xml:space="preserve"> &lt; .000; robust RMSEA = .107, 90% CI [.088, .126]; CFI = .906; SRMR = .065). To identify ways to improve the model fit, modification indices were consulted. Following best practices in SEM, decisions for modifications were made only if they were theoretically justified (Kline, 2016). After consulting modification indices, the following error terms for the observed indicators of the positive minority sexual identity latent variable were set to covary with one another: (a) LGB-PIM Self-Awareness scale with LGB-PIM Social Justice scale; (b) LGB-PIM Self-Awareness scale with LGB-PIM Community scale; (c) LGB-PIM Self-Awareness scale with LGB-PIM Intimacy scale; and (d) LGB-PIM Intimacy scale with LGB-PIM Social Justice scale. This was deemed theoretically acceptable given the strong possibility that the scales share common sources of error, such as one’s introspective abilities or level of extraversion. Modification indices also suggested the </w:t>
      </w:r>
      <w:proofErr w:type="gramStart"/>
      <w:r w:rsidRPr="006E187A">
        <w:rPr>
          <w:rFonts w:cstheme="minorHAnsi"/>
          <w:sz w:val="24"/>
          <w:szCs w:val="24"/>
        </w:rPr>
        <w:t>MEIM</w:t>
      </w:r>
      <w:proofErr w:type="gramEnd"/>
      <w:r w:rsidRPr="006E187A">
        <w:rPr>
          <w:rFonts w:cstheme="minorHAnsi"/>
          <w:sz w:val="24"/>
          <w:szCs w:val="24"/>
        </w:rPr>
        <w:t xml:space="preserve"> and the LGB-PIM Social Justice scale could be allowed to covary to improve model fit. This seemed theoretically justified as both scales assess the degree to which one is invested in learning about and taking part in the LGBT community.</w:t>
      </w:r>
    </w:p>
    <w:p w14:paraId="1ECE08D3" w14:textId="77777777" w:rsidR="006E187A" w:rsidRPr="006E187A" w:rsidRDefault="006E187A" w:rsidP="006E187A">
      <w:pPr>
        <w:rPr>
          <w:rFonts w:cstheme="minorHAnsi"/>
          <w:sz w:val="24"/>
          <w:szCs w:val="24"/>
        </w:rPr>
      </w:pPr>
      <w:r w:rsidRPr="006E187A">
        <w:rPr>
          <w:rFonts w:cstheme="minorHAnsi"/>
          <w:sz w:val="24"/>
          <w:szCs w:val="24"/>
        </w:rPr>
        <w:t>These modifications resulted in a much-improved model fit (Yuan-</w:t>
      </w:r>
      <w:proofErr w:type="spellStart"/>
      <w:r w:rsidRPr="006E187A">
        <w:rPr>
          <w:rFonts w:cstheme="minorHAnsi"/>
          <w:sz w:val="24"/>
          <w:szCs w:val="24"/>
        </w:rPr>
        <w:t>Bentler</w:t>
      </w:r>
      <w:proofErr w:type="spellEnd"/>
      <w:r w:rsidRPr="006E187A">
        <w:rPr>
          <w:rFonts w:cstheme="minorHAnsi"/>
          <w:sz w:val="24"/>
          <w:szCs w:val="24"/>
        </w:rPr>
        <w:t xml:space="preserve"> residual-based χ</w:t>
      </w:r>
      <w:r w:rsidRPr="006E187A">
        <w:rPr>
          <w:rFonts w:cstheme="minorHAnsi"/>
          <w:sz w:val="24"/>
          <w:szCs w:val="24"/>
          <w:vertAlign w:val="superscript"/>
        </w:rPr>
        <w:t>2</w:t>
      </w:r>
      <w:r w:rsidRPr="006E187A">
        <w:rPr>
          <w:rFonts w:cstheme="minorHAnsi"/>
          <w:sz w:val="24"/>
          <w:szCs w:val="24"/>
        </w:rPr>
        <w:t> = 57.780, </w:t>
      </w:r>
      <w:r w:rsidRPr="006E187A">
        <w:rPr>
          <w:rFonts w:cstheme="minorHAnsi"/>
          <w:i/>
          <w:iCs/>
          <w:sz w:val="24"/>
          <w:szCs w:val="24"/>
        </w:rPr>
        <w:t>p</w:t>
      </w:r>
      <w:r w:rsidRPr="006E187A">
        <w:rPr>
          <w:rFonts w:cstheme="minorHAnsi"/>
          <w:sz w:val="24"/>
          <w:szCs w:val="24"/>
        </w:rPr>
        <w:t xml:space="preserve"> &lt; .000; robust RMSEA = .067, 90% CI [.044, .091]; CFI = .968; SRMR = .049). Factor loadings ranged from .463 to .943. The covarying error terms were all statistically significant </w:t>
      </w:r>
      <w:proofErr w:type="gramStart"/>
      <w:r w:rsidRPr="006E187A">
        <w:rPr>
          <w:rFonts w:cstheme="minorHAnsi"/>
          <w:sz w:val="24"/>
          <w:szCs w:val="24"/>
        </w:rPr>
        <w:t>with the exception of</w:t>
      </w:r>
      <w:proofErr w:type="gramEnd"/>
      <w:r w:rsidRPr="006E187A">
        <w:rPr>
          <w:rFonts w:cstheme="minorHAnsi"/>
          <w:sz w:val="24"/>
          <w:szCs w:val="24"/>
        </w:rPr>
        <w:t xml:space="preserve"> the covarying term for the LGB-PIM Self-Awareness scale and the LGB-PIM Community scale (</w:t>
      </w:r>
      <w:r w:rsidRPr="006E187A">
        <w:rPr>
          <w:rFonts w:cstheme="minorHAnsi"/>
          <w:i/>
          <w:iCs/>
          <w:sz w:val="24"/>
          <w:szCs w:val="24"/>
        </w:rPr>
        <w:t>p</w:t>
      </w:r>
      <w:r w:rsidRPr="006E187A">
        <w:rPr>
          <w:rFonts w:cstheme="minorHAnsi"/>
          <w:sz w:val="24"/>
          <w:szCs w:val="24"/>
        </w:rPr>
        <w:t> = .069).</w:t>
      </w:r>
    </w:p>
    <w:p w14:paraId="6135370E" w14:textId="369BF957" w:rsidR="006E187A" w:rsidRPr="006E187A" w:rsidRDefault="006E187A" w:rsidP="006E187A">
      <w:pPr>
        <w:rPr>
          <w:rFonts w:cstheme="minorHAnsi"/>
          <w:sz w:val="24"/>
          <w:szCs w:val="24"/>
        </w:rPr>
      </w:pPr>
      <w:r w:rsidRPr="006E187A">
        <w:rPr>
          <w:rFonts w:cstheme="minorHAnsi"/>
          <w:sz w:val="24"/>
          <w:szCs w:val="24"/>
        </w:rPr>
        <w:t xml:space="preserve">Residual correlations were also consulted to assess model fit. </w:t>
      </w:r>
      <w:proofErr w:type="gramStart"/>
      <w:r w:rsidRPr="006E187A">
        <w:rPr>
          <w:rFonts w:cstheme="minorHAnsi"/>
          <w:sz w:val="24"/>
          <w:szCs w:val="24"/>
        </w:rPr>
        <w:t>As a general rule</w:t>
      </w:r>
      <w:proofErr w:type="gramEnd"/>
      <w:r w:rsidRPr="006E187A">
        <w:rPr>
          <w:rFonts w:cstheme="minorHAnsi"/>
          <w:sz w:val="24"/>
          <w:szCs w:val="24"/>
        </w:rPr>
        <w:t>, residual correlations greater than .1 suggest that the relationship between the two variables is not well accounted for by the model (Kline, 2016). Residuals were below .1 for all variables except two that were only slightly above the .1 threshold (−.15 and −.11, respectively). Since the residual correlations for these variables was only slightly greater than .1 and the model fit was adequate, this did not appear to warrant additional modifications.</w:t>
      </w:r>
    </w:p>
    <w:p w14:paraId="518DFAF6" w14:textId="77777777" w:rsidR="006E187A" w:rsidRPr="006E187A" w:rsidRDefault="006E187A" w:rsidP="00C373E7">
      <w:pPr>
        <w:pStyle w:val="Heading2"/>
      </w:pPr>
      <w:r w:rsidRPr="006E187A">
        <w:t>Structural Model</w:t>
      </w:r>
    </w:p>
    <w:p w14:paraId="4EE19844" w14:textId="3872ECCE" w:rsidR="006E187A" w:rsidRPr="006E187A" w:rsidRDefault="006E187A" w:rsidP="006E187A">
      <w:pPr>
        <w:rPr>
          <w:rFonts w:cstheme="minorHAnsi"/>
          <w:sz w:val="24"/>
          <w:szCs w:val="24"/>
        </w:rPr>
      </w:pPr>
      <w:r w:rsidRPr="006E187A">
        <w:rPr>
          <w:rFonts w:cstheme="minorHAnsi"/>
          <w:sz w:val="24"/>
          <w:szCs w:val="24"/>
        </w:rPr>
        <w:t>The hypothesized structural model (see Figure 1) was analyzed with modifications made to the measurement model outlined above. The model converged normally, but model fit was poor (Yuan-</w:t>
      </w:r>
      <w:proofErr w:type="spellStart"/>
      <w:r w:rsidRPr="006E187A">
        <w:rPr>
          <w:rFonts w:cstheme="minorHAnsi"/>
          <w:sz w:val="24"/>
          <w:szCs w:val="24"/>
        </w:rPr>
        <w:t>Bentler</w:t>
      </w:r>
      <w:proofErr w:type="spellEnd"/>
      <w:r w:rsidRPr="006E187A">
        <w:rPr>
          <w:rFonts w:cstheme="minorHAnsi"/>
          <w:sz w:val="24"/>
          <w:szCs w:val="24"/>
        </w:rPr>
        <w:t xml:space="preserve"> residual-based χ</w:t>
      </w:r>
      <w:r w:rsidRPr="006E187A">
        <w:rPr>
          <w:rFonts w:cstheme="minorHAnsi"/>
          <w:sz w:val="24"/>
          <w:szCs w:val="24"/>
          <w:vertAlign w:val="superscript"/>
        </w:rPr>
        <w:t>2</w:t>
      </w:r>
      <w:r w:rsidRPr="006E187A">
        <w:rPr>
          <w:rFonts w:cstheme="minorHAnsi"/>
          <w:sz w:val="24"/>
          <w:szCs w:val="24"/>
        </w:rPr>
        <w:t> = 94.183, </w:t>
      </w:r>
      <w:r w:rsidRPr="006E187A">
        <w:rPr>
          <w:rFonts w:cstheme="minorHAnsi"/>
          <w:i/>
          <w:iCs/>
          <w:sz w:val="24"/>
          <w:szCs w:val="24"/>
        </w:rPr>
        <w:t>p</w:t>
      </w:r>
      <w:r w:rsidRPr="006E187A">
        <w:rPr>
          <w:rFonts w:cstheme="minorHAnsi"/>
          <w:sz w:val="24"/>
          <w:szCs w:val="24"/>
        </w:rPr>
        <w:t> &lt; .000; robust RMSEA = .069, 90% CI [.07, .102]; CFI = .955; SRMR = .062). All factor loadings were highly significant (</w:t>
      </w:r>
      <w:r w:rsidRPr="006E187A">
        <w:rPr>
          <w:rFonts w:cstheme="minorHAnsi"/>
          <w:i/>
          <w:iCs/>
          <w:sz w:val="24"/>
          <w:szCs w:val="24"/>
        </w:rPr>
        <w:t>p</w:t>
      </w:r>
      <w:r w:rsidRPr="006E187A">
        <w:rPr>
          <w:rFonts w:cstheme="minorHAnsi"/>
          <w:sz w:val="24"/>
          <w:szCs w:val="24"/>
        </w:rPr>
        <w:t> &gt; .000).</w:t>
      </w:r>
    </w:p>
    <w:p w14:paraId="3F9B4DEE" w14:textId="6559A1DF" w:rsidR="006E187A" w:rsidRPr="006E187A" w:rsidRDefault="006E187A" w:rsidP="006E187A">
      <w:pPr>
        <w:rPr>
          <w:rFonts w:cstheme="minorHAnsi"/>
          <w:sz w:val="24"/>
          <w:szCs w:val="24"/>
        </w:rPr>
      </w:pPr>
      <w:r w:rsidRPr="006E187A">
        <w:rPr>
          <w:rFonts w:cstheme="minorHAnsi"/>
          <w:sz w:val="24"/>
          <w:szCs w:val="24"/>
        </w:rPr>
        <w:t>Residual correlations were consulted to evaluate model fit and identify possible modifications (Kline, 2016). The sole residual correlation well above .1 was between the observed indicators of social support (MSPSS) and resilience (BRS; </w:t>
      </w:r>
      <w:r w:rsidRPr="006E187A">
        <w:rPr>
          <w:rFonts w:cstheme="minorHAnsi"/>
          <w:i/>
          <w:iCs/>
          <w:sz w:val="24"/>
          <w:szCs w:val="24"/>
        </w:rPr>
        <w:t>r</w:t>
      </w:r>
      <w:r w:rsidRPr="006E187A">
        <w:rPr>
          <w:rFonts w:cstheme="minorHAnsi"/>
          <w:sz w:val="24"/>
          <w:szCs w:val="24"/>
        </w:rPr>
        <w:t> = .211). These scales were set to covary as it seemed theoretically plausible for perceived social support and resilience to have correlated error terms as both may be influenced by factors such as childhood upbringing and personality traits (e.g., extroversion, conscientiousness).</w:t>
      </w:r>
    </w:p>
    <w:p w14:paraId="5CD00B13" w14:textId="43B576C3" w:rsidR="00805EE8" w:rsidRDefault="006E187A" w:rsidP="00805EE8">
      <w:pPr>
        <w:rPr>
          <w:rFonts w:cstheme="minorHAnsi"/>
          <w:sz w:val="24"/>
          <w:szCs w:val="24"/>
        </w:rPr>
        <w:sectPr w:rsidR="00805EE8" w:rsidSect="00D3131C">
          <w:pgSz w:w="12240" w:h="15840"/>
          <w:pgMar w:top="1080" w:right="1080" w:bottom="1080" w:left="1080" w:header="720" w:footer="720" w:gutter="0"/>
          <w:cols w:space="720"/>
          <w:docGrid w:linePitch="360"/>
        </w:sectPr>
      </w:pPr>
      <w:r w:rsidRPr="006E187A">
        <w:rPr>
          <w:rFonts w:cstheme="minorHAnsi"/>
          <w:sz w:val="24"/>
          <w:szCs w:val="24"/>
        </w:rPr>
        <w:t>This minor modification improved global model fit (Yuan-</w:t>
      </w:r>
      <w:proofErr w:type="spellStart"/>
      <w:r w:rsidRPr="006E187A">
        <w:rPr>
          <w:rFonts w:cstheme="minorHAnsi"/>
          <w:sz w:val="24"/>
          <w:szCs w:val="24"/>
        </w:rPr>
        <w:t>Bentler</w:t>
      </w:r>
      <w:proofErr w:type="spellEnd"/>
      <w:r w:rsidRPr="006E187A">
        <w:rPr>
          <w:rFonts w:cstheme="minorHAnsi"/>
          <w:sz w:val="24"/>
          <w:szCs w:val="24"/>
        </w:rPr>
        <w:t xml:space="preserve"> residual-based χ</w:t>
      </w:r>
      <w:r w:rsidRPr="006E187A">
        <w:rPr>
          <w:rFonts w:cstheme="minorHAnsi"/>
          <w:sz w:val="24"/>
          <w:szCs w:val="24"/>
          <w:vertAlign w:val="superscript"/>
        </w:rPr>
        <w:t>2</w:t>
      </w:r>
      <w:r w:rsidRPr="006E187A">
        <w:rPr>
          <w:rFonts w:cstheme="minorHAnsi"/>
          <w:sz w:val="24"/>
          <w:szCs w:val="24"/>
        </w:rPr>
        <w:t> = 81.693, </w:t>
      </w:r>
      <w:r w:rsidRPr="006E187A">
        <w:rPr>
          <w:rFonts w:cstheme="minorHAnsi"/>
          <w:i/>
          <w:iCs/>
          <w:sz w:val="24"/>
          <w:szCs w:val="24"/>
        </w:rPr>
        <w:t>p</w:t>
      </w:r>
      <w:r w:rsidRPr="006E187A">
        <w:rPr>
          <w:rFonts w:cstheme="minorHAnsi"/>
          <w:sz w:val="24"/>
          <w:szCs w:val="24"/>
        </w:rPr>
        <w:t xml:space="preserve"> &lt; .000; robust RMSEA = .061, 90% CI [.042, .080]; CFI = .965; SRMR = .052) and lowered residual correlations to levels </w:t>
      </w:r>
      <w:proofErr w:type="gramStart"/>
      <w:r w:rsidRPr="006E187A">
        <w:rPr>
          <w:rFonts w:cstheme="minorHAnsi"/>
          <w:sz w:val="24"/>
          <w:szCs w:val="24"/>
        </w:rPr>
        <w:t>similar to</w:t>
      </w:r>
      <w:proofErr w:type="gramEnd"/>
      <w:r w:rsidRPr="006E187A">
        <w:rPr>
          <w:rFonts w:cstheme="minorHAnsi"/>
          <w:sz w:val="24"/>
          <w:szCs w:val="24"/>
        </w:rPr>
        <w:t xml:space="preserve"> the measurement model. While χ</w:t>
      </w:r>
      <w:r w:rsidRPr="006E187A">
        <w:rPr>
          <w:rFonts w:cstheme="minorHAnsi"/>
          <w:sz w:val="24"/>
          <w:szCs w:val="24"/>
          <w:vertAlign w:val="superscript"/>
        </w:rPr>
        <w:t>2</w:t>
      </w:r>
      <w:r w:rsidRPr="006E187A">
        <w:rPr>
          <w:rFonts w:cstheme="minorHAnsi"/>
          <w:sz w:val="24"/>
          <w:szCs w:val="24"/>
        </w:rPr>
        <w:t> did not indicate good fit, CFI and SRMR indicated good model fit, and RMSEA model fit was on the boundary between good and acceptable model fit. All factor loadings were highly significant (i.e., </w:t>
      </w:r>
      <w:r w:rsidRPr="006E187A">
        <w:rPr>
          <w:rFonts w:cstheme="minorHAnsi"/>
          <w:i/>
          <w:iCs/>
          <w:sz w:val="24"/>
          <w:szCs w:val="24"/>
        </w:rPr>
        <w:t>p</w:t>
      </w:r>
      <w:r w:rsidRPr="006E187A">
        <w:rPr>
          <w:rFonts w:cstheme="minorHAnsi"/>
          <w:sz w:val="24"/>
          <w:szCs w:val="24"/>
        </w:rPr>
        <w:t> &lt; .000; see Table 3 and Figure 2 for all parameter estimates). The model accounted for 59% of the variance in both well-being and positive minority sexual identity.</w:t>
      </w:r>
      <w:r w:rsidRPr="006E187A">
        <w:rPr>
          <w:rFonts w:cstheme="minorHAnsi"/>
          <w:sz w:val="24"/>
          <w:szCs w:val="24"/>
        </w:rPr>
        <w:br/>
      </w:r>
      <w:r w:rsidRPr="006E187A">
        <w:rPr>
          <w:rFonts w:cstheme="minorHAnsi"/>
          <w:sz w:val="24"/>
          <w:szCs w:val="24"/>
        </w:rPr>
        <w:br/>
      </w:r>
    </w:p>
    <w:p w14:paraId="3627F1CB" w14:textId="3445BCE8" w:rsidR="00805EE8" w:rsidRPr="00F6106A" w:rsidRDefault="00C373E7" w:rsidP="00805EE8">
      <w:pPr>
        <w:pStyle w:val="NoSpacing"/>
        <w:rPr>
          <w:sz w:val="24"/>
          <w:szCs w:val="24"/>
        </w:rPr>
      </w:pPr>
      <w:r w:rsidRPr="00F6106A">
        <w:rPr>
          <w:sz w:val="24"/>
          <w:szCs w:val="24"/>
        </w:rPr>
        <w:t xml:space="preserve">Table 3. </w:t>
      </w:r>
      <w:r w:rsidR="006E187A" w:rsidRPr="00F6106A">
        <w:rPr>
          <w:sz w:val="24"/>
          <w:szCs w:val="24"/>
        </w:rPr>
        <w:t>Structural Model Parameter Estimates</w:t>
      </w:r>
    </w:p>
    <w:tbl>
      <w:tblPr>
        <w:tblStyle w:val="TableGrid"/>
        <w:tblW w:w="0" w:type="auto"/>
        <w:tblLook w:val="0020" w:firstRow="1" w:lastRow="0" w:firstColumn="0" w:lastColumn="0" w:noHBand="0" w:noVBand="0"/>
      </w:tblPr>
      <w:tblGrid>
        <w:gridCol w:w="3615"/>
        <w:gridCol w:w="3615"/>
        <w:gridCol w:w="715"/>
        <w:gridCol w:w="520"/>
        <w:gridCol w:w="764"/>
        <w:gridCol w:w="937"/>
        <w:gridCol w:w="594"/>
      </w:tblGrid>
      <w:tr w:rsidR="00805EE8" w:rsidRPr="00805EE8" w14:paraId="32F99F8E" w14:textId="77777777" w:rsidTr="00606AB6">
        <w:trPr>
          <w:trHeight w:val="233"/>
        </w:trPr>
        <w:tc>
          <w:tcPr>
            <w:tcW w:w="0" w:type="auto"/>
          </w:tcPr>
          <w:p w14:paraId="3573CBEB" w14:textId="77777777" w:rsidR="00805EE8" w:rsidRPr="00805EE8" w:rsidRDefault="00805EE8" w:rsidP="00805EE8">
            <w:pPr>
              <w:spacing w:line="259" w:lineRule="auto"/>
              <w:rPr>
                <w:rFonts w:cstheme="minorHAnsi"/>
                <w:sz w:val="24"/>
                <w:szCs w:val="24"/>
              </w:rPr>
            </w:pPr>
            <w:r w:rsidRPr="00805EE8">
              <w:rPr>
                <w:rFonts w:cstheme="minorHAnsi"/>
                <w:sz w:val="24"/>
                <w:szCs w:val="24"/>
              </w:rPr>
              <w:t>Parameter Estimates</w:t>
            </w:r>
          </w:p>
        </w:tc>
        <w:tc>
          <w:tcPr>
            <w:tcW w:w="0" w:type="auto"/>
          </w:tcPr>
          <w:p w14:paraId="3662C1AD" w14:textId="77777777" w:rsidR="00805EE8" w:rsidRPr="00805EE8" w:rsidRDefault="00805EE8" w:rsidP="00805EE8">
            <w:pPr>
              <w:spacing w:line="259" w:lineRule="auto"/>
              <w:rPr>
                <w:rFonts w:cstheme="minorHAnsi"/>
                <w:sz w:val="24"/>
                <w:szCs w:val="24"/>
              </w:rPr>
            </w:pPr>
            <w:r w:rsidRPr="00805EE8">
              <w:rPr>
                <w:rFonts w:cstheme="minorHAnsi"/>
                <w:sz w:val="24"/>
                <w:szCs w:val="24"/>
              </w:rPr>
              <w:t>Indicator</w:t>
            </w:r>
          </w:p>
        </w:tc>
        <w:tc>
          <w:tcPr>
            <w:tcW w:w="0" w:type="auto"/>
          </w:tcPr>
          <w:p w14:paraId="05ACD262" w14:textId="77777777" w:rsidR="00805EE8" w:rsidRPr="00805EE8" w:rsidRDefault="00805EE8" w:rsidP="00805EE8">
            <w:pPr>
              <w:spacing w:line="259" w:lineRule="auto"/>
              <w:rPr>
                <w:rFonts w:cstheme="minorHAnsi"/>
                <w:sz w:val="24"/>
                <w:szCs w:val="24"/>
              </w:rPr>
            </w:pPr>
            <w:r w:rsidRPr="00805EE8">
              <w:rPr>
                <w:rFonts w:cstheme="minorHAnsi"/>
                <w:sz w:val="24"/>
                <w:szCs w:val="24"/>
              </w:rPr>
              <w:t>B</w:t>
            </w:r>
          </w:p>
        </w:tc>
        <w:tc>
          <w:tcPr>
            <w:tcW w:w="0" w:type="auto"/>
          </w:tcPr>
          <w:p w14:paraId="520FA67C" w14:textId="77777777" w:rsidR="00805EE8" w:rsidRPr="00805EE8" w:rsidRDefault="00805EE8" w:rsidP="00805EE8">
            <w:pPr>
              <w:spacing w:line="259" w:lineRule="auto"/>
              <w:rPr>
                <w:rFonts w:cstheme="minorHAnsi"/>
                <w:i/>
                <w:iCs/>
                <w:sz w:val="24"/>
                <w:szCs w:val="24"/>
              </w:rPr>
            </w:pPr>
            <w:r w:rsidRPr="00805EE8">
              <w:rPr>
                <w:rFonts w:cstheme="minorHAnsi"/>
                <w:i/>
                <w:iCs/>
                <w:sz w:val="24"/>
                <w:szCs w:val="24"/>
              </w:rPr>
              <w:t>SE</w:t>
            </w:r>
          </w:p>
        </w:tc>
        <w:tc>
          <w:tcPr>
            <w:tcW w:w="0" w:type="auto"/>
          </w:tcPr>
          <w:p w14:paraId="3D72B552" w14:textId="77777777" w:rsidR="00805EE8" w:rsidRPr="00805EE8" w:rsidRDefault="00805EE8" w:rsidP="00805EE8">
            <w:pPr>
              <w:spacing w:line="259" w:lineRule="auto"/>
              <w:rPr>
                <w:rFonts w:cstheme="minorHAnsi"/>
                <w:sz w:val="24"/>
                <w:szCs w:val="24"/>
              </w:rPr>
            </w:pPr>
            <w:r w:rsidRPr="00805EE8">
              <w:rPr>
                <w:rFonts w:cstheme="minorHAnsi"/>
                <w:sz w:val="24"/>
                <w:szCs w:val="24"/>
              </w:rPr>
              <w:t>Z</w:t>
            </w:r>
          </w:p>
        </w:tc>
        <w:tc>
          <w:tcPr>
            <w:tcW w:w="0" w:type="auto"/>
          </w:tcPr>
          <w:p w14:paraId="74A2CF32" w14:textId="77777777" w:rsidR="00805EE8" w:rsidRPr="00805EE8" w:rsidRDefault="00805EE8" w:rsidP="00805EE8">
            <w:pPr>
              <w:spacing w:line="259" w:lineRule="auto"/>
              <w:rPr>
                <w:rFonts w:cstheme="minorHAnsi"/>
                <w:sz w:val="24"/>
                <w:szCs w:val="24"/>
              </w:rPr>
            </w:pPr>
            <w:r w:rsidRPr="00805EE8">
              <w:rPr>
                <w:rFonts w:cstheme="minorHAnsi"/>
                <w:i/>
                <w:iCs/>
                <w:sz w:val="24"/>
                <w:szCs w:val="24"/>
              </w:rPr>
              <w:t>p</w:t>
            </w:r>
            <w:r w:rsidRPr="00805EE8">
              <w:rPr>
                <w:rFonts w:cstheme="minorHAnsi"/>
                <w:sz w:val="24"/>
                <w:szCs w:val="24"/>
              </w:rPr>
              <w:t>-value</w:t>
            </w:r>
          </w:p>
        </w:tc>
        <w:tc>
          <w:tcPr>
            <w:tcW w:w="0" w:type="auto"/>
          </w:tcPr>
          <w:p w14:paraId="24F3AB26" w14:textId="68104C90" w:rsidR="00805EE8" w:rsidRPr="00805EE8" w:rsidRDefault="00805EE8" w:rsidP="00805EE8">
            <w:pPr>
              <w:spacing w:line="259" w:lineRule="auto"/>
              <w:rPr>
                <w:rFonts w:cstheme="minorHAnsi"/>
                <w:sz w:val="24"/>
                <w:szCs w:val="24"/>
              </w:rPr>
            </w:pPr>
            <w:r w:rsidRPr="00805EE8">
              <w:rPr>
                <w:rFonts w:cstheme="minorHAnsi"/>
                <w:sz w:val="24"/>
                <w:szCs w:val="24"/>
              </w:rPr>
              <w:t xml:space="preserve"> </w:t>
            </w:r>
            <w:r w:rsidR="007C76B2">
              <w:rPr>
                <w:rFonts w:ascii="Cambria Math" w:hAnsi="Cambria Math" w:cstheme="minorHAnsi"/>
                <w:sz w:val="24"/>
                <w:szCs w:val="24"/>
              </w:rPr>
              <w:t>β</w:t>
            </w:r>
          </w:p>
        </w:tc>
      </w:tr>
      <w:tr w:rsidR="00805EE8" w:rsidRPr="00805EE8" w14:paraId="3A4227D8" w14:textId="77777777" w:rsidTr="00606AB6">
        <w:trPr>
          <w:trHeight w:val="265"/>
        </w:trPr>
        <w:tc>
          <w:tcPr>
            <w:tcW w:w="0" w:type="auto"/>
          </w:tcPr>
          <w:p w14:paraId="2D6AE0C1" w14:textId="77777777" w:rsidR="00805EE8" w:rsidRPr="00805EE8" w:rsidRDefault="00805EE8" w:rsidP="00805EE8">
            <w:pPr>
              <w:spacing w:line="259" w:lineRule="auto"/>
              <w:rPr>
                <w:rFonts w:cstheme="minorHAnsi"/>
                <w:b/>
                <w:bCs/>
                <w:sz w:val="24"/>
                <w:szCs w:val="24"/>
              </w:rPr>
            </w:pPr>
            <w:r w:rsidRPr="00805EE8">
              <w:rPr>
                <w:rFonts w:cstheme="minorHAnsi"/>
                <w:b/>
                <w:bCs/>
                <w:sz w:val="24"/>
                <w:szCs w:val="24"/>
                <w:u w:val="single"/>
              </w:rPr>
              <w:t>Latent Variable</w:t>
            </w:r>
          </w:p>
        </w:tc>
        <w:tc>
          <w:tcPr>
            <w:tcW w:w="0" w:type="auto"/>
          </w:tcPr>
          <w:p w14:paraId="783D219A" w14:textId="77777777" w:rsidR="00805EE8" w:rsidRPr="00805EE8" w:rsidRDefault="00805EE8" w:rsidP="00805EE8">
            <w:pPr>
              <w:spacing w:line="259" w:lineRule="auto"/>
              <w:rPr>
                <w:rFonts w:cstheme="minorHAnsi"/>
                <w:sz w:val="24"/>
                <w:szCs w:val="24"/>
              </w:rPr>
            </w:pPr>
          </w:p>
        </w:tc>
        <w:tc>
          <w:tcPr>
            <w:tcW w:w="0" w:type="auto"/>
          </w:tcPr>
          <w:p w14:paraId="5C3F1AD0" w14:textId="77777777" w:rsidR="00805EE8" w:rsidRPr="00805EE8" w:rsidRDefault="00805EE8" w:rsidP="00805EE8">
            <w:pPr>
              <w:spacing w:line="259" w:lineRule="auto"/>
              <w:rPr>
                <w:rFonts w:cstheme="minorHAnsi"/>
                <w:sz w:val="24"/>
                <w:szCs w:val="24"/>
              </w:rPr>
            </w:pPr>
          </w:p>
        </w:tc>
        <w:tc>
          <w:tcPr>
            <w:tcW w:w="0" w:type="auto"/>
          </w:tcPr>
          <w:p w14:paraId="7BF47FCA" w14:textId="77777777" w:rsidR="00805EE8" w:rsidRPr="00805EE8" w:rsidRDefault="00805EE8" w:rsidP="00805EE8">
            <w:pPr>
              <w:spacing w:line="259" w:lineRule="auto"/>
              <w:rPr>
                <w:rFonts w:cstheme="minorHAnsi"/>
                <w:sz w:val="24"/>
                <w:szCs w:val="24"/>
              </w:rPr>
            </w:pPr>
          </w:p>
        </w:tc>
        <w:tc>
          <w:tcPr>
            <w:tcW w:w="0" w:type="auto"/>
          </w:tcPr>
          <w:p w14:paraId="6DD76D9A" w14:textId="77777777" w:rsidR="00805EE8" w:rsidRPr="00805EE8" w:rsidRDefault="00805EE8" w:rsidP="00805EE8">
            <w:pPr>
              <w:spacing w:line="259" w:lineRule="auto"/>
              <w:rPr>
                <w:rFonts w:cstheme="minorHAnsi"/>
                <w:sz w:val="24"/>
                <w:szCs w:val="24"/>
              </w:rPr>
            </w:pPr>
          </w:p>
        </w:tc>
        <w:tc>
          <w:tcPr>
            <w:tcW w:w="0" w:type="auto"/>
          </w:tcPr>
          <w:p w14:paraId="7C94ABA5" w14:textId="77777777" w:rsidR="00805EE8" w:rsidRPr="00805EE8" w:rsidRDefault="00805EE8" w:rsidP="00805EE8">
            <w:pPr>
              <w:spacing w:line="259" w:lineRule="auto"/>
              <w:rPr>
                <w:rFonts w:cstheme="minorHAnsi"/>
                <w:sz w:val="24"/>
                <w:szCs w:val="24"/>
              </w:rPr>
            </w:pPr>
          </w:p>
        </w:tc>
        <w:tc>
          <w:tcPr>
            <w:tcW w:w="0" w:type="auto"/>
          </w:tcPr>
          <w:p w14:paraId="6E89DF23" w14:textId="77777777" w:rsidR="00805EE8" w:rsidRPr="00805EE8" w:rsidRDefault="00805EE8" w:rsidP="00805EE8">
            <w:pPr>
              <w:spacing w:line="259" w:lineRule="auto"/>
              <w:rPr>
                <w:rFonts w:cstheme="minorHAnsi"/>
                <w:sz w:val="24"/>
                <w:szCs w:val="24"/>
              </w:rPr>
            </w:pPr>
          </w:p>
        </w:tc>
      </w:tr>
      <w:tr w:rsidR="00805EE8" w:rsidRPr="00805EE8" w14:paraId="05CECC80" w14:textId="77777777" w:rsidTr="00606AB6">
        <w:trPr>
          <w:trHeight w:val="180"/>
        </w:trPr>
        <w:tc>
          <w:tcPr>
            <w:tcW w:w="0" w:type="auto"/>
          </w:tcPr>
          <w:p w14:paraId="16FF5320" w14:textId="77777777" w:rsidR="00805EE8" w:rsidRPr="00805EE8" w:rsidRDefault="00805EE8" w:rsidP="00805EE8">
            <w:pPr>
              <w:spacing w:line="259" w:lineRule="auto"/>
              <w:rPr>
                <w:rFonts w:cstheme="minorHAnsi"/>
                <w:sz w:val="24"/>
                <w:szCs w:val="24"/>
              </w:rPr>
            </w:pPr>
            <w:r w:rsidRPr="00805EE8">
              <w:rPr>
                <w:rFonts w:cstheme="minorHAnsi"/>
                <w:sz w:val="24"/>
                <w:szCs w:val="24"/>
              </w:rPr>
              <w:t>Well-Being</w:t>
            </w:r>
          </w:p>
        </w:tc>
        <w:tc>
          <w:tcPr>
            <w:tcW w:w="0" w:type="auto"/>
          </w:tcPr>
          <w:p w14:paraId="5C24BB4E" w14:textId="77777777" w:rsidR="00805EE8" w:rsidRPr="00805EE8" w:rsidRDefault="00805EE8" w:rsidP="00805EE8">
            <w:pPr>
              <w:spacing w:line="259" w:lineRule="auto"/>
              <w:rPr>
                <w:rFonts w:cstheme="minorHAnsi"/>
                <w:sz w:val="24"/>
                <w:szCs w:val="24"/>
              </w:rPr>
            </w:pPr>
            <w:r w:rsidRPr="00805EE8">
              <w:rPr>
                <w:rFonts w:cstheme="minorHAnsi"/>
                <w:sz w:val="24"/>
                <w:szCs w:val="24"/>
              </w:rPr>
              <w:t>MHC-SF - Emotional Well-Being</w:t>
            </w:r>
          </w:p>
        </w:tc>
        <w:tc>
          <w:tcPr>
            <w:tcW w:w="0" w:type="auto"/>
          </w:tcPr>
          <w:p w14:paraId="08328086" w14:textId="77777777" w:rsidR="00805EE8" w:rsidRPr="00805EE8" w:rsidRDefault="00805EE8" w:rsidP="00805EE8">
            <w:pPr>
              <w:spacing w:line="259" w:lineRule="auto"/>
              <w:rPr>
                <w:rFonts w:cstheme="minorHAnsi"/>
                <w:sz w:val="24"/>
                <w:szCs w:val="24"/>
              </w:rPr>
            </w:pPr>
            <w:r w:rsidRPr="00805EE8">
              <w:rPr>
                <w:rFonts w:cstheme="minorHAnsi"/>
                <w:sz w:val="24"/>
                <w:szCs w:val="24"/>
              </w:rPr>
              <w:t>.59</w:t>
            </w:r>
          </w:p>
        </w:tc>
        <w:tc>
          <w:tcPr>
            <w:tcW w:w="0" w:type="auto"/>
          </w:tcPr>
          <w:p w14:paraId="14793859" w14:textId="77777777" w:rsidR="00805EE8" w:rsidRPr="00805EE8" w:rsidRDefault="00805EE8" w:rsidP="00805EE8">
            <w:pPr>
              <w:spacing w:line="259" w:lineRule="auto"/>
              <w:rPr>
                <w:rFonts w:cstheme="minorHAnsi"/>
                <w:sz w:val="24"/>
                <w:szCs w:val="24"/>
              </w:rPr>
            </w:pPr>
            <w:r w:rsidRPr="00805EE8">
              <w:rPr>
                <w:rFonts w:cstheme="minorHAnsi"/>
                <w:sz w:val="24"/>
                <w:szCs w:val="24"/>
              </w:rPr>
              <w:t>.04</w:t>
            </w:r>
          </w:p>
        </w:tc>
        <w:tc>
          <w:tcPr>
            <w:tcW w:w="0" w:type="auto"/>
          </w:tcPr>
          <w:p w14:paraId="0973737F" w14:textId="77777777" w:rsidR="00805EE8" w:rsidRPr="00805EE8" w:rsidRDefault="00805EE8" w:rsidP="00805EE8">
            <w:pPr>
              <w:spacing w:line="259" w:lineRule="auto"/>
              <w:rPr>
                <w:rFonts w:cstheme="minorHAnsi"/>
                <w:sz w:val="24"/>
                <w:szCs w:val="24"/>
              </w:rPr>
            </w:pPr>
            <w:r w:rsidRPr="00805EE8">
              <w:rPr>
                <w:rFonts w:cstheme="minorHAnsi"/>
                <w:sz w:val="24"/>
                <w:szCs w:val="24"/>
              </w:rPr>
              <w:t>13.72</w:t>
            </w:r>
          </w:p>
        </w:tc>
        <w:tc>
          <w:tcPr>
            <w:tcW w:w="0" w:type="auto"/>
          </w:tcPr>
          <w:p w14:paraId="2D22755A"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DFCC99A" w14:textId="77777777" w:rsidR="00805EE8" w:rsidRPr="00805EE8" w:rsidRDefault="00805EE8" w:rsidP="00805EE8">
            <w:pPr>
              <w:spacing w:line="259" w:lineRule="auto"/>
              <w:rPr>
                <w:rFonts w:cstheme="minorHAnsi"/>
                <w:sz w:val="24"/>
                <w:szCs w:val="24"/>
              </w:rPr>
            </w:pPr>
            <w:r w:rsidRPr="00805EE8">
              <w:rPr>
                <w:rFonts w:cstheme="minorHAnsi"/>
                <w:sz w:val="24"/>
                <w:szCs w:val="24"/>
              </w:rPr>
              <w:t>.83</w:t>
            </w:r>
          </w:p>
        </w:tc>
      </w:tr>
      <w:tr w:rsidR="00805EE8" w:rsidRPr="00805EE8" w14:paraId="3DC3C40A" w14:textId="77777777" w:rsidTr="00606AB6">
        <w:trPr>
          <w:trHeight w:val="180"/>
        </w:trPr>
        <w:tc>
          <w:tcPr>
            <w:tcW w:w="0" w:type="auto"/>
          </w:tcPr>
          <w:p w14:paraId="6987FCC6" w14:textId="77777777" w:rsidR="00805EE8" w:rsidRPr="00805EE8" w:rsidRDefault="00805EE8" w:rsidP="00805EE8">
            <w:pPr>
              <w:spacing w:line="259" w:lineRule="auto"/>
              <w:rPr>
                <w:rFonts w:cstheme="minorHAnsi"/>
                <w:sz w:val="24"/>
                <w:szCs w:val="24"/>
              </w:rPr>
            </w:pPr>
          </w:p>
        </w:tc>
        <w:tc>
          <w:tcPr>
            <w:tcW w:w="0" w:type="auto"/>
          </w:tcPr>
          <w:p w14:paraId="20F93390" w14:textId="77777777" w:rsidR="00805EE8" w:rsidRPr="00805EE8" w:rsidRDefault="00805EE8" w:rsidP="00805EE8">
            <w:pPr>
              <w:spacing w:line="259" w:lineRule="auto"/>
              <w:rPr>
                <w:rFonts w:cstheme="minorHAnsi"/>
                <w:sz w:val="24"/>
                <w:szCs w:val="24"/>
              </w:rPr>
            </w:pPr>
            <w:r w:rsidRPr="00805EE8">
              <w:rPr>
                <w:rFonts w:cstheme="minorHAnsi"/>
                <w:sz w:val="24"/>
                <w:szCs w:val="24"/>
              </w:rPr>
              <w:t>MHC-SF - Social Well-Being</w:t>
            </w:r>
          </w:p>
        </w:tc>
        <w:tc>
          <w:tcPr>
            <w:tcW w:w="0" w:type="auto"/>
          </w:tcPr>
          <w:p w14:paraId="133BE9EA" w14:textId="77777777" w:rsidR="00805EE8" w:rsidRPr="00805EE8" w:rsidRDefault="00805EE8" w:rsidP="00805EE8">
            <w:pPr>
              <w:spacing w:line="259" w:lineRule="auto"/>
              <w:rPr>
                <w:rFonts w:cstheme="minorHAnsi"/>
                <w:sz w:val="24"/>
                <w:szCs w:val="24"/>
              </w:rPr>
            </w:pPr>
            <w:r w:rsidRPr="00805EE8">
              <w:rPr>
                <w:rFonts w:cstheme="minorHAnsi"/>
                <w:sz w:val="24"/>
                <w:szCs w:val="24"/>
              </w:rPr>
              <w:t>.52</w:t>
            </w:r>
          </w:p>
        </w:tc>
        <w:tc>
          <w:tcPr>
            <w:tcW w:w="0" w:type="auto"/>
          </w:tcPr>
          <w:p w14:paraId="7C897E3C" w14:textId="77777777" w:rsidR="00805EE8" w:rsidRPr="00805EE8" w:rsidRDefault="00805EE8" w:rsidP="00805EE8">
            <w:pPr>
              <w:spacing w:line="259" w:lineRule="auto"/>
              <w:rPr>
                <w:rFonts w:cstheme="minorHAnsi"/>
                <w:sz w:val="24"/>
                <w:szCs w:val="24"/>
              </w:rPr>
            </w:pPr>
            <w:r w:rsidRPr="00805EE8">
              <w:rPr>
                <w:rFonts w:cstheme="minorHAnsi"/>
                <w:sz w:val="24"/>
                <w:szCs w:val="24"/>
              </w:rPr>
              <w:t>.04</w:t>
            </w:r>
          </w:p>
        </w:tc>
        <w:tc>
          <w:tcPr>
            <w:tcW w:w="0" w:type="auto"/>
          </w:tcPr>
          <w:p w14:paraId="41BCC7E5" w14:textId="77777777" w:rsidR="00805EE8" w:rsidRPr="00805EE8" w:rsidRDefault="00805EE8" w:rsidP="00805EE8">
            <w:pPr>
              <w:spacing w:line="259" w:lineRule="auto"/>
              <w:rPr>
                <w:rFonts w:cstheme="minorHAnsi"/>
                <w:sz w:val="24"/>
                <w:szCs w:val="24"/>
              </w:rPr>
            </w:pPr>
            <w:r w:rsidRPr="00805EE8">
              <w:rPr>
                <w:rFonts w:cstheme="minorHAnsi"/>
                <w:sz w:val="24"/>
                <w:szCs w:val="24"/>
              </w:rPr>
              <w:t>11.66</w:t>
            </w:r>
          </w:p>
        </w:tc>
        <w:tc>
          <w:tcPr>
            <w:tcW w:w="0" w:type="auto"/>
          </w:tcPr>
          <w:p w14:paraId="024D7F07"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720ED30E" w14:textId="77777777" w:rsidR="00805EE8" w:rsidRPr="00805EE8" w:rsidRDefault="00805EE8" w:rsidP="00805EE8">
            <w:pPr>
              <w:spacing w:line="259" w:lineRule="auto"/>
              <w:rPr>
                <w:rFonts w:cstheme="minorHAnsi"/>
                <w:sz w:val="24"/>
                <w:szCs w:val="24"/>
              </w:rPr>
            </w:pPr>
            <w:r w:rsidRPr="00805EE8">
              <w:rPr>
                <w:rFonts w:cstheme="minorHAnsi"/>
                <w:sz w:val="24"/>
                <w:szCs w:val="24"/>
              </w:rPr>
              <w:t>.76</w:t>
            </w:r>
          </w:p>
        </w:tc>
      </w:tr>
      <w:tr w:rsidR="00805EE8" w:rsidRPr="00805EE8" w14:paraId="06106454" w14:textId="77777777" w:rsidTr="00606AB6">
        <w:trPr>
          <w:trHeight w:val="180"/>
        </w:trPr>
        <w:tc>
          <w:tcPr>
            <w:tcW w:w="0" w:type="auto"/>
          </w:tcPr>
          <w:p w14:paraId="1A447918" w14:textId="77777777" w:rsidR="00805EE8" w:rsidRPr="00805EE8" w:rsidRDefault="00805EE8" w:rsidP="00805EE8">
            <w:pPr>
              <w:spacing w:line="259" w:lineRule="auto"/>
              <w:rPr>
                <w:rFonts w:cstheme="minorHAnsi"/>
                <w:sz w:val="24"/>
                <w:szCs w:val="24"/>
              </w:rPr>
            </w:pPr>
          </w:p>
        </w:tc>
        <w:tc>
          <w:tcPr>
            <w:tcW w:w="0" w:type="auto"/>
          </w:tcPr>
          <w:p w14:paraId="4FE64FCE" w14:textId="77777777" w:rsidR="00805EE8" w:rsidRPr="00805EE8" w:rsidRDefault="00805EE8" w:rsidP="00805EE8">
            <w:pPr>
              <w:spacing w:line="259" w:lineRule="auto"/>
              <w:rPr>
                <w:rFonts w:cstheme="minorHAnsi"/>
                <w:sz w:val="24"/>
                <w:szCs w:val="24"/>
              </w:rPr>
            </w:pPr>
            <w:r w:rsidRPr="00805EE8">
              <w:rPr>
                <w:rFonts w:cstheme="minorHAnsi"/>
                <w:sz w:val="24"/>
                <w:szCs w:val="24"/>
              </w:rPr>
              <w:t>MHC-SF - Psychological Well-Being</w:t>
            </w:r>
          </w:p>
        </w:tc>
        <w:tc>
          <w:tcPr>
            <w:tcW w:w="0" w:type="auto"/>
          </w:tcPr>
          <w:p w14:paraId="5190739E" w14:textId="77777777" w:rsidR="00805EE8" w:rsidRPr="00805EE8" w:rsidRDefault="00805EE8" w:rsidP="00805EE8">
            <w:pPr>
              <w:spacing w:line="259" w:lineRule="auto"/>
              <w:rPr>
                <w:rFonts w:cstheme="minorHAnsi"/>
                <w:sz w:val="24"/>
                <w:szCs w:val="24"/>
              </w:rPr>
            </w:pPr>
            <w:r w:rsidRPr="00805EE8">
              <w:rPr>
                <w:rFonts w:cstheme="minorHAnsi"/>
                <w:sz w:val="24"/>
                <w:szCs w:val="24"/>
              </w:rPr>
              <w:t>.63</w:t>
            </w:r>
          </w:p>
        </w:tc>
        <w:tc>
          <w:tcPr>
            <w:tcW w:w="0" w:type="auto"/>
          </w:tcPr>
          <w:p w14:paraId="2DB04FD0" w14:textId="77777777" w:rsidR="00805EE8" w:rsidRPr="00805EE8" w:rsidRDefault="00805EE8" w:rsidP="00805EE8">
            <w:pPr>
              <w:spacing w:line="259" w:lineRule="auto"/>
              <w:rPr>
                <w:rFonts w:cstheme="minorHAnsi"/>
                <w:sz w:val="24"/>
                <w:szCs w:val="24"/>
              </w:rPr>
            </w:pPr>
            <w:r w:rsidRPr="00805EE8">
              <w:rPr>
                <w:rFonts w:cstheme="minorHAnsi"/>
                <w:sz w:val="24"/>
                <w:szCs w:val="24"/>
              </w:rPr>
              <w:t>.04</w:t>
            </w:r>
          </w:p>
        </w:tc>
        <w:tc>
          <w:tcPr>
            <w:tcW w:w="0" w:type="auto"/>
          </w:tcPr>
          <w:p w14:paraId="5FF2A91D" w14:textId="77777777" w:rsidR="00805EE8" w:rsidRPr="00805EE8" w:rsidRDefault="00805EE8" w:rsidP="00805EE8">
            <w:pPr>
              <w:spacing w:line="259" w:lineRule="auto"/>
              <w:rPr>
                <w:rFonts w:cstheme="minorHAnsi"/>
                <w:sz w:val="24"/>
                <w:szCs w:val="24"/>
              </w:rPr>
            </w:pPr>
            <w:r w:rsidRPr="00805EE8">
              <w:rPr>
                <w:rFonts w:cstheme="minorHAnsi"/>
                <w:sz w:val="24"/>
                <w:szCs w:val="24"/>
              </w:rPr>
              <w:t>15.61</w:t>
            </w:r>
          </w:p>
        </w:tc>
        <w:tc>
          <w:tcPr>
            <w:tcW w:w="0" w:type="auto"/>
          </w:tcPr>
          <w:p w14:paraId="7B4EB378"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547FF0D" w14:textId="77777777" w:rsidR="00805EE8" w:rsidRPr="00805EE8" w:rsidRDefault="00805EE8" w:rsidP="00805EE8">
            <w:pPr>
              <w:spacing w:line="259" w:lineRule="auto"/>
              <w:rPr>
                <w:rFonts w:cstheme="minorHAnsi"/>
                <w:sz w:val="24"/>
                <w:szCs w:val="24"/>
              </w:rPr>
            </w:pPr>
            <w:r w:rsidRPr="00805EE8">
              <w:rPr>
                <w:rFonts w:cstheme="minorHAnsi"/>
                <w:sz w:val="24"/>
                <w:szCs w:val="24"/>
              </w:rPr>
              <w:t>.89</w:t>
            </w:r>
          </w:p>
        </w:tc>
      </w:tr>
      <w:tr w:rsidR="00805EE8" w:rsidRPr="00805EE8" w14:paraId="0F23C851" w14:textId="77777777" w:rsidTr="00606AB6">
        <w:trPr>
          <w:trHeight w:val="180"/>
        </w:trPr>
        <w:tc>
          <w:tcPr>
            <w:tcW w:w="0" w:type="auto"/>
          </w:tcPr>
          <w:p w14:paraId="3DE58C62" w14:textId="77777777" w:rsidR="00805EE8" w:rsidRPr="00805EE8" w:rsidRDefault="00805EE8" w:rsidP="00805EE8">
            <w:pPr>
              <w:spacing w:line="259" w:lineRule="auto"/>
              <w:rPr>
                <w:rFonts w:cstheme="minorHAnsi"/>
                <w:sz w:val="24"/>
                <w:szCs w:val="24"/>
              </w:rPr>
            </w:pPr>
            <w:r w:rsidRPr="00805EE8">
              <w:rPr>
                <w:rFonts w:cstheme="minorHAnsi"/>
                <w:sz w:val="24"/>
                <w:szCs w:val="24"/>
              </w:rPr>
              <w:t>Minority Stress Processes</w:t>
            </w:r>
          </w:p>
        </w:tc>
        <w:tc>
          <w:tcPr>
            <w:tcW w:w="0" w:type="auto"/>
          </w:tcPr>
          <w:p w14:paraId="2A476957" w14:textId="77777777" w:rsidR="00805EE8" w:rsidRPr="00805EE8" w:rsidRDefault="00805EE8" w:rsidP="00805EE8">
            <w:pPr>
              <w:spacing w:line="259" w:lineRule="auto"/>
              <w:rPr>
                <w:rFonts w:cstheme="minorHAnsi"/>
                <w:sz w:val="24"/>
                <w:szCs w:val="24"/>
              </w:rPr>
            </w:pPr>
            <w:r w:rsidRPr="00805EE8">
              <w:rPr>
                <w:rFonts w:cstheme="minorHAnsi"/>
                <w:sz w:val="24"/>
                <w:szCs w:val="24"/>
              </w:rPr>
              <w:t>LGBIS-Concealment Motivations</w:t>
            </w:r>
          </w:p>
        </w:tc>
        <w:tc>
          <w:tcPr>
            <w:tcW w:w="0" w:type="auto"/>
          </w:tcPr>
          <w:p w14:paraId="10A0EB00" w14:textId="77777777" w:rsidR="00805EE8" w:rsidRPr="00805EE8" w:rsidRDefault="00805EE8" w:rsidP="00805EE8">
            <w:pPr>
              <w:spacing w:line="259" w:lineRule="auto"/>
              <w:rPr>
                <w:rFonts w:cstheme="minorHAnsi"/>
                <w:sz w:val="24"/>
                <w:szCs w:val="24"/>
              </w:rPr>
            </w:pPr>
            <w:r w:rsidRPr="00805EE8">
              <w:rPr>
                <w:rFonts w:cstheme="minorHAnsi"/>
                <w:sz w:val="24"/>
                <w:szCs w:val="24"/>
              </w:rPr>
              <w:t>.80</w:t>
            </w:r>
          </w:p>
        </w:tc>
        <w:tc>
          <w:tcPr>
            <w:tcW w:w="0" w:type="auto"/>
          </w:tcPr>
          <w:p w14:paraId="086421EA" w14:textId="77777777" w:rsidR="00805EE8" w:rsidRPr="00805EE8" w:rsidRDefault="00805EE8" w:rsidP="00805EE8">
            <w:pPr>
              <w:spacing w:line="259" w:lineRule="auto"/>
              <w:rPr>
                <w:rFonts w:cstheme="minorHAnsi"/>
                <w:sz w:val="24"/>
                <w:szCs w:val="24"/>
              </w:rPr>
            </w:pPr>
            <w:r w:rsidRPr="00805EE8">
              <w:rPr>
                <w:rFonts w:cstheme="minorHAnsi"/>
                <w:sz w:val="24"/>
                <w:szCs w:val="24"/>
              </w:rPr>
              <w:t>.13</w:t>
            </w:r>
          </w:p>
        </w:tc>
        <w:tc>
          <w:tcPr>
            <w:tcW w:w="0" w:type="auto"/>
          </w:tcPr>
          <w:p w14:paraId="0475C95B" w14:textId="77777777" w:rsidR="00805EE8" w:rsidRPr="00805EE8" w:rsidRDefault="00805EE8" w:rsidP="00805EE8">
            <w:pPr>
              <w:spacing w:line="259" w:lineRule="auto"/>
              <w:rPr>
                <w:rFonts w:cstheme="minorHAnsi"/>
                <w:sz w:val="24"/>
                <w:szCs w:val="24"/>
              </w:rPr>
            </w:pPr>
            <w:r w:rsidRPr="00805EE8">
              <w:rPr>
                <w:rFonts w:cstheme="minorHAnsi"/>
                <w:sz w:val="24"/>
                <w:szCs w:val="24"/>
              </w:rPr>
              <w:t>6.29</w:t>
            </w:r>
          </w:p>
        </w:tc>
        <w:tc>
          <w:tcPr>
            <w:tcW w:w="0" w:type="auto"/>
          </w:tcPr>
          <w:p w14:paraId="35BA5624"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488771C1" w14:textId="77777777" w:rsidR="00805EE8" w:rsidRPr="00805EE8" w:rsidRDefault="00805EE8" w:rsidP="00805EE8">
            <w:pPr>
              <w:spacing w:line="259" w:lineRule="auto"/>
              <w:rPr>
                <w:rFonts w:cstheme="minorHAnsi"/>
                <w:sz w:val="24"/>
                <w:szCs w:val="24"/>
              </w:rPr>
            </w:pPr>
            <w:r w:rsidRPr="00805EE8">
              <w:rPr>
                <w:rFonts w:cstheme="minorHAnsi"/>
                <w:sz w:val="24"/>
                <w:szCs w:val="24"/>
              </w:rPr>
              <w:t>.57</w:t>
            </w:r>
          </w:p>
        </w:tc>
      </w:tr>
      <w:tr w:rsidR="00805EE8" w:rsidRPr="00805EE8" w14:paraId="43898562" w14:textId="77777777" w:rsidTr="00606AB6">
        <w:trPr>
          <w:trHeight w:val="180"/>
        </w:trPr>
        <w:tc>
          <w:tcPr>
            <w:tcW w:w="0" w:type="auto"/>
          </w:tcPr>
          <w:p w14:paraId="6AC87EAD" w14:textId="77777777" w:rsidR="00805EE8" w:rsidRPr="00805EE8" w:rsidRDefault="00805EE8" w:rsidP="00805EE8">
            <w:pPr>
              <w:spacing w:line="259" w:lineRule="auto"/>
              <w:rPr>
                <w:rFonts w:cstheme="minorHAnsi"/>
                <w:sz w:val="24"/>
                <w:szCs w:val="24"/>
              </w:rPr>
            </w:pPr>
          </w:p>
        </w:tc>
        <w:tc>
          <w:tcPr>
            <w:tcW w:w="0" w:type="auto"/>
          </w:tcPr>
          <w:p w14:paraId="28B095FB" w14:textId="77777777" w:rsidR="00805EE8" w:rsidRPr="00805EE8" w:rsidRDefault="00805EE8" w:rsidP="00805EE8">
            <w:pPr>
              <w:spacing w:line="259" w:lineRule="auto"/>
              <w:rPr>
                <w:rFonts w:cstheme="minorHAnsi"/>
                <w:sz w:val="24"/>
                <w:szCs w:val="24"/>
              </w:rPr>
            </w:pPr>
            <w:r w:rsidRPr="00805EE8">
              <w:rPr>
                <w:rFonts w:cstheme="minorHAnsi"/>
                <w:sz w:val="24"/>
                <w:szCs w:val="24"/>
              </w:rPr>
              <w:t>LGBIS-Internalized Homonegativity</w:t>
            </w:r>
          </w:p>
        </w:tc>
        <w:tc>
          <w:tcPr>
            <w:tcW w:w="0" w:type="auto"/>
          </w:tcPr>
          <w:p w14:paraId="19767DA7" w14:textId="77777777" w:rsidR="00805EE8" w:rsidRPr="00805EE8" w:rsidRDefault="00805EE8" w:rsidP="00805EE8">
            <w:pPr>
              <w:spacing w:line="259" w:lineRule="auto"/>
              <w:rPr>
                <w:rFonts w:cstheme="minorHAnsi"/>
                <w:sz w:val="24"/>
                <w:szCs w:val="24"/>
              </w:rPr>
            </w:pPr>
            <w:r w:rsidRPr="00805EE8">
              <w:rPr>
                <w:rFonts w:cstheme="minorHAnsi"/>
                <w:sz w:val="24"/>
                <w:szCs w:val="24"/>
              </w:rPr>
              <w:t>.52</w:t>
            </w:r>
          </w:p>
        </w:tc>
        <w:tc>
          <w:tcPr>
            <w:tcW w:w="0" w:type="auto"/>
          </w:tcPr>
          <w:p w14:paraId="71BF1D5F" w14:textId="77777777" w:rsidR="00805EE8" w:rsidRPr="00805EE8" w:rsidRDefault="00805EE8" w:rsidP="00805EE8">
            <w:pPr>
              <w:spacing w:line="259" w:lineRule="auto"/>
              <w:rPr>
                <w:rFonts w:cstheme="minorHAnsi"/>
                <w:sz w:val="24"/>
                <w:szCs w:val="24"/>
              </w:rPr>
            </w:pPr>
            <w:r w:rsidRPr="00805EE8">
              <w:rPr>
                <w:rFonts w:cstheme="minorHAnsi"/>
                <w:sz w:val="24"/>
                <w:szCs w:val="24"/>
              </w:rPr>
              <w:t>.10</w:t>
            </w:r>
          </w:p>
        </w:tc>
        <w:tc>
          <w:tcPr>
            <w:tcW w:w="0" w:type="auto"/>
          </w:tcPr>
          <w:p w14:paraId="4BD6BE12" w14:textId="77777777" w:rsidR="00805EE8" w:rsidRPr="00805EE8" w:rsidRDefault="00805EE8" w:rsidP="00805EE8">
            <w:pPr>
              <w:spacing w:line="259" w:lineRule="auto"/>
              <w:rPr>
                <w:rFonts w:cstheme="minorHAnsi"/>
                <w:sz w:val="24"/>
                <w:szCs w:val="24"/>
              </w:rPr>
            </w:pPr>
            <w:r w:rsidRPr="00805EE8">
              <w:rPr>
                <w:rFonts w:cstheme="minorHAnsi"/>
                <w:sz w:val="24"/>
                <w:szCs w:val="24"/>
              </w:rPr>
              <w:t>5.13</w:t>
            </w:r>
          </w:p>
        </w:tc>
        <w:tc>
          <w:tcPr>
            <w:tcW w:w="0" w:type="auto"/>
          </w:tcPr>
          <w:p w14:paraId="08469C6C"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7EB9395" w14:textId="77777777" w:rsidR="00805EE8" w:rsidRPr="00805EE8" w:rsidRDefault="00805EE8" w:rsidP="00805EE8">
            <w:pPr>
              <w:spacing w:line="259" w:lineRule="auto"/>
              <w:rPr>
                <w:rFonts w:cstheme="minorHAnsi"/>
                <w:sz w:val="24"/>
                <w:szCs w:val="24"/>
              </w:rPr>
            </w:pPr>
            <w:r w:rsidRPr="00805EE8">
              <w:rPr>
                <w:rFonts w:cstheme="minorHAnsi"/>
                <w:sz w:val="24"/>
                <w:szCs w:val="24"/>
              </w:rPr>
              <w:t>.47</w:t>
            </w:r>
          </w:p>
        </w:tc>
      </w:tr>
      <w:tr w:rsidR="00805EE8" w:rsidRPr="00805EE8" w14:paraId="03FFFE73" w14:textId="77777777" w:rsidTr="00606AB6">
        <w:trPr>
          <w:trHeight w:val="180"/>
        </w:trPr>
        <w:tc>
          <w:tcPr>
            <w:tcW w:w="0" w:type="auto"/>
          </w:tcPr>
          <w:p w14:paraId="0DCEDAAB" w14:textId="77777777" w:rsidR="00805EE8" w:rsidRPr="00805EE8" w:rsidRDefault="00805EE8" w:rsidP="00805EE8">
            <w:pPr>
              <w:spacing w:line="259" w:lineRule="auto"/>
              <w:rPr>
                <w:rFonts w:cstheme="minorHAnsi"/>
                <w:sz w:val="24"/>
                <w:szCs w:val="24"/>
              </w:rPr>
            </w:pPr>
            <w:r w:rsidRPr="00805EE8">
              <w:rPr>
                <w:rFonts w:cstheme="minorHAnsi"/>
                <w:sz w:val="24"/>
                <w:szCs w:val="24"/>
              </w:rPr>
              <w:t>Positive Minority Sexual Identity</w:t>
            </w:r>
          </w:p>
        </w:tc>
        <w:tc>
          <w:tcPr>
            <w:tcW w:w="0" w:type="auto"/>
          </w:tcPr>
          <w:p w14:paraId="53A79255"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Self-Awareness</w:t>
            </w:r>
          </w:p>
        </w:tc>
        <w:tc>
          <w:tcPr>
            <w:tcW w:w="0" w:type="auto"/>
          </w:tcPr>
          <w:p w14:paraId="5EA5BA44" w14:textId="77777777" w:rsidR="00805EE8" w:rsidRPr="00805EE8" w:rsidRDefault="00805EE8" w:rsidP="00805EE8">
            <w:pPr>
              <w:spacing w:line="259" w:lineRule="auto"/>
              <w:rPr>
                <w:rFonts w:cstheme="minorHAnsi"/>
                <w:sz w:val="24"/>
                <w:szCs w:val="24"/>
              </w:rPr>
            </w:pPr>
            <w:r w:rsidRPr="00805EE8">
              <w:rPr>
                <w:rFonts w:cstheme="minorHAnsi"/>
                <w:sz w:val="24"/>
                <w:szCs w:val="24"/>
              </w:rPr>
              <w:t>.66</w:t>
            </w:r>
          </w:p>
        </w:tc>
        <w:tc>
          <w:tcPr>
            <w:tcW w:w="0" w:type="auto"/>
          </w:tcPr>
          <w:p w14:paraId="16E7B86B" w14:textId="77777777" w:rsidR="00805EE8" w:rsidRPr="00805EE8" w:rsidRDefault="00805EE8" w:rsidP="00805EE8">
            <w:pPr>
              <w:spacing w:line="259" w:lineRule="auto"/>
              <w:rPr>
                <w:rFonts w:cstheme="minorHAnsi"/>
                <w:sz w:val="24"/>
                <w:szCs w:val="24"/>
              </w:rPr>
            </w:pPr>
            <w:r w:rsidRPr="00805EE8">
              <w:rPr>
                <w:rFonts w:cstheme="minorHAnsi"/>
                <w:sz w:val="24"/>
                <w:szCs w:val="24"/>
              </w:rPr>
              <w:t>.13</w:t>
            </w:r>
          </w:p>
        </w:tc>
        <w:tc>
          <w:tcPr>
            <w:tcW w:w="0" w:type="auto"/>
          </w:tcPr>
          <w:p w14:paraId="529AA20F" w14:textId="77777777" w:rsidR="00805EE8" w:rsidRPr="00805EE8" w:rsidRDefault="00805EE8" w:rsidP="00805EE8">
            <w:pPr>
              <w:spacing w:line="259" w:lineRule="auto"/>
              <w:rPr>
                <w:rFonts w:cstheme="minorHAnsi"/>
                <w:sz w:val="24"/>
                <w:szCs w:val="24"/>
              </w:rPr>
            </w:pPr>
            <w:r w:rsidRPr="00805EE8">
              <w:rPr>
                <w:rFonts w:cstheme="minorHAnsi"/>
                <w:sz w:val="24"/>
                <w:szCs w:val="24"/>
              </w:rPr>
              <w:t>4.87</w:t>
            </w:r>
          </w:p>
        </w:tc>
        <w:tc>
          <w:tcPr>
            <w:tcW w:w="0" w:type="auto"/>
          </w:tcPr>
          <w:p w14:paraId="1147F457"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0756DBF" w14:textId="77777777" w:rsidR="00805EE8" w:rsidRPr="00805EE8" w:rsidRDefault="00805EE8" w:rsidP="00805EE8">
            <w:pPr>
              <w:spacing w:line="259" w:lineRule="auto"/>
              <w:rPr>
                <w:rFonts w:cstheme="minorHAnsi"/>
                <w:sz w:val="24"/>
                <w:szCs w:val="24"/>
              </w:rPr>
            </w:pPr>
            <w:r w:rsidRPr="00805EE8">
              <w:rPr>
                <w:rFonts w:cstheme="minorHAnsi"/>
                <w:sz w:val="24"/>
                <w:szCs w:val="24"/>
              </w:rPr>
              <w:t>.66</w:t>
            </w:r>
          </w:p>
        </w:tc>
      </w:tr>
      <w:tr w:rsidR="00805EE8" w:rsidRPr="00805EE8" w14:paraId="3DD43046" w14:textId="77777777" w:rsidTr="00606AB6">
        <w:trPr>
          <w:trHeight w:val="180"/>
        </w:trPr>
        <w:tc>
          <w:tcPr>
            <w:tcW w:w="0" w:type="auto"/>
          </w:tcPr>
          <w:p w14:paraId="0ED12EE3" w14:textId="77777777" w:rsidR="00805EE8" w:rsidRPr="00805EE8" w:rsidRDefault="00805EE8" w:rsidP="00805EE8">
            <w:pPr>
              <w:spacing w:line="259" w:lineRule="auto"/>
              <w:rPr>
                <w:rFonts w:cstheme="minorHAnsi"/>
                <w:sz w:val="24"/>
                <w:szCs w:val="24"/>
              </w:rPr>
            </w:pPr>
          </w:p>
        </w:tc>
        <w:tc>
          <w:tcPr>
            <w:tcW w:w="0" w:type="auto"/>
          </w:tcPr>
          <w:p w14:paraId="0A007B48"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Intimacy</w:t>
            </w:r>
          </w:p>
        </w:tc>
        <w:tc>
          <w:tcPr>
            <w:tcW w:w="0" w:type="auto"/>
          </w:tcPr>
          <w:p w14:paraId="4F863134" w14:textId="77777777" w:rsidR="00805EE8" w:rsidRPr="00805EE8" w:rsidRDefault="00805EE8" w:rsidP="00805EE8">
            <w:pPr>
              <w:spacing w:line="259" w:lineRule="auto"/>
              <w:rPr>
                <w:rFonts w:cstheme="minorHAnsi"/>
                <w:sz w:val="24"/>
                <w:szCs w:val="24"/>
              </w:rPr>
            </w:pPr>
            <w:r w:rsidRPr="00805EE8">
              <w:rPr>
                <w:rFonts w:cstheme="minorHAnsi"/>
                <w:sz w:val="24"/>
                <w:szCs w:val="24"/>
              </w:rPr>
              <w:t>.50</w:t>
            </w:r>
          </w:p>
        </w:tc>
        <w:tc>
          <w:tcPr>
            <w:tcW w:w="0" w:type="auto"/>
          </w:tcPr>
          <w:p w14:paraId="6A1A6CA2" w14:textId="77777777" w:rsidR="00805EE8" w:rsidRPr="00805EE8" w:rsidRDefault="00805EE8" w:rsidP="00805EE8">
            <w:pPr>
              <w:spacing w:line="259" w:lineRule="auto"/>
              <w:rPr>
                <w:rFonts w:cstheme="minorHAnsi"/>
                <w:sz w:val="24"/>
                <w:szCs w:val="24"/>
              </w:rPr>
            </w:pPr>
            <w:r w:rsidRPr="00805EE8">
              <w:rPr>
                <w:rFonts w:cstheme="minorHAnsi"/>
                <w:sz w:val="24"/>
                <w:szCs w:val="24"/>
              </w:rPr>
              <w:t>.10</w:t>
            </w:r>
          </w:p>
        </w:tc>
        <w:tc>
          <w:tcPr>
            <w:tcW w:w="0" w:type="auto"/>
          </w:tcPr>
          <w:p w14:paraId="12C66D67" w14:textId="77777777" w:rsidR="00805EE8" w:rsidRPr="00805EE8" w:rsidRDefault="00805EE8" w:rsidP="00805EE8">
            <w:pPr>
              <w:spacing w:line="259" w:lineRule="auto"/>
              <w:rPr>
                <w:rFonts w:cstheme="minorHAnsi"/>
                <w:sz w:val="24"/>
                <w:szCs w:val="24"/>
              </w:rPr>
            </w:pPr>
            <w:r w:rsidRPr="00805EE8">
              <w:rPr>
                <w:rFonts w:cstheme="minorHAnsi"/>
                <w:sz w:val="24"/>
                <w:szCs w:val="24"/>
              </w:rPr>
              <w:t>4.99</w:t>
            </w:r>
          </w:p>
        </w:tc>
        <w:tc>
          <w:tcPr>
            <w:tcW w:w="0" w:type="auto"/>
          </w:tcPr>
          <w:p w14:paraId="615FC722"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32673E77" w14:textId="77777777" w:rsidR="00805EE8" w:rsidRPr="00805EE8" w:rsidRDefault="00805EE8" w:rsidP="00805EE8">
            <w:pPr>
              <w:spacing w:line="259" w:lineRule="auto"/>
              <w:rPr>
                <w:rFonts w:cstheme="minorHAnsi"/>
                <w:sz w:val="24"/>
                <w:szCs w:val="24"/>
              </w:rPr>
            </w:pPr>
            <w:r w:rsidRPr="00805EE8">
              <w:rPr>
                <w:rFonts w:cstheme="minorHAnsi"/>
                <w:sz w:val="24"/>
                <w:szCs w:val="24"/>
              </w:rPr>
              <w:t>.58</w:t>
            </w:r>
          </w:p>
        </w:tc>
      </w:tr>
      <w:tr w:rsidR="00805EE8" w:rsidRPr="00805EE8" w14:paraId="6752C18D" w14:textId="77777777" w:rsidTr="00606AB6">
        <w:trPr>
          <w:trHeight w:val="180"/>
        </w:trPr>
        <w:tc>
          <w:tcPr>
            <w:tcW w:w="0" w:type="auto"/>
          </w:tcPr>
          <w:p w14:paraId="104CCD7E" w14:textId="77777777" w:rsidR="00805EE8" w:rsidRPr="00805EE8" w:rsidRDefault="00805EE8" w:rsidP="00805EE8">
            <w:pPr>
              <w:spacing w:line="259" w:lineRule="auto"/>
              <w:rPr>
                <w:rFonts w:cstheme="minorHAnsi"/>
                <w:sz w:val="24"/>
                <w:szCs w:val="24"/>
              </w:rPr>
            </w:pPr>
          </w:p>
        </w:tc>
        <w:tc>
          <w:tcPr>
            <w:tcW w:w="0" w:type="auto"/>
          </w:tcPr>
          <w:p w14:paraId="6D740900"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Community</w:t>
            </w:r>
          </w:p>
        </w:tc>
        <w:tc>
          <w:tcPr>
            <w:tcW w:w="0" w:type="auto"/>
          </w:tcPr>
          <w:p w14:paraId="178A47FA" w14:textId="77777777" w:rsidR="00805EE8" w:rsidRPr="00805EE8" w:rsidRDefault="00805EE8" w:rsidP="00805EE8">
            <w:pPr>
              <w:spacing w:line="259" w:lineRule="auto"/>
              <w:rPr>
                <w:rFonts w:cstheme="minorHAnsi"/>
                <w:sz w:val="24"/>
                <w:szCs w:val="24"/>
              </w:rPr>
            </w:pPr>
            <w:r w:rsidRPr="00805EE8">
              <w:rPr>
                <w:rFonts w:cstheme="minorHAnsi"/>
                <w:sz w:val="24"/>
                <w:szCs w:val="24"/>
              </w:rPr>
              <w:t>.72</w:t>
            </w:r>
          </w:p>
        </w:tc>
        <w:tc>
          <w:tcPr>
            <w:tcW w:w="0" w:type="auto"/>
          </w:tcPr>
          <w:p w14:paraId="2EF808C7" w14:textId="77777777" w:rsidR="00805EE8" w:rsidRPr="00805EE8" w:rsidRDefault="00805EE8" w:rsidP="00805EE8">
            <w:pPr>
              <w:spacing w:line="259" w:lineRule="auto"/>
              <w:rPr>
                <w:rFonts w:cstheme="minorHAnsi"/>
                <w:sz w:val="24"/>
                <w:szCs w:val="24"/>
              </w:rPr>
            </w:pPr>
            <w:r w:rsidRPr="00805EE8">
              <w:rPr>
                <w:rFonts w:cstheme="minorHAnsi"/>
                <w:sz w:val="24"/>
                <w:szCs w:val="24"/>
              </w:rPr>
              <w:t>.13</w:t>
            </w:r>
          </w:p>
        </w:tc>
        <w:tc>
          <w:tcPr>
            <w:tcW w:w="0" w:type="auto"/>
          </w:tcPr>
          <w:p w14:paraId="7C7594A7" w14:textId="77777777" w:rsidR="00805EE8" w:rsidRPr="00805EE8" w:rsidRDefault="00805EE8" w:rsidP="00805EE8">
            <w:pPr>
              <w:spacing w:line="259" w:lineRule="auto"/>
              <w:rPr>
                <w:rFonts w:cstheme="minorHAnsi"/>
                <w:sz w:val="24"/>
                <w:szCs w:val="24"/>
              </w:rPr>
            </w:pPr>
            <w:r w:rsidRPr="00805EE8">
              <w:rPr>
                <w:rFonts w:cstheme="minorHAnsi"/>
                <w:sz w:val="24"/>
                <w:szCs w:val="24"/>
              </w:rPr>
              <w:t>5.77</w:t>
            </w:r>
          </w:p>
        </w:tc>
        <w:tc>
          <w:tcPr>
            <w:tcW w:w="0" w:type="auto"/>
          </w:tcPr>
          <w:p w14:paraId="45D4CD1E"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0FCDDAE2" w14:textId="77777777" w:rsidR="00805EE8" w:rsidRPr="00805EE8" w:rsidRDefault="00805EE8" w:rsidP="00805EE8">
            <w:pPr>
              <w:spacing w:line="259" w:lineRule="auto"/>
              <w:rPr>
                <w:rFonts w:cstheme="minorHAnsi"/>
                <w:sz w:val="24"/>
                <w:szCs w:val="24"/>
              </w:rPr>
            </w:pPr>
            <w:r w:rsidRPr="00805EE8">
              <w:rPr>
                <w:rFonts w:cstheme="minorHAnsi"/>
                <w:sz w:val="24"/>
                <w:szCs w:val="24"/>
              </w:rPr>
              <w:t>.78</w:t>
            </w:r>
          </w:p>
        </w:tc>
      </w:tr>
      <w:tr w:rsidR="00805EE8" w:rsidRPr="00805EE8" w14:paraId="2790EDC7" w14:textId="77777777" w:rsidTr="00606AB6">
        <w:trPr>
          <w:trHeight w:val="180"/>
        </w:trPr>
        <w:tc>
          <w:tcPr>
            <w:tcW w:w="0" w:type="auto"/>
          </w:tcPr>
          <w:p w14:paraId="6CD839ED" w14:textId="77777777" w:rsidR="00805EE8" w:rsidRPr="00805EE8" w:rsidRDefault="00805EE8" w:rsidP="00805EE8">
            <w:pPr>
              <w:spacing w:line="259" w:lineRule="auto"/>
              <w:rPr>
                <w:rFonts w:cstheme="minorHAnsi"/>
                <w:sz w:val="24"/>
                <w:szCs w:val="24"/>
              </w:rPr>
            </w:pPr>
          </w:p>
        </w:tc>
        <w:tc>
          <w:tcPr>
            <w:tcW w:w="0" w:type="auto"/>
          </w:tcPr>
          <w:p w14:paraId="3E333508"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Social Justice</w:t>
            </w:r>
          </w:p>
        </w:tc>
        <w:tc>
          <w:tcPr>
            <w:tcW w:w="0" w:type="auto"/>
          </w:tcPr>
          <w:p w14:paraId="4D86382A" w14:textId="77777777" w:rsidR="00805EE8" w:rsidRPr="00805EE8" w:rsidRDefault="00805EE8" w:rsidP="00805EE8">
            <w:pPr>
              <w:spacing w:line="259" w:lineRule="auto"/>
              <w:rPr>
                <w:rFonts w:cstheme="minorHAnsi"/>
                <w:sz w:val="24"/>
                <w:szCs w:val="24"/>
              </w:rPr>
            </w:pPr>
            <w:r w:rsidRPr="00805EE8">
              <w:rPr>
                <w:rFonts w:cstheme="minorHAnsi"/>
                <w:sz w:val="24"/>
                <w:szCs w:val="24"/>
              </w:rPr>
              <w:t>.49</w:t>
            </w:r>
          </w:p>
        </w:tc>
        <w:tc>
          <w:tcPr>
            <w:tcW w:w="0" w:type="auto"/>
          </w:tcPr>
          <w:p w14:paraId="31258F4E" w14:textId="77777777" w:rsidR="00805EE8" w:rsidRPr="00805EE8" w:rsidRDefault="00805EE8" w:rsidP="00805EE8">
            <w:pPr>
              <w:spacing w:line="259" w:lineRule="auto"/>
              <w:rPr>
                <w:rFonts w:cstheme="minorHAnsi"/>
                <w:sz w:val="24"/>
                <w:szCs w:val="24"/>
              </w:rPr>
            </w:pPr>
            <w:r w:rsidRPr="00805EE8">
              <w:rPr>
                <w:rFonts w:cstheme="minorHAnsi"/>
                <w:sz w:val="24"/>
                <w:szCs w:val="24"/>
              </w:rPr>
              <w:t>.11</w:t>
            </w:r>
          </w:p>
        </w:tc>
        <w:tc>
          <w:tcPr>
            <w:tcW w:w="0" w:type="auto"/>
          </w:tcPr>
          <w:p w14:paraId="08F77A55" w14:textId="77777777" w:rsidR="00805EE8" w:rsidRPr="00805EE8" w:rsidRDefault="00805EE8" w:rsidP="00805EE8">
            <w:pPr>
              <w:spacing w:line="259" w:lineRule="auto"/>
              <w:rPr>
                <w:rFonts w:cstheme="minorHAnsi"/>
                <w:sz w:val="24"/>
                <w:szCs w:val="24"/>
              </w:rPr>
            </w:pPr>
            <w:r w:rsidRPr="00805EE8">
              <w:rPr>
                <w:rFonts w:cstheme="minorHAnsi"/>
                <w:sz w:val="24"/>
                <w:szCs w:val="24"/>
              </w:rPr>
              <w:t>4.23</w:t>
            </w:r>
          </w:p>
        </w:tc>
        <w:tc>
          <w:tcPr>
            <w:tcW w:w="0" w:type="auto"/>
          </w:tcPr>
          <w:p w14:paraId="191CBDF0"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7EAF565B" w14:textId="77777777" w:rsidR="00805EE8" w:rsidRPr="00805EE8" w:rsidRDefault="00805EE8" w:rsidP="00805EE8">
            <w:pPr>
              <w:spacing w:line="259" w:lineRule="auto"/>
              <w:rPr>
                <w:rFonts w:cstheme="minorHAnsi"/>
                <w:sz w:val="24"/>
                <w:szCs w:val="24"/>
              </w:rPr>
            </w:pPr>
            <w:r w:rsidRPr="00805EE8">
              <w:rPr>
                <w:rFonts w:cstheme="minorHAnsi"/>
                <w:sz w:val="24"/>
                <w:szCs w:val="24"/>
              </w:rPr>
              <w:t>.50</w:t>
            </w:r>
          </w:p>
        </w:tc>
      </w:tr>
      <w:tr w:rsidR="00805EE8" w:rsidRPr="00805EE8" w14:paraId="0709BF76" w14:textId="77777777" w:rsidTr="00606AB6">
        <w:trPr>
          <w:trHeight w:val="177"/>
        </w:trPr>
        <w:tc>
          <w:tcPr>
            <w:tcW w:w="0" w:type="auto"/>
          </w:tcPr>
          <w:p w14:paraId="7DFEA390" w14:textId="77777777" w:rsidR="00805EE8" w:rsidRPr="00805EE8" w:rsidRDefault="00805EE8" w:rsidP="00805EE8">
            <w:pPr>
              <w:spacing w:line="259" w:lineRule="auto"/>
              <w:rPr>
                <w:rFonts w:cstheme="minorHAnsi"/>
                <w:sz w:val="24"/>
                <w:szCs w:val="24"/>
              </w:rPr>
            </w:pPr>
          </w:p>
        </w:tc>
        <w:tc>
          <w:tcPr>
            <w:tcW w:w="0" w:type="auto"/>
          </w:tcPr>
          <w:p w14:paraId="2CD5B4F7" w14:textId="77777777" w:rsidR="00805EE8" w:rsidRPr="00805EE8" w:rsidRDefault="00805EE8" w:rsidP="00805EE8">
            <w:pPr>
              <w:spacing w:line="259" w:lineRule="auto"/>
              <w:rPr>
                <w:rFonts w:cstheme="minorHAnsi"/>
                <w:sz w:val="24"/>
                <w:szCs w:val="24"/>
              </w:rPr>
            </w:pPr>
            <w:r w:rsidRPr="00805EE8">
              <w:rPr>
                <w:rFonts w:cstheme="minorHAnsi"/>
                <w:sz w:val="24"/>
                <w:szCs w:val="24"/>
              </w:rPr>
              <w:t>MEIM</w:t>
            </w:r>
          </w:p>
        </w:tc>
        <w:tc>
          <w:tcPr>
            <w:tcW w:w="0" w:type="auto"/>
          </w:tcPr>
          <w:p w14:paraId="1D8C1FB4" w14:textId="77777777" w:rsidR="00805EE8" w:rsidRPr="00805EE8" w:rsidRDefault="00805EE8" w:rsidP="00805EE8">
            <w:pPr>
              <w:spacing w:line="259" w:lineRule="auto"/>
              <w:rPr>
                <w:rFonts w:cstheme="minorHAnsi"/>
                <w:sz w:val="24"/>
                <w:szCs w:val="24"/>
              </w:rPr>
            </w:pPr>
            <w:r w:rsidRPr="00805EE8">
              <w:rPr>
                <w:rFonts w:cstheme="minorHAnsi"/>
                <w:sz w:val="24"/>
                <w:szCs w:val="24"/>
              </w:rPr>
              <w:t>.56</w:t>
            </w:r>
          </w:p>
        </w:tc>
        <w:tc>
          <w:tcPr>
            <w:tcW w:w="0" w:type="auto"/>
          </w:tcPr>
          <w:p w14:paraId="23A90A2B" w14:textId="77777777" w:rsidR="00805EE8" w:rsidRPr="00805EE8" w:rsidRDefault="00805EE8" w:rsidP="00805EE8">
            <w:pPr>
              <w:spacing w:line="259" w:lineRule="auto"/>
              <w:rPr>
                <w:rFonts w:cstheme="minorHAnsi"/>
                <w:sz w:val="24"/>
                <w:szCs w:val="24"/>
              </w:rPr>
            </w:pPr>
            <w:r w:rsidRPr="00805EE8">
              <w:rPr>
                <w:rFonts w:cstheme="minorHAnsi"/>
                <w:sz w:val="24"/>
                <w:szCs w:val="24"/>
              </w:rPr>
              <w:t>.10</w:t>
            </w:r>
          </w:p>
        </w:tc>
        <w:tc>
          <w:tcPr>
            <w:tcW w:w="0" w:type="auto"/>
          </w:tcPr>
          <w:p w14:paraId="26F7DBEE" w14:textId="77777777" w:rsidR="00805EE8" w:rsidRPr="00805EE8" w:rsidRDefault="00805EE8" w:rsidP="00805EE8">
            <w:pPr>
              <w:spacing w:line="259" w:lineRule="auto"/>
              <w:rPr>
                <w:rFonts w:cstheme="minorHAnsi"/>
                <w:sz w:val="24"/>
                <w:szCs w:val="24"/>
              </w:rPr>
            </w:pPr>
            <w:r w:rsidRPr="00805EE8">
              <w:rPr>
                <w:rFonts w:cstheme="minorHAnsi"/>
                <w:sz w:val="24"/>
                <w:szCs w:val="24"/>
              </w:rPr>
              <w:t>5.64</w:t>
            </w:r>
          </w:p>
        </w:tc>
        <w:tc>
          <w:tcPr>
            <w:tcW w:w="0" w:type="auto"/>
          </w:tcPr>
          <w:p w14:paraId="0DBCF7CE"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257B521C" w14:textId="77777777" w:rsidR="00805EE8" w:rsidRPr="00805EE8" w:rsidRDefault="00805EE8" w:rsidP="00805EE8">
            <w:pPr>
              <w:spacing w:line="259" w:lineRule="auto"/>
              <w:rPr>
                <w:rFonts w:cstheme="minorHAnsi"/>
                <w:sz w:val="24"/>
                <w:szCs w:val="24"/>
              </w:rPr>
            </w:pPr>
            <w:r w:rsidRPr="00805EE8">
              <w:rPr>
                <w:rFonts w:cstheme="minorHAnsi"/>
                <w:sz w:val="24"/>
                <w:szCs w:val="24"/>
              </w:rPr>
              <w:t>.94</w:t>
            </w:r>
          </w:p>
        </w:tc>
      </w:tr>
      <w:tr w:rsidR="00805EE8" w:rsidRPr="00805EE8" w14:paraId="469DB32A" w14:textId="77777777" w:rsidTr="00606AB6">
        <w:trPr>
          <w:trHeight w:val="182"/>
        </w:trPr>
        <w:tc>
          <w:tcPr>
            <w:tcW w:w="0" w:type="auto"/>
          </w:tcPr>
          <w:p w14:paraId="1C02C9B1" w14:textId="77777777" w:rsidR="00805EE8" w:rsidRPr="00805EE8" w:rsidRDefault="00805EE8" w:rsidP="00805EE8">
            <w:pPr>
              <w:spacing w:line="259" w:lineRule="auto"/>
              <w:rPr>
                <w:rFonts w:cstheme="minorHAnsi"/>
                <w:b/>
                <w:bCs/>
                <w:sz w:val="24"/>
                <w:szCs w:val="24"/>
              </w:rPr>
            </w:pPr>
            <w:r w:rsidRPr="00805EE8">
              <w:rPr>
                <w:rFonts w:cstheme="minorHAnsi"/>
                <w:b/>
                <w:bCs/>
                <w:sz w:val="24"/>
                <w:szCs w:val="24"/>
                <w:u w:val="single"/>
              </w:rPr>
              <w:t>Regression Estimates</w:t>
            </w:r>
          </w:p>
        </w:tc>
        <w:tc>
          <w:tcPr>
            <w:tcW w:w="0" w:type="auto"/>
          </w:tcPr>
          <w:p w14:paraId="32004B24" w14:textId="77777777" w:rsidR="00805EE8" w:rsidRPr="00805EE8" w:rsidRDefault="00805EE8" w:rsidP="00805EE8">
            <w:pPr>
              <w:spacing w:line="259" w:lineRule="auto"/>
              <w:rPr>
                <w:rFonts w:cstheme="minorHAnsi"/>
                <w:sz w:val="24"/>
                <w:szCs w:val="24"/>
              </w:rPr>
            </w:pPr>
          </w:p>
        </w:tc>
        <w:tc>
          <w:tcPr>
            <w:tcW w:w="0" w:type="auto"/>
          </w:tcPr>
          <w:p w14:paraId="504F74A0" w14:textId="77777777" w:rsidR="00805EE8" w:rsidRPr="00805EE8" w:rsidRDefault="00805EE8" w:rsidP="00805EE8">
            <w:pPr>
              <w:spacing w:line="259" w:lineRule="auto"/>
              <w:rPr>
                <w:rFonts w:cstheme="minorHAnsi"/>
                <w:sz w:val="24"/>
                <w:szCs w:val="24"/>
              </w:rPr>
            </w:pPr>
          </w:p>
        </w:tc>
        <w:tc>
          <w:tcPr>
            <w:tcW w:w="0" w:type="auto"/>
          </w:tcPr>
          <w:p w14:paraId="133A0215" w14:textId="77777777" w:rsidR="00805EE8" w:rsidRPr="00805EE8" w:rsidRDefault="00805EE8" w:rsidP="00805EE8">
            <w:pPr>
              <w:spacing w:line="259" w:lineRule="auto"/>
              <w:rPr>
                <w:rFonts w:cstheme="minorHAnsi"/>
                <w:sz w:val="24"/>
                <w:szCs w:val="24"/>
              </w:rPr>
            </w:pPr>
          </w:p>
        </w:tc>
        <w:tc>
          <w:tcPr>
            <w:tcW w:w="0" w:type="auto"/>
          </w:tcPr>
          <w:p w14:paraId="336E9EF2" w14:textId="77777777" w:rsidR="00805EE8" w:rsidRPr="00805EE8" w:rsidRDefault="00805EE8" w:rsidP="00805EE8">
            <w:pPr>
              <w:spacing w:line="259" w:lineRule="auto"/>
              <w:rPr>
                <w:rFonts w:cstheme="minorHAnsi"/>
                <w:sz w:val="24"/>
                <w:szCs w:val="24"/>
              </w:rPr>
            </w:pPr>
          </w:p>
        </w:tc>
        <w:tc>
          <w:tcPr>
            <w:tcW w:w="0" w:type="auto"/>
          </w:tcPr>
          <w:p w14:paraId="35D4700C" w14:textId="77777777" w:rsidR="00805EE8" w:rsidRPr="00805EE8" w:rsidRDefault="00805EE8" w:rsidP="00805EE8">
            <w:pPr>
              <w:spacing w:line="259" w:lineRule="auto"/>
              <w:rPr>
                <w:rFonts w:cstheme="minorHAnsi"/>
                <w:sz w:val="24"/>
                <w:szCs w:val="24"/>
              </w:rPr>
            </w:pPr>
          </w:p>
        </w:tc>
        <w:tc>
          <w:tcPr>
            <w:tcW w:w="0" w:type="auto"/>
          </w:tcPr>
          <w:p w14:paraId="31DB56CD" w14:textId="77777777" w:rsidR="00805EE8" w:rsidRPr="00805EE8" w:rsidRDefault="00805EE8" w:rsidP="00805EE8">
            <w:pPr>
              <w:spacing w:line="259" w:lineRule="auto"/>
              <w:rPr>
                <w:rFonts w:cstheme="minorHAnsi"/>
                <w:sz w:val="24"/>
                <w:szCs w:val="24"/>
              </w:rPr>
            </w:pPr>
          </w:p>
        </w:tc>
      </w:tr>
      <w:tr w:rsidR="00805EE8" w:rsidRPr="00805EE8" w14:paraId="1C4DB7CA" w14:textId="77777777" w:rsidTr="00606AB6">
        <w:trPr>
          <w:trHeight w:val="180"/>
        </w:trPr>
        <w:tc>
          <w:tcPr>
            <w:tcW w:w="0" w:type="auto"/>
          </w:tcPr>
          <w:p w14:paraId="2AEF310B" w14:textId="77777777" w:rsidR="00805EE8" w:rsidRPr="00805EE8" w:rsidRDefault="00805EE8" w:rsidP="00805EE8">
            <w:pPr>
              <w:spacing w:line="259" w:lineRule="auto"/>
              <w:rPr>
                <w:rFonts w:cstheme="minorHAnsi"/>
                <w:sz w:val="24"/>
                <w:szCs w:val="24"/>
              </w:rPr>
            </w:pPr>
            <w:r w:rsidRPr="00805EE8">
              <w:rPr>
                <w:rFonts w:cstheme="minorHAnsi"/>
                <w:sz w:val="24"/>
                <w:szCs w:val="24"/>
              </w:rPr>
              <w:t>Well-Being</w:t>
            </w:r>
          </w:p>
        </w:tc>
        <w:tc>
          <w:tcPr>
            <w:tcW w:w="0" w:type="auto"/>
          </w:tcPr>
          <w:p w14:paraId="35394438" w14:textId="77777777" w:rsidR="00805EE8" w:rsidRPr="00805EE8" w:rsidRDefault="00805EE8" w:rsidP="00805EE8">
            <w:pPr>
              <w:spacing w:line="259" w:lineRule="auto"/>
              <w:rPr>
                <w:rFonts w:cstheme="minorHAnsi"/>
                <w:sz w:val="24"/>
                <w:szCs w:val="24"/>
              </w:rPr>
            </w:pPr>
            <w:r w:rsidRPr="00805EE8">
              <w:rPr>
                <w:rFonts w:cstheme="minorHAnsi"/>
                <w:sz w:val="24"/>
                <w:szCs w:val="24"/>
              </w:rPr>
              <w:t>MSPSS</w:t>
            </w:r>
          </w:p>
        </w:tc>
        <w:tc>
          <w:tcPr>
            <w:tcW w:w="0" w:type="auto"/>
          </w:tcPr>
          <w:p w14:paraId="70FAEE49" w14:textId="77777777" w:rsidR="00805EE8" w:rsidRPr="00805EE8" w:rsidRDefault="00805EE8" w:rsidP="00805EE8">
            <w:pPr>
              <w:spacing w:line="259" w:lineRule="auto"/>
              <w:rPr>
                <w:rFonts w:cstheme="minorHAnsi"/>
                <w:sz w:val="24"/>
                <w:szCs w:val="24"/>
              </w:rPr>
            </w:pPr>
            <w:r w:rsidRPr="00805EE8">
              <w:rPr>
                <w:rFonts w:cstheme="minorHAnsi"/>
                <w:sz w:val="24"/>
                <w:szCs w:val="24"/>
              </w:rPr>
              <w:t>.61</w:t>
            </w:r>
          </w:p>
        </w:tc>
        <w:tc>
          <w:tcPr>
            <w:tcW w:w="0" w:type="auto"/>
          </w:tcPr>
          <w:p w14:paraId="65944D78" w14:textId="77777777" w:rsidR="00805EE8" w:rsidRPr="00805EE8" w:rsidRDefault="00805EE8" w:rsidP="00805EE8">
            <w:pPr>
              <w:spacing w:line="259" w:lineRule="auto"/>
              <w:rPr>
                <w:rFonts w:cstheme="minorHAnsi"/>
                <w:sz w:val="24"/>
                <w:szCs w:val="24"/>
              </w:rPr>
            </w:pPr>
            <w:r w:rsidRPr="00805EE8">
              <w:rPr>
                <w:rFonts w:cstheme="minorHAnsi"/>
                <w:sz w:val="24"/>
                <w:szCs w:val="24"/>
              </w:rPr>
              <w:t>.08</w:t>
            </w:r>
          </w:p>
        </w:tc>
        <w:tc>
          <w:tcPr>
            <w:tcW w:w="0" w:type="auto"/>
          </w:tcPr>
          <w:p w14:paraId="056CE49E" w14:textId="77777777" w:rsidR="00805EE8" w:rsidRPr="00805EE8" w:rsidRDefault="00805EE8" w:rsidP="00805EE8">
            <w:pPr>
              <w:spacing w:line="259" w:lineRule="auto"/>
              <w:rPr>
                <w:rFonts w:cstheme="minorHAnsi"/>
                <w:sz w:val="24"/>
                <w:szCs w:val="24"/>
              </w:rPr>
            </w:pPr>
            <w:r w:rsidRPr="00805EE8">
              <w:rPr>
                <w:rFonts w:cstheme="minorHAnsi"/>
                <w:sz w:val="24"/>
                <w:szCs w:val="24"/>
              </w:rPr>
              <w:t>7.17</w:t>
            </w:r>
          </w:p>
        </w:tc>
        <w:tc>
          <w:tcPr>
            <w:tcW w:w="0" w:type="auto"/>
          </w:tcPr>
          <w:p w14:paraId="3D8B23B7"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DE604AA" w14:textId="77777777" w:rsidR="00805EE8" w:rsidRPr="00805EE8" w:rsidRDefault="00805EE8" w:rsidP="00805EE8">
            <w:pPr>
              <w:spacing w:line="259" w:lineRule="auto"/>
              <w:rPr>
                <w:rFonts w:cstheme="minorHAnsi"/>
                <w:sz w:val="24"/>
                <w:szCs w:val="24"/>
              </w:rPr>
            </w:pPr>
            <w:r w:rsidRPr="00805EE8">
              <w:rPr>
                <w:rFonts w:cstheme="minorHAnsi"/>
                <w:sz w:val="24"/>
                <w:szCs w:val="24"/>
              </w:rPr>
              <w:t>.45</w:t>
            </w:r>
          </w:p>
        </w:tc>
      </w:tr>
      <w:tr w:rsidR="00805EE8" w:rsidRPr="00805EE8" w14:paraId="496B597D" w14:textId="77777777" w:rsidTr="00606AB6">
        <w:trPr>
          <w:trHeight w:val="180"/>
        </w:trPr>
        <w:tc>
          <w:tcPr>
            <w:tcW w:w="0" w:type="auto"/>
          </w:tcPr>
          <w:p w14:paraId="6C90858A" w14:textId="77777777" w:rsidR="00805EE8" w:rsidRPr="00805EE8" w:rsidRDefault="00805EE8" w:rsidP="00805EE8">
            <w:pPr>
              <w:spacing w:line="259" w:lineRule="auto"/>
              <w:rPr>
                <w:rFonts w:cstheme="minorHAnsi"/>
                <w:sz w:val="24"/>
                <w:szCs w:val="24"/>
              </w:rPr>
            </w:pPr>
            <w:r w:rsidRPr="00805EE8">
              <w:rPr>
                <w:rFonts w:cstheme="minorHAnsi"/>
                <w:sz w:val="24"/>
                <w:szCs w:val="24"/>
              </w:rPr>
              <w:t>Well-Being</w:t>
            </w:r>
          </w:p>
        </w:tc>
        <w:tc>
          <w:tcPr>
            <w:tcW w:w="0" w:type="auto"/>
          </w:tcPr>
          <w:p w14:paraId="7F5FF212" w14:textId="77777777" w:rsidR="00805EE8" w:rsidRPr="00805EE8" w:rsidRDefault="00805EE8" w:rsidP="00805EE8">
            <w:pPr>
              <w:spacing w:line="259" w:lineRule="auto"/>
              <w:rPr>
                <w:rFonts w:cstheme="minorHAnsi"/>
                <w:sz w:val="24"/>
                <w:szCs w:val="24"/>
              </w:rPr>
            </w:pPr>
            <w:r w:rsidRPr="00805EE8">
              <w:rPr>
                <w:rFonts w:cstheme="minorHAnsi"/>
                <w:sz w:val="24"/>
                <w:szCs w:val="24"/>
              </w:rPr>
              <w:t>BRS</w:t>
            </w:r>
          </w:p>
        </w:tc>
        <w:tc>
          <w:tcPr>
            <w:tcW w:w="0" w:type="auto"/>
          </w:tcPr>
          <w:p w14:paraId="1ED68EF5" w14:textId="77777777" w:rsidR="00805EE8" w:rsidRPr="00805EE8" w:rsidRDefault="00805EE8" w:rsidP="00805EE8">
            <w:pPr>
              <w:spacing w:line="259" w:lineRule="auto"/>
              <w:rPr>
                <w:rFonts w:cstheme="minorHAnsi"/>
                <w:sz w:val="24"/>
                <w:szCs w:val="24"/>
              </w:rPr>
            </w:pPr>
            <w:r w:rsidRPr="00805EE8">
              <w:rPr>
                <w:rFonts w:cstheme="minorHAnsi"/>
                <w:sz w:val="24"/>
                <w:szCs w:val="24"/>
              </w:rPr>
              <w:t>.81</w:t>
            </w:r>
          </w:p>
        </w:tc>
        <w:tc>
          <w:tcPr>
            <w:tcW w:w="0" w:type="auto"/>
          </w:tcPr>
          <w:p w14:paraId="28370E91" w14:textId="77777777" w:rsidR="00805EE8" w:rsidRPr="00805EE8" w:rsidRDefault="00805EE8" w:rsidP="00805EE8">
            <w:pPr>
              <w:spacing w:line="259" w:lineRule="auto"/>
              <w:rPr>
                <w:rFonts w:cstheme="minorHAnsi"/>
                <w:sz w:val="24"/>
                <w:szCs w:val="24"/>
              </w:rPr>
            </w:pPr>
            <w:r w:rsidRPr="00805EE8">
              <w:rPr>
                <w:rFonts w:cstheme="minorHAnsi"/>
                <w:sz w:val="24"/>
                <w:szCs w:val="24"/>
              </w:rPr>
              <w:t>.10</w:t>
            </w:r>
          </w:p>
        </w:tc>
        <w:tc>
          <w:tcPr>
            <w:tcW w:w="0" w:type="auto"/>
          </w:tcPr>
          <w:p w14:paraId="6336A80A" w14:textId="77777777" w:rsidR="00805EE8" w:rsidRPr="00805EE8" w:rsidRDefault="00805EE8" w:rsidP="00805EE8">
            <w:pPr>
              <w:spacing w:line="259" w:lineRule="auto"/>
              <w:rPr>
                <w:rFonts w:cstheme="minorHAnsi"/>
                <w:sz w:val="24"/>
                <w:szCs w:val="24"/>
              </w:rPr>
            </w:pPr>
            <w:r w:rsidRPr="00805EE8">
              <w:rPr>
                <w:rFonts w:cstheme="minorHAnsi"/>
                <w:sz w:val="24"/>
                <w:szCs w:val="24"/>
              </w:rPr>
              <w:t>8.06</w:t>
            </w:r>
          </w:p>
        </w:tc>
        <w:tc>
          <w:tcPr>
            <w:tcW w:w="0" w:type="auto"/>
          </w:tcPr>
          <w:p w14:paraId="42D97FE5"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2D0C3C20" w14:textId="77777777" w:rsidR="00805EE8" w:rsidRPr="00805EE8" w:rsidRDefault="00805EE8" w:rsidP="00805EE8">
            <w:pPr>
              <w:spacing w:line="259" w:lineRule="auto"/>
              <w:rPr>
                <w:rFonts w:cstheme="minorHAnsi"/>
                <w:sz w:val="24"/>
                <w:szCs w:val="24"/>
              </w:rPr>
            </w:pPr>
            <w:r w:rsidRPr="00805EE8">
              <w:rPr>
                <w:rFonts w:cstheme="minorHAnsi"/>
                <w:sz w:val="24"/>
                <w:szCs w:val="24"/>
              </w:rPr>
              <w:t>.47</w:t>
            </w:r>
          </w:p>
        </w:tc>
      </w:tr>
      <w:tr w:rsidR="00805EE8" w:rsidRPr="00805EE8" w14:paraId="299948F6" w14:textId="77777777" w:rsidTr="00606AB6">
        <w:trPr>
          <w:trHeight w:val="181"/>
        </w:trPr>
        <w:tc>
          <w:tcPr>
            <w:tcW w:w="0" w:type="auto"/>
          </w:tcPr>
          <w:p w14:paraId="3654DD4A" w14:textId="77777777" w:rsidR="00805EE8" w:rsidRPr="00805EE8" w:rsidRDefault="00805EE8" w:rsidP="00805EE8">
            <w:pPr>
              <w:spacing w:line="259" w:lineRule="auto"/>
              <w:rPr>
                <w:rFonts w:cstheme="minorHAnsi"/>
                <w:sz w:val="24"/>
                <w:szCs w:val="24"/>
              </w:rPr>
            </w:pPr>
            <w:r w:rsidRPr="00805EE8">
              <w:rPr>
                <w:rFonts w:cstheme="minorHAnsi"/>
                <w:sz w:val="24"/>
                <w:szCs w:val="24"/>
              </w:rPr>
              <w:t>Well-Being</w:t>
            </w:r>
          </w:p>
        </w:tc>
        <w:tc>
          <w:tcPr>
            <w:tcW w:w="0" w:type="auto"/>
          </w:tcPr>
          <w:p w14:paraId="70BA214B" w14:textId="77777777" w:rsidR="00805EE8" w:rsidRPr="00805EE8" w:rsidRDefault="00805EE8" w:rsidP="00805EE8">
            <w:pPr>
              <w:spacing w:line="259" w:lineRule="auto"/>
              <w:rPr>
                <w:rFonts w:cstheme="minorHAnsi"/>
                <w:sz w:val="24"/>
                <w:szCs w:val="24"/>
              </w:rPr>
            </w:pPr>
            <w:r w:rsidRPr="00805EE8">
              <w:rPr>
                <w:rFonts w:cstheme="minorHAnsi"/>
                <w:sz w:val="24"/>
                <w:szCs w:val="24"/>
              </w:rPr>
              <w:t>Minority Stress</w:t>
            </w:r>
          </w:p>
        </w:tc>
        <w:tc>
          <w:tcPr>
            <w:tcW w:w="0" w:type="auto"/>
          </w:tcPr>
          <w:p w14:paraId="2F9C2A0A" w14:textId="77777777" w:rsidR="00805EE8" w:rsidRPr="00805EE8" w:rsidRDefault="00805EE8" w:rsidP="00805EE8">
            <w:pPr>
              <w:spacing w:line="259" w:lineRule="auto"/>
              <w:rPr>
                <w:rFonts w:cstheme="minorHAnsi"/>
                <w:sz w:val="24"/>
                <w:szCs w:val="24"/>
              </w:rPr>
            </w:pPr>
            <w:r w:rsidRPr="00805EE8">
              <w:rPr>
                <w:rFonts w:cstheme="minorHAnsi"/>
                <w:sz w:val="24"/>
                <w:szCs w:val="24"/>
              </w:rPr>
              <w:t>-.13</w:t>
            </w:r>
          </w:p>
        </w:tc>
        <w:tc>
          <w:tcPr>
            <w:tcW w:w="0" w:type="auto"/>
          </w:tcPr>
          <w:p w14:paraId="15059BC6" w14:textId="77777777" w:rsidR="00805EE8" w:rsidRPr="00805EE8" w:rsidRDefault="00805EE8" w:rsidP="00805EE8">
            <w:pPr>
              <w:spacing w:line="259" w:lineRule="auto"/>
              <w:rPr>
                <w:rFonts w:cstheme="minorHAnsi"/>
                <w:sz w:val="24"/>
                <w:szCs w:val="24"/>
              </w:rPr>
            </w:pPr>
            <w:r w:rsidRPr="00805EE8">
              <w:rPr>
                <w:rFonts w:cstheme="minorHAnsi"/>
                <w:sz w:val="24"/>
                <w:szCs w:val="24"/>
              </w:rPr>
              <w:t>.29</w:t>
            </w:r>
          </w:p>
        </w:tc>
        <w:tc>
          <w:tcPr>
            <w:tcW w:w="0" w:type="auto"/>
          </w:tcPr>
          <w:p w14:paraId="1335C21D" w14:textId="77777777" w:rsidR="00805EE8" w:rsidRPr="00805EE8" w:rsidRDefault="00805EE8" w:rsidP="00805EE8">
            <w:pPr>
              <w:spacing w:line="259" w:lineRule="auto"/>
              <w:rPr>
                <w:rFonts w:cstheme="minorHAnsi"/>
                <w:sz w:val="24"/>
                <w:szCs w:val="24"/>
              </w:rPr>
            </w:pPr>
            <w:r w:rsidRPr="00805EE8">
              <w:rPr>
                <w:rFonts w:cstheme="minorHAnsi"/>
                <w:sz w:val="24"/>
                <w:szCs w:val="24"/>
              </w:rPr>
              <w:t>-.44</w:t>
            </w:r>
          </w:p>
        </w:tc>
        <w:tc>
          <w:tcPr>
            <w:tcW w:w="0" w:type="auto"/>
          </w:tcPr>
          <w:p w14:paraId="10649B72" w14:textId="77777777" w:rsidR="00805EE8" w:rsidRPr="00805EE8" w:rsidRDefault="00805EE8" w:rsidP="00805EE8">
            <w:pPr>
              <w:spacing w:line="259" w:lineRule="auto"/>
              <w:rPr>
                <w:rFonts w:cstheme="minorHAnsi"/>
                <w:sz w:val="24"/>
                <w:szCs w:val="24"/>
              </w:rPr>
            </w:pPr>
            <w:r w:rsidRPr="00805EE8">
              <w:rPr>
                <w:rFonts w:cstheme="minorHAnsi"/>
                <w:sz w:val="24"/>
                <w:szCs w:val="24"/>
              </w:rPr>
              <w:t>.66</w:t>
            </w:r>
          </w:p>
        </w:tc>
        <w:tc>
          <w:tcPr>
            <w:tcW w:w="0" w:type="auto"/>
          </w:tcPr>
          <w:p w14:paraId="7EAC0DC5" w14:textId="77777777" w:rsidR="00805EE8" w:rsidRPr="00805EE8" w:rsidRDefault="00805EE8" w:rsidP="00805EE8">
            <w:pPr>
              <w:spacing w:line="259" w:lineRule="auto"/>
              <w:rPr>
                <w:rFonts w:cstheme="minorHAnsi"/>
                <w:sz w:val="24"/>
                <w:szCs w:val="24"/>
              </w:rPr>
            </w:pPr>
            <w:r w:rsidRPr="00805EE8">
              <w:rPr>
                <w:rFonts w:cstheme="minorHAnsi"/>
                <w:sz w:val="24"/>
                <w:szCs w:val="24"/>
              </w:rPr>
              <w:t>-.08</w:t>
            </w:r>
          </w:p>
        </w:tc>
      </w:tr>
      <w:tr w:rsidR="00805EE8" w:rsidRPr="00805EE8" w14:paraId="4D5E0752" w14:textId="77777777" w:rsidTr="00606AB6">
        <w:trPr>
          <w:trHeight w:val="178"/>
        </w:trPr>
        <w:tc>
          <w:tcPr>
            <w:tcW w:w="0" w:type="auto"/>
          </w:tcPr>
          <w:p w14:paraId="7890CBB9" w14:textId="77777777" w:rsidR="00805EE8" w:rsidRPr="00805EE8" w:rsidRDefault="00805EE8" w:rsidP="00805EE8">
            <w:pPr>
              <w:spacing w:line="259" w:lineRule="auto"/>
              <w:rPr>
                <w:rFonts w:cstheme="minorHAnsi"/>
                <w:sz w:val="24"/>
                <w:szCs w:val="24"/>
              </w:rPr>
            </w:pPr>
            <w:r w:rsidRPr="00805EE8">
              <w:rPr>
                <w:rFonts w:cstheme="minorHAnsi"/>
                <w:sz w:val="24"/>
                <w:szCs w:val="24"/>
              </w:rPr>
              <w:t>Well-Being</w:t>
            </w:r>
          </w:p>
        </w:tc>
        <w:tc>
          <w:tcPr>
            <w:tcW w:w="0" w:type="auto"/>
          </w:tcPr>
          <w:p w14:paraId="65E4678C" w14:textId="77777777" w:rsidR="00805EE8" w:rsidRPr="00805EE8" w:rsidRDefault="00805EE8" w:rsidP="00805EE8">
            <w:pPr>
              <w:spacing w:line="259" w:lineRule="auto"/>
              <w:rPr>
                <w:rFonts w:cstheme="minorHAnsi"/>
                <w:sz w:val="24"/>
                <w:szCs w:val="24"/>
              </w:rPr>
            </w:pPr>
            <w:r w:rsidRPr="00805EE8">
              <w:rPr>
                <w:rFonts w:cstheme="minorHAnsi"/>
                <w:sz w:val="24"/>
                <w:szCs w:val="24"/>
              </w:rPr>
              <w:t>Positive Minority Sexual Identity</w:t>
            </w:r>
          </w:p>
        </w:tc>
        <w:tc>
          <w:tcPr>
            <w:tcW w:w="0" w:type="auto"/>
          </w:tcPr>
          <w:p w14:paraId="06656312" w14:textId="77777777" w:rsidR="00805EE8" w:rsidRPr="00805EE8" w:rsidRDefault="00805EE8" w:rsidP="00805EE8">
            <w:pPr>
              <w:spacing w:line="259" w:lineRule="auto"/>
              <w:rPr>
                <w:rFonts w:cstheme="minorHAnsi"/>
                <w:sz w:val="24"/>
                <w:szCs w:val="24"/>
              </w:rPr>
            </w:pPr>
            <w:r w:rsidRPr="00805EE8">
              <w:rPr>
                <w:rFonts w:cstheme="minorHAnsi"/>
                <w:sz w:val="24"/>
                <w:szCs w:val="24"/>
              </w:rPr>
              <w:t>.05</w:t>
            </w:r>
          </w:p>
        </w:tc>
        <w:tc>
          <w:tcPr>
            <w:tcW w:w="0" w:type="auto"/>
          </w:tcPr>
          <w:p w14:paraId="7A964AA7" w14:textId="77777777" w:rsidR="00805EE8" w:rsidRPr="00805EE8" w:rsidRDefault="00805EE8" w:rsidP="00805EE8">
            <w:pPr>
              <w:spacing w:line="259" w:lineRule="auto"/>
              <w:rPr>
                <w:rFonts w:cstheme="minorHAnsi"/>
                <w:sz w:val="24"/>
                <w:szCs w:val="24"/>
              </w:rPr>
            </w:pPr>
            <w:r w:rsidRPr="00805EE8">
              <w:rPr>
                <w:rFonts w:cstheme="minorHAnsi"/>
                <w:sz w:val="24"/>
                <w:szCs w:val="24"/>
              </w:rPr>
              <w:t>.16</w:t>
            </w:r>
          </w:p>
        </w:tc>
        <w:tc>
          <w:tcPr>
            <w:tcW w:w="0" w:type="auto"/>
          </w:tcPr>
          <w:p w14:paraId="72BAF3CF" w14:textId="77777777" w:rsidR="00805EE8" w:rsidRPr="00805EE8" w:rsidRDefault="00805EE8" w:rsidP="00805EE8">
            <w:pPr>
              <w:spacing w:line="259" w:lineRule="auto"/>
              <w:rPr>
                <w:rFonts w:cstheme="minorHAnsi"/>
                <w:sz w:val="24"/>
                <w:szCs w:val="24"/>
              </w:rPr>
            </w:pPr>
            <w:r w:rsidRPr="00805EE8">
              <w:rPr>
                <w:rFonts w:cstheme="minorHAnsi"/>
                <w:sz w:val="24"/>
                <w:szCs w:val="24"/>
              </w:rPr>
              <w:t>.33</w:t>
            </w:r>
          </w:p>
        </w:tc>
        <w:tc>
          <w:tcPr>
            <w:tcW w:w="0" w:type="auto"/>
          </w:tcPr>
          <w:p w14:paraId="092831E1" w14:textId="77777777" w:rsidR="00805EE8" w:rsidRPr="00805EE8" w:rsidRDefault="00805EE8" w:rsidP="00805EE8">
            <w:pPr>
              <w:spacing w:line="259" w:lineRule="auto"/>
              <w:rPr>
                <w:rFonts w:cstheme="minorHAnsi"/>
                <w:sz w:val="24"/>
                <w:szCs w:val="24"/>
              </w:rPr>
            </w:pPr>
            <w:r w:rsidRPr="00805EE8">
              <w:rPr>
                <w:rFonts w:cstheme="minorHAnsi"/>
                <w:sz w:val="24"/>
                <w:szCs w:val="24"/>
              </w:rPr>
              <w:t>.74</w:t>
            </w:r>
          </w:p>
        </w:tc>
        <w:tc>
          <w:tcPr>
            <w:tcW w:w="0" w:type="auto"/>
          </w:tcPr>
          <w:p w14:paraId="660E4AF2" w14:textId="77777777" w:rsidR="00805EE8" w:rsidRPr="00805EE8" w:rsidRDefault="00805EE8" w:rsidP="00805EE8">
            <w:pPr>
              <w:spacing w:line="259" w:lineRule="auto"/>
              <w:rPr>
                <w:rFonts w:cstheme="minorHAnsi"/>
                <w:sz w:val="24"/>
                <w:szCs w:val="24"/>
              </w:rPr>
            </w:pPr>
            <w:r w:rsidRPr="00805EE8">
              <w:rPr>
                <w:rFonts w:cstheme="minorHAnsi"/>
                <w:sz w:val="24"/>
                <w:szCs w:val="24"/>
              </w:rPr>
              <w:t>.05</w:t>
            </w:r>
          </w:p>
        </w:tc>
      </w:tr>
      <w:tr w:rsidR="00805EE8" w:rsidRPr="00805EE8" w14:paraId="4BB8DE20" w14:textId="77777777" w:rsidTr="00606AB6">
        <w:trPr>
          <w:trHeight w:val="181"/>
        </w:trPr>
        <w:tc>
          <w:tcPr>
            <w:tcW w:w="0" w:type="auto"/>
          </w:tcPr>
          <w:p w14:paraId="2B4BB3BA" w14:textId="77777777" w:rsidR="00805EE8" w:rsidRPr="00805EE8" w:rsidRDefault="00805EE8" w:rsidP="00805EE8">
            <w:pPr>
              <w:spacing w:line="259" w:lineRule="auto"/>
              <w:rPr>
                <w:rFonts w:cstheme="minorHAnsi"/>
                <w:sz w:val="24"/>
                <w:szCs w:val="24"/>
              </w:rPr>
            </w:pPr>
            <w:r w:rsidRPr="00805EE8">
              <w:rPr>
                <w:rFonts w:cstheme="minorHAnsi"/>
                <w:sz w:val="24"/>
                <w:szCs w:val="24"/>
              </w:rPr>
              <w:t>Social Support</w:t>
            </w:r>
          </w:p>
        </w:tc>
        <w:tc>
          <w:tcPr>
            <w:tcW w:w="0" w:type="auto"/>
          </w:tcPr>
          <w:p w14:paraId="123A9F5E" w14:textId="77777777" w:rsidR="00805EE8" w:rsidRPr="00805EE8" w:rsidRDefault="00805EE8" w:rsidP="00805EE8">
            <w:pPr>
              <w:spacing w:line="259" w:lineRule="auto"/>
              <w:rPr>
                <w:rFonts w:cstheme="minorHAnsi"/>
                <w:sz w:val="24"/>
                <w:szCs w:val="24"/>
              </w:rPr>
            </w:pPr>
            <w:r w:rsidRPr="00805EE8">
              <w:rPr>
                <w:rFonts w:cstheme="minorHAnsi"/>
                <w:sz w:val="24"/>
                <w:szCs w:val="24"/>
              </w:rPr>
              <w:t>Minority Stress Processes</w:t>
            </w:r>
          </w:p>
        </w:tc>
        <w:tc>
          <w:tcPr>
            <w:tcW w:w="0" w:type="auto"/>
          </w:tcPr>
          <w:p w14:paraId="6E00A6D9" w14:textId="77777777" w:rsidR="00805EE8" w:rsidRPr="00805EE8" w:rsidRDefault="00805EE8" w:rsidP="00805EE8">
            <w:pPr>
              <w:spacing w:line="259" w:lineRule="auto"/>
              <w:rPr>
                <w:rFonts w:cstheme="minorHAnsi"/>
                <w:sz w:val="24"/>
                <w:szCs w:val="24"/>
              </w:rPr>
            </w:pPr>
            <w:r w:rsidRPr="00805EE8">
              <w:rPr>
                <w:rFonts w:cstheme="minorHAnsi"/>
                <w:sz w:val="24"/>
                <w:szCs w:val="24"/>
              </w:rPr>
              <w:t>-.22</w:t>
            </w:r>
          </w:p>
        </w:tc>
        <w:tc>
          <w:tcPr>
            <w:tcW w:w="0" w:type="auto"/>
          </w:tcPr>
          <w:p w14:paraId="2A0DBA89" w14:textId="77777777" w:rsidR="00805EE8" w:rsidRPr="00805EE8" w:rsidRDefault="00805EE8" w:rsidP="00805EE8">
            <w:pPr>
              <w:spacing w:line="259" w:lineRule="auto"/>
              <w:rPr>
                <w:rFonts w:cstheme="minorHAnsi"/>
                <w:sz w:val="24"/>
                <w:szCs w:val="24"/>
              </w:rPr>
            </w:pPr>
            <w:r w:rsidRPr="00805EE8">
              <w:rPr>
                <w:rFonts w:cstheme="minorHAnsi"/>
                <w:sz w:val="24"/>
                <w:szCs w:val="24"/>
              </w:rPr>
              <w:t>.12</w:t>
            </w:r>
          </w:p>
        </w:tc>
        <w:tc>
          <w:tcPr>
            <w:tcW w:w="0" w:type="auto"/>
          </w:tcPr>
          <w:p w14:paraId="6BB9DC3B" w14:textId="77777777" w:rsidR="00805EE8" w:rsidRPr="00805EE8" w:rsidRDefault="00805EE8" w:rsidP="00805EE8">
            <w:pPr>
              <w:spacing w:line="259" w:lineRule="auto"/>
              <w:rPr>
                <w:rFonts w:cstheme="minorHAnsi"/>
                <w:sz w:val="24"/>
                <w:szCs w:val="24"/>
              </w:rPr>
            </w:pPr>
            <w:r w:rsidRPr="00805EE8">
              <w:rPr>
                <w:rFonts w:cstheme="minorHAnsi"/>
                <w:sz w:val="24"/>
                <w:szCs w:val="24"/>
              </w:rPr>
              <w:t>-1.78</w:t>
            </w:r>
          </w:p>
        </w:tc>
        <w:tc>
          <w:tcPr>
            <w:tcW w:w="0" w:type="auto"/>
          </w:tcPr>
          <w:p w14:paraId="5442A1B1" w14:textId="77777777" w:rsidR="00805EE8" w:rsidRPr="00805EE8" w:rsidRDefault="00805EE8" w:rsidP="00805EE8">
            <w:pPr>
              <w:spacing w:line="259" w:lineRule="auto"/>
              <w:rPr>
                <w:rFonts w:cstheme="minorHAnsi"/>
                <w:sz w:val="24"/>
                <w:szCs w:val="24"/>
              </w:rPr>
            </w:pPr>
            <w:r w:rsidRPr="00805EE8">
              <w:rPr>
                <w:rFonts w:cstheme="minorHAnsi"/>
                <w:sz w:val="24"/>
                <w:szCs w:val="24"/>
              </w:rPr>
              <w:t>.08</w:t>
            </w:r>
          </w:p>
        </w:tc>
        <w:tc>
          <w:tcPr>
            <w:tcW w:w="0" w:type="auto"/>
          </w:tcPr>
          <w:p w14:paraId="1B41F0A0" w14:textId="77777777" w:rsidR="00805EE8" w:rsidRPr="00805EE8" w:rsidRDefault="00805EE8" w:rsidP="00805EE8">
            <w:pPr>
              <w:spacing w:line="259" w:lineRule="auto"/>
              <w:rPr>
                <w:rFonts w:cstheme="minorHAnsi"/>
                <w:sz w:val="24"/>
                <w:szCs w:val="24"/>
              </w:rPr>
            </w:pPr>
            <w:r w:rsidRPr="00805EE8">
              <w:rPr>
                <w:rFonts w:cstheme="minorHAnsi"/>
                <w:sz w:val="24"/>
                <w:szCs w:val="24"/>
              </w:rPr>
              <w:t>-.19</w:t>
            </w:r>
          </w:p>
        </w:tc>
      </w:tr>
      <w:tr w:rsidR="00805EE8" w:rsidRPr="00805EE8" w14:paraId="51A5A4B2" w14:textId="77777777" w:rsidTr="00606AB6">
        <w:trPr>
          <w:trHeight w:val="180"/>
        </w:trPr>
        <w:tc>
          <w:tcPr>
            <w:tcW w:w="0" w:type="auto"/>
          </w:tcPr>
          <w:p w14:paraId="0E2E4DB7" w14:textId="77777777" w:rsidR="00805EE8" w:rsidRPr="00805EE8" w:rsidRDefault="00805EE8" w:rsidP="00805EE8">
            <w:pPr>
              <w:spacing w:line="259" w:lineRule="auto"/>
              <w:rPr>
                <w:rFonts w:cstheme="minorHAnsi"/>
                <w:sz w:val="24"/>
                <w:szCs w:val="24"/>
              </w:rPr>
            </w:pPr>
            <w:r w:rsidRPr="00805EE8">
              <w:rPr>
                <w:rFonts w:cstheme="minorHAnsi"/>
                <w:sz w:val="24"/>
                <w:szCs w:val="24"/>
              </w:rPr>
              <w:t>BRS</w:t>
            </w:r>
          </w:p>
        </w:tc>
        <w:tc>
          <w:tcPr>
            <w:tcW w:w="0" w:type="auto"/>
          </w:tcPr>
          <w:p w14:paraId="21682206" w14:textId="77777777" w:rsidR="00805EE8" w:rsidRPr="00805EE8" w:rsidRDefault="00805EE8" w:rsidP="00805EE8">
            <w:pPr>
              <w:spacing w:line="259" w:lineRule="auto"/>
              <w:rPr>
                <w:rFonts w:cstheme="minorHAnsi"/>
                <w:sz w:val="24"/>
                <w:szCs w:val="24"/>
              </w:rPr>
            </w:pPr>
            <w:r w:rsidRPr="00805EE8">
              <w:rPr>
                <w:rFonts w:cstheme="minorHAnsi"/>
                <w:sz w:val="24"/>
                <w:szCs w:val="24"/>
              </w:rPr>
              <w:t>Minority Stress Processes</w:t>
            </w:r>
          </w:p>
        </w:tc>
        <w:tc>
          <w:tcPr>
            <w:tcW w:w="0" w:type="auto"/>
          </w:tcPr>
          <w:p w14:paraId="32EE1107" w14:textId="77777777" w:rsidR="00805EE8" w:rsidRPr="00805EE8" w:rsidRDefault="00805EE8" w:rsidP="00805EE8">
            <w:pPr>
              <w:spacing w:line="259" w:lineRule="auto"/>
              <w:rPr>
                <w:rFonts w:cstheme="minorHAnsi"/>
                <w:sz w:val="24"/>
                <w:szCs w:val="24"/>
              </w:rPr>
            </w:pPr>
            <w:r w:rsidRPr="00805EE8">
              <w:rPr>
                <w:rFonts w:cstheme="minorHAnsi"/>
                <w:sz w:val="24"/>
                <w:szCs w:val="24"/>
              </w:rPr>
              <w:t>-.08</w:t>
            </w:r>
          </w:p>
        </w:tc>
        <w:tc>
          <w:tcPr>
            <w:tcW w:w="0" w:type="auto"/>
          </w:tcPr>
          <w:p w14:paraId="72101301" w14:textId="77777777" w:rsidR="00805EE8" w:rsidRPr="00805EE8" w:rsidRDefault="00805EE8" w:rsidP="00805EE8">
            <w:pPr>
              <w:spacing w:line="259" w:lineRule="auto"/>
              <w:rPr>
                <w:rFonts w:cstheme="minorHAnsi"/>
                <w:sz w:val="24"/>
                <w:szCs w:val="24"/>
              </w:rPr>
            </w:pPr>
            <w:r w:rsidRPr="00805EE8">
              <w:rPr>
                <w:rFonts w:cstheme="minorHAnsi"/>
                <w:sz w:val="24"/>
                <w:szCs w:val="24"/>
              </w:rPr>
              <w:t>.09</w:t>
            </w:r>
          </w:p>
        </w:tc>
        <w:tc>
          <w:tcPr>
            <w:tcW w:w="0" w:type="auto"/>
          </w:tcPr>
          <w:p w14:paraId="6DB608EB" w14:textId="77777777" w:rsidR="00805EE8" w:rsidRPr="00805EE8" w:rsidRDefault="00805EE8" w:rsidP="00805EE8">
            <w:pPr>
              <w:spacing w:line="259" w:lineRule="auto"/>
              <w:rPr>
                <w:rFonts w:cstheme="minorHAnsi"/>
                <w:sz w:val="24"/>
                <w:szCs w:val="24"/>
              </w:rPr>
            </w:pPr>
            <w:r w:rsidRPr="00805EE8">
              <w:rPr>
                <w:rFonts w:cstheme="minorHAnsi"/>
                <w:sz w:val="24"/>
                <w:szCs w:val="24"/>
              </w:rPr>
              <w:t>-.98</w:t>
            </w:r>
          </w:p>
        </w:tc>
        <w:tc>
          <w:tcPr>
            <w:tcW w:w="0" w:type="auto"/>
          </w:tcPr>
          <w:p w14:paraId="7B810D70" w14:textId="77777777" w:rsidR="00805EE8" w:rsidRPr="00805EE8" w:rsidRDefault="00805EE8" w:rsidP="00805EE8">
            <w:pPr>
              <w:spacing w:line="259" w:lineRule="auto"/>
              <w:rPr>
                <w:rFonts w:cstheme="minorHAnsi"/>
                <w:sz w:val="24"/>
                <w:szCs w:val="24"/>
              </w:rPr>
            </w:pPr>
            <w:r w:rsidRPr="00805EE8">
              <w:rPr>
                <w:rFonts w:cstheme="minorHAnsi"/>
                <w:sz w:val="24"/>
                <w:szCs w:val="24"/>
              </w:rPr>
              <w:t>.33</w:t>
            </w:r>
          </w:p>
        </w:tc>
        <w:tc>
          <w:tcPr>
            <w:tcW w:w="0" w:type="auto"/>
          </w:tcPr>
          <w:p w14:paraId="20ED7B73" w14:textId="77777777" w:rsidR="00805EE8" w:rsidRPr="00805EE8" w:rsidRDefault="00805EE8" w:rsidP="00805EE8">
            <w:pPr>
              <w:spacing w:line="259" w:lineRule="auto"/>
              <w:rPr>
                <w:rFonts w:cstheme="minorHAnsi"/>
                <w:sz w:val="24"/>
                <w:szCs w:val="24"/>
              </w:rPr>
            </w:pPr>
            <w:r w:rsidRPr="00805EE8">
              <w:rPr>
                <w:rFonts w:cstheme="minorHAnsi"/>
                <w:sz w:val="24"/>
                <w:szCs w:val="24"/>
              </w:rPr>
              <w:t>-.09</w:t>
            </w:r>
          </w:p>
        </w:tc>
      </w:tr>
      <w:tr w:rsidR="00805EE8" w:rsidRPr="00805EE8" w14:paraId="178B35CA" w14:textId="77777777" w:rsidTr="00606AB6">
        <w:trPr>
          <w:trHeight w:val="180"/>
        </w:trPr>
        <w:tc>
          <w:tcPr>
            <w:tcW w:w="0" w:type="auto"/>
          </w:tcPr>
          <w:p w14:paraId="5AAC2A29" w14:textId="77777777" w:rsidR="00805EE8" w:rsidRPr="00805EE8" w:rsidRDefault="00805EE8" w:rsidP="00805EE8">
            <w:pPr>
              <w:spacing w:line="259" w:lineRule="auto"/>
              <w:rPr>
                <w:rFonts w:cstheme="minorHAnsi"/>
                <w:sz w:val="24"/>
                <w:szCs w:val="24"/>
              </w:rPr>
            </w:pPr>
            <w:r w:rsidRPr="00805EE8">
              <w:rPr>
                <w:rFonts w:cstheme="minorHAnsi"/>
                <w:sz w:val="24"/>
                <w:szCs w:val="24"/>
              </w:rPr>
              <w:t>Positive Minority Sexual Identity</w:t>
            </w:r>
          </w:p>
        </w:tc>
        <w:tc>
          <w:tcPr>
            <w:tcW w:w="0" w:type="auto"/>
          </w:tcPr>
          <w:p w14:paraId="19DA5D82" w14:textId="77777777" w:rsidR="00805EE8" w:rsidRPr="00805EE8" w:rsidRDefault="00805EE8" w:rsidP="00805EE8">
            <w:pPr>
              <w:spacing w:line="259" w:lineRule="auto"/>
              <w:rPr>
                <w:rFonts w:cstheme="minorHAnsi"/>
                <w:sz w:val="24"/>
                <w:szCs w:val="24"/>
              </w:rPr>
            </w:pPr>
            <w:r w:rsidRPr="00805EE8">
              <w:rPr>
                <w:rFonts w:cstheme="minorHAnsi"/>
                <w:sz w:val="24"/>
                <w:szCs w:val="24"/>
              </w:rPr>
              <w:t>Minority Stress Processes</w:t>
            </w:r>
          </w:p>
        </w:tc>
        <w:tc>
          <w:tcPr>
            <w:tcW w:w="0" w:type="auto"/>
          </w:tcPr>
          <w:p w14:paraId="69420C4E" w14:textId="77777777" w:rsidR="00805EE8" w:rsidRPr="00805EE8" w:rsidRDefault="00805EE8" w:rsidP="00805EE8">
            <w:pPr>
              <w:spacing w:line="259" w:lineRule="auto"/>
              <w:rPr>
                <w:rFonts w:cstheme="minorHAnsi"/>
                <w:sz w:val="24"/>
                <w:szCs w:val="24"/>
              </w:rPr>
            </w:pPr>
            <w:r w:rsidRPr="00805EE8">
              <w:rPr>
                <w:rFonts w:cstheme="minorHAnsi"/>
                <w:sz w:val="24"/>
                <w:szCs w:val="24"/>
              </w:rPr>
              <w:t>-1.11</w:t>
            </w:r>
          </w:p>
        </w:tc>
        <w:tc>
          <w:tcPr>
            <w:tcW w:w="0" w:type="auto"/>
          </w:tcPr>
          <w:p w14:paraId="25DF0280" w14:textId="77777777" w:rsidR="00805EE8" w:rsidRPr="00805EE8" w:rsidRDefault="00805EE8" w:rsidP="00805EE8">
            <w:pPr>
              <w:spacing w:line="259" w:lineRule="auto"/>
              <w:rPr>
                <w:rFonts w:cstheme="minorHAnsi"/>
                <w:sz w:val="24"/>
                <w:szCs w:val="24"/>
              </w:rPr>
            </w:pPr>
            <w:r w:rsidRPr="00805EE8">
              <w:rPr>
                <w:rFonts w:cstheme="minorHAnsi"/>
                <w:sz w:val="24"/>
                <w:szCs w:val="24"/>
              </w:rPr>
              <w:t>.35</w:t>
            </w:r>
          </w:p>
        </w:tc>
        <w:tc>
          <w:tcPr>
            <w:tcW w:w="0" w:type="auto"/>
          </w:tcPr>
          <w:p w14:paraId="776FAD22" w14:textId="77777777" w:rsidR="00805EE8" w:rsidRPr="00805EE8" w:rsidRDefault="00805EE8" w:rsidP="00805EE8">
            <w:pPr>
              <w:spacing w:line="259" w:lineRule="auto"/>
              <w:rPr>
                <w:rFonts w:cstheme="minorHAnsi"/>
                <w:sz w:val="24"/>
                <w:szCs w:val="24"/>
              </w:rPr>
            </w:pPr>
            <w:r w:rsidRPr="00805EE8">
              <w:rPr>
                <w:rFonts w:cstheme="minorHAnsi"/>
                <w:sz w:val="24"/>
                <w:szCs w:val="24"/>
              </w:rPr>
              <w:t>-3.20</w:t>
            </w:r>
          </w:p>
        </w:tc>
        <w:tc>
          <w:tcPr>
            <w:tcW w:w="0" w:type="auto"/>
          </w:tcPr>
          <w:p w14:paraId="1251D9E1"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69204F33" w14:textId="77777777" w:rsidR="00805EE8" w:rsidRPr="00805EE8" w:rsidRDefault="00805EE8" w:rsidP="00805EE8">
            <w:pPr>
              <w:spacing w:line="259" w:lineRule="auto"/>
              <w:rPr>
                <w:rFonts w:cstheme="minorHAnsi"/>
                <w:sz w:val="24"/>
                <w:szCs w:val="24"/>
              </w:rPr>
            </w:pPr>
            <w:r w:rsidRPr="00805EE8">
              <w:rPr>
                <w:rFonts w:cstheme="minorHAnsi"/>
                <w:sz w:val="24"/>
                <w:szCs w:val="24"/>
              </w:rPr>
              <w:t>-.72</w:t>
            </w:r>
          </w:p>
        </w:tc>
      </w:tr>
      <w:tr w:rsidR="00805EE8" w:rsidRPr="00805EE8" w14:paraId="575316B0" w14:textId="77777777" w:rsidTr="00606AB6">
        <w:trPr>
          <w:trHeight w:val="175"/>
        </w:trPr>
        <w:tc>
          <w:tcPr>
            <w:tcW w:w="0" w:type="auto"/>
          </w:tcPr>
          <w:p w14:paraId="529B4D30" w14:textId="77777777" w:rsidR="00805EE8" w:rsidRPr="00805EE8" w:rsidRDefault="00805EE8" w:rsidP="00805EE8">
            <w:pPr>
              <w:spacing w:line="259" w:lineRule="auto"/>
              <w:rPr>
                <w:rFonts w:cstheme="minorHAnsi"/>
                <w:sz w:val="24"/>
                <w:szCs w:val="24"/>
              </w:rPr>
            </w:pPr>
            <w:r w:rsidRPr="00805EE8">
              <w:rPr>
                <w:rFonts w:cstheme="minorHAnsi"/>
                <w:sz w:val="24"/>
                <w:szCs w:val="24"/>
              </w:rPr>
              <w:t>Positive Minority Sexual Identity</w:t>
            </w:r>
          </w:p>
        </w:tc>
        <w:tc>
          <w:tcPr>
            <w:tcW w:w="0" w:type="auto"/>
          </w:tcPr>
          <w:p w14:paraId="2AED1D3B" w14:textId="77777777" w:rsidR="00805EE8" w:rsidRPr="00805EE8" w:rsidRDefault="00805EE8" w:rsidP="00805EE8">
            <w:pPr>
              <w:spacing w:line="259" w:lineRule="auto"/>
              <w:rPr>
                <w:rFonts w:cstheme="minorHAnsi"/>
                <w:sz w:val="24"/>
                <w:szCs w:val="24"/>
              </w:rPr>
            </w:pPr>
            <w:r w:rsidRPr="00805EE8">
              <w:rPr>
                <w:rFonts w:cstheme="minorHAnsi"/>
                <w:sz w:val="24"/>
                <w:szCs w:val="24"/>
              </w:rPr>
              <w:t>Social Support</w:t>
            </w:r>
          </w:p>
        </w:tc>
        <w:tc>
          <w:tcPr>
            <w:tcW w:w="0" w:type="auto"/>
          </w:tcPr>
          <w:p w14:paraId="65871E66" w14:textId="77777777" w:rsidR="00805EE8" w:rsidRPr="00805EE8" w:rsidRDefault="00805EE8" w:rsidP="00805EE8">
            <w:pPr>
              <w:spacing w:line="259" w:lineRule="auto"/>
              <w:rPr>
                <w:rFonts w:cstheme="minorHAnsi"/>
                <w:sz w:val="24"/>
                <w:szCs w:val="24"/>
              </w:rPr>
            </w:pPr>
            <w:r w:rsidRPr="00805EE8">
              <w:rPr>
                <w:rFonts w:cstheme="minorHAnsi"/>
                <w:sz w:val="24"/>
                <w:szCs w:val="24"/>
              </w:rPr>
              <w:t>.23</w:t>
            </w:r>
          </w:p>
        </w:tc>
        <w:tc>
          <w:tcPr>
            <w:tcW w:w="0" w:type="auto"/>
          </w:tcPr>
          <w:p w14:paraId="0BA61137" w14:textId="77777777" w:rsidR="00805EE8" w:rsidRPr="00805EE8" w:rsidRDefault="00805EE8" w:rsidP="00805EE8">
            <w:pPr>
              <w:spacing w:line="259" w:lineRule="auto"/>
              <w:rPr>
                <w:rFonts w:cstheme="minorHAnsi"/>
                <w:sz w:val="24"/>
                <w:szCs w:val="24"/>
              </w:rPr>
            </w:pPr>
            <w:r w:rsidRPr="00805EE8">
              <w:rPr>
                <w:rFonts w:cstheme="minorHAnsi"/>
                <w:sz w:val="24"/>
                <w:szCs w:val="24"/>
              </w:rPr>
              <w:t>.10</w:t>
            </w:r>
          </w:p>
        </w:tc>
        <w:tc>
          <w:tcPr>
            <w:tcW w:w="0" w:type="auto"/>
          </w:tcPr>
          <w:p w14:paraId="7CEF1C81" w14:textId="77777777" w:rsidR="00805EE8" w:rsidRPr="00805EE8" w:rsidRDefault="00805EE8" w:rsidP="00805EE8">
            <w:pPr>
              <w:spacing w:line="259" w:lineRule="auto"/>
              <w:rPr>
                <w:rFonts w:cstheme="minorHAnsi"/>
                <w:sz w:val="24"/>
                <w:szCs w:val="24"/>
              </w:rPr>
            </w:pPr>
            <w:r w:rsidRPr="00805EE8">
              <w:rPr>
                <w:rFonts w:cstheme="minorHAnsi"/>
                <w:sz w:val="24"/>
                <w:szCs w:val="24"/>
              </w:rPr>
              <w:t>2.21</w:t>
            </w:r>
          </w:p>
        </w:tc>
        <w:tc>
          <w:tcPr>
            <w:tcW w:w="0" w:type="auto"/>
          </w:tcPr>
          <w:p w14:paraId="7C258389" w14:textId="77777777" w:rsidR="00805EE8" w:rsidRPr="00805EE8" w:rsidRDefault="00805EE8" w:rsidP="00805EE8">
            <w:pPr>
              <w:spacing w:line="259" w:lineRule="auto"/>
              <w:rPr>
                <w:rFonts w:cstheme="minorHAnsi"/>
                <w:sz w:val="24"/>
                <w:szCs w:val="24"/>
              </w:rPr>
            </w:pPr>
            <w:r w:rsidRPr="00805EE8">
              <w:rPr>
                <w:rFonts w:cstheme="minorHAnsi"/>
                <w:sz w:val="24"/>
                <w:szCs w:val="24"/>
              </w:rPr>
              <w:t>.03</w:t>
            </w:r>
          </w:p>
        </w:tc>
        <w:tc>
          <w:tcPr>
            <w:tcW w:w="0" w:type="auto"/>
          </w:tcPr>
          <w:p w14:paraId="46341694" w14:textId="77777777" w:rsidR="00805EE8" w:rsidRPr="00805EE8" w:rsidRDefault="00805EE8" w:rsidP="00805EE8">
            <w:pPr>
              <w:spacing w:line="259" w:lineRule="auto"/>
              <w:rPr>
                <w:rFonts w:cstheme="minorHAnsi"/>
                <w:sz w:val="24"/>
                <w:szCs w:val="24"/>
              </w:rPr>
            </w:pPr>
            <w:r w:rsidRPr="00805EE8">
              <w:rPr>
                <w:rFonts w:cstheme="minorHAnsi"/>
                <w:sz w:val="24"/>
                <w:szCs w:val="24"/>
              </w:rPr>
              <w:t>.17</w:t>
            </w:r>
          </w:p>
        </w:tc>
      </w:tr>
      <w:tr w:rsidR="00805EE8" w:rsidRPr="00805EE8" w14:paraId="509BBCCF" w14:textId="77777777" w:rsidTr="00606AB6">
        <w:trPr>
          <w:trHeight w:val="182"/>
        </w:trPr>
        <w:tc>
          <w:tcPr>
            <w:tcW w:w="0" w:type="auto"/>
          </w:tcPr>
          <w:p w14:paraId="299A3F7F" w14:textId="77777777" w:rsidR="00805EE8" w:rsidRPr="00805EE8" w:rsidRDefault="00805EE8" w:rsidP="00805EE8">
            <w:pPr>
              <w:spacing w:line="259" w:lineRule="auto"/>
              <w:rPr>
                <w:rFonts w:cstheme="minorHAnsi"/>
                <w:b/>
                <w:bCs/>
                <w:sz w:val="24"/>
                <w:szCs w:val="24"/>
              </w:rPr>
            </w:pPr>
            <w:r w:rsidRPr="00805EE8">
              <w:rPr>
                <w:rFonts w:cstheme="minorHAnsi"/>
                <w:b/>
                <w:bCs/>
                <w:sz w:val="24"/>
                <w:szCs w:val="24"/>
                <w:u w:val="single"/>
              </w:rPr>
              <w:t>Error Covariance Estimates</w:t>
            </w:r>
          </w:p>
        </w:tc>
        <w:tc>
          <w:tcPr>
            <w:tcW w:w="0" w:type="auto"/>
          </w:tcPr>
          <w:p w14:paraId="1D82B1A6" w14:textId="77777777" w:rsidR="00805EE8" w:rsidRPr="00805EE8" w:rsidRDefault="00805EE8" w:rsidP="00805EE8">
            <w:pPr>
              <w:spacing w:line="259" w:lineRule="auto"/>
              <w:rPr>
                <w:rFonts w:cstheme="minorHAnsi"/>
                <w:sz w:val="24"/>
                <w:szCs w:val="24"/>
              </w:rPr>
            </w:pPr>
          </w:p>
        </w:tc>
        <w:tc>
          <w:tcPr>
            <w:tcW w:w="0" w:type="auto"/>
          </w:tcPr>
          <w:p w14:paraId="39E5DDDC" w14:textId="77777777" w:rsidR="00805EE8" w:rsidRPr="00805EE8" w:rsidRDefault="00805EE8" w:rsidP="00805EE8">
            <w:pPr>
              <w:spacing w:line="259" w:lineRule="auto"/>
              <w:rPr>
                <w:rFonts w:cstheme="minorHAnsi"/>
                <w:sz w:val="24"/>
                <w:szCs w:val="24"/>
              </w:rPr>
            </w:pPr>
          </w:p>
        </w:tc>
        <w:tc>
          <w:tcPr>
            <w:tcW w:w="0" w:type="auto"/>
          </w:tcPr>
          <w:p w14:paraId="427D0F5F" w14:textId="77777777" w:rsidR="00805EE8" w:rsidRPr="00805EE8" w:rsidRDefault="00805EE8" w:rsidP="00805EE8">
            <w:pPr>
              <w:spacing w:line="259" w:lineRule="auto"/>
              <w:rPr>
                <w:rFonts w:cstheme="minorHAnsi"/>
                <w:sz w:val="24"/>
                <w:szCs w:val="24"/>
              </w:rPr>
            </w:pPr>
          </w:p>
        </w:tc>
        <w:tc>
          <w:tcPr>
            <w:tcW w:w="0" w:type="auto"/>
          </w:tcPr>
          <w:p w14:paraId="52C3902B" w14:textId="77777777" w:rsidR="00805EE8" w:rsidRPr="00805EE8" w:rsidRDefault="00805EE8" w:rsidP="00805EE8">
            <w:pPr>
              <w:spacing w:line="259" w:lineRule="auto"/>
              <w:rPr>
                <w:rFonts w:cstheme="minorHAnsi"/>
                <w:sz w:val="24"/>
                <w:szCs w:val="24"/>
              </w:rPr>
            </w:pPr>
          </w:p>
        </w:tc>
        <w:tc>
          <w:tcPr>
            <w:tcW w:w="0" w:type="auto"/>
          </w:tcPr>
          <w:p w14:paraId="337EA799" w14:textId="77777777" w:rsidR="00805EE8" w:rsidRPr="00805EE8" w:rsidRDefault="00805EE8" w:rsidP="00805EE8">
            <w:pPr>
              <w:spacing w:line="259" w:lineRule="auto"/>
              <w:rPr>
                <w:rFonts w:cstheme="minorHAnsi"/>
                <w:sz w:val="24"/>
                <w:szCs w:val="24"/>
              </w:rPr>
            </w:pPr>
          </w:p>
        </w:tc>
        <w:tc>
          <w:tcPr>
            <w:tcW w:w="0" w:type="auto"/>
          </w:tcPr>
          <w:p w14:paraId="1CF07A97" w14:textId="77777777" w:rsidR="00805EE8" w:rsidRPr="00805EE8" w:rsidRDefault="00805EE8" w:rsidP="00805EE8">
            <w:pPr>
              <w:spacing w:line="259" w:lineRule="auto"/>
              <w:rPr>
                <w:rFonts w:cstheme="minorHAnsi"/>
                <w:sz w:val="24"/>
                <w:szCs w:val="24"/>
              </w:rPr>
            </w:pPr>
          </w:p>
        </w:tc>
      </w:tr>
      <w:tr w:rsidR="00805EE8" w:rsidRPr="00805EE8" w14:paraId="5E13FEAC" w14:textId="77777777" w:rsidTr="00606AB6">
        <w:trPr>
          <w:trHeight w:val="180"/>
        </w:trPr>
        <w:tc>
          <w:tcPr>
            <w:tcW w:w="0" w:type="auto"/>
          </w:tcPr>
          <w:p w14:paraId="01A735C2"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Self-Awareness</w:t>
            </w:r>
          </w:p>
        </w:tc>
        <w:tc>
          <w:tcPr>
            <w:tcW w:w="0" w:type="auto"/>
          </w:tcPr>
          <w:p w14:paraId="06C5FDD1"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Social Justice</w:t>
            </w:r>
          </w:p>
        </w:tc>
        <w:tc>
          <w:tcPr>
            <w:tcW w:w="0" w:type="auto"/>
          </w:tcPr>
          <w:p w14:paraId="74A6E017" w14:textId="77777777" w:rsidR="00805EE8" w:rsidRPr="00805EE8" w:rsidRDefault="00805EE8" w:rsidP="00805EE8">
            <w:pPr>
              <w:spacing w:line="259" w:lineRule="auto"/>
              <w:rPr>
                <w:rFonts w:cstheme="minorHAnsi"/>
                <w:sz w:val="24"/>
                <w:szCs w:val="24"/>
              </w:rPr>
            </w:pPr>
            <w:r w:rsidRPr="00805EE8">
              <w:rPr>
                <w:rFonts w:cstheme="minorHAnsi"/>
                <w:sz w:val="24"/>
                <w:szCs w:val="24"/>
              </w:rPr>
              <w:t>.73</w:t>
            </w:r>
          </w:p>
        </w:tc>
        <w:tc>
          <w:tcPr>
            <w:tcW w:w="0" w:type="auto"/>
          </w:tcPr>
          <w:p w14:paraId="40EFBB4B" w14:textId="77777777" w:rsidR="00805EE8" w:rsidRPr="00805EE8" w:rsidRDefault="00805EE8" w:rsidP="00805EE8">
            <w:pPr>
              <w:spacing w:line="259" w:lineRule="auto"/>
              <w:rPr>
                <w:rFonts w:cstheme="minorHAnsi"/>
                <w:sz w:val="24"/>
                <w:szCs w:val="24"/>
              </w:rPr>
            </w:pPr>
            <w:r w:rsidRPr="00805EE8">
              <w:rPr>
                <w:rFonts w:cstheme="minorHAnsi"/>
                <w:sz w:val="24"/>
                <w:szCs w:val="24"/>
              </w:rPr>
              <w:t>.13</w:t>
            </w:r>
          </w:p>
        </w:tc>
        <w:tc>
          <w:tcPr>
            <w:tcW w:w="0" w:type="auto"/>
          </w:tcPr>
          <w:p w14:paraId="47F101E4" w14:textId="77777777" w:rsidR="00805EE8" w:rsidRPr="00805EE8" w:rsidRDefault="00805EE8" w:rsidP="00805EE8">
            <w:pPr>
              <w:spacing w:line="259" w:lineRule="auto"/>
              <w:rPr>
                <w:rFonts w:cstheme="minorHAnsi"/>
                <w:sz w:val="24"/>
                <w:szCs w:val="24"/>
              </w:rPr>
            </w:pPr>
            <w:r w:rsidRPr="00805EE8">
              <w:rPr>
                <w:rFonts w:cstheme="minorHAnsi"/>
                <w:sz w:val="24"/>
                <w:szCs w:val="24"/>
              </w:rPr>
              <w:t>5.82</w:t>
            </w:r>
          </w:p>
        </w:tc>
        <w:tc>
          <w:tcPr>
            <w:tcW w:w="0" w:type="auto"/>
          </w:tcPr>
          <w:p w14:paraId="03E252E9"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C936846" w14:textId="77777777" w:rsidR="00805EE8" w:rsidRPr="00805EE8" w:rsidRDefault="00805EE8" w:rsidP="00805EE8">
            <w:pPr>
              <w:spacing w:line="259" w:lineRule="auto"/>
              <w:rPr>
                <w:rFonts w:cstheme="minorHAnsi"/>
                <w:sz w:val="24"/>
                <w:szCs w:val="24"/>
              </w:rPr>
            </w:pPr>
            <w:r w:rsidRPr="00805EE8">
              <w:rPr>
                <w:rFonts w:cstheme="minorHAnsi"/>
                <w:sz w:val="24"/>
                <w:szCs w:val="24"/>
              </w:rPr>
              <w:t>.47</w:t>
            </w:r>
          </w:p>
        </w:tc>
      </w:tr>
      <w:tr w:rsidR="00805EE8" w:rsidRPr="00805EE8" w14:paraId="673CEC81" w14:textId="77777777" w:rsidTr="00606AB6">
        <w:trPr>
          <w:trHeight w:val="181"/>
        </w:trPr>
        <w:tc>
          <w:tcPr>
            <w:tcW w:w="0" w:type="auto"/>
          </w:tcPr>
          <w:p w14:paraId="401E03FF"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Self-Awareness</w:t>
            </w:r>
          </w:p>
        </w:tc>
        <w:tc>
          <w:tcPr>
            <w:tcW w:w="0" w:type="auto"/>
          </w:tcPr>
          <w:p w14:paraId="5A8C1C9C"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Community</w:t>
            </w:r>
          </w:p>
        </w:tc>
        <w:tc>
          <w:tcPr>
            <w:tcW w:w="0" w:type="auto"/>
          </w:tcPr>
          <w:p w14:paraId="4C3277BE" w14:textId="77777777" w:rsidR="00805EE8" w:rsidRPr="00805EE8" w:rsidRDefault="00805EE8" w:rsidP="00805EE8">
            <w:pPr>
              <w:spacing w:line="259" w:lineRule="auto"/>
              <w:rPr>
                <w:rFonts w:cstheme="minorHAnsi"/>
                <w:sz w:val="24"/>
                <w:szCs w:val="24"/>
              </w:rPr>
            </w:pPr>
            <w:r w:rsidRPr="00805EE8">
              <w:rPr>
                <w:rFonts w:cstheme="minorHAnsi"/>
                <w:sz w:val="24"/>
                <w:szCs w:val="24"/>
              </w:rPr>
              <w:t>-.16</w:t>
            </w:r>
          </w:p>
        </w:tc>
        <w:tc>
          <w:tcPr>
            <w:tcW w:w="0" w:type="auto"/>
          </w:tcPr>
          <w:p w14:paraId="4728A384" w14:textId="77777777" w:rsidR="00805EE8" w:rsidRPr="00805EE8" w:rsidRDefault="00805EE8" w:rsidP="00805EE8">
            <w:pPr>
              <w:spacing w:line="259" w:lineRule="auto"/>
              <w:rPr>
                <w:rFonts w:cstheme="minorHAnsi"/>
                <w:sz w:val="24"/>
                <w:szCs w:val="24"/>
              </w:rPr>
            </w:pPr>
            <w:r w:rsidRPr="00805EE8">
              <w:rPr>
                <w:rFonts w:cstheme="minorHAnsi"/>
                <w:sz w:val="24"/>
                <w:szCs w:val="24"/>
              </w:rPr>
              <w:t>.08</w:t>
            </w:r>
          </w:p>
        </w:tc>
        <w:tc>
          <w:tcPr>
            <w:tcW w:w="0" w:type="auto"/>
          </w:tcPr>
          <w:p w14:paraId="7D15E394" w14:textId="77777777" w:rsidR="00805EE8" w:rsidRPr="00805EE8" w:rsidRDefault="00805EE8" w:rsidP="00805EE8">
            <w:pPr>
              <w:spacing w:line="259" w:lineRule="auto"/>
              <w:rPr>
                <w:rFonts w:cstheme="minorHAnsi"/>
                <w:sz w:val="24"/>
                <w:szCs w:val="24"/>
              </w:rPr>
            </w:pPr>
            <w:r w:rsidRPr="00805EE8">
              <w:rPr>
                <w:rFonts w:cstheme="minorHAnsi"/>
                <w:sz w:val="24"/>
                <w:szCs w:val="24"/>
              </w:rPr>
              <w:t>-2.00</w:t>
            </w:r>
          </w:p>
        </w:tc>
        <w:tc>
          <w:tcPr>
            <w:tcW w:w="0" w:type="auto"/>
          </w:tcPr>
          <w:p w14:paraId="4BC8A2CB" w14:textId="77777777" w:rsidR="00805EE8" w:rsidRPr="00805EE8" w:rsidRDefault="00805EE8" w:rsidP="00805EE8">
            <w:pPr>
              <w:spacing w:line="259" w:lineRule="auto"/>
              <w:rPr>
                <w:rFonts w:cstheme="minorHAnsi"/>
                <w:sz w:val="24"/>
                <w:szCs w:val="24"/>
              </w:rPr>
            </w:pPr>
            <w:r w:rsidRPr="00805EE8">
              <w:rPr>
                <w:rFonts w:cstheme="minorHAnsi"/>
                <w:sz w:val="24"/>
                <w:szCs w:val="24"/>
              </w:rPr>
              <w:t>.05</w:t>
            </w:r>
          </w:p>
        </w:tc>
        <w:tc>
          <w:tcPr>
            <w:tcW w:w="0" w:type="auto"/>
          </w:tcPr>
          <w:p w14:paraId="6B1A33AA" w14:textId="77777777" w:rsidR="00805EE8" w:rsidRPr="00805EE8" w:rsidRDefault="00805EE8" w:rsidP="00805EE8">
            <w:pPr>
              <w:spacing w:line="259" w:lineRule="auto"/>
              <w:rPr>
                <w:rFonts w:cstheme="minorHAnsi"/>
                <w:sz w:val="24"/>
                <w:szCs w:val="24"/>
              </w:rPr>
            </w:pPr>
            <w:r w:rsidRPr="00805EE8">
              <w:rPr>
                <w:rFonts w:cstheme="minorHAnsi"/>
                <w:sz w:val="24"/>
                <w:szCs w:val="24"/>
              </w:rPr>
              <w:t>-.15</w:t>
            </w:r>
          </w:p>
        </w:tc>
      </w:tr>
      <w:tr w:rsidR="00805EE8" w:rsidRPr="00805EE8" w14:paraId="0ECC3A2D" w14:textId="77777777" w:rsidTr="00606AB6">
        <w:trPr>
          <w:trHeight w:val="178"/>
        </w:trPr>
        <w:tc>
          <w:tcPr>
            <w:tcW w:w="0" w:type="auto"/>
          </w:tcPr>
          <w:p w14:paraId="2749F27F"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Self-Awareness</w:t>
            </w:r>
          </w:p>
        </w:tc>
        <w:tc>
          <w:tcPr>
            <w:tcW w:w="0" w:type="auto"/>
          </w:tcPr>
          <w:p w14:paraId="5AE8BF9C"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Intimacy</w:t>
            </w:r>
          </w:p>
        </w:tc>
        <w:tc>
          <w:tcPr>
            <w:tcW w:w="0" w:type="auto"/>
          </w:tcPr>
          <w:p w14:paraId="2E0BBCD5" w14:textId="77777777" w:rsidR="00805EE8" w:rsidRPr="00805EE8" w:rsidRDefault="00805EE8" w:rsidP="00805EE8">
            <w:pPr>
              <w:spacing w:line="259" w:lineRule="auto"/>
              <w:rPr>
                <w:rFonts w:cstheme="minorHAnsi"/>
                <w:sz w:val="24"/>
                <w:szCs w:val="24"/>
              </w:rPr>
            </w:pPr>
            <w:r w:rsidRPr="00805EE8">
              <w:rPr>
                <w:rFonts w:cstheme="minorHAnsi"/>
                <w:sz w:val="24"/>
                <w:szCs w:val="24"/>
              </w:rPr>
              <w:t>.33</w:t>
            </w:r>
          </w:p>
        </w:tc>
        <w:tc>
          <w:tcPr>
            <w:tcW w:w="0" w:type="auto"/>
          </w:tcPr>
          <w:p w14:paraId="13580635" w14:textId="77777777" w:rsidR="00805EE8" w:rsidRPr="00805EE8" w:rsidRDefault="00805EE8" w:rsidP="00805EE8">
            <w:pPr>
              <w:spacing w:line="259" w:lineRule="auto"/>
              <w:rPr>
                <w:rFonts w:cstheme="minorHAnsi"/>
                <w:sz w:val="24"/>
                <w:szCs w:val="24"/>
              </w:rPr>
            </w:pPr>
            <w:r w:rsidRPr="00805EE8">
              <w:rPr>
                <w:rFonts w:cstheme="minorHAnsi"/>
                <w:sz w:val="24"/>
                <w:szCs w:val="24"/>
              </w:rPr>
              <w:t>.12</w:t>
            </w:r>
          </w:p>
        </w:tc>
        <w:tc>
          <w:tcPr>
            <w:tcW w:w="0" w:type="auto"/>
          </w:tcPr>
          <w:p w14:paraId="32F2D607" w14:textId="77777777" w:rsidR="00805EE8" w:rsidRPr="00805EE8" w:rsidRDefault="00805EE8" w:rsidP="00805EE8">
            <w:pPr>
              <w:spacing w:line="259" w:lineRule="auto"/>
              <w:rPr>
                <w:rFonts w:cstheme="minorHAnsi"/>
                <w:sz w:val="24"/>
                <w:szCs w:val="24"/>
              </w:rPr>
            </w:pPr>
            <w:r w:rsidRPr="00805EE8">
              <w:rPr>
                <w:rFonts w:cstheme="minorHAnsi"/>
                <w:sz w:val="24"/>
                <w:szCs w:val="24"/>
              </w:rPr>
              <w:t>2.87</w:t>
            </w:r>
          </w:p>
        </w:tc>
        <w:tc>
          <w:tcPr>
            <w:tcW w:w="0" w:type="auto"/>
          </w:tcPr>
          <w:p w14:paraId="29099BEB"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70AF43E2" w14:textId="77777777" w:rsidR="00805EE8" w:rsidRPr="00805EE8" w:rsidRDefault="00805EE8" w:rsidP="00805EE8">
            <w:pPr>
              <w:spacing w:line="259" w:lineRule="auto"/>
              <w:rPr>
                <w:rFonts w:cstheme="minorHAnsi"/>
                <w:sz w:val="24"/>
                <w:szCs w:val="24"/>
              </w:rPr>
            </w:pPr>
            <w:r w:rsidRPr="00805EE8">
              <w:rPr>
                <w:rFonts w:cstheme="minorHAnsi"/>
                <w:sz w:val="24"/>
                <w:szCs w:val="24"/>
              </w:rPr>
              <w:t>.26</w:t>
            </w:r>
          </w:p>
        </w:tc>
      </w:tr>
      <w:tr w:rsidR="00805EE8" w:rsidRPr="00805EE8" w14:paraId="27AD8176" w14:textId="77777777" w:rsidTr="00606AB6">
        <w:trPr>
          <w:trHeight w:val="180"/>
        </w:trPr>
        <w:tc>
          <w:tcPr>
            <w:tcW w:w="0" w:type="auto"/>
          </w:tcPr>
          <w:p w14:paraId="4BE09A9A"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Intimacy</w:t>
            </w:r>
          </w:p>
        </w:tc>
        <w:tc>
          <w:tcPr>
            <w:tcW w:w="0" w:type="auto"/>
          </w:tcPr>
          <w:p w14:paraId="0297E003"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Social Justice</w:t>
            </w:r>
          </w:p>
        </w:tc>
        <w:tc>
          <w:tcPr>
            <w:tcW w:w="0" w:type="auto"/>
          </w:tcPr>
          <w:p w14:paraId="1779934E" w14:textId="77777777" w:rsidR="00805EE8" w:rsidRPr="00805EE8" w:rsidRDefault="00805EE8" w:rsidP="00805EE8">
            <w:pPr>
              <w:spacing w:line="259" w:lineRule="auto"/>
              <w:rPr>
                <w:rFonts w:cstheme="minorHAnsi"/>
                <w:sz w:val="24"/>
                <w:szCs w:val="24"/>
              </w:rPr>
            </w:pPr>
            <w:r w:rsidRPr="00805EE8">
              <w:rPr>
                <w:rFonts w:cstheme="minorHAnsi"/>
                <w:sz w:val="24"/>
                <w:szCs w:val="24"/>
              </w:rPr>
              <w:t>.29</w:t>
            </w:r>
          </w:p>
        </w:tc>
        <w:tc>
          <w:tcPr>
            <w:tcW w:w="0" w:type="auto"/>
          </w:tcPr>
          <w:p w14:paraId="2E14E45E" w14:textId="77777777" w:rsidR="00805EE8" w:rsidRPr="00805EE8" w:rsidRDefault="00805EE8" w:rsidP="00805EE8">
            <w:pPr>
              <w:spacing w:line="259" w:lineRule="auto"/>
              <w:rPr>
                <w:rFonts w:cstheme="minorHAnsi"/>
                <w:sz w:val="24"/>
                <w:szCs w:val="24"/>
              </w:rPr>
            </w:pPr>
            <w:r w:rsidRPr="00805EE8">
              <w:rPr>
                <w:rFonts w:cstheme="minorHAnsi"/>
                <w:sz w:val="24"/>
                <w:szCs w:val="24"/>
              </w:rPr>
              <w:t>.11</w:t>
            </w:r>
          </w:p>
        </w:tc>
        <w:tc>
          <w:tcPr>
            <w:tcW w:w="0" w:type="auto"/>
          </w:tcPr>
          <w:p w14:paraId="7289AA22" w14:textId="77777777" w:rsidR="00805EE8" w:rsidRPr="00805EE8" w:rsidRDefault="00805EE8" w:rsidP="00805EE8">
            <w:pPr>
              <w:spacing w:line="259" w:lineRule="auto"/>
              <w:rPr>
                <w:rFonts w:cstheme="minorHAnsi"/>
                <w:sz w:val="24"/>
                <w:szCs w:val="24"/>
              </w:rPr>
            </w:pPr>
            <w:r w:rsidRPr="00805EE8">
              <w:rPr>
                <w:rFonts w:cstheme="minorHAnsi"/>
                <w:sz w:val="24"/>
                <w:szCs w:val="24"/>
              </w:rPr>
              <w:t>2.71</w:t>
            </w:r>
          </w:p>
        </w:tc>
        <w:tc>
          <w:tcPr>
            <w:tcW w:w="0" w:type="auto"/>
          </w:tcPr>
          <w:p w14:paraId="2650DF34" w14:textId="77777777" w:rsidR="00805EE8" w:rsidRPr="00805EE8" w:rsidRDefault="00805EE8" w:rsidP="00805EE8">
            <w:pPr>
              <w:spacing w:line="259" w:lineRule="auto"/>
              <w:rPr>
                <w:rFonts w:cstheme="minorHAnsi"/>
                <w:sz w:val="24"/>
                <w:szCs w:val="24"/>
              </w:rPr>
            </w:pPr>
            <w:r w:rsidRPr="00805EE8">
              <w:rPr>
                <w:rFonts w:cstheme="minorHAnsi"/>
                <w:sz w:val="24"/>
                <w:szCs w:val="24"/>
              </w:rPr>
              <w:t>.01</w:t>
            </w:r>
          </w:p>
        </w:tc>
        <w:tc>
          <w:tcPr>
            <w:tcW w:w="0" w:type="auto"/>
          </w:tcPr>
          <w:p w14:paraId="078F8351" w14:textId="77777777" w:rsidR="00805EE8" w:rsidRPr="00805EE8" w:rsidRDefault="00805EE8" w:rsidP="00805EE8">
            <w:pPr>
              <w:spacing w:line="259" w:lineRule="auto"/>
              <w:rPr>
                <w:rFonts w:cstheme="minorHAnsi"/>
                <w:sz w:val="24"/>
                <w:szCs w:val="24"/>
              </w:rPr>
            </w:pPr>
            <w:r w:rsidRPr="00805EE8">
              <w:rPr>
                <w:rFonts w:cstheme="minorHAnsi"/>
                <w:sz w:val="24"/>
                <w:szCs w:val="24"/>
              </w:rPr>
              <w:t>.20</w:t>
            </w:r>
          </w:p>
        </w:tc>
      </w:tr>
      <w:tr w:rsidR="00805EE8" w:rsidRPr="00805EE8" w14:paraId="427DEB4E" w14:textId="77777777" w:rsidTr="00606AB6">
        <w:trPr>
          <w:trHeight w:val="180"/>
        </w:trPr>
        <w:tc>
          <w:tcPr>
            <w:tcW w:w="0" w:type="auto"/>
          </w:tcPr>
          <w:p w14:paraId="464C46D6"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Social Justice</w:t>
            </w:r>
          </w:p>
        </w:tc>
        <w:tc>
          <w:tcPr>
            <w:tcW w:w="0" w:type="auto"/>
          </w:tcPr>
          <w:p w14:paraId="774657B4" w14:textId="77777777" w:rsidR="00805EE8" w:rsidRPr="00805EE8" w:rsidRDefault="00805EE8" w:rsidP="00805EE8">
            <w:pPr>
              <w:spacing w:line="259" w:lineRule="auto"/>
              <w:rPr>
                <w:rFonts w:cstheme="minorHAnsi"/>
                <w:sz w:val="24"/>
                <w:szCs w:val="24"/>
              </w:rPr>
            </w:pPr>
            <w:r w:rsidRPr="00805EE8">
              <w:rPr>
                <w:rFonts w:cstheme="minorHAnsi"/>
                <w:sz w:val="24"/>
                <w:szCs w:val="24"/>
              </w:rPr>
              <w:t>MEIM</w:t>
            </w:r>
          </w:p>
        </w:tc>
        <w:tc>
          <w:tcPr>
            <w:tcW w:w="0" w:type="auto"/>
          </w:tcPr>
          <w:p w14:paraId="609F9E08" w14:textId="77777777" w:rsidR="00805EE8" w:rsidRPr="00805EE8" w:rsidRDefault="00805EE8" w:rsidP="00805EE8">
            <w:pPr>
              <w:spacing w:line="259" w:lineRule="auto"/>
              <w:rPr>
                <w:rFonts w:cstheme="minorHAnsi"/>
                <w:sz w:val="24"/>
                <w:szCs w:val="24"/>
              </w:rPr>
            </w:pPr>
            <w:r w:rsidRPr="00805EE8">
              <w:rPr>
                <w:rFonts w:cstheme="minorHAnsi"/>
                <w:sz w:val="24"/>
                <w:szCs w:val="24"/>
              </w:rPr>
              <w:t>.20</w:t>
            </w:r>
          </w:p>
        </w:tc>
        <w:tc>
          <w:tcPr>
            <w:tcW w:w="0" w:type="auto"/>
          </w:tcPr>
          <w:p w14:paraId="667E8CAB" w14:textId="77777777" w:rsidR="00805EE8" w:rsidRPr="00805EE8" w:rsidRDefault="00805EE8" w:rsidP="00805EE8">
            <w:pPr>
              <w:spacing w:line="259" w:lineRule="auto"/>
              <w:rPr>
                <w:rFonts w:cstheme="minorHAnsi"/>
                <w:sz w:val="24"/>
                <w:szCs w:val="24"/>
              </w:rPr>
            </w:pPr>
            <w:r w:rsidRPr="00805EE8">
              <w:rPr>
                <w:rFonts w:cstheme="minorHAnsi"/>
                <w:sz w:val="24"/>
                <w:szCs w:val="24"/>
              </w:rPr>
              <w:t>.06</w:t>
            </w:r>
          </w:p>
        </w:tc>
        <w:tc>
          <w:tcPr>
            <w:tcW w:w="0" w:type="auto"/>
          </w:tcPr>
          <w:p w14:paraId="1FE76E50" w14:textId="77777777" w:rsidR="00805EE8" w:rsidRPr="00805EE8" w:rsidRDefault="00805EE8" w:rsidP="00805EE8">
            <w:pPr>
              <w:spacing w:line="259" w:lineRule="auto"/>
              <w:rPr>
                <w:rFonts w:cstheme="minorHAnsi"/>
                <w:sz w:val="24"/>
                <w:szCs w:val="24"/>
              </w:rPr>
            </w:pPr>
            <w:r w:rsidRPr="00805EE8">
              <w:rPr>
                <w:rFonts w:cstheme="minorHAnsi"/>
                <w:sz w:val="24"/>
                <w:szCs w:val="24"/>
              </w:rPr>
              <w:t>3.37</w:t>
            </w:r>
          </w:p>
        </w:tc>
        <w:tc>
          <w:tcPr>
            <w:tcW w:w="0" w:type="auto"/>
          </w:tcPr>
          <w:p w14:paraId="0C7FC603"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CDC177E" w14:textId="77777777" w:rsidR="00805EE8" w:rsidRPr="00805EE8" w:rsidRDefault="00805EE8" w:rsidP="00805EE8">
            <w:pPr>
              <w:spacing w:line="259" w:lineRule="auto"/>
              <w:rPr>
                <w:rFonts w:cstheme="minorHAnsi"/>
                <w:sz w:val="24"/>
                <w:szCs w:val="24"/>
              </w:rPr>
            </w:pPr>
            <w:r w:rsidRPr="00805EE8">
              <w:rPr>
                <w:rFonts w:cstheme="minorHAnsi"/>
                <w:sz w:val="24"/>
                <w:szCs w:val="24"/>
              </w:rPr>
              <w:t>.47</w:t>
            </w:r>
          </w:p>
        </w:tc>
      </w:tr>
      <w:tr w:rsidR="00805EE8" w:rsidRPr="00805EE8" w14:paraId="48A7E0ED" w14:textId="77777777" w:rsidTr="00606AB6">
        <w:trPr>
          <w:trHeight w:val="177"/>
        </w:trPr>
        <w:tc>
          <w:tcPr>
            <w:tcW w:w="0" w:type="auto"/>
          </w:tcPr>
          <w:p w14:paraId="73B8E174" w14:textId="77777777" w:rsidR="00805EE8" w:rsidRPr="00805EE8" w:rsidRDefault="00805EE8" w:rsidP="00805EE8">
            <w:pPr>
              <w:spacing w:line="259" w:lineRule="auto"/>
              <w:rPr>
                <w:rFonts w:cstheme="minorHAnsi"/>
                <w:sz w:val="24"/>
                <w:szCs w:val="24"/>
              </w:rPr>
            </w:pPr>
            <w:r w:rsidRPr="00805EE8">
              <w:rPr>
                <w:rFonts w:cstheme="minorHAnsi"/>
                <w:sz w:val="24"/>
                <w:szCs w:val="24"/>
              </w:rPr>
              <w:t>MSPSS</w:t>
            </w:r>
          </w:p>
        </w:tc>
        <w:tc>
          <w:tcPr>
            <w:tcW w:w="0" w:type="auto"/>
          </w:tcPr>
          <w:p w14:paraId="16AE2258" w14:textId="77777777" w:rsidR="00805EE8" w:rsidRPr="00805EE8" w:rsidRDefault="00805EE8" w:rsidP="00805EE8">
            <w:pPr>
              <w:spacing w:line="259" w:lineRule="auto"/>
              <w:rPr>
                <w:rFonts w:cstheme="minorHAnsi"/>
                <w:sz w:val="24"/>
                <w:szCs w:val="24"/>
              </w:rPr>
            </w:pPr>
            <w:r w:rsidRPr="00805EE8">
              <w:rPr>
                <w:rFonts w:cstheme="minorHAnsi"/>
                <w:sz w:val="24"/>
                <w:szCs w:val="24"/>
              </w:rPr>
              <w:t>BRS</w:t>
            </w:r>
          </w:p>
        </w:tc>
        <w:tc>
          <w:tcPr>
            <w:tcW w:w="0" w:type="auto"/>
          </w:tcPr>
          <w:p w14:paraId="31683F8B" w14:textId="77777777" w:rsidR="00805EE8" w:rsidRPr="00805EE8" w:rsidRDefault="00805EE8" w:rsidP="00805EE8">
            <w:pPr>
              <w:spacing w:line="259" w:lineRule="auto"/>
              <w:rPr>
                <w:rFonts w:cstheme="minorHAnsi"/>
                <w:sz w:val="24"/>
                <w:szCs w:val="24"/>
              </w:rPr>
            </w:pPr>
            <w:r w:rsidRPr="00805EE8">
              <w:rPr>
                <w:rFonts w:cstheme="minorHAnsi"/>
                <w:sz w:val="24"/>
                <w:szCs w:val="24"/>
              </w:rPr>
              <w:t>.24</w:t>
            </w:r>
          </w:p>
        </w:tc>
        <w:tc>
          <w:tcPr>
            <w:tcW w:w="0" w:type="auto"/>
          </w:tcPr>
          <w:p w14:paraId="075A8C78" w14:textId="77777777" w:rsidR="00805EE8" w:rsidRPr="00805EE8" w:rsidRDefault="00805EE8" w:rsidP="00805EE8">
            <w:pPr>
              <w:spacing w:line="259" w:lineRule="auto"/>
              <w:rPr>
                <w:rFonts w:cstheme="minorHAnsi"/>
                <w:sz w:val="24"/>
                <w:szCs w:val="24"/>
              </w:rPr>
            </w:pPr>
            <w:r w:rsidRPr="00805EE8">
              <w:rPr>
                <w:rFonts w:cstheme="minorHAnsi"/>
                <w:sz w:val="24"/>
                <w:szCs w:val="24"/>
              </w:rPr>
              <w:t>.07</w:t>
            </w:r>
          </w:p>
        </w:tc>
        <w:tc>
          <w:tcPr>
            <w:tcW w:w="0" w:type="auto"/>
          </w:tcPr>
          <w:p w14:paraId="37CB8A52" w14:textId="77777777" w:rsidR="00805EE8" w:rsidRPr="00805EE8" w:rsidRDefault="00805EE8" w:rsidP="00805EE8">
            <w:pPr>
              <w:spacing w:line="259" w:lineRule="auto"/>
              <w:rPr>
                <w:rFonts w:cstheme="minorHAnsi"/>
                <w:sz w:val="24"/>
                <w:szCs w:val="24"/>
              </w:rPr>
            </w:pPr>
            <w:r w:rsidRPr="00805EE8">
              <w:rPr>
                <w:rFonts w:cstheme="minorHAnsi"/>
                <w:sz w:val="24"/>
                <w:szCs w:val="24"/>
              </w:rPr>
              <w:t>3.46</w:t>
            </w:r>
          </w:p>
        </w:tc>
        <w:tc>
          <w:tcPr>
            <w:tcW w:w="0" w:type="auto"/>
          </w:tcPr>
          <w:p w14:paraId="16864482"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37FEE51A" w14:textId="77777777" w:rsidR="00805EE8" w:rsidRPr="00805EE8" w:rsidRDefault="00805EE8" w:rsidP="00805EE8">
            <w:pPr>
              <w:spacing w:line="259" w:lineRule="auto"/>
              <w:rPr>
                <w:rFonts w:cstheme="minorHAnsi"/>
                <w:sz w:val="24"/>
                <w:szCs w:val="24"/>
              </w:rPr>
            </w:pPr>
            <w:r w:rsidRPr="00805EE8">
              <w:rPr>
                <w:rFonts w:cstheme="minorHAnsi"/>
                <w:sz w:val="24"/>
                <w:szCs w:val="24"/>
              </w:rPr>
              <w:t>.23</w:t>
            </w:r>
          </w:p>
        </w:tc>
      </w:tr>
      <w:tr w:rsidR="00805EE8" w:rsidRPr="00805EE8" w14:paraId="306375C8" w14:textId="77777777" w:rsidTr="00606AB6">
        <w:trPr>
          <w:trHeight w:val="182"/>
        </w:trPr>
        <w:tc>
          <w:tcPr>
            <w:tcW w:w="0" w:type="auto"/>
          </w:tcPr>
          <w:p w14:paraId="6B6CACB3" w14:textId="77777777" w:rsidR="00805EE8" w:rsidRPr="00805EE8" w:rsidRDefault="00805EE8" w:rsidP="00805EE8">
            <w:pPr>
              <w:spacing w:line="259" w:lineRule="auto"/>
              <w:rPr>
                <w:rFonts w:cstheme="minorHAnsi"/>
                <w:b/>
                <w:bCs/>
                <w:sz w:val="24"/>
                <w:szCs w:val="24"/>
              </w:rPr>
            </w:pPr>
            <w:r w:rsidRPr="00805EE8">
              <w:rPr>
                <w:rFonts w:cstheme="minorHAnsi"/>
                <w:b/>
                <w:bCs/>
                <w:sz w:val="24"/>
                <w:szCs w:val="24"/>
                <w:u w:val="single"/>
              </w:rPr>
              <w:t>Error Estimates</w:t>
            </w:r>
          </w:p>
        </w:tc>
        <w:tc>
          <w:tcPr>
            <w:tcW w:w="0" w:type="auto"/>
          </w:tcPr>
          <w:p w14:paraId="432A4F9B" w14:textId="77777777" w:rsidR="00805EE8" w:rsidRPr="00805EE8" w:rsidRDefault="00805EE8" w:rsidP="00805EE8">
            <w:pPr>
              <w:spacing w:line="259" w:lineRule="auto"/>
              <w:rPr>
                <w:rFonts w:cstheme="minorHAnsi"/>
                <w:sz w:val="24"/>
                <w:szCs w:val="24"/>
              </w:rPr>
            </w:pPr>
          </w:p>
        </w:tc>
        <w:tc>
          <w:tcPr>
            <w:tcW w:w="0" w:type="auto"/>
          </w:tcPr>
          <w:p w14:paraId="493CBB75" w14:textId="77777777" w:rsidR="00805EE8" w:rsidRPr="00805EE8" w:rsidRDefault="00805EE8" w:rsidP="00805EE8">
            <w:pPr>
              <w:spacing w:line="259" w:lineRule="auto"/>
              <w:rPr>
                <w:rFonts w:cstheme="minorHAnsi"/>
                <w:sz w:val="24"/>
                <w:szCs w:val="24"/>
              </w:rPr>
            </w:pPr>
          </w:p>
        </w:tc>
        <w:tc>
          <w:tcPr>
            <w:tcW w:w="0" w:type="auto"/>
          </w:tcPr>
          <w:p w14:paraId="39F062A7" w14:textId="77777777" w:rsidR="00805EE8" w:rsidRPr="00805EE8" w:rsidRDefault="00805EE8" w:rsidP="00805EE8">
            <w:pPr>
              <w:spacing w:line="259" w:lineRule="auto"/>
              <w:rPr>
                <w:rFonts w:cstheme="minorHAnsi"/>
                <w:sz w:val="24"/>
                <w:szCs w:val="24"/>
              </w:rPr>
            </w:pPr>
          </w:p>
        </w:tc>
        <w:tc>
          <w:tcPr>
            <w:tcW w:w="0" w:type="auto"/>
          </w:tcPr>
          <w:p w14:paraId="560570C4" w14:textId="77777777" w:rsidR="00805EE8" w:rsidRPr="00805EE8" w:rsidRDefault="00805EE8" w:rsidP="00805EE8">
            <w:pPr>
              <w:spacing w:line="259" w:lineRule="auto"/>
              <w:rPr>
                <w:rFonts w:cstheme="minorHAnsi"/>
                <w:sz w:val="24"/>
                <w:szCs w:val="24"/>
              </w:rPr>
            </w:pPr>
          </w:p>
        </w:tc>
        <w:tc>
          <w:tcPr>
            <w:tcW w:w="0" w:type="auto"/>
          </w:tcPr>
          <w:p w14:paraId="29C3EFB6" w14:textId="77777777" w:rsidR="00805EE8" w:rsidRPr="00805EE8" w:rsidRDefault="00805EE8" w:rsidP="00805EE8">
            <w:pPr>
              <w:spacing w:line="259" w:lineRule="auto"/>
              <w:rPr>
                <w:rFonts w:cstheme="minorHAnsi"/>
                <w:sz w:val="24"/>
                <w:szCs w:val="24"/>
              </w:rPr>
            </w:pPr>
          </w:p>
        </w:tc>
        <w:tc>
          <w:tcPr>
            <w:tcW w:w="0" w:type="auto"/>
          </w:tcPr>
          <w:p w14:paraId="5CCFF128" w14:textId="77777777" w:rsidR="00805EE8" w:rsidRPr="00805EE8" w:rsidRDefault="00805EE8" w:rsidP="00805EE8">
            <w:pPr>
              <w:spacing w:line="259" w:lineRule="auto"/>
              <w:rPr>
                <w:rFonts w:cstheme="minorHAnsi"/>
                <w:sz w:val="24"/>
                <w:szCs w:val="24"/>
              </w:rPr>
            </w:pPr>
          </w:p>
        </w:tc>
      </w:tr>
      <w:tr w:rsidR="00805EE8" w:rsidRPr="00805EE8" w14:paraId="509542E5" w14:textId="77777777" w:rsidTr="00606AB6">
        <w:trPr>
          <w:trHeight w:val="180"/>
        </w:trPr>
        <w:tc>
          <w:tcPr>
            <w:tcW w:w="0" w:type="auto"/>
          </w:tcPr>
          <w:p w14:paraId="72AA42DC" w14:textId="77777777" w:rsidR="00805EE8" w:rsidRPr="00805EE8" w:rsidRDefault="00805EE8" w:rsidP="00805EE8">
            <w:pPr>
              <w:spacing w:line="259" w:lineRule="auto"/>
              <w:rPr>
                <w:rFonts w:cstheme="minorHAnsi"/>
                <w:sz w:val="24"/>
                <w:szCs w:val="24"/>
              </w:rPr>
            </w:pPr>
            <w:r w:rsidRPr="00805EE8">
              <w:rPr>
                <w:rFonts w:cstheme="minorHAnsi"/>
                <w:sz w:val="24"/>
                <w:szCs w:val="24"/>
              </w:rPr>
              <w:t>MHC-SF - Emotional Well-Being</w:t>
            </w:r>
          </w:p>
        </w:tc>
        <w:tc>
          <w:tcPr>
            <w:tcW w:w="0" w:type="auto"/>
          </w:tcPr>
          <w:p w14:paraId="08D3DD86" w14:textId="77777777" w:rsidR="00805EE8" w:rsidRPr="00805EE8" w:rsidRDefault="00805EE8" w:rsidP="00805EE8">
            <w:pPr>
              <w:spacing w:line="259" w:lineRule="auto"/>
              <w:rPr>
                <w:rFonts w:cstheme="minorHAnsi"/>
                <w:sz w:val="24"/>
                <w:szCs w:val="24"/>
              </w:rPr>
            </w:pPr>
          </w:p>
        </w:tc>
        <w:tc>
          <w:tcPr>
            <w:tcW w:w="0" w:type="auto"/>
          </w:tcPr>
          <w:p w14:paraId="42E60ADD" w14:textId="77777777" w:rsidR="00805EE8" w:rsidRPr="00805EE8" w:rsidRDefault="00805EE8" w:rsidP="00805EE8">
            <w:pPr>
              <w:spacing w:line="259" w:lineRule="auto"/>
              <w:rPr>
                <w:rFonts w:cstheme="minorHAnsi"/>
                <w:sz w:val="24"/>
                <w:szCs w:val="24"/>
              </w:rPr>
            </w:pPr>
            <w:r w:rsidRPr="00805EE8">
              <w:rPr>
                <w:rFonts w:cstheme="minorHAnsi"/>
                <w:sz w:val="24"/>
                <w:szCs w:val="24"/>
              </w:rPr>
              <w:t>.38</w:t>
            </w:r>
          </w:p>
        </w:tc>
        <w:tc>
          <w:tcPr>
            <w:tcW w:w="0" w:type="auto"/>
          </w:tcPr>
          <w:p w14:paraId="0E3B8812" w14:textId="77777777" w:rsidR="00805EE8" w:rsidRPr="00805EE8" w:rsidRDefault="00805EE8" w:rsidP="00805EE8">
            <w:pPr>
              <w:spacing w:line="259" w:lineRule="auto"/>
              <w:rPr>
                <w:rFonts w:cstheme="minorHAnsi"/>
                <w:sz w:val="24"/>
                <w:szCs w:val="24"/>
              </w:rPr>
            </w:pPr>
            <w:r w:rsidRPr="00805EE8">
              <w:rPr>
                <w:rFonts w:cstheme="minorHAnsi"/>
                <w:sz w:val="24"/>
                <w:szCs w:val="24"/>
              </w:rPr>
              <w:t>.05</w:t>
            </w:r>
          </w:p>
        </w:tc>
        <w:tc>
          <w:tcPr>
            <w:tcW w:w="0" w:type="auto"/>
          </w:tcPr>
          <w:p w14:paraId="1CDFCE78" w14:textId="77777777" w:rsidR="00805EE8" w:rsidRPr="00805EE8" w:rsidRDefault="00805EE8" w:rsidP="00805EE8">
            <w:pPr>
              <w:spacing w:line="259" w:lineRule="auto"/>
              <w:rPr>
                <w:rFonts w:cstheme="minorHAnsi"/>
                <w:sz w:val="24"/>
                <w:szCs w:val="24"/>
              </w:rPr>
            </w:pPr>
            <w:r w:rsidRPr="00805EE8">
              <w:rPr>
                <w:rFonts w:cstheme="minorHAnsi"/>
                <w:sz w:val="24"/>
                <w:szCs w:val="24"/>
              </w:rPr>
              <w:t>7.67</w:t>
            </w:r>
          </w:p>
        </w:tc>
        <w:tc>
          <w:tcPr>
            <w:tcW w:w="0" w:type="auto"/>
          </w:tcPr>
          <w:p w14:paraId="51008059"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B48BD5C" w14:textId="77777777" w:rsidR="00805EE8" w:rsidRPr="00805EE8" w:rsidRDefault="00805EE8" w:rsidP="00805EE8">
            <w:pPr>
              <w:spacing w:line="259" w:lineRule="auto"/>
              <w:rPr>
                <w:rFonts w:cstheme="minorHAnsi"/>
                <w:sz w:val="24"/>
                <w:szCs w:val="24"/>
              </w:rPr>
            </w:pPr>
            <w:r w:rsidRPr="00805EE8">
              <w:rPr>
                <w:rFonts w:cstheme="minorHAnsi"/>
                <w:sz w:val="24"/>
                <w:szCs w:val="24"/>
              </w:rPr>
              <w:t>.31</w:t>
            </w:r>
          </w:p>
        </w:tc>
      </w:tr>
      <w:tr w:rsidR="00805EE8" w:rsidRPr="00805EE8" w14:paraId="55CFAE3D" w14:textId="77777777" w:rsidTr="00606AB6">
        <w:trPr>
          <w:trHeight w:val="180"/>
        </w:trPr>
        <w:tc>
          <w:tcPr>
            <w:tcW w:w="0" w:type="auto"/>
          </w:tcPr>
          <w:p w14:paraId="0934282E" w14:textId="77777777" w:rsidR="00805EE8" w:rsidRPr="00805EE8" w:rsidRDefault="00805EE8" w:rsidP="00805EE8">
            <w:pPr>
              <w:spacing w:line="259" w:lineRule="auto"/>
              <w:rPr>
                <w:rFonts w:cstheme="minorHAnsi"/>
                <w:sz w:val="24"/>
                <w:szCs w:val="24"/>
              </w:rPr>
            </w:pPr>
            <w:r w:rsidRPr="00805EE8">
              <w:rPr>
                <w:rFonts w:cstheme="minorHAnsi"/>
                <w:sz w:val="24"/>
                <w:szCs w:val="24"/>
              </w:rPr>
              <w:t>MHC-SF - Social Well-Being</w:t>
            </w:r>
          </w:p>
        </w:tc>
        <w:tc>
          <w:tcPr>
            <w:tcW w:w="0" w:type="auto"/>
          </w:tcPr>
          <w:p w14:paraId="30F63026" w14:textId="77777777" w:rsidR="00805EE8" w:rsidRPr="00805EE8" w:rsidRDefault="00805EE8" w:rsidP="00805EE8">
            <w:pPr>
              <w:spacing w:line="259" w:lineRule="auto"/>
              <w:rPr>
                <w:rFonts w:cstheme="minorHAnsi"/>
                <w:sz w:val="24"/>
                <w:szCs w:val="24"/>
              </w:rPr>
            </w:pPr>
          </w:p>
        </w:tc>
        <w:tc>
          <w:tcPr>
            <w:tcW w:w="0" w:type="auto"/>
          </w:tcPr>
          <w:p w14:paraId="6FA1E78F" w14:textId="77777777" w:rsidR="00805EE8" w:rsidRPr="00805EE8" w:rsidRDefault="00805EE8" w:rsidP="00805EE8">
            <w:pPr>
              <w:spacing w:line="259" w:lineRule="auto"/>
              <w:rPr>
                <w:rFonts w:cstheme="minorHAnsi"/>
                <w:sz w:val="24"/>
                <w:szCs w:val="24"/>
              </w:rPr>
            </w:pPr>
            <w:r w:rsidRPr="00805EE8">
              <w:rPr>
                <w:rFonts w:cstheme="minorHAnsi"/>
                <w:sz w:val="24"/>
                <w:szCs w:val="24"/>
              </w:rPr>
              <w:t>.50</w:t>
            </w:r>
          </w:p>
        </w:tc>
        <w:tc>
          <w:tcPr>
            <w:tcW w:w="0" w:type="auto"/>
          </w:tcPr>
          <w:p w14:paraId="313D5D46" w14:textId="77777777" w:rsidR="00805EE8" w:rsidRPr="00805EE8" w:rsidRDefault="00805EE8" w:rsidP="00805EE8">
            <w:pPr>
              <w:spacing w:line="259" w:lineRule="auto"/>
              <w:rPr>
                <w:rFonts w:cstheme="minorHAnsi"/>
                <w:sz w:val="24"/>
                <w:szCs w:val="24"/>
              </w:rPr>
            </w:pPr>
            <w:r w:rsidRPr="00805EE8">
              <w:rPr>
                <w:rFonts w:cstheme="minorHAnsi"/>
                <w:sz w:val="24"/>
                <w:szCs w:val="24"/>
              </w:rPr>
              <w:t>.05</w:t>
            </w:r>
          </w:p>
        </w:tc>
        <w:tc>
          <w:tcPr>
            <w:tcW w:w="0" w:type="auto"/>
          </w:tcPr>
          <w:p w14:paraId="1A3017E1" w14:textId="77777777" w:rsidR="00805EE8" w:rsidRPr="00805EE8" w:rsidRDefault="00805EE8" w:rsidP="00805EE8">
            <w:pPr>
              <w:spacing w:line="259" w:lineRule="auto"/>
              <w:rPr>
                <w:rFonts w:cstheme="minorHAnsi"/>
                <w:sz w:val="24"/>
                <w:szCs w:val="24"/>
              </w:rPr>
            </w:pPr>
            <w:r w:rsidRPr="00805EE8">
              <w:rPr>
                <w:rFonts w:cstheme="minorHAnsi"/>
                <w:sz w:val="24"/>
                <w:szCs w:val="24"/>
              </w:rPr>
              <w:t>9.54</w:t>
            </w:r>
          </w:p>
        </w:tc>
        <w:tc>
          <w:tcPr>
            <w:tcW w:w="0" w:type="auto"/>
          </w:tcPr>
          <w:p w14:paraId="4210D739"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B1D804C" w14:textId="77777777" w:rsidR="00805EE8" w:rsidRPr="00805EE8" w:rsidRDefault="00805EE8" w:rsidP="00805EE8">
            <w:pPr>
              <w:spacing w:line="259" w:lineRule="auto"/>
              <w:rPr>
                <w:rFonts w:cstheme="minorHAnsi"/>
                <w:sz w:val="24"/>
                <w:szCs w:val="24"/>
              </w:rPr>
            </w:pPr>
            <w:r w:rsidRPr="00805EE8">
              <w:rPr>
                <w:rFonts w:cstheme="minorHAnsi"/>
                <w:sz w:val="24"/>
                <w:szCs w:val="24"/>
              </w:rPr>
              <w:t>.43</w:t>
            </w:r>
          </w:p>
        </w:tc>
      </w:tr>
      <w:tr w:rsidR="00805EE8" w:rsidRPr="00805EE8" w14:paraId="25E07888" w14:textId="77777777" w:rsidTr="00606AB6">
        <w:trPr>
          <w:trHeight w:val="180"/>
        </w:trPr>
        <w:tc>
          <w:tcPr>
            <w:tcW w:w="0" w:type="auto"/>
          </w:tcPr>
          <w:p w14:paraId="1B5C30B4" w14:textId="77777777" w:rsidR="00805EE8" w:rsidRPr="00805EE8" w:rsidRDefault="00805EE8" w:rsidP="00805EE8">
            <w:pPr>
              <w:spacing w:line="259" w:lineRule="auto"/>
              <w:rPr>
                <w:rFonts w:cstheme="minorHAnsi"/>
                <w:sz w:val="24"/>
                <w:szCs w:val="24"/>
              </w:rPr>
            </w:pPr>
            <w:r w:rsidRPr="00805EE8">
              <w:rPr>
                <w:rFonts w:cstheme="minorHAnsi"/>
                <w:sz w:val="24"/>
                <w:szCs w:val="24"/>
              </w:rPr>
              <w:t>MHC-SF - Psychological Well-Being</w:t>
            </w:r>
          </w:p>
        </w:tc>
        <w:tc>
          <w:tcPr>
            <w:tcW w:w="0" w:type="auto"/>
          </w:tcPr>
          <w:p w14:paraId="3AC53B5D" w14:textId="77777777" w:rsidR="00805EE8" w:rsidRPr="00805EE8" w:rsidRDefault="00805EE8" w:rsidP="00805EE8">
            <w:pPr>
              <w:spacing w:line="259" w:lineRule="auto"/>
              <w:rPr>
                <w:rFonts w:cstheme="minorHAnsi"/>
                <w:sz w:val="24"/>
                <w:szCs w:val="24"/>
              </w:rPr>
            </w:pPr>
          </w:p>
        </w:tc>
        <w:tc>
          <w:tcPr>
            <w:tcW w:w="0" w:type="auto"/>
          </w:tcPr>
          <w:p w14:paraId="3B832DAF" w14:textId="77777777" w:rsidR="00805EE8" w:rsidRPr="00805EE8" w:rsidRDefault="00805EE8" w:rsidP="00805EE8">
            <w:pPr>
              <w:spacing w:line="259" w:lineRule="auto"/>
              <w:rPr>
                <w:rFonts w:cstheme="minorHAnsi"/>
                <w:sz w:val="24"/>
                <w:szCs w:val="24"/>
              </w:rPr>
            </w:pPr>
            <w:r w:rsidRPr="00805EE8">
              <w:rPr>
                <w:rFonts w:cstheme="minorHAnsi"/>
                <w:sz w:val="24"/>
                <w:szCs w:val="24"/>
              </w:rPr>
              <w:t>.25</w:t>
            </w:r>
          </w:p>
        </w:tc>
        <w:tc>
          <w:tcPr>
            <w:tcW w:w="0" w:type="auto"/>
          </w:tcPr>
          <w:p w14:paraId="327C76AE" w14:textId="77777777" w:rsidR="00805EE8" w:rsidRPr="00805EE8" w:rsidRDefault="00805EE8" w:rsidP="00805EE8">
            <w:pPr>
              <w:spacing w:line="259" w:lineRule="auto"/>
              <w:rPr>
                <w:rFonts w:cstheme="minorHAnsi"/>
                <w:sz w:val="24"/>
                <w:szCs w:val="24"/>
              </w:rPr>
            </w:pPr>
            <w:r w:rsidRPr="00805EE8">
              <w:rPr>
                <w:rFonts w:cstheme="minorHAnsi"/>
                <w:sz w:val="24"/>
                <w:szCs w:val="24"/>
              </w:rPr>
              <w:t>.04</w:t>
            </w:r>
          </w:p>
        </w:tc>
        <w:tc>
          <w:tcPr>
            <w:tcW w:w="0" w:type="auto"/>
          </w:tcPr>
          <w:p w14:paraId="6BE1BE76" w14:textId="77777777" w:rsidR="00805EE8" w:rsidRPr="00805EE8" w:rsidRDefault="00805EE8" w:rsidP="00805EE8">
            <w:pPr>
              <w:spacing w:line="259" w:lineRule="auto"/>
              <w:rPr>
                <w:rFonts w:cstheme="minorHAnsi"/>
                <w:sz w:val="24"/>
                <w:szCs w:val="24"/>
              </w:rPr>
            </w:pPr>
            <w:r w:rsidRPr="00805EE8">
              <w:rPr>
                <w:rFonts w:cstheme="minorHAnsi"/>
                <w:sz w:val="24"/>
                <w:szCs w:val="24"/>
              </w:rPr>
              <w:t>6.21</w:t>
            </w:r>
          </w:p>
        </w:tc>
        <w:tc>
          <w:tcPr>
            <w:tcW w:w="0" w:type="auto"/>
          </w:tcPr>
          <w:p w14:paraId="4E54991F"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E83159A" w14:textId="77777777" w:rsidR="00805EE8" w:rsidRPr="00805EE8" w:rsidRDefault="00805EE8" w:rsidP="00805EE8">
            <w:pPr>
              <w:spacing w:line="259" w:lineRule="auto"/>
              <w:rPr>
                <w:rFonts w:cstheme="minorHAnsi"/>
                <w:sz w:val="24"/>
                <w:szCs w:val="24"/>
              </w:rPr>
            </w:pPr>
            <w:r w:rsidRPr="00805EE8">
              <w:rPr>
                <w:rFonts w:cstheme="minorHAnsi"/>
                <w:sz w:val="24"/>
                <w:szCs w:val="24"/>
              </w:rPr>
              <w:t>.21</w:t>
            </w:r>
          </w:p>
        </w:tc>
      </w:tr>
      <w:tr w:rsidR="00805EE8" w:rsidRPr="00805EE8" w14:paraId="6FD88EE0" w14:textId="77777777" w:rsidTr="00606AB6">
        <w:trPr>
          <w:trHeight w:val="180"/>
        </w:trPr>
        <w:tc>
          <w:tcPr>
            <w:tcW w:w="0" w:type="auto"/>
          </w:tcPr>
          <w:p w14:paraId="2F7CCD1A" w14:textId="77777777" w:rsidR="00805EE8" w:rsidRPr="00805EE8" w:rsidRDefault="00805EE8" w:rsidP="00805EE8">
            <w:pPr>
              <w:spacing w:line="259" w:lineRule="auto"/>
              <w:rPr>
                <w:rFonts w:cstheme="minorHAnsi"/>
                <w:sz w:val="24"/>
                <w:szCs w:val="24"/>
              </w:rPr>
            </w:pPr>
            <w:r w:rsidRPr="00805EE8">
              <w:rPr>
                <w:rFonts w:cstheme="minorHAnsi"/>
                <w:sz w:val="24"/>
                <w:szCs w:val="24"/>
              </w:rPr>
              <w:t>LGBIS-Concealment Motivations</w:t>
            </w:r>
          </w:p>
        </w:tc>
        <w:tc>
          <w:tcPr>
            <w:tcW w:w="0" w:type="auto"/>
          </w:tcPr>
          <w:p w14:paraId="61D53429" w14:textId="77777777" w:rsidR="00805EE8" w:rsidRPr="00805EE8" w:rsidRDefault="00805EE8" w:rsidP="00805EE8">
            <w:pPr>
              <w:spacing w:line="259" w:lineRule="auto"/>
              <w:rPr>
                <w:rFonts w:cstheme="minorHAnsi"/>
                <w:sz w:val="24"/>
                <w:szCs w:val="24"/>
              </w:rPr>
            </w:pPr>
          </w:p>
        </w:tc>
        <w:tc>
          <w:tcPr>
            <w:tcW w:w="0" w:type="auto"/>
          </w:tcPr>
          <w:p w14:paraId="4B3F014E" w14:textId="77777777" w:rsidR="00805EE8" w:rsidRPr="00805EE8" w:rsidRDefault="00805EE8" w:rsidP="00805EE8">
            <w:pPr>
              <w:spacing w:line="259" w:lineRule="auto"/>
              <w:rPr>
                <w:rFonts w:cstheme="minorHAnsi"/>
                <w:sz w:val="24"/>
                <w:szCs w:val="24"/>
              </w:rPr>
            </w:pPr>
            <w:r w:rsidRPr="00805EE8">
              <w:rPr>
                <w:rFonts w:cstheme="minorHAnsi"/>
                <w:sz w:val="24"/>
                <w:szCs w:val="24"/>
              </w:rPr>
              <w:t>1.36</w:t>
            </w:r>
          </w:p>
        </w:tc>
        <w:tc>
          <w:tcPr>
            <w:tcW w:w="0" w:type="auto"/>
          </w:tcPr>
          <w:p w14:paraId="4B21E334" w14:textId="77777777" w:rsidR="00805EE8" w:rsidRPr="00805EE8" w:rsidRDefault="00805EE8" w:rsidP="00805EE8">
            <w:pPr>
              <w:spacing w:line="259" w:lineRule="auto"/>
              <w:rPr>
                <w:rFonts w:cstheme="minorHAnsi"/>
                <w:sz w:val="24"/>
                <w:szCs w:val="24"/>
              </w:rPr>
            </w:pPr>
            <w:r w:rsidRPr="00805EE8">
              <w:rPr>
                <w:rFonts w:cstheme="minorHAnsi"/>
                <w:sz w:val="24"/>
                <w:szCs w:val="24"/>
              </w:rPr>
              <w:t>.19</w:t>
            </w:r>
          </w:p>
        </w:tc>
        <w:tc>
          <w:tcPr>
            <w:tcW w:w="0" w:type="auto"/>
          </w:tcPr>
          <w:p w14:paraId="6E1621DF" w14:textId="77777777" w:rsidR="00805EE8" w:rsidRPr="00805EE8" w:rsidRDefault="00805EE8" w:rsidP="00805EE8">
            <w:pPr>
              <w:spacing w:line="259" w:lineRule="auto"/>
              <w:rPr>
                <w:rFonts w:cstheme="minorHAnsi"/>
                <w:sz w:val="24"/>
                <w:szCs w:val="24"/>
              </w:rPr>
            </w:pPr>
            <w:r w:rsidRPr="00805EE8">
              <w:rPr>
                <w:rFonts w:cstheme="minorHAnsi"/>
                <w:sz w:val="24"/>
                <w:szCs w:val="24"/>
              </w:rPr>
              <w:t>7.08</w:t>
            </w:r>
          </w:p>
        </w:tc>
        <w:tc>
          <w:tcPr>
            <w:tcW w:w="0" w:type="auto"/>
          </w:tcPr>
          <w:p w14:paraId="621E5C00"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41BC4CBC" w14:textId="77777777" w:rsidR="00805EE8" w:rsidRPr="00805EE8" w:rsidRDefault="00805EE8" w:rsidP="00805EE8">
            <w:pPr>
              <w:spacing w:line="259" w:lineRule="auto"/>
              <w:rPr>
                <w:rFonts w:cstheme="minorHAnsi"/>
                <w:sz w:val="24"/>
                <w:szCs w:val="24"/>
              </w:rPr>
            </w:pPr>
            <w:r w:rsidRPr="00805EE8">
              <w:rPr>
                <w:rFonts w:cstheme="minorHAnsi"/>
                <w:sz w:val="24"/>
                <w:szCs w:val="24"/>
              </w:rPr>
              <w:t>.68</w:t>
            </w:r>
          </w:p>
        </w:tc>
      </w:tr>
      <w:tr w:rsidR="00805EE8" w:rsidRPr="00805EE8" w14:paraId="0BA30634" w14:textId="77777777" w:rsidTr="00606AB6">
        <w:trPr>
          <w:trHeight w:val="180"/>
        </w:trPr>
        <w:tc>
          <w:tcPr>
            <w:tcW w:w="0" w:type="auto"/>
          </w:tcPr>
          <w:p w14:paraId="61EE2B9F" w14:textId="77777777" w:rsidR="00805EE8" w:rsidRPr="00805EE8" w:rsidRDefault="00805EE8" w:rsidP="00805EE8">
            <w:pPr>
              <w:spacing w:line="259" w:lineRule="auto"/>
              <w:rPr>
                <w:rFonts w:cstheme="minorHAnsi"/>
                <w:sz w:val="24"/>
                <w:szCs w:val="24"/>
              </w:rPr>
            </w:pPr>
            <w:r w:rsidRPr="00805EE8">
              <w:rPr>
                <w:rFonts w:cstheme="minorHAnsi"/>
                <w:sz w:val="24"/>
                <w:szCs w:val="24"/>
              </w:rPr>
              <w:t>LGBIS-Internalized Homonegativity</w:t>
            </w:r>
          </w:p>
        </w:tc>
        <w:tc>
          <w:tcPr>
            <w:tcW w:w="0" w:type="auto"/>
          </w:tcPr>
          <w:p w14:paraId="090C6388" w14:textId="77777777" w:rsidR="00805EE8" w:rsidRPr="00805EE8" w:rsidRDefault="00805EE8" w:rsidP="00805EE8">
            <w:pPr>
              <w:spacing w:line="259" w:lineRule="auto"/>
              <w:rPr>
                <w:rFonts w:cstheme="minorHAnsi"/>
                <w:sz w:val="24"/>
                <w:szCs w:val="24"/>
              </w:rPr>
            </w:pPr>
          </w:p>
        </w:tc>
        <w:tc>
          <w:tcPr>
            <w:tcW w:w="0" w:type="auto"/>
          </w:tcPr>
          <w:p w14:paraId="3B531A0B" w14:textId="77777777" w:rsidR="00805EE8" w:rsidRPr="00805EE8" w:rsidRDefault="00805EE8" w:rsidP="00805EE8">
            <w:pPr>
              <w:spacing w:line="259" w:lineRule="auto"/>
              <w:rPr>
                <w:rFonts w:cstheme="minorHAnsi"/>
                <w:sz w:val="24"/>
                <w:szCs w:val="24"/>
              </w:rPr>
            </w:pPr>
            <w:r w:rsidRPr="00805EE8">
              <w:rPr>
                <w:rFonts w:cstheme="minorHAnsi"/>
                <w:sz w:val="24"/>
                <w:szCs w:val="24"/>
              </w:rPr>
              <w:t>.97</w:t>
            </w:r>
          </w:p>
        </w:tc>
        <w:tc>
          <w:tcPr>
            <w:tcW w:w="0" w:type="auto"/>
          </w:tcPr>
          <w:p w14:paraId="7E1AF654" w14:textId="77777777" w:rsidR="00805EE8" w:rsidRPr="00805EE8" w:rsidRDefault="00805EE8" w:rsidP="00805EE8">
            <w:pPr>
              <w:spacing w:line="259" w:lineRule="auto"/>
              <w:rPr>
                <w:rFonts w:cstheme="minorHAnsi"/>
                <w:sz w:val="24"/>
                <w:szCs w:val="24"/>
              </w:rPr>
            </w:pPr>
            <w:r w:rsidRPr="00805EE8">
              <w:rPr>
                <w:rFonts w:cstheme="minorHAnsi"/>
                <w:sz w:val="24"/>
                <w:szCs w:val="24"/>
              </w:rPr>
              <w:t>.12</w:t>
            </w:r>
          </w:p>
        </w:tc>
        <w:tc>
          <w:tcPr>
            <w:tcW w:w="0" w:type="auto"/>
          </w:tcPr>
          <w:p w14:paraId="6B68E8A7" w14:textId="77777777" w:rsidR="00805EE8" w:rsidRPr="00805EE8" w:rsidRDefault="00805EE8" w:rsidP="00805EE8">
            <w:pPr>
              <w:spacing w:line="259" w:lineRule="auto"/>
              <w:rPr>
                <w:rFonts w:cstheme="minorHAnsi"/>
                <w:sz w:val="24"/>
                <w:szCs w:val="24"/>
              </w:rPr>
            </w:pPr>
            <w:r w:rsidRPr="00805EE8">
              <w:rPr>
                <w:rFonts w:cstheme="minorHAnsi"/>
                <w:sz w:val="24"/>
                <w:szCs w:val="24"/>
              </w:rPr>
              <w:t>8.01</w:t>
            </w:r>
          </w:p>
        </w:tc>
        <w:tc>
          <w:tcPr>
            <w:tcW w:w="0" w:type="auto"/>
          </w:tcPr>
          <w:p w14:paraId="32B23D7D"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7AEDB0C2" w14:textId="77777777" w:rsidR="00805EE8" w:rsidRPr="00805EE8" w:rsidRDefault="00805EE8" w:rsidP="00805EE8">
            <w:pPr>
              <w:spacing w:line="259" w:lineRule="auto"/>
              <w:rPr>
                <w:rFonts w:cstheme="minorHAnsi"/>
                <w:sz w:val="24"/>
                <w:szCs w:val="24"/>
              </w:rPr>
            </w:pPr>
            <w:r w:rsidRPr="00805EE8">
              <w:rPr>
                <w:rFonts w:cstheme="minorHAnsi"/>
                <w:sz w:val="24"/>
                <w:szCs w:val="24"/>
              </w:rPr>
              <w:t>.78</w:t>
            </w:r>
          </w:p>
        </w:tc>
      </w:tr>
      <w:tr w:rsidR="00805EE8" w:rsidRPr="00805EE8" w14:paraId="601EA591" w14:textId="77777777" w:rsidTr="00606AB6">
        <w:trPr>
          <w:trHeight w:val="180"/>
        </w:trPr>
        <w:tc>
          <w:tcPr>
            <w:tcW w:w="0" w:type="auto"/>
          </w:tcPr>
          <w:p w14:paraId="0831B8F5"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Self - Awareness</w:t>
            </w:r>
          </w:p>
        </w:tc>
        <w:tc>
          <w:tcPr>
            <w:tcW w:w="0" w:type="auto"/>
          </w:tcPr>
          <w:p w14:paraId="76914E17" w14:textId="77777777" w:rsidR="00805EE8" w:rsidRPr="00805EE8" w:rsidRDefault="00805EE8" w:rsidP="00805EE8">
            <w:pPr>
              <w:spacing w:line="259" w:lineRule="auto"/>
              <w:rPr>
                <w:rFonts w:cstheme="minorHAnsi"/>
                <w:sz w:val="24"/>
                <w:szCs w:val="24"/>
              </w:rPr>
            </w:pPr>
          </w:p>
        </w:tc>
        <w:tc>
          <w:tcPr>
            <w:tcW w:w="0" w:type="auto"/>
          </w:tcPr>
          <w:p w14:paraId="3F6DC64F" w14:textId="77777777" w:rsidR="00805EE8" w:rsidRPr="00805EE8" w:rsidRDefault="00805EE8" w:rsidP="00805EE8">
            <w:pPr>
              <w:spacing w:line="259" w:lineRule="auto"/>
              <w:rPr>
                <w:rFonts w:cstheme="minorHAnsi"/>
                <w:sz w:val="24"/>
                <w:szCs w:val="24"/>
              </w:rPr>
            </w:pPr>
            <w:r w:rsidRPr="00805EE8">
              <w:rPr>
                <w:rFonts w:cstheme="minorHAnsi"/>
                <w:sz w:val="24"/>
                <w:szCs w:val="24"/>
              </w:rPr>
              <w:t>1.36</w:t>
            </w:r>
          </w:p>
        </w:tc>
        <w:tc>
          <w:tcPr>
            <w:tcW w:w="0" w:type="auto"/>
          </w:tcPr>
          <w:p w14:paraId="715DAB93" w14:textId="77777777" w:rsidR="00805EE8" w:rsidRPr="00805EE8" w:rsidRDefault="00805EE8" w:rsidP="00805EE8">
            <w:pPr>
              <w:spacing w:line="259" w:lineRule="auto"/>
              <w:rPr>
                <w:rFonts w:cstheme="minorHAnsi"/>
                <w:sz w:val="24"/>
                <w:szCs w:val="24"/>
              </w:rPr>
            </w:pPr>
            <w:r w:rsidRPr="00805EE8">
              <w:rPr>
                <w:rFonts w:cstheme="minorHAnsi"/>
                <w:sz w:val="24"/>
                <w:szCs w:val="24"/>
              </w:rPr>
              <w:t>.14</w:t>
            </w:r>
          </w:p>
        </w:tc>
        <w:tc>
          <w:tcPr>
            <w:tcW w:w="0" w:type="auto"/>
          </w:tcPr>
          <w:p w14:paraId="318C0F4E" w14:textId="77777777" w:rsidR="00805EE8" w:rsidRPr="00805EE8" w:rsidRDefault="00805EE8" w:rsidP="00805EE8">
            <w:pPr>
              <w:spacing w:line="259" w:lineRule="auto"/>
              <w:rPr>
                <w:rFonts w:cstheme="minorHAnsi"/>
                <w:sz w:val="24"/>
                <w:szCs w:val="24"/>
              </w:rPr>
            </w:pPr>
            <w:r w:rsidRPr="00805EE8">
              <w:rPr>
                <w:rFonts w:cstheme="minorHAnsi"/>
                <w:sz w:val="24"/>
                <w:szCs w:val="24"/>
              </w:rPr>
              <w:t>9.88</w:t>
            </w:r>
          </w:p>
        </w:tc>
        <w:tc>
          <w:tcPr>
            <w:tcW w:w="0" w:type="auto"/>
          </w:tcPr>
          <w:p w14:paraId="6533E233"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279A794" w14:textId="77777777" w:rsidR="00805EE8" w:rsidRPr="00805EE8" w:rsidRDefault="00805EE8" w:rsidP="00805EE8">
            <w:pPr>
              <w:spacing w:line="259" w:lineRule="auto"/>
              <w:rPr>
                <w:rFonts w:cstheme="minorHAnsi"/>
                <w:sz w:val="24"/>
                <w:szCs w:val="24"/>
              </w:rPr>
            </w:pPr>
            <w:r w:rsidRPr="00805EE8">
              <w:rPr>
                <w:rFonts w:cstheme="minorHAnsi"/>
                <w:sz w:val="24"/>
                <w:szCs w:val="24"/>
              </w:rPr>
              <w:t>.56</w:t>
            </w:r>
          </w:p>
        </w:tc>
      </w:tr>
      <w:tr w:rsidR="00805EE8" w:rsidRPr="00805EE8" w14:paraId="1916FF4A" w14:textId="77777777" w:rsidTr="00606AB6">
        <w:trPr>
          <w:trHeight w:val="180"/>
        </w:trPr>
        <w:tc>
          <w:tcPr>
            <w:tcW w:w="0" w:type="auto"/>
          </w:tcPr>
          <w:p w14:paraId="12C28C7C"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Intimacy</w:t>
            </w:r>
          </w:p>
        </w:tc>
        <w:tc>
          <w:tcPr>
            <w:tcW w:w="0" w:type="auto"/>
          </w:tcPr>
          <w:p w14:paraId="4C943E99" w14:textId="77777777" w:rsidR="00805EE8" w:rsidRPr="00805EE8" w:rsidRDefault="00805EE8" w:rsidP="00805EE8">
            <w:pPr>
              <w:spacing w:line="259" w:lineRule="auto"/>
              <w:rPr>
                <w:rFonts w:cstheme="minorHAnsi"/>
                <w:sz w:val="24"/>
                <w:szCs w:val="24"/>
              </w:rPr>
            </w:pPr>
          </w:p>
        </w:tc>
        <w:tc>
          <w:tcPr>
            <w:tcW w:w="0" w:type="auto"/>
          </w:tcPr>
          <w:p w14:paraId="6E324D58" w14:textId="77777777" w:rsidR="00805EE8" w:rsidRPr="00805EE8" w:rsidRDefault="00805EE8" w:rsidP="00805EE8">
            <w:pPr>
              <w:spacing w:line="259" w:lineRule="auto"/>
              <w:rPr>
                <w:rFonts w:cstheme="minorHAnsi"/>
                <w:sz w:val="24"/>
                <w:szCs w:val="24"/>
              </w:rPr>
            </w:pPr>
            <w:r w:rsidRPr="00805EE8">
              <w:rPr>
                <w:rFonts w:cstheme="minorHAnsi"/>
                <w:sz w:val="24"/>
                <w:szCs w:val="24"/>
              </w:rPr>
              <w:t>1.19</w:t>
            </w:r>
          </w:p>
        </w:tc>
        <w:tc>
          <w:tcPr>
            <w:tcW w:w="0" w:type="auto"/>
          </w:tcPr>
          <w:p w14:paraId="1ACE1A0A" w14:textId="77777777" w:rsidR="00805EE8" w:rsidRPr="00805EE8" w:rsidRDefault="00805EE8" w:rsidP="00805EE8">
            <w:pPr>
              <w:spacing w:line="259" w:lineRule="auto"/>
              <w:rPr>
                <w:rFonts w:cstheme="minorHAnsi"/>
                <w:sz w:val="24"/>
                <w:szCs w:val="24"/>
              </w:rPr>
            </w:pPr>
            <w:r w:rsidRPr="00805EE8">
              <w:rPr>
                <w:rFonts w:cstheme="minorHAnsi"/>
                <w:sz w:val="24"/>
                <w:szCs w:val="24"/>
              </w:rPr>
              <w:t>.12</w:t>
            </w:r>
          </w:p>
        </w:tc>
        <w:tc>
          <w:tcPr>
            <w:tcW w:w="0" w:type="auto"/>
          </w:tcPr>
          <w:p w14:paraId="6FC9A8DA" w14:textId="77777777" w:rsidR="00805EE8" w:rsidRPr="00805EE8" w:rsidRDefault="00805EE8" w:rsidP="00805EE8">
            <w:pPr>
              <w:spacing w:line="259" w:lineRule="auto"/>
              <w:rPr>
                <w:rFonts w:cstheme="minorHAnsi"/>
                <w:sz w:val="24"/>
                <w:szCs w:val="24"/>
              </w:rPr>
            </w:pPr>
            <w:r w:rsidRPr="00805EE8">
              <w:rPr>
                <w:rFonts w:cstheme="minorHAnsi"/>
                <w:sz w:val="24"/>
                <w:szCs w:val="24"/>
              </w:rPr>
              <w:t>9.58</w:t>
            </w:r>
          </w:p>
        </w:tc>
        <w:tc>
          <w:tcPr>
            <w:tcW w:w="0" w:type="auto"/>
          </w:tcPr>
          <w:p w14:paraId="265FAE61"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3FB18A64" w14:textId="77777777" w:rsidR="00805EE8" w:rsidRPr="00805EE8" w:rsidRDefault="00805EE8" w:rsidP="00805EE8">
            <w:pPr>
              <w:spacing w:line="259" w:lineRule="auto"/>
              <w:rPr>
                <w:rFonts w:cstheme="minorHAnsi"/>
                <w:sz w:val="24"/>
                <w:szCs w:val="24"/>
              </w:rPr>
            </w:pPr>
            <w:r w:rsidRPr="00805EE8">
              <w:rPr>
                <w:rFonts w:cstheme="minorHAnsi"/>
                <w:sz w:val="24"/>
                <w:szCs w:val="24"/>
              </w:rPr>
              <w:t>.66</w:t>
            </w:r>
          </w:p>
        </w:tc>
      </w:tr>
      <w:tr w:rsidR="00805EE8" w:rsidRPr="00805EE8" w14:paraId="0B96B007" w14:textId="77777777" w:rsidTr="00606AB6">
        <w:trPr>
          <w:trHeight w:val="180"/>
        </w:trPr>
        <w:tc>
          <w:tcPr>
            <w:tcW w:w="0" w:type="auto"/>
          </w:tcPr>
          <w:p w14:paraId="224C6F02"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Community</w:t>
            </w:r>
          </w:p>
        </w:tc>
        <w:tc>
          <w:tcPr>
            <w:tcW w:w="0" w:type="auto"/>
          </w:tcPr>
          <w:p w14:paraId="694B713F" w14:textId="77777777" w:rsidR="00805EE8" w:rsidRPr="00805EE8" w:rsidRDefault="00805EE8" w:rsidP="00805EE8">
            <w:pPr>
              <w:spacing w:line="259" w:lineRule="auto"/>
              <w:rPr>
                <w:rFonts w:cstheme="minorHAnsi"/>
                <w:sz w:val="24"/>
                <w:szCs w:val="24"/>
              </w:rPr>
            </w:pPr>
          </w:p>
        </w:tc>
        <w:tc>
          <w:tcPr>
            <w:tcW w:w="0" w:type="auto"/>
          </w:tcPr>
          <w:p w14:paraId="0E446FB5" w14:textId="77777777" w:rsidR="00805EE8" w:rsidRPr="00805EE8" w:rsidRDefault="00805EE8" w:rsidP="00805EE8">
            <w:pPr>
              <w:spacing w:line="259" w:lineRule="auto"/>
              <w:rPr>
                <w:rFonts w:cstheme="minorHAnsi"/>
                <w:sz w:val="24"/>
                <w:szCs w:val="24"/>
              </w:rPr>
            </w:pPr>
            <w:r w:rsidRPr="00805EE8">
              <w:rPr>
                <w:rFonts w:cstheme="minorHAnsi"/>
                <w:sz w:val="24"/>
                <w:szCs w:val="24"/>
              </w:rPr>
              <w:t>.80</w:t>
            </w:r>
          </w:p>
        </w:tc>
        <w:tc>
          <w:tcPr>
            <w:tcW w:w="0" w:type="auto"/>
          </w:tcPr>
          <w:p w14:paraId="727E22DB" w14:textId="77777777" w:rsidR="00805EE8" w:rsidRPr="00805EE8" w:rsidRDefault="00805EE8" w:rsidP="00805EE8">
            <w:pPr>
              <w:spacing w:line="259" w:lineRule="auto"/>
              <w:rPr>
                <w:rFonts w:cstheme="minorHAnsi"/>
                <w:sz w:val="24"/>
                <w:szCs w:val="24"/>
              </w:rPr>
            </w:pPr>
            <w:r w:rsidRPr="00805EE8">
              <w:rPr>
                <w:rFonts w:cstheme="minorHAnsi"/>
                <w:sz w:val="24"/>
                <w:szCs w:val="24"/>
              </w:rPr>
              <w:t>.11</w:t>
            </w:r>
          </w:p>
        </w:tc>
        <w:tc>
          <w:tcPr>
            <w:tcW w:w="0" w:type="auto"/>
          </w:tcPr>
          <w:p w14:paraId="6C0C1CEC" w14:textId="77777777" w:rsidR="00805EE8" w:rsidRPr="00805EE8" w:rsidRDefault="00805EE8" w:rsidP="00805EE8">
            <w:pPr>
              <w:spacing w:line="259" w:lineRule="auto"/>
              <w:rPr>
                <w:rFonts w:cstheme="minorHAnsi"/>
                <w:sz w:val="24"/>
                <w:szCs w:val="24"/>
              </w:rPr>
            </w:pPr>
            <w:r w:rsidRPr="00805EE8">
              <w:rPr>
                <w:rFonts w:cstheme="minorHAnsi"/>
                <w:sz w:val="24"/>
                <w:szCs w:val="24"/>
              </w:rPr>
              <w:t>7.61</w:t>
            </w:r>
          </w:p>
        </w:tc>
        <w:tc>
          <w:tcPr>
            <w:tcW w:w="0" w:type="auto"/>
          </w:tcPr>
          <w:p w14:paraId="27BE8332"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52BBD993" w14:textId="77777777" w:rsidR="00805EE8" w:rsidRPr="00805EE8" w:rsidRDefault="00805EE8" w:rsidP="00805EE8">
            <w:pPr>
              <w:spacing w:line="259" w:lineRule="auto"/>
              <w:rPr>
                <w:rFonts w:cstheme="minorHAnsi"/>
                <w:sz w:val="24"/>
                <w:szCs w:val="24"/>
              </w:rPr>
            </w:pPr>
            <w:r w:rsidRPr="00805EE8">
              <w:rPr>
                <w:rFonts w:cstheme="minorHAnsi"/>
                <w:sz w:val="24"/>
                <w:szCs w:val="24"/>
              </w:rPr>
              <w:t>.39</w:t>
            </w:r>
          </w:p>
        </w:tc>
      </w:tr>
      <w:tr w:rsidR="00805EE8" w:rsidRPr="00805EE8" w14:paraId="59073045" w14:textId="77777777" w:rsidTr="00606AB6">
        <w:trPr>
          <w:trHeight w:val="180"/>
        </w:trPr>
        <w:tc>
          <w:tcPr>
            <w:tcW w:w="0" w:type="auto"/>
          </w:tcPr>
          <w:p w14:paraId="2EEBA4EE" w14:textId="77777777" w:rsidR="00805EE8" w:rsidRPr="00805EE8" w:rsidRDefault="00805EE8" w:rsidP="00805EE8">
            <w:pPr>
              <w:spacing w:line="259" w:lineRule="auto"/>
              <w:rPr>
                <w:rFonts w:cstheme="minorHAnsi"/>
                <w:sz w:val="24"/>
                <w:szCs w:val="24"/>
              </w:rPr>
            </w:pPr>
            <w:r w:rsidRPr="00805EE8">
              <w:rPr>
                <w:rFonts w:cstheme="minorHAnsi"/>
                <w:sz w:val="24"/>
                <w:szCs w:val="24"/>
              </w:rPr>
              <w:t>LGB-PIM Social Justice</w:t>
            </w:r>
          </w:p>
        </w:tc>
        <w:tc>
          <w:tcPr>
            <w:tcW w:w="0" w:type="auto"/>
          </w:tcPr>
          <w:p w14:paraId="212314A1" w14:textId="77777777" w:rsidR="00805EE8" w:rsidRPr="00805EE8" w:rsidRDefault="00805EE8" w:rsidP="00805EE8">
            <w:pPr>
              <w:spacing w:line="259" w:lineRule="auto"/>
              <w:rPr>
                <w:rFonts w:cstheme="minorHAnsi"/>
                <w:sz w:val="24"/>
                <w:szCs w:val="24"/>
              </w:rPr>
            </w:pPr>
          </w:p>
        </w:tc>
        <w:tc>
          <w:tcPr>
            <w:tcW w:w="0" w:type="auto"/>
          </w:tcPr>
          <w:p w14:paraId="59DB39FB" w14:textId="77777777" w:rsidR="00805EE8" w:rsidRPr="00805EE8" w:rsidRDefault="00805EE8" w:rsidP="00805EE8">
            <w:pPr>
              <w:spacing w:line="259" w:lineRule="auto"/>
              <w:rPr>
                <w:rFonts w:cstheme="minorHAnsi"/>
                <w:sz w:val="24"/>
                <w:szCs w:val="24"/>
              </w:rPr>
            </w:pPr>
            <w:r w:rsidRPr="00805EE8">
              <w:rPr>
                <w:rFonts w:cstheme="minorHAnsi"/>
                <w:sz w:val="24"/>
                <w:szCs w:val="24"/>
              </w:rPr>
              <w:t>1.73</w:t>
            </w:r>
          </w:p>
        </w:tc>
        <w:tc>
          <w:tcPr>
            <w:tcW w:w="0" w:type="auto"/>
          </w:tcPr>
          <w:p w14:paraId="4A4C35B0" w14:textId="77777777" w:rsidR="00805EE8" w:rsidRPr="00805EE8" w:rsidRDefault="00805EE8" w:rsidP="00805EE8">
            <w:pPr>
              <w:spacing w:line="259" w:lineRule="auto"/>
              <w:rPr>
                <w:rFonts w:cstheme="minorHAnsi"/>
                <w:sz w:val="24"/>
                <w:szCs w:val="24"/>
              </w:rPr>
            </w:pPr>
            <w:r w:rsidRPr="00805EE8">
              <w:rPr>
                <w:rFonts w:cstheme="minorHAnsi"/>
                <w:sz w:val="24"/>
                <w:szCs w:val="24"/>
              </w:rPr>
              <w:t>.16</w:t>
            </w:r>
          </w:p>
        </w:tc>
        <w:tc>
          <w:tcPr>
            <w:tcW w:w="0" w:type="auto"/>
          </w:tcPr>
          <w:p w14:paraId="68B4832B" w14:textId="77777777" w:rsidR="00805EE8" w:rsidRPr="00805EE8" w:rsidRDefault="00805EE8" w:rsidP="00805EE8">
            <w:pPr>
              <w:spacing w:line="259" w:lineRule="auto"/>
              <w:rPr>
                <w:rFonts w:cstheme="minorHAnsi"/>
                <w:sz w:val="24"/>
                <w:szCs w:val="24"/>
              </w:rPr>
            </w:pPr>
            <w:r w:rsidRPr="00805EE8">
              <w:rPr>
                <w:rFonts w:cstheme="minorHAnsi"/>
                <w:sz w:val="24"/>
                <w:szCs w:val="24"/>
              </w:rPr>
              <w:t>10.68</w:t>
            </w:r>
          </w:p>
        </w:tc>
        <w:tc>
          <w:tcPr>
            <w:tcW w:w="0" w:type="auto"/>
          </w:tcPr>
          <w:p w14:paraId="7018E77A"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067531E1" w14:textId="77777777" w:rsidR="00805EE8" w:rsidRPr="00805EE8" w:rsidRDefault="00805EE8" w:rsidP="00805EE8">
            <w:pPr>
              <w:spacing w:line="259" w:lineRule="auto"/>
              <w:rPr>
                <w:rFonts w:cstheme="minorHAnsi"/>
                <w:sz w:val="24"/>
                <w:szCs w:val="24"/>
              </w:rPr>
            </w:pPr>
            <w:r w:rsidRPr="00805EE8">
              <w:rPr>
                <w:rFonts w:cstheme="minorHAnsi"/>
                <w:sz w:val="24"/>
                <w:szCs w:val="24"/>
              </w:rPr>
              <w:t>.75</w:t>
            </w:r>
          </w:p>
        </w:tc>
      </w:tr>
      <w:tr w:rsidR="00805EE8" w:rsidRPr="00805EE8" w14:paraId="2DED0F2F" w14:textId="77777777" w:rsidTr="00606AB6">
        <w:trPr>
          <w:trHeight w:val="180"/>
        </w:trPr>
        <w:tc>
          <w:tcPr>
            <w:tcW w:w="0" w:type="auto"/>
          </w:tcPr>
          <w:p w14:paraId="03D3B55D" w14:textId="77777777" w:rsidR="00805EE8" w:rsidRPr="00805EE8" w:rsidRDefault="00805EE8" w:rsidP="00805EE8">
            <w:pPr>
              <w:spacing w:line="259" w:lineRule="auto"/>
              <w:rPr>
                <w:rFonts w:cstheme="minorHAnsi"/>
                <w:sz w:val="24"/>
                <w:szCs w:val="24"/>
              </w:rPr>
            </w:pPr>
            <w:r w:rsidRPr="00805EE8">
              <w:rPr>
                <w:rFonts w:cstheme="minorHAnsi"/>
                <w:sz w:val="24"/>
                <w:szCs w:val="24"/>
              </w:rPr>
              <w:t>MEIM</w:t>
            </w:r>
          </w:p>
        </w:tc>
        <w:tc>
          <w:tcPr>
            <w:tcW w:w="0" w:type="auto"/>
          </w:tcPr>
          <w:p w14:paraId="6BE172A5" w14:textId="77777777" w:rsidR="00805EE8" w:rsidRPr="00805EE8" w:rsidRDefault="00805EE8" w:rsidP="00805EE8">
            <w:pPr>
              <w:spacing w:line="259" w:lineRule="auto"/>
              <w:rPr>
                <w:rFonts w:cstheme="minorHAnsi"/>
                <w:sz w:val="24"/>
                <w:szCs w:val="24"/>
              </w:rPr>
            </w:pPr>
          </w:p>
        </w:tc>
        <w:tc>
          <w:tcPr>
            <w:tcW w:w="0" w:type="auto"/>
          </w:tcPr>
          <w:p w14:paraId="42F8172E" w14:textId="77777777" w:rsidR="00805EE8" w:rsidRPr="00805EE8" w:rsidRDefault="00805EE8" w:rsidP="00805EE8">
            <w:pPr>
              <w:spacing w:line="259" w:lineRule="auto"/>
              <w:rPr>
                <w:rFonts w:cstheme="minorHAnsi"/>
                <w:sz w:val="24"/>
                <w:szCs w:val="24"/>
              </w:rPr>
            </w:pPr>
            <w:r w:rsidRPr="00805EE8">
              <w:rPr>
                <w:rFonts w:cstheme="minorHAnsi"/>
                <w:sz w:val="24"/>
                <w:szCs w:val="24"/>
              </w:rPr>
              <w:t>.11</w:t>
            </w:r>
          </w:p>
        </w:tc>
        <w:tc>
          <w:tcPr>
            <w:tcW w:w="0" w:type="auto"/>
          </w:tcPr>
          <w:p w14:paraId="429E27A3" w14:textId="77777777" w:rsidR="00805EE8" w:rsidRPr="00805EE8" w:rsidRDefault="00805EE8" w:rsidP="00805EE8">
            <w:pPr>
              <w:spacing w:line="259" w:lineRule="auto"/>
              <w:rPr>
                <w:rFonts w:cstheme="minorHAnsi"/>
                <w:sz w:val="24"/>
                <w:szCs w:val="24"/>
              </w:rPr>
            </w:pPr>
            <w:r w:rsidRPr="00805EE8">
              <w:rPr>
                <w:rFonts w:cstheme="minorHAnsi"/>
                <w:sz w:val="24"/>
                <w:szCs w:val="24"/>
              </w:rPr>
              <w:t>.05</w:t>
            </w:r>
          </w:p>
        </w:tc>
        <w:tc>
          <w:tcPr>
            <w:tcW w:w="0" w:type="auto"/>
          </w:tcPr>
          <w:p w14:paraId="48636F95" w14:textId="77777777" w:rsidR="00805EE8" w:rsidRPr="00805EE8" w:rsidRDefault="00805EE8" w:rsidP="00805EE8">
            <w:pPr>
              <w:spacing w:line="259" w:lineRule="auto"/>
              <w:rPr>
                <w:rFonts w:cstheme="minorHAnsi"/>
                <w:sz w:val="24"/>
                <w:szCs w:val="24"/>
              </w:rPr>
            </w:pPr>
            <w:r w:rsidRPr="00805EE8">
              <w:rPr>
                <w:rFonts w:cstheme="minorHAnsi"/>
                <w:sz w:val="24"/>
                <w:szCs w:val="24"/>
              </w:rPr>
              <w:t>2.25</w:t>
            </w:r>
          </w:p>
        </w:tc>
        <w:tc>
          <w:tcPr>
            <w:tcW w:w="0" w:type="auto"/>
          </w:tcPr>
          <w:p w14:paraId="29BC7907" w14:textId="77777777" w:rsidR="00805EE8" w:rsidRPr="00805EE8" w:rsidRDefault="00805EE8" w:rsidP="00805EE8">
            <w:pPr>
              <w:spacing w:line="259" w:lineRule="auto"/>
              <w:rPr>
                <w:rFonts w:cstheme="minorHAnsi"/>
                <w:sz w:val="24"/>
                <w:szCs w:val="24"/>
              </w:rPr>
            </w:pPr>
            <w:r w:rsidRPr="00805EE8">
              <w:rPr>
                <w:rFonts w:cstheme="minorHAnsi"/>
                <w:sz w:val="24"/>
                <w:szCs w:val="24"/>
              </w:rPr>
              <w:t>.02</w:t>
            </w:r>
          </w:p>
        </w:tc>
        <w:tc>
          <w:tcPr>
            <w:tcW w:w="0" w:type="auto"/>
          </w:tcPr>
          <w:p w14:paraId="3E7BC979" w14:textId="77777777" w:rsidR="00805EE8" w:rsidRPr="00805EE8" w:rsidRDefault="00805EE8" w:rsidP="00805EE8">
            <w:pPr>
              <w:spacing w:line="259" w:lineRule="auto"/>
              <w:rPr>
                <w:rFonts w:cstheme="minorHAnsi"/>
                <w:sz w:val="24"/>
                <w:szCs w:val="24"/>
              </w:rPr>
            </w:pPr>
            <w:r w:rsidRPr="00805EE8">
              <w:rPr>
                <w:rFonts w:cstheme="minorHAnsi"/>
                <w:sz w:val="24"/>
                <w:szCs w:val="24"/>
              </w:rPr>
              <w:t>.12</w:t>
            </w:r>
          </w:p>
        </w:tc>
      </w:tr>
      <w:tr w:rsidR="00805EE8" w:rsidRPr="00805EE8" w14:paraId="51C8C08D" w14:textId="77777777" w:rsidTr="00606AB6">
        <w:trPr>
          <w:trHeight w:val="180"/>
        </w:trPr>
        <w:tc>
          <w:tcPr>
            <w:tcW w:w="0" w:type="auto"/>
          </w:tcPr>
          <w:p w14:paraId="7A6C4AF3" w14:textId="77777777" w:rsidR="00805EE8" w:rsidRPr="00805EE8" w:rsidRDefault="00805EE8" w:rsidP="00805EE8">
            <w:pPr>
              <w:spacing w:line="259" w:lineRule="auto"/>
              <w:rPr>
                <w:rFonts w:cstheme="minorHAnsi"/>
                <w:sz w:val="24"/>
                <w:szCs w:val="24"/>
              </w:rPr>
            </w:pPr>
            <w:r w:rsidRPr="00805EE8">
              <w:rPr>
                <w:rFonts w:cstheme="minorHAnsi"/>
                <w:sz w:val="24"/>
                <w:szCs w:val="24"/>
              </w:rPr>
              <w:t>MSPSS</w:t>
            </w:r>
          </w:p>
        </w:tc>
        <w:tc>
          <w:tcPr>
            <w:tcW w:w="0" w:type="auto"/>
          </w:tcPr>
          <w:p w14:paraId="2784340E" w14:textId="77777777" w:rsidR="00805EE8" w:rsidRPr="00805EE8" w:rsidRDefault="00805EE8" w:rsidP="00805EE8">
            <w:pPr>
              <w:spacing w:line="259" w:lineRule="auto"/>
              <w:rPr>
                <w:rFonts w:cstheme="minorHAnsi"/>
                <w:sz w:val="24"/>
                <w:szCs w:val="24"/>
              </w:rPr>
            </w:pPr>
          </w:p>
        </w:tc>
        <w:tc>
          <w:tcPr>
            <w:tcW w:w="0" w:type="auto"/>
          </w:tcPr>
          <w:p w14:paraId="15CDC698" w14:textId="77777777" w:rsidR="00805EE8" w:rsidRPr="00805EE8" w:rsidRDefault="00805EE8" w:rsidP="00805EE8">
            <w:pPr>
              <w:spacing w:line="259" w:lineRule="auto"/>
              <w:rPr>
                <w:rFonts w:cstheme="minorHAnsi"/>
                <w:sz w:val="24"/>
                <w:szCs w:val="24"/>
              </w:rPr>
            </w:pPr>
            <w:r w:rsidRPr="00805EE8">
              <w:rPr>
                <w:rFonts w:cstheme="minorHAnsi"/>
                <w:sz w:val="24"/>
                <w:szCs w:val="24"/>
              </w:rPr>
              <w:t>1.32</w:t>
            </w:r>
          </w:p>
        </w:tc>
        <w:tc>
          <w:tcPr>
            <w:tcW w:w="0" w:type="auto"/>
          </w:tcPr>
          <w:p w14:paraId="12486FF7" w14:textId="77777777" w:rsidR="00805EE8" w:rsidRPr="00805EE8" w:rsidRDefault="00805EE8" w:rsidP="00805EE8">
            <w:pPr>
              <w:spacing w:line="259" w:lineRule="auto"/>
              <w:rPr>
                <w:rFonts w:cstheme="minorHAnsi"/>
                <w:sz w:val="24"/>
                <w:szCs w:val="24"/>
              </w:rPr>
            </w:pPr>
            <w:r w:rsidRPr="00805EE8">
              <w:rPr>
                <w:rFonts w:cstheme="minorHAnsi"/>
                <w:sz w:val="24"/>
                <w:szCs w:val="24"/>
              </w:rPr>
              <w:t>.16</w:t>
            </w:r>
          </w:p>
        </w:tc>
        <w:tc>
          <w:tcPr>
            <w:tcW w:w="0" w:type="auto"/>
          </w:tcPr>
          <w:p w14:paraId="7FFC19CA" w14:textId="77777777" w:rsidR="00805EE8" w:rsidRPr="00805EE8" w:rsidRDefault="00805EE8" w:rsidP="00805EE8">
            <w:pPr>
              <w:spacing w:line="259" w:lineRule="auto"/>
              <w:rPr>
                <w:rFonts w:cstheme="minorHAnsi"/>
                <w:sz w:val="24"/>
                <w:szCs w:val="24"/>
              </w:rPr>
            </w:pPr>
            <w:r w:rsidRPr="00805EE8">
              <w:rPr>
                <w:rFonts w:cstheme="minorHAnsi"/>
                <w:sz w:val="24"/>
                <w:szCs w:val="24"/>
              </w:rPr>
              <w:t>8.37</w:t>
            </w:r>
          </w:p>
        </w:tc>
        <w:tc>
          <w:tcPr>
            <w:tcW w:w="0" w:type="auto"/>
          </w:tcPr>
          <w:p w14:paraId="05764A08"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2602BAE6" w14:textId="77777777" w:rsidR="00805EE8" w:rsidRPr="00805EE8" w:rsidRDefault="00805EE8" w:rsidP="00805EE8">
            <w:pPr>
              <w:spacing w:line="259" w:lineRule="auto"/>
              <w:rPr>
                <w:rFonts w:cstheme="minorHAnsi"/>
                <w:sz w:val="24"/>
                <w:szCs w:val="24"/>
              </w:rPr>
            </w:pPr>
            <w:r w:rsidRPr="00805EE8">
              <w:rPr>
                <w:rFonts w:cstheme="minorHAnsi"/>
                <w:sz w:val="24"/>
                <w:szCs w:val="24"/>
              </w:rPr>
              <w:t>.97</w:t>
            </w:r>
          </w:p>
        </w:tc>
      </w:tr>
      <w:tr w:rsidR="00805EE8" w:rsidRPr="00805EE8" w14:paraId="659E9707" w14:textId="77777777" w:rsidTr="00606AB6">
        <w:trPr>
          <w:trHeight w:val="179"/>
        </w:trPr>
        <w:tc>
          <w:tcPr>
            <w:tcW w:w="0" w:type="auto"/>
          </w:tcPr>
          <w:p w14:paraId="1D8FC781" w14:textId="77777777" w:rsidR="00805EE8" w:rsidRPr="00805EE8" w:rsidRDefault="00805EE8" w:rsidP="00805EE8">
            <w:pPr>
              <w:spacing w:line="259" w:lineRule="auto"/>
              <w:rPr>
                <w:rFonts w:cstheme="minorHAnsi"/>
                <w:sz w:val="24"/>
                <w:szCs w:val="24"/>
              </w:rPr>
            </w:pPr>
            <w:r w:rsidRPr="00805EE8">
              <w:rPr>
                <w:rFonts w:cstheme="minorHAnsi"/>
                <w:sz w:val="24"/>
                <w:szCs w:val="24"/>
              </w:rPr>
              <w:t>BRS</w:t>
            </w:r>
          </w:p>
        </w:tc>
        <w:tc>
          <w:tcPr>
            <w:tcW w:w="0" w:type="auto"/>
          </w:tcPr>
          <w:p w14:paraId="2FE55104" w14:textId="77777777" w:rsidR="00805EE8" w:rsidRPr="00805EE8" w:rsidRDefault="00805EE8" w:rsidP="00805EE8">
            <w:pPr>
              <w:spacing w:line="259" w:lineRule="auto"/>
              <w:rPr>
                <w:rFonts w:cstheme="minorHAnsi"/>
                <w:sz w:val="24"/>
                <w:szCs w:val="24"/>
              </w:rPr>
            </w:pPr>
          </w:p>
        </w:tc>
        <w:tc>
          <w:tcPr>
            <w:tcW w:w="0" w:type="auto"/>
          </w:tcPr>
          <w:p w14:paraId="0B61E64A" w14:textId="77777777" w:rsidR="00805EE8" w:rsidRPr="00805EE8" w:rsidRDefault="00805EE8" w:rsidP="00805EE8">
            <w:pPr>
              <w:spacing w:line="259" w:lineRule="auto"/>
              <w:rPr>
                <w:rFonts w:cstheme="minorHAnsi"/>
                <w:sz w:val="24"/>
                <w:szCs w:val="24"/>
              </w:rPr>
            </w:pPr>
            <w:r w:rsidRPr="00805EE8">
              <w:rPr>
                <w:rFonts w:cstheme="minorHAnsi"/>
                <w:sz w:val="24"/>
                <w:szCs w:val="24"/>
              </w:rPr>
              <w:t>.82</w:t>
            </w:r>
          </w:p>
        </w:tc>
        <w:tc>
          <w:tcPr>
            <w:tcW w:w="0" w:type="auto"/>
          </w:tcPr>
          <w:p w14:paraId="45CC6492" w14:textId="77777777" w:rsidR="00805EE8" w:rsidRPr="00805EE8" w:rsidRDefault="00805EE8" w:rsidP="00805EE8">
            <w:pPr>
              <w:spacing w:line="259" w:lineRule="auto"/>
              <w:rPr>
                <w:rFonts w:cstheme="minorHAnsi"/>
                <w:sz w:val="24"/>
                <w:szCs w:val="24"/>
              </w:rPr>
            </w:pPr>
            <w:r w:rsidRPr="00805EE8">
              <w:rPr>
                <w:rFonts w:cstheme="minorHAnsi"/>
                <w:sz w:val="24"/>
                <w:szCs w:val="24"/>
              </w:rPr>
              <w:t>.06</w:t>
            </w:r>
          </w:p>
        </w:tc>
        <w:tc>
          <w:tcPr>
            <w:tcW w:w="0" w:type="auto"/>
          </w:tcPr>
          <w:p w14:paraId="4D3B1E03" w14:textId="77777777" w:rsidR="00805EE8" w:rsidRPr="00805EE8" w:rsidRDefault="00805EE8" w:rsidP="00805EE8">
            <w:pPr>
              <w:spacing w:line="259" w:lineRule="auto"/>
              <w:rPr>
                <w:rFonts w:cstheme="minorHAnsi"/>
                <w:sz w:val="24"/>
                <w:szCs w:val="24"/>
              </w:rPr>
            </w:pPr>
            <w:r w:rsidRPr="00805EE8">
              <w:rPr>
                <w:rFonts w:cstheme="minorHAnsi"/>
                <w:sz w:val="24"/>
                <w:szCs w:val="24"/>
              </w:rPr>
              <w:t>13.08</w:t>
            </w:r>
          </w:p>
        </w:tc>
        <w:tc>
          <w:tcPr>
            <w:tcW w:w="0" w:type="auto"/>
          </w:tcPr>
          <w:p w14:paraId="6FFB4549" w14:textId="77777777" w:rsidR="00805EE8" w:rsidRPr="00805EE8" w:rsidRDefault="00805EE8" w:rsidP="00805EE8">
            <w:pPr>
              <w:spacing w:line="259" w:lineRule="auto"/>
              <w:rPr>
                <w:rFonts w:cstheme="minorHAnsi"/>
                <w:sz w:val="24"/>
                <w:szCs w:val="24"/>
              </w:rPr>
            </w:pPr>
            <w:r w:rsidRPr="00805EE8">
              <w:rPr>
                <w:rFonts w:cstheme="minorHAnsi"/>
                <w:sz w:val="24"/>
                <w:szCs w:val="24"/>
              </w:rPr>
              <w:t>.00</w:t>
            </w:r>
          </w:p>
        </w:tc>
        <w:tc>
          <w:tcPr>
            <w:tcW w:w="0" w:type="auto"/>
          </w:tcPr>
          <w:p w14:paraId="159DE673" w14:textId="77777777" w:rsidR="00805EE8" w:rsidRPr="00805EE8" w:rsidRDefault="00805EE8" w:rsidP="00805EE8">
            <w:pPr>
              <w:spacing w:line="259" w:lineRule="auto"/>
              <w:rPr>
                <w:rFonts w:cstheme="minorHAnsi"/>
                <w:sz w:val="24"/>
                <w:szCs w:val="24"/>
              </w:rPr>
            </w:pPr>
            <w:r w:rsidRPr="00805EE8">
              <w:rPr>
                <w:rFonts w:cstheme="minorHAnsi"/>
                <w:sz w:val="24"/>
                <w:szCs w:val="24"/>
              </w:rPr>
              <w:t>.99</w:t>
            </w:r>
          </w:p>
        </w:tc>
      </w:tr>
    </w:tbl>
    <w:p w14:paraId="039F0B5B" w14:textId="689E0E9E" w:rsidR="00A01E64" w:rsidRDefault="00A01E64" w:rsidP="00A01E64">
      <w:pPr>
        <w:pStyle w:val="NoSpacing"/>
      </w:pPr>
      <w:r>
        <w:rPr>
          <w:rFonts w:ascii="Times-Italic" w:hAnsi="Times-Italic" w:cs="Times-Italic"/>
          <w:i/>
          <w:iCs/>
        </w:rPr>
        <w:t xml:space="preserve">Note. </w:t>
      </w:r>
      <w:r>
        <w:t xml:space="preserve">B </w:t>
      </w:r>
      <w:r>
        <w:rPr>
          <w:rFonts w:ascii="Universal-GreekwithMathPi" w:hAnsi="Universal-GreekwithMathPi" w:cs="Universal-GreekwithMathPi"/>
        </w:rPr>
        <w:t>=</w:t>
      </w:r>
      <w:r>
        <w:rPr>
          <w:rFonts w:ascii="Universal-GreekwithMathPi" w:hAnsi="Universal-GreekwithMathPi" w:cs="Universal-GreekwithMathPi"/>
        </w:rPr>
        <w:t xml:space="preserve"> </w:t>
      </w:r>
      <w:r>
        <w:t xml:space="preserve">unstandardized parameter estimate; </w:t>
      </w:r>
      <w:r>
        <w:rPr>
          <w:rFonts w:ascii="Times-Italic" w:hAnsi="Times-Italic" w:cs="Times-Italic"/>
          <w:i/>
          <w:iCs/>
        </w:rPr>
        <w:t xml:space="preserve">SE </w:t>
      </w:r>
      <w:r>
        <w:rPr>
          <w:rFonts w:ascii="Times-Italic" w:hAnsi="Times-Italic" w:cs="Times-Italic"/>
          <w:i/>
          <w:iCs/>
        </w:rPr>
        <w:t>=</w:t>
      </w:r>
      <w:r>
        <w:rPr>
          <w:rFonts w:ascii="Universal-GreekwithMathPi" w:hAnsi="Universal-GreekwithMathPi" w:cs="Universal-GreekwithMathPi"/>
        </w:rPr>
        <w:t xml:space="preserve"> </w:t>
      </w:r>
      <w:r>
        <w:t xml:space="preserve">standard error; Z </w:t>
      </w:r>
      <w:r w:rsidR="004830BE">
        <w:t>=</w:t>
      </w:r>
      <w:r>
        <w:rPr>
          <w:rFonts w:ascii="Universal-GreekwithMathPi" w:hAnsi="Universal-GreekwithMathPi" w:cs="Universal-GreekwithMathPi"/>
        </w:rPr>
        <w:t xml:space="preserve"> </w:t>
      </w:r>
      <w:r>
        <w:t xml:space="preserve">z-score; </w:t>
      </w:r>
      <w:r w:rsidR="004830BE">
        <w:rPr>
          <w:rFonts w:ascii="Cambria Math" w:hAnsi="Cambria Math"/>
        </w:rPr>
        <w:t>β</w:t>
      </w:r>
      <w:r w:rsidR="004830BE">
        <w:t xml:space="preserve"> =</w:t>
      </w:r>
      <w:r>
        <w:rPr>
          <w:rFonts w:ascii="Universal-GreekwithMathPi" w:hAnsi="Universal-GreekwithMathPi" w:cs="Universal-GreekwithMathPi"/>
        </w:rPr>
        <w:t xml:space="preserve"> </w:t>
      </w:r>
      <w:r>
        <w:t xml:space="preserve">standardized parameter estimate; MHC-SF </w:t>
      </w:r>
      <w:r w:rsidR="004830BE">
        <w:t>=</w:t>
      </w:r>
      <w:r>
        <w:rPr>
          <w:rFonts w:ascii="Universal-GreekwithMathPi" w:hAnsi="Universal-GreekwithMathPi" w:cs="Universal-GreekwithMathPi"/>
        </w:rPr>
        <w:t xml:space="preserve"> </w:t>
      </w:r>
      <w:r>
        <w:t>Mental Health</w:t>
      </w:r>
    </w:p>
    <w:p w14:paraId="0783519B" w14:textId="123E8EFE" w:rsidR="00A01E64" w:rsidRDefault="00A01E64" w:rsidP="00A01E64">
      <w:pPr>
        <w:pStyle w:val="NoSpacing"/>
        <w:rPr>
          <w:rFonts w:ascii="Universal-GreekwithMathPi" w:hAnsi="Universal-GreekwithMathPi" w:cs="Universal-GreekwithMathPi"/>
        </w:rPr>
      </w:pPr>
      <w:r>
        <w:t xml:space="preserve">Continuum—Short Form; LGBIS </w:t>
      </w:r>
      <w:r w:rsidR="004830BE">
        <w:t>=</w:t>
      </w:r>
      <w:r>
        <w:rPr>
          <w:rFonts w:ascii="Universal-GreekwithMathPi" w:hAnsi="Universal-GreekwithMathPi" w:cs="Universal-GreekwithMathPi"/>
        </w:rPr>
        <w:t xml:space="preserve"> </w:t>
      </w:r>
      <w:r>
        <w:t xml:space="preserve">Lesbian, Gay, Bisexual Identity Scales; LGB-PIM </w:t>
      </w:r>
      <w:r w:rsidR="004830BE">
        <w:rPr>
          <w:rFonts w:ascii="Universal-GreekwithMathPi" w:hAnsi="Universal-GreekwithMathPi" w:cs="Universal-GreekwithMathPi"/>
        </w:rPr>
        <w:t>=</w:t>
      </w:r>
      <w:r>
        <w:rPr>
          <w:rFonts w:ascii="Universal-GreekwithMathPi" w:hAnsi="Universal-GreekwithMathPi" w:cs="Universal-GreekwithMathPi"/>
        </w:rPr>
        <w:t xml:space="preserve"> </w:t>
      </w:r>
      <w:r>
        <w:t xml:space="preserve">Lesbian, Gay, and Bisexual Positive Identity Measure; MEIM </w:t>
      </w:r>
      <w:r w:rsidR="004830BE">
        <w:rPr>
          <w:rFonts w:ascii="Universal-GreekwithMathPi" w:hAnsi="Universal-GreekwithMathPi" w:cs="Universal-GreekwithMathPi"/>
        </w:rPr>
        <w:t>=</w:t>
      </w:r>
    </w:p>
    <w:p w14:paraId="79278257" w14:textId="5EC53FB9" w:rsidR="00F6106A" w:rsidRDefault="00A01E64" w:rsidP="00A01E64">
      <w:pPr>
        <w:pStyle w:val="NoSpacing"/>
        <w:rPr>
          <w:rFonts w:cstheme="minorHAnsi"/>
          <w:sz w:val="24"/>
          <w:szCs w:val="24"/>
        </w:rPr>
      </w:pPr>
      <w:r>
        <w:t xml:space="preserve">Multigroup Ethnic Identity Measure; MSPSS </w:t>
      </w:r>
      <w:r w:rsidR="004830BE">
        <w:rPr>
          <w:rFonts w:ascii="Universal-GreekwithMathPi" w:hAnsi="Universal-GreekwithMathPi" w:cs="Universal-GreekwithMathPi"/>
        </w:rPr>
        <w:t>=</w:t>
      </w:r>
      <w:r>
        <w:rPr>
          <w:rFonts w:ascii="Universal-GreekwithMathPi" w:hAnsi="Universal-GreekwithMathPi" w:cs="Universal-GreekwithMathPi"/>
        </w:rPr>
        <w:t xml:space="preserve"> </w:t>
      </w:r>
      <w:r>
        <w:t xml:space="preserve">Multidimensional Scale of Perceived Social Support; BRS </w:t>
      </w:r>
      <w:r w:rsidR="004830BE">
        <w:rPr>
          <w:rFonts w:ascii="Universal-GreekwithMathPi" w:hAnsi="Universal-GreekwithMathPi" w:cs="Universal-GreekwithMathPi"/>
        </w:rPr>
        <w:t>=</w:t>
      </w:r>
      <w:r>
        <w:rPr>
          <w:rFonts w:ascii="Universal-GreekwithMathPi" w:hAnsi="Universal-GreekwithMathPi" w:cs="Universal-GreekwithMathPi"/>
        </w:rPr>
        <w:t xml:space="preserve"> </w:t>
      </w:r>
      <w:r>
        <w:t>Brief Resilience Scale.</w:t>
      </w:r>
    </w:p>
    <w:p w14:paraId="7E3516DC" w14:textId="77777777" w:rsidR="005F029F" w:rsidRDefault="005F029F" w:rsidP="006E187A">
      <w:pPr>
        <w:rPr>
          <w:rFonts w:cstheme="minorHAnsi"/>
          <w:sz w:val="24"/>
          <w:szCs w:val="24"/>
        </w:rPr>
        <w:sectPr w:rsidR="005F029F" w:rsidSect="00805EE8">
          <w:pgSz w:w="15840" w:h="12240" w:orient="landscape"/>
          <w:pgMar w:top="1080" w:right="1080" w:bottom="1080" w:left="1080" w:header="720" w:footer="720" w:gutter="0"/>
          <w:cols w:space="720"/>
          <w:docGrid w:linePitch="360"/>
        </w:sectPr>
      </w:pPr>
    </w:p>
    <w:p w14:paraId="513876DF" w14:textId="77777777" w:rsidR="005F029F" w:rsidRDefault="006E187A" w:rsidP="005F029F">
      <w:pPr>
        <w:pStyle w:val="NoSpacing"/>
      </w:pPr>
      <w:r w:rsidRPr="006E187A">
        <w:br/>
      </w:r>
      <w:r w:rsidRPr="006E187A">
        <w:drawing>
          <wp:inline distT="0" distB="0" distL="0" distR="0" wp14:anchorId="2BA560F6" wp14:editId="14C6F25D">
            <wp:extent cx="2743200" cy="219456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7B6B580C" w14:textId="77777777" w:rsidR="005F029F" w:rsidRDefault="006E187A" w:rsidP="005F029F">
      <w:pPr>
        <w:pStyle w:val="NoSpacing"/>
      </w:pPr>
      <w:r w:rsidRPr="006E187A">
        <w:t xml:space="preserve">Figure 2. Structural Model 2 With Parameter Estimates. LGBIS = Lesbian, Gay, Bisexual Identity Scales; LGB-PIM = Lesbian, Gay, and Bisexual Positive Identity Measure; MHC-SF = Mental Health Continuum—Short Form. Error estimates are not included. Bolded numbers indicate statistical significance. </w:t>
      </w:r>
    </w:p>
    <w:p w14:paraId="44098C83" w14:textId="5D35FE58" w:rsidR="006E187A" w:rsidRDefault="006E187A" w:rsidP="005F029F">
      <w:pPr>
        <w:pStyle w:val="NoSpacing"/>
      </w:pPr>
      <w:r w:rsidRPr="006E187A">
        <w:t>* p &lt; .05. ** p &lt; .01. *** p &lt; .001.</w:t>
      </w:r>
    </w:p>
    <w:p w14:paraId="7EEBADAE" w14:textId="77777777" w:rsidR="005F029F" w:rsidRPr="006E187A" w:rsidRDefault="005F029F" w:rsidP="006E187A">
      <w:pPr>
        <w:rPr>
          <w:rFonts w:cstheme="minorHAnsi"/>
          <w:sz w:val="24"/>
          <w:szCs w:val="24"/>
        </w:rPr>
      </w:pPr>
    </w:p>
    <w:p w14:paraId="3D604A64" w14:textId="77777777" w:rsidR="006E187A" w:rsidRPr="005F029F" w:rsidRDefault="006E187A" w:rsidP="005F029F">
      <w:pPr>
        <w:pStyle w:val="Heading3"/>
        <w:rPr>
          <w:i/>
          <w:iCs/>
        </w:rPr>
      </w:pPr>
      <w:r w:rsidRPr="005F029F">
        <w:rPr>
          <w:i/>
          <w:iCs/>
        </w:rPr>
        <w:t>Hypothesis 1: Direct effects of minority stress</w:t>
      </w:r>
    </w:p>
    <w:p w14:paraId="3212BF23" w14:textId="77777777" w:rsidR="006E187A" w:rsidRPr="006E187A" w:rsidRDefault="006E187A" w:rsidP="006E187A">
      <w:pPr>
        <w:rPr>
          <w:rFonts w:cstheme="minorHAnsi"/>
          <w:sz w:val="24"/>
          <w:szCs w:val="24"/>
        </w:rPr>
      </w:pPr>
      <w:r w:rsidRPr="006E187A">
        <w:rPr>
          <w:rFonts w:cstheme="minorHAnsi"/>
          <w:sz w:val="24"/>
          <w:szCs w:val="24"/>
        </w:rPr>
        <w:t>As hypothesized, minority stress had a statistically insignificant direct effect on well-being (β = −.083, </w:t>
      </w:r>
      <w:r w:rsidRPr="006E187A">
        <w:rPr>
          <w:rFonts w:cstheme="minorHAnsi"/>
          <w:i/>
          <w:iCs/>
          <w:sz w:val="24"/>
          <w:szCs w:val="24"/>
        </w:rPr>
        <w:t>SE</w:t>
      </w:r>
      <w:r w:rsidRPr="006E187A">
        <w:rPr>
          <w:rFonts w:cstheme="minorHAnsi"/>
          <w:sz w:val="24"/>
          <w:szCs w:val="24"/>
        </w:rPr>
        <w:t> = .294, z = −.442, </w:t>
      </w:r>
      <w:r w:rsidRPr="006E187A">
        <w:rPr>
          <w:rFonts w:cstheme="minorHAnsi"/>
          <w:i/>
          <w:iCs/>
          <w:sz w:val="24"/>
          <w:szCs w:val="24"/>
        </w:rPr>
        <w:t>p</w:t>
      </w:r>
      <w:r w:rsidRPr="006E187A">
        <w:rPr>
          <w:rFonts w:cstheme="minorHAnsi"/>
          <w:sz w:val="24"/>
          <w:szCs w:val="24"/>
        </w:rPr>
        <w:t> = .658) and a statistically significant direct effect on positive non-heterosexual identity (β = −.715, </w:t>
      </w:r>
      <w:r w:rsidRPr="006E187A">
        <w:rPr>
          <w:rFonts w:cstheme="minorHAnsi"/>
          <w:i/>
          <w:iCs/>
          <w:sz w:val="24"/>
          <w:szCs w:val="24"/>
        </w:rPr>
        <w:t>SE</w:t>
      </w:r>
      <w:r w:rsidRPr="006E187A">
        <w:rPr>
          <w:rFonts w:cstheme="minorHAnsi"/>
          <w:sz w:val="24"/>
          <w:szCs w:val="24"/>
        </w:rPr>
        <w:t> = .349, z = −3.197, </w:t>
      </w:r>
      <w:r w:rsidRPr="006E187A">
        <w:rPr>
          <w:rFonts w:cstheme="minorHAnsi"/>
          <w:i/>
          <w:iCs/>
          <w:sz w:val="24"/>
          <w:szCs w:val="24"/>
        </w:rPr>
        <w:t>p</w:t>
      </w:r>
      <w:r w:rsidRPr="006E187A">
        <w:rPr>
          <w:rFonts w:cstheme="minorHAnsi"/>
          <w:sz w:val="24"/>
          <w:szCs w:val="24"/>
        </w:rPr>
        <w:t> = .001). Contrary to hypotheses, minority stress had statistically insignificant direct effects on social support (β = −.187, </w:t>
      </w:r>
      <w:r w:rsidRPr="006E187A">
        <w:rPr>
          <w:rFonts w:cstheme="minorHAnsi"/>
          <w:i/>
          <w:iCs/>
          <w:sz w:val="24"/>
          <w:szCs w:val="24"/>
        </w:rPr>
        <w:t>SE</w:t>
      </w:r>
      <w:r w:rsidRPr="006E187A">
        <w:rPr>
          <w:rFonts w:cstheme="minorHAnsi"/>
          <w:sz w:val="24"/>
          <w:szCs w:val="24"/>
        </w:rPr>
        <w:t> = .123, z = −1.78, </w:t>
      </w:r>
      <w:r w:rsidRPr="006E187A">
        <w:rPr>
          <w:rFonts w:cstheme="minorHAnsi"/>
          <w:i/>
          <w:iCs/>
          <w:sz w:val="24"/>
          <w:szCs w:val="24"/>
        </w:rPr>
        <w:t>p</w:t>
      </w:r>
      <w:r w:rsidRPr="006E187A">
        <w:rPr>
          <w:rFonts w:cstheme="minorHAnsi"/>
          <w:sz w:val="24"/>
          <w:szCs w:val="24"/>
        </w:rPr>
        <w:t> = .075) and resilience (β = −.093, </w:t>
      </w:r>
      <w:r w:rsidRPr="006E187A">
        <w:rPr>
          <w:rFonts w:cstheme="minorHAnsi"/>
          <w:i/>
          <w:iCs/>
          <w:sz w:val="24"/>
          <w:szCs w:val="24"/>
        </w:rPr>
        <w:t>SE</w:t>
      </w:r>
      <w:r w:rsidRPr="006E187A">
        <w:rPr>
          <w:rFonts w:cstheme="minorHAnsi"/>
          <w:sz w:val="24"/>
          <w:szCs w:val="24"/>
        </w:rPr>
        <w:t> = .086, z = −.983, </w:t>
      </w:r>
      <w:r w:rsidRPr="006E187A">
        <w:rPr>
          <w:rFonts w:cstheme="minorHAnsi"/>
          <w:i/>
          <w:iCs/>
          <w:sz w:val="24"/>
          <w:szCs w:val="24"/>
        </w:rPr>
        <w:t>p</w:t>
      </w:r>
      <w:r w:rsidRPr="006E187A">
        <w:rPr>
          <w:rFonts w:cstheme="minorHAnsi"/>
          <w:sz w:val="24"/>
          <w:szCs w:val="24"/>
        </w:rPr>
        <w:t> = .326).</w:t>
      </w:r>
    </w:p>
    <w:p w14:paraId="143B6F45" w14:textId="77777777" w:rsidR="006E187A" w:rsidRPr="005F029F" w:rsidRDefault="006E187A" w:rsidP="005F029F">
      <w:pPr>
        <w:pStyle w:val="Heading3"/>
        <w:rPr>
          <w:i/>
          <w:iCs/>
        </w:rPr>
      </w:pPr>
      <w:r w:rsidRPr="005F029F">
        <w:rPr>
          <w:i/>
          <w:iCs/>
        </w:rPr>
        <w:t>Hypothesis 2: Mediating effects of minority stress’ effect on well-being</w:t>
      </w:r>
    </w:p>
    <w:p w14:paraId="47285D78" w14:textId="77777777" w:rsidR="006E187A" w:rsidRPr="006E187A" w:rsidRDefault="006E187A" w:rsidP="006E187A">
      <w:pPr>
        <w:rPr>
          <w:rFonts w:cstheme="minorHAnsi"/>
          <w:sz w:val="24"/>
          <w:szCs w:val="24"/>
        </w:rPr>
      </w:pPr>
      <w:r w:rsidRPr="006E187A">
        <w:rPr>
          <w:rFonts w:cstheme="minorHAnsi"/>
          <w:sz w:val="24"/>
          <w:szCs w:val="24"/>
        </w:rPr>
        <w:t>Minority stress had nonsignificant indirect effects on well-being through the mediating variables of social support (β = −.085, </w:t>
      </w:r>
      <w:r w:rsidRPr="006E187A">
        <w:rPr>
          <w:rFonts w:cstheme="minorHAnsi"/>
          <w:i/>
          <w:iCs/>
          <w:sz w:val="24"/>
          <w:szCs w:val="24"/>
        </w:rPr>
        <w:t>SE</w:t>
      </w:r>
      <w:r w:rsidRPr="006E187A">
        <w:rPr>
          <w:rFonts w:cstheme="minorHAnsi"/>
          <w:sz w:val="24"/>
          <w:szCs w:val="24"/>
        </w:rPr>
        <w:t> = .078, z = −1.69, </w:t>
      </w:r>
      <w:r w:rsidRPr="006E187A">
        <w:rPr>
          <w:rFonts w:cstheme="minorHAnsi"/>
          <w:i/>
          <w:iCs/>
          <w:sz w:val="24"/>
          <w:szCs w:val="24"/>
        </w:rPr>
        <w:t>p</w:t>
      </w:r>
      <w:r w:rsidRPr="006E187A">
        <w:rPr>
          <w:rFonts w:cstheme="minorHAnsi"/>
          <w:sz w:val="24"/>
          <w:szCs w:val="24"/>
        </w:rPr>
        <w:t> = .091), resilience (β = −.044, </w:t>
      </w:r>
      <w:r w:rsidRPr="006E187A">
        <w:rPr>
          <w:rFonts w:cstheme="minorHAnsi"/>
          <w:i/>
          <w:iCs/>
          <w:sz w:val="24"/>
          <w:szCs w:val="24"/>
        </w:rPr>
        <w:t>SE</w:t>
      </w:r>
      <w:r w:rsidRPr="006E187A">
        <w:rPr>
          <w:rFonts w:cstheme="minorHAnsi"/>
          <w:sz w:val="24"/>
          <w:szCs w:val="24"/>
        </w:rPr>
        <w:t> = .07, z = −.977, </w:t>
      </w:r>
      <w:r w:rsidRPr="006E187A">
        <w:rPr>
          <w:rFonts w:cstheme="minorHAnsi"/>
          <w:i/>
          <w:iCs/>
          <w:sz w:val="24"/>
          <w:szCs w:val="24"/>
        </w:rPr>
        <w:t>p</w:t>
      </w:r>
      <w:r w:rsidRPr="006E187A">
        <w:rPr>
          <w:rFonts w:cstheme="minorHAnsi"/>
          <w:sz w:val="24"/>
          <w:szCs w:val="24"/>
        </w:rPr>
        <w:t> = .329), and positive minority sexual identity (β = −.039, </w:t>
      </w:r>
      <w:r w:rsidRPr="006E187A">
        <w:rPr>
          <w:rFonts w:cstheme="minorHAnsi"/>
          <w:i/>
          <w:iCs/>
          <w:sz w:val="24"/>
          <w:szCs w:val="24"/>
        </w:rPr>
        <w:t>SE</w:t>
      </w:r>
      <w:r w:rsidRPr="006E187A">
        <w:rPr>
          <w:rFonts w:cstheme="minorHAnsi"/>
          <w:sz w:val="24"/>
          <w:szCs w:val="24"/>
        </w:rPr>
        <w:t> = .185, z = −.033, </w:t>
      </w:r>
      <w:r w:rsidRPr="006E187A">
        <w:rPr>
          <w:rFonts w:cstheme="minorHAnsi"/>
          <w:i/>
          <w:iCs/>
          <w:sz w:val="24"/>
          <w:szCs w:val="24"/>
        </w:rPr>
        <w:t>p</w:t>
      </w:r>
      <w:r w:rsidRPr="006E187A">
        <w:rPr>
          <w:rFonts w:cstheme="minorHAnsi"/>
          <w:sz w:val="24"/>
          <w:szCs w:val="24"/>
        </w:rPr>
        <w:t> = .742).</w:t>
      </w:r>
    </w:p>
    <w:p w14:paraId="72968F4B" w14:textId="77777777" w:rsidR="006E187A" w:rsidRPr="005F029F" w:rsidRDefault="006E187A" w:rsidP="005F029F">
      <w:pPr>
        <w:pStyle w:val="Heading3"/>
        <w:rPr>
          <w:i/>
          <w:iCs/>
        </w:rPr>
      </w:pPr>
      <w:r w:rsidRPr="005F029F">
        <w:rPr>
          <w:i/>
          <w:iCs/>
        </w:rPr>
        <w:t>Hypothesis 3: Direct effect of positive minority sexual identity on well-being</w:t>
      </w:r>
    </w:p>
    <w:p w14:paraId="1504341F" w14:textId="77777777" w:rsidR="006E187A" w:rsidRPr="006E187A" w:rsidRDefault="006E187A" w:rsidP="006E187A">
      <w:pPr>
        <w:rPr>
          <w:rFonts w:cstheme="minorHAnsi"/>
          <w:sz w:val="24"/>
          <w:szCs w:val="24"/>
        </w:rPr>
      </w:pPr>
      <w:r w:rsidRPr="006E187A">
        <w:rPr>
          <w:rFonts w:cstheme="minorHAnsi"/>
          <w:sz w:val="24"/>
          <w:szCs w:val="24"/>
        </w:rPr>
        <w:t>The positive minority sexual identity latent variable did not have a statistically significant effect on well-being (β = .055, </w:t>
      </w:r>
      <w:r w:rsidRPr="006E187A">
        <w:rPr>
          <w:rFonts w:cstheme="minorHAnsi"/>
          <w:i/>
          <w:iCs/>
          <w:sz w:val="24"/>
          <w:szCs w:val="24"/>
        </w:rPr>
        <w:t>SE</w:t>
      </w:r>
      <w:r w:rsidRPr="006E187A">
        <w:rPr>
          <w:rFonts w:cstheme="minorHAnsi"/>
          <w:sz w:val="24"/>
          <w:szCs w:val="24"/>
        </w:rPr>
        <w:t> = .164, z = .333, </w:t>
      </w:r>
      <w:r w:rsidRPr="006E187A">
        <w:rPr>
          <w:rFonts w:cstheme="minorHAnsi"/>
          <w:i/>
          <w:iCs/>
          <w:sz w:val="24"/>
          <w:szCs w:val="24"/>
        </w:rPr>
        <w:t>p</w:t>
      </w:r>
      <w:r w:rsidRPr="006E187A">
        <w:rPr>
          <w:rFonts w:cstheme="minorHAnsi"/>
          <w:sz w:val="24"/>
          <w:szCs w:val="24"/>
        </w:rPr>
        <w:t> = .739).</w:t>
      </w:r>
    </w:p>
    <w:p w14:paraId="5D50571C" w14:textId="77777777" w:rsidR="006E187A" w:rsidRPr="005F029F" w:rsidRDefault="006E187A" w:rsidP="005F029F">
      <w:pPr>
        <w:pStyle w:val="Heading3"/>
        <w:rPr>
          <w:i/>
          <w:iCs/>
        </w:rPr>
      </w:pPr>
      <w:r w:rsidRPr="005F029F">
        <w:rPr>
          <w:i/>
          <w:iCs/>
        </w:rPr>
        <w:t>Hypothesis 4: Direct effect of social support on well-being</w:t>
      </w:r>
    </w:p>
    <w:p w14:paraId="6E2AC2CF" w14:textId="77777777" w:rsidR="006E187A" w:rsidRPr="006E187A" w:rsidRDefault="006E187A" w:rsidP="006E187A">
      <w:pPr>
        <w:rPr>
          <w:rFonts w:cstheme="minorHAnsi"/>
          <w:sz w:val="24"/>
          <w:szCs w:val="24"/>
        </w:rPr>
      </w:pPr>
      <w:r w:rsidRPr="006E187A">
        <w:rPr>
          <w:rFonts w:cstheme="minorHAnsi"/>
          <w:sz w:val="24"/>
          <w:szCs w:val="24"/>
        </w:rPr>
        <w:t>Social support did have a statistically significant and positive effect on well-being (β = .454, </w:t>
      </w:r>
      <w:r w:rsidRPr="006E187A">
        <w:rPr>
          <w:rFonts w:cstheme="minorHAnsi"/>
          <w:i/>
          <w:iCs/>
          <w:sz w:val="24"/>
          <w:szCs w:val="24"/>
        </w:rPr>
        <w:t>SE</w:t>
      </w:r>
      <w:r w:rsidRPr="006E187A">
        <w:rPr>
          <w:rFonts w:cstheme="minorHAnsi"/>
          <w:sz w:val="24"/>
          <w:szCs w:val="24"/>
        </w:rPr>
        <w:t> = .084, z = 7.166, </w:t>
      </w:r>
      <w:r w:rsidRPr="006E187A">
        <w:rPr>
          <w:rFonts w:cstheme="minorHAnsi"/>
          <w:i/>
          <w:iCs/>
          <w:sz w:val="24"/>
          <w:szCs w:val="24"/>
        </w:rPr>
        <w:t>p</w:t>
      </w:r>
      <w:r w:rsidRPr="006E187A">
        <w:rPr>
          <w:rFonts w:cstheme="minorHAnsi"/>
          <w:sz w:val="24"/>
          <w:szCs w:val="24"/>
        </w:rPr>
        <w:t> &lt; .000).</w:t>
      </w:r>
    </w:p>
    <w:p w14:paraId="79805FC7" w14:textId="77777777" w:rsidR="006E187A" w:rsidRPr="005F029F" w:rsidRDefault="006E187A" w:rsidP="005F029F">
      <w:pPr>
        <w:pStyle w:val="Heading3"/>
        <w:rPr>
          <w:i/>
          <w:iCs/>
        </w:rPr>
      </w:pPr>
      <w:r w:rsidRPr="005F029F">
        <w:rPr>
          <w:i/>
          <w:iCs/>
        </w:rPr>
        <w:t>Hypothesis 5: Mediating effect of social support’s effect on well-being</w:t>
      </w:r>
    </w:p>
    <w:p w14:paraId="4CE75ABD" w14:textId="77777777" w:rsidR="006E187A" w:rsidRPr="006E187A" w:rsidRDefault="006E187A" w:rsidP="006E187A">
      <w:pPr>
        <w:rPr>
          <w:rFonts w:cstheme="minorHAnsi"/>
          <w:sz w:val="24"/>
          <w:szCs w:val="24"/>
        </w:rPr>
      </w:pPr>
      <w:r w:rsidRPr="006E187A">
        <w:rPr>
          <w:rFonts w:cstheme="minorHAnsi"/>
          <w:sz w:val="24"/>
          <w:szCs w:val="24"/>
        </w:rPr>
        <w:t>Contrary to hypothesis, the indirect effect of social support on well-being through the mediating variable of positive minority sexual identity was not significant (β = .009, </w:t>
      </w:r>
      <w:r w:rsidRPr="006E187A">
        <w:rPr>
          <w:rFonts w:cstheme="minorHAnsi"/>
          <w:i/>
          <w:iCs/>
          <w:sz w:val="24"/>
          <w:szCs w:val="24"/>
        </w:rPr>
        <w:t>SE</w:t>
      </w:r>
      <w:r w:rsidRPr="006E187A">
        <w:rPr>
          <w:rFonts w:cstheme="minorHAnsi"/>
          <w:sz w:val="24"/>
          <w:szCs w:val="24"/>
        </w:rPr>
        <w:t> = .039, z = .321, </w:t>
      </w:r>
      <w:r w:rsidRPr="006E187A">
        <w:rPr>
          <w:rFonts w:cstheme="minorHAnsi"/>
          <w:i/>
          <w:iCs/>
          <w:sz w:val="24"/>
          <w:szCs w:val="24"/>
        </w:rPr>
        <w:t>p</w:t>
      </w:r>
      <w:r w:rsidRPr="006E187A">
        <w:rPr>
          <w:rFonts w:cstheme="minorHAnsi"/>
          <w:sz w:val="24"/>
          <w:szCs w:val="24"/>
        </w:rPr>
        <w:t> = .748).</w:t>
      </w:r>
    </w:p>
    <w:p w14:paraId="6290F1D4" w14:textId="77777777" w:rsidR="006E187A" w:rsidRPr="005F029F" w:rsidRDefault="006E187A" w:rsidP="005F029F">
      <w:pPr>
        <w:pStyle w:val="Heading3"/>
        <w:rPr>
          <w:i/>
          <w:iCs/>
        </w:rPr>
      </w:pPr>
      <w:r w:rsidRPr="005F029F">
        <w:rPr>
          <w:i/>
          <w:iCs/>
        </w:rPr>
        <w:t>Hypothesis 6: Direct effect of resilience on well-being</w:t>
      </w:r>
    </w:p>
    <w:p w14:paraId="6D9A44CE" w14:textId="77777777" w:rsidR="006E187A" w:rsidRPr="006E187A" w:rsidRDefault="006E187A" w:rsidP="006E187A">
      <w:pPr>
        <w:rPr>
          <w:rFonts w:cstheme="minorHAnsi"/>
          <w:sz w:val="24"/>
          <w:szCs w:val="24"/>
        </w:rPr>
      </w:pPr>
      <w:r w:rsidRPr="006E187A">
        <w:rPr>
          <w:rFonts w:cstheme="minorHAnsi"/>
          <w:sz w:val="24"/>
          <w:szCs w:val="24"/>
        </w:rPr>
        <w:t>Resilience also had a statistically significant and positive effect on well-being (β = .471, </w:t>
      </w:r>
      <w:r w:rsidRPr="006E187A">
        <w:rPr>
          <w:rFonts w:cstheme="minorHAnsi"/>
          <w:i/>
          <w:iCs/>
          <w:sz w:val="24"/>
          <w:szCs w:val="24"/>
        </w:rPr>
        <w:t>SE</w:t>
      </w:r>
      <w:r w:rsidRPr="006E187A">
        <w:rPr>
          <w:rFonts w:cstheme="minorHAnsi"/>
          <w:sz w:val="24"/>
          <w:szCs w:val="24"/>
        </w:rPr>
        <w:t> = .1, z = 8.064, </w:t>
      </w:r>
      <w:r w:rsidRPr="006E187A">
        <w:rPr>
          <w:rFonts w:cstheme="minorHAnsi"/>
          <w:i/>
          <w:iCs/>
          <w:sz w:val="24"/>
          <w:szCs w:val="24"/>
        </w:rPr>
        <w:t>p</w:t>
      </w:r>
      <w:r w:rsidRPr="006E187A">
        <w:rPr>
          <w:rFonts w:cstheme="minorHAnsi"/>
          <w:sz w:val="24"/>
          <w:szCs w:val="24"/>
        </w:rPr>
        <w:t> &lt; .000).</w:t>
      </w:r>
    </w:p>
    <w:p w14:paraId="273E687E" w14:textId="46419FF1" w:rsidR="006E187A" w:rsidRPr="006E187A" w:rsidRDefault="006E187A" w:rsidP="005F029F">
      <w:pPr>
        <w:pStyle w:val="Heading1"/>
        <w:rPr>
          <w:rFonts w:cstheme="minorHAnsi"/>
          <w:sz w:val="24"/>
          <w:szCs w:val="24"/>
        </w:rPr>
      </w:pPr>
      <w:r w:rsidRPr="005F029F">
        <w:t>Discussion</w:t>
      </w:r>
    </w:p>
    <w:p w14:paraId="203B6246" w14:textId="603C5EFC" w:rsidR="006E187A" w:rsidRPr="006E187A" w:rsidRDefault="006E187A" w:rsidP="006E187A">
      <w:pPr>
        <w:rPr>
          <w:rFonts w:cstheme="minorHAnsi"/>
          <w:sz w:val="24"/>
          <w:szCs w:val="24"/>
        </w:rPr>
      </w:pPr>
      <w:r w:rsidRPr="006E187A">
        <w:rPr>
          <w:rFonts w:cstheme="minorHAnsi"/>
          <w:sz w:val="24"/>
          <w:szCs w:val="24"/>
        </w:rPr>
        <w:t>This study sought to assess the relationships between minority stress processes, including prejudicial experiences and internalized stigma, universal and sexual minority specific protective factors, and well-being on a sample of bisexual men. Unfortunately, the HHRDS measure, which assessed experiences of discrimination, was not included in the final model. Therefore, it is more appropriate to conceptualize this latent variable as measuring some of the proximal minority stress processes indicated in Meyer’s (2003) minority stress theory.</w:t>
      </w:r>
    </w:p>
    <w:p w14:paraId="2135C942" w14:textId="0EA8EA64" w:rsidR="006E187A" w:rsidRPr="006E187A" w:rsidRDefault="006E187A" w:rsidP="006E187A">
      <w:pPr>
        <w:rPr>
          <w:rFonts w:cstheme="minorHAnsi"/>
          <w:sz w:val="24"/>
          <w:szCs w:val="24"/>
        </w:rPr>
      </w:pPr>
      <w:r w:rsidRPr="006E187A">
        <w:rPr>
          <w:rFonts w:cstheme="minorHAnsi"/>
          <w:sz w:val="24"/>
          <w:szCs w:val="24"/>
        </w:rPr>
        <w:t>The hypothesis that minority stress processes would have a nonsignificant effect on well-being was entirely supported. This finding is congruent with some previous research that found minority stress processes, such as experiencing prejudicial events and concealing one’s identity, were not significant predictors of psychological well-being (e.g., Selvidge et al., 2008), while divergent from other studies that found a significant effect (e.g., Shilo &amp; Savaya, 2012). While previous research has shown that internalized homonegativity and identity concealment are significant predictors of psychological distress (see Meyer, 2003), this finding suggests that these proximal minority stress processes may be less influential on psychosocial well-being than they are on psychosocial distress in bisexual men.</w:t>
      </w:r>
    </w:p>
    <w:p w14:paraId="2776BACD" w14:textId="77777777" w:rsidR="006E187A" w:rsidRPr="006E187A" w:rsidRDefault="006E187A" w:rsidP="006E187A">
      <w:pPr>
        <w:rPr>
          <w:rFonts w:cstheme="minorHAnsi"/>
          <w:sz w:val="24"/>
          <w:szCs w:val="24"/>
        </w:rPr>
      </w:pPr>
      <w:r w:rsidRPr="006E187A">
        <w:rPr>
          <w:rFonts w:cstheme="minorHAnsi"/>
          <w:sz w:val="24"/>
          <w:szCs w:val="24"/>
        </w:rPr>
        <w:t>Although this study did not directly compare the effects of these proximal minority stress processes on both psychosocial well-being and distress, it nevertheless provides additional support for the notion that psychological distress and psychological well-being should be understood as related but distinct constructs with different predictors for LGB individuals. It appears that the mere absence of internalized homonegativity and identity concealment may not increase the likelihood that non-heterosexual men will experience the added presence of positive affect, meaning in life, or social connection. Put another way, the absence of additive minority stress does not automatically increase the likelihood that one will lead a happy or fulfilling life in the same way it decreases the likelihood that one experiences psychological distress. For an increased likelihood of elevated well-being in non-heterosexual men, the presence of other positive factors, such as social support or resilience, are likely needed.</w:t>
      </w:r>
    </w:p>
    <w:p w14:paraId="10E90B70" w14:textId="116F9FC3" w:rsidR="006E187A" w:rsidRPr="006E187A" w:rsidRDefault="006E187A" w:rsidP="006E187A">
      <w:pPr>
        <w:rPr>
          <w:rFonts w:cstheme="minorHAnsi"/>
          <w:sz w:val="24"/>
          <w:szCs w:val="24"/>
        </w:rPr>
      </w:pPr>
      <w:r w:rsidRPr="006E187A">
        <w:rPr>
          <w:rFonts w:cstheme="minorHAnsi"/>
          <w:sz w:val="24"/>
          <w:szCs w:val="24"/>
        </w:rPr>
        <w:t>Unexpectedly, minority stress had statistically insignificant effects on social support and resilience, although the effect of minority stress on social support approached statistical significance (</w:t>
      </w:r>
      <w:r w:rsidRPr="006E187A">
        <w:rPr>
          <w:rFonts w:cstheme="minorHAnsi"/>
          <w:i/>
          <w:iCs/>
          <w:sz w:val="24"/>
          <w:szCs w:val="24"/>
        </w:rPr>
        <w:t>p</w:t>
      </w:r>
      <w:r w:rsidRPr="006E187A">
        <w:rPr>
          <w:rFonts w:cstheme="minorHAnsi"/>
          <w:sz w:val="24"/>
          <w:szCs w:val="24"/>
        </w:rPr>
        <w:t> = .075) and the relationship was in the expected negative direction. This finding may be at least partially explained by the variables used to measure minority stress: other proximal minority stress processes, such as expectations of rejection or stigma, may have a more deleterious effect on social support and resilience than internalized homonegativity or identity concealment given past research findings (e.g., Brewster et al., 2013). Minority stress also did not indirectly affect well-being through the intervening variables of social support and resilience. While this mediating effect was absent from this study’s sample, it may be that social support, resilience, and positive minority sexual identity moderate the effect of minority stress processes on well-being. Unfortunately, due to statistical limitations, the model was unable to assess for this moderator effect (see the study limitations section below).</w:t>
      </w:r>
    </w:p>
    <w:p w14:paraId="57688DAB" w14:textId="03C9509A" w:rsidR="006E187A" w:rsidRPr="006E187A" w:rsidRDefault="006E187A" w:rsidP="006E187A">
      <w:pPr>
        <w:rPr>
          <w:rFonts w:cstheme="minorHAnsi"/>
          <w:sz w:val="24"/>
          <w:szCs w:val="24"/>
        </w:rPr>
      </w:pPr>
      <w:r w:rsidRPr="006E187A">
        <w:rPr>
          <w:rFonts w:cstheme="minorHAnsi"/>
          <w:sz w:val="24"/>
          <w:szCs w:val="24"/>
        </w:rPr>
        <w:t>As hypothesized, minority stress had a statistically significant direct and large effect on positive minority sexual identity, while social support had a positive, albeit small, direct effect on positive minority sexual identity. This finding aligns well with prior theory and empirical findings suggesting that minority stress processes would negatively impact one’s outlook toward their minority sexual identity (Meyer, 2003). The effect of social support on well-being was not mediated through positive sexual identity. Once again, it may be that positive minority sexual identity plays a moderating, rather than mediating, role in the relationship between social support and well-being in bisexual men.</w:t>
      </w:r>
    </w:p>
    <w:p w14:paraId="610FCBFC" w14:textId="6ABD7D62" w:rsidR="006E187A" w:rsidRPr="006E187A" w:rsidRDefault="006E187A" w:rsidP="006E187A">
      <w:pPr>
        <w:rPr>
          <w:rFonts w:cstheme="minorHAnsi"/>
          <w:sz w:val="24"/>
          <w:szCs w:val="24"/>
        </w:rPr>
      </w:pPr>
      <w:r w:rsidRPr="006E187A">
        <w:rPr>
          <w:rFonts w:cstheme="minorHAnsi"/>
          <w:sz w:val="24"/>
          <w:szCs w:val="24"/>
        </w:rPr>
        <w:t>The hypothesis that positive minority sexual identity would have a statistically significant and positive effect on well-being was entirely unsupported. This finding contradicts previous empirical research that suggested a positive relationship between positive views of one’s sexual identity and well-being (e.g., Higa et al., 2014; Keleher, Wei, &amp; Liao, 2010; Riggle et al., 2014). There are two theoretically viable explanations for this finding. The most straightforward explanation is that universal protective factors such as social support and resilience have far more predictive value for the well-being of non-heterosexual men; therefore, these variables captured the variance in well-being better than the positive minority sexual identity latent variable. A second possible explanation is that holding a positive view of one’s sexual identity might be conceptualized better as a variable moderating the effect of other predictors on well-being. In other words, holding positive beliefs about one’s identity might dampen the negative effects of minority stress on well-being, but it may not directly increase (or decrease) the well-being of bisexual men. This would fit with Meyer’s (2003) theory of minority stress that views factors such as positive identity valence as moderating, rather than mediating, the deleterious effect on minority stress on mental health outcomes.</w:t>
      </w:r>
    </w:p>
    <w:p w14:paraId="36116DD8" w14:textId="77777777" w:rsidR="006E187A" w:rsidRPr="006E187A" w:rsidRDefault="006E187A" w:rsidP="006E187A">
      <w:pPr>
        <w:rPr>
          <w:rFonts w:cstheme="minorHAnsi"/>
          <w:sz w:val="24"/>
          <w:szCs w:val="24"/>
        </w:rPr>
      </w:pPr>
      <w:r w:rsidRPr="006E187A">
        <w:rPr>
          <w:rFonts w:cstheme="minorHAnsi"/>
          <w:sz w:val="24"/>
          <w:szCs w:val="24"/>
        </w:rPr>
        <w:t>The hypotheses that social support and resilience would have statistically significant and positive effects on well-being was fully supported by the model. The medium effect sizes (</w:t>
      </w:r>
      <w:r w:rsidRPr="006E187A">
        <w:rPr>
          <w:rFonts w:cstheme="minorHAnsi"/>
          <w:i/>
          <w:iCs/>
          <w:sz w:val="24"/>
          <w:szCs w:val="24"/>
        </w:rPr>
        <w:t>r</w:t>
      </w:r>
      <w:r w:rsidRPr="006E187A">
        <w:rPr>
          <w:rFonts w:cstheme="minorHAnsi"/>
          <w:sz w:val="24"/>
          <w:szCs w:val="24"/>
        </w:rPr>
        <w:t> = .45 and </w:t>
      </w:r>
      <w:r w:rsidRPr="006E187A">
        <w:rPr>
          <w:rFonts w:cstheme="minorHAnsi"/>
          <w:i/>
          <w:iCs/>
          <w:sz w:val="24"/>
          <w:szCs w:val="24"/>
        </w:rPr>
        <w:t>r</w:t>
      </w:r>
      <w:r w:rsidRPr="006E187A">
        <w:rPr>
          <w:rFonts w:cstheme="minorHAnsi"/>
          <w:sz w:val="24"/>
          <w:szCs w:val="24"/>
        </w:rPr>
        <w:t> = .47, respectively) indicate that the perception of having social support and being able to bounce back from stress has a moderate to strong effect on one’s psychosocial well-being. These findings are remarkable given that social support and resilience were the only significant predictors of well-being in the model. This suggests that these universal protective factors may have a more profound impact on well-being for LGB individuals than LGB-specific factors such as positive sexual identity. What might explain the lack of significant effects on well-being for the variables specific to minority sexual identity? The most straightforward answer might be that positive universal factors such as social support and resilience are simply more determinative of one’s psychosocial well-being than factors specific to one’s sexual identity. Additional research is necessary to clarify whether this is the case.</w:t>
      </w:r>
    </w:p>
    <w:p w14:paraId="55AFD581" w14:textId="77777777" w:rsidR="006E187A" w:rsidRPr="006E187A" w:rsidRDefault="006E187A" w:rsidP="005F029F">
      <w:pPr>
        <w:pStyle w:val="Heading2"/>
      </w:pPr>
      <w:r w:rsidRPr="006E187A">
        <w:t>Limitations</w:t>
      </w:r>
    </w:p>
    <w:p w14:paraId="559E8E21" w14:textId="095AE1B4" w:rsidR="006E187A" w:rsidRPr="006E187A" w:rsidRDefault="006E187A" w:rsidP="006E187A">
      <w:pPr>
        <w:rPr>
          <w:rFonts w:cstheme="minorHAnsi"/>
          <w:sz w:val="24"/>
          <w:szCs w:val="24"/>
        </w:rPr>
      </w:pPr>
      <w:r w:rsidRPr="006E187A">
        <w:rPr>
          <w:rFonts w:cstheme="minorHAnsi"/>
          <w:sz w:val="24"/>
          <w:szCs w:val="24"/>
        </w:rPr>
        <w:t>This study’s strengths come with some important limitations. Although the study sample was statistically adequate, there are several issues that limit the generalizability of the findings. The sample was overwhelmingly White, and therefore underrepresented bisexual men of color. Additionally, as is often a problem in research with LGBT populations (Meyer &amp; Wilson, 2009), the sample may not be representative of the broader non-heterosexual male population, as participants were largely recruited through social media outlets.</w:t>
      </w:r>
    </w:p>
    <w:p w14:paraId="3EBF60C7" w14:textId="77777777" w:rsidR="006E187A" w:rsidRPr="006E187A" w:rsidRDefault="006E187A" w:rsidP="006E187A">
      <w:pPr>
        <w:rPr>
          <w:rFonts w:cstheme="minorHAnsi"/>
          <w:sz w:val="24"/>
          <w:szCs w:val="24"/>
        </w:rPr>
      </w:pPr>
      <w:r w:rsidRPr="006E187A">
        <w:rPr>
          <w:rFonts w:cstheme="minorHAnsi"/>
          <w:sz w:val="24"/>
          <w:szCs w:val="24"/>
        </w:rPr>
        <w:t>Virtually all of the scores from the scales used in the final model had non-normal distributions. While statistical procedures were used to minimize the impact of the non-normal data on the analysis, it is possible that non-normality introduced unique error into the model. Several scales that were originally intended to be included in the model, such as the Connectedness to the LGBT Community scale and the authenticity scale of the LGB-PIM, were removed for statistical reasons. Excluding these variables may have affected the findings of the model in general.</w:t>
      </w:r>
    </w:p>
    <w:p w14:paraId="4EF0957F" w14:textId="16E57239" w:rsidR="006E187A" w:rsidRPr="006E187A" w:rsidRDefault="006E187A" w:rsidP="006E187A">
      <w:pPr>
        <w:rPr>
          <w:rFonts w:cstheme="minorHAnsi"/>
          <w:sz w:val="24"/>
          <w:szCs w:val="24"/>
        </w:rPr>
      </w:pPr>
      <w:r w:rsidRPr="006E187A">
        <w:rPr>
          <w:rFonts w:cstheme="minorHAnsi"/>
          <w:sz w:val="24"/>
          <w:szCs w:val="24"/>
        </w:rPr>
        <w:t>The minority stress model (Meyer, 2003) includes several factors (e.g., social support, resilience, positive sexual identity valence) as moderators of the negative relationship between minority stress and mental health. Analyzing these moderator effects in the present study required the creation of several product terms, which significantly increased the number of model parameter estimates. Unfortunately, when this was attempted, the model was underidentified and unable to be analyzed. Therefore, it was decided to exclude all moderator effects, as testing select moderators might have changed the model’s overall outcome in ways that may not have occurred had all moderators been included. Not being able to identify whether these variables had significant moderation effects as theorized by Meyer (2003) substantially limits the study’s conclusions.</w:t>
      </w:r>
    </w:p>
    <w:p w14:paraId="7EA415DB" w14:textId="77777777" w:rsidR="006E187A" w:rsidRPr="006E187A" w:rsidRDefault="006E187A" w:rsidP="005F029F">
      <w:pPr>
        <w:pStyle w:val="Heading2"/>
      </w:pPr>
      <w:r w:rsidRPr="006E187A">
        <w:t>Conclusions</w:t>
      </w:r>
    </w:p>
    <w:p w14:paraId="77E761E6" w14:textId="6621AD59" w:rsidR="006E187A" w:rsidRPr="006E187A" w:rsidRDefault="006E187A" w:rsidP="006E187A">
      <w:pPr>
        <w:rPr>
          <w:rFonts w:cstheme="minorHAnsi"/>
          <w:sz w:val="24"/>
          <w:szCs w:val="24"/>
        </w:rPr>
      </w:pPr>
      <w:r w:rsidRPr="006E187A">
        <w:rPr>
          <w:rFonts w:cstheme="minorHAnsi"/>
          <w:sz w:val="24"/>
          <w:szCs w:val="24"/>
        </w:rPr>
        <w:t>The authors found no prior study that used SEM to test a broad model of psychosocial well-being for bisexual men. Previous studies on LGB mental health have often used regression analysis that do not allow for testing a comprehensive model with specified relationships between multiple variables (e.g., Morrison, 2011). By using SEM, this study was able to show that social support and resilience have a much stronger impact on well-being than minority stress processes and positive sexual minority identity when all of these variables are tested together in a comprehensive manner. This study also appears to be the first to use a comprehensive conceptualization of well-being to investigate predictors of sexual minority mental health in a sample of bisexual men. The use of the MHC-SF strengthened this study’s claim to be measuring psychosocial well-being rather than a more specific construct (e.g., life satisfaction, happiness, purpose in life) or merely the absence of psychosocial distress.</w:t>
      </w:r>
    </w:p>
    <w:p w14:paraId="02A3B1C4" w14:textId="011EE20D" w:rsidR="006E187A" w:rsidRPr="006E187A" w:rsidRDefault="006E187A" w:rsidP="006E187A">
      <w:pPr>
        <w:rPr>
          <w:rFonts w:cstheme="minorHAnsi"/>
          <w:sz w:val="24"/>
          <w:szCs w:val="24"/>
        </w:rPr>
      </w:pPr>
      <w:r w:rsidRPr="006E187A">
        <w:rPr>
          <w:rFonts w:cstheme="minorHAnsi"/>
          <w:sz w:val="24"/>
          <w:szCs w:val="24"/>
        </w:rPr>
        <w:t>The present study’s findings add additional empirical support to the suggestion that LGB mental health be considered more holistically and not be solely based on factors shown to predict psychological distress. It is noteworthy that proximal minority stress processes and positive attitudes toward one’s sexual identity did not have statistically significant effects on well-being in the present study, while the universal protective factors of social support and resilience had moderate-to-strong effects on well-being. The latter finding regarding social support and resilience aligns well with prior LGBT mental health research (Dickinson &amp; Adams, 2014; Herek &amp; Garnets, 2007; Meyer, 2003, 2015; Riggle, Whitman, Olson, Rostosky, &amp; Strong, 2008; Selvidge et al., 2008), while the finding regarding the effects of internalized stigma contradicts a central hypothesis of the minority stress model (Meyer, 2003).</w:t>
      </w:r>
    </w:p>
    <w:p w14:paraId="5CE74D65" w14:textId="77777777" w:rsidR="006E187A" w:rsidRPr="005F029F" w:rsidRDefault="006E187A" w:rsidP="005F029F">
      <w:pPr>
        <w:pStyle w:val="Heading1"/>
      </w:pPr>
      <w:hyperlink r:id="rId13" w:anchor="toc" w:tooltip="References" w:history="1">
        <w:r w:rsidRPr="005F029F">
          <w:rPr>
            <w:rStyle w:val="Hyperlink"/>
            <w:color w:val="262626" w:themeColor="text1" w:themeTint="D9"/>
            <w:u w:val="none"/>
          </w:rPr>
          <w:t>References</w:t>
        </w:r>
      </w:hyperlink>
    </w:p>
    <w:p w14:paraId="30910771"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Bachmann, A. S., &amp; Simon, B. (2014). Society matters: The mediational role of social recognition in the relationship between victimization and life satisfaction among gay men. </w:t>
      </w:r>
      <w:r w:rsidRPr="006E187A">
        <w:rPr>
          <w:rFonts w:cstheme="minorHAnsi"/>
          <w:i/>
          <w:iCs/>
          <w:sz w:val="24"/>
          <w:szCs w:val="24"/>
        </w:rPr>
        <w:t>European Journal of Social Psychology</w:t>
      </w:r>
      <w:r w:rsidRPr="006E187A">
        <w:rPr>
          <w:rFonts w:cstheme="minorHAnsi"/>
          <w:sz w:val="24"/>
          <w:szCs w:val="24"/>
        </w:rPr>
        <w:t>, </w:t>
      </w:r>
      <w:r w:rsidRPr="006E187A">
        <w:rPr>
          <w:rFonts w:cstheme="minorHAnsi"/>
          <w:i/>
          <w:iCs/>
          <w:sz w:val="24"/>
          <w:szCs w:val="24"/>
        </w:rPr>
        <w:t>44</w:t>
      </w:r>
      <w:r w:rsidRPr="006E187A">
        <w:rPr>
          <w:rFonts w:cstheme="minorHAnsi"/>
          <w:sz w:val="24"/>
          <w:szCs w:val="24"/>
        </w:rPr>
        <w:t>, 195–201. 10.1002/ejsp.2007</w:t>
      </w:r>
    </w:p>
    <w:p w14:paraId="46D74C2C"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Bariola, E., Lyons, A., &amp; Lucke, J. (2017). Flourishing among sexual minority individuals: Application of the dual continuum model of mental health in a sample of lesbians and gay men.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4</w:t>
      </w:r>
      <w:r w:rsidRPr="006E187A">
        <w:rPr>
          <w:rFonts w:cstheme="minorHAnsi"/>
          <w:sz w:val="24"/>
          <w:szCs w:val="24"/>
        </w:rPr>
        <w:t>, 43–53. 10.1037/sgd0000210</w:t>
      </w:r>
    </w:p>
    <w:p w14:paraId="4C9210D2"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Brewster, M. E., Moradi, B., DeBlaere, C., &amp; Velez, B. L. (2013). Navigating the borderlands: The roles of minority stressors, bicultural self-efficacy, and cognitive flexibility in the mental health of bisexual individuals. </w:t>
      </w:r>
      <w:r w:rsidRPr="006E187A">
        <w:rPr>
          <w:rFonts w:cstheme="minorHAnsi"/>
          <w:i/>
          <w:iCs/>
          <w:sz w:val="24"/>
          <w:szCs w:val="24"/>
        </w:rPr>
        <w:t>Journal of Counseling Psychology</w:t>
      </w:r>
      <w:r w:rsidRPr="006E187A">
        <w:rPr>
          <w:rFonts w:cstheme="minorHAnsi"/>
          <w:sz w:val="24"/>
          <w:szCs w:val="24"/>
        </w:rPr>
        <w:t>, </w:t>
      </w:r>
      <w:r w:rsidRPr="006E187A">
        <w:rPr>
          <w:rFonts w:cstheme="minorHAnsi"/>
          <w:i/>
          <w:iCs/>
          <w:sz w:val="24"/>
          <w:szCs w:val="24"/>
        </w:rPr>
        <w:t>60</w:t>
      </w:r>
      <w:r w:rsidRPr="006E187A">
        <w:rPr>
          <w:rFonts w:cstheme="minorHAnsi"/>
          <w:sz w:val="24"/>
          <w:szCs w:val="24"/>
        </w:rPr>
        <w:t>, 543–556. 10.1037/a0033224</w:t>
      </w:r>
    </w:p>
    <w:p w14:paraId="1A9C2427"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Brownfield, J. M., Brown, C., Jeevanba, S. B., &amp; VanMattson, S. B. (2018). More than simply getting Bi: An examination of coming out growth for bisexual individuals.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5</w:t>
      </w:r>
      <w:r w:rsidRPr="006E187A">
        <w:rPr>
          <w:rFonts w:cstheme="minorHAnsi"/>
          <w:sz w:val="24"/>
          <w:szCs w:val="24"/>
        </w:rPr>
        <w:t>, 220–232. 10.1037/sgd0000282</w:t>
      </w:r>
    </w:p>
    <w:p w14:paraId="7323BA2A" w14:textId="4FA9EBC7" w:rsidR="006E187A" w:rsidRPr="006E187A" w:rsidRDefault="006E187A" w:rsidP="005F029F">
      <w:pPr>
        <w:spacing w:after="0"/>
        <w:ind w:left="720" w:hanging="720"/>
        <w:rPr>
          <w:rFonts w:cstheme="minorHAnsi"/>
          <w:sz w:val="24"/>
          <w:szCs w:val="24"/>
        </w:rPr>
      </w:pPr>
      <w:r w:rsidRPr="006E187A">
        <w:rPr>
          <w:rFonts w:cstheme="minorHAnsi"/>
          <w:sz w:val="24"/>
          <w:szCs w:val="24"/>
        </w:rPr>
        <w:t>Centers for Disease Control and Prevention. (2014). </w:t>
      </w:r>
      <w:r w:rsidRPr="006E187A">
        <w:rPr>
          <w:rFonts w:cstheme="minorHAnsi"/>
          <w:i/>
          <w:iCs/>
          <w:sz w:val="24"/>
          <w:szCs w:val="24"/>
        </w:rPr>
        <w:t>Lesbian, gay, bisexual, and transgender health</w:t>
      </w:r>
      <w:r w:rsidRPr="006E187A">
        <w:rPr>
          <w:rFonts w:cstheme="minorHAnsi"/>
          <w:sz w:val="24"/>
          <w:szCs w:val="24"/>
        </w:rPr>
        <w:t>. Atlanta, GA: Author. Retrieved from http://www.cdc.gov/lgbthealth/</w:t>
      </w:r>
    </w:p>
    <w:p w14:paraId="3CA9E0D5"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Cochran, S. D., &amp; Mays, V. M. (2006). Estimating prevalence of mental and substance-using disorders among lesbians and gay men from existing national health data. In A. M.Omoto &amp; H. S.Kurtzman (Eds.), </w:t>
      </w:r>
      <w:r w:rsidRPr="006E187A">
        <w:rPr>
          <w:rFonts w:cstheme="minorHAnsi"/>
          <w:i/>
          <w:iCs/>
          <w:sz w:val="24"/>
          <w:szCs w:val="24"/>
        </w:rPr>
        <w:t>Contemporary perspectives on lesbian, gay, and bisexual psychology: Sexual orientation and mental health</w:t>
      </w:r>
      <w:r w:rsidRPr="006E187A">
        <w:rPr>
          <w:rFonts w:cstheme="minorHAnsi"/>
          <w:sz w:val="24"/>
          <w:szCs w:val="24"/>
        </w:rPr>
        <w:t> (pp. 143–165). Washington, DC: American Psychological Association. 10.1037/11261-007</w:t>
      </w:r>
    </w:p>
    <w:p w14:paraId="5C2323B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Conron, K. J., Mimiaga, M. J., &amp; Landers, S. J. (2010). A population-based study of sexual orientation identity and gender differences in adult health. </w:t>
      </w:r>
      <w:r w:rsidRPr="006E187A">
        <w:rPr>
          <w:rFonts w:cstheme="minorHAnsi"/>
          <w:i/>
          <w:iCs/>
          <w:sz w:val="24"/>
          <w:szCs w:val="24"/>
        </w:rPr>
        <w:t>American Journal of Public Health</w:t>
      </w:r>
      <w:r w:rsidRPr="006E187A">
        <w:rPr>
          <w:rFonts w:cstheme="minorHAnsi"/>
          <w:sz w:val="24"/>
          <w:szCs w:val="24"/>
        </w:rPr>
        <w:t>, </w:t>
      </w:r>
      <w:r w:rsidRPr="006E187A">
        <w:rPr>
          <w:rFonts w:cstheme="minorHAnsi"/>
          <w:i/>
          <w:iCs/>
          <w:sz w:val="24"/>
          <w:szCs w:val="24"/>
        </w:rPr>
        <w:t>100</w:t>
      </w:r>
      <w:r w:rsidRPr="006E187A">
        <w:rPr>
          <w:rFonts w:cstheme="minorHAnsi"/>
          <w:sz w:val="24"/>
          <w:szCs w:val="24"/>
        </w:rPr>
        <w:t>, 1953–1960. 10.2105/AJPH.2009.174169</w:t>
      </w:r>
    </w:p>
    <w:p w14:paraId="4B1E299A"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Cooke, P. J., Melchert, T., &amp; Connor, K. (2016). Measuring well-being: A review of instruments. </w:t>
      </w:r>
      <w:r w:rsidRPr="006E187A">
        <w:rPr>
          <w:rFonts w:cstheme="minorHAnsi"/>
          <w:i/>
          <w:iCs/>
          <w:sz w:val="24"/>
          <w:szCs w:val="24"/>
        </w:rPr>
        <w:t>The Counseling Psychologist</w:t>
      </w:r>
      <w:r w:rsidRPr="006E187A">
        <w:rPr>
          <w:rFonts w:cstheme="minorHAnsi"/>
          <w:sz w:val="24"/>
          <w:szCs w:val="24"/>
        </w:rPr>
        <w:t>, </w:t>
      </w:r>
      <w:r w:rsidRPr="006E187A">
        <w:rPr>
          <w:rFonts w:cstheme="minorHAnsi"/>
          <w:i/>
          <w:iCs/>
          <w:sz w:val="24"/>
          <w:szCs w:val="24"/>
        </w:rPr>
        <w:t>44</w:t>
      </w:r>
      <w:r w:rsidRPr="006E187A">
        <w:rPr>
          <w:rFonts w:cstheme="minorHAnsi"/>
          <w:sz w:val="24"/>
          <w:szCs w:val="24"/>
        </w:rPr>
        <w:t>, 730–757. 10.1177/0011000016633507</w:t>
      </w:r>
    </w:p>
    <w:p w14:paraId="5F2ED807"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Dibble, S. L., Eliason, M. J., &amp; Crawford, B. (2012). Correlates of wellbeing among African American lesbians. </w:t>
      </w:r>
      <w:r w:rsidRPr="006E187A">
        <w:rPr>
          <w:rFonts w:cstheme="minorHAnsi"/>
          <w:i/>
          <w:iCs/>
          <w:sz w:val="24"/>
          <w:szCs w:val="24"/>
        </w:rPr>
        <w:t>Journal of Homosexuality</w:t>
      </w:r>
      <w:r w:rsidRPr="006E187A">
        <w:rPr>
          <w:rFonts w:cstheme="minorHAnsi"/>
          <w:sz w:val="24"/>
          <w:szCs w:val="24"/>
        </w:rPr>
        <w:t>, </w:t>
      </w:r>
      <w:r w:rsidRPr="006E187A">
        <w:rPr>
          <w:rFonts w:cstheme="minorHAnsi"/>
          <w:i/>
          <w:iCs/>
          <w:sz w:val="24"/>
          <w:szCs w:val="24"/>
        </w:rPr>
        <w:t>59</w:t>
      </w:r>
      <w:r w:rsidRPr="006E187A">
        <w:rPr>
          <w:rFonts w:cstheme="minorHAnsi"/>
          <w:sz w:val="24"/>
          <w:szCs w:val="24"/>
        </w:rPr>
        <w:t>, 820–838. 10.1080/00918369.2012.694763</w:t>
      </w:r>
    </w:p>
    <w:p w14:paraId="232271A4"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Dickinson, P., &amp; Adams, J. (2014). Resiliency and mental health and well-being among lesbian, gay and bisexual people. </w:t>
      </w:r>
      <w:r w:rsidRPr="006E187A">
        <w:rPr>
          <w:rFonts w:cstheme="minorHAnsi"/>
          <w:i/>
          <w:iCs/>
          <w:sz w:val="24"/>
          <w:szCs w:val="24"/>
        </w:rPr>
        <w:t>International Journal of Mental Health Promotion</w:t>
      </w:r>
      <w:r w:rsidRPr="006E187A">
        <w:rPr>
          <w:rFonts w:cstheme="minorHAnsi"/>
          <w:sz w:val="24"/>
          <w:szCs w:val="24"/>
        </w:rPr>
        <w:t>, </w:t>
      </w:r>
      <w:r w:rsidRPr="006E187A">
        <w:rPr>
          <w:rFonts w:cstheme="minorHAnsi"/>
          <w:i/>
          <w:iCs/>
          <w:sz w:val="24"/>
          <w:szCs w:val="24"/>
        </w:rPr>
        <w:t>16</w:t>
      </w:r>
      <w:r w:rsidRPr="006E187A">
        <w:rPr>
          <w:rFonts w:cstheme="minorHAnsi"/>
          <w:sz w:val="24"/>
          <w:szCs w:val="24"/>
        </w:rPr>
        <w:t>, 117–125. 10.1080/14623730.2014.903621</w:t>
      </w:r>
    </w:p>
    <w:p w14:paraId="7B6E6609"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Diener, E. (1984). Subjective well-being. </w:t>
      </w:r>
      <w:r w:rsidRPr="006E187A">
        <w:rPr>
          <w:rFonts w:cstheme="minorHAnsi"/>
          <w:i/>
          <w:iCs/>
          <w:sz w:val="24"/>
          <w:szCs w:val="24"/>
        </w:rPr>
        <w:t>Psychological Bulletin</w:t>
      </w:r>
      <w:r w:rsidRPr="006E187A">
        <w:rPr>
          <w:rFonts w:cstheme="minorHAnsi"/>
          <w:sz w:val="24"/>
          <w:szCs w:val="24"/>
        </w:rPr>
        <w:t>, </w:t>
      </w:r>
      <w:r w:rsidRPr="006E187A">
        <w:rPr>
          <w:rFonts w:cstheme="minorHAnsi"/>
          <w:i/>
          <w:iCs/>
          <w:sz w:val="24"/>
          <w:szCs w:val="24"/>
        </w:rPr>
        <w:t>95</w:t>
      </w:r>
      <w:r w:rsidRPr="006E187A">
        <w:rPr>
          <w:rFonts w:cstheme="minorHAnsi"/>
          <w:sz w:val="24"/>
          <w:szCs w:val="24"/>
        </w:rPr>
        <w:t>, 542–575. 10.1037/0033-2909.95.3.542</w:t>
      </w:r>
    </w:p>
    <w:p w14:paraId="554D4FB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Diener, E., Emmons, R. A., Larsen, R. J., &amp; Griffin, S. (1985). The satisfaction with life scale. </w:t>
      </w:r>
      <w:r w:rsidRPr="006E187A">
        <w:rPr>
          <w:rFonts w:cstheme="minorHAnsi"/>
          <w:i/>
          <w:iCs/>
          <w:sz w:val="24"/>
          <w:szCs w:val="24"/>
        </w:rPr>
        <w:t>Journal of Personality Assessment</w:t>
      </w:r>
      <w:r w:rsidRPr="006E187A">
        <w:rPr>
          <w:rFonts w:cstheme="minorHAnsi"/>
          <w:sz w:val="24"/>
          <w:szCs w:val="24"/>
        </w:rPr>
        <w:t>, </w:t>
      </w:r>
      <w:r w:rsidRPr="006E187A">
        <w:rPr>
          <w:rFonts w:cstheme="minorHAnsi"/>
          <w:i/>
          <w:iCs/>
          <w:sz w:val="24"/>
          <w:szCs w:val="24"/>
        </w:rPr>
        <w:t>49</w:t>
      </w:r>
      <w:r w:rsidRPr="006E187A">
        <w:rPr>
          <w:rFonts w:cstheme="minorHAnsi"/>
          <w:sz w:val="24"/>
          <w:szCs w:val="24"/>
        </w:rPr>
        <w:t>, 71–75. 10.1207/s15327752jpa4901_13</w:t>
      </w:r>
    </w:p>
    <w:p w14:paraId="11F827C7"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Dilley, J. A., Simmons, K. W., Boysun, M. J., Pizacani, B. A., &amp; Stark, M. J. (2010). Demonstrating the importance and feasibility of including sexual orientation in public health surveys: Health disparities in the Pacific Northwest. </w:t>
      </w:r>
      <w:r w:rsidRPr="006E187A">
        <w:rPr>
          <w:rFonts w:cstheme="minorHAnsi"/>
          <w:i/>
          <w:iCs/>
          <w:sz w:val="24"/>
          <w:szCs w:val="24"/>
        </w:rPr>
        <w:t>American Journal of Public Health</w:t>
      </w:r>
      <w:r w:rsidRPr="006E187A">
        <w:rPr>
          <w:rFonts w:cstheme="minorHAnsi"/>
          <w:sz w:val="24"/>
          <w:szCs w:val="24"/>
        </w:rPr>
        <w:t>, </w:t>
      </w:r>
      <w:r w:rsidRPr="006E187A">
        <w:rPr>
          <w:rFonts w:cstheme="minorHAnsi"/>
          <w:i/>
          <w:iCs/>
          <w:sz w:val="24"/>
          <w:szCs w:val="24"/>
        </w:rPr>
        <w:t>100</w:t>
      </w:r>
      <w:r w:rsidRPr="006E187A">
        <w:rPr>
          <w:rFonts w:cstheme="minorHAnsi"/>
          <w:sz w:val="24"/>
          <w:szCs w:val="24"/>
        </w:rPr>
        <w:t>, 460–467. 10.2105/AJPH.2007.130336</w:t>
      </w:r>
    </w:p>
    <w:p w14:paraId="781AC047"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Domínguez, D. G., Bobele, M., Coppock, J., &amp; Peña, E. (2015). LGBTQ relationally based positive psychology: An inclusive and systemic framework. </w:t>
      </w:r>
      <w:r w:rsidRPr="006E187A">
        <w:rPr>
          <w:rFonts w:cstheme="minorHAnsi"/>
          <w:i/>
          <w:iCs/>
          <w:sz w:val="24"/>
          <w:szCs w:val="24"/>
        </w:rPr>
        <w:t>Psychological Services</w:t>
      </w:r>
      <w:r w:rsidRPr="006E187A">
        <w:rPr>
          <w:rFonts w:cstheme="minorHAnsi"/>
          <w:sz w:val="24"/>
          <w:szCs w:val="24"/>
        </w:rPr>
        <w:t>, </w:t>
      </w:r>
      <w:r w:rsidRPr="006E187A">
        <w:rPr>
          <w:rFonts w:cstheme="minorHAnsi"/>
          <w:i/>
          <w:iCs/>
          <w:sz w:val="24"/>
          <w:szCs w:val="24"/>
        </w:rPr>
        <w:t>12</w:t>
      </w:r>
      <w:r w:rsidRPr="006E187A">
        <w:rPr>
          <w:rFonts w:cstheme="minorHAnsi"/>
          <w:sz w:val="24"/>
          <w:szCs w:val="24"/>
        </w:rPr>
        <w:t>, 177–185. 10.1037/a0038824</w:t>
      </w:r>
    </w:p>
    <w:p w14:paraId="354F4C7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Domínguez-Fuentes, J. M., Hombrados-Mendieta, M. I., &amp; García-Leiva, P. (2012). Social support and life satisfaction among gay men in Spain. </w:t>
      </w:r>
      <w:r w:rsidRPr="006E187A">
        <w:rPr>
          <w:rFonts w:cstheme="minorHAnsi"/>
          <w:i/>
          <w:iCs/>
          <w:sz w:val="24"/>
          <w:szCs w:val="24"/>
        </w:rPr>
        <w:t>Journal of Homosexuality</w:t>
      </w:r>
      <w:r w:rsidRPr="006E187A">
        <w:rPr>
          <w:rFonts w:cstheme="minorHAnsi"/>
          <w:sz w:val="24"/>
          <w:szCs w:val="24"/>
        </w:rPr>
        <w:t>, </w:t>
      </w:r>
      <w:r w:rsidRPr="006E187A">
        <w:rPr>
          <w:rFonts w:cstheme="minorHAnsi"/>
          <w:i/>
          <w:iCs/>
          <w:sz w:val="24"/>
          <w:szCs w:val="24"/>
        </w:rPr>
        <w:t>59</w:t>
      </w:r>
      <w:r w:rsidRPr="006E187A">
        <w:rPr>
          <w:rFonts w:cstheme="minorHAnsi"/>
          <w:sz w:val="24"/>
          <w:szCs w:val="24"/>
        </w:rPr>
        <w:t>, 241–255. 10.1080/00918369.2012.648879</w:t>
      </w:r>
    </w:p>
    <w:p w14:paraId="3E3567F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Fingerhut, A. W., Peplau, L. A., &amp; Ghavami, N. (2005). A dual-identity framework for understanding lesbian experience. </w:t>
      </w:r>
      <w:r w:rsidRPr="006E187A">
        <w:rPr>
          <w:rFonts w:cstheme="minorHAnsi"/>
          <w:i/>
          <w:iCs/>
          <w:sz w:val="24"/>
          <w:szCs w:val="24"/>
        </w:rPr>
        <w:t>Psychology of Women Quarterly</w:t>
      </w:r>
      <w:r w:rsidRPr="006E187A">
        <w:rPr>
          <w:rFonts w:cstheme="minorHAnsi"/>
          <w:sz w:val="24"/>
          <w:szCs w:val="24"/>
        </w:rPr>
        <w:t>, </w:t>
      </w:r>
      <w:r w:rsidRPr="006E187A">
        <w:rPr>
          <w:rFonts w:cstheme="minorHAnsi"/>
          <w:i/>
          <w:iCs/>
          <w:sz w:val="24"/>
          <w:szCs w:val="24"/>
        </w:rPr>
        <w:t>29</w:t>
      </w:r>
      <w:r w:rsidRPr="006E187A">
        <w:rPr>
          <w:rFonts w:cstheme="minorHAnsi"/>
          <w:sz w:val="24"/>
          <w:szCs w:val="24"/>
        </w:rPr>
        <w:t>, 129–139. 10.1111/j.1471-6402.2005.00175.x</w:t>
      </w:r>
    </w:p>
    <w:p w14:paraId="21E3514B"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Frable, D. E., Wortman, C., &amp; Joseph, J. (1997). Predicting self-esteem, well-being, and distress in a cohort of gay men: The importance of cultural stigma, personal visibility, community networks, and positive identity. </w:t>
      </w:r>
      <w:r w:rsidRPr="006E187A">
        <w:rPr>
          <w:rFonts w:cstheme="minorHAnsi"/>
          <w:i/>
          <w:iCs/>
          <w:sz w:val="24"/>
          <w:szCs w:val="24"/>
        </w:rPr>
        <w:t>Journal of Personality</w:t>
      </w:r>
      <w:r w:rsidRPr="006E187A">
        <w:rPr>
          <w:rFonts w:cstheme="minorHAnsi"/>
          <w:sz w:val="24"/>
          <w:szCs w:val="24"/>
        </w:rPr>
        <w:t>, </w:t>
      </w:r>
      <w:r w:rsidRPr="006E187A">
        <w:rPr>
          <w:rFonts w:cstheme="minorHAnsi"/>
          <w:i/>
          <w:iCs/>
          <w:sz w:val="24"/>
          <w:szCs w:val="24"/>
        </w:rPr>
        <w:t>65</w:t>
      </w:r>
      <w:r w:rsidRPr="006E187A">
        <w:rPr>
          <w:rFonts w:cstheme="minorHAnsi"/>
          <w:sz w:val="24"/>
          <w:szCs w:val="24"/>
        </w:rPr>
        <w:t>, 599–624. 10.1111/j.1467-6494.1997.tb00328.x</w:t>
      </w:r>
    </w:p>
    <w:p w14:paraId="28B271C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Fredriksen-Goldsen, K. I., Kim, H.-J., Barkan, S. E., Balsam, K. F., &amp; Mincer, S. L. (2010). Disparities in health-related quality of life: A comparison of lesbians and bisexual women. </w:t>
      </w:r>
      <w:r w:rsidRPr="006E187A">
        <w:rPr>
          <w:rFonts w:cstheme="minorHAnsi"/>
          <w:i/>
          <w:iCs/>
          <w:sz w:val="24"/>
          <w:szCs w:val="24"/>
        </w:rPr>
        <w:t>American Journal of Public Health</w:t>
      </w:r>
      <w:r w:rsidRPr="006E187A">
        <w:rPr>
          <w:rFonts w:cstheme="minorHAnsi"/>
          <w:sz w:val="24"/>
          <w:szCs w:val="24"/>
        </w:rPr>
        <w:t>, </w:t>
      </w:r>
      <w:r w:rsidRPr="006E187A">
        <w:rPr>
          <w:rFonts w:cstheme="minorHAnsi"/>
          <w:i/>
          <w:iCs/>
          <w:sz w:val="24"/>
          <w:szCs w:val="24"/>
        </w:rPr>
        <w:t>100</w:t>
      </w:r>
      <w:r w:rsidRPr="006E187A">
        <w:rPr>
          <w:rFonts w:cstheme="minorHAnsi"/>
          <w:sz w:val="24"/>
          <w:szCs w:val="24"/>
        </w:rPr>
        <w:t>, 2255–2261. 10.2105/AJPH.2009.177329</w:t>
      </w:r>
    </w:p>
    <w:p w14:paraId="60C4B13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Fredriksen-Goldsen, K. I., Simoni, J. M., Kim, H. J., Lehavot, K., Walters, K. L., Yang, J., . . .Muraco, A. (2014). The health equity promotion model: Reconceptualization of lesbian, gay, bisexual, and transgender (LGBT) health disparities. </w:t>
      </w:r>
      <w:r w:rsidRPr="006E187A">
        <w:rPr>
          <w:rFonts w:cstheme="minorHAnsi"/>
          <w:i/>
          <w:iCs/>
          <w:sz w:val="24"/>
          <w:szCs w:val="24"/>
        </w:rPr>
        <w:t>American Journal of Orthopsychiatry</w:t>
      </w:r>
      <w:r w:rsidRPr="006E187A">
        <w:rPr>
          <w:rFonts w:cstheme="minorHAnsi"/>
          <w:sz w:val="24"/>
          <w:szCs w:val="24"/>
        </w:rPr>
        <w:t>, </w:t>
      </w:r>
      <w:r w:rsidRPr="006E187A">
        <w:rPr>
          <w:rFonts w:cstheme="minorHAnsi"/>
          <w:i/>
          <w:iCs/>
          <w:sz w:val="24"/>
          <w:szCs w:val="24"/>
        </w:rPr>
        <w:t>84</w:t>
      </w:r>
      <w:r w:rsidRPr="006E187A">
        <w:rPr>
          <w:rFonts w:cstheme="minorHAnsi"/>
          <w:sz w:val="24"/>
          <w:szCs w:val="24"/>
        </w:rPr>
        <w:t>, 653–663. 10.1037/ort0000030</w:t>
      </w:r>
    </w:p>
    <w:p w14:paraId="74CF92D3"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Frost, D. M., &amp; Meyer, I. H. (2012). Measuring community connectedness among diverse sexual minority populations. </w:t>
      </w:r>
      <w:r w:rsidRPr="006E187A">
        <w:rPr>
          <w:rFonts w:cstheme="minorHAnsi"/>
          <w:i/>
          <w:iCs/>
          <w:sz w:val="24"/>
          <w:szCs w:val="24"/>
        </w:rPr>
        <w:t>Journal of Sex Research</w:t>
      </w:r>
      <w:r w:rsidRPr="006E187A">
        <w:rPr>
          <w:rFonts w:cstheme="minorHAnsi"/>
          <w:sz w:val="24"/>
          <w:szCs w:val="24"/>
        </w:rPr>
        <w:t>, </w:t>
      </w:r>
      <w:r w:rsidRPr="006E187A">
        <w:rPr>
          <w:rFonts w:cstheme="minorHAnsi"/>
          <w:i/>
          <w:iCs/>
          <w:sz w:val="24"/>
          <w:szCs w:val="24"/>
        </w:rPr>
        <w:t>49</w:t>
      </w:r>
      <w:r w:rsidRPr="006E187A">
        <w:rPr>
          <w:rFonts w:cstheme="minorHAnsi"/>
          <w:sz w:val="24"/>
          <w:szCs w:val="24"/>
        </w:rPr>
        <w:t>, 36–49. 10.1080/00224499.2011.565427</w:t>
      </w:r>
    </w:p>
    <w:p w14:paraId="5A408E8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Ghavami, N., Fingerhut, A., Peplau, L. A., Grant, S. K., &amp; Wittig, M. A. (2011). Testing a model of minority identity achievement, identity affirmation, and psychological well-being among ethnic minority and sexual minority individuals. </w:t>
      </w:r>
      <w:r w:rsidRPr="006E187A">
        <w:rPr>
          <w:rFonts w:cstheme="minorHAnsi"/>
          <w:i/>
          <w:iCs/>
          <w:sz w:val="24"/>
          <w:szCs w:val="24"/>
        </w:rPr>
        <w:t>Cultural Diversity and Ethnic Minority Psychology</w:t>
      </w:r>
      <w:r w:rsidRPr="006E187A">
        <w:rPr>
          <w:rFonts w:cstheme="minorHAnsi"/>
          <w:sz w:val="24"/>
          <w:szCs w:val="24"/>
        </w:rPr>
        <w:t>, </w:t>
      </w:r>
      <w:r w:rsidRPr="006E187A">
        <w:rPr>
          <w:rFonts w:cstheme="minorHAnsi"/>
          <w:i/>
          <w:iCs/>
          <w:sz w:val="24"/>
          <w:szCs w:val="24"/>
        </w:rPr>
        <w:t>17</w:t>
      </w:r>
      <w:r w:rsidRPr="006E187A">
        <w:rPr>
          <w:rFonts w:cstheme="minorHAnsi"/>
          <w:sz w:val="24"/>
          <w:szCs w:val="24"/>
        </w:rPr>
        <w:t>, 79–88. 10.1037/a0022532</w:t>
      </w:r>
    </w:p>
    <w:p w14:paraId="79A9B89F"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Grewal, R., Cote, J. A., &amp; Baumgartner, H. (2004). Multicollinearity and measurement error in structural equation models: Implications for theory testing. </w:t>
      </w:r>
      <w:r w:rsidRPr="006E187A">
        <w:rPr>
          <w:rFonts w:cstheme="minorHAnsi"/>
          <w:i/>
          <w:iCs/>
          <w:sz w:val="24"/>
          <w:szCs w:val="24"/>
        </w:rPr>
        <w:t>Marketing Science</w:t>
      </w:r>
      <w:r w:rsidRPr="006E187A">
        <w:rPr>
          <w:rFonts w:cstheme="minorHAnsi"/>
          <w:sz w:val="24"/>
          <w:szCs w:val="24"/>
        </w:rPr>
        <w:t>, </w:t>
      </w:r>
      <w:r w:rsidRPr="006E187A">
        <w:rPr>
          <w:rFonts w:cstheme="minorHAnsi"/>
          <w:i/>
          <w:iCs/>
          <w:sz w:val="24"/>
          <w:szCs w:val="24"/>
        </w:rPr>
        <w:t>23</w:t>
      </w:r>
      <w:r w:rsidRPr="006E187A">
        <w:rPr>
          <w:rFonts w:cstheme="minorHAnsi"/>
          <w:sz w:val="24"/>
          <w:szCs w:val="24"/>
        </w:rPr>
        <w:t>, 519–529. 10.1287/mksc.1040.0070</w:t>
      </w:r>
    </w:p>
    <w:p w14:paraId="7F1CA032"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Herek, G. M., &amp; Garnets, L. D. (2007). Sexual orientation and mental health. </w:t>
      </w:r>
      <w:r w:rsidRPr="006E187A">
        <w:rPr>
          <w:rFonts w:cstheme="minorHAnsi"/>
          <w:i/>
          <w:iCs/>
          <w:sz w:val="24"/>
          <w:szCs w:val="24"/>
        </w:rPr>
        <w:t>Annual Review of Clinical Psychology</w:t>
      </w:r>
      <w:r w:rsidRPr="006E187A">
        <w:rPr>
          <w:rFonts w:cstheme="minorHAnsi"/>
          <w:sz w:val="24"/>
          <w:szCs w:val="24"/>
        </w:rPr>
        <w:t>, </w:t>
      </w:r>
      <w:r w:rsidRPr="006E187A">
        <w:rPr>
          <w:rFonts w:cstheme="minorHAnsi"/>
          <w:i/>
          <w:iCs/>
          <w:sz w:val="24"/>
          <w:szCs w:val="24"/>
        </w:rPr>
        <w:t>3</w:t>
      </w:r>
      <w:r w:rsidRPr="006E187A">
        <w:rPr>
          <w:rFonts w:cstheme="minorHAnsi"/>
          <w:sz w:val="24"/>
          <w:szCs w:val="24"/>
        </w:rPr>
        <w:t>, 353–375. 10.1146/annurev.clinpsy.3.022806.091510</w:t>
      </w:r>
    </w:p>
    <w:p w14:paraId="083AA8DC"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Higa, D., Hoppe, M. J., Lindhorst, T., Mincer, S., Beadnell, B., Morrison, D. M., . . .Mountz, S. (2014). Negative and positive factors associated with the well-being of lesbian, gay, bisexual, transgender, queer, and questioning (LGBTQ) youth. </w:t>
      </w:r>
      <w:r w:rsidRPr="006E187A">
        <w:rPr>
          <w:rFonts w:cstheme="minorHAnsi"/>
          <w:i/>
          <w:iCs/>
          <w:sz w:val="24"/>
          <w:szCs w:val="24"/>
        </w:rPr>
        <w:t>Youth &amp; Society</w:t>
      </w:r>
      <w:r w:rsidRPr="006E187A">
        <w:rPr>
          <w:rFonts w:cstheme="minorHAnsi"/>
          <w:sz w:val="24"/>
          <w:szCs w:val="24"/>
        </w:rPr>
        <w:t>, </w:t>
      </w:r>
      <w:r w:rsidRPr="006E187A">
        <w:rPr>
          <w:rFonts w:cstheme="minorHAnsi"/>
          <w:i/>
          <w:iCs/>
          <w:sz w:val="24"/>
          <w:szCs w:val="24"/>
        </w:rPr>
        <w:t>46</w:t>
      </w:r>
      <w:r w:rsidRPr="006E187A">
        <w:rPr>
          <w:rFonts w:cstheme="minorHAnsi"/>
          <w:sz w:val="24"/>
          <w:szCs w:val="24"/>
        </w:rPr>
        <w:t>, 663–687. 10.1177/0044118X12449630</w:t>
      </w:r>
    </w:p>
    <w:p w14:paraId="4D6CBBCA"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Horne, S. G., Puckett, J. A., Apter, R., &amp; Levitt, H. M. (2014). Positive psychology and LGBTQ populations. In J. T.Pedrotti &amp; L. M.Edwards (Eds.), </w:t>
      </w:r>
      <w:r w:rsidRPr="006E187A">
        <w:rPr>
          <w:rFonts w:cstheme="minorHAnsi"/>
          <w:i/>
          <w:iCs/>
          <w:sz w:val="24"/>
          <w:szCs w:val="24"/>
        </w:rPr>
        <w:t>Perspectives on the intersection of multiculturalism and positive psychology</w:t>
      </w:r>
      <w:r w:rsidRPr="006E187A">
        <w:rPr>
          <w:rFonts w:cstheme="minorHAnsi"/>
          <w:sz w:val="24"/>
          <w:szCs w:val="24"/>
        </w:rPr>
        <w:t> (pp. 189–202). New York, NY: Springer.</w:t>
      </w:r>
    </w:p>
    <w:p w14:paraId="5F6D133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Israel, T. (2018). Bisexuality: From margin to center.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5</w:t>
      </w:r>
      <w:r w:rsidRPr="006E187A">
        <w:rPr>
          <w:rFonts w:cstheme="minorHAnsi"/>
          <w:sz w:val="24"/>
          <w:szCs w:val="24"/>
        </w:rPr>
        <w:t>, 233–242. 10.1037/sgd0000294</w:t>
      </w:r>
    </w:p>
    <w:p w14:paraId="768809B6"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Jennings, L. K., &amp; Tan, P. P. (2014). Self-compassion and life satisfaction in gay men. </w:t>
      </w:r>
      <w:r w:rsidRPr="006E187A">
        <w:rPr>
          <w:rFonts w:cstheme="minorHAnsi"/>
          <w:i/>
          <w:iCs/>
          <w:sz w:val="24"/>
          <w:szCs w:val="24"/>
        </w:rPr>
        <w:t>Psychological Reports</w:t>
      </w:r>
      <w:r w:rsidRPr="006E187A">
        <w:rPr>
          <w:rFonts w:cstheme="minorHAnsi"/>
          <w:sz w:val="24"/>
          <w:szCs w:val="24"/>
        </w:rPr>
        <w:t>, </w:t>
      </w:r>
      <w:r w:rsidRPr="006E187A">
        <w:rPr>
          <w:rFonts w:cstheme="minorHAnsi"/>
          <w:i/>
          <w:iCs/>
          <w:sz w:val="24"/>
          <w:szCs w:val="24"/>
        </w:rPr>
        <w:t>115</w:t>
      </w:r>
      <w:r w:rsidRPr="006E187A">
        <w:rPr>
          <w:rFonts w:cstheme="minorHAnsi"/>
          <w:sz w:val="24"/>
          <w:szCs w:val="24"/>
        </w:rPr>
        <w:t>, 888–895. 10.2466/21.07.PR0.115c33z3</w:t>
      </w:r>
    </w:p>
    <w:p w14:paraId="5BE9834D"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Jorm, A. F., Korten, A. E., Rodgers, B., Jacomb, P. A., &amp; Christensen, H. (2002). Sexual orientation and mental health: Results from a community survey of young and middle-aged adults. </w:t>
      </w:r>
      <w:r w:rsidRPr="006E187A">
        <w:rPr>
          <w:rFonts w:cstheme="minorHAnsi"/>
          <w:i/>
          <w:iCs/>
          <w:sz w:val="24"/>
          <w:szCs w:val="24"/>
        </w:rPr>
        <w:t>The British Journal of Psychiatry</w:t>
      </w:r>
      <w:r w:rsidRPr="006E187A">
        <w:rPr>
          <w:rFonts w:cstheme="minorHAnsi"/>
          <w:sz w:val="24"/>
          <w:szCs w:val="24"/>
        </w:rPr>
        <w:t>, </w:t>
      </w:r>
      <w:r w:rsidRPr="006E187A">
        <w:rPr>
          <w:rFonts w:cstheme="minorHAnsi"/>
          <w:i/>
          <w:iCs/>
          <w:sz w:val="24"/>
          <w:szCs w:val="24"/>
        </w:rPr>
        <w:t>180</w:t>
      </w:r>
      <w:r w:rsidRPr="006E187A">
        <w:rPr>
          <w:rFonts w:cstheme="minorHAnsi"/>
          <w:sz w:val="24"/>
          <w:szCs w:val="24"/>
        </w:rPr>
        <w:t>, 423–427. 10.1192/bjp.180.5.423</w:t>
      </w:r>
    </w:p>
    <w:p w14:paraId="285F084D"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Keleher, J., Wei, M., &amp; Liao, K. Y.-H. (2010). Attachment, positive feelings about being a lesbian, perceived general support, and well-being. </w:t>
      </w:r>
      <w:r w:rsidRPr="006E187A">
        <w:rPr>
          <w:rFonts w:cstheme="minorHAnsi"/>
          <w:i/>
          <w:iCs/>
          <w:sz w:val="24"/>
          <w:szCs w:val="24"/>
        </w:rPr>
        <w:t>Journal of Social and Clinical Psychology</w:t>
      </w:r>
      <w:r w:rsidRPr="006E187A">
        <w:rPr>
          <w:rFonts w:cstheme="minorHAnsi"/>
          <w:sz w:val="24"/>
          <w:szCs w:val="24"/>
        </w:rPr>
        <w:t>, </w:t>
      </w:r>
      <w:r w:rsidRPr="006E187A">
        <w:rPr>
          <w:rFonts w:cstheme="minorHAnsi"/>
          <w:i/>
          <w:iCs/>
          <w:sz w:val="24"/>
          <w:szCs w:val="24"/>
        </w:rPr>
        <w:t>29</w:t>
      </w:r>
      <w:r w:rsidRPr="006E187A">
        <w:rPr>
          <w:rFonts w:cstheme="minorHAnsi"/>
          <w:sz w:val="24"/>
          <w:szCs w:val="24"/>
        </w:rPr>
        <w:t>, 847–873.</w:t>
      </w:r>
    </w:p>
    <w:p w14:paraId="60CE37F4"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Kertzner, R. M., Meyer, I. H., Frost, D. M., &amp; Stirratt, M. J. (2009). Social and psychological well-being in lesbians, gay men, and bisexuals: The effects of race, gender, age, and sexual identity. </w:t>
      </w:r>
      <w:r w:rsidRPr="006E187A">
        <w:rPr>
          <w:rFonts w:cstheme="minorHAnsi"/>
          <w:i/>
          <w:iCs/>
          <w:sz w:val="24"/>
          <w:szCs w:val="24"/>
        </w:rPr>
        <w:t>American Journal of Orthopsychiatry</w:t>
      </w:r>
      <w:r w:rsidRPr="006E187A">
        <w:rPr>
          <w:rFonts w:cstheme="minorHAnsi"/>
          <w:sz w:val="24"/>
          <w:szCs w:val="24"/>
        </w:rPr>
        <w:t>, </w:t>
      </w:r>
      <w:r w:rsidRPr="006E187A">
        <w:rPr>
          <w:rFonts w:cstheme="minorHAnsi"/>
          <w:i/>
          <w:iCs/>
          <w:sz w:val="24"/>
          <w:szCs w:val="24"/>
        </w:rPr>
        <w:t>79</w:t>
      </w:r>
      <w:r w:rsidRPr="006E187A">
        <w:rPr>
          <w:rFonts w:cstheme="minorHAnsi"/>
          <w:sz w:val="24"/>
          <w:szCs w:val="24"/>
        </w:rPr>
        <w:t>, 500–510. 10.1037/a0016848</w:t>
      </w:r>
    </w:p>
    <w:p w14:paraId="62457E81"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Keyes, C. L. M. (1998). Social well-being. </w:t>
      </w:r>
      <w:r w:rsidRPr="006E187A">
        <w:rPr>
          <w:rFonts w:cstheme="minorHAnsi"/>
          <w:i/>
          <w:iCs/>
          <w:sz w:val="24"/>
          <w:szCs w:val="24"/>
        </w:rPr>
        <w:t>Social Psychology Quarterly</w:t>
      </w:r>
      <w:r w:rsidRPr="006E187A">
        <w:rPr>
          <w:rFonts w:cstheme="minorHAnsi"/>
          <w:sz w:val="24"/>
          <w:szCs w:val="24"/>
        </w:rPr>
        <w:t>, </w:t>
      </w:r>
      <w:r w:rsidRPr="006E187A">
        <w:rPr>
          <w:rFonts w:cstheme="minorHAnsi"/>
          <w:i/>
          <w:iCs/>
          <w:sz w:val="24"/>
          <w:szCs w:val="24"/>
        </w:rPr>
        <w:t>61</w:t>
      </w:r>
      <w:r w:rsidRPr="006E187A">
        <w:rPr>
          <w:rFonts w:cstheme="minorHAnsi"/>
          <w:sz w:val="24"/>
          <w:szCs w:val="24"/>
        </w:rPr>
        <w:t>, 121–140. 10.2307/2787065</w:t>
      </w:r>
    </w:p>
    <w:p w14:paraId="1F13062A"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Keyes, C. L. (2002). The mental health continuum: From languishing to flourishing in life. </w:t>
      </w:r>
      <w:r w:rsidRPr="006E187A">
        <w:rPr>
          <w:rFonts w:cstheme="minorHAnsi"/>
          <w:i/>
          <w:iCs/>
          <w:sz w:val="24"/>
          <w:szCs w:val="24"/>
        </w:rPr>
        <w:t>Journal of Health and Social Behavior</w:t>
      </w:r>
      <w:r w:rsidRPr="006E187A">
        <w:rPr>
          <w:rFonts w:cstheme="minorHAnsi"/>
          <w:sz w:val="24"/>
          <w:szCs w:val="24"/>
        </w:rPr>
        <w:t>, </w:t>
      </w:r>
      <w:r w:rsidRPr="006E187A">
        <w:rPr>
          <w:rFonts w:cstheme="minorHAnsi"/>
          <w:i/>
          <w:iCs/>
          <w:sz w:val="24"/>
          <w:szCs w:val="24"/>
        </w:rPr>
        <w:t>43</w:t>
      </w:r>
      <w:r w:rsidRPr="006E187A">
        <w:rPr>
          <w:rFonts w:cstheme="minorHAnsi"/>
          <w:sz w:val="24"/>
          <w:szCs w:val="24"/>
        </w:rPr>
        <w:t>, 207–222. 10.2307/3090197</w:t>
      </w:r>
    </w:p>
    <w:p w14:paraId="37E030E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Keyes, C. L., Wissing, M., Potgieter, J. P., Temane, M., Kruger, A., &amp; van Rooy, S. (2008). Evaluation of the mental health continuum-short form (MHC-SF) in Setswana-speaking South Africans. </w:t>
      </w:r>
      <w:r w:rsidRPr="006E187A">
        <w:rPr>
          <w:rFonts w:cstheme="minorHAnsi"/>
          <w:i/>
          <w:iCs/>
          <w:sz w:val="24"/>
          <w:szCs w:val="24"/>
        </w:rPr>
        <w:t>Clinical Psychology &amp; Psychotherapy</w:t>
      </w:r>
      <w:r w:rsidRPr="006E187A">
        <w:rPr>
          <w:rFonts w:cstheme="minorHAnsi"/>
          <w:sz w:val="24"/>
          <w:szCs w:val="24"/>
        </w:rPr>
        <w:t>, </w:t>
      </w:r>
      <w:r w:rsidRPr="006E187A">
        <w:rPr>
          <w:rFonts w:cstheme="minorHAnsi"/>
          <w:i/>
          <w:iCs/>
          <w:sz w:val="24"/>
          <w:szCs w:val="24"/>
        </w:rPr>
        <w:t>15</w:t>
      </w:r>
      <w:r w:rsidRPr="006E187A">
        <w:rPr>
          <w:rFonts w:cstheme="minorHAnsi"/>
          <w:sz w:val="24"/>
          <w:szCs w:val="24"/>
        </w:rPr>
        <w:t>, 181–192. 10.1002/cpp.572</w:t>
      </w:r>
    </w:p>
    <w:p w14:paraId="2EC1F2BA"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King, M., Semlyen, J., Tai, S. S., Killaspy, H., Osborn, D., Popelyuk, D., &amp; Nazareth, I. (2008). A systematic review of mental disorder, suicide, and deliberate self harm in lesbian, gay and bisexual people. </w:t>
      </w:r>
      <w:r w:rsidRPr="006E187A">
        <w:rPr>
          <w:rFonts w:cstheme="minorHAnsi"/>
          <w:i/>
          <w:iCs/>
          <w:sz w:val="24"/>
          <w:szCs w:val="24"/>
        </w:rPr>
        <w:t>BMC Psychiatry</w:t>
      </w:r>
      <w:r w:rsidRPr="006E187A">
        <w:rPr>
          <w:rFonts w:cstheme="minorHAnsi"/>
          <w:sz w:val="24"/>
          <w:szCs w:val="24"/>
        </w:rPr>
        <w:t>, </w:t>
      </w:r>
      <w:r w:rsidRPr="006E187A">
        <w:rPr>
          <w:rFonts w:cstheme="minorHAnsi"/>
          <w:i/>
          <w:iCs/>
          <w:sz w:val="24"/>
          <w:szCs w:val="24"/>
        </w:rPr>
        <w:t>8</w:t>
      </w:r>
      <w:r w:rsidRPr="006E187A">
        <w:rPr>
          <w:rFonts w:cstheme="minorHAnsi"/>
          <w:sz w:val="24"/>
          <w:szCs w:val="24"/>
        </w:rPr>
        <w:t>, 70. 10.1186/1471-244X-8-70</w:t>
      </w:r>
    </w:p>
    <w:p w14:paraId="6189A25C"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Kline, R. B. (2016). </w:t>
      </w:r>
      <w:r w:rsidRPr="006E187A">
        <w:rPr>
          <w:rFonts w:cstheme="minorHAnsi"/>
          <w:i/>
          <w:iCs/>
          <w:sz w:val="24"/>
          <w:szCs w:val="24"/>
        </w:rPr>
        <w:t>Principles and practice of structural equation modeling</w:t>
      </w:r>
      <w:r w:rsidRPr="006E187A">
        <w:rPr>
          <w:rFonts w:cstheme="minorHAnsi"/>
          <w:sz w:val="24"/>
          <w:szCs w:val="24"/>
        </w:rPr>
        <w:t>. New York, NY: Guilford Press.</w:t>
      </w:r>
    </w:p>
    <w:p w14:paraId="782686A0"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Lei, P.-W., &amp; Wu, Q. (2012). Estimation in structural equation modeling. In R. H.Hoyle (Ed.), </w:t>
      </w:r>
      <w:r w:rsidRPr="006E187A">
        <w:rPr>
          <w:rFonts w:cstheme="minorHAnsi"/>
          <w:i/>
          <w:iCs/>
          <w:sz w:val="24"/>
          <w:szCs w:val="24"/>
        </w:rPr>
        <w:t>Handbook of structural equation modeling</w:t>
      </w:r>
      <w:r w:rsidRPr="006E187A">
        <w:rPr>
          <w:rFonts w:cstheme="minorHAnsi"/>
          <w:sz w:val="24"/>
          <w:szCs w:val="24"/>
        </w:rPr>
        <w:t> (pp. 164–179). New York, NY: Guilford Press.</w:t>
      </w:r>
    </w:p>
    <w:p w14:paraId="790794D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Lent, R. W. (2004). Toward a unifying theoretical and practical perspective on well-being and psychosocial adjustment. </w:t>
      </w:r>
      <w:r w:rsidRPr="006E187A">
        <w:rPr>
          <w:rFonts w:cstheme="minorHAnsi"/>
          <w:i/>
          <w:iCs/>
          <w:sz w:val="24"/>
          <w:szCs w:val="24"/>
        </w:rPr>
        <w:t>Journal of Counseling Psychology</w:t>
      </w:r>
      <w:r w:rsidRPr="006E187A">
        <w:rPr>
          <w:rFonts w:cstheme="minorHAnsi"/>
          <w:sz w:val="24"/>
          <w:szCs w:val="24"/>
        </w:rPr>
        <w:t>, </w:t>
      </w:r>
      <w:r w:rsidRPr="006E187A">
        <w:rPr>
          <w:rFonts w:cstheme="minorHAnsi"/>
          <w:i/>
          <w:iCs/>
          <w:sz w:val="24"/>
          <w:szCs w:val="24"/>
        </w:rPr>
        <w:t>51</w:t>
      </w:r>
      <w:r w:rsidRPr="006E187A">
        <w:rPr>
          <w:rFonts w:cstheme="minorHAnsi"/>
          <w:sz w:val="24"/>
          <w:szCs w:val="24"/>
        </w:rPr>
        <w:t>, 482–509. 10.1037/0022-0167.51.4.482</w:t>
      </w:r>
    </w:p>
    <w:p w14:paraId="32E611E3"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Li, Y., Johnson, B. D., &amp; Jenkins-Guarnieri, M. A. (2013). Sexual identity development and subjective well-being among Chinese lesbians. </w:t>
      </w:r>
      <w:r w:rsidRPr="006E187A">
        <w:rPr>
          <w:rFonts w:cstheme="minorHAnsi"/>
          <w:i/>
          <w:iCs/>
          <w:sz w:val="24"/>
          <w:szCs w:val="24"/>
        </w:rPr>
        <w:t>International Perspectives in Psychology: Research, Practice, Consultation</w:t>
      </w:r>
      <w:r w:rsidRPr="006E187A">
        <w:rPr>
          <w:rFonts w:cstheme="minorHAnsi"/>
          <w:sz w:val="24"/>
          <w:szCs w:val="24"/>
        </w:rPr>
        <w:t>, </w:t>
      </w:r>
      <w:r w:rsidRPr="006E187A">
        <w:rPr>
          <w:rFonts w:cstheme="minorHAnsi"/>
          <w:i/>
          <w:iCs/>
          <w:sz w:val="24"/>
          <w:szCs w:val="24"/>
        </w:rPr>
        <w:t>2</w:t>
      </w:r>
      <w:r w:rsidRPr="006E187A">
        <w:rPr>
          <w:rFonts w:cstheme="minorHAnsi"/>
          <w:sz w:val="24"/>
          <w:szCs w:val="24"/>
        </w:rPr>
        <w:t>, 242–254. 10.1037/a0033752</w:t>
      </w:r>
    </w:p>
    <w:p w14:paraId="3F490F33"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Luhtanen, R. K. (2003). Identity, stigma management, and well-being: A comparison of lesbians/bisexual women and gay/bisexual men. </w:t>
      </w:r>
      <w:r w:rsidRPr="006E187A">
        <w:rPr>
          <w:rFonts w:cstheme="minorHAnsi"/>
          <w:i/>
          <w:iCs/>
          <w:sz w:val="24"/>
          <w:szCs w:val="24"/>
        </w:rPr>
        <w:t>Journal of Lesbian Studies</w:t>
      </w:r>
      <w:r w:rsidRPr="006E187A">
        <w:rPr>
          <w:rFonts w:cstheme="minorHAnsi"/>
          <w:sz w:val="24"/>
          <w:szCs w:val="24"/>
        </w:rPr>
        <w:t>, </w:t>
      </w:r>
      <w:r w:rsidRPr="006E187A">
        <w:rPr>
          <w:rFonts w:cstheme="minorHAnsi"/>
          <w:i/>
          <w:iCs/>
          <w:sz w:val="24"/>
          <w:szCs w:val="24"/>
        </w:rPr>
        <w:t>7</w:t>
      </w:r>
      <w:r w:rsidRPr="006E187A">
        <w:rPr>
          <w:rFonts w:cstheme="minorHAnsi"/>
          <w:sz w:val="24"/>
          <w:szCs w:val="24"/>
        </w:rPr>
        <w:t>, 85–100. 10.1300/J155v07n01_06</w:t>
      </w:r>
    </w:p>
    <w:p w14:paraId="70D8FA4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Martens, M. P. (2005). The use of structural equation modeling in counseling psychology research. </w:t>
      </w:r>
      <w:r w:rsidRPr="006E187A">
        <w:rPr>
          <w:rFonts w:cstheme="minorHAnsi"/>
          <w:i/>
          <w:iCs/>
          <w:sz w:val="24"/>
          <w:szCs w:val="24"/>
        </w:rPr>
        <w:t>The Counseling Psychologist</w:t>
      </w:r>
      <w:r w:rsidRPr="006E187A">
        <w:rPr>
          <w:rFonts w:cstheme="minorHAnsi"/>
          <w:sz w:val="24"/>
          <w:szCs w:val="24"/>
        </w:rPr>
        <w:t>, </w:t>
      </w:r>
      <w:r w:rsidRPr="006E187A">
        <w:rPr>
          <w:rFonts w:cstheme="minorHAnsi"/>
          <w:i/>
          <w:iCs/>
          <w:sz w:val="24"/>
          <w:szCs w:val="24"/>
        </w:rPr>
        <w:t>33</w:t>
      </w:r>
      <w:r w:rsidRPr="006E187A">
        <w:rPr>
          <w:rFonts w:cstheme="minorHAnsi"/>
          <w:sz w:val="24"/>
          <w:szCs w:val="24"/>
        </w:rPr>
        <w:t>, 269–298. 10.1177/0011000004272260</w:t>
      </w:r>
    </w:p>
    <w:p w14:paraId="4F06856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Masini, B. E., &amp; Barrett, H. A. (2008). Social support as a predictor of psychological and physical well-being and lifestyle in lesbian, gay, and bisexual adults aged 50 and over. </w:t>
      </w:r>
      <w:r w:rsidRPr="006E187A">
        <w:rPr>
          <w:rFonts w:cstheme="minorHAnsi"/>
          <w:i/>
          <w:iCs/>
          <w:sz w:val="24"/>
          <w:szCs w:val="24"/>
        </w:rPr>
        <w:t>Journal of Gay &amp; Lesbian Social Services</w:t>
      </w:r>
      <w:r w:rsidRPr="006E187A">
        <w:rPr>
          <w:rFonts w:cstheme="minorHAnsi"/>
          <w:sz w:val="24"/>
          <w:szCs w:val="24"/>
        </w:rPr>
        <w:t>, </w:t>
      </w:r>
      <w:r w:rsidRPr="006E187A">
        <w:rPr>
          <w:rFonts w:cstheme="minorHAnsi"/>
          <w:i/>
          <w:iCs/>
          <w:sz w:val="24"/>
          <w:szCs w:val="24"/>
        </w:rPr>
        <w:t>20</w:t>
      </w:r>
      <w:r w:rsidRPr="006E187A">
        <w:rPr>
          <w:rFonts w:cstheme="minorHAnsi"/>
          <w:sz w:val="24"/>
          <w:szCs w:val="24"/>
        </w:rPr>
        <w:t>, 91–110. 10.1080/10538720802179013</w:t>
      </w:r>
    </w:p>
    <w:p w14:paraId="4839AEB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Matthews, D. D., &amp; Lee, J. G. (2014). A profile of North Carolina lesbian, gay, and bisexual health disparities, 2011. </w:t>
      </w:r>
      <w:r w:rsidRPr="006E187A">
        <w:rPr>
          <w:rFonts w:cstheme="minorHAnsi"/>
          <w:i/>
          <w:iCs/>
          <w:sz w:val="24"/>
          <w:szCs w:val="24"/>
        </w:rPr>
        <w:t>American Journal of Public Health</w:t>
      </w:r>
      <w:r w:rsidRPr="006E187A">
        <w:rPr>
          <w:rFonts w:cstheme="minorHAnsi"/>
          <w:sz w:val="24"/>
          <w:szCs w:val="24"/>
        </w:rPr>
        <w:t>, </w:t>
      </w:r>
      <w:r w:rsidRPr="006E187A">
        <w:rPr>
          <w:rFonts w:cstheme="minorHAnsi"/>
          <w:i/>
          <w:iCs/>
          <w:sz w:val="24"/>
          <w:szCs w:val="24"/>
        </w:rPr>
        <w:t>104</w:t>
      </w:r>
      <w:r w:rsidRPr="006E187A">
        <w:rPr>
          <w:rFonts w:cstheme="minorHAnsi"/>
          <w:sz w:val="24"/>
          <w:szCs w:val="24"/>
        </w:rPr>
        <w:t>, e98–e105. 10.2105/AJPH.2013.301751</w:t>
      </w:r>
    </w:p>
    <w:p w14:paraId="67F18A6F"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Meyer, I. H. (1995). Minority stress and mental health in gay men. </w:t>
      </w:r>
      <w:r w:rsidRPr="006E187A">
        <w:rPr>
          <w:rFonts w:cstheme="minorHAnsi"/>
          <w:i/>
          <w:iCs/>
          <w:sz w:val="24"/>
          <w:szCs w:val="24"/>
        </w:rPr>
        <w:t>Journal of Health and Social Behavior</w:t>
      </w:r>
      <w:r w:rsidRPr="006E187A">
        <w:rPr>
          <w:rFonts w:cstheme="minorHAnsi"/>
          <w:sz w:val="24"/>
          <w:szCs w:val="24"/>
        </w:rPr>
        <w:t>, </w:t>
      </w:r>
      <w:r w:rsidRPr="006E187A">
        <w:rPr>
          <w:rFonts w:cstheme="minorHAnsi"/>
          <w:i/>
          <w:iCs/>
          <w:sz w:val="24"/>
          <w:szCs w:val="24"/>
        </w:rPr>
        <w:t>36</w:t>
      </w:r>
      <w:r w:rsidRPr="006E187A">
        <w:rPr>
          <w:rFonts w:cstheme="minorHAnsi"/>
          <w:sz w:val="24"/>
          <w:szCs w:val="24"/>
        </w:rPr>
        <w:t>, 38–56. 10.2307/2137286</w:t>
      </w:r>
    </w:p>
    <w:p w14:paraId="3858B53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Meyer, I. H. (2003). Prejudice, social stress, and mental health in lesbian, gay, and bisexual populations: Conceptual issues and research evidence. </w:t>
      </w:r>
      <w:r w:rsidRPr="006E187A">
        <w:rPr>
          <w:rFonts w:cstheme="minorHAnsi"/>
          <w:i/>
          <w:iCs/>
          <w:sz w:val="24"/>
          <w:szCs w:val="24"/>
        </w:rPr>
        <w:t>Psychological Bulletin</w:t>
      </w:r>
      <w:r w:rsidRPr="006E187A">
        <w:rPr>
          <w:rFonts w:cstheme="minorHAnsi"/>
          <w:sz w:val="24"/>
          <w:szCs w:val="24"/>
        </w:rPr>
        <w:t>, </w:t>
      </w:r>
      <w:r w:rsidRPr="006E187A">
        <w:rPr>
          <w:rFonts w:cstheme="minorHAnsi"/>
          <w:i/>
          <w:iCs/>
          <w:sz w:val="24"/>
          <w:szCs w:val="24"/>
        </w:rPr>
        <w:t>129</w:t>
      </w:r>
      <w:r w:rsidRPr="006E187A">
        <w:rPr>
          <w:rFonts w:cstheme="minorHAnsi"/>
          <w:sz w:val="24"/>
          <w:szCs w:val="24"/>
        </w:rPr>
        <w:t>, 674–697. 10.1037/0033-2909.129.5.674</w:t>
      </w:r>
    </w:p>
    <w:p w14:paraId="3E2DDB19"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Meyer, I. H. (2014). Minority stress and positive psychology: Convergences and divergences to understanding LGBT health.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1</w:t>
      </w:r>
      <w:r w:rsidRPr="006E187A">
        <w:rPr>
          <w:rFonts w:cstheme="minorHAnsi"/>
          <w:sz w:val="24"/>
          <w:szCs w:val="24"/>
        </w:rPr>
        <w:t>, 348–349. 10.1037/sgd0000070</w:t>
      </w:r>
    </w:p>
    <w:p w14:paraId="003B242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Meyer, I. H. (2015). Resilience in the study of minority stress and health of sexual and gender minorities.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2</w:t>
      </w:r>
      <w:r w:rsidRPr="006E187A">
        <w:rPr>
          <w:rFonts w:cstheme="minorHAnsi"/>
          <w:sz w:val="24"/>
          <w:szCs w:val="24"/>
        </w:rPr>
        <w:t>, 209–213. 10.1037/sgd0000132</w:t>
      </w:r>
    </w:p>
    <w:p w14:paraId="77E7A0DF"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Meyer, I. H., &amp; Northridge, M. E. (Eds.). (2007). </w:t>
      </w:r>
      <w:r w:rsidRPr="006E187A">
        <w:rPr>
          <w:rFonts w:cstheme="minorHAnsi"/>
          <w:i/>
          <w:iCs/>
          <w:sz w:val="24"/>
          <w:szCs w:val="24"/>
        </w:rPr>
        <w:t>The health of sexual minorities: Public health perspectives on lesbian, gay, bisexual and transgender population</w:t>
      </w:r>
      <w:r w:rsidRPr="006E187A">
        <w:rPr>
          <w:rFonts w:cstheme="minorHAnsi"/>
          <w:sz w:val="24"/>
          <w:szCs w:val="24"/>
        </w:rPr>
        <w:t>. New York, NY: Springer. 10.1007/978-0-387-31334-4</w:t>
      </w:r>
    </w:p>
    <w:p w14:paraId="0C1372A4"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Meyer, I. H., &amp; Wilson, P. A. (2009). Sampling lesbian, gay, and bisexual populations. </w:t>
      </w:r>
      <w:r w:rsidRPr="006E187A">
        <w:rPr>
          <w:rFonts w:cstheme="minorHAnsi"/>
          <w:i/>
          <w:iCs/>
          <w:sz w:val="24"/>
          <w:szCs w:val="24"/>
        </w:rPr>
        <w:t>Journal of Counseling Psychology</w:t>
      </w:r>
      <w:r w:rsidRPr="006E187A">
        <w:rPr>
          <w:rFonts w:cstheme="minorHAnsi"/>
          <w:sz w:val="24"/>
          <w:szCs w:val="24"/>
        </w:rPr>
        <w:t>, </w:t>
      </w:r>
      <w:r w:rsidRPr="006E187A">
        <w:rPr>
          <w:rFonts w:cstheme="minorHAnsi"/>
          <w:i/>
          <w:iCs/>
          <w:sz w:val="24"/>
          <w:szCs w:val="24"/>
        </w:rPr>
        <w:t>56</w:t>
      </w:r>
      <w:r w:rsidRPr="006E187A">
        <w:rPr>
          <w:rFonts w:cstheme="minorHAnsi"/>
          <w:sz w:val="24"/>
          <w:szCs w:val="24"/>
        </w:rPr>
        <w:t>, 23–31. 10.1037/a0014587</w:t>
      </w:r>
    </w:p>
    <w:p w14:paraId="6121C78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Mohr, J. J., &amp; Kendra, M. S. (2011). Revision and extension of a multidimensional measure of sexual minority identity: The Lesbian, Gay, and Bisexual Identity Scale. </w:t>
      </w:r>
      <w:r w:rsidRPr="006E187A">
        <w:rPr>
          <w:rFonts w:cstheme="minorHAnsi"/>
          <w:i/>
          <w:iCs/>
          <w:sz w:val="24"/>
          <w:szCs w:val="24"/>
        </w:rPr>
        <w:t>Journal of Counseling Psychology</w:t>
      </w:r>
      <w:r w:rsidRPr="006E187A">
        <w:rPr>
          <w:rFonts w:cstheme="minorHAnsi"/>
          <w:sz w:val="24"/>
          <w:szCs w:val="24"/>
        </w:rPr>
        <w:t>, </w:t>
      </w:r>
      <w:r w:rsidRPr="006E187A">
        <w:rPr>
          <w:rFonts w:cstheme="minorHAnsi"/>
          <w:i/>
          <w:iCs/>
          <w:sz w:val="24"/>
          <w:szCs w:val="24"/>
        </w:rPr>
        <w:t>58</w:t>
      </w:r>
      <w:r w:rsidRPr="006E187A">
        <w:rPr>
          <w:rFonts w:cstheme="minorHAnsi"/>
          <w:sz w:val="24"/>
          <w:szCs w:val="24"/>
        </w:rPr>
        <w:t>, 234–245. 10.1037/a0022858</w:t>
      </w:r>
    </w:p>
    <w:p w14:paraId="67F090F5"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Mohr, J. J., &amp; Rochlen, A. B. (1999). Measuring attitudes regarding bisexuality in lesbian, gay male, and heterosexual populations. </w:t>
      </w:r>
      <w:r w:rsidRPr="006E187A">
        <w:rPr>
          <w:rFonts w:cstheme="minorHAnsi"/>
          <w:i/>
          <w:iCs/>
          <w:sz w:val="24"/>
          <w:szCs w:val="24"/>
        </w:rPr>
        <w:t>Journal of Counseling Psychology</w:t>
      </w:r>
      <w:r w:rsidRPr="006E187A">
        <w:rPr>
          <w:rFonts w:cstheme="minorHAnsi"/>
          <w:sz w:val="24"/>
          <w:szCs w:val="24"/>
        </w:rPr>
        <w:t>, </w:t>
      </w:r>
      <w:r w:rsidRPr="006E187A">
        <w:rPr>
          <w:rFonts w:cstheme="minorHAnsi"/>
          <w:i/>
          <w:iCs/>
          <w:sz w:val="24"/>
          <w:szCs w:val="24"/>
        </w:rPr>
        <w:t>46</w:t>
      </w:r>
      <w:r w:rsidRPr="006E187A">
        <w:rPr>
          <w:rFonts w:cstheme="minorHAnsi"/>
          <w:sz w:val="24"/>
          <w:szCs w:val="24"/>
        </w:rPr>
        <w:t>, 353–369. 10.1037/0022-0167.46.3.353</w:t>
      </w:r>
    </w:p>
    <w:p w14:paraId="12F5FE11"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Morrison, M. A. (2011). Psychological health correlates of perceived discrimination among Canadian gay men and lesbian women. </w:t>
      </w:r>
      <w:r w:rsidRPr="006E187A">
        <w:rPr>
          <w:rFonts w:cstheme="minorHAnsi"/>
          <w:i/>
          <w:iCs/>
          <w:sz w:val="24"/>
          <w:szCs w:val="24"/>
        </w:rPr>
        <w:t>Canadian Journal of Community Mental Health</w:t>
      </w:r>
      <w:r w:rsidRPr="006E187A">
        <w:rPr>
          <w:rFonts w:cstheme="minorHAnsi"/>
          <w:sz w:val="24"/>
          <w:szCs w:val="24"/>
        </w:rPr>
        <w:t>, </w:t>
      </w:r>
      <w:r w:rsidRPr="006E187A">
        <w:rPr>
          <w:rFonts w:cstheme="minorHAnsi"/>
          <w:i/>
          <w:iCs/>
          <w:sz w:val="24"/>
          <w:szCs w:val="24"/>
        </w:rPr>
        <w:t>30</w:t>
      </w:r>
      <w:r w:rsidRPr="006E187A">
        <w:rPr>
          <w:rFonts w:cstheme="minorHAnsi"/>
          <w:sz w:val="24"/>
          <w:szCs w:val="24"/>
        </w:rPr>
        <w:t>, 81–98. 10.7870/cjcmh-2011-0018</w:t>
      </w:r>
    </w:p>
    <w:p w14:paraId="02209DB5"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Mulick, P. S., &amp; Wright, L. W., Jr. (2011). The Biphobia Scale a decade later: Reflections and additions. </w:t>
      </w:r>
      <w:r w:rsidRPr="006E187A">
        <w:rPr>
          <w:rFonts w:cstheme="minorHAnsi"/>
          <w:i/>
          <w:iCs/>
          <w:sz w:val="24"/>
          <w:szCs w:val="24"/>
        </w:rPr>
        <w:t>Journal of Bisexuality</w:t>
      </w:r>
      <w:r w:rsidRPr="006E187A">
        <w:rPr>
          <w:rFonts w:cstheme="minorHAnsi"/>
          <w:sz w:val="24"/>
          <w:szCs w:val="24"/>
        </w:rPr>
        <w:t>, </w:t>
      </w:r>
      <w:r w:rsidRPr="006E187A">
        <w:rPr>
          <w:rFonts w:cstheme="minorHAnsi"/>
          <w:i/>
          <w:iCs/>
          <w:sz w:val="24"/>
          <w:szCs w:val="24"/>
        </w:rPr>
        <w:t>11</w:t>
      </w:r>
      <w:r w:rsidRPr="006E187A">
        <w:rPr>
          <w:rFonts w:cstheme="minorHAnsi"/>
          <w:sz w:val="24"/>
          <w:szCs w:val="24"/>
        </w:rPr>
        <w:t>, 453–457. 10.1080/15299716.2011.620486</w:t>
      </w:r>
    </w:p>
    <w:p w14:paraId="384EDFD4"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Phinney, J. S. (1992). The multigroup ethnic identity measure: A new scale for use with diverse groups. </w:t>
      </w:r>
      <w:r w:rsidRPr="006E187A">
        <w:rPr>
          <w:rFonts w:cstheme="minorHAnsi"/>
          <w:i/>
          <w:iCs/>
          <w:sz w:val="24"/>
          <w:szCs w:val="24"/>
        </w:rPr>
        <w:t>Journal of Adolescent Research</w:t>
      </w:r>
      <w:r w:rsidRPr="006E187A">
        <w:rPr>
          <w:rFonts w:cstheme="minorHAnsi"/>
          <w:sz w:val="24"/>
          <w:szCs w:val="24"/>
        </w:rPr>
        <w:t>, </w:t>
      </w:r>
      <w:r w:rsidRPr="006E187A">
        <w:rPr>
          <w:rFonts w:cstheme="minorHAnsi"/>
          <w:i/>
          <w:iCs/>
          <w:sz w:val="24"/>
          <w:szCs w:val="24"/>
        </w:rPr>
        <w:t>7</w:t>
      </w:r>
      <w:r w:rsidRPr="006E187A">
        <w:rPr>
          <w:rFonts w:cstheme="minorHAnsi"/>
          <w:sz w:val="24"/>
          <w:szCs w:val="24"/>
        </w:rPr>
        <w:t>, 156–176. 10.1177/074355489272003</w:t>
      </w:r>
    </w:p>
    <w:p w14:paraId="44ED8EE6"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Powdthavee, N., &amp; Wooden, M. (2015). Life satisfaction and sexual minorities: Evidence from Australia and the United Kingdom. </w:t>
      </w:r>
      <w:r w:rsidRPr="006E187A">
        <w:rPr>
          <w:rFonts w:cstheme="minorHAnsi"/>
          <w:i/>
          <w:iCs/>
          <w:sz w:val="24"/>
          <w:szCs w:val="24"/>
        </w:rPr>
        <w:t>Journal of Economic Behavior &amp; Organization</w:t>
      </w:r>
      <w:r w:rsidRPr="006E187A">
        <w:rPr>
          <w:rFonts w:cstheme="minorHAnsi"/>
          <w:sz w:val="24"/>
          <w:szCs w:val="24"/>
        </w:rPr>
        <w:t>, </w:t>
      </w:r>
      <w:r w:rsidRPr="006E187A">
        <w:rPr>
          <w:rFonts w:cstheme="minorHAnsi"/>
          <w:i/>
          <w:iCs/>
          <w:sz w:val="24"/>
          <w:szCs w:val="24"/>
        </w:rPr>
        <w:t>116</w:t>
      </w:r>
      <w:r w:rsidRPr="006E187A">
        <w:rPr>
          <w:rFonts w:cstheme="minorHAnsi"/>
          <w:sz w:val="24"/>
          <w:szCs w:val="24"/>
        </w:rPr>
        <w:t>, 107–126. 10.1016/j.jebo.2015.04.012</w:t>
      </w:r>
    </w:p>
    <w:p w14:paraId="688FF7F3" w14:textId="53692659" w:rsidR="006E187A" w:rsidRPr="006E187A" w:rsidRDefault="006E187A" w:rsidP="005F029F">
      <w:pPr>
        <w:spacing w:after="0"/>
        <w:ind w:left="720" w:hanging="720"/>
        <w:rPr>
          <w:rFonts w:cstheme="minorHAnsi"/>
          <w:sz w:val="24"/>
          <w:szCs w:val="24"/>
        </w:rPr>
      </w:pPr>
      <w:r w:rsidRPr="006E187A">
        <w:rPr>
          <w:rFonts w:cstheme="minorHAnsi"/>
          <w:sz w:val="24"/>
          <w:szCs w:val="24"/>
        </w:rPr>
        <w:t>Preacher, K. J., &amp; Coffman, D. L. (2006). </w:t>
      </w:r>
      <w:r w:rsidRPr="006E187A">
        <w:rPr>
          <w:rFonts w:cstheme="minorHAnsi"/>
          <w:i/>
          <w:iCs/>
          <w:sz w:val="24"/>
          <w:szCs w:val="24"/>
        </w:rPr>
        <w:t>Computing power and minimum sample size for RMSEA</w:t>
      </w:r>
      <w:r w:rsidRPr="006E187A">
        <w:rPr>
          <w:rFonts w:cstheme="minorHAnsi"/>
          <w:sz w:val="24"/>
          <w:szCs w:val="24"/>
        </w:rPr>
        <w:t> [Computer Software]. Retrieved from http://quantpsy.org/</w:t>
      </w:r>
    </w:p>
    <w:p w14:paraId="762822C7"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Ramirez-Valles, J., Fergus, S., Reisen, C. A., Poppen, P. J., &amp; Zea, M. C. (2005). Confronting stigma: Community involvement and psychological well-being among HIV-positive latino gay men. </w:t>
      </w:r>
      <w:r w:rsidRPr="006E187A">
        <w:rPr>
          <w:rFonts w:cstheme="minorHAnsi"/>
          <w:i/>
          <w:iCs/>
          <w:sz w:val="24"/>
          <w:szCs w:val="24"/>
        </w:rPr>
        <w:t>Hispanic Journal of Behavioral Sciences</w:t>
      </w:r>
      <w:r w:rsidRPr="006E187A">
        <w:rPr>
          <w:rFonts w:cstheme="minorHAnsi"/>
          <w:sz w:val="24"/>
          <w:szCs w:val="24"/>
        </w:rPr>
        <w:t>, </w:t>
      </w:r>
      <w:r w:rsidRPr="006E187A">
        <w:rPr>
          <w:rFonts w:cstheme="minorHAnsi"/>
          <w:i/>
          <w:iCs/>
          <w:sz w:val="24"/>
          <w:szCs w:val="24"/>
        </w:rPr>
        <w:t>27</w:t>
      </w:r>
      <w:r w:rsidRPr="006E187A">
        <w:rPr>
          <w:rFonts w:cstheme="minorHAnsi"/>
          <w:sz w:val="24"/>
          <w:szCs w:val="24"/>
        </w:rPr>
        <w:t>, 101–119. 10.1177/0739986304270232</w:t>
      </w:r>
    </w:p>
    <w:p w14:paraId="7CCB3602"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Riggle, E. D. B., Mohr, J. J., Rostosky, S. S., Fingerhut, A. W., &amp; Balsam, K. F. (2014). A multifactor lesbian, gay, and bisexual positive identity measure (LGB-PIM).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1</w:t>
      </w:r>
      <w:r w:rsidRPr="006E187A">
        <w:rPr>
          <w:rFonts w:cstheme="minorHAnsi"/>
          <w:sz w:val="24"/>
          <w:szCs w:val="24"/>
        </w:rPr>
        <w:t>, 398–411. 10.1037/sgd0000057</w:t>
      </w:r>
    </w:p>
    <w:p w14:paraId="1AE3E589"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Riggle, E. D. B., &amp; Rostosky, S. S. (2012). </w:t>
      </w:r>
      <w:r w:rsidRPr="006E187A">
        <w:rPr>
          <w:rFonts w:cstheme="minorHAnsi"/>
          <w:i/>
          <w:iCs/>
          <w:sz w:val="24"/>
          <w:szCs w:val="24"/>
        </w:rPr>
        <w:t>A positive view of LGBTQ: Embracing identity and cultivating well-being</w:t>
      </w:r>
      <w:r w:rsidRPr="006E187A">
        <w:rPr>
          <w:rFonts w:cstheme="minorHAnsi"/>
          <w:sz w:val="24"/>
          <w:szCs w:val="24"/>
        </w:rPr>
        <w:t>. Lanham, MD: Rowman &amp; Littlefield.</w:t>
      </w:r>
    </w:p>
    <w:p w14:paraId="33E98785"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Riggle, E. D., Rostosky, S. S., &amp; Danner, F. (2009). LGB identity and eudaimonic well being in midlife. </w:t>
      </w:r>
      <w:r w:rsidRPr="006E187A">
        <w:rPr>
          <w:rFonts w:cstheme="minorHAnsi"/>
          <w:i/>
          <w:iCs/>
          <w:sz w:val="24"/>
          <w:szCs w:val="24"/>
        </w:rPr>
        <w:t>Journal of Homosexuality</w:t>
      </w:r>
      <w:r w:rsidRPr="006E187A">
        <w:rPr>
          <w:rFonts w:cstheme="minorHAnsi"/>
          <w:sz w:val="24"/>
          <w:szCs w:val="24"/>
        </w:rPr>
        <w:t>, </w:t>
      </w:r>
      <w:r w:rsidRPr="006E187A">
        <w:rPr>
          <w:rFonts w:cstheme="minorHAnsi"/>
          <w:i/>
          <w:iCs/>
          <w:sz w:val="24"/>
          <w:szCs w:val="24"/>
        </w:rPr>
        <w:t>56</w:t>
      </w:r>
      <w:r w:rsidRPr="006E187A">
        <w:rPr>
          <w:rFonts w:cstheme="minorHAnsi"/>
          <w:sz w:val="24"/>
          <w:szCs w:val="24"/>
        </w:rPr>
        <w:t>, 786–798. 10.1080/00918360903054277</w:t>
      </w:r>
    </w:p>
    <w:p w14:paraId="2100CF7C"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Riggle, E. D. B., Whitman, J. S., Olson, A., Rostosky, S. S., &amp; Strong, S. (2008). The positive aspects of being a lesbian or gay man. </w:t>
      </w:r>
      <w:r w:rsidRPr="006E187A">
        <w:rPr>
          <w:rFonts w:cstheme="minorHAnsi"/>
          <w:i/>
          <w:iCs/>
          <w:sz w:val="24"/>
          <w:szCs w:val="24"/>
        </w:rPr>
        <w:t>Professional Psychology: Research and Practice</w:t>
      </w:r>
      <w:r w:rsidRPr="006E187A">
        <w:rPr>
          <w:rFonts w:cstheme="minorHAnsi"/>
          <w:sz w:val="24"/>
          <w:szCs w:val="24"/>
        </w:rPr>
        <w:t>, </w:t>
      </w:r>
      <w:r w:rsidRPr="006E187A">
        <w:rPr>
          <w:rFonts w:cstheme="minorHAnsi"/>
          <w:i/>
          <w:iCs/>
          <w:sz w:val="24"/>
          <w:szCs w:val="24"/>
        </w:rPr>
        <w:t>39</w:t>
      </w:r>
      <w:r w:rsidRPr="006E187A">
        <w:rPr>
          <w:rFonts w:cstheme="minorHAnsi"/>
          <w:sz w:val="24"/>
          <w:szCs w:val="24"/>
        </w:rPr>
        <w:t>, 210–217. 10.1037/0735-7028.39.2.210</w:t>
      </w:r>
    </w:p>
    <w:p w14:paraId="37249D8A"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Rivers, I., &amp; Noret, N. (2008). Well-being among same-sex-and opposite-sex-attracted youth at school. </w:t>
      </w:r>
      <w:r w:rsidRPr="006E187A">
        <w:rPr>
          <w:rFonts w:cstheme="minorHAnsi"/>
          <w:i/>
          <w:iCs/>
          <w:sz w:val="24"/>
          <w:szCs w:val="24"/>
        </w:rPr>
        <w:t>School Psychology Review</w:t>
      </w:r>
      <w:r w:rsidRPr="006E187A">
        <w:rPr>
          <w:rFonts w:cstheme="minorHAnsi"/>
          <w:sz w:val="24"/>
          <w:szCs w:val="24"/>
        </w:rPr>
        <w:t>, </w:t>
      </w:r>
      <w:r w:rsidRPr="006E187A">
        <w:rPr>
          <w:rFonts w:cstheme="minorHAnsi"/>
          <w:i/>
          <w:iCs/>
          <w:sz w:val="24"/>
          <w:szCs w:val="24"/>
        </w:rPr>
        <w:t>37</w:t>
      </w:r>
      <w:r w:rsidRPr="006E187A">
        <w:rPr>
          <w:rFonts w:cstheme="minorHAnsi"/>
          <w:sz w:val="24"/>
          <w:szCs w:val="24"/>
        </w:rPr>
        <w:t>, 174–187.</w:t>
      </w:r>
    </w:p>
    <w:p w14:paraId="12BC9AA4"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Ross, L. E., Dobinson, C., &amp; Eady, A. (2010). Perceived determinants of mental health for bisexual people: A qualitative examination. </w:t>
      </w:r>
      <w:r w:rsidRPr="006E187A">
        <w:rPr>
          <w:rFonts w:cstheme="minorHAnsi"/>
          <w:i/>
          <w:iCs/>
          <w:sz w:val="24"/>
          <w:szCs w:val="24"/>
        </w:rPr>
        <w:t>American Journal of Public Health</w:t>
      </w:r>
      <w:r w:rsidRPr="006E187A">
        <w:rPr>
          <w:rFonts w:cstheme="minorHAnsi"/>
          <w:sz w:val="24"/>
          <w:szCs w:val="24"/>
        </w:rPr>
        <w:t>, </w:t>
      </w:r>
      <w:r w:rsidRPr="006E187A">
        <w:rPr>
          <w:rFonts w:cstheme="minorHAnsi"/>
          <w:i/>
          <w:iCs/>
          <w:sz w:val="24"/>
          <w:szCs w:val="24"/>
        </w:rPr>
        <w:t>100</w:t>
      </w:r>
      <w:r w:rsidRPr="006E187A">
        <w:rPr>
          <w:rFonts w:cstheme="minorHAnsi"/>
          <w:sz w:val="24"/>
          <w:szCs w:val="24"/>
        </w:rPr>
        <w:t>, 496–502. 10.2105/AJPH.2008.156307</w:t>
      </w:r>
    </w:p>
    <w:p w14:paraId="68854172"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Ross, L. E., Salway, T., Tarasoff, L. A., MacKay, J. M., Hawkins, B. W., &amp; Fehr, C. P. (2018). Prevalence of depression and anxiety among bisexual people compared to gay, lesbian, and heterosexual individuals: A systematic review and meta-analysis. </w:t>
      </w:r>
      <w:r w:rsidRPr="006E187A">
        <w:rPr>
          <w:rFonts w:cstheme="minorHAnsi"/>
          <w:i/>
          <w:iCs/>
          <w:sz w:val="24"/>
          <w:szCs w:val="24"/>
        </w:rPr>
        <w:t>Journal of Sex Research</w:t>
      </w:r>
      <w:r w:rsidRPr="006E187A">
        <w:rPr>
          <w:rFonts w:cstheme="minorHAnsi"/>
          <w:sz w:val="24"/>
          <w:szCs w:val="24"/>
        </w:rPr>
        <w:t>, </w:t>
      </w:r>
      <w:r w:rsidRPr="006E187A">
        <w:rPr>
          <w:rFonts w:cstheme="minorHAnsi"/>
          <w:i/>
          <w:iCs/>
          <w:sz w:val="24"/>
          <w:szCs w:val="24"/>
        </w:rPr>
        <w:t>55</w:t>
      </w:r>
      <w:r w:rsidRPr="006E187A">
        <w:rPr>
          <w:rFonts w:cstheme="minorHAnsi"/>
          <w:sz w:val="24"/>
          <w:szCs w:val="24"/>
        </w:rPr>
        <w:t>, 435–456. 10.1080/00224499.2017.1387755</w:t>
      </w:r>
    </w:p>
    <w:p w14:paraId="5B2C9146"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Rostosky, S. S., Riggle, E. D. B., Pascale-Hague, D., &amp; McCants, L. E. (2010). The positive aspects of a bisexual self-identification. </w:t>
      </w:r>
      <w:r w:rsidRPr="006E187A">
        <w:rPr>
          <w:rFonts w:cstheme="minorHAnsi"/>
          <w:i/>
          <w:iCs/>
          <w:sz w:val="24"/>
          <w:szCs w:val="24"/>
        </w:rPr>
        <w:t>Psychology and Sexuality</w:t>
      </w:r>
      <w:r w:rsidRPr="006E187A">
        <w:rPr>
          <w:rFonts w:cstheme="minorHAnsi"/>
          <w:sz w:val="24"/>
          <w:szCs w:val="24"/>
        </w:rPr>
        <w:t>, </w:t>
      </w:r>
      <w:r w:rsidRPr="006E187A">
        <w:rPr>
          <w:rFonts w:cstheme="minorHAnsi"/>
          <w:i/>
          <w:iCs/>
          <w:sz w:val="24"/>
          <w:szCs w:val="24"/>
        </w:rPr>
        <w:t>1</w:t>
      </w:r>
      <w:r w:rsidRPr="006E187A">
        <w:rPr>
          <w:rFonts w:cstheme="minorHAnsi"/>
          <w:sz w:val="24"/>
          <w:szCs w:val="24"/>
        </w:rPr>
        <w:t>, 131–144. 10.1080/19419899.2010.484595</w:t>
      </w:r>
    </w:p>
    <w:p w14:paraId="57CE029F"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Ryan, R. M., &amp; Deci, E. L. (2001). On happiness and human potentials: A review of research on hedonic and eudaimonic well-being. </w:t>
      </w:r>
      <w:r w:rsidRPr="006E187A">
        <w:rPr>
          <w:rFonts w:cstheme="minorHAnsi"/>
          <w:i/>
          <w:iCs/>
          <w:sz w:val="24"/>
          <w:szCs w:val="24"/>
        </w:rPr>
        <w:t>Annual Review of Psychology</w:t>
      </w:r>
      <w:r w:rsidRPr="006E187A">
        <w:rPr>
          <w:rFonts w:cstheme="minorHAnsi"/>
          <w:sz w:val="24"/>
          <w:szCs w:val="24"/>
        </w:rPr>
        <w:t>, </w:t>
      </w:r>
      <w:r w:rsidRPr="006E187A">
        <w:rPr>
          <w:rFonts w:cstheme="minorHAnsi"/>
          <w:i/>
          <w:iCs/>
          <w:sz w:val="24"/>
          <w:szCs w:val="24"/>
        </w:rPr>
        <w:t>52</w:t>
      </w:r>
      <w:r w:rsidRPr="006E187A">
        <w:rPr>
          <w:rFonts w:cstheme="minorHAnsi"/>
          <w:sz w:val="24"/>
          <w:szCs w:val="24"/>
        </w:rPr>
        <w:t>, 141–166. 10.1146/annurev.psych.52.1.141</w:t>
      </w:r>
    </w:p>
    <w:p w14:paraId="15475F96"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Ryff, C. D. (1989). Happiness is everything, or is it? Explorations on the meaning of psychological well-being. </w:t>
      </w:r>
      <w:r w:rsidRPr="006E187A">
        <w:rPr>
          <w:rFonts w:cstheme="minorHAnsi"/>
          <w:i/>
          <w:iCs/>
          <w:sz w:val="24"/>
          <w:szCs w:val="24"/>
        </w:rPr>
        <w:t>Journal of Personality and Social Psychology</w:t>
      </w:r>
      <w:r w:rsidRPr="006E187A">
        <w:rPr>
          <w:rFonts w:cstheme="minorHAnsi"/>
          <w:sz w:val="24"/>
          <w:szCs w:val="24"/>
        </w:rPr>
        <w:t>, </w:t>
      </w:r>
      <w:r w:rsidRPr="006E187A">
        <w:rPr>
          <w:rFonts w:cstheme="minorHAnsi"/>
          <w:i/>
          <w:iCs/>
          <w:sz w:val="24"/>
          <w:szCs w:val="24"/>
        </w:rPr>
        <w:t>57</w:t>
      </w:r>
      <w:r w:rsidRPr="006E187A">
        <w:rPr>
          <w:rFonts w:cstheme="minorHAnsi"/>
          <w:sz w:val="24"/>
          <w:szCs w:val="24"/>
        </w:rPr>
        <w:t>, 1069–1081. 10.1037/0022-3514.57.6.1069</w:t>
      </w:r>
    </w:p>
    <w:p w14:paraId="6E2ABE74"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Ryff, C. D., &amp; Keyes, C. L. M. (1995). The structure of psychological well-being revisited. </w:t>
      </w:r>
      <w:r w:rsidRPr="006E187A">
        <w:rPr>
          <w:rFonts w:cstheme="minorHAnsi"/>
          <w:i/>
          <w:iCs/>
          <w:sz w:val="24"/>
          <w:szCs w:val="24"/>
        </w:rPr>
        <w:t>Journal of Personality and Social Psychology</w:t>
      </w:r>
      <w:r w:rsidRPr="006E187A">
        <w:rPr>
          <w:rFonts w:cstheme="minorHAnsi"/>
          <w:sz w:val="24"/>
          <w:szCs w:val="24"/>
        </w:rPr>
        <w:t>, </w:t>
      </w:r>
      <w:r w:rsidRPr="006E187A">
        <w:rPr>
          <w:rFonts w:cstheme="minorHAnsi"/>
          <w:i/>
          <w:iCs/>
          <w:sz w:val="24"/>
          <w:szCs w:val="24"/>
        </w:rPr>
        <w:t>69</w:t>
      </w:r>
      <w:r w:rsidRPr="006E187A">
        <w:rPr>
          <w:rFonts w:cstheme="minorHAnsi"/>
          <w:sz w:val="24"/>
          <w:szCs w:val="24"/>
        </w:rPr>
        <w:t>, 719–727. 10.1037/0022-3514.69.4.719</w:t>
      </w:r>
    </w:p>
    <w:p w14:paraId="78D9547C"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Saewyc, E. M., Homma, Y., Skay, C. L., Bearinger, L. H., Resnick, M. D., &amp; Reis, E. (2009). Protective factors in the lives of bisexual adolescents in North America. </w:t>
      </w:r>
      <w:r w:rsidRPr="006E187A">
        <w:rPr>
          <w:rFonts w:cstheme="minorHAnsi"/>
          <w:i/>
          <w:iCs/>
          <w:sz w:val="24"/>
          <w:szCs w:val="24"/>
        </w:rPr>
        <w:t>American Journal of Public Health</w:t>
      </w:r>
      <w:r w:rsidRPr="006E187A">
        <w:rPr>
          <w:rFonts w:cstheme="minorHAnsi"/>
          <w:sz w:val="24"/>
          <w:szCs w:val="24"/>
        </w:rPr>
        <w:t>, </w:t>
      </w:r>
      <w:r w:rsidRPr="006E187A">
        <w:rPr>
          <w:rFonts w:cstheme="minorHAnsi"/>
          <w:i/>
          <w:iCs/>
          <w:sz w:val="24"/>
          <w:szCs w:val="24"/>
        </w:rPr>
        <w:t>99</w:t>
      </w:r>
      <w:r w:rsidRPr="006E187A">
        <w:rPr>
          <w:rFonts w:cstheme="minorHAnsi"/>
          <w:sz w:val="24"/>
          <w:szCs w:val="24"/>
        </w:rPr>
        <w:t>, 110–117. 10.2105/AJPH.2007.123109</w:t>
      </w:r>
    </w:p>
    <w:p w14:paraId="448B0C10"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Schick, V., Rosenberger, J. G., Herbenick, D., Calabrese, S. K., &amp; Reece, M. (2012). Bidentity: Sexual behavior/identity congruence and women’s sexual, physical and mental well-being. </w:t>
      </w:r>
      <w:r w:rsidRPr="006E187A">
        <w:rPr>
          <w:rFonts w:cstheme="minorHAnsi"/>
          <w:i/>
          <w:iCs/>
          <w:sz w:val="24"/>
          <w:szCs w:val="24"/>
        </w:rPr>
        <w:t>Journal of Bisexuality</w:t>
      </w:r>
      <w:r w:rsidRPr="006E187A">
        <w:rPr>
          <w:rFonts w:cstheme="minorHAnsi"/>
          <w:sz w:val="24"/>
          <w:szCs w:val="24"/>
        </w:rPr>
        <w:t>, </w:t>
      </w:r>
      <w:r w:rsidRPr="006E187A">
        <w:rPr>
          <w:rFonts w:cstheme="minorHAnsi"/>
          <w:i/>
          <w:iCs/>
          <w:sz w:val="24"/>
          <w:szCs w:val="24"/>
        </w:rPr>
        <w:t>12</w:t>
      </w:r>
      <w:r w:rsidRPr="006E187A">
        <w:rPr>
          <w:rFonts w:cstheme="minorHAnsi"/>
          <w:sz w:val="24"/>
          <w:szCs w:val="24"/>
        </w:rPr>
        <w:t>, 178–197. 10.1080/15299716.2012.674855</w:t>
      </w:r>
    </w:p>
    <w:p w14:paraId="255A94C3"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Schwartz, D. R., Stratton, N., &amp; Hart, T. A. (2016). Minority stress and mental and sexual health: Examining the psychological mediation framework among gay and bisexual men.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3</w:t>
      </w:r>
      <w:r w:rsidRPr="006E187A">
        <w:rPr>
          <w:rFonts w:cstheme="minorHAnsi"/>
          <w:sz w:val="24"/>
          <w:szCs w:val="24"/>
        </w:rPr>
        <w:t>, 313–324. 10.1037/sgd0000180</w:t>
      </w:r>
    </w:p>
    <w:p w14:paraId="1F09B33D"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Selvidge, M. M., Matthews, C. R., &amp; Bridges, S. K. (2008). The relationship of minority stress and flexible coping to psychological well being in lesbian and bisexual women. </w:t>
      </w:r>
      <w:r w:rsidRPr="006E187A">
        <w:rPr>
          <w:rFonts w:cstheme="minorHAnsi"/>
          <w:i/>
          <w:iCs/>
          <w:sz w:val="24"/>
          <w:szCs w:val="24"/>
        </w:rPr>
        <w:t>Journal of Homosexuality</w:t>
      </w:r>
      <w:r w:rsidRPr="006E187A">
        <w:rPr>
          <w:rFonts w:cstheme="minorHAnsi"/>
          <w:sz w:val="24"/>
          <w:szCs w:val="24"/>
        </w:rPr>
        <w:t>, </w:t>
      </w:r>
      <w:r w:rsidRPr="006E187A">
        <w:rPr>
          <w:rFonts w:cstheme="minorHAnsi"/>
          <w:i/>
          <w:iCs/>
          <w:sz w:val="24"/>
          <w:szCs w:val="24"/>
        </w:rPr>
        <w:t>55</w:t>
      </w:r>
      <w:r w:rsidRPr="006E187A">
        <w:rPr>
          <w:rFonts w:cstheme="minorHAnsi"/>
          <w:sz w:val="24"/>
          <w:szCs w:val="24"/>
        </w:rPr>
        <w:t>, 450–470. 10.1080/00918360802345255</w:t>
      </w:r>
    </w:p>
    <w:p w14:paraId="522E000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Sheets, R. L., &amp; Mohr, J. J. (2009). Perceived social support from friends and family and psychosocial functioning in bisexual young adult college students. </w:t>
      </w:r>
      <w:r w:rsidRPr="006E187A">
        <w:rPr>
          <w:rFonts w:cstheme="minorHAnsi"/>
          <w:i/>
          <w:iCs/>
          <w:sz w:val="24"/>
          <w:szCs w:val="24"/>
        </w:rPr>
        <w:t>Journal of Counseling Psychology</w:t>
      </w:r>
      <w:r w:rsidRPr="006E187A">
        <w:rPr>
          <w:rFonts w:cstheme="minorHAnsi"/>
          <w:sz w:val="24"/>
          <w:szCs w:val="24"/>
        </w:rPr>
        <w:t>, </w:t>
      </w:r>
      <w:r w:rsidRPr="006E187A">
        <w:rPr>
          <w:rFonts w:cstheme="minorHAnsi"/>
          <w:i/>
          <w:iCs/>
          <w:sz w:val="24"/>
          <w:szCs w:val="24"/>
        </w:rPr>
        <w:t>56</w:t>
      </w:r>
      <w:r w:rsidRPr="006E187A">
        <w:rPr>
          <w:rFonts w:cstheme="minorHAnsi"/>
          <w:sz w:val="24"/>
          <w:szCs w:val="24"/>
        </w:rPr>
        <w:t>, 152–163. 10.1037/0022-0167.56.1.152</w:t>
      </w:r>
    </w:p>
    <w:p w14:paraId="49C4EB35"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Shilo, G., &amp; Savaya, R. (2012). Mental health of lesbian, gay, and bisexual youth and young adults: Differential effects of age, gender, religiosity, and sexual orientation. </w:t>
      </w:r>
      <w:r w:rsidRPr="006E187A">
        <w:rPr>
          <w:rFonts w:cstheme="minorHAnsi"/>
          <w:i/>
          <w:iCs/>
          <w:sz w:val="24"/>
          <w:szCs w:val="24"/>
        </w:rPr>
        <w:t>Journal of Research on Adolescence</w:t>
      </w:r>
      <w:r w:rsidRPr="006E187A">
        <w:rPr>
          <w:rFonts w:cstheme="minorHAnsi"/>
          <w:sz w:val="24"/>
          <w:szCs w:val="24"/>
        </w:rPr>
        <w:t>, </w:t>
      </w:r>
      <w:r w:rsidRPr="006E187A">
        <w:rPr>
          <w:rFonts w:cstheme="minorHAnsi"/>
          <w:i/>
          <w:iCs/>
          <w:sz w:val="24"/>
          <w:szCs w:val="24"/>
        </w:rPr>
        <w:t>22</w:t>
      </w:r>
      <w:r w:rsidRPr="006E187A">
        <w:rPr>
          <w:rFonts w:cstheme="minorHAnsi"/>
          <w:sz w:val="24"/>
          <w:szCs w:val="24"/>
        </w:rPr>
        <w:t>, 310–325. 10.1111/j.1532-7795.2011.00772.x</w:t>
      </w:r>
    </w:p>
    <w:p w14:paraId="22802D1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Smith, B. W., Dalen, J., Wiggins, K., Tooley, E., Christopher, P., &amp; Bernard, J. (2008). The brief resilience scale: Assessing the ability to bounce back. </w:t>
      </w:r>
      <w:r w:rsidRPr="006E187A">
        <w:rPr>
          <w:rFonts w:cstheme="minorHAnsi"/>
          <w:i/>
          <w:iCs/>
          <w:sz w:val="24"/>
          <w:szCs w:val="24"/>
        </w:rPr>
        <w:t>International Journal of Behavioral Medicine</w:t>
      </w:r>
      <w:r w:rsidRPr="006E187A">
        <w:rPr>
          <w:rFonts w:cstheme="minorHAnsi"/>
          <w:sz w:val="24"/>
          <w:szCs w:val="24"/>
        </w:rPr>
        <w:t>, </w:t>
      </w:r>
      <w:r w:rsidRPr="006E187A">
        <w:rPr>
          <w:rFonts w:cstheme="minorHAnsi"/>
          <w:i/>
          <w:iCs/>
          <w:sz w:val="24"/>
          <w:szCs w:val="24"/>
        </w:rPr>
        <w:t>15</w:t>
      </w:r>
      <w:r w:rsidRPr="006E187A">
        <w:rPr>
          <w:rFonts w:cstheme="minorHAnsi"/>
          <w:sz w:val="24"/>
          <w:szCs w:val="24"/>
        </w:rPr>
        <w:t>, 194–200. 10.1080/10705500802222972</w:t>
      </w:r>
    </w:p>
    <w:p w14:paraId="2A4EA738"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Szymanski, D. M. (2006). Does internalized heterosexism moderate the link between heterosexist events and lesbians’ psychological distress?</w:t>
      </w:r>
      <w:r w:rsidRPr="006E187A">
        <w:rPr>
          <w:rFonts w:cstheme="minorHAnsi"/>
          <w:i/>
          <w:iCs/>
          <w:sz w:val="24"/>
          <w:szCs w:val="24"/>
        </w:rPr>
        <w:t>Sex Roles</w:t>
      </w:r>
      <w:r w:rsidRPr="006E187A">
        <w:rPr>
          <w:rFonts w:cstheme="minorHAnsi"/>
          <w:sz w:val="24"/>
          <w:szCs w:val="24"/>
        </w:rPr>
        <w:t>, </w:t>
      </w:r>
      <w:r w:rsidRPr="006E187A">
        <w:rPr>
          <w:rFonts w:cstheme="minorHAnsi"/>
          <w:i/>
          <w:iCs/>
          <w:sz w:val="24"/>
          <w:szCs w:val="24"/>
        </w:rPr>
        <w:t>54</w:t>
      </w:r>
      <w:r w:rsidRPr="006E187A">
        <w:rPr>
          <w:rFonts w:cstheme="minorHAnsi"/>
          <w:sz w:val="24"/>
          <w:szCs w:val="24"/>
        </w:rPr>
        <w:t>, 227–234. 10.1007/s11199-006-9340-4</w:t>
      </w:r>
    </w:p>
    <w:p w14:paraId="2671DD59"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Szymanski, D. M. (2009). Examining potential moderators of the link between heterosexist events and gay and bisexual men’s psychological distress. </w:t>
      </w:r>
      <w:r w:rsidRPr="006E187A">
        <w:rPr>
          <w:rFonts w:cstheme="minorHAnsi"/>
          <w:i/>
          <w:iCs/>
          <w:sz w:val="24"/>
          <w:szCs w:val="24"/>
        </w:rPr>
        <w:t>Journal of Counseling Psychology</w:t>
      </w:r>
      <w:r w:rsidRPr="006E187A">
        <w:rPr>
          <w:rFonts w:cstheme="minorHAnsi"/>
          <w:sz w:val="24"/>
          <w:szCs w:val="24"/>
        </w:rPr>
        <w:t>, </w:t>
      </w:r>
      <w:r w:rsidRPr="006E187A">
        <w:rPr>
          <w:rFonts w:cstheme="minorHAnsi"/>
          <w:i/>
          <w:iCs/>
          <w:sz w:val="24"/>
          <w:szCs w:val="24"/>
        </w:rPr>
        <w:t>56</w:t>
      </w:r>
      <w:r w:rsidRPr="006E187A">
        <w:rPr>
          <w:rFonts w:cstheme="minorHAnsi"/>
          <w:sz w:val="24"/>
          <w:szCs w:val="24"/>
        </w:rPr>
        <w:t>, 142–151. 10.1037/0022-0167.56.1.142</w:t>
      </w:r>
    </w:p>
    <w:p w14:paraId="7945562D"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Vaughan, M. D., Miles, J., Parent, M. C., Lee, H. S., Tilghman, J. D., &amp; Prokhorets, S. (2014). A content analysis of LGBT-themed positive psychology articles.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1</w:t>
      </w:r>
      <w:r w:rsidRPr="006E187A">
        <w:rPr>
          <w:rFonts w:cstheme="minorHAnsi"/>
          <w:sz w:val="24"/>
          <w:szCs w:val="24"/>
        </w:rPr>
        <w:t>, 313–324. 10.1037/sgd0000060</w:t>
      </w:r>
    </w:p>
    <w:p w14:paraId="7407FB0C"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Vaughan, M. D., &amp; Rodriguez, E. M. (2014). LGBT strengths: Incorporating positive psychology into theory, research, training, and practice. </w:t>
      </w:r>
      <w:r w:rsidRPr="006E187A">
        <w:rPr>
          <w:rFonts w:cstheme="minorHAnsi"/>
          <w:b/>
          <w:bCs/>
          <w:i/>
          <w:iCs/>
          <w:sz w:val="24"/>
          <w:szCs w:val="24"/>
        </w:rPr>
        <w:t>Psychology of Sexual Orientation and Gender Diversity</w:t>
      </w:r>
      <w:r w:rsidRPr="006E187A">
        <w:rPr>
          <w:rFonts w:cstheme="minorHAnsi"/>
          <w:sz w:val="24"/>
          <w:szCs w:val="24"/>
        </w:rPr>
        <w:t>, </w:t>
      </w:r>
      <w:r w:rsidRPr="006E187A">
        <w:rPr>
          <w:rFonts w:cstheme="minorHAnsi"/>
          <w:i/>
          <w:iCs/>
          <w:sz w:val="24"/>
          <w:szCs w:val="24"/>
        </w:rPr>
        <w:t>1</w:t>
      </w:r>
      <w:r w:rsidRPr="006E187A">
        <w:rPr>
          <w:rFonts w:cstheme="minorHAnsi"/>
          <w:sz w:val="24"/>
          <w:szCs w:val="24"/>
        </w:rPr>
        <w:t>, 325–334. 10.1037/sgd0000053</w:t>
      </w:r>
    </w:p>
    <w:p w14:paraId="7137018E"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Walker, J. J., &amp; Longmire-Avital, B. (2013). The impact of religious faith and internalized homonegativity on resiliency for black lesbian, gay, and bisexual emerging adults. </w:t>
      </w:r>
      <w:r w:rsidRPr="006E187A">
        <w:rPr>
          <w:rFonts w:cstheme="minorHAnsi"/>
          <w:i/>
          <w:iCs/>
          <w:sz w:val="24"/>
          <w:szCs w:val="24"/>
        </w:rPr>
        <w:t>Developmental Psychology</w:t>
      </w:r>
      <w:r w:rsidRPr="006E187A">
        <w:rPr>
          <w:rFonts w:cstheme="minorHAnsi"/>
          <w:sz w:val="24"/>
          <w:szCs w:val="24"/>
        </w:rPr>
        <w:t>, </w:t>
      </w:r>
      <w:r w:rsidRPr="006E187A">
        <w:rPr>
          <w:rFonts w:cstheme="minorHAnsi"/>
          <w:i/>
          <w:iCs/>
          <w:sz w:val="24"/>
          <w:szCs w:val="24"/>
        </w:rPr>
        <w:t>49</w:t>
      </w:r>
      <w:r w:rsidRPr="006E187A">
        <w:rPr>
          <w:rFonts w:cstheme="minorHAnsi"/>
          <w:sz w:val="24"/>
          <w:szCs w:val="24"/>
        </w:rPr>
        <w:t>, 1723–1731. 10.1037/a0031059</w:t>
      </w:r>
    </w:p>
    <w:p w14:paraId="66438AB6"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Wayment, H. A., &amp; Peplau, L. A. (1995). Social support and well-being among lesbian and heterosexual women: A structural modeling approach. </w:t>
      </w:r>
      <w:r w:rsidRPr="006E187A">
        <w:rPr>
          <w:rFonts w:cstheme="minorHAnsi"/>
          <w:i/>
          <w:iCs/>
          <w:sz w:val="24"/>
          <w:szCs w:val="24"/>
        </w:rPr>
        <w:t>Personality and Social Psychology Bulletin</w:t>
      </w:r>
      <w:r w:rsidRPr="006E187A">
        <w:rPr>
          <w:rFonts w:cstheme="minorHAnsi"/>
          <w:sz w:val="24"/>
          <w:szCs w:val="24"/>
        </w:rPr>
        <w:t>, </w:t>
      </w:r>
      <w:r w:rsidRPr="006E187A">
        <w:rPr>
          <w:rFonts w:cstheme="minorHAnsi"/>
          <w:i/>
          <w:iCs/>
          <w:sz w:val="24"/>
          <w:szCs w:val="24"/>
        </w:rPr>
        <w:t>21</w:t>
      </w:r>
      <w:r w:rsidRPr="006E187A">
        <w:rPr>
          <w:rFonts w:cstheme="minorHAnsi"/>
          <w:sz w:val="24"/>
          <w:szCs w:val="24"/>
        </w:rPr>
        <w:t>, 1189–1199. 10.1177/01461672952111007</w:t>
      </w:r>
    </w:p>
    <w:p w14:paraId="482D5823"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West, S. G., Taylor, A. B., &amp; Wu, W. (2012). Model fit and model selection in structural equation modeling. In R. H.Hoyle (Ed.), </w:t>
      </w:r>
      <w:r w:rsidRPr="006E187A">
        <w:rPr>
          <w:rFonts w:cstheme="minorHAnsi"/>
          <w:i/>
          <w:iCs/>
          <w:sz w:val="24"/>
          <w:szCs w:val="24"/>
        </w:rPr>
        <w:t>Handbook of structural equation modeling</w:t>
      </w:r>
      <w:r w:rsidRPr="006E187A">
        <w:rPr>
          <w:rFonts w:cstheme="minorHAnsi"/>
          <w:sz w:val="24"/>
          <w:szCs w:val="24"/>
        </w:rPr>
        <w:t> (pp. 209–231). New York, NY: Guilford Press.</w:t>
      </w:r>
    </w:p>
    <w:p w14:paraId="0E9AFF66"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Weston, R., &amp; Gore, P. A., Jr. (2006). A brief guide to structural equation modeling. </w:t>
      </w:r>
      <w:r w:rsidRPr="006E187A">
        <w:rPr>
          <w:rFonts w:cstheme="minorHAnsi"/>
          <w:i/>
          <w:iCs/>
          <w:sz w:val="24"/>
          <w:szCs w:val="24"/>
        </w:rPr>
        <w:t>The Counseling Psychologist</w:t>
      </w:r>
      <w:r w:rsidRPr="006E187A">
        <w:rPr>
          <w:rFonts w:cstheme="minorHAnsi"/>
          <w:sz w:val="24"/>
          <w:szCs w:val="24"/>
        </w:rPr>
        <w:t>, </w:t>
      </w:r>
      <w:r w:rsidRPr="006E187A">
        <w:rPr>
          <w:rFonts w:cstheme="minorHAnsi"/>
          <w:i/>
          <w:iCs/>
          <w:sz w:val="24"/>
          <w:szCs w:val="24"/>
        </w:rPr>
        <w:t>34</w:t>
      </w:r>
      <w:r w:rsidRPr="006E187A">
        <w:rPr>
          <w:rFonts w:cstheme="minorHAnsi"/>
          <w:sz w:val="24"/>
          <w:szCs w:val="24"/>
        </w:rPr>
        <w:t>, 719–751. 10.1177/0011000006286345</w:t>
      </w:r>
    </w:p>
    <w:p w14:paraId="6B44A6DF" w14:textId="058FC32D" w:rsidR="006E187A" w:rsidRPr="006E187A" w:rsidRDefault="006E187A" w:rsidP="005F029F">
      <w:pPr>
        <w:spacing w:after="0"/>
        <w:ind w:left="720" w:hanging="720"/>
        <w:rPr>
          <w:rFonts w:cstheme="minorHAnsi"/>
          <w:sz w:val="24"/>
          <w:szCs w:val="24"/>
        </w:rPr>
      </w:pPr>
      <w:r w:rsidRPr="006E187A">
        <w:rPr>
          <w:rFonts w:cstheme="minorHAnsi"/>
          <w:sz w:val="24"/>
          <w:szCs w:val="24"/>
        </w:rPr>
        <w:t>Yves, R. (2012). Lavaan: An R package for structural equation modeling. </w:t>
      </w:r>
      <w:r w:rsidRPr="006E187A">
        <w:rPr>
          <w:rFonts w:cstheme="minorHAnsi"/>
          <w:i/>
          <w:iCs/>
          <w:sz w:val="24"/>
          <w:szCs w:val="24"/>
        </w:rPr>
        <w:t>Journal of Statistical Software</w:t>
      </w:r>
      <w:r w:rsidRPr="006E187A">
        <w:rPr>
          <w:rFonts w:cstheme="minorHAnsi"/>
          <w:sz w:val="24"/>
          <w:szCs w:val="24"/>
        </w:rPr>
        <w:t>, </w:t>
      </w:r>
      <w:r w:rsidRPr="006E187A">
        <w:rPr>
          <w:rFonts w:cstheme="minorHAnsi"/>
          <w:i/>
          <w:iCs/>
          <w:sz w:val="24"/>
          <w:szCs w:val="24"/>
        </w:rPr>
        <w:t>48</w:t>
      </w:r>
      <w:r w:rsidRPr="006E187A">
        <w:rPr>
          <w:rFonts w:cstheme="minorHAnsi"/>
          <w:sz w:val="24"/>
          <w:szCs w:val="24"/>
        </w:rPr>
        <w:t>, 1–36. Retrieved from http://www.jstatsoft.org/v48/i02/</w:t>
      </w:r>
    </w:p>
    <w:p w14:paraId="43C2A967" w14:textId="77777777" w:rsidR="006E187A" w:rsidRPr="006E187A" w:rsidRDefault="006E187A" w:rsidP="005F029F">
      <w:pPr>
        <w:spacing w:after="0"/>
        <w:ind w:left="720" w:hanging="720"/>
        <w:rPr>
          <w:rFonts w:cstheme="minorHAnsi"/>
          <w:sz w:val="24"/>
          <w:szCs w:val="24"/>
        </w:rPr>
      </w:pPr>
      <w:r w:rsidRPr="006E187A">
        <w:rPr>
          <w:rFonts w:cstheme="minorHAnsi"/>
          <w:sz w:val="24"/>
          <w:szCs w:val="24"/>
        </w:rPr>
        <w:t>Zimet, G. D., Dahlem, N. W., Zimet, S. G., &amp; Farley, G. K. (1988). The multidimensional scale of perceived social support. </w:t>
      </w:r>
      <w:r w:rsidRPr="006E187A">
        <w:rPr>
          <w:rFonts w:cstheme="minorHAnsi"/>
          <w:i/>
          <w:iCs/>
          <w:sz w:val="24"/>
          <w:szCs w:val="24"/>
        </w:rPr>
        <w:t>Journal of Personality Assessment</w:t>
      </w:r>
      <w:r w:rsidRPr="006E187A">
        <w:rPr>
          <w:rFonts w:cstheme="minorHAnsi"/>
          <w:sz w:val="24"/>
          <w:szCs w:val="24"/>
        </w:rPr>
        <w:t>, </w:t>
      </w:r>
      <w:r w:rsidRPr="006E187A">
        <w:rPr>
          <w:rFonts w:cstheme="minorHAnsi"/>
          <w:i/>
          <w:iCs/>
          <w:sz w:val="24"/>
          <w:szCs w:val="24"/>
        </w:rPr>
        <w:t>52</w:t>
      </w:r>
      <w:r w:rsidRPr="006E187A">
        <w:rPr>
          <w:rFonts w:cstheme="minorHAnsi"/>
          <w:sz w:val="24"/>
          <w:szCs w:val="24"/>
        </w:rPr>
        <w:t>, 30–41. 10.1207/s15327752jpa5201_2</w:t>
      </w:r>
    </w:p>
    <w:sectPr w:rsidR="006E187A" w:rsidRPr="006E187A" w:rsidSect="005F029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Universal-GreekwithMathPi">
    <w:altName w:val="Calibri"/>
    <w:panose1 w:val="00000000000000000000"/>
    <w:charset w:val="00"/>
    <w:family w:val="auto"/>
    <w:notTrueType/>
    <w:pitch w:val="default"/>
    <w:sig w:usb0="00000003" w:usb1="00000000" w:usb2="00000000" w:usb3="00000000" w:csb0="00000001" w:csb1="00000000"/>
  </w:font>
  <w:font w:name="MathematicalPi-Six">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FF9"/>
    <w:multiLevelType w:val="multilevel"/>
    <w:tmpl w:val="92C2A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D04DB5"/>
    <w:multiLevelType w:val="multilevel"/>
    <w:tmpl w:val="C3A4E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6945340">
    <w:abstractNumId w:val="1"/>
  </w:num>
  <w:num w:numId="2" w16cid:durableId="42485251">
    <w:abstractNumId w:val="3"/>
  </w:num>
  <w:num w:numId="3" w16cid:durableId="962153638">
    <w:abstractNumId w:val="2"/>
  </w:num>
  <w:num w:numId="4" w16cid:durableId="723873441">
    <w:abstractNumId w:val="4"/>
  </w:num>
  <w:num w:numId="5" w16cid:durableId="1754009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4rRuZjnXZx+/xZ3XBcpowtvxC3aJV17yFWuv7fwptf3NzMYwMSGLijLLypWT5FuyIi2cT2umjPscZUuYMj53mA==" w:salt="COHvh0C9UmfgXQm7oPJD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57FD"/>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6B0"/>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654C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216B"/>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96B"/>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5267"/>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55B"/>
    <w:rsid w:val="004816ED"/>
    <w:rsid w:val="004830BE"/>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697C"/>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029F"/>
    <w:rsid w:val="005F46EC"/>
    <w:rsid w:val="005F49C9"/>
    <w:rsid w:val="005F71CE"/>
    <w:rsid w:val="005F7A68"/>
    <w:rsid w:val="00601980"/>
    <w:rsid w:val="0060332C"/>
    <w:rsid w:val="00604C5A"/>
    <w:rsid w:val="00606AB6"/>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0FF"/>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64AF"/>
    <w:rsid w:val="006A712D"/>
    <w:rsid w:val="006A7B71"/>
    <w:rsid w:val="006B20FD"/>
    <w:rsid w:val="006B3B2B"/>
    <w:rsid w:val="006C024E"/>
    <w:rsid w:val="006C7ED1"/>
    <w:rsid w:val="006D2367"/>
    <w:rsid w:val="006D75E1"/>
    <w:rsid w:val="006D7670"/>
    <w:rsid w:val="006E10F4"/>
    <w:rsid w:val="006E10FD"/>
    <w:rsid w:val="006E187A"/>
    <w:rsid w:val="006E2996"/>
    <w:rsid w:val="006E2EEC"/>
    <w:rsid w:val="006E471E"/>
    <w:rsid w:val="006E4859"/>
    <w:rsid w:val="006F24E3"/>
    <w:rsid w:val="007065D3"/>
    <w:rsid w:val="007071B1"/>
    <w:rsid w:val="00707EC1"/>
    <w:rsid w:val="00710582"/>
    <w:rsid w:val="00714EE9"/>
    <w:rsid w:val="007179E7"/>
    <w:rsid w:val="007246B0"/>
    <w:rsid w:val="007251A3"/>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C76B2"/>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EE8"/>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A78"/>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007"/>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3ADB"/>
    <w:rsid w:val="009F4BDF"/>
    <w:rsid w:val="009F60BA"/>
    <w:rsid w:val="009F7F44"/>
    <w:rsid w:val="00A01B8D"/>
    <w:rsid w:val="00A01E64"/>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7ED"/>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5BE9"/>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10E1"/>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1F3"/>
    <w:rsid w:val="00C0799A"/>
    <w:rsid w:val="00C13438"/>
    <w:rsid w:val="00C170FF"/>
    <w:rsid w:val="00C173E1"/>
    <w:rsid w:val="00C2019E"/>
    <w:rsid w:val="00C27AEF"/>
    <w:rsid w:val="00C3110E"/>
    <w:rsid w:val="00C3466C"/>
    <w:rsid w:val="00C355FF"/>
    <w:rsid w:val="00C373E7"/>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1C2"/>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131C"/>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002B"/>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001C"/>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106A"/>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6EB"/>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87A"/>
  </w:style>
  <w:style w:type="paragraph" w:styleId="Heading1">
    <w:name w:val="heading 1"/>
    <w:basedOn w:val="Normal"/>
    <w:next w:val="Normal"/>
    <w:link w:val="Heading1Char"/>
    <w:uiPriority w:val="9"/>
    <w:qFormat/>
    <w:rsid w:val="006E187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E187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E187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E187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E187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E187A"/>
    <w:pPr>
      <w:keepNext/>
      <w:keepLines/>
      <w:spacing w:before="40" w:after="0"/>
      <w:outlineLvl w:val="5"/>
    </w:pPr>
  </w:style>
  <w:style w:type="paragraph" w:styleId="Heading7">
    <w:name w:val="heading 7"/>
    <w:basedOn w:val="Normal"/>
    <w:next w:val="Normal"/>
    <w:link w:val="Heading7Char"/>
    <w:uiPriority w:val="9"/>
    <w:semiHidden/>
    <w:unhideWhenUsed/>
    <w:qFormat/>
    <w:rsid w:val="006E187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E187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E187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87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E187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E187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E187A"/>
    <w:rPr>
      <w:i/>
      <w:iCs/>
    </w:rPr>
  </w:style>
  <w:style w:type="character" w:customStyle="1" w:styleId="Heading5Char">
    <w:name w:val="Heading 5 Char"/>
    <w:basedOn w:val="DefaultParagraphFont"/>
    <w:link w:val="Heading5"/>
    <w:uiPriority w:val="9"/>
    <w:semiHidden/>
    <w:rsid w:val="006E187A"/>
    <w:rPr>
      <w:color w:val="404040" w:themeColor="text1" w:themeTint="BF"/>
    </w:rPr>
  </w:style>
  <w:style w:type="character" w:customStyle="1" w:styleId="Heading6Char">
    <w:name w:val="Heading 6 Char"/>
    <w:basedOn w:val="DefaultParagraphFont"/>
    <w:link w:val="Heading6"/>
    <w:uiPriority w:val="9"/>
    <w:semiHidden/>
    <w:rsid w:val="006E187A"/>
  </w:style>
  <w:style w:type="character" w:customStyle="1" w:styleId="Heading7Char">
    <w:name w:val="Heading 7 Char"/>
    <w:basedOn w:val="DefaultParagraphFont"/>
    <w:link w:val="Heading7"/>
    <w:uiPriority w:val="9"/>
    <w:semiHidden/>
    <w:rsid w:val="006E187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E187A"/>
    <w:rPr>
      <w:color w:val="262626" w:themeColor="text1" w:themeTint="D9"/>
      <w:sz w:val="21"/>
      <w:szCs w:val="21"/>
    </w:rPr>
  </w:style>
  <w:style w:type="character" w:customStyle="1" w:styleId="Heading9Char">
    <w:name w:val="Heading 9 Char"/>
    <w:basedOn w:val="DefaultParagraphFont"/>
    <w:link w:val="Heading9"/>
    <w:uiPriority w:val="9"/>
    <w:semiHidden/>
    <w:rsid w:val="006E187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E187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E187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E187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E187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E187A"/>
    <w:rPr>
      <w:color w:val="5A5A5A" w:themeColor="text1" w:themeTint="A5"/>
      <w:spacing w:val="15"/>
    </w:rPr>
  </w:style>
  <w:style w:type="character" w:styleId="Strong">
    <w:name w:val="Strong"/>
    <w:basedOn w:val="DefaultParagraphFont"/>
    <w:uiPriority w:val="22"/>
    <w:qFormat/>
    <w:rsid w:val="006E187A"/>
    <w:rPr>
      <w:b/>
      <w:bCs/>
      <w:color w:val="auto"/>
    </w:rPr>
  </w:style>
  <w:style w:type="character" w:styleId="Emphasis">
    <w:name w:val="Emphasis"/>
    <w:basedOn w:val="DefaultParagraphFont"/>
    <w:uiPriority w:val="20"/>
    <w:qFormat/>
    <w:rsid w:val="006E187A"/>
    <w:rPr>
      <w:i/>
      <w:iCs/>
      <w:color w:val="auto"/>
    </w:rPr>
  </w:style>
  <w:style w:type="paragraph" w:styleId="NoSpacing">
    <w:name w:val="No Spacing"/>
    <w:uiPriority w:val="1"/>
    <w:qFormat/>
    <w:rsid w:val="006E187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E187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E187A"/>
    <w:rPr>
      <w:i/>
      <w:iCs/>
      <w:color w:val="404040" w:themeColor="text1" w:themeTint="BF"/>
    </w:rPr>
  </w:style>
  <w:style w:type="paragraph" w:styleId="IntenseQuote">
    <w:name w:val="Intense Quote"/>
    <w:basedOn w:val="Normal"/>
    <w:next w:val="Normal"/>
    <w:link w:val="IntenseQuoteChar"/>
    <w:uiPriority w:val="30"/>
    <w:qFormat/>
    <w:rsid w:val="006E187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E187A"/>
    <w:rPr>
      <w:i/>
      <w:iCs/>
      <w:color w:val="404040" w:themeColor="text1" w:themeTint="BF"/>
    </w:rPr>
  </w:style>
  <w:style w:type="character" w:styleId="SubtleEmphasis">
    <w:name w:val="Subtle Emphasis"/>
    <w:basedOn w:val="DefaultParagraphFont"/>
    <w:uiPriority w:val="19"/>
    <w:qFormat/>
    <w:rsid w:val="006E187A"/>
    <w:rPr>
      <w:i/>
      <w:iCs/>
      <w:color w:val="404040" w:themeColor="text1" w:themeTint="BF"/>
    </w:rPr>
  </w:style>
  <w:style w:type="character" w:styleId="IntenseEmphasis">
    <w:name w:val="Intense Emphasis"/>
    <w:basedOn w:val="DefaultParagraphFont"/>
    <w:uiPriority w:val="21"/>
    <w:qFormat/>
    <w:rsid w:val="006E187A"/>
    <w:rPr>
      <w:b/>
      <w:bCs/>
      <w:i/>
      <w:iCs/>
      <w:color w:val="auto"/>
    </w:rPr>
  </w:style>
  <w:style w:type="character" w:styleId="SubtleReference">
    <w:name w:val="Subtle Reference"/>
    <w:basedOn w:val="DefaultParagraphFont"/>
    <w:uiPriority w:val="31"/>
    <w:qFormat/>
    <w:rsid w:val="006E187A"/>
    <w:rPr>
      <w:smallCaps/>
      <w:color w:val="404040" w:themeColor="text1" w:themeTint="BF"/>
    </w:rPr>
  </w:style>
  <w:style w:type="character" w:styleId="IntenseReference">
    <w:name w:val="Intense Reference"/>
    <w:basedOn w:val="DefaultParagraphFont"/>
    <w:uiPriority w:val="32"/>
    <w:qFormat/>
    <w:rsid w:val="006E187A"/>
    <w:rPr>
      <w:b/>
      <w:bCs/>
      <w:smallCaps/>
      <w:color w:val="404040" w:themeColor="text1" w:themeTint="BF"/>
      <w:spacing w:val="5"/>
    </w:rPr>
  </w:style>
  <w:style w:type="character" w:styleId="BookTitle">
    <w:name w:val="Book Title"/>
    <w:basedOn w:val="DefaultParagraphFont"/>
    <w:uiPriority w:val="33"/>
    <w:qFormat/>
    <w:rsid w:val="006E187A"/>
    <w:rPr>
      <w:b/>
      <w:bCs/>
      <w:i/>
      <w:iCs/>
      <w:spacing w:val="5"/>
    </w:rPr>
  </w:style>
  <w:style w:type="paragraph" w:styleId="TOCHeading">
    <w:name w:val="TOC Heading"/>
    <w:basedOn w:val="Heading1"/>
    <w:next w:val="Normal"/>
    <w:uiPriority w:val="39"/>
    <w:semiHidden/>
    <w:unhideWhenUsed/>
    <w:qFormat/>
    <w:rsid w:val="006E187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link-medium">
    <w:name w:val="link-medium"/>
    <w:basedOn w:val="Normal"/>
    <w:rsid w:val="006E18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icn">
    <w:name w:val="rsicn"/>
    <w:basedOn w:val="DefaultParagraphFont"/>
    <w:rsid w:val="006E187A"/>
  </w:style>
  <w:style w:type="character" w:customStyle="1" w:styleId="rsbtnleft">
    <w:name w:val="rsbtn_left"/>
    <w:basedOn w:val="DefaultParagraphFont"/>
    <w:rsid w:val="006E187A"/>
  </w:style>
  <w:style w:type="character" w:customStyle="1" w:styleId="rsbtntext">
    <w:name w:val="rsbtn_text"/>
    <w:basedOn w:val="DefaultParagraphFont"/>
    <w:rsid w:val="006E187A"/>
  </w:style>
  <w:style w:type="character" w:customStyle="1" w:styleId="rsbtnright">
    <w:name w:val="rsbtn_right"/>
    <w:basedOn w:val="DefaultParagraphFont"/>
    <w:rsid w:val="006E187A"/>
  </w:style>
  <w:style w:type="paragraph" w:customStyle="1" w:styleId="body-paragraph">
    <w:name w:val="body-paragraph"/>
    <w:basedOn w:val="Normal"/>
    <w:rsid w:val="006E18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entered">
    <w:name w:val="centered"/>
    <w:basedOn w:val="DefaultParagraphFont"/>
    <w:rsid w:val="006E1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067608776">
      <w:bodyDiv w:val="1"/>
      <w:marLeft w:val="0"/>
      <w:marRight w:val="0"/>
      <w:marTop w:val="0"/>
      <w:marBottom w:val="0"/>
      <w:divBdr>
        <w:top w:val="none" w:sz="0" w:space="0" w:color="auto"/>
        <w:left w:val="none" w:sz="0" w:space="0" w:color="auto"/>
        <w:bottom w:val="none" w:sz="0" w:space="0" w:color="auto"/>
        <w:right w:val="none" w:sz="0" w:space="0" w:color="auto"/>
      </w:divBdr>
      <w:divsChild>
        <w:div w:id="995961491">
          <w:marLeft w:val="0"/>
          <w:marRight w:val="0"/>
          <w:marTop w:val="0"/>
          <w:marBottom w:val="150"/>
          <w:divBdr>
            <w:top w:val="none" w:sz="0" w:space="0" w:color="auto"/>
            <w:left w:val="none" w:sz="0" w:space="0" w:color="auto"/>
            <w:bottom w:val="none" w:sz="0" w:space="0" w:color="auto"/>
            <w:right w:val="none" w:sz="0" w:space="0" w:color="auto"/>
          </w:divBdr>
          <w:divsChild>
            <w:div w:id="411775021">
              <w:marLeft w:val="0"/>
              <w:marRight w:val="0"/>
              <w:marTop w:val="0"/>
              <w:marBottom w:val="0"/>
              <w:divBdr>
                <w:top w:val="none" w:sz="0" w:space="0" w:color="auto"/>
                <w:left w:val="none" w:sz="0" w:space="0" w:color="auto"/>
                <w:bottom w:val="none" w:sz="0" w:space="0" w:color="auto"/>
                <w:right w:val="none" w:sz="0" w:space="0" w:color="auto"/>
              </w:divBdr>
            </w:div>
          </w:divsChild>
        </w:div>
        <w:div w:id="1442610564">
          <w:marLeft w:val="0"/>
          <w:marRight w:val="320"/>
          <w:marTop w:val="0"/>
          <w:marBottom w:val="320"/>
          <w:divBdr>
            <w:top w:val="single" w:sz="6" w:space="0" w:color="89BBF6"/>
            <w:left w:val="single" w:sz="6" w:space="0" w:color="89BBF6"/>
            <w:bottom w:val="single" w:sz="6" w:space="0" w:color="89BBF6"/>
            <w:right w:val="single" w:sz="6" w:space="0" w:color="89BBF6"/>
          </w:divBdr>
        </w:div>
        <w:div w:id="1767996096">
          <w:marLeft w:val="0"/>
          <w:marRight w:val="0"/>
          <w:marTop w:val="0"/>
          <w:marBottom w:val="150"/>
          <w:divBdr>
            <w:top w:val="none" w:sz="0" w:space="0" w:color="auto"/>
            <w:left w:val="none" w:sz="0" w:space="0" w:color="auto"/>
            <w:bottom w:val="none" w:sz="0" w:space="0" w:color="auto"/>
            <w:right w:val="none" w:sz="0" w:space="0" w:color="auto"/>
          </w:divBdr>
        </w:div>
        <w:div w:id="1031032743">
          <w:marLeft w:val="0"/>
          <w:marRight w:val="0"/>
          <w:marTop w:val="0"/>
          <w:marBottom w:val="0"/>
          <w:divBdr>
            <w:top w:val="none" w:sz="0" w:space="0" w:color="auto"/>
            <w:left w:val="none" w:sz="0" w:space="0" w:color="auto"/>
            <w:bottom w:val="none" w:sz="0" w:space="0" w:color="auto"/>
            <w:right w:val="none" w:sz="0" w:space="0" w:color="auto"/>
          </w:divBdr>
        </w:div>
        <w:div w:id="1475290060">
          <w:marLeft w:val="0"/>
          <w:marRight w:val="0"/>
          <w:marTop w:val="0"/>
          <w:marBottom w:val="0"/>
          <w:divBdr>
            <w:top w:val="none" w:sz="0" w:space="0" w:color="auto"/>
            <w:left w:val="none" w:sz="0" w:space="0" w:color="auto"/>
            <w:bottom w:val="none" w:sz="0" w:space="0" w:color="auto"/>
            <w:right w:val="none" w:sz="0" w:space="0" w:color="auto"/>
          </w:divBdr>
        </w:div>
        <w:div w:id="1321616762">
          <w:marLeft w:val="0"/>
          <w:marRight w:val="0"/>
          <w:marTop w:val="0"/>
          <w:marBottom w:val="0"/>
          <w:divBdr>
            <w:top w:val="none" w:sz="0" w:space="0" w:color="auto"/>
            <w:left w:val="none" w:sz="0" w:space="0" w:color="auto"/>
            <w:bottom w:val="none" w:sz="0" w:space="0" w:color="auto"/>
            <w:right w:val="none" w:sz="0" w:space="0" w:color="auto"/>
          </w:divBdr>
        </w:div>
        <w:div w:id="1946039534">
          <w:marLeft w:val="0"/>
          <w:marRight w:val="0"/>
          <w:marTop w:val="0"/>
          <w:marBottom w:val="0"/>
          <w:divBdr>
            <w:top w:val="none" w:sz="0" w:space="0" w:color="auto"/>
            <w:left w:val="none" w:sz="0" w:space="0" w:color="auto"/>
            <w:bottom w:val="none" w:sz="0" w:space="0" w:color="auto"/>
            <w:right w:val="none" w:sz="0" w:space="0" w:color="auto"/>
          </w:divBdr>
        </w:div>
        <w:div w:id="801190545">
          <w:marLeft w:val="0"/>
          <w:marRight w:val="0"/>
          <w:marTop w:val="0"/>
          <w:marBottom w:val="0"/>
          <w:divBdr>
            <w:top w:val="none" w:sz="0" w:space="0" w:color="auto"/>
            <w:left w:val="none" w:sz="0" w:space="0" w:color="auto"/>
            <w:bottom w:val="none" w:sz="0" w:space="0" w:color="auto"/>
            <w:right w:val="none" w:sz="0" w:space="0" w:color="auto"/>
          </w:divBdr>
        </w:div>
        <w:div w:id="621955807">
          <w:marLeft w:val="0"/>
          <w:marRight w:val="0"/>
          <w:marTop w:val="0"/>
          <w:marBottom w:val="0"/>
          <w:divBdr>
            <w:top w:val="none" w:sz="0" w:space="0" w:color="auto"/>
            <w:left w:val="none" w:sz="0" w:space="0" w:color="auto"/>
            <w:bottom w:val="none" w:sz="0" w:space="0" w:color="auto"/>
            <w:right w:val="none" w:sz="0" w:space="0" w:color="auto"/>
          </w:divBdr>
        </w:div>
        <w:div w:id="2011253761">
          <w:marLeft w:val="0"/>
          <w:marRight w:val="0"/>
          <w:marTop w:val="0"/>
          <w:marBottom w:val="0"/>
          <w:divBdr>
            <w:top w:val="none" w:sz="0" w:space="0" w:color="auto"/>
            <w:left w:val="none" w:sz="0" w:space="0" w:color="auto"/>
            <w:bottom w:val="none" w:sz="0" w:space="0" w:color="auto"/>
            <w:right w:val="none" w:sz="0" w:space="0" w:color="auto"/>
          </w:divBdr>
        </w:div>
        <w:div w:id="1653218048">
          <w:marLeft w:val="0"/>
          <w:marRight w:val="0"/>
          <w:marTop w:val="0"/>
          <w:marBottom w:val="0"/>
          <w:divBdr>
            <w:top w:val="none" w:sz="0" w:space="0" w:color="auto"/>
            <w:left w:val="none" w:sz="0" w:space="0" w:color="auto"/>
            <w:bottom w:val="none" w:sz="0" w:space="0" w:color="auto"/>
            <w:right w:val="none" w:sz="0" w:space="0" w:color="auto"/>
          </w:divBdr>
        </w:div>
        <w:div w:id="1840778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0-web-s-ebscohost-com.libus.csd.mu.edu/ehost/detail/detail?vid=2&amp;sid=0f328874-81fb-465e-9fe2-2f86ae675ac2%40redis&amp;bdata=JnNpdGU9ZWhvc3QtbGl2ZSZzY29wZT1zaXR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37/sgd000032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11419</Words>
  <Characters>65089</Characters>
  <Application>Microsoft Office Word</Application>
  <DocSecurity>8</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2023-03-03T16:12:00Z</dcterms:created>
  <dcterms:modified xsi:type="dcterms:W3CDTF">2023-03-03T16:48:00Z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