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A310B" w14:textId="77777777" w:rsidR="002C02B2" w:rsidRDefault="002C02B2" w:rsidP="002C02B2">
      <w:pPr>
        <w:pStyle w:val="NoSpacing"/>
      </w:pPr>
      <w:r w:rsidRPr="00F607A5">
        <w:rPr>
          <w:i/>
        </w:rPr>
        <w:t>Journal of Forensic Economics</w:t>
      </w:r>
      <w:r>
        <w:t xml:space="preserve"> 10(1), 1997, pp. 65</w:t>
      </w:r>
      <w:bookmarkStart w:id="0" w:name="_GoBack"/>
      <w:bookmarkEnd w:id="0"/>
      <w:r>
        <w:t>---68</w:t>
      </w:r>
    </w:p>
    <w:p w14:paraId="6B5849FD" w14:textId="77777777" w:rsidR="002C02B2" w:rsidRDefault="002C02B2" w:rsidP="002C02B2">
      <w:pPr>
        <w:pStyle w:val="NoSpacing"/>
      </w:pPr>
      <w:r>
        <w:t>© 1997 by the National Association of Forensic Economics</w:t>
      </w:r>
    </w:p>
    <w:p w14:paraId="351B5B55" w14:textId="77777777" w:rsidR="00F607A5" w:rsidRDefault="00F607A5" w:rsidP="002C02B2">
      <w:pPr>
        <w:pStyle w:val="NoSpacing"/>
      </w:pPr>
    </w:p>
    <w:p w14:paraId="758B9F6C" w14:textId="77777777" w:rsidR="002C02B2" w:rsidRDefault="002C02B2" w:rsidP="00F607A5">
      <w:pPr>
        <w:pStyle w:val="Title"/>
      </w:pPr>
      <w:r>
        <w:t xml:space="preserve">The Distributional Effects </w:t>
      </w:r>
      <w:proofErr w:type="gramStart"/>
      <w:r>
        <w:t>Of</w:t>
      </w:r>
      <w:proofErr w:type="gramEnd"/>
      <w:r>
        <w:t xml:space="preserve"> Using A</w:t>
      </w:r>
    </w:p>
    <w:p w14:paraId="086FE062" w14:textId="77777777" w:rsidR="002C02B2" w:rsidRDefault="002C02B2" w:rsidP="00F607A5">
      <w:pPr>
        <w:pStyle w:val="Title"/>
      </w:pPr>
      <w:r>
        <w:t>Before-Tax Standard: A Comment</w:t>
      </w:r>
    </w:p>
    <w:p w14:paraId="46FFC3AD" w14:textId="77777777" w:rsidR="00F607A5" w:rsidRDefault="00F607A5" w:rsidP="002C02B2">
      <w:pPr>
        <w:pStyle w:val="NoSpacing"/>
      </w:pPr>
    </w:p>
    <w:p w14:paraId="5D02A6E7" w14:textId="77777777" w:rsidR="002C02B2" w:rsidRDefault="002C02B2" w:rsidP="002C02B2">
      <w:pPr>
        <w:pStyle w:val="NoSpacing"/>
      </w:pPr>
      <w:r>
        <w:t>Brian C. Brush*</w:t>
      </w:r>
    </w:p>
    <w:p w14:paraId="49C9CAB4" w14:textId="77777777" w:rsidR="00F607A5" w:rsidRDefault="00F607A5" w:rsidP="002C02B2">
      <w:pPr>
        <w:pStyle w:val="NoSpacing"/>
      </w:pPr>
    </w:p>
    <w:p w14:paraId="5D722C9D" w14:textId="77777777" w:rsidR="002C02B2" w:rsidRDefault="002C02B2" w:rsidP="00767D6B">
      <w:pPr>
        <w:pStyle w:val="NoSpacing"/>
        <w:ind w:firstLine="720"/>
        <w:jc w:val="left"/>
      </w:pPr>
      <w:r>
        <w:t>The papers in a special section in the Fall 1994 issue of this journal titled "Taxes and Economic Awards" presented several different approaches</w:t>
      </w:r>
      <w:r w:rsidR="00F607A5">
        <w:t xml:space="preserve"> </w:t>
      </w:r>
      <w:r>
        <w:t>to the problem of accounting for income taxes in the calculation of economic</w:t>
      </w:r>
      <w:r w:rsidR="00F607A5">
        <w:t xml:space="preserve"> </w:t>
      </w:r>
      <w:r>
        <w:t xml:space="preserve">damage awards. Of </w:t>
      </w:r>
      <w:proofErr w:type="gramStart"/>
      <w:r>
        <w:t>particular interest</w:t>
      </w:r>
      <w:proofErr w:type="gramEnd"/>
      <w:r>
        <w:t xml:space="preserve"> was the excellent paper by Harris</w:t>
      </w:r>
      <w:r w:rsidR="00F607A5">
        <w:t xml:space="preserve"> </w:t>
      </w:r>
      <w:r>
        <w:t>(1994), who compared before-tax and after-tax damage awards using</w:t>
      </w:r>
      <w:r w:rsidR="00F607A5">
        <w:t xml:space="preserve"> </w:t>
      </w:r>
      <w:r>
        <w:t xml:space="preserve">model which incorporated progressive federal and state income tax schedules into the calculations. He presented results showing the impact of variations in </w:t>
      </w:r>
      <w:proofErr w:type="spellStart"/>
      <w:r>
        <w:t>worklife</w:t>
      </w:r>
      <w:proofErr w:type="spellEnd"/>
      <w:r>
        <w:t xml:space="preserve"> expectancy, income level, the spread between earnings</w:t>
      </w:r>
      <w:r w:rsidR="00F607A5">
        <w:t xml:space="preserve"> </w:t>
      </w:r>
      <w:r>
        <w:t xml:space="preserve">growth and discount rates, the absolute level of earnings growth and discount rates, and marital status on the overcompensation or </w:t>
      </w:r>
      <w:proofErr w:type="spellStart"/>
      <w:r>
        <w:t>undercompensation</w:t>
      </w:r>
      <w:proofErr w:type="spellEnd"/>
      <w:r>
        <w:t xml:space="preserve"> which would result from ignoring tax considerations in the calculation of</w:t>
      </w:r>
      <w:r w:rsidR="00F607A5">
        <w:t xml:space="preserve"> </w:t>
      </w:r>
      <w:r>
        <w:t>awards. The purpose of this comment is to suggest simple improvements in</w:t>
      </w:r>
      <w:r w:rsidR="00767D6B">
        <w:t xml:space="preserve"> </w:t>
      </w:r>
      <w:r>
        <w:t>Harris’ model which provide for greater accuracy and flexibility while also</w:t>
      </w:r>
      <w:r w:rsidR="00767D6B">
        <w:t xml:space="preserve"> </w:t>
      </w:r>
      <w:r>
        <w:t>making explicit the role of a key variable, the rate of inflation. The impact of</w:t>
      </w:r>
      <w:r w:rsidR="00767D6B">
        <w:t xml:space="preserve"> </w:t>
      </w:r>
      <w:r>
        <w:t>the improvements on the calculation of after-tax damage awards is illustrated.</w:t>
      </w:r>
    </w:p>
    <w:p w14:paraId="002658FB" w14:textId="77777777" w:rsidR="002C02B2" w:rsidRDefault="002C02B2" w:rsidP="00767D6B">
      <w:pPr>
        <w:pStyle w:val="NoSpacing"/>
        <w:ind w:firstLine="720"/>
        <w:jc w:val="left"/>
      </w:pPr>
      <w:r>
        <w:t xml:space="preserve">For various sets of assumptions about </w:t>
      </w:r>
      <w:proofErr w:type="spellStart"/>
      <w:r>
        <w:t>worklife</w:t>
      </w:r>
      <w:proofErr w:type="spellEnd"/>
      <w:r>
        <w:t>, income, earnings growth</w:t>
      </w:r>
      <w:r w:rsidR="00767D6B">
        <w:t xml:space="preserve"> </w:t>
      </w:r>
      <w:r>
        <w:t>rates, discount rates and marital status, Harris applied progressive taxation to both wage earnings and the interest earned on the lump sum award</w:t>
      </w:r>
      <w:r w:rsidR="00767D6B">
        <w:t xml:space="preserve"> </w:t>
      </w:r>
      <w:r>
        <w:t>to calculate after-tax awards, and then compared these results to before-tax</w:t>
      </w:r>
      <w:r w:rsidR="00767D6B">
        <w:t xml:space="preserve"> </w:t>
      </w:r>
      <w:r>
        <w:t>awards based on the same sets of assumptions. However, while in each case</w:t>
      </w:r>
      <w:r w:rsidR="00767D6B">
        <w:t xml:space="preserve"> </w:t>
      </w:r>
      <w:r>
        <w:t xml:space="preserve">he calculated the taxes due on interest for each year of the </w:t>
      </w:r>
      <w:proofErr w:type="spellStart"/>
      <w:r>
        <w:t>worklife</w:t>
      </w:r>
      <w:proofErr w:type="spellEnd"/>
      <w:r>
        <w:t>, he calculated the taxes due on wage earnings just once, on the base year earnings.</w:t>
      </w:r>
      <w:r w:rsidR="00767D6B">
        <w:t xml:space="preserve"> </w:t>
      </w:r>
      <w:r>
        <w:t xml:space="preserve">He then made the simplifying assumption of a constant rate of growth in </w:t>
      </w:r>
      <w:r w:rsidRPr="00923993">
        <w:rPr>
          <w:i/>
        </w:rPr>
        <w:t>after-tax</w:t>
      </w:r>
      <w:r>
        <w:t xml:space="preserve"> earnings over the remainder of the </w:t>
      </w:r>
      <w:proofErr w:type="spellStart"/>
      <w:r>
        <w:t>worklife</w:t>
      </w:r>
      <w:proofErr w:type="spellEnd"/>
      <w:r>
        <w:t>. Thus, Harris compared a</w:t>
      </w:r>
      <w:r w:rsidR="00767D6B">
        <w:t xml:space="preserve"> </w:t>
      </w:r>
      <w:r>
        <w:t>before-tax award based on a given before-tax earnings growth rate (e.g., 5%)</w:t>
      </w:r>
      <w:r w:rsidR="00767D6B">
        <w:t xml:space="preserve"> </w:t>
      </w:r>
      <w:r>
        <w:t>with an after-tax award based on the same growth rate (e.g., 5%) applied</w:t>
      </w:r>
      <w:r w:rsidR="00767D6B">
        <w:t xml:space="preserve"> </w:t>
      </w:r>
      <w:r w:rsidRPr="00A13936">
        <w:rPr>
          <w:i/>
        </w:rPr>
        <w:t>after-tax</w:t>
      </w:r>
      <w:r>
        <w:t xml:space="preserve"> earnings. But with progressive taxation, the after-tax growth rate</w:t>
      </w:r>
      <w:r w:rsidR="00767D6B">
        <w:t xml:space="preserve"> </w:t>
      </w:r>
      <w:r>
        <w:t>will normally differ from the before-tax growth rate. In the absence of any</w:t>
      </w:r>
      <w:r w:rsidR="00767D6B">
        <w:t xml:space="preserve"> </w:t>
      </w:r>
      <w:r>
        <w:t>other simplifying assumptions, such a comparison of before-tax and after-tax</w:t>
      </w:r>
      <w:r w:rsidR="00767D6B">
        <w:t xml:space="preserve"> </w:t>
      </w:r>
      <w:r>
        <w:t xml:space="preserve">awards would be distorted because the two awards would be based on different </w:t>
      </w:r>
      <w:r w:rsidRPr="00A0593E">
        <w:rPr>
          <w:i/>
        </w:rPr>
        <w:t>before-tax</w:t>
      </w:r>
      <w:r>
        <w:t xml:space="preserve"> earnings growth rates.</w:t>
      </w:r>
    </w:p>
    <w:p w14:paraId="5A3055C5" w14:textId="77777777" w:rsidR="002C02B2" w:rsidRDefault="002C02B2" w:rsidP="00767D6B">
      <w:pPr>
        <w:pStyle w:val="NoSpacing"/>
        <w:ind w:firstLine="720"/>
        <w:jc w:val="left"/>
      </w:pPr>
      <w:r>
        <w:t>Although he may not have been aware of the problem just stated, Harris</w:t>
      </w:r>
    </w:p>
    <w:p w14:paraId="0B575670" w14:textId="77777777" w:rsidR="00767D6B" w:rsidRDefault="002C02B2" w:rsidP="00F607A5">
      <w:pPr>
        <w:pStyle w:val="NoSpacing"/>
        <w:jc w:val="left"/>
      </w:pPr>
      <w:r>
        <w:t>managed to avoid it by making a second simplifying assumption. While federal exemptions, deductions and tax brackets have been indexed to the consumer price index since 1985, in his model they are indexed to the earnings</w:t>
      </w:r>
      <w:r w:rsidR="007D3F82">
        <w:t xml:space="preserve"> </w:t>
      </w:r>
      <w:r>
        <w:t>growth rate. This assumption prevents the progressive tax schedule from</w:t>
      </w:r>
      <w:r w:rsidR="007D3F82">
        <w:t xml:space="preserve"> </w:t>
      </w:r>
      <w:r>
        <w:t>taking either a larger or smaller share of income as earnings grow over the</w:t>
      </w:r>
      <w:r w:rsidR="007D3F82">
        <w:t xml:space="preserve"> </w:t>
      </w:r>
      <w:proofErr w:type="spellStart"/>
      <w:proofErr w:type="gramStart"/>
      <w:r>
        <w:t>worklife</w:t>
      </w:r>
      <w:proofErr w:type="spellEnd"/>
      <w:r>
        <w:t>, and</w:t>
      </w:r>
      <w:proofErr w:type="gramEnd"/>
      <w:r>
        <w:t xml:space="preserve"> guarantees that the before-tax and after-tax earnings growth</w:t>
      </w:r>
      <w:r w:rsidR="007D3F82">
        <w:t xml:space="preserve"> </w:t>
      </w:r>
      <w:r>
        <w:t>rates will be equal. Unfortunately, the assumption rules out one of the more</w:t>
      </w:r>
    </w:p>
    <w:p w14:paraId="309BCFD2" w14:textId="77777777" w:rsidR="002C02B2" w:rsidRDefault="002C02B2" w:rsidP="00767D6B">
      <w:pPr>
        <w:pStyle w:val="NoSpacing"/>
        <w:jc w:val="right"/>
      </w:pPr>
      <w:r>
        <w:t>65</w:t>
      </w:r>
    </w:p>
    <w:p w14:paraId="6480698D" w14:textId="120A1936" w:rsidR="002C02B2" w:rsidRDefault="002C02B2" w:rsidP="00767D6B">
      <w:pPr>
        <w:pStyle w:val="NoSpacing"/>
        <w:jc w:val="right"/>
      </w:pPr>
      <w:r>
        <w:t xml:space="preserve">66 </w:t>
      </w:r>
      <w:r w:rsidR="00A13936">
        <w:t>Journal of Forensic Economics</w:t>
      </w:r>
    </w:p>
    <w:p w14:paraId="04064340" w14:textId="77777777" w:rsidR="00A13936" w:rsidRDefault="00A13936" w:rsidP="00F607A5">
      <w:pPr>
        <w:pStyle w:val="NoSpacing"/>
        <w:jc w:val="left"/>
      </w:pPr>
    </w:p>
    <w:p w14:paraId="2D5E4441" w14:textId="7A54030F" w:rsidR="002C02B2" w:rsidRDefault="002C02B2" w:rsidP="00F607A5">
      <w:pPr>
        <w:pStyle w:val="NoSpacing"/>
        <w:jc w:val="left"/>
      </w:pPr>
      <w:r>
        <w:t>important results of a progressive tax structure. If a progressive tax structure is not indexed, after-tax earnings will grow more slowly than before-tax</w:t>
      </w:r>
      <w:r w:rsidR="00D66DC3">
        <w:t xml:space="preserve"> </w:t>
      </w:r>
      <w:r>
        <w:t>earnings. If the tax structure is indexed to the inflation rate, after-tax earnings will grow more slowly (more rapidly) than before-tax earnings if before</w:t>
      </w:r>
      <w:r w:rsidR="00D66DC3">
        <w:t>-</w:t>
      </w:r>
      <w:r>
        <w:t>tax earnings grow more rapidly (more slowly) than the inflation rate.</w:t>
      </w:r>
    </w:p>
    <w:p w14:paraId="146D3906" w14:textId="77777777" w:rsidR="00D66DC3" w:rsidRDefault="002C02B2" w:rsidP="00D66DC3">
      <w:pPr>
        <w:pStyle w:val="NoSpacing"/>
        <w:ind w:firstLine="720"/>
        <w:jc w:val="left"/>
      </w:pPr>
      <w:r>
        <w:lastRenderedPageBreak/>
        <w:t>While Harris described his indexing assumption as "reasonable," he also</w:t>
      </w:r>
      <w:r w:rsidR="00D66DC3">
        <w:t xml:space="preserve"> </w:t>
      </w:r>
      <w:r>
        <w:t>recognized that it would affect the results. He stated that, as an alternative</w:t>
      </w:r>
      <w:r w:rsidR="00D66DC3">
        <w:t xml:space="preserve"> </w:t>
      </w:r>
      <w:r>
        <w:t>to the assumption he made, "...it could be assumed that they [deductions,</w:t>
      </w:r>
      <w:r w:rsidR="00D66DC3">
        <w:t xml:space="preserve"> </w:t>
      </w:r>
      <w:r>
        <w:t>exemptions and tax brackets] were indexed to the rate of inflation and that</w:t>
      </w:r>
      <w:r w:rsidR="00D66DC3">
        <w:t xml:space="preserve"> </w:t>
      </w:r>
      <w:r>
        <w:t>the inflation rate was lower than the earnings growth rate. This assumption</w:t>
      </w:r>
      <w:r w:rsidR="00D66DC3">
        <w:t xml:space="preserve"> </w:t>
      </w:r>
      <w:r>
        <w:t>would change the results presented." (p. 278)</w:t>
      </w:r>
    </w:p>
    <w:p w14:paraId="3D3152A1" w14:textId="12F825AD" w:rsidR="002C02B2" w:rsidRDefault="002C02B2" w:rsidP="00F327D3">
      <w:pPr>
        <w:pStyle w:val="NoSpacing"/>
        <w:ind w:firstLine="720"/>
        <w:jc w:val="left"/>
      </w:pPr>
      <w:r>
        <w:t>It is no more difficult to calculate taxes on wages for each future year</w:t>
      </w:r>
      <w:r w:rsidR="00F327D3">
        <w:t xml:space="preserve"> </w:t>
      </w:r>
      <w:r>
        <w:t xml:space="preserve">than it is to calculate taxes on interest for each year. Also, it is no more </w:t>
      </w:r>
      <w:r w:rsidR="00171303">
        <w:t>difficult</w:t>
      </w:r>
      <w:r>
        <w:t xml:space="preserve"> to model the tax structure indexed to the inflation rate than it is to</w:t>
      </w:r>
      <w:r w:rsidR="00F327D3">
        <w:t xml:space="preserve"> </w:t>
      </w:r>
      <w:r>
        <w:t>model the tax structure indexed to the earnings growth rate. Therefore,</w:t>
      </w:r>
      <w:r w:rsidR="00F327D3">
        <w:t xml:space="preserve"> </w:t>
      </w:r>
      <w:r>
        <w:t>there is little to be gained from making the two simplifying assumptions</w:t>
      </w:r>
      <w:r w:rsidR="00F327D3">
        <w:t xml:space="preserve"> </w:t>
      </w:r>
      <w:r>
        <w:t>discussed above. On the other hand, what is lost through these assumptions is some degree of accuracy (by indexing the tax structure to the wrong</w:t>
      </w:r>
      <w:r w:rsidR="00F327D3">
        <w:t xml:space="preserve"> </w:t>
      </w:r>
      <w:r>
        <w:t>variable) and some degree of flexibility (by failing to separate out the inf</w:t>
      </w:r>
      <w:r w:rsidR="00171303">
        <w:t>l</w:t>
      </w:r>
      <w:r>
        <w:t>ation rate from the earnings growth and discount rates). Simply by introducing one additional variable (the inflation rate) into the model, one can</w:t>
      </w:r>
      <w:r w:rsidR="00F327D3">
        <w:t xml:space="preserve"> </w:t>
      </w:r>
      <w:r>
        <w:t>achieve greater accuracy and flexibility in the calculation of after-tax awards</w:t>
      </w:r>
      <w:r w:rsidR="00F327D3">
        <w:t xml:space="preserve"> </w:t>
      </w:r>
      <w:r>
        <w:t>by indexing the tax structure to the inflation rate rather than the earnings growth rate, allowing the before-tax earnings growth rate to differ from the</w:t>
      </w:r>
      <w:r w:rsidR="00F327D3">
        <w:t xml:space="preserve"> </w:t>
      </w:r>
      <w:r>
        <w:t>inflation rate, and allowing the before-tax earnings growth rate to differ from</w:t>
      </w:r>
      <w:r w:rsidR="00F327D3">
        <w:t xml:space="preserve"> </w:t>
      </w:r>
      <w:r>
        <w:t>the after-tax earnings growth rate, which in fact is a usual result of progressive taxation. Finally, since the inflation rate has been identified by others</w:t>
      </w:r>
      <w:r w:rsidR="00F327D3">
        <w:t xml:space="preserve"> </w:t>
      </w:r>
      <w:r>
        <w:t>as a key variable in the comparisons of before-tax and after-tax awards</w:t>
      </w:r>
      <w:r w:rsidR="00F327D3">
        <w:t xml:space="preserve"> </w:t>
      </w:r>
      <w:r>
        <w:t>(</w:t>
      </w:r>
      <w:proofErr w:type="spellStart"/>
      <w:r>
        <w:t>Slesnick</w:t>
      </w:r>
      <w:proofErr w:type="spellEnd"/>
      <w:r>
        <w:t xml:space="preserve"> and Dolin 1983), it is best to treat it as an explicit variable.</w:t>
      </w:r>
    </w:p>
    <w:p w14:paraId="283BADDA" w14:textId="77777777" w:rsidR="002C02B2" w:rsidRDefault="002C02B2" w:rsidP="00F327D3">
      <w:pPr>
        <w:pStyle w:val="NoSpacing"/>
        <w:ind w:firstLine="720"/>
        <w:jc w:val="left"/>
      </w:pPr>
      <w:r>
        <w:t>In the present study, some of Harris’ results were first replicated using</w:t>
      </w:r>
      <w:r w:rsidR="00F327D3">
        <w:t xml:space="preserve"> </w:t>
      </w:r>
      <w:r>
        <w:t>an electronic spreadsheet program.</w:t>
      </w:r>
      <w:r w:rsidRPr="002556F3">
        <w:rPr>
          <w:vertAlign w:val="superscript"/>
        </w:rPr>
        <w:t>1</w:t>
      </w:r>
      <w:r>
        <w:t xml:space="preserve"> Then his model was modified in the following ways: (1) In calculating both before-tax and after-tax awards, the</w:t>
      </w:r>
      <w:r w:rsidR="00F327D3">
        <w:t xml:space="preserve"> </w:t>
      </w:r>
      <w:r>
        <w:t>same before-tax earnings growth rate was assumed, and the correct amount</w:t>
      </w:r>
      <w:r w:rsidR="00F327D3">
        <w:t xml:space="preserve"> </w:t>
      </w:r>
      <w:r>
        <w:t>of taxes on wages was calculated separately for each year; (2) the inflation</w:t>
      </w:r>
      <w:r w:rsidR="00F327D3">
        <w:t xml:space="preserve"> </w:t>
      </w:r>
      <w:r>
        <w:t>rate was introduced as an additional variable in the model, and the federal</w:t>
      </w:r>
      <w:r w:rsidR="00F327D3">
        <w:t xml:space="preserve"> </w:t>
      </w:r>
      <w:r>
        <w:t>and state exemptions, deductions and tax brackets were indexed to the rate</w:t>
      </w:r>
      <w:r w:rsidR="00F327D3">
        <w:t xml:space="preserve"> </w:t>
      </w:r>
      <w:r>
        <w:t>of inflation rather than to the rate of earnings growth.</w:t>
      </w:r>
    </w:p>
    <w:p w14:paraId="148942FD" w14:textId="77777777" w:rsidR="002C02B2" w:rsidRDefault="002C02B2" w:rsidP="002556F3">
      <w:pPr>
        <w:pStyle w:val="NoSpacing"/>
        <w:ind w:firstLine="720"/>
        <w:jc w:val="left"/>
      </w:pPr>
      <w:r>
        <w:t>Table 1 illustrates the effect on the after-tax award of varying the inflation rate while holding all other variables constant for one of the cases presented by Harris, involving a single taxpayer with before-tax base earnings</w:t>
      </w:r>
      <w:r w:rsidR="002556F3">
        <w:t xml:space="preserve"> </w:t>
      </w:r>
      <w:r>
        <w:t>of $60,000, a before-tax earnings growth rate of 5%, a discount rate of 7%</w:t>
      </w:r>
    </w:p>
    <w:p w14:paraId="70DB9FA0" w14:textId="77777777" w:rsidR="002C02B2" w:rsidRDefault="002C02B2" w:rsidP="00F607A5">
      <w:pPr>
        <w:pStyle w:val="NoSpacing"/>
        <w:jc w:val="left"/>
      </w:pPr>
      <w:r>
        <w:t xml:space="preserve">and a </w:t>
      </w:r>
      <w:proofErr w:type="spellStart"/>
      <w:r>
        <w:t>worklife</w:t>
      </w:r>
      <w:proofErr w:type="spellEnd"/>
      <w:r>
        <w:t xml:space="preserve"> expectancy of 20 years. As the inflation rate varies from 0%</w:t>
      </w:r>
      <w:r w:rsidR="002556F3">
        <w:t xml:space="preserve"> </w:t>
      </w:r>
      <w:r>
        <w:t>to 10%, the after-tax award varies from $785,383 to $861,013 and the</w:t>
      </w:r>
      <w:r w:rsidR="002556F3">
        <w:t xml:space="preserve"> </w:t>
      </w:r>
      <w:r>
        <w:t>amount of overcompensation varies from $204,780 (26.1%) to $129,150</w:t>
      </w:r>
    </w:p>
    <w:p w14:paraId="3487B469" w14:textId="77777777" w:rsidR="002C02B2" w:rsidRDefault="002C02B2" w:rsidP="003C3DE3">
      <w:pPr>
        <w:pStyle w:val="NoSpacing"/>
        <w:jc w:val="right"/>
      </w:pPr>
      <w:r>
        <w:t>Brush 67</w:t>
      </w:r>
    </w:p>
    <w:p w14:paraId="55210094" w14:textId="77777777" w:rsidR="002C02B2" w:rsidRDefault="002C02B2" w:rsidP="00F607A5">
      <w:pPr>
        <w:pStyle w:val="NoSpacing"/>
        <w:jc w:val="left"/>
      </w:pPr>
      <w:r>
        <w:t>(15.0%).</w:t>
      </w:r>
      <w:r w:rsidRPr="003C3DE3">
        <w:rPr>
          <w:vertAlign w:val="superscript"/>
        </w:rPr>
        <w:t>2</w:t>
      </w:r>
      <w:r>
        <w:t xml:space="preserve"> At the same time, the average compound after-tax earnings growth</w:t>
      </w:r>
      <w:r w:rsidR="003C3DE3">
        <w:t xml:space="preserve"> </w:t>
      </w:r>
      <w:r>
        <w:t>rate varies from 4.49% to 5.70%, despite a constant before-tax earnings</w:t>
      </w:r>
      <w:r w:rsidR="003C3DE3">
        <w:t xml:space="preserve"> </w:t>
      </w:r>
      <w:r>
        <w:t>growth rate of 5.0%. Only in the special case where the inflation rate equals</w:t>
      </w:r>
      <w:r w:rsidR="003C3DE3">
        <w:t xml:space="preserve"> </w:t>
      </w:r>
      <w:r>
        <w:t>the earnings growth rate is the after-tax award the same as that shown by</w:t>
      </w:r>
      <w:r w:rsidR="003C3DE3">
        <w:t xml:space="preserve"> </w:t>
      </w:r>
      <w:r>
        <w:t>Harris, and only in this special case is the after-tax earnings growth rate</w:t>
      </w:r>
      <w:r w:rsidR="003C3DE3">
        <w:t xml:space="preserve"> </w:t>
      </w:r>
      <w:r>
        <w:t>equal to the before-tax earnings growth rate. The general pattern of results</w:t>
      </w:r>
      <w:r w:rsidR="003C3DE3">
        <w:t xml:space="preserve"> </w:t>
      </w:r>
      <w:r>
        <w:t>described here holds for all the cases considered by Harris.</w:t>
      </w:r>
    </w:p>
    <w:p w14:paraId="6E1FFED6" w14:textId="77777777" w:rsidR="000E0CF9" w:rsidRDefault="000E0CF9" w:rsidP="00F607A5">
      <w:pPr>
        <w:pStyle w:val="NoSpacing"/>
        <w:jc w:val="left"/>
      </w:pPr>
    </w:p>
    <w:p w14:paraId="5C80461C" w14:textId="77777777" w:rsidR="002C02B2" w:rsidRDefault="002C02B2" w:rsidP="003C3DE3">
      <w:pPr>
        <w:pStyle w:val="NoSpacing"/>
        <w:jc w:val="center"/>
      </w:pPr>
      <w:r>
        <w:t>Table 1</w:t>
      </w:r>
    </w:p>
    <w:p w14:paraId="400E8F71" w14:textId="77777777" w:rsidR="002C02B2" w:rsidRDefault="002C02B2" w:rsidP="003C3DE3">
      <w:pPr>
        <w:pStyle w:val="NoSpacing"/>
        <w:jc w:val="center"/>
      </w:pPr>
      <w:r>
        <w:t>A Comparison of Before-Tax and After-Tax Damage Awards with</w:t>
      </w:r>
    </w:p>
    <w:p w14:paraId="09A1B1C7" w14:textId="77777777" w:rsidR="002C02B2" w:rsidRDefault="002C02B2" w:rsidP="003C3DE3">
      <w:pPr>
        <w:pStyle w:val="NoSpacing"/>
        <w:jc w:val="center"/>
      </w:pPr>
      <w:r>
        <w:t>Varying Inflation Rates</w:t>
      </w:r>
    </w:p>
    <w:p w14:paraId="1B2DDCF6" w14:textId="77777777" w:rsidR="002C02B2" w:rsidRDefault="002C02B2" w:rsidP="003C3DE3">
      <w:pPr>
        <w:pStyle w:val="NoSpacing"/>
        <w:jc w:val="center"/>
      </w:pPr>
      <w:r>
        <w:t>(earnings = $60,000, wage growth = .05, discount = .07,</w:t>
      </w:r>
    </w:p>
    <w:p w14:paraId="49828FA6" w14:textId="77777777" w:rsidR="002C02B2" w:rsidRDefault="002C02B2" w:rsidP="003C3DE3">
      <w:pPr>
        <w:pStyle w:val="NoSpacing"/>
        <w:jc w:val="center"/>
      </w:pPr>
      <w:proofErr w:type="spellStart"/>
      <w:r>
        <w:t>worklife</w:t>
      </w:r>
      <w:proofErr w:type="spellEnd"/>
      <w:r>
        <w:t xml:space="preserve"> -- 20 yrs., single taxpayer)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1 "/>
        <w:tblDescription w:val="Table 1&#10;A Comparison of Before-Tax and After-Tax Damage Awards with&#10;Varying Inflation Rates&#10;"/>
      </w:tblPr>
      <w:tblGrid>
        <w:gridCol w:w="966"/>
        <w:gridCol w:w="1190"/>
        <w:gridCol w:w="1052"/>
        <w:gridCol w:w="1920"/>
        <w:gridCol w:w="908"/>
      </w:tblGrid>
      <w:tr w:rsidR="00405FAC" w14:paraId="0896DFEE" w14:textId="77777777" w:rsidTr="00B5386D">
        <w:tc>
          <w:tcPr>
            <w:tcW w:w="0" w:type="auto"/>
          </w:tcPr>
          <w:p w14:paraId="30CDBBAE" w14:textId="77777777" w:rsidR="00405FAC" w:rsidRDefault="00405FAC" w:rsidP="00F607A5">
            <w:pPr>
              <w:pStyle w:val="NoSpacing"/>
              <w:jc w:val="left"/>
            </w:pPr>
            <w:r>
              <w:t>Inflation</w:t>
            </w:r>
          </w:p>
        </w:tc>
        <w:tc>
          <w:tcPr>
            <w:tcW w:w="0" w:type="auto"/>
          </w:tcPr>
          <w:p w14:paraId="5FA5DD06" w14:textId="77777777" w:rsidR="00405FAC" w:rsidRDefault="00405FAC" w:rsidP="00F607A5">
            <w:pPr>
              <w:pStyle w:val="NoSpacing"/>
              <w:jc w:val="left"/>
            </w:pPr>
            <w:r>
              <w:t>Lump Sum</w:t>
            </w:r>
          </w:p>
        </w:tc>
        <w:tc>
          <w:tcPr>
            <w:tcW w:w="0" w:type="auto"/>
          </w:tcPr>
          <w:p w14:paraId="791D0EB6" w14:textId="77777777" w:rsidR="00405FAC" w:rsidRDefault="00405FAC" w:rsidP="00F607A5">
            <w:pPr>
              <w:pStyle w:val="NoSpacing"/>
              <w:jc w:val="left"/>
            </w:pPr>
          </w:p>
        </w:tc>
        <w:tc>
          <w:tcPr>
            <w:tcW w:w="0" w:type="auto"/>
          </w:tcPr>
          <w:p w14:paraId="6ACA4CA8" w14:textId="77777777" w:rsidR="00405FAC" w:rsidRDefault="00405FAC" w:rsidP="00F607A5">
            <w:pPr>
              <w:pStyle w:val="NoSpacing"/>
              <w:jc w:val="left"/>
            </w:pPr>
            <w:r>
              <w:t>Overcompensation</w:t>
            </w:r>
          </w:p>
        </w:tc>
        <w:tc>
          <w:tcPr>
            <w:tcW w:w="0" w:type="auto"/>
          </w:tcPr>
          <w:p w14:paraId="6DEBC2A3" w14:textId="77777777" w:rsidR="00405FAC" w:rsidRDefault="00405FAC" w:rsidP="00F607A5">
            <w:pPr>
              <w:pStyle w:val="NoSpacing"/>
              <w:jc w:val="left"/>
            </w:pPr>
          </w:p>
        </w:tc>
      </w:tr>
      <w:tr w:rsidR="00405FAC" w14:paraId="5178C53B" w14:textId="77777777" w:rsidTr="00B5386D">
        <w:tc>
          <w:tcPr>
            <w:tcW w:w="0" w:type="auto"/>
          </w:tcPr>
          <w:p w14:paraId="1F19528E" w14:textId="77777777" w:rsidR="00405FAC" w:rsidRDefault="00405FAC" w:rsidP="00F607A5">
            <w:pPr>
              <w:pStyle w:val="NoSpacing"/>
              <w:jc w:val="left"/>
            </w:pPr>
            <w:r>
              <w:t>Rate</w:t>
            </w:r>
          </w:p>
        </w:tc>
        <w:tc>
          <w:tcPr>
            <w:tcW w:w="0" w:type="auto"/>
          </w:tcPr>
          <w:p w14:paraId="2980C1B1" w14:textId="77777777" w:rsidR="00405FAC" w:rsidRDefault="00405FAC" w:rsidP="00F607A5">
            <w:pPr>
              <w:pStyle w:val="NoSpacing"/>
              <w:jc w:val="left"/>
            </w:pPr>
            <w:r>
              <w:t>Before-Tax</w:t>
            </w:r>
          </w:p>
        </w:tc>
        <w:tc>
          <w:tcPr>
            <w:tcW w:w="0" w:type="auto"/>
          </w:tcPr>
          <w:p w14:paraId="4B936E4E" w14:textId="77777777" w:rsidR="00405FAC" w:rsidRDefault="00405FAC" w:rsidP="00F607A5">
            <w:pPr>
              <w:pStyle w:val="NoSpacing"/>
              <w:jc w:val="left"/>
            </w:pPr>
            <w:r>
              <w:t>After-Tax</w:t>
            </w:r>
          </w:p>
        </w:tc>
        <w:tc>
          <w:tcPr>
            <w:tcW w:w="0" w:type="auto"/>
          </w:tcPr>
          <w:p w14:paraId="71FB795B" w14:textId="77777777" w:rsidR="00405FAC" w:rsidRDefault="00405FAC" w:rsidP="00F607A5">
            <w:pPr>
              <w:pStyle w:val="NoSpacing"/>
              <w:jc w:val="left"/>
            </w:pPr>
            <w:r>
              <w:t>Amount</w:t>
            </w:r>
          </w:p>
        </w:tc>
        <w:tc>
          <w:tcPr>
            <w:tcW w:w="0" w:type="auto"/>
          </w:tcPr>
          <w:p w14:paraId="576B7BC9" w14:textId="77777777" w:rsidR="00405FAC" w:rsidRDefault="00EC60AD" w:rsidP="00F607A5">
            <w:pPr>
              <w:pStyle w:val="NoSpacing"/>
              <w:jc w:val="left"/>
            </w:pPr>
            <w:r>
              <w:t>Percent</w:t>
            </w:r>
          </w:p>
        </w:tc>
      </w:tr>
      <w:tr w:rsidR="00405FAC" w14:paraId="26106947" w14:textId="77777777" w:rsidTr="00B5386D">
        <w:tc>
          <w:tcPr>
            <w:tcW w:w="0" w:type="auto"/>
          </w:tcPr>
          <w:p w14:paraId="213341E6" w14:textId="77777777" w:rsidR="00405FAC" w:rsidRDefault="00EC60AD" w:rsidP="003F64BE">
            <w:pPr>
              <w:pStyle w:val="NoSpacing"/>
            </w:pPr>
            <w:r w:rsidRPr="00EC60AD">
              <w:t xml:space="preserve">0% </w:t>
            </w:r>
          </w:p>
        </w:tc>
        <w:tc>
          <w:tcPr>
            <w:tcW w:w="0" w:type="auto"/>
          </w:tcPr>
          <w:p w14:paraId="4673E9C0" w14:textId="77777777" w:rsidR="00405FAC" w:rsidRDefault="00EC60AD" w:rsidP="00F607A5">
            <w:pPr>
              <w:pStyle w:val="NoSpacing"/>
              <w:jc w:val="left"/>
            </w:pPr>
            <w:r w:rsidRPr="00EC60AD">
              <w:t>$990,163</w:t>
            </w:r>
          </w:p>
        </w:tc>
        <w:tc>
          <w:tcPr>
            <w:tcW w:w="0" w:type="auto"/>
          </w:tcPr>
          <w:p w14:paraId="67DB3261" w14:textId="77777777" w:rsidR="00405FAC" w:rsidRDefault="00EC60AD" w:rsidP="00F607A5">
            <w:pPr>
              <w:pStyle w:val="NoSpacing"/>
              <w:jc w:val="left"/>
            </w:pPr>
            <w:r w:rsidRPr="00EC60AD">
              <w:t>$785,383</w:t>
            </w:r>
          </w:p>
        </w:tc>
        <w:tc>
          <w:tcPr>
            <w:tcW w:w="0" w:type="auto"/>
          </w:tcPr>
          <w:p w14:paraId="5F28A5F4" w14:textId="77777777" w:rsidR="00405FAC" w:rsidRDefault="00EC60AD" w:rsidP="00F607A5">
            <w:pPr>
              <w:pStyle w:val="NoSpacing"/>
              <w:jc w:val="left"/>
            </w:pPr>
            <w:r w:rsidRPr="00EC60AD">
              <w:t>$204,780</w:t>
            </w:r>
          </w:p>
        </w:tc>
        <w:tc>
          <w:tcPr>
            <w:tcW w:w="0" w:type="auto"/>
          </w:tcPr>
          <w:p w14:paraId="35735F01" w14:textId="77777777" w:rsidR="00405FAC" w:rsidRDefault="00EC60AD" w:rsidP="00F607A5">
            <w:pPr>
              <w:pStyle w:val="NoSpacing"/>
              <w:jc w:val="left"/>
            </w:pPr>
            <w:r w:rsidRPr="00EC60AD">
              <w:t>26.1</w:t>
            </w:r>
          </w:p>
        </w:tc>
      </w:tr>
      <w:tr w:rsidR="00405FAC" w14:paraId="0E0262E3" w14:textId="77777777" w:rsidTr="00B5386D">
        <w:tc>
          <w:tcPr>
            <w:tcW w:w="0" w:type="auto"/>
          </w:tcPr>
          <w:p w14:paraId="5EA3A04F" w14:textId="77777777" w:rsidR="00405FAC" w:rsidRDefault="003F64BE" w:rsidP="003F64BE">
            <w:pPr>
              <w:pStyle w:val="NoSpacing"/>
              <w:jc w:val="left"/>
            </w:pPr>
            <w:r>
              <w:t xml:space="preserve">1% </w:t>
            </w:r>
          </w:p>
        </w:tc>
        <w:tc>
          <w:tcPr>
            <w:tcW w:w="0" w:type="auto"/>
          </w:tcPr>
          <w:p w14:paraId="4649D688" w14:textId="77777777" w:rsidR="00405FAC" w:rsidRDefault="003F64BE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19B80576" w14:textId="77777777" w:rsidR="00405FAC" w:rsidRDefault="003F64BE" w:rsidP="00F607A5">
            <w:pPr>
              <w:pStyle w:val="NoSpacing"/>
              <w:jc w:val="left"/>
            </w:pPr>
            <w:r>
              <w:t>$789,242</w:t>
            </w:r>
          </w:p>
        </w:tc>
        <w:tc>
          <w:tcPr>
            <w:tcW w:w="0" w:type="auto"/>
          </w:tcPr>
          <w:p w14:paraId="43B6427B" w14:textId="77777777" w:rsidR="00405FAC" w:rsidRDefault="003F64BE" w:rsidP="00F607A5">
            <w:pPr>
              <w:pStyle w:val="NoSpacing"/>
              <w:jc w:val="left"/>
            </w:pPr>
            <w:r>
              <w:t>$200,921</w:t>
            </w:r>
          </w:p>
        </w:tc>
        <w:tc>
          <w:tcPr>
            <w:tcW w:w="0" w:type="auto"/>
          </w:tcPr>
          <w:p w14:paraId="42212E84" w14:textId="77777777" w:rsidR="00405FAC" w:rsidRDefault="003F64BE" w:rsidP="00F607A5">
            <w:pPr>
              <w:pStyle w:val="NoSpacing"/>
              <w:jc w:val="left"/>
            </w:pPr>
            <w:r>
              <w:t>25.5</w:t>
            </w:r>
          </w:p>
        </w:tc>
      </w:tr>
      <w:tr w:rsidR="00405FAC" w14:paraId="79D8A1ED" w14:textId="77777777" w:rsidTr="00B5386D">
        <w:tc>
          <w:tcPr>
            <w:tcW w:w="0" w:type="auto"/>
          </w:tcPr>
          <w:p w14:paraId="0C984548" w14:textId="77777777" w:rsidR="00405FAC" w:rsidRDefault="003F64BE" w:rsidP="003F64BE">
            <w:pPr>
              <w:pStyle w:val="NoSpacing"/>
              <w:jc w:val="left"/>
            </w:pPr>
            <w:r>
              <w:t xml:space="preserve">2% </w:t>
            </w:r>
          </w:p>
        </w:tc>
        <w:tc>
          <w:tcPr>
            <w:tcW w:w="0" w:type="auto"/>
          </w:tcPr>
          <w:p w14:paraId="48A69214" w14:textId="77777777" w:rsidR="00405FAC" w:rsidRDefault="003F64BE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393EE893" w14:textId="77777777" w:rsidR="00405FAC" w:rsidRDefault="003F64BE" w:rsidP="00F607A5">
            <w:pPr>
              <w:pStyle w:val="NoSpacing"/>
              <w:jc w:val="left"/>
            </w:pPr>
            <w:r>
              <w:t>$794,025</w:t>
            </w:r>
          </w:p>
        </w:tc>
        <w:tc>
          <w:tcPr>
            <w:tcW w:w="0" w:type="auto"/>
          </w:tcPr>
          <w:p w14:paraId="3D6D2B0A" w14:textId="77777777" w:rsidR="00405FAC" w:rsidRDefault="003F64BE" w:rsidP="00F607A5">
            <w:pPr>
              <w:pStyle w:val="NoSpacing"/>
              <w:jc w:val="left"/>
            </w:pPr>
            <w:r>
              <w:t>$196,138</w:t>
            </w:r>
          </w:p>
        </w:tc>
        <w:tc>
          <w:tcPr>
            <w:tcW w:w="0" w:type="auto"/>
          </w:tcPr>
          <w:p w14:paraId="2018FE18" w14:textId="77777777" w:rsidR="00405FAC" w:rsidRDefault="003F64BE" w:rsidP="00F607A5">
            <w:pPr>
              <w:pStyle w:val="NoSpacing"/>
              <w:jc w:val="left"/>
            </w:pPr>
            <w:r>
              <w:t>24.7</w:t>
            </w:r>
          </w:p>
        </w:tc>
      </w:tr>
      <w:tr w:rsidR="00405FAC" w14:paraId="4BC46F6F" w14:textId="77777777" w:rsidTr="00B5386D">
        <w:tc>
          <w:tcPr>
            <w:tcW w:w="0" w:type="auto"/>
          </w:tcPr>
          <w:p w14:paraId="06C8FEAE" w14:textId="77777777" w:rsidR="00405FAC" w:rsidRDefault="003F64BE" w:rsidP="0027322D">
            <w:pPr>
              <w:pStyle w:val="NoSpacing"/>
              <w:jc w:val="left"/>
            </w:pPr>
            <w:r>
              <w:lastRenderedPageBreak/>
              <w:t xml:space="preserve">3% </w:t>
            </w:r>
          </w:p>
        </w:tc>
        <w:tc>
          <w:tcPr>
            <w:tcW w:w="0" w:type="auto"/>
          </w:tcPr>
          <w:p w14:paraId="67DF1D2B" w14:textId="77777777" w:rsidR="00405FAC" w:rsidRDefault="007A5437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756EF128" w14:textId="77777777" w:rsidR="00405FAC" w:rsidRDefault="007A5437" w:rsidP="00F607A5">
            <w:pPr>
              <w:pStyle w:val="NoSpacing"/>
              <w:jc w:val="left"/>
            </w:pPr>
            <w:r>
              <w:t>$799,841</w:t>
            </w:r>
          </w:p>
        </w:tc>
        <w:tc>
          <w:tcPr>
            <w:tcW w:w="0" w:type="auto"/>
          </w:tcPr>
          <w:p w14:paraId="3C267302" w14:textId="77777777" w:rsidR="00405FAC" w:rsidRDefault="007A5437" w:rsidP="00F607A5">
            <w:pPr>
              <w:pStyle w:val="NoSpacing"/>
              <w:jc w:val="left"/>
            </w:pPr>
            <w:r>
              <w:t>$190,322</w:t>
            </w:r>
          </w:p>
        </w:tc>
        <w:tc>
          <w:tcPr>
            <w:tcW w:w="0" w:type="auto"/>
          </w:tcPr>
          <w:p w14:paraId="2A16E7B9" w14:textId="77777777" w:rsidR="00405FAC" w:rsidRDefault="007A5437" w:rsidP="00F607A5">
            <w:pPr>
              <w:pStyle w:val="NoSpacing"/>
              <w:jc w:val="left"/>
            </w:pPr>
            <w:r>
              <w:t>23.8</w:t>
            </w:r>
          </w:p>
        </w:tc>
      </w:tr>
      <w:tr w:rsidR="001B7C63" w14:paraId="03DAB94D" w14:textId="77777777" w:rsidTr="00B5386D">
        <w:tc>
          <w:tcPr>
            <w:tcW w:w="0" w:type="auto"/>
          </w:tcPr>
          <w:p w14:paraId="49F3DD40" w14:textId="77777777" w:rsidR="001B7C63" w:rsidRDefault="001B7C63" w:rsidP="003F64BE">
            <w:pPr>
              <w:pStyle w:val="NoSpacing"/>
              <w:jc w:val="left"/>
            </w:pPr>
            <w:r>
              <w:t>4%</w:t>
            </w:r>
          </w:p>
        </w:tc>
        <w:tc>
          <w:tcPr>
            <w:tcW w:w="0" w:type="auto"/>
          </w:tcPr>
          <w:p w14:paraId="2B7BB79E" w14:textId="77777777" w:rsidR="001B7C63" w:rsidRDefault="001B7C63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443FFA4C" w14:textId="77777777" w:rsidR="001B7C63" w:rsidRDefault="001B7C63" w:rsidP="00F607A5">
            <w:pPr>
              <w:pStyle w:val="NoSpacing"/>
              <w:jc w:val="left"/>
            </w:pPr>
            <w:r>
              <w:t>$806,854</w:t>
            </w:r>
          </w:p>
        </w:tc>
        <w:tc>
          <w:tcPr>
            <w:tcW w:w="0" w:type="auto"/>
          </w:tcPr>
          <w:p w14:paraId="6571FD8A" w14:textId="77777777" w:rsidR="001B7C63" w:rsidRDefault="001B7C63" w:rsidP="00F607A5">
            <w:pPr>
              <w:pStyle w:val="NoSpacing"/>
              <w:jc w:val="left"/>
            </w:pPr>
            <w:r>
              <w:t>$183,309</w:t>
            </w:r>
          </w:p>
        </w:tc>
        <w:tc>
          <w:tcPr>
            <w:tcW w:w="0" w:type="auto"/>
          </w:tcPr>
          <w:p w14:paraId="61187F5B" w14:textId="77777777" w:rsidR="001B7C63" w:rsidRDefault="001B7C63" w:rsidP="00B5386D">
            <w:pPr>
              <w:pStyle w:val="NoSpacing"/>
              <w:jc w:val="left"/>
            </w:pPr>
            <w:r>
              <w:t>22.7</w:t>
            </w:r>
          </w:p>
        </w:tc>
      </w:tr>
      <w:tr w:rsidR="00405FAC" w14:paraId="050FFA13" w14:textId="77777777" w:rsidTr="00B5386D">
        <w:tc>
          <w:tcPr>
            <w:tcW w:w="0" w:type="auto"/>
          </w:tcPr>
          <w:p w14:paraId="79038062" w14:textId="77777777" w:rsidR="00405FAC" w:rsidRDefault="003F64BE" w:rsidP="00B5386D">
            <w:pPr>
              <w:pStyle w:val="NoSpacing"/>
              <w:jc w:val="left"/>
            </w:pPr>
            <w:r>
              <w:t xml:space="preserve">5% </w:t>
            </w:r>
          </w:p>
        </w:tc>
        <w:tc>
          <w:tcPr>
            <w:tcW w:w="0" w:type="auto"/>
          </w:tcPr>
          <w:p w14:paraId="16611F66" w14:textId="77777777" w:rsidR="00405FAC" w:rsidRDefault="007A5437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26FE3FD5" w14:textId="77777777" w:rsidR="00405FAC" w:rsidRDefault="001B7C63" w:rsidP="00F607A5">
            <w:pPr>
              <w:pStyle w:val="NoSpacing"/>
              <w:jc w:val="left"/>
            </w:pPr>
            <w:r>
              <w:t>$815,237</w:t>
            </w:r>
          </w:p>
        </w:tc>
        <w:tc>
          <w:tcPr>
            <w:tcW w:w="0" w:type="auto"/>
          </w:tcPr>
          <w:p w14:paraId="02E39591" w14:textId="77777777" w:rsidR="00405FAC" w:rsidRDefault="001B7C63" w:rsidP="00F607A5">
            <w:pPr>
              <w:pStyle w:val="NoSpacing"/>
              <w:jc w:val="left"/>
            </w:pPr>
            <w:r>
              <w:t>$174,926</w:t>
            </w:r>
          </w:p>
        </w:tc>
        <w:tc>
          <w:tcPr>
            <w:tcW w:w="0" w:type="auto"/>
          </w:tcPr>
          <w:p w14:paraId="6FED7E37" w14:textId="77777777" w:rsidR="00405FAC" w:rsidRDefault="001B7C63" w:rsidP="00F607A5">
            <w:pPr>
              <w:pStyle w:val="NoSpacing"/>
              <w:jc w:val="left"/>
            </w:pPr>
            <w:r>
              <w:t>21.5</w:t>
            </w:r>
          </w:p>
        </w:tc>
      </w:tr>
      <w:tr w:rsidR="003F64BE" w14:paraId="014BCB2C" w14:textId="77777777" w:rsidTr="00B5386D">
        <w:tc>
          <w:tcPr>
            <w:tcW w:w="0" w:type="auto"/>
          </w:tcPr>
          <w:p w14:paraId="50F95948" w14:textId="77777777" w:rsidR="003F64BE" w:rsidRDefault="003F64BE" w:rsidP="00B5386D">
            <w:pPr>
              <w:pStyle w:val="NoSpacing"/>
              <w:jc w:val="left"/>
            </w:pPr>
            <w:r>
              <w:t xml:space="preserve">6% </w:t>
            </w:r>
          </w:p>
        </w:tc>
        <w:tc>
          <w:tcPr>
            <w:tcW w:w="0" w:type="auto"/>
          </w:tcPr>
          <w:p w14:paraId="08E309B5" w14:textId="77777777" w:rsidR="003F64BE" w:rsidRDefault="00230AB8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08F82379" w14:textId="77777777" w:rsidR="003F64BE" w:rsidRDefault="00230AB8" w:rsidP="00F607A5">
            <w:pPr>
              <w:pStyle w:val="NoSpacing"/>
              <w:jc w:val="left"/>
            </w:pPr>
            <w:r>
              <w:t>$822,902</w:t>
            </w:r>
          </w:p>
        </w:tc>
        <w:tc>
          <w:tcPr>
            <w:tcW w:w="0" w:type="auto"/>
          </w:tcPr>
          <w:p w14:paraId="32758DB5" w14:textId="77777777" w:rsidR="003F64BE" w:rsidRDefault="00230AB8" w:rsidP="00F607A5">
            <w:pPr>
              <w:pStyle w:val="NoSpacing"/>
              <w:jc w:val="left"/>
            </w:pPr>
            <w:r>
              <w:t>$167,261</w:t>
            </w:r>
          </w:p>
        </w:tc>
        <w:tc>
          <w:tcPr>
            <w:tcW w:w="0" w:type="auto"/>
          </w:tcPr>
          <w:p w14:paraId="62CA2DCC" w14:textId="77777777" w:rsidR="003F64BE" w:rsidRDefault="00230AB8" w:rsidP="00F607A5">
            <w:pPr>
              <w:pStyle w:val="NoSpacing"/>
              <w:jc w:val="left"/>
            </w:pPr>
            <w:r>
              <w:t>20.3</w:t>
            </w:r>
          </w:p>
        </w:tc>
      </w:tr>
      <w:tr w:rsidR="003F64BE" w14:paraId="32D3EFD2" w14:textId="77777777" w:rsidTr="00B5386D">
        <w:tc>
          <w:tcPr>
            <w:tcW w:w="0" w:type="auto"/>
          </w:tcPr>
          <w:p w14:paraId="53BE0537" w14:textId="77777777" w:rsidR="003F64BE" w:rsidRDefault="003F64BE" w:rsidP="00230AB8">
            <w:pPr>
              <w:pStyle w:val="NoSpacing"/>
              <w:jc w:val="left"/>
            </w:pPr>
            <w:r>
              <w:t xml:space="preserve">7% </w:t>
            </w:r>
          </w:p>
        </w:tc>
        <w:tc>
          <w:tcPr>
            <w:tcW w:w="0" w:type="auto"/>
          </w:tcPr>
          <w:p w14:paraId="3BDAEB98" w14:textId="77777777" w:rsidR="003F64BE" w:rsidRDefault="00230AB8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588CF8A4" w14:textId="77777777" w:rsidR="003F64BE" w:rsidRDefault="00230AB8" w:rsidP="00F607A5">
            <w:pPr>
              <w:pStyle w:val="NoSpacing"/>
              <w:jc w:val="left"/>
            </w:pPr>
            <w:r>
              <w:t>$830,697</w:t>
            </w:r>
          </w:p>
        </w:tc>
        <w:tc>
          <w:tcPr>
            <w:tcW w:w="0" w:type="auto"/>
          </w:tcPr>
          <w:p w14:paraId="332B7DED" w14:textId="77777777" w:rsidR="003F64BE" w:rsidRDefault="00230AB8" w:rsidP="00F607A5">
            <w:pPr>
              <w:pStyle w:val="NoSpacing"/>
              <w:jc w:val="left"/>
            </w:pPr>
            <w:r>
              <w:t>$159,466</w:t>
            </w:r>
          </w:p>
        </w:tc>
        <w:tc>
          <w:tcPr>
            <w:tcW w:w="0" w:type="auto"/>
          </w:tcPr>
          <w:p w14:paraId="268AB87A" w14:textId="77777777" w:rsidR="003F64BE" w:rsidRDefault="00230AB8" w:rsidP="00F607A5">
            <w:pPr>
              <w:pStyle w:val="NoSpacing"/>
              <w:jc w:val="left"/>
            </w:pPr>
            <w:r>
              <w:t>19.2</w:t>
            </w:r>
          </w:p>
        </w:tc>
      </w:tr>
      <w:tr w:rsidR="003F64BE" w14:paraId="27E530F0" w14:textId="77777777" w:rsidTr="00B5386D">
        <w:tc>
          <w:tcPr>
            <w:tcW w:w="0" w:type="auto"/>
          </w:tcPr>
          <w:p w14:paraId="07A41A6B" w14:textId="77777777" w:rsidR="003F64BE" w:rsidRDefault="003F64BE" w:rsidP="003F64BE">
            <w:pPr>
              <w:pStyle w:val="NoSpacing"/>
              <w:jc w:val="left"/>
            </w:pPr>
            <w:r>
              <w:t xml:space="preserve">8% </w:t>
            </w:r>
          </w:p>
        </w:tc>
        <w:tc>
          <w:tcPr>
            <w:tcW w:w="0" w:type="auto"/>
          </w:tcPr>
          <w:p w14:paraId="3D962727" w14:textId="77777777" w:rsidR="003F64BE" w:rsidRDefault="00230AB8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4468EA6B" w14:textId="77777777" w:rsidR="003F64BE" w:rsidRDefault="00230AB8" w:rsidP="00F607A5">
            <w:pPr>
              <w:pStyle w:val="NoSpacing"/>
              <w:jc w:val="left"/>
            </w:pPr>
            <w:r>
              <w:t>$839,850</w:t>
            </w:r>
          </w:p>
        </w:tc>
        <w:tc>
          <w:tcPr>
            <w:tcW w:w="0" w:type="auto"/>
          </w:tcPr>
          <w:p w14:paraId="07F5F041" w14:textId="77777777" w:rsidR="003F64BE" w:rsidRDefault="00230AB8" w:rsidP="00F607A5">
            <w:pPr>
              <w:pStyle w:val="NoSpacing"/>
              <w:jc w:val="left"/>
            </w:pPr>
            <w:r>
              <w:t>$150,313</w:t>
            </w:r>
          </w:p>
        </w:tc>
        <w:tc>
          <w:tcPr>
            <w:tcW w:w="0" w:type="auto"/>
          </w:tcPr>
          <w:p w14:paraId="010E97E1" w14:textId="77777777" w:rsidR="003F64BE" w:rsidRDefault="00230AB8" w:rsidP="00F607A5">
            <w:pPr>
              <w:pStyle w:val="NoSpacing"/>
              <w:jc w:val="left"/>
            </w:pPr>
            <w:r>
              <w:t>17.9</w:t>
            </w:r>
          </w:p>
        </w:tc>
      </w:tr>
      <w:tr w:rsidR="003F64BE" w14:paraId="17428ADB" w14:textId="77777777" w:rsidTr="00B5386D">
        <w:tc>
          <w:tcPr>
            <w:tcW w:w="0" w:type="auto"/>
          </w:tcPr>
          <w:p w14:paraId="1E932262" w14:textId="77777777" w:rsidR="003F64BE" w:rsidRDefault="003F64BE" w:rsidP="000E0CF9">
            <w:pPr>
              <w:pStyle w:val="NoSpacing"/>
              <w:jc w:val="left"/>
            </w:pPr>
            <w:r>
              <w:t>9%</w:t>
            </w:r>
          </w:p>
        </w:tc>
        <w:tc>
          <w:tcPr>
            <w:tcW w:w="0" w:type="auto"/>
          </w:tcPr>
          <w:p w14:paraId="0D9ADB9D" w14:textId="77777777" w:rsidR="003F64BE" w:rsidRDefault="000E0CF9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08E7D53E" w14:textId="77777777" w:rsidR="003F64BE" w:rsidRDefault="000E0CF9" w:rsidP="00F607A5">
            <w:pPr>
              <w:pStyle w:val="NoSpacing"/>
              <w:jc w:val="left"/>
            </w:pPr>
            <w:r>
              <w:t>$850,679</w:t>
            </w:r>
          </w:p>
        </w:tc>
        <w:tc>
          <w:tcPr>
            <w:tcW w:w="0" w:type="auto"/>
          </w:tcPr>
          <w:p w14:paraId="40EC5406" w14:textId="77777777" w:rsidR="003F64BE" w:rsidRDefault="000E0CF9" w:rsidP="00F607A5">
            <w:pPr>
              <w:pStyle w:val="NoSpacing"/>
              <w:jc w:val="left"/>
            </w:pPr>
            <w:r>
              <w:t>$139,484</w:t>
            </w:r>
          </w:p>
        </w:tc>
        <w:tc>
          <w:tcPr>
            <w:tcW w:w="0" w:type="auto"/>
          </w:tcPr>
          <w:p w14:paraId="4560379E" w14:textId="77777777" w:rsidR="003F64BE" w:rsidRDefault="000E0CF9" w:rsidP="00F607A5">
            <w:pPr>
              <w:pStyle w:val="NoSpacing"/>
              <w:jc w:val="left"/>
            </w:pPr>
            <w:r>
              <w:t>16.4</w:t>
            </w:r>
          </w:p>
        </w:tc>
      </w:tr>
      <w:tr w:rsidR="003F64BE" w14:paraId="0B2C61C9" w14:textId="77777777" w:rsidTr="00B5386D">
        <w:tc>
          <w:tcPr>
            <w:tcW w:w="0" w:type="auto"/>
          </w:tcPr>
          <w:p w14:paraId="6ED5C0F5" w14:textId="77777777" w:rsidR="003F64BE" w:rsidRDefault="003F64BE" w:rsidP="000E0CF9">
            <w:pPr>
              <w:pStyle w:val="NoSpacing"/>
              <w:jc w:val="left"/>
            </w:pPr>
            <w:r>
              <w:t xml:space="preserve">10% </w:t>
            </w:r>
          </w:p>
        </w:tc>
        <w:tc>
          <w:tcPr>
            <w:tcW w:w="0" w:type="auto"/>
          </w:tcPr>
          <w:p w14:paraId="19586933" w14:textId="77777777" w:rsidR="003F64BE" w:rsidRDefault="000E0CF9" w:rsidP="00F607A5">
            <w:pPr>
              <w:pStyle w:val="NoSpacing"/>
              <w:jc w:val="left"/>
            </w:pPr>
            <w:r>
              <w:t>$990,163</w:t>
            </w:r>
          </w:p>
        </w:tc>
        <w:tc>
          <w:tcPr>
            <w:tcW w:w="0" w:type="auto"/>
          </w:tcPr>
          <w:p w14:paraId="6FC8761B" w14:textId="77777777" w:rsidR="003F64BE" w:rsidRDefault="000E0CF9" w:rsidP="00F607A5">
            <w:pPr>
              <w:pStyle w:val="NoSpacing"/>
              <w:jc w:val="left"/>
            </w:pPr>
            <w:r>
              <w:t>$861,013</w:t>
            </w:r>
          </w:p>
        </w:tc>
        <w:tc>
          <w:tcPr>
            <w:tcW w:w="0" w:type="auto"/>
          </w:tcPr>
          <w:p w14:paraId="7867ECEE" w14:textId="77777777" w:rsidR="003F64BE" w:rsidRDefault="000E0CF9" w:rsidP="00F607A5">
            <w:pPr>
              <w:pStyle w:val="NoSpacing"/>
              <w:jc w:val="left"/>
            </w:pPr>
            <w:r>
              <w:t>$129,150</w:t>
            </w:r>
          </w:p>
        </w:tc>
        <w:tc>
          <w:tcPr>
            <w:tcW w:w="0" w:type="auto"/>
          </w:tcPr>
          <w:p w14:paraId="45F961DE" w14:textId="77777777" w:rsidR="003F64BE" w:rsidRDefault="000E0CF9" w:rsidP="00F607A5">
            <w:pPr>
              <w:pStyle w:val="NoSpacing"/>
              <w:jc w:val="left"/>
            </w:pPr>
            <w:r>
              <w:t>15.0</w:t>
            </w:r>
          </w:p>
        </w:tc>
      </w:tr>
    </w:tbl>
    <w:p w14:paraId="40B01138" w14:textId="77777777" w:rsidR="00405FAC" w:rsidRDefault="00405FAC" w:rsidP="00F607A5">
      <w:pPr>
        <w:pStyle w:val="NoSpacing"/>
        <w:jc w:val="left"/>
      </w:pPr>
    </w:p>
    <w:p w14:paraId="3D9169D6" w14:textId="77777777" w:rsidR="002C02B2" w:rsidRDefault="002C02B2" w:rsidP="00097B0E">
      <w:pPr>
        <w:pStyle w:val="NoSpacing"/>
        <w:ind w:firstLine="720"/>
        <w:jc w:val="left"/>
      </w:pPr>
      <w:r>
        <w:t>Of course, large swings in the inflation rate are not likely to occur independently of the earnings growth rate and the discount rate. Nonetheless, it</w:t>
      </w:r>
      <w:r w:rsidR="00097B0E">
        <w:t xml:space="preserve"> </w:t>
      </w:r>
      <w:r>
        <w:t>is useful to have the flexibility to vary these three variables independently.</w:t>
      </w:r>
      <w:r w:rsidR="00097B0E">
        <w:t xml:space="preserve"> </w:t>
      </w:r>
      <w:r>
        <w:t>Not all forensic economists predict the same relationships among these</w:t>
      </w:r>
      <w:r w:rsidR="00097B0E">
        <w:t xml:space="preserve"> </w:t>
      </w:r>
      <w:r>
        <w:t>variables, and they generally do not posit an equality between the inflation</w:t>
      </w:r>
      <w:r w:rsidR="00097B0E">
        <w:t xml:space="preserve"> </w:t>
      </w:r>
      <w:r>
        <w:t>rate and the earnings growth rate.</w:t>
      </w:r>
      <w:r w:rsidRPr="00B5386D">
        <w:rPr>
          <w:vertAlign w:val="superscript"/>
        </w:rPr>
        <w:t>3</w:t>
      </w:r>
    </w:p>
    <w:p w14:paraId="0E95FE14" w14:textId="77777777" w:rsidR="002C02B2" w:rsidRDefault="002C02B2" w:rsidP="00097B0E">
      <w:pPr>
        <w:pStyle w:val="NoSpacing"/>
        <w:ind w:firstLine="720"/>
        <w:jc w:val="left"/>
      </w:pPr>
      <w:r>
        <w:t>One final note about the role of inflation. In his Tables 7-10, Harris</w:t>
      </w:r>
      <w:r w:rsidR="00097B0E">
        <w:t xml:space="preserve"> </w:t>
      </w:r>
      <w:r>
        <w:t>showed the effect on the after-tax awards of changes in the absolute levels of</w:t>
      </w:r>
      <w:r w:rsidR="00097B0E">
        <w:t xml:space="preserve"> </w:t>
      </w:r>
      <w:r>
        <w:t>the earnings growth rate and discount rate. Specifically, he showed results</w:t>
      </w:r>
      <w:r w:rsidR="00097B0E">
        <w:t xml:space="preserve"> </w:t>
      </w:r>
      <w:r>
        <w:t>when both variables were equal at the values .04, .06, .08 and .10, respectively. Increasing the absolute levels of both variables in tandem produces</w:t>
      </w:r>
    </w:p>
    <w:p w14:paraId="2B40F5BF" w14:textId="5E341C2C" w:rsidR="002C02B2" w:rsidRDefault="002C02B2" w:rsidP="006005AF">
      <w:pPr>
        <w:pStyle w:val="NoSpacing"/>
        <w:jc w:val="right"/>
      </w:pPr>
      <w:r>
        <w:t xml:space="preserve">68 </w:t>
      </w:r>
      <w:r w:rsidR="007E6BD4">
        <w:t>Journal of Forensic Economics</w:t>
      </w:r>
    </w:p>
    <w:p w14:paraId="762067DE" w14:textId="77777777" w:rsidR="002C02B2" w:rsidRDefault="002C02B2" w:rsidP="00F607A5">
      <w:pPr>
        <w:pStyle w:val="NoSpacing"/>
        <w:jc w:val="left"/>
      </w:pPr>
      <w:r>
        <w:t xml:space="preserve">relatively large changes in the after-tax awards, with the extent of overcompensation decreasing or </w:t>
      </w:r>
      <w:proofErr w:type="spellStart"/>
      <w:r>
        <w:t>undercompensation</w:t>
      </w:r>
      <w:proofErr w:type="spellEnd"/>
      <w:r>
        <w:t xml:space="preserve"> increasing as a result. Nowhere</w:t>
      </w:r>
      <w:r w:rsidR="009F02E2">
        <w:t xml:space="preserve"> </w:t>
      </w:r>
      <w:r>
        <w:t>in this section does Harris mention inflation, but surely the most likely</w:t>
      </w:r>
      <w:r w:rsidR="009F02E2">
        <w:t xml:space="preserve"> </w:t>
      </w:r>
      <w:r>
        <w:t>cause of such simultaneous increases in the earnings growth rate and the</w:t>
      </w:r>
      <w:r w:rsidR="009F02E2">
        <w:t xml:space="preserve"> </w:t>
      </w:r>
      <w:r>
        <w:t>discount rate would be an increase in the inflation rate. The general effects</w:t>
      </w:r>
      <w:r w:rsidR="009F02E2">
        <w:t xml:space="preserve"> </w:t>
      </w:r>
      <w:r>
        <w:t xml:space="preserve">of such inflationary increases were previously demonstrated in an </w:t>
      </w:r>
      <w:proofErr w:type="gramStart"/>
      <w:r>
        <w:t>often overlooked</w:t>
      </w:r>
      <w:proofErr w:type="gramEnd"/>
      <w:r>
        <w:t xml:space="preserve"> paper by </w:t>
      </w:r>
      <w:proofErr w:type="spellStart"/>
      <w:r>
        <w:t>Slesnick</w:t>
      </w:r>
      <w:proofErr w:type="spellEnd"/>
      <w:r>
        <w:t xml:space="preserve"> and Dolin (1983) and more recently confirmed</w:t>
      </w:r>
      <w:r w:rsidR="009F02E2">
        <w:t xml:space="preserve"> </w:t>
      </w:r>
      <w:r>
        <w:t>Brush and Breeden (1994). This provides another argument for treating the</w:t>
      </w:r>
      <w:r w:rsidR="009F02E2">
        <w:t xml:space="preserve"> </w:t>
      </w:r>
      <w:r>
        <w:t>inflation rate as an explicit variable.</w:t>
      </w:r>
    </w:p>
    <w:p w14:paraId="543D946D" w14:textId="77777777" w:rsidR="002C02B2" w:rsidRDefault="002C02B2" w:rsidP="006005AF">
      <w:pPr>
        <w:pStyle w:val="Heading1"/>
      </w:pPr>
      <w:r>
        <w:t>References</w:t>
      </w:r>
    </w:p>
    <w:p w14:paraId="5973FF46" w14:textId="77777777" w:rsidR="002C02B2" w:rsidRDefault="002C02B2" w:rsidP="00F474D3">
      <w:pPr>
        <w:pStyle w:val="NoSpacing"/>
        <w:ind w:left="720" w:hanging="720"/>
        <w:jc w:val="left"/>
      </w:pPr>
      <w:r>
        <w:t xml:space="preserve">Brookshire, Michael and Frank </w:t>
      </w:r>
      <w:proofErr w:type="spellStart"/>
      <w:r>
        <w:t>Slesnick</w:t>
      </w:r>
      <w:proofErr w:type="spellEnd"/>
      <w:r>
        <w:t>, "1993 Survey of NAFE Member~: A</w:t>
      </w:r>
      <w:r w:rsidR="006005AF">
        <w:t xml:space="preserve"> </w:t>
      </w:r>
      <w:r>
        <w:t>Follow-Up Survey of Economic Methodology," Journal of Forensic Economics,</w:t>
      </w:r>
      <w:r w:rsidR="006005AF">
        <w:t xml:space="preserve"> </w:t>
      </w:r>
      <w:r>
        <w:t>Winter 1993, 7(1), 25-46.</w:t>
      </w:r>
    </w:p>
    <w:p w14:paraId="52150CED" w14:textId="77777777" w:rsidR="002C02B2" w:rsidRDefault="002C02B2" w:rsidP="00F474D3">
      <w:pPr>
        <w:pStyle w:val="NoSpacing"/>
        <w:ind w:left="720" w:hanging="720"/>
        <w:jc w:val="left"/>
      </w:pPr>
      <w:r>
        <w:t>Brush, Brian C. and Charles H. Breeden, "Income Taxes and Economic</w:t>
      </w:r>
      <w:r w:rsidR="006005AF">
        <w:t xml:space="preserve"> </w:t>
      </w:r>
      <w:r>
        <w:t>Damages," Journal of Legal Economics, Summer 1994, 4(2), 51-63.</w:t>
      </w:r>
    </w:p>
    <w:p w14:paraId="0C9DBA8A" w14:textId="77777777" w:rsidR="002C02B2" w:rsidRDefault="002C02B2" w:rsidP="00F474D3">
      <w:pPr>
        <w:pStyle w:val="NoSpacing"/>
        <w:ind w:left="720" w:hanging="720"/>
        <w:jc w:val="left"/>
      </w:pPr>
      <w:r>
        <w:t>Harris, William G., "The Distributional Effects of Using a Before-Tax Standard</w:t>
      </w:r>
      <w:r w:rsidR="00F474D3">
        <w:t xml:space="preserve"> </w:t>
      </w:r>
      <w:r>
        <w:t>in Damage Awards," Journal of Forensic Economics, Fall 1994, 7(3), 275-91.</w:t>
      </w:r>
    </w:p>
    <w:p w14:paraId="1A09FCD4" w14:textId="77777777" w:rsidR="00FB3A37" w:rsidRDefault="002C02B2" w:rsidP="00F474D3">
      <w:pPr>
        <w:pStyle w:val="NoSpacing"/>
        <w:ind w:left="720" w:hanging="720"/>
        <w:jc w:val="left"/>
      </w:pPr>
      <w:proofErr w:type="spellStart"/>
      <w:r>
        <w:t>Slesnick</w:t>
      </w:r>
      <w:proofErr w:type="spellEnd"/>
      <w:r>
        <w:t>, Frank L. and Richard A. Dolin, "The Impact of Inflation Upon</w:t>
      </w:r>
      <w:r w:rsidR="00F474D3">
        <w:t xml:space="preserve"> </w:t>
      </w:r>
      <w:r>
        <w:t>Compensation Awards," University of Dayton Law Review, Spring 1983, 8(2),</w:t>
      </w:r>
      <w:r w:rsidR="00F474D3">
        <w:t xml:space="preserve"> </w:t>
      </w:r>
      <w:r>
        <w:t>307-332.</w:t>
      </w:r>
    </w:p>
    <w:p w14:paraId="0C350971" w14:textId="77777777" w:rsidR="007D3F82" w:rsidRDefault="007D3F82" w:rsidP="00F474D3">
      <w:pPr>
        <w:pStyle w:val="NoSpacing"/>
        <w:ind w:left="720" w:hanging="720"/>
        <w:jc w:val="left"/>
      </w:pPr>
      <w:r>
        <w:t>*Professor of Economics, Marquette University, Milwaukee, WI</w:t>
      </w:r>
    </w:p>
    <w:p w14:paraId="69B7DEE8" w14:textId="77777777" w:rsidR="007D3F82" w:rsidRDefault="00F474D3" w:rsidP="00F474D3">
      <w:pPr>
        <w:pStyle w:val="Heading1"/>
      </w:pPr>
      <w:r>
        <w:t>Notes</w:t>
      </w:r>
    </w:p>
    <w:p w14:paraId="4DEF6696" w14:textId="77777777" w:rsidR="002556F3" w:rsidRDefault="002556F3" w:rsidP="00F474D3">
      <w:pPr>
        <w:pStyle w:val="NoSpacing"/>
        <w:ind w:left="720" w:hanging="720"/>
        <w:jc w:val="left"/>
      </w:pPr>
      <w:r>
        <w:t>1</w:t>
      </w:r>
      <w:r w:rsidR="003C3DE3">
        <w:t xml:space="preserve"> </w:t>
      </w:r>
      <w:r>
        <w:t>There are very minor errors m the state tax data m the appendix to Harris’ paper (p. 290).</w:t>
      </w:r>
      <w:r w:rsidR="00F474D3">
        <w:t xml:space="preserve"> </w:t>
      </w:r>
      <w:r>
        <w:t>the $5,000-$17,000 income range, the tax should be $150 (not $120) plus 5% of the amount over</w:t>
      </w:r>
      <w:r w:rsidR="00F474D3">
        <w:t xml:space="preserve"> </w:t>
      </w:r>
      <w:r>
        <w:t>$5,000, while in the range of income over $17,000, the tax should be $750 (not $720) plus 5.75%</w:t>
      </w:r>
      <w:r w:rsidR="00F474D3">
        <w:t xml:space="preserve"> </w:t>
      </w:r>
      <w:r>
        <w:t>the amount over $17,000. These errors were incorporated into some of his calculations.</w:t>
      </w:r>
      <w:r w:rsidR="003B74B8">
        <w:t xml:space="preserve"> </w:t>
      </w:r>
      <w:r>
        <w:t>Fortunately, his results are not materially different from results obtained using the correct</w:t>
      </w:r>
      <w:r w:rsidR="003B74B8">
        <w:t xml:space="preserve"> </w:t>
      </w:r>
      <w:r>
        <w:t>state tax figures.</w:t>
      </w:r>
    </w:p>
    <w:p w14:paraId="743F6F71" w14:textId="77777777" w:rsidR="00097B0E" w:rsidRDefault="006005AF" w:rsidP="00F474D3">
      <w:pPr>
        <w:pStyle w:val="NoSpacing"/>
        <w:ind w:left="720" w:hanging="720"/>
        <w:jc w:val="left"/>
      </w:pPr>
      <w:r>
        <w:lastRenderedPageBreak/>
        <w:t>2Since Harris indexes the tax structures to the earnings growth rate, the after-tax award for</w:t>
      </w:r>
      <w:r w:rsidR="003B74B8">
        <w:t xml:space="preserve"> </w:t>
      </w:r>
      <w:r>
        <w:t>the 5% inflation rate m my Table 1 corresponds to the after-tax award for the 20-year work</w:t>
      </w:r>
      <w:r w:rsidR="003B74B8">
        <w:t>-</w:t>
      </w:r>
      <w:r>
        <w:t>life</w:t>
      </w:r>
      <w:r w:rsidR="003B74B8">
        <w:t xml:space="preserve"> </w:t>
      </w:r>
      <w:r>
        <w:t>he reports in his Table 3. The slight difference in results for this case (my $815,237 vs. his</w:t>
      </w:r>
      <w:r w:rsidR="003B74B8">
        <w:t xml:space="preserve"> $</w:t>
      </w:r>
      <w:r>
        <w:t xml:space="preserve">815,832) is due to the state tax error described in the previous note. </w:t>
      </w:r>
    </w:p>
    <w:p w14:paraId="40A331EB" w14:textId="77777777" w:rsidR="006005AF" w:rsidRDefault="00097B0E" w:rsidP="00F474D3">
      <w:pPr>
        <w:pStyle w:val="NoSpacing"/>
        <w:ind w:left="720" w:hanging="720"/>
        <w:jc w:val="left"/>
      </w:pPr>
      <w:r>
        <w:t xml:space="preserve">3 </w:t>
      </w:r>
      <w:r w:rsidR="006005AF">
        <w:t>In a recent survey, NAFE members were asked what values for these variables they would use</w:t>
      </w:r>
      <w:r w:rsidR="003B74B8">
        <w:t xml:space="preserve"> </w:t>
      </w:r>
      <w:r w:rsidR="006005AF">
        <w:t>for a 30-year loss projection. The median values were as follows: 4.0% for the rate of inflation,</w:t>
      </w:r>
      <w:r w:rsidR="003B74B8">
        <w:t xml:space="preserve"> </w:t>
      </w:r>
      <w:r w:rsidR="006005AF">
        <w:t>1.5% for the real earnings growth rate, and 2.5% for the real discount rate. See the responses to</w:t>
      </w:r>
      <w:r w:rsidR="003B74B8">
        <w:t xml:space="preserve"> </w:t>
      </w:r>
      <w:r w:rsidR="006005AF">
        <w:t xml:space="preserve">questions 3, 5 and 7 of the survey. (Brookshire and </w:t>
      </w:r>
      <w:proofErr w:type="spellStart"/>
      <w:r w:rsidR="006005AF">
        <w:t>Slesnick</w:t>
      </w:r>
      <w:proofErr w:type="spellEnd"/>
      <w:r w:rsidR="006005AF">
        <w:t xml:space="preserve"> 1993)</w:t>
      </w:r>
    </w:p>
    <w:p w14:paraId="4FBEE58D" w14:textId="77777777" w:rsidR="006005AF" w:rsidRDefault="006005AF" w:rsidP="002556F3">
      <w:pPr>
        <w:pStyle w:val="NoSpacing"/>
        <w:jc w:val="left"/>
      </w:pPr>
    </w:p>
    <w:p w14:paraId="6979429D" w14:textId="77777777" w:rsidR="002556F3" w:rsidRDefault="002556F3" w:rsidP="00F607A5">
      <w:pPr>
        <w:pStyle w:val="NoSpacing"/>
        <w:jc w:val="left"/>
      </w:pPr>
    </w:p>
    <w:sectPr w:rsidR="00255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PT8+iqhagjKDSGncp2oz/FnNQK1KeEjGThELslOkNeyl/v13engvOJIPFgnyirz2bL/P3u3PcxFWEkL+FH4rGg==" w:salt="dw5DiB61gHRBIFeq79U/B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2B2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B0E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0CF9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303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B7C63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AB8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6F3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22D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02B2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442D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4B8"/>
    <w:rsid w:val="003B7F8F"/>
    <w:rsid w:val="003C128B"/>
    <w:rsid w:val="003C3DE3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3F64BE"/>
    <w:rsid w:val="004010E3"/>
    <w:rsid w:val="00401354"/>
    <w:rsid w:val="004016DA"/>
    <w:rsid w:val="00403561"/>
    <w:rsid w:val="00403960"/>
    <w:rsid w:val="004055B8"/>
    <w:rsid w:val="00405FAC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5AF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67D6B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5437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3F82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6BD4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3993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02E2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0593E"/>
    <w:rsid w:val="00A11F34"/>
    <w:rsid w:val="00A1350A"/>
    <w:rsid w:val="00A13936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386D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6DC3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0AD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27D3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4D3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7A5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8F11"/>
  <w15:chartTrackingRefBased/>
  <w15:docId w15:val="{5AE136A0-2204-4992-89EB-B03A05D8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table" w:styleId="TableGrid">
    <w:name w:val="Table Grid"/>
    <w:basedOn w:val="TableNormal"/>
    <w:uiPriority w:val="39"/>
    <w:rsid w:val="004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945D37-D562-46D9-A1CC-239FBBFB0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56EA6-DF89-42AF-8EB3-43218CF1E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617DC0-A857-4227-B5B0-AC92DB305D04}">
  <ds:schemaRefs>
    <ds:schemaRef ds:uri="455b151d-75b8-4438-a72d-e06b314124a1"/>
    <ds:schemaRef ds:uri="1dc5a16d-a9e1-4107-81af-b56e13c8526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1628</Words>
  <Characters>9283</Characters>
  <Application>Microsoft Office Word</Application>
  <DocSecurity>8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7</cp:revision>
  <dcterms:created xsi:type="dcterms:W3CDTF">2019-04-08T20:17:00Z</dcterms:created>
  <dcterms:modified xsi:type="dcterms:W3CDTF">2019-04-08T20:51:00Z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