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25AF0" w14:textId="77777777" w:rsidR="00BF7B76" w:rsidRPr="009E52E9" w:rsidRDefault="00BF7B76" w:rsidP="00BF7B7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6C7802D" w14:textId="77777777" w:rsidR="00BF7B76" w:rsidRPr="009E52E9" w:rsidRDefault="00BF7B76" w:rsidP="00BF7B76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28"/>
          <w:szCs w:val="26"/>
        </w:rPr>
      </w:pPr>
      <w:bookmarkStart w:id="0" w:name="_Hlk505159787"/>
      <w:bookmarkStart w:id="1" w:name="_Hlk510431162"/>
      <w:r w:rsidRPr="009E52E9">
        <w:rPr>
          <w:rFonts w:cstheme="minorHAnsi"/>
          <w:b/>
          <w:bCs/>
          <w:color w:val="316192"/>
          <w:sz w:val="28"/>
          <w:szCs w:val="26"/>
        </w:rPr>
        <w:t>Marquette University</w:t>
      </w:r>
    </w:p>
    <w:p w14:paraId="5E8D3A21" w14:textId="77777777" w:rsidR="00BF7B76" w:rsidRPr="009E52E9" w:rsidRDefault="00BF7B76" w:rsidP="00BF7B76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40"/>
          <w:szCs w:val="36"/>
        </w:rPr>
      </w:pPr>
      <w:proofErr w:type="spellStart"/>
      <w:r w:rsidRPr="009E52E9">
        <w:rPr>
          <w:rFonts w:cstheme="minorHAnsi"/>
          <w:b/>
          <w:bCs/>
          <w:color w:val="316192"/>
          <w:sz w:val="40"/>
          <w:szCs w:val="36"/>
        </w:rPr>
        <w:t>e-Publications@Marquette</w:t>
      </w:r>
      <w:proofErr w:type="spellEnd"/>
    </w:p>
    <w:p w14:paraId="6AFBE086" w14:textId="77777777" w:rsidR="00BF7B76" w:rsidRPr="009E52E9" w:rsidRDefault="00BF7B76" w:rsidP="00BF7B76">
      <w:pPr>
        <w:autoSpaceDE w:val="0"/>
        <w:autoSpaceDN w:val="0"/>
        <w:adjustRightInd w:val="0"/>
        <w:rPr>
          <w:rFonts w:cstheme="minorHAnsi"/>
          <w:b/>
          <w:bCs/>
          <w:i/>
          <w:iCs/>
        </w:rPr>
      </w:pPr>
    </w:p>
    <w:p w14:paraId="5BE15B08" w14:textId="48821212" w:rsidR="00BF7B76" w:rsidRPr="009E52E9" w:rsidRDefault="00ED7616" w:rsidP="00BF7B76">
      <w:pPr>
        <w:autoSpaceDE w:val="0"/>
        <w:autoSpaceDN w:val="0"/>
        <w:adjustRightInd w:val="0"/>
        <w:rPr>
          <w:rFonts w:cstheme="minorHAnsi"/>
          <w:b/>
          <w:bCs/>
          <w:i/>
          <w:iCs/>
          <w:sz w:val="32"/>
          <w:szCs w:val="32"/>
        </w:rPr>
      </w:pPr>
      <w:r>
        <w:rPr>
          <w:rFonts w:cstheme="minorHAnsi"/>
          <w:b/>
          <w:bCs/>
          <w:i/>
          <w:iCs/>
          <w:sz w:val="32"/>
          <w:szCs w:val="32"/>
        </w:rPr>
        <w:t xml:space="preserve">English </w:t>
      </w:r>
      <w:r w:rsidR="00BF7B76" w:rsidRPr="009E52E9">
        <w:rPr>
          <w:rFonts w:cstheme="minorHAnsi"/>
          <w:b/>
          <w:bCs/>
          <w:i/>
          <w:iCs/>
          <w:sz w:val="32"/>
          <w:szCs w:val="32"/>
        </w:rPr>
        <w:t xml:space="preserve">Faculty Research and Publications/College of </w:t>
      </w:r>
      <w:r>
        <w:rPr>
          <w:rFonts w:cstheme="minorHAnsi"/>
          <w:b/>
          <w:bCs/>
          <w:i/>
          <w:iCs/>
          <w:sz w:val="32"/>
          <w:szCs w:val="32"/>
        </w:rPr>
        <w:t>Arts &amp; Sciences</w:t>
      </w:r>
    </w:p>
    <w:bookmarkEnd w:id="0"/>
    <w:p w14:paraId="6F6E208A" w14:textId="77777777" w:rsidR="00BF7B76" w:rsidRPr="009E52E9" w:rsidRDefault="00BF7B76" w:rsidP="00BF7B76">
      <w:pPr>
        <w:jc w:val="center"/>
        <w:rPr>
          <w:rFonts w:cstheme="minorHAnsi"/>
          <w:b/>
          <w:bCs/>
          <w:i/>
          <w:iCs/>
        </w:rPr>
      </w:pPr>
    </w:p>
    <w:p w14:paraId="6EE337C7" w14:textId="77777777" w:rsidR="00BF7B76" w:rsidRPr="009E52E9" w:rsidRDefault="00BF7B76" w:rsidP="00BF7B76">
      <w:pPr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</w:rPr>
      </w:pPr>
      <w:r w:rsidRPr="009E52E9">
        <w:rPr>
          <w:rFonts w:eastAsia="Calibri" w:cstheme="minorHAnsi"/>
          <w:b/>
          <w:bCs/>
          <w:i/>
          <w:iCs/>
          <w:sz w:val="24"/>
          <w:szCs w:val="24"/>
        </w:rPr>
        <w:t>This paper is NOT THE PUBLISHED VERSION</w:t>
      </w:r>
      <w:r w:rsidRPr="009E52E9">
        <w:rPr>
          <w:rFonts w:eastAsia="Calibri" w:cstheme="minorHAnsi"/>
          <w:b/>
          <w:bCs/>
          <w:sz w:val="24"/>
          <w:szCs w:val="24"/>
        </w:rPr>
        <w:t xml:space="preserve">. </w:t>
      </w:r>
    </w:p>
    <w:p w14:paraId="1DDFD1FE" w14:textId="77777777" w:rsidR="00BF7B76" w:rsidRPr="009E52E9" w:rsidRDefault="00BF7B76" w:rsidP="00BF7B76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9E52E9">
        <w:rPr>
          <w:rFonts w:eastAsia="Calibri" w:cstheme="minorHAnsi"/>
          <w:sz w:val="24"/>
          <w:szCs w:val="24"/>
        </w:rPr>
        <w:t>Access the published version via the link in the citation below.</w:t>
      </w:r>
    </w:p>
    <w:p w14:paraId="2E87CB20" w14:textId="77777777" w:rsidR="00BF7B76" w:rsidRPr="009E52E9" w:rsidRDefault="00BF7B76" w:rsidP="00BF7B76">
      <w:pPr>
        <w:jc w:val="center"/>
        <w:rPr>
          <w:rFonts w:cstheme="minorHAnsi"/>
          <w:sz w:val="24"/>
          <w:szCs w:val="24"/>
        </w:rPr>
      </w:pPr>
    </w:p>
    <w:p w14:paraId="2A8859E7" w14:textId="5CC8E38D" w:rsidR="00BF7B76" w:rsidRPr="009E52E9" w:rsidRDefault="00ED7616" w:rsidP="00BF7B76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i/>
          <w:sz w:val="24"/>
          <w:szCs w:val="24"/>
          <w:lang w:val="fr-FR"/>
        </w:rPr>
        <w:t xml:space="preserve">The New England </w:t>
      </w:r>
      <w:proofErr w:type="spellStart"/>
      <w:r>
        <w:rPr>
          <w:rFonts w:cstheme="minorHAnsi"/>
          <w:i/>
          <w:sz w:val="24"/>
          <w:szCs w:val="24"/>
          <w:lang w:val="fr-FR"/>
        </w:rPr>
        <w:t>Quarterly</w:t>
      </w:r>
      <w:proofErr w:type="spellEnd"/>
      <w:r w:rsidR="00BF7B76" w:rsidRPr="009E52E9">
        <w:rPr>
          <w:rFonts w:cstheme="minorHAnsi"/>
          <w:sz w:val="24"/>
          <w:szCs w:val="24"/>
          <w:lang w:val="fr-FR"/>
        </w:rPr>
        <w:t xml:space="preserve">, Vol. </w:t>
      </w:r>
      <w:r>
        <w:rPr>
          <w:rFonts w:cstheme="minorHAnsi"/>
          <w:sz w:val="24"/>
          <w:szCs w:val="24"/>
          <w:lang w:val="fr-FR"/>
        </w:rPr>
        <w:t>92</w:t>
      </w:r>
      <w:r w:rsidR="00BF7B76" w:rsidRPr="009E52E9">
        <w:rPr>
          <w:rFonts w:cstheme="minorHAnsi"/>
          <w:sz w:val="24"/>
          <w:szCs w:val="24"/>
          <w:lang w:val="fr-FR"/>
        </w:rPr>
        <w:t xml:space="preserve">, No. </w:t>
      </w:r>
      <w:r>
        <w:rPr>
          <w:rFonts w:cstheme="minorHAnsi"/>
          <w:sz w:val="24"/>
          <w:szCs w:val="24"/>
          <w:lang w:val="fr-FR"/>
        </w:rPr>
        <w:t>4</w:t>
      </w:r>
      <w:r w:rsidR="00BF7B76" w:rsidRPr="009E52E9">
        <w:rPr>
          <w:rFonts w:cstheme="minorHAnsi"/>
          <w:sz w:val="24"/>
          <w:szCs w:val="24"/>
          <w:lang w:val="fr-FR"/>
        </w:rPr>
        <w:t xml:space="preserve"> (</w:t>
      </w:r>
      <w:r>
        <w:rPr>
          <w:rFonts w:cstheme="minorHAnsi"/>
          <w:sz w:val="24"/>
          <w:szCs w:val="24"/>
          <w:lang w:val="fr-FR"/>
        </w:rPr>
        <w:t>2019</w:t>
      </w:r>
      <w:r w:rsidR="00BF7B76" w:rsidRPr="009E52E9">
        <w:rPr>
          <w:rFonts w:cstheme="minorHAnsi"/>
          <w:sz w:val="24"/>
          <w:szCs w:val="24"/>
          <w:lang w:val="fr-FR"/>
        </w:rPr>
        <w:t xml:space="preserve">): </w:t>
      </w:r>
      <w:r>
        <w:rPr>
          <w:rFonts w:cstheme="minorHAnsi"/>
          <w:sz w:val="24"/>
          <w:szCs w:val="24"/>
          <w:lang w:val="fr-FR"/>
        </w:rPr>
        <w:t>681</w:t>
      </w:r>
      <w:r w:rsidR="00BF7B76" w:rsidRPr="009E52E9">
        <w:rPr>
          <w:rFonts w:cstheme="minorHAnsi"/>
          <w:sz w:val="24"/>
          <w:szCs w:val="24"/>
          <w:lang w:val="fr-FR"/>
        </w:rPr>
        <w:t>-</w:t>
      </w:r>
      <w:r>
        <w:rPr>
          <w:rFonts w:cstheme="minorHAnsi"/>
          <w:sz w:val="24"/>
          <w:szCs w:val="24"/>
          <w:lang w:val="fr-FR"/>
        </w:rPr>
        <w:t>683</w:t>
      </w:r>
      <w:r w:rsidR="00BF7B76" w:rsidRPr="009E52E9">
        <w:rPr>
          <w:rFonts w:cstheme="minorHAnsi"/>
          <w:sz w:val="24"/>
          <w:szCs w:val="24"/>
          <w:lang w:val="fr-FR"/>
        </w:rPr>
        <w:t xml:space="preserve">. </w:t>
      </w:r>
      <w:hyperlink r:id="rId4" w:history="1">
        <w:r w:rsidR="00BF7B76" w:rsidRPr="009E52E9">
          <w:rPr>
            <w:rStyle w:val="Hyperlink"/>
            <w:rFonts w:cstheme="minorHAnsi"/>
            <w:sz w:val="24"/>
            <w:szCs w:val="24"/>
            <w:lang w:val="fr-FR"/>
          </w:rPr>
          <w:t>DOI</w:t>
        </w:r>
      </w:hyperlink>
      <w:r w:rsidR="00BF7B76" w:rsidRPr="009E52E9">
        <w:rPr>
          <w:rFonts w:cstheme="minorHAnsi"/>
          <w:sz w:val="24"/>
          <w:szCs w:val="24"/>
          <w:lang w:val="fr-FR"/>
        </w:rPr>
        <w:t xml:space="preserve">. </w:t>
      </w:r>
      <w:r w:rsidR="00BF7B76" w:rsidRPr="009E52E9">
        <w:rPr>
          <w:rFonts w:cstheme="minorHAnsi"/>
          <w:sz w:val="24"/>
          <w:szCs w:val="24"/>
        </w:rPr>
        <w:t xml:space="preserve">This article is © </w:t>
      </w:r>
      <w:r>
        <w:rPr>
          <w:rFonts w:cstheme="minorHAnsi"/>
          <w:sz w:val="24"/>
          <w:szCs w:val="24"/>
        </w:rPr>
        <w:t>Massachusetts Institute of Technology Press</w:t>
      </w:r>
      <w:r w:rsidR="00BF7B76" w:rsidRPr="009E52E9">
        <w:rPr>
          <w:rFonts w:cstheme="minorHAnsi"/>
          <w:sz w:val="24"/>
          <w:szCs w:val="24"/>
        </w:rPr>
        <w:t xml:space="preserve"> and permission has been granted for this version to appear in </w:t>
      </w:r>
      <w:hyperlink r:id="rId5" w:history="1">
        <w:proofErr w:type="spellStart"/>
        <w:r w:rsidR="00BF7B76" w:rsidRPr="009E52E9">
          <w:rPr>
            <w:rStyle w:val="Hyperlink"/>
            <w:rFonts w:cstheme="minorHAnsi"/>
            <w:sz w:val="24"/>
            <w:szCs w:val="24"/>
          </w:rPr>
          <w:t>e-Publications@Marquette</w:t>
        </w:r>
        <w:proofErr w:type="spellEnd"/>
      </w:hyperlink>
      <w:r w:rsidR="00BF7B76" w:rsidRPr="009E52E9">
        <w:rPr>
          <w:rFonts w:cstheme="minorHAnsi"/>
          <w:sz w:val="24"/>
          <w:szCs w:val="24"/>
        </w:rPr>
        <w:t xml:space="preserve">. </w:t>
      </w:r>
      <w:r w:rsidR="00091BB1">
        <w:rPr>
          <w:rFonts w:cstheme="minorHAnsi"/>
          <w:sz w:val="24"/>
          <w:szCs w:val="24"/>
        </w:rPr>
        <w:t xml:space="preserve">MIT Press </w:t>
      </w:r>
      <w:r w:rsidR="00BF7B76" w:rsidRPr="009E52E9">
        <w:rPr>
          <w:rFonts w:cstheme="minorHAnsi"/>
          <w:sz w:val="24"/>
          <w:szCs w:val="24"/>
        </w:rPr>
        <w:t xml:space="preserve">does not grant permission for this article to be further copied/distributed or hosted elsewhere without express permission from </w:t>
      </w:r>
      <w:bookmarkEnd w:id="1"/>
      <w:r w:rsidR="00091BB1">
        <w:rPr>
          <w:rFonts w:cstheme="minorHAnsi"/>
          <w:sz w:val="24"/>
          <w:szCs w:val="24"/>
        </w:rPr>
        <w:t>MIT Press.</w:t>
      </w:r>
    </w:p>
    <w:p w14:paraId="3FB41C26" w14:textId="25C49710" w:rsidR="005739AD" w:rsidRPr="009E52E9" w:rsidRDefault="00BF7B76" w:rsidP="00BF7B76">
      <w:pPr>
        <w:pStyle w:val="Title"/>
        <w:rPr>
          <w:rFonts w:asciiTheme="minorHAnsi" w:hAnsiTheme="minorHAnsi" w:cstheme="minorHAnsi"/>
        </w:rPr>
      </w:pPr>
      <w:r w:rsidRPr="009E52E9">
        <w:rPr>
          <w:rFonts w:asciiTheme="minorHAnsi" w:hAnsiTheme="minorHAnsi" w:cstheme="minorHAnsi"/>
        </w:rPr>
        <w:t>Review of Books for Idle Hours: Nineteenth-Century Publishing and the Rise of Summer Reading by Donna Harrington-</w:t>
      </w:r>
      <w:proofErr w:type="spellStart"/>
      <w:r w:rsidRPr="009E52E9">
        <w:rPr>
          <w:rFonts w:asciiTheme="minorHAnsi" w:hAnsiTheme="minorHAnsi" w:cstheme="minorHAnsi"/>
        </w:rPr>
        <w:t>Lueker</w:t>
      </w:r>
      <w:proofErr w:type="spellEnd"/>
    </w:p>
    <w:p w14:paraId="017ABBCC" w14:textId="676671A5" w:rsidR="00BF7B76" w:rsidRPr="00091BB1" w:rsidRDefault="00BF7B76" w:rsidP="00BF7B76">
      <w:pPr>
        <w:pStyle w:val="NoSpacing"/>
        <w:rPr>
          <w:rFonts w:cstheme="minorHAnsi"/>
          <w:sz w:val="28"/>
          <w:szCs w:val="28"/>
        </w:rPr>
      </w:pPr>
      <w:r w:rsidRPr="00091BB1">
        <w:rPr>
          <w:rFonts w:cstheme="minorHAnsi"/>
          <w:sz w:val="28"/>
          <w:szCs w:val="28"/>
        </w:rPr>
        <w:t>Sarah Wadsworth</w:t>
      </w:r>
    </w:p>
    <w:p w14:paraId="6022AEA5" w14:textId="6EAFF0EB" w:rsidR="00BF7B76" w:rsidRPr="009E52E9" w:rsidRDefault="00BF7B76" w:rsidP="00BF7B76">
      <w:pPr>
        <w:pStyle w:val="NoSpacing"/>
        <w:rPr>
          <w:rFonts w:cstheme="minorHAnsi"/>
        </w:rPr>
      </w:pPr>
      <w:r w:rsidRPr="009E52E9">
        <w:rPr>
          <w:rFonts w:cstheme="minorHAnsi"/>
        </w:rPr>
        <w:t>Marquette University</w:t>
      </w:r>
    </w:p>
    <w:p w14:paraId="6EBA6A45" w14:textId="008BBF7F" w:rsidR="00BF7B76" w:rsidRPr="009E52E9" w:rsidRDefault="00BF7B76" w:rsidP="00BF7B76">
      <w:pPr>
        <w:pStyle w:val="NoSpacing"/>
        <w:rPr>
          <w:rFonts w:cstheme="minorHAnsi"/>
        </w:rPr>
      </w:pPr>
    </w:p>
    <w:p w14:paraId="3C827527" w14:textId="6DB904E2" w:rsidR="00CE65A6" w:rsidRPr="009E52E9" w:rsidRDefault="00CE65A6" w:rsidP="00091BB1">
      <w:pPr>
        <w:pStyle w:val="Heading1"/>
        <w:rPr>
          <w:rFonts w:eastAsiaTheme="minorHAnsi"/>
        </w:rPr>
      </w:pPr>
      <w:r w:rsidRPr="009E52E9">
        <w:rPr>
          <w:rFonts w:eastAsiaTheme="minorHAnsi"/>
          <w:i/>
          <w:iCs/>
        </w:rPr>
        <w:t>Books for Idle Hours</w:t>
      </w:r>
      <w:r w:rsidRPr="009E52E9">
        <w:rPr>
          <w:rFonts w:eastAsiaTheme="minorHAnsi"/>
          <w:i/>
          <w:iCs/>
          <w:color w:val="6E7074"/>
        </w:rPr>
        <w:t xml:space="preserve">: </w:t>
      </w:r>
      <w:r w:rsidRPr="009E52E9">
        <w:rPr>
          <w:rFonts w:eastAsiaTheme="minorHAnsi"/>
          <w:i/>
          <w:iCs/>
        </w:rPr>
        <w:t>Nineteenth-Century Publishing and the Rise</w:t>
      </w:r>
      <w:r w:rsidRPr="009E52E9">
        <w:rPr>
          <w:rFonts w:eastAsiaTheme="minorHAnsi"/>
          <w:i/>
          <w:iCs/>
        </w:rPr>
        <w:t xml:space="preserve"> </w:t>
      </w:r>
      <w:r w:rsidRPr="009E52E9">
        <w:rPr>
          <w:rFonts w:eastAsiaTheme="minorHAnsi"/>
          <w:i/>
          <w:iCs/>
        </w:rPr>
        <w:t xml:space="preserve">of Summer Reading. </w:t>
      </w:r>
      <w:r w:rsidRPr="009E52E9">
        <w:rPr>
          <w:rFonts w:eastAsiaTheme="minorHAnsi"/>
        </w:rPr>
        <w:t>By Donna Harrington-</w:t>
      </w:r>
      <w:proofErr w:type="spellStart"/>
      <w:r w:rsidRPr="009E52E9">
        <w:rPr>
          <w:rFonts w:eastAsiaTheme="minorHAnsi"/>
        </w:rPr>
        <w:t>Lueker</w:t>
      </w:r>
      <w:proofErr w:type="spellEnd"/>
      <w:r w:rsidRPr="009E52E9">
        <w:rPr>
          <w:rFonts w:eastAsiaTheme="minorHAnsi"/>
          <w:color w:val="6E7074"/>
        </w:rPr>
        <w:t xml:space="preserve">. </w:t>
      </w:r>
      <w:r w:rsidRPr="009E52E9">
        <w:rPr>
          <w:rFonts w:eastAsiaTheme="minorHAnsi"/>
        </w:rPr>
        <w:t>(Boston and</w:t>
      </w:r>
      <w:r w:rsidRPr="009E52E9">
        <w:rPr>
          <w:rFonts w:eastAsiaTheme="minorHAnsi"/>
        </w:rPr>
        <w:t xml:space="preserve"> </w:t>
      </w:r>
      <w:r w:rsidRPr="009E52E9">
        <w:rPr>
          <w:rFonts w:eastAsiaTheme="minorHAnsi"/>
        </w:rPr>
        <w:t>Amherst: University of Massachusetts Press, 2019. Pp. xiv, 229.</w:t>
      </w:r>
      <w:r w:rsidR="009E52E9">
        <w:rPr>
          <w:rFonts w:eastAsiaTheme="minorHAnsi"/>
        </w:rPr>
        <w:t xml:space="preserve"> </w:t>
      </w:r>
      <w:r w:rsidRPr="009E52E9">
        <w:rPr>
          <w:rFonts w:eastAsiaTheme="minorHAnsi"/>
        </w:rPr>
        <w:t>$90.00 cloth. $29.95 paper.)</w:t>
      </w:r>
      <w:r w:rsidRPr="009E52E9">
        <w:rPr>
          <w:rFonts w:eastAsiaTheme="minorHAnsi"/>
        </w:rPr>
        <w:t xml:space="preserve">  </w:t>
      </w:r>
    </w:p>
    <w:p w14:paraId="0A9F3751" w14:textId="1D3DEBEF" w:rsidR="00CE65A6" w:rsidRPr="009E52E9" w:rsidRDefault="00CE65A6" w:rsidP="009E52E9">
      <w:pPr>
        <w:autoSpaceDE w:val="0"/>
        <w:autoSpaceDN w:val="0"/>
        <w:adjustRightInd w:val="0"/>
        <w:spacing w:after="0" w:line="240" w:lineRule="auto"/>
        <w:ind w:firstLine="720"/>
        <w:rPr>
          <w:rFonts w:eastAsiaTheme="minorHAnsi" w:cstheme="minorHAnsi"/>
          <w:color w:val="5E6065"/>
          <w:sz w:val="24"/>
          <w:szCs w:val="24"/>
        </w:rPr>
      </w:pPr>
      <w:r w:rsidRPr="009E52E9">
        <w:rPr>
          <w:rFonts w:eastAsiaTheme="minorHAnsi" w:cstheme="minorHAnsi"/>
          <w:color w:val="36383F"/>
          <w:sz w:val="24"/>
          <w:szCs w:val="24"/>
        </w:rPr>
        <w:t>Summer reading might seem like a light topic for a scholarly monograph,</w:t>
      </w:r>
      <w:r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 xml:space="preserve">but in </w:t>
      </w:r>
      <w:r w:rsidRPr="009E52E9">
        <w:rPr>
          <w:rFonts w:eastAsiaTheme="minorHAnsi" w:cstheme="minorHAnsi"/>
          <w:i/>
          <w:iCs/>
          <w:color w:val="36383F"/>
          <w:sz w:val="24"/>
          <w:szCs w:val="24"/>
        </w:rPr>
        <w:t xml:space="preserve">Books for Idle </w:t>
      </w:r>
      <w:r w:rsidRPr="009E52E9">
        <w:rPr>
          <w:rFonts w:eastAsiaTheme="minorHAnsi" w:cstheme="minorHAnsi"/>
          <w:i/>
          <w:iCs/>
          <w:color w:val="36383F"/>
          <w:sz w:val="24"/>
          <w:szCs w:val="24"/>
        </w:rPr>
        <w:t>Hours Donna</w:t>
      </w:r>
      <w:r w:rsidRPr="009E52E9">
        <w:rPr>
          <w:rFonts w:eastAsiaTheme="minorHAnsi" w:cstheme="minorHAnsi"/>
          <w:color w:val="36383F"/>
          <w:sz w:val="24"/>
          <w:szCs w:val="24"/>
        </w:rPr>
        <w:t xml:space="preserve"> Harrington-</w:t>
      </w:r>
      <w:proofErr w:type="spellStart"/>
      <w:r w:rsidRPr="009E52E9">
        <w:rPr>
          <w:rFonts w:eastAsiaTheme="minorHAnsi" w:cstheme="minorHAnsi"/>
          <w:color w:val="36383F"/>
          <w:sz w:val="24"/>
          <w:szCs w:val="24"/>
        </w:rPr>
        <w:t>Lueker</w:t>
      </w:r>
      <w:proofErr w:type="spellEnd"/>
      <w:r w:rsidRPr="009E52E9">
        <w:rPr>
          <w:rFonts w:eastAsiaTheme="minorHAnsi" w:cstheme="minorHAnsi"/>
          <w:color w:val="36383F"/>
          <w:sz w:val="24"/>
          <w:szCs w:val="24"/>
        </w:rPr>
        <w:t xml:space="preserve"> shows</w:t>
      </w:r>
      <w:r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>that summer reading has been serious business for a century and a</w:t>
      </w:r>
      <w:r w:rsid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>half. With its project of "trac[</w:t>
      </w:r>
      <w:proofErr w:type="spellStart"/>
      <w:r w:rsidRPr="009E52E9">
        <w:rPr>
          <w:rFonts w:eastAsiaTheme="minorHAnsi" w:cstheme="minorHAnsi"/>
          <w:color w:val="36383F"/>
          <w:sz w:val="24"/>
          <w:szCs w:val="24"/>
        </w:rPr>
        <w:t>ing</w:t>
      </w:r>
      <w:proofErr w:type="spellEnd"/>
      <w:r w:rsidRPr="009E52E9">
        <w:rPr>
          <w:rFonts w:eastAsiaTheme="minorHAnsi" w:cstheme="minorHAnsi"/>
          <w:color w:val="36383F"/>
          <w:sz w:val="24"/>
          <w:szCs w:val="24"/>
        </w:rPr>
        <w:t>] the cultural and commercial genesis</w:t>
      </w:r>
      <w:r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>of today's summer reading in nineteenth-century print culture"</w:t>
      </w:r>
      <w:r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 xml:space="preserve">(3), </w:t>
      </w:r>
      <w:r w:rsidRPr="009E52E9">
        <w:rPr>
          <w:rFonts w:eastAsiaTheme="minorHAnsi" w:cstheme="minorHAnsi"/>
          <w:i/>
          <w:iCs/>
          <w:color w:val="36383F"/>
          <w:sz w:val="24"/>
          <w:szCs w:val="24"/>
        </w:rPr>
        <w:t xml:space="preserve">Books for Idle Hours </w:t>
      </w:r>
      <w:r w:rsidRPr="009E52E9">
        <w:rPr>
          <w:rFonts w:eastAsiaTheme="minorHAnsi" w:cstheme="minorHAnsi"/>
          <w:color w:val="36383F"/>
          <w:sz w:val="24"/>
          <w:szCs w:val="24"/>
        </w:rPr>
        <w:t>is a fascinating study of a distinct but largely</w:t>
      </w:r>
      <w:r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 xml:space="preserve">overlooked body of nineteenth-century American </w:t>
      </w:r>
      <w:r w:rsidRPr="009E52E9">
        <w:rPr>
          <w:rFonts w:eastAsiaTheme="minorHAnsi" w:cstheme="minorHAnsi"/>
          <w:color w:val="36383F"/>
          <w:sz w:val="24"/>
          <w:szCs w:val="24"/>
        </w:rPr>
        <w:lastRenderedPageBreak/>
        <w:t>fiction and the authors,</w:t>
      </w:r>
      <w:r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>readers, publishers, and economic and social conditions that</w:t>
      </w:r>
      <w:r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>gave rise to it</w:t>
      </w:r>
      <w:r w:rsidRPr="009E52E9">
        <w:rPr>
          <w:rFonts w:eastAsiaTheme="minorHAnsi" w:cstheme="minorHAnsi"/>
          <w:color w:val="5E6065"/>
          <w:sz w:val="24"/>
          <w:szCs w:val="24"/>
        </w:rPr>
        <w:t>.</w:t>
      </w:r>
    </w:p>
    <w:p w14:paraId="195328A0" w14:textId="62E142B2" w:rsidR="00CE65A6" w:rsidRPr="009E52E9" w:rsidRDefault="00CE65A6" w:rsidP="00ED7616">
      <w:pPr>
        <w:autoSpaceDE w:val="0"/>
        <w:autoSpaceDN w:val="0"/>
        <w:adjustRightInd w:val="0"/>
        <w:spacing w:after="0" w:line="240" w:lineRule="auto"/>
        <w:ind w:firstLine="720"/>
        <w:rPr>
          <w:rFonts w:eastAsiaTheme="minorHAnsi" w:cstheme="minorHAnsi"/>
          <w:color w:val="36383F"/>
          <w:sz w:val="24"/>
          <w:szCs w:val="24"/>
        </w:rPr>
      </w:pPr>
      <w:r w:rsidRPr="009E52E9">
        <w:rPr>
          <w:rFonts w:eastAsiaTheme="minorHAnsi" w:cstheme="minorHAnsi"/>
          <w:color w:val="36383F"/>
          <w:sz w:val="24"/>
          <w:szCs w:val="24"/>
        </w:rPr>
        <w:t xml:space="preserve">Among the many strengths of </w:t>
      </w:r>
      <w:r w:rsidRPr="009E52E9">
        <w:rPr>
          <w:rFonts w:eastAsiaTheme="minorHAnsi" w:cstheme="minorHAnsi"/>
          <w:i/>
          <w:iCs/>
          <w:color w:val="36383F"/>
          <w:sz w:val="24"/>
          <w:szCs w:val="24"/>
        </w:rPr>
        <w:t xml:space="preserve">Books for Idle Hours </w:t>
      </w:r>
      <w:r w:rsidRPr="009E52E9">
        <w:rPr>
          <w:rFonts w:eastAsiaTheme="minorHAnsi" w:cstheme="minorHAnsi"/>
          <w:color w:val="36383F"/>
          <w:sz w:val="24"/>
          <w:szCs w:val="24"/>
        </w:rPr>
        <w:t>is its range of</w:t>
      </w:r>
      <w:r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>methodological approaches, which conduce to a complex and multifaceted</w:t>
      </w:r>
      <w:r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>account of summer reading</w:t>
      </w:r>
      <w:r w:rsidRPr="009E52E9">
        <w:rPr>
          <w:rFonts w:eastAsiaTheme="minorHAnsi" w:cstheme="minorHAnsi"/>
          <w:color w:val="6E7074"/>
          <w:sz w:val="24"/>
          <w:szCs w:val="24"/>
        </w:rPr>
        <w:t xml:space="preserve">. </w:t>
      </w:r>
      <w:r w:rsidRPr="009E52E9">
        <w:rPr>
          <w:rFonts w:eastAsiaTheme="minorHAnsi" w:cstheme="minorHAnsi"/>
          <w:color w:val="36383F"/>
          <w:sz w:val="24"/>
          <w:szCs w:val="24"/>
        </w:rPr>
        <w:t>Defining summer reading as both</w:t>
      </w:r>
      <w:r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>product and practice, Harrington-</w:t>
      </w:r>
      <w:proofErr w:type="spellStart"/>
      <w:r w:rsidRPr="009E52E9">
        <w:rPr>
          <w:rFonts w:eastAsiaTheme="minorHAnsi" w:cstheme="minorHAnsi"/>
          <w:color w:val="36383F"/>
          <w:sz w:val="24"/>
          <w:szCs w:val="24"/>
        </w:rPr>
        <w:t>Lueker</w:t>
      </w:r>
      <w:proofErr w:type="spellEnd"/>
      <w:r w:rsidRPr="009E52E9">
        <w:rPr>
          <w:rFonts w:eastAsiaTheme="minorHAnsi" w:cstheme="minorHAnsi"/>
          <w:color w:val="36383F"/>
          <w:sz w:val="24"/>
          <w:szCs w:val="24"/>
        </w:rPr>
        <w:t xml:space="preserve"> organizes the book topically,</w:t>
      </w:r>
      <w:r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>beginning with a wide perspective on nineteenth-century leisure and</w:t>
      </w:r>
      <w:r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>then drilling down to focus on specific authors, texts, and reading</w:t>
      </w:r>
      <w:r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>communities. Following an initial chapter that examines the broader</w:t>
      </w:r>
      <w:r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>cultural forces that promoted domestic tourism, the remaining five</w:t>
      </w:r>
      <w:r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>chapters take up the business of seasonal book publishing in the latter</w:t>
      </w:r>
      <w:r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>half of the nineteenth century; the definitive literary genre central</w:t>
      </w:r>
      <w:r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>to summer reading; physical sites of summer reading; and large-scale</w:t>
      </w:r>
      <w:r w:rsidR="00BF4A7B"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>movements for serious summertime reading and the institutions that</w:t>
      </w:r>
      <w:r w:rsidR="00BF4A7B"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 xml:space="preserve">fostered them. Of </w:t>
      </w:r>
      <w:proofErr w:type="gramStart"/>
      <w:r w:rsidRPr="009E52E9">
        <w:rPr>
          <w:rFonts w:eastAsiaTheme="minorHAnsi" w:cstheme="minorHAnsi"/>
          <w:color w:val="36383F"/>
          <w:sz w:val="24"/>
          <w:szCs w:val="24"/>
        </w:rPr>
        <w:t>particular note</w:t>
      </w:r>
      <w:proofErr w:type="gramEnd"/>
      <w:r w:rsidRPr="009E52E9">
        <w:rPr>
          <w:rFonts w:eastAsiaTheme="minorHAnsi" w:cstheme="minorHAnsi"/>
          <w:color w:val="36383F"/>
          <w:sz w:val="24"/>
          <w:szCs w:val="24"/>
        </w:rPr>
        <w:t xml:space="preserve"> is a brief section on the summer</w:t>
      </w:r>
      <w:r w:rsidR="00BF4A7B"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>leisure of middle-class African Americans, which paves the way for</w:t>
      </w:r>
      <w:r w:rsidR="00BF4A7B"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>future research. With its array of bibliographic, historical, literary, and</w:t>
      </w:r>
      <w:r w:rsidR="00BF4A7B"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 xml:space="preserve">cultural approaches, </w:t>
      </w:r>
      <w:r w:rsidRPr="009E52E9">
        <w:rPr>
          <w:rFonts w:eastAsiaTheme="minorHAnsi" w:cstheme="minorHAnsi"/>
          <w:i/>
          <w:iCs/>
          <w:color w:val="36383F"/>
          <w:sz w:val="24"/>
          <w:szCs w:val="24"/>
        </w:rPr>
        <w:t xml:space="preserve">Books for Idle Hours </w:t>
      </w:r>
      <w:r w:rsidRPr="009E52E9">
        <w:rPr>
          <w:rFonts w:eastAsiaTheme="minorHAnsi" w:cstheme="minorHAnsi"/>
          <w:color w:val="36383F"/>
          <w:sz w:val="24"/>
          <w:szCs w:val="24"/>
        </w:rPr>
        <w:t>effectively brings together</w:t>
      </w:r>
      <w:r w:rsidR="00BF4A7B"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>book-history methodologies that are more typically contained within</w:t>
      </w:r>
      <w:r w:rsidR="00BF4A7B"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>discrete studies of authorship, publishing, reading, and reception.</w:t>
      </w:r>
    </w:p>
    <w:p w14:paraId="087554FE" w14:textId="0B17BCE5" w:rsidR="00CE65A6" w:rsidRPr="009E52E9" w:rsidRDefault="00CE65A6" w:rsidP="009E52E9">
      <w:pPr>
        <w:autoSpaceDE w:val="0"/>
        <w:autoSpaceDN w:val="0"/>
        <w:adjustRightInd w:val="0"/>
        <w:spacing w:after="0" w:line="240" w:lineRule="auto"/>
        <w:ind w:firstLine="720"/>
        <w:rPr>
          <w:rFonts w:eastAsiaTheme="minorHAnsi" w:cstheme="minorHAnsi"/>
          <w:color w:val="36383E"/>
          <w:sz w:val="24"/>
          <w:szCs w:val="24"/>
        </w:rPr>
      </w:pPr>
      <w:r w:rsidRPr="009E52E9">
        <w:rPr>
          <w:rFonts w:eastAsiaTheme="minorHAnsi" w:cstheme="minorHAnsi"/>
          <w:color w:val="36383F"/>
          <w:sz w:val="24"/>
          <w:szCs w:val="24"/>
        </w:rPr>
        <w:t>In attending to summer reading as a product, Harrington-</w:t>
      </w:r>
      <w:proofErr w:type="spellStart"/>
      <w:r w:rsidRPr="009E52E9">
        <w:rPr>
          <w:rFonts w:eastAsiaTheme="minorHAnsi" w:cstheme="minorHAnsi"/>
          <w:color w:val="36383F"/>
          <w:sz w:val="24"/>
          <w:szCs w:val="24"/>
        </w:rPr>
        <w:t>Lueker</w:t>
      </w:r>
      <w:proofErr w:type="spellEnd"/>
      <w:r w:rsidR="00BF4A7B"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>examines a host of archival materials to reveal the strategies publishers</w:t>
      </w:r>
      <w:r w:rsidR="00BF4A7B"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F"/>
          <w:sz w:val="24"/>
          <w:szCs w:val="24"/>
        </w:rPr>
        <w:t>used to offset the traditional summertime sales lull. In a</w:t>
      </w:r>
      <w:r w:rsidRPr="009E52E9">
        <w:rPr>
          <w:rFonts w:eastAsiaTheme="minorHAnsi" w:cstheme="minorHAnsi"/>
          <w:color w:val="36383F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concerted effort to reclaim the summer months from the fiscal doldrums,</w:t>
      </w:r>
      <w:r w:rsidR="00BF4A7B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some of the most</w:t>
      </w:r>
      <w:r w:rsidR="00BF4A7B" w:rsidRPr="009E52E9">
        <w:rPr>
          <w:rFonts w:eastAsiaTheme="minorHAnsi" w:cstheme="minorHAnsi"/>
          <w:color w:val="36383E"/>
          <w:sz w:val="24"/>
          <w:szCs w:val="24"/>
        </w:rPr>
        <w:t xml:space="preserve"> i</w:t>
      </w:r>
      <w:r w:rsidRPr="009E52E9">
        <w:rPr>
          <w:rFonts w:eastAsiaTheme="minorHAnsi" w:cstheme="minorHAnsi"/>
          <w:color w:val="36383E"/>
          <w:sz w:val="24"/>
          <w:szCs w:val="24"/>
        </w:rPr>
        <w:t>nfluential publishers reframed the season</w:t>
      </w:r>
      <w:r w:rsidR="00BF4A7B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as one with distinct audiences and geographical markets, preferred</w:t>
      </w:r>
      <w:r w:rsidR="00BF4A7B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types of</w:t>
      </w:r>
      <w:r w:rsidR="00BF4A7B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content, and unique reading practices that could be met and</w:t>
      </w:r>
      <w:r w:rsidR="00BF4A7B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further cultivated through coordinated editorial strategies and marketing</w:t>
      </w:r>
      <w:r w:rsidR="00BF4A7B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campaigns. Well-supported and convincing, the book's principal</w:t>
      </w:r>
      <w:r w:rsidR="00BF4A7B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argument-"that between 1865 and the early 1900s, in the face of</w:t>
      </w:r>
      <w:r w:rsidR="00BF4A7B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a dramatic rise in domestic travel and tourism, U</w:t>
      </w:r>
      <w:r w:rsidRPr="009E52E9">
        <w:rPr>
          <w:rFonts w:eastAsiaTheme="minorHAnsi" w:cstheme="minorHAnsi"/>
          <w:color w:val="616267"/>
          <w:sz w:val="24"/>
          <w:szCs w:val="24"/>
        </w:rPr>
        <w:t>.</w:t>
      </w:r>
      <w:r w:rsidRPr="009E52E9">
        <w:rPr>
          <w:rFonts w:eastAsiaTheme="minorHAnsi" w:cstheme="minorHAnsi"/>
          <w:color w:val="36383E"/>
          <w:sz w:val="24"/>
          <w:szCs w:val="24"/>
        </w:rPr>
        <w:t>S. publishing houses</w:t>
      </w:r>
      <w:r w:rsidR="00BF4A7B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sought ways to redefine the otherwise slow summer publishing season...with light leisure-time reading" (3-4)-demonstrates how the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publishing enterprise repositioned reading matter that was "light" in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both substance and heft as refreshing, genteel, and, for the most part,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feminized.</w:t>
      </w:r>
    </w:p>
    <w:p w14:paraId="76DA2A7A" w14:textId="14DF3F1D" w:rsidR="00CE65A6" w:rsidRPr="009E52E9" w:rsidRDefault="00CE65A6" w:rsidP="00ED7616">
      <w:pPr>
        <w:autoSpaceDE w:val="0"/>
        <w:autoSpaceDN w:val="0"/>
        <w:adjustRightInd w:val="0"/>
        <w:spacing w:after="0" w:line="240" w:lineRule="auto"/>
        <w:ind w:firstLine="720"/>
        <w:rPr>
          <w:rFonts w:eastAsiaTheme="minorHAnsi" w:cstheme="minorHAnsi"/>
          <w:color w:val="515359"/>
          <w:sz w:val="24"/>
          <w:szCs w:val="24"/>
        </w:rPr>
      </w:pPr>
      <w:r w:rsidRPr="009E52E9">
        <w:rPr>
          <w:rFonts w:eastAsiaTheme="minorHAnsi" w:cstheme="minorHAnsi"/>
          <w:color w:val="36383E"/>
          <w:sz w:val="24"/>
          <w:szCs w:val="24"/>
        </w:rPr>
        <w:t>To complement the chapters on leisure, tourism, and publishing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history, Harrington-</w:t>
      </w:r>
      <w:proofErr w:type="spellStart"/>
      <w:r w:rsidRPr="009E52E9">
        <w:rPr>
          <w:rFonts w:eastAsiaTheme="minorHAnsi" w:cstheme="minorHAnsi"/>
          <w:color w:val="36383E"/>
          <w:sz w:val="24"/>
          <w:szCs w:val="24"/>
        </w:rPr>
        <w:t>Lueker</w:t>
      </w:r>
      <w:proofErr w:type="spellEnd"/>
      <w:r w:rsidRPr="009E52E9">
        <w:rPr>
          <w:rFonts w:eastAsiaTheme="minorHAnsi" w:cstheme="minorHAnsi"/>
          <w:color w:val="36383E"/>
          <w:sz w:val="24"/>
          <w:szCs w:val="24"/>
        </w:rPr>
        <w:t xml:space="preserve"> devotes two chapters to the rise of a new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genre that quickly became a staple in the publishing world-what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Harrington-</w:t>
      </w:r>
      <w:proofErr w:type="spellStart"/>
      <w:r w:rsidRPr="009E52E9">
        <w:rPr>
          <w:rFonts w:eastAsiaTheme="minorHAnsi" w:cstheme="minorHAnsi"/>
          <w:color w:val="36383E"/>
          <w:sz w:val="24"/>
          <w:szCs w:val="24"/>
        </w:rPr>
        <w:t>Lueker</w:t>
      </w:r>
      <w:proofErr w:type="spellEnd"/>
      <w:r w:rsidRPr="009E52E9">
        <w:rPr>
          <w:rFonts w:eastAsiaTheme="minorHAnsi" w:cstheme="minorHAnsi"/>
          <w:color w:val="36383E"/>
          <w:sz w:val="24"/>
          <w:szCs w:val="24"/>
        </w:rPr>
        <w:t xml:space="preserve"> terms the "American summer novel," defined by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its "summer settings and summer experiences" (62)</w:t>
      </w:r>
      <w:r w:rsidRPr="009E52E9">
        <w:rPr>
          <w:rFonts w:eastAsiaTheme="minorHAnsi" w:cstheme="minorHAnsi"/>
          <w:color w:val="616267"/>
          <w:sz w:val="24"/>
          <w:szCs w:val="24"/>
        </w:rPr>
        <w:t xml:space="preserve">. </w:t>
      </w:r>
      <w:r w:rsidRPr="009E52E9">
        <w:rPr>
          <w:rFonts w:eastAsiaTheme="minorHAnsi" w:cstheme="minorHAnsi"/>
          <w:color w:val="36383E"/>
          <w:sz w:val="24"/>
          <w:szCs w:val="24"/>
        </w:rPr>
        <w:t>Supplemented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by enumerative appendices, these middle chapters analyze the conventions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and "cultural work" of the American summer novel, which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Harrington-</w:t>
      </w:r>
      <w:proofErr w:type="spellStart"/>
      <w:r w:rsidRPr="009E52E9">
        <w:rPr>
          <w:rFonts w:eastAsiaTheme="minorHAnsi" w:cstheme="minorHAnsi"/>
          <w:color w:val="36383E"/>
          <w:sz w:val="24"/>
          <w:szCs w:val="24"/>
        </w:rPr>
        <w:t>Lueker</w:t>
      </w:r>
      <w:proofErr w:type="spellEnd"/>
      <w:r w:rsidRPr="009E52E9">
        <w:rPr>
          <w:rFonts w:eastAsiaTheme="minorHAnsi" w:cstheme="minorHAnsi"/>
          <w:color w:val="36383E"/>
          <w:sz w:val="24"/>
          <w:szCs w:val="24"/>
        </w:rPr>
        <w:t xml:space="preserve"> sees as constructing "liminal spaces-places of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transition and release-in which issues of nation, social class, and gender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are explored and expanded, subverted and reshaped" (12). In the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mainstream, Harrington-</w:t>
      </w:r>
      <w:proofErr w:type="spellStart"/>
      <w:r w:rsidRPr="009E52E9">
        <w:rPr>
          <w:rFonts w:eastAsiaTheme="minorHAnsi" w:cstheme="minorHAnsi"/>
          <w:color w:val="36383E"/>
          <w:sz w:val="24"/>
          <w:szCs w:val="24"/>
        </w:rPr>
        <w:t>Lueker</w:t>
      </w:r>
      <w:proofErr w:type="spellEnd"/>
      <w:r w:rsidRPr="009E52E9">
        <w:rPr>
          <w:rFonts w:eastAsiaTheme="minorHAnsi" w:cstheme="minorHAnsi"/>
          <w:color w:val="36383E"/>
          <w:sz w:val="24"/>
          <w:szCs w:val="24"/>
        </w:rPr>
        <w:t xml:space="preserve"> finds, "the summer novel became a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space in which [ women especially] could experience, however vicariously,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the freedoms summer offered while still being assured that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marriage, family, and hegemonic masculinity remained" (63)</w:t>
      </w:r>
      <w:r w:rsidRPr="009E52E9">
        <w:rPr>
          <w:rFonts w:eastAsiaTheme="minorHAnsi" w:cstheme="minorHAnsi"/>
          <w:color w:val="616267"/>
          <w:sz w:val="24"/>
          <w:szCs w:val="24"/>
        </w:rPr>
        <w:t xml:space="preserve">. </w:t>
      </w:r>
      <w:r w:rsidRPr="009E52E9">
        <w:rPr>
          <w:rFonts w:eastAsiaTheme="minorHAnsi" w:cstheme="minorHAnsi"/>
          <w:color w:val="36383E"/>
          <w:sz w:val="24"/>
          <w:szCs w:val="24"/>
        </w:rPr>
        <w:t>Yet the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flexible conventions of the genre also allowed for considerable variation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that could accommodate darker, more challenging visions. In a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chapter devoted entirely to William Dean Howells, who made something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of a specialty of the genre, Harrington-</w:t>
      </w:r>
      <w:proofErr w:type="spellStart"/>
      <w:r w:rsidRPr="009E52E9">
        <w:rPr>
          <w:rFonts w:eastAsiaTheme="minorHAnsi" w:cstheme="minorHAnsi"/>
          <w:color w:val="36383E"/>
          <w:sz w:val="24"/>
          <w:szCs w:val="24"/>
        </w:rPr>
        <w:t>Lueker</w:t>
      </w:r>
      <w:proofErr w:type="spellEnd"/>
      <w:r w:rsidRPr="009E52E9">
        <w:rPr>
          <w:rFonts w:eastAsiaTheme="minorHAnsi" w:cstheme="minorHAnsi"/>
          <w:color w:val="36383E"/>
          <w:sz w:val="24"/>
          <w:szCs w:val="24"/>
        </w:rPr>
        <w:t xml:space="preserve"> examines Howells's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testing of the boundaries of the American summer novel as a vehicle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for social and economic critique before returning to the genre</w:t>
      </w:r>
      <w:r w:rsidRPr="009E52E9">
        <w:rPr>
          <w:rFonts w:eastAsiaTheme="minorHAnsi" w:cstheme="minorHAnsi"/>
          <w:color w:val="515359"/>
          <w:sz w:val="24"/>
          <w:szCs w:val="24"/>
        </w:rPr>
        <w:t>'</w:t>
      </w:r>
      <w:r w:rsidRPr="009E52E9">
        <w:rPr>
          <w:rFonts w:eastAsiaTheme="minorHAnsi" w:cstheme="minorHAnsi"/>
          <w:color w:val="36383E"/>
          <w:sz w:val="24"/>
          <w:szCs w:val="24"/>
        </w:rPr>
        <w:t>s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more familiar-and more conservative-conventions. In addition, a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 xml:space="preserve">substantial discussion of Louisa May Alcott's </w:t>
      </w:r>
      <w:r w:rsidRPr="009E52E9">
        <w:rPr>
          <w:rFonts w:eastAsiaTheme="minorHAnsi" w:cstheme="minorHAnsi"/>
          <w:color w:val="36383E"/>
          <w:sz w:val="24"/>
          <w:szCs w:val="24"/>
        </w:rPr>
        <w:lastRenderedPageBreak/>
        <w:t>lesser-known sensation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fiction demonstrates how Alcott "uses summer settings at American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 xml:space="preserve">resorts to explore a </w:t>
      </w:r>
      <w:proofErr w:type="spellStart"/>
      <w:r w:rsidRPr="009E52E9">
        <w:rPr>
          <w:rFonts w:eastAsiaTheme="minorHAnsi" w:cstheme="minorHAnsi"/>
          <w:color w:val="36383E"/>
          <w:sz w:val="24"/>
          <w:szCs w:val="24"/>
        </w:rPr>
        <w:t>satumalian</w:t>
      </w:r>
      <w:proofErr w:type="spellEnd"/>
      <w:r w:rsidRPr="009E52E9">
        <w:rPr>
          <w:rFonts w:eastAsiaTheme="minorHAnsi" w:cstheme="minorHAnsi"/>
          <w:color w:val="36383E"/>
          <w:sz w:val="24"/>
          <w:szCs w:val="24"/>
        </w:rPr>
        <w:t xml:space="preserve"> world of female passion and sexual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agency" (71)</w:t>
      </w:r>
      <w:r w:rsidRPr="009E52E9">
        <w:rPr>
          <w:rFonts w:eastAsiaTheme="minorHAnsi" w:cstheme="minorHAnsi"/>
          <w:color w:val="515359"/>
          <w:sz w:val="24"/>
          <w:szCs w:val="24"/>
        </w:rPr>
        <w:t>.</w:t>
      </w:r>
    </w:p>
    <w:p w14:paraId="26ADB24D" w14:textId="65230E41" w:rsidR="00CE65A6" w:rsidRPr="009E52E9" w:rsidRDefault="00CE65A6" w:rsidP="00ED7616">
      <w:pPr>
        <w:autoSpaceDE w:val="0"/>
        <w:autoSpaceDN w:val="0"/>
        <w:adjustRightInd w:val="0"/>
        <w:spacing w:after="0" w:line="240" w:lineRule="auto"/>
        <w:ind w:firstLine="720"/>
        <w:rPr>
          <w:rFonts w:eastAsiaTheme="minorHAnsi" w:cstheme="minorHAnsi"/>
          <w:color w:val="36383E"/>
          <w:sz w:val="24"/>
          <w:szCs w:val="24"/>
        </w:rPr>
      </w:pPr>
      <w:r w:rsidRPr="009E52E9">
        <w:rPr>
          <w:rFonts w:eastAsiaTheme="minorHAnsi" w:cstheme="minorHAnsi"/>
          <w:color w:val="36383E"/>
          <w:sz w:val="24"/>
          <w:szCs w:val="24"/>
        </w:rPr>
        <w:t>Shifting to summer reading as practice (that is, a set of literacy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practices and rituals with ties to summertime), Harrington-</w:t>
      </w:r>
      <w:proofErr w:type="spellStart"/>
      <w:r w:rsidRPr="009E52E9">
        <w:rPr>
          <w:rFonts w:eastAsiaTheme="minorHAnsi" w:cstheme="minorHAnsi"/>
          <w:color w:val="36383E"/>
          <w:sz w:val="24"/>
          <w:szCs w:val="24"/>
        </w:rPr>
        <w:t>Lueker</w:t>
      </w:r>
      <w:proofErr w:type="spellEnd"/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devotes the remaining two chapters to the "places and spaces" of</w:t>
      </w:r>
      <w:r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>s</w:t>
      </w:r>
      <w:r w:rsidRPr="009E52E9">
        <w:rPr>
          <w:rFonts w:eastAsiaTheme="minorHAnsi" w:cstheme="minorHAnsi"/>
          <w:color w:val="36383E"/>
          <w:sz w:val="24"/>
          <w:szCs w:val="24"/>
        </w:rPr>
        <w:t>ummer reading-resorts, hotels, and vacation homes, as well as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the outdoor spaces and casual furnishings designed to incorporate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books and reading into nineteenth-century versions of the summer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"stay-cation</w:t>
      </w:r>
      <w:r w:rsidRPr="009E52E9">
        <w:rPr>
          <w:rFonts w:eastAsiaTheme="minorHAnsi" w:cstheme="minorHAnsi"/>
          <w:color w:val="5C5E63"/>
          <w:sz w:val="24"/>
          <w:szCs w:val="24"/>
        </w:rPr>
        <w:t>.</w:t>
      </w:r>
      <w:r w:rsidRPr="009E52E9">
        <w:rPr>
          <w:rFonts w:eastAsiaTheme="minorHAnsi" w:cstheme="minorHAnsi"/>
          <w:color w:val="36383E"/>
          <w:sz w:val="24"/>
          <w:szCs w:val="24"/>
        </w:rPr>
        <w:t>" The book's scope is sweeping here, taking in resort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bookstores and libraries, reading groups, and even entire movements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(specifically, Chautauqua assemblies and the reading circles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of the Catholic Summer School of America)</w:t>
      </w:r>
      <w:r w:rsidRPr="009E52E9">
        <w:rPr>
          <w:rFonts w:eastAsiaTheme="minorHAnsi" w:cstheme="minorHAnsi"/>
          <w:color w:val="5C5E63"/>
          <w:sz w:val="24"/>
          <w:szCs w:val="24"/>
        </w:rPr>
        <w:t xml:space="preserve">. </w:t>
      </w:r>
      <w:r w:rsidRPr="009E52E9">
        <w:rPr>
          <w:rFonts w:eastAsiaTheme="minorHAnsi" w:cstheme="minorHAnsi"/>
          <w:color w:val="36383E"/>
          <w:sz w:val="24"/>
          <w:szCs w:val="24"/>
        </w:rPr>
        <w:t>The variety of source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 xml:space="preserve">material the author taps is correspondingly impressive, 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>e</w:t>
      </w:r>
      <w:r w:rsidRPr="009E52E9">
        <w:rPr>
          <w:rFonts w:eastAsiaTheme="minorHAnsi" w:cstheme="minorHAnsi"/>
          <w:color w:val="36383E"/>
          <w:sz w:val="24"/>
          <w:szCs w:val="24"/>
        </w:rPr>
        <w:t>ncompassing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architectural plans and catalogs, library records, summer school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programs, and more. Here and elsewhere, through examination of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letters, diaries, inscriptions, and other traces of historical reading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experiences, Harrington-</w:t>
      </w:r>
      <w:proofErr w:type="spellStart"/>
      <w:r w:rsidRPr="009E52E9">
        <w:rPr>
          <w:rFonts w:eastAsiaTheme="minorHAnsi" w:cstheme="minorHAnsi"/>
          <w:color w:val="36383E"/>
          <w:sz w:val="24"/>
          <w:szCs w:val="24"/>
        </w:rPr>
        <w:t>Lueker</w:t>
      </w:r>
      <w:proofErr w:type="spellEnd"/>
      <w:r w:rsidRPr="009E52E9">
        <w:rPr>
          <w:rFonts w:eastAsiaTheme="minorHAnsi" w:cstheme="minorHAnsi"/>
          <w:color w:val="36383E"/>
          <w:sz w:val="24"/>
          <w:szCs w:val="24"/>
        </w:rPr>
        <w:t xml:space="preserve"> incorporates the responses of actual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summer leisure-time readers-mostly, white, middle-class Americans,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although the book attends to African American study groups as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well.</w:t>
      </w:r>
    </w:p>
    <w:p w14:paraId="19AC1D47" w14:textId="43BFBB09" w:rsidR="00CE65A6" w:rsidRPr="009E52E9" w:rsidRDefault="00CE65A6" w:rsidP="00ED7616">
      <w:pPr>
        <w:autoSpaceDE w:val="0"/>
        <w:autoSpaceDN w:val="0"/>
        <w:adjustRightInd w:val="0"/>
        <w:spacing w:after="0" w:line="240" w:lineRule="auto"/>
        <w:ind w:firstLine="720"/>
        <w:rPr>
          <w:rFonts w:eastAsiaTheme="minorHAnsi" w:cstheme="minorHAnsi"/>
          <w:color w:val="36383E"/>
          <w:sz w:val="24"/>
          <w:szCs w:val="24"/>
        </w:rPr>
      </w:pPr>
      <w:r w:rsidRPr="009E52E9">
        <w:rPr>
          <w:rFonts w:eastAsiaTheme="minorHAnsi" w:cstheme="minorHAnsi"/>
          <w:color w:val="36383E"/>
          <w:sz w:val="24"/>
          <w:szCs w:val="24"/>
        </w:rPr>
        <w:t>The book's interest in the idea of diverse readerships brought together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 xml:space="preserve">into an "imagined community" of temporally-bound </w:t>
      </w:r>
      <w:proofErr w:type="spellStart"/>
      <w:r w:rsidRPr="009E52E9">
        <w:rPr>
          <w:rFonts w:eastAsiaTheme="minorHAnsi" w:cstheme="minorHAnsi"/>
          <w:color w:val="36383E"/>
          <w:sz w:val="24"/>
          <w:szCs w:val="24"/>
        </w:rPr>
        <w:t>leisuretime</w:t>
      </w:r>
      <w:proofErr w:type="spellEnd"/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reading gestures toward a more ambitious claim: namely, that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summer reading "complicates the idea of a stratified literary field,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flattening literary hierarchies with an appeal that crossed class lines"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proofErr w:type="gramStart"/>
      <w:r w:rsidRPr="009E52E9">
        <w:rPr>
          <w:rFonts w:eastAsiaTheme="minorHAnsi" w:cstheme="minorHAnsi"/>
          <w:color w:val="36383E"/>
          <w:sz w:val="24"/>
          <w:szCs w:val="24"/>
        </w:rPr>
        <w:t>( 10</w:t>
      </w:r>
      <w:proofErr w:type="gramEnd"/>
      <w:r w:rsidRPr="009E52E9">
        <w:rPr>
          <w:rFonts w:eastAsiaTheme="minorHAnsi" w:cstheme="minorHAnsi"/>
          <w:color w:val="36383E"/>
          <w:sz w:val="24"/>
          <w:szCs w:val="24"/>
        </w:rPr>
        <w:t>). By extension, it sparks further questions about how, or whether,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readers truly connected through reading across class lines and the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extent to which summer reading served (and serves still) as a potentially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democratizing force. In a brief epilogue in which she considers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recent debates about the omission of writers of color from lists of</w:t>
      </w:r>
      <w:r w:rsidR="00336920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recommended summer books, Harrison-</w:t>
      </w:r>
      <w:proofErr w:type="spellStart"/>
      <w:r w:rsidRPr="009E52E9">
        <w:rPr>
          <w:rFonts w:eastAsiaTheme="minorHAnsi" w:cstheme="minorHAnsi"/>
          <w:color w:val="36383E"/>
          <w:sz w:val="24"/>
          <w:szCs w:val="24"/>
        </w:rPr>
        <w:t>Lueker</w:t>
      </w:r>
      <w:proofErr w:type="spellEnd"/>
      <w:r w:rsidRPr="009E52E9">
        <w:rPr>
          <w:rFonts w:eastAsiaTheme="minorHAnsi" w:cstheme="minorHAnsi"/>
          <w:color w:val="36383E"/>
          <w:sz w:val="24"/>
          <w:szCs w:val="24"/>
        </w:rPr>
        <w:t xml:space="preserve"> emphasizes that "</w:t>
      </w:r>
      <w:r w:rsidR="009E52E9" w:rsidRPr="009E52E9">
        <w:rPr>
          <w:rFonts w:eastAsiaTheme="minorHAnsi" w:cstheme="minorHAnsi"/>
          <w:color w:val="36383E"/>
          <w:sz w:val="24"/>
          <w:szCs w:val="24"/>
        </w:rPr>
        <w:t xml:space="preserve">if </w:t>
      </w:r>
      <w:r w:rsidRPr="009E52E9">
        <w:rPr>
          <w:rFonts w:eastAsiaTheme="minorHAnsi" w:cstheme="minorHAnsi"/>
          <w:color w:val="36383E"/>
          <w:sz w:val="24"/>
          <w:szCs w:val="24"/>
        </w:rPr>
        <w:t>nineteenth-century summer novels are ephemeral markers of their</w:t>
      </w:r>
      <w:r w:rsidR="009E52E9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time and place, . . . the commercial and cultural rituals of summer</w:t>
      </w:r>
      <w:r w:rsidR="009E52E9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reading that took shape around them more than a century ago remain"</w:t>
      </w:r>
      <w:r w:rsidR="009E52E9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(180)</w:t>
      </w:r>
      <w:r w:rsidRPr="009E52E9">
        <w:rPr>
          <w:rFonts w:eastAsiaTheme="minorHAnsi" w:cstheme="minorHAnsi"/>
          <w:color w:val="5C5E63"/>
          <w:sz w:val="24"/>
          <w:szCs w:val="24"/>
        </w:rPr>
        <w:t xml:space="preserve">. </w:t>
      </w:r>
      <w:r w:rsidRPr="009E52E9">
        <w:rPr>
          <w:rFonts w:eastAsiaTheme="minorHAnsi" w:cstheme="minorHAnsi"/>
          <w:color w:val="36383E"/>
          <w:sz w:val="24"/>
          <w:szCs w:val="24"/>
        </w:rPr>
        <w:t>If the capacity of summer reading to bridge social divisions</w:t>
      </w:r>
      <w:r w:rsidR="009E52E9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in the nineteenth-century US remains an open question, the</w:t>
      </w:r>
      <w:r w:rsidR="009E52E9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epilogue to this fine study conclusively shows it to be a particularly</w:t>
      </w:r>
      <w:r w:rsidR="009E52E9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>timely one for readers, reviewers, and publishers today.</w:t>
      </w:r>
    </w:p>
    <w:p w14:paraId="0CB4A9F7" w14:textId="77777777" w:rsidR="00CE65A6" w:rsidRPr="009E52E9" w:rsidRDefault="00CE65A6" w:rsidP="00CE65A6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color w:val="36383E"/>
          <w:sz w:val="24"/>
          <w:szCs w:val="24"/>
        </w:rPr>
      </w:pPr>
    </w:p>
    <w:p w14:paraId="0C3E2A4E" w14:textId="5D8B921A" w:rsidR="00BF7B76" w:rsidRPr="009E52E9" w:rsidRDefault="00CE65A6" w:rsidP="009E52E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9E52E9">
        <w:rPr>
          <w:rFonts w:eastAsiaTheme="minorHAnsi" w:cstheme="minorHAnsi"/>
          <w:color w:val="36383E"/>
          <w:sz w:val="24"/>
          <w:szCs w:val="24"/>
        </w:rPr>
        <w:t xml:space="preserve">Sarah Wadsworth </w:t>
      </w:r>
      <w:r w:rsidRPr="009E52E9">
        <w:rPr>
          <w:rFonts w:eastAsiaTheme="minorHAnsi" w:cstheme="minorHAnsi"/>
          <w:i/>
          <w:iCs/>
          <w:color w:val="36383E"/>
          <w:sz w:val="24"/>
          <w:szCs w:val="24"/>
        </w:rPr>
        <w:t>is a professor of English at Marquette University</w:t>
      </w:r>
      <w:r w:rsidRPr="009E52E9">
        <w:rPr>
          <w:rFonts w:eastAsiaTheme="minorHAnsi" w:cstheme="minorHAnsi"/>
          <w:i/>
          <w:iCs/>
          <w:color w:val="5C5E63"/>
          <w:sz w:val="24"/>
          <w:szCs w:val="24"/>
        </w:rPr>
        <w:t>.</w:t>
      </w:r>
      <w:r w:rsidR="009E52E9" w:rsidRPr="009E52E9">
        <w:rPr>
          <w:rFonts w:eastAsiaTheme="minorHAnsi" w:cstheme="minorHAnsi"/>
          <w:i/>
          <w:iCs/>
          <w:color w:val="5C5E63"/>
          <w:sz w:val="24"/>
          <w:szCs w:val="24"/>
        </w:rPr>
        <w:t xml:space="preserve"> </w:t>
      </w:r>
      <w:r w:rsidRPr="009E52E9">
        <w:rPr>
          <w:rFonts w:eastAsiaTheme="minorHAnsi" w:cstheme="minorHAnsi"/>
          <w:i/>
          <w:iCs/>
          <w:color w:val="36383E"/>
          <w:sz w:val="24"/>
          <w:szCs w:val="24"/>
        </w:rPr>
        <w:t xml:space="preserve">She is the author of </w:t>
      </w:r>
      <w:r w:rsidRPr="009E52E9">
        <w:rPr>
          <w:rFonts w:eastAsiaTheme="minorHAnsi" w:cstheme="minorHAnsi"/>
          <w:color w:val="36383E"/>
          <w:sz w:val="24"/>
          <w:szCs w:val="24"/>
        </w:rPr>
        <w:t>IN THE COMPANY OF BOOKS</w:t>
      </w:r>
      <w:r w:rsidRPr="009E52E9">
        <w:rPr>
          <w:rFonts w:eastAsiaTheme="minorHAnsi" w:cstheme="minorHAnsi"/>
          <w:color w:val="5C5E63"/>
          <w:sz w:val="24"/>
          <w:szCs w:val="24"/>
        </w:rPr>
        <w:t xml:space="preserve">: </w:t>
      </w:r>
      <w:r w:rsidRPr="009E52E9">
        <w:rPr>
          <w:rFonts w:eastAsiaTheme="minorHAnsi" w:cstheme="minorHAnsi"/>
          <w:color w:val="36383E"/>
          <w:sz w:val="24"/>
          <w:szCs w:val="24"/>
        </w:rPr>
        <w:t>LITERATURE AND</w:t>
      </w:r>
      <w:r w:rsidR="009E52E9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 xml:space="preserve">ITS </w:t>
      </w:r>
      <w:r w:rsidRPr="009E52E9">
        <w:rPr>
          <w:rFonts w:eastAsiaTheme="minorHAnsi" w:cstheme="minorHAnsi"/>
          <w:color w:val="5C5E63"/>
          <w:sz w:val="24"/>
          <w:szCs w:val="24"/>
        </w:rPr>
        <w:t>"</w:t>
      </w:r>
      <w:r w:rsidRPr="009E52E9">
        <w:rPr>
          <w:rFonts w:eastAsiaTheme="minorHAnsi" w:cstheme="minorHAnsi"/>
          <w:color w:val="36383E"/>
          <w:sz w:val="24"/>
          <w:szCs w:val="24"/>
        </w:rPr>
        <w:t xml:space="preserve">CLASSES" IN </w:t>
      </w:r>
      <w:proofErr w:type="gramStart"/>
      <w:r w:rsidRPr="009E52E9">
        <w:rPr>
          <w:rFonts w:eastAsiaTheme="minorHAnsi" w:cstheme="minorHAnsi"/>
          <w:color w:val="36383E"/>
          <w:sz w:val="24"/>
          <w:szCs w:val="24"/>
        </w:rPr>
        <w:t>NINETEENTH-CENTURY AMERICA</w:t>
      </w:r>
      <w:proofErr w:type="gramEnd"/>
      <w:r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i/>
          <w:iCs/>
          <w:color w:val="36383E"/>
          <w:sz w:val="24"/>
          <w:szCs w:val="24"/>
        </w:rPr>
        <w:t>(University of</w:t>
      </w:r>
      <w:r w:rsidR="009E52E9" w:rsidRPr="009E52E9">
        <w:rPr>
          <w:rFonts w:eastAsiaTheme="minorHAnsi" w:cstheme="minorHAnsi"/>
          <w:i/>
          <w:iCs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i/>
          <w:iCs/>
          <w:color w:val="36383E"/>
          <w:sz w:val="24"/>
          <w:szCs w:val="24"/>
        </w:rPr>
        <w:t>Massachusetts Press, 2006) and coauthor, with Wayne A. Wiegand,</w:t>
      </w:r>
      <w:r w:rsidR="009E52E9" w:rsidRPr="009E52E9">
        <w:rPr>
          <w:rFonts w:eastAsiaTheme="minorHAnsi" w:cstheme="minorHAnsi"/>
          <w:i/>
          <w:iCs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i/>
          <w:iCs/>
          <w:color w:val="36383E"/>
          <w:sz w:val="24"/>
          <w:szCs w:val="24"/>
        </w:rPr>
        <w:t xml:space="preserve">of </w:t>
      </w:r>
      <w:r w:rsidRPr="009E52E9">
        <w:rPr>
          <w:rFonts w:eastAsiaTheme="minorHAnsi" w:cstheme="minorHAnsi"/>
          <w:color w:val="36383E"/>
          <w:sz w:val="24"/>
          <w:szCs w:val="24"/>
        </w:rPr>
        <w:t>RIGHT HERE I SEE MY OWN BOOKS: THE WOMAN'S BUILDING</w:t>
      </w:r>
      <w:r w:rsidR="009E52E9" w:rsidRPr="009E52E9">
        <w:rPr>
          <w:rFonts w:eastAsiaTheme="minorHAnsi" w:cstheme="minorHAnsi"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color w:val="36383E"/>
          <w:sz w:val="24"/>
          <w:szCs w:val="24"/>
        </w:rPr>
        <w:t xml:space="preserve">LIBRARY AT THE WORLD'S COLUMBIAN EXPOSITION </w:t>
      </w:r>
      <w:r w:rsidRPr="009E52E9">
        <w:rPr>
          <w:rFonts w:eastAsiaTheme="minorHAnsi" w:cstheme="minorHAnsi"/>
          <w:i/>
          <w:iCs/>
          <w:color w:val="36383E"/>
          <w:sz w:val="24"/>
          <w:szCs w:val="24"/>
        </w:rPr>
        <w:t>(University of</w:t>
      </w:r>
      <w:r w:rsidR="009E52E9" w:rsidRPr="009E52E9">
        <w:rPr>
          <w:rFonts w:eastAsiaTheme="minorHAnsi" w:cstheme="minorHAnsi"/>
          <w:i/>
          <w:iCs/>
          <w:color w:val="36383E"/>
          <w:sz w:val="24"/>
          <w:szCs w:val="24"/>
        </w:rPr>
        <w:t xml:space="preserve"> </w:t>
      </w:r>
      <w:r w:rsidRPr="009E52E9">
        <w:rPr>
          <w:rFonts w:eastAsiaTheme="minorHAnsi" w:cstheme="minorHAnsi"/>
          <w:i/>
          <w:iCs/>
          <w:color w:val="36383E"/>
          <w:sz w:val="24"/>
          <w:szCs w:val="24"/>
        </w:rPr>
        <w:t>Massachusetts Press, 2012).</w:t>
      </w:r>
    </w:p>
    <w:sectPr w:rsidR="00BF7B76" w:rsidRPr="009E5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yBBYdz4TsbWYvrVxC/OWrhZxsckxYHy8kO52D8QRt/tdHHB0MeXEhDWSZAh35mu5+5P8lJCTNJCC2/Od/0jXgg==" w:salt="WhNzE3giEdvaUPr4VPjhLg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B76"/>
    <w:rsid w:val="00091BB1"/>
    <w:rsid w:val="00336920"/>
    <w:rsid w:val="005739AD"/>
    <w:rsid w:val="009E52E9"/>
    <w:rsid w:val="00BF4A7B"/>
    <w:rsid w:val="00BF7B76"/>
    <w:rsid w:val="00CE65A6"/>
    <w:rsid w:val="00ED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AEED2"/>
  <w15:chartTrackingRefBased/>
  <w15:docId w15:val="{8CC4297E-15A7-4C46-A056-2B5CF6931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52E9"/>
  </w:style>
  <w:style w:type="paragraph" w:styleId="Heading1">
    <w:name w:val="heading 1"/>
    <w:basedOn w:val="Normal"/>
    <w:next w:val="Normal"/>
    <w:link w:val="Heading1Char"/>
    <w:uiPriority w:val="9"/>
    <w:qFormat/>
    <w:rsid w:val="009E52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52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52E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52E9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52E9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52E9"/>
    <w:pPr>
      <w:keepNext/>
      <w:keepLines/>
      <w:spacing w:before="40" w:after="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52E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52E9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52E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F7B76"/>
    <w:pPr>
      <w:autoSpaceDE w:val="0"/>
      <w:autoSpaceDN w:val="0"/>
      <w:adjustRightInd w:val="0"/>
      <w:spacing w:line="256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F7B76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9E52E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52E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NoSpacing">
    <w:name w:val="No Spacing"/>
    <w:uiPriority w:val="1"/>
    <w:qFormat/>
    <w:rsid w:val="009E52E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E52E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52E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52E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52E9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52E9"/>
    <w:rPr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52E9"/>
  </w:style>
  <w:style w:type="character" w:customStyle="1" w:styleId="Heading7Char">
    <w:name w:val="Heading 7 Char"/>
    <w:basedOn w:val="DefaultParagraphFont"/>
    <w:link w:val="Heading7"/>
    <w:uiPriority w:val="9"/>
    <w:semiHidden/>
    <w:rsid w:val="009E52E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52E9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52E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E52E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52E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E52E9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9E52E9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9E52E9"/>
    <w:rPr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9E52E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52E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52E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52E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9E52E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E52E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9E52E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9E52E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9E52E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52E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4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publications.marquette.edu/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https://doi.org/10.1162/tneq_r_00783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Props1.xml><?xml version="1.0" encoding="utf-8"?>
<ds:datastoreItem xmlns:ds="http://schemas.openxmlformats.org/officeDocument/2006/customXml" ds:itemID="{AD98AC14-2244-49C9-999B-783BE69FB362}"/>
</file>

<file path=customXml/itemProps2.xml><?xml version="1.0" encoding="utf-8"?>
<ds:datastoreItem xmlns:ds="http://schemas.openxmlformats.org/officeDocument/2006/customXml" ds:itemID="{E858167A-B592-44D1-B0B3-939693E3D803}"/>
</file>

<file path=customXml/itemProps3.xml><?xml version="1.0" encoding="utf-8"?>
<ds:datastoreItem xmlns:ds="http://schemas.openxmlformats.org/officeDocument/2006/customXml" ds:itemID="{BCD9D9CD-EA2A-40FD-878E-774992DE0C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1223</Words>
  <Characters>6975</Characters>
  <Application>Microsoft Office Word</Application>
  <DocSecurity>8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Jacobson, Katie</dc:creator>
  <cp:keywords/>
  <dc:description/>
  <cp:lastModifiedBy>Jacobson, Katie</cp:lastModifiedBy>
  <cp:revision>1</cp:revision>
  <dcterms:created xsi:type="dcterms:W3CDTF">2023-01-24T20:10:00Z</dcterms:created>
  <dcterms:modified xsi:type="dcterms:W3CDTF">2023-01-24T20:22:00Z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</Properties>
</file>