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ABDBB" w14:textId="77777777" w:rsidR="00FB3A37" w:rsidRPr="003D2F71" w:rsidRDefault="0099243C" w:rsidP="003D2F71">
      <w:pPr>
        <w:spacing w:after="0"/>
        <w:jc w:val="right"/>
        <w:rPr>
          <w:rFonts w:ascii="Times New Roman" w:hAnsi="Times New Roman" w:cs="Times New Roman"/>
          <w:sz w:val="40"/>
          <w:szCs w:val="40"/>
        </w:rPr>
      </w:pPr>
      <w:r w:rsidRPr="003D2F71">
        <w:rPr>
          <w:rFonts w:ascii="Times New Roman" w:hAnsi="Times New Roman" w:cs="Times New Roman"/>
          <w:sz w:val="40"/>
          <w:szCs w:val="40"/>
        </w:rPr>
        <w:t>SPECIAL REPORT</w:t>
      </w:r>
    </w:p>
    <w:p w14:paraId="11FD840E" w14:textId="77777777" w:rsidR="0099243C" w:rsidRPr="003D2F71" w:rsidRDefault="0099243C" w:rsidP="003D2F71">
      <w:pPr>
        <w:jc w:val="right"/>
        <w:rPr>
          <w:rFonts w:ascii="Times New Roman" w:hAnsi="Times New Roman" w:cs="Times New Roman"/>
          <w:sz w:val="18"/>
          <w:szCs w:val="18"/>
        </w:rPr>
      </w:pPr>
      <w:r w:rsidRPr="003D2F71">
        <w:rPr>
          <w:rFonts w:ascii="Times New Roman" w:hAnsi="Times New Roman" w:cs="Times New Roman"/>
          <w:sz w:val="36"/>
          <w:szCs w:val="36"/>
        </w:rPr>
        <w:t>tax notes</w:t>
      </w:r>
      <w:r w:rsidRPr="003D2F71">
        <w:rPr>
          <w:rFonts w:ascii="Times New Roman" w:hAnsi="Times New Roman" w:cs="Times New Roman"/>
          <w:sz w:val="18"/>
          <w:szCs w:val="18"/>
        </w:rPr>
        <w:t>®</w:t>
      </w:r>
    </w:p>
    <w:p w14:paraId="45BFCDC0" w14:textId="77777777" w:rsidR="0099243C" w:rsidRPr="003D2F71" w:rsidRDefault="0099243C" w:rsidP="003D2F71">
      <w:pPr>
        <w:pStyle w:val="Title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Corporate Income Taxes and Labor:</w:t>
      </w:r>
    </w:p>
    <w:p w14:paraId="6A450F39" w14:textId="77777777" w:rsidR="0099243C" w:rsidRPr="003D2F71" w:rsidRDefault="0099243C" w:rsidP="003D2F71">
      <w:pPr>
        <w:pStyle w:val="Title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Investigating Empirical Evidence</w:t>
      </w:r>
    </w:p>
    <w:p w14:paraId="3F032BA7" w14:textId="77777777" w:rsidR="003D2F71" w:rsidRPr="003D2F71" w:rsidRDefault="003D2F71" w:rsidP="0099243C">
      <w:pPr>
        <w:rPr>
          <w:rFonts w:ascii="Times New Roman" w:hAnsi="Times New Roman" w:cs="Times New Roman"/>
          <w:b/>
          <w:bCs/>
          <w:sz w:val="22"/>
        </w:rPr>
      </w:pPr>
    </w:p>
    <w:p w14:paraId="7665DAB1" w14:textId="55FF523F" w:rsidR="0099243C" w:rsidRPr="003D2F71" w:rsidRDefault="0099243C" w:rsidP="0099243C">
      <w:pPr>
        <w:rPr>
          <w:rFonts w:ascii="Times New Roman" w:hAnsi="Times New Roman" w:cs="Times New Roman"/>
          <w:b/>
          <w:bCs/>
        </w:rPr>
      </w:pPr>
      <w:r w:rsidRPr="003D2F71">
        <w:rPr>
          <w:rFonts w:ascii="Times New Roman" w:hAnsi="Times New Roman" w:cs="Times New Roman"/>
          <w:b/>
          <w:bCs/>
        </w:rPr>
        <w:t>by Andrew Hanson and Ike Brannon</w:t>
      </w:r>
    </w:p>
    <w:p w14:paraId="3C83A21A" w14:textId="77777777" w:rsidR="0099243C" w:rsidRPr="003D2F71" w:rsidRDefault="0099243C" w:rsidP="0099243C">
      <w:pPr>
        <w:rPr>
          <w:rFonts w:ascii="Times New Roman" w:hAnsi="Times New Roman" w:cs="Times New Roman"/>
          <w:b/>
          <w:bCs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674"/>
      </w:tblGrid>
      <w:tr w:rsidR="00EB74EB" w:rsidRPr="003D2F71" w14:paraId="3115F17E" w14:textId="77777777" w:rsidTr="00B9307C">
        <w:tc>
          <w:tcPr>
            <w:tcW w:w="0" w:type="auto"/>
          </w:tcPr>
          <w:p w14:paraId="20EE8535" w14:textId="77777777" w:rsidR="00EB74EB" w:rsidRPr="003D2F71" w:rsidRDefault="00EB74EB" w:rsidP="0099243C">
            <w:pPr>
              <w:rPr>
                <w:rFonts w:ascii="Times New Roman" w:hAnsi="Times New Roman" w:cs="Times New Roman"/>
                <w:sz w:val="22"/>
              </w:rPr>
            </w:pPr>
            <w:r w:rsidRPr="003D2F71">
              <w:rPr>
                <w:rFonts w:ascii="Times New Roman" w:hAnsi="Times New Roman" w:cs="Times New Roman"/>
                <w:noProof/>
                <w:sz w:val="22"/>
              </w:rPr>
              <w:drawing>
                <wp:inline distT="0" distB="0" distL="0" distR="0" wp14:anchorId="19C796E9" wp14:editId="3C87C89C">
                  <wp:extent cx="932688" cy="1371600"/>
                  <wp:effectExtent l="0" t="0" r="1270" b="0"/>
                  <wp:docPr id="1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688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978F9D9" w14:textId="77777777" w:rsidR="00EB74EB" w:rsidRPr="003D2F71" w:rsidRDefault="00EB74EB" w:rsidP="00B9307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</w:rPr>
            </w:pPr>
            <w:r w:rsidRPr="003D2F71">
              <w:rPr>
                <w:rFonts w:ascii="Times New Roman" w:hAnsi="Times New Roman" w:cs="Times New Roman"/>
                <w:sz w:val="22"/>
              </w:rPr>
              <w:t>Andrew Hanson is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an associate professor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of economics at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Marquette University,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and Ike Brannon is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president of Capital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Policy Analytics and a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visiting senior fellow at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the Cato Institute.</w:t>
            </w:r>
            <w:r w:rsidR="00B9307C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In this report,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Hanson and Brannon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examine the empirical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literature on the eff</w:t>
            </w:r>
            <w:bookmarkStart w:id="0" w:name="_GoBack"/>
            <w:bookmarkEnd w:id="0"/>
            <w:r w:rsidRPr="003D2F71">
              <w:rPr>
                <w:rFonts w:ascii="Times New Roman" w:hAnsi="Times New Roman" w:cs="Times New Roman"/>
                <w:sz w:val="22"/>
              </w:rPr>
              <w:t>ect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of corporate income</w:t>
            </w:r>
            <w:r w:rsidR="00A12006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taxes on labor, arguing that corporate tax</w:t>
            </w:r>
            <w:r w:rsidR="00B9307C" w:rsidRPr="003D2F7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3D2F71">
              <w:rPr>
                <w:rFonts w:ascii="Times New Roman" w:hAnsi="Times New Roman" w:cs="Times New Roman"/>
                <w:sz w:val="22"/>
              </w:rPr>
              <w:t>reform would boost employment.</w:t>
            </w:r>
          </w:p>
        </w:tc>
      </w:tr>
    </w:tbl>
    <w:p w14:paraId="31DE4BC3" w14:textId="77777777" w:rsidR="0099243C" w:rsidRPr="003D2F71" w:rsidRDefault="0099243C" w:rsidP="0099243C">
      <w:pPr>
        <w:rPr>
          <w:rFonts w:ascii="Times New Roman" w:hAnsi="Times New Roman" w:cs="Times New Roman"/>
          <w:sz w:val="22"/>
        </w:rPr>
      </w:pPr>
    </w:p>
    <w:p w14:paraId="380D3B47" w14:textId="364050DE" w:rsidR="009F3CD0" w:rsidRDefault="009F3CD0" w:rsidP="009F3CD0">
      <w:pPr>
        <w:kinsoku w:val="0"/>
        <w:overflowPunct w:val="0"/>
        <w:autoSpaceDE w:val="0"/>
        <w:autoSpaceDN w:val="0"/>
        <w:adjustRightInd w:val="0"/>
        <w:spacing w:after="0" w:line="262" w:lineRule="exact"/>
        <w:ind w:left="39"/>
        <w:jc w:val="left"/>
        <w:outlineLvl w:val="0"/>
        <w:rPr>
          <w:rFonts w:ascii="Times New Roman" w:hAnsi="Times New Roman" w:cs="Times New Roman"/>
          <w:b/>
          <w:bCs/>
          <w:color w:val="231F20"/>
          <w:sz w:val="22"/>
        </w:rPr>
      </w:pPr>
      <w:r w:rsidRPr="009F3CD0">
        <w:rPr>
          <w:rFonts w:ascii="Times New Roman" w:hAnsi="Times New Roman" w:cs="Times New Roman"/>
          <w:b/>
          <w:bCs/>
          <w:color w:val="231F20"/>
          <w:sz w:val="22"/>
        </w:rPr>
        <w:t>Table of Contents</w:t>
      </w:r>
    </w:p>
    <w:tbl>
      <w:tblPr>
        <w:tblStyle w:val="TableGrid"/>
        <w:tblW w:w="0" w:type="auto"/>
        <w:tblInd w:w="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546"/>
      </w:tblGrid>
      <w:tr w:rsidR="00846263" w:rsidRPr="0031350A" w14:paraId="7FD65E4B" w14:textId="77777777" w:rsidTr="00AB77AA">
        <w:tc>
          <w:tcPr>
            <w:tcW w:w="0" w:type="auto"/>
          </w:tcPr>
          <w:p w14:paraId="4E2A4052" w14:textId="649F7C88" w:rsidR="00846263" w:rsidRPr="0031350A" w:rsidRDefault="0084626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Lato-Bold" w:hAnsi="Lato-Bold" w:cs="Lato-Bold"/>
                <w:bCs/>
                <w:sz w:val="22"/>
              </w:rPr>
              <w:t>I. Executive Summary</w:t>
            </w:r>
          </w:p>
        </w:tc>
        <w:tc>
          <w:tcPr>
            <w:tcW w:w="0" w:type="auto"/>
          </w:tcPr>
          <w:p w14:paraId="45F269EC" w14:textId="2E5C31E5" w:rsidR="00846263" w:rsidRPr="0031350A" w:rsidRDefault="0084626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483</w:t>
            </w:r>
          </w:p>
        </w:tc>
      </w:tr>
      <w:tr w:rsidR="00846263" w:rsidRPr="0031350A" w14:paraId="4AB6F701" w14:textId="77777777" w:rsidTr="00AB77AA">
        <w:tc>
          <w:tcPr>
            <w:tcW w:w="0" w:type="auto"/>
          </w:tcPr>
          <w:p w14:paraId="5DEC6219" w14:textId="5B57DFBD" w:rsidR="00846263" w:rsidRPr="0031350A" w:rsidRDefault="0084626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bCs/>
                <w:color w:val="231F20"/>
                <w:sz w:val="22"/>
              </w:rPr>
              <w:t>I. Executive Summary</w:t>
            </w:r>
          </w:p>
        </w:tc>
        <w:tc>
          <w:tcPr>
            <w:tcW w:w="0" w:type="auto"/>
          </w:tcPr>
          <w:p w14:paraId="507C46DA" w14:textId="163134C0" w:rsidR="00846263" w:rsidRPr="0031350A" w:rsidRDefault="0084626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484</w:t>
            </w:r>
          </w:p>
        </w:tc>
      </w:tr>
      <w:tr w:rsidR="00846263" w:rsidRPr="0031350A" w14:paraId="24D69D86" w14:textId="77777777" w:rsidTr="00AB77AA">
        <w:tc>
          <w:tcPr>
            <w:tcW w:w="0" w:type="auto"/>
          </w:tcPr>
          <w:p w14:paraId="682ECB16" w14:textId="6DE4961D" w:rsidR="00846263" w:rsidRPr="0031350A" w:rsidRDefault="0084626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bCs/>
                <w:color w:val="231F20"/>
                <w:sz w:val="22"/>
              </w:rPr>
              <w:t>II. Introduction</w:t>
            </w:r>
          </w:p>
        </w:tc>
        <w:tc>
          <w:tcPr>
            <w:tcW w:w="0" w:type="auto"/>
          </w:tcPr>
          <w:p w14:paraId="6631F025" w14:textId="27A0219E" w:rsidR="00846263" w:rsidRPr="0031350A" w:rsidRDefault="0084626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485</w:t>
            </w:r>
          </w:p>
        </w:tc>
      </w:tr>
      <w:tr w:rsidR="00846263" w:rsidRPr="0031350A" w14:paraId="0820DC50" w14:textId="77777777" w:rsidTr="00AB77AA">
        <w:tc>
          <w:tcPr>
            <w:tcW w:w="0" w:type="auto"/>
          </w:tcPr>
          <w:p w14:paraId="7FE6B59C" w14:textId="7E8E247C" w:rsidR="00846263" w:rsidRPr="009F3CD0" w:rsidRDefault="00846263" w:rsidP="00846263">
            <w:pPr>
              <w:numPr>
                <w:ilvl w:val="0"/>
                <w:numId w:val="1"/>
              </w:numPr>
              <w:tabs>
                <w:tab w:val="left" w:pos="641"/>
              </w:tabs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835" w:hanging="834"/>
              <w:rPr>
                <w:rFonts w:ascii="Times New Roman" w:hAnsi="Times New Roman" w:cs="Times New Roman"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bCs/>
                <w:color w:val="231F20"/>
                <w:sz w:val="22"/>
              </w:rPr>
              <w:t xml:space="preserve">Conceptual Framework </w:t>
            </w:r>
          </w:p>
          <w:p w14:paraId="5865EE9A" w14:textId="236C717D" w:rsidR="00846263" w:rsidRPr="0031350A" w:rsidRDefault="00846263" w:rsidP="00846263">
            <w:pPr>
              <w:numPr>
                <w:ilvl w:val="1"/>
                <w:numId w:val="1"/>
              </w:numPr>
              <w:tabs>
                <w:tab w:val="left" w:pos="941"/>
              </w:tabs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hanging="30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Incidence of the Corporate</w:t>
            </w:r>
            <w:r w:rsidRPr="009F3CD0">
              <w:rPr>
                <w:rFonts w:ascii="Times New Roman" w:hAnsi="Times New Roman" w:cs="Times New Roman"/>
                <w:color w:val="231F20"/>
                <w:spacing w:val="-2"/>
                <w:sz w:val="22"/>
              </w:rPr>
              <w:t xml:space="preserve"> </w:t>
            </w: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Income</w:t>
            </w:r>
            <w:r w:rsidRPr="0031350A">
              <w:rPr>
                <w:rFonts w:ascii="Times New Roman" w:hAnsi="Times New Roman" w:cs="Times New Roman"/>
                <w:color w:val="231F20"/>
                <w:sz w:val="22"/>
              </w:rPr>
              <w:t xml:space="preserve"> </w:t>
            </w:r>
            <w:r w:rsidR="00F0152D" w:rsidRPr="0031350A">
              <w:rPr>
                <w:rFonts w:ascii="Times New Roman" w:hAnsi="Times New Roman" w:cs="Times New Roman"/>
                <w:color w:val="231F20"/>
                <w:sz w:val="22"/>
              </w:rPr>
              <w:t>T</w:t>
            </w: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 xml:space="preserve">ax </w:t>
            </w:r>
          </w:p>
        </w:tc>
        <w:tc>
          <w:tcPr>
            <w:tcW w:w="0" w:type="auto"/>
          </w:tcPr>
          <w:p w14:paraId="5B2828BD" w14:textId="3F22A4A0" w:rsidR="0031350A" w:rsidRDefault="00AB77AA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color w:val="231F20"/>
                <w:sz w:val="22"/>
              </w:rPr>
            </w:pPr>
            <w:r>
              <w:rPr>
                <w:rFonts w:ascii="Times New Roman" w:hAnsi="Times New Roman" w:cs="Times New Roman"/>
                <w:color w:val="231F20"/>
                <w:sz w:val="22"/>
              </w:rPr>
              <w:t>485</w:t>
            </w:r>
          </w:p>
          <w:p w14:paraId="597F6A60" w14:textId="61281E88" w:rsidR="00846263" w:rsidRPr="0031350A" w:rsidRDefault="005E74FE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485</w:t>
            </w:r>
          </w:p>
        </w:tc>
      </w:tr>
      <w:tr w:rsidR="00846263" w:rsidRPr="0031350A" w14:paraId="6F64AD44" w14:textId="77777777" w:rsidTr="00AB77AA">
        <w:tc>
          <w:tcPr>
            <w:tcW w:w="0" w:type="auto"/>
          </w:tcPr>
          <w:p w14:paraId="6FB0B111" w14:textId="3BB92F3D" w:rsidR="00846263" w:rsidRPr="0031350A" w:rsidRDefault="005E74FE" w:rsidP="00AD7C93">
            <w:pPr>
              <w:pStyle w:val="ListParagraph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ind w:left="565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bCs/>
                <w:color w:val="231F20"/>
                <w:sz w:val="22"/>
              </w:rPr>
              <w:t>Empirical Evidence</w:t>
            </w:r>
          </w:p>
        </w:tc>
        <w:tc>
          <w:tcPr>
            <w:tcW w:w="0" w:type="auto"/>
          </w:tcPr>
          <w:p w14:paraId="6885C85E" w14:textId="1836496D" w:rsidR="00846263" w:rsidRPr="0031350A" w:rsidRDefault="00FA59DD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485</w:t>
            </w:r>
          </w:p>
        </w:tc>
      </w:tr>
      <w:tr w:rsidR="00846263" w:rsidRPr="0031350A" w14:paraId="641794DE" w14:textId="77777777" w:rsidTr="00AB77AA">
        <w:tc>
          <w:tcPr>
            <w:tcW w:w="0" w:type="auto"/>
          </w:tcPr>
          <w:p w14:paraId="6885A762" w14:textId="77777777" w:rsidR="00C67A25" w:rsidRPr="0031350A" w:rsidRDefault="00FA59DD" w:rsidP="00C67A25">
            <w:pPr>
              <w:pStyle w:val="ListParagraph"/>
              <w:numPr>
                <w:ilvl w:val="1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color w:val="231F20"/>
                <w:sz w:val="22"/>
              </w:rPr>
              <w:t>U.S. Evidence at the Federal Level</w:t>
            </w:r>
          </w:p>
          <w:p w14:paraId="6669A2C4" w14:textId="2A0A4B35" w:rsidR="00846263" w:rsidRPr="0031350A" w:rsidRDefault="00AD7C93" w:rsidP="00C67A25">
            <w:pPr>
              <w:pStyle w:val="ListParagraph"/>
              <w:numPr>
                <w:ilvl w:val="1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color w:val="231F20"/>
                <w:sz w:val="22"/>
              </w:rPr>
              <w:t>E</w:t>
            </w:r>
            <w:r w:rsidR="00C67A25" w:rsidRPr="009F3CD0">
              <w:rPr>
                <w:rFonts w:ascii="Times New Roman" w:hAnsi="Times New Roman" w:cs="Times New Roman"/>
                <w:color w:val="231F20"/>
                <w:sz w:val="22"/>
              </w:rPr>
              <w:t xml:space="preserve">vidence </w:t>
            </w:r>
            <w:proofErr w:type="gramStart"/>
            <w:r w:rsidR="00C67A25" w:rsidRPr="009F3CD0">
              <w:rPr>
                <w:rFonts w:ascii="Times New Roman" w:hAnsi="Times New Roman" w:cs="Times New Roman"/>
                <w:color w:val="231F20"/>
                <w:sz w:val="22"/>
              </w:rPr>
              <w:t>From</w:t>
            </w:r>
            <w:proofErr w:type="gramEnd"/>
            <w:r w:rsidR="00C67A25" w:rsidRPr="009F3CD0">
              <w:rPr>
                <w:rFonts w:ascii="Times New Roman" w:hAnsi="Times New Roman" w:cs="Times New Roman"/>
                <w:color w:val="231F20"/>
                <w:sz w:val="22"/>
              </w:rPr>
              <w:t xml:space="preserve"> U.S. States</w:t>
            </w:r>
          </w:p>
          <w:p w14:paraId="0457F1DC" w14:textId="58A16347" w:rsidR="00C67A25" w:rsidRPr="0031350A" w:rsidRDefault="00C67A25" w:rsidP="00C67A25">
            <w:pPr>
              <w:pStyle w:val="ListParagraph"/>
              <w:numPr>
                <w:ilvl w:val="1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International Evidence</w:t>
            </w:r>
          </w:p>
        </w:tc>
        <w:tc>
          <w:tcPr>
            <w:tcW w:w="0" w:type="auto"/>
          </w:tcPr>
          <w:p w14:paraId="0413E610" w14:textId="77777777" w:rsidR="00846263" w:rsidRPr="0031350A" w:rsidRDefault="00C67A25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bCs/>
                <w:color w:val="231F20"/>
                <w:sz w:val="22"/>
              </w:rPr>
              <w:t>486</w:t>
            </w:r>
          </w:p>
          <w:p w14:paraId="0F81F54B" w14:textId="77777777" w:rsidR="00C67A25" w:rsidRPr="0031350A" w:rsidRDefault="00C67A25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bCs/>
                <w:color w:val="231F20"/>
                <w:sz w:val="22"/>
              </w:rPr>
              <w:t>486</w:t>
            </w:r>
          </w:p>
          <w:p w14:paraId="3CE6249E" w14:textId="029CB450" w:rsidR="00C67A25" w:rsidRPr="0031350A" w:rsidRDefault="00C67A25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bCs/>
                <w:color w:val="231F20"/>
                <w:sz w:val="22"/>
              </w:rPr>
              <w:t>488</w:t>
            </w:r>
          </w:p>
        </w:tc>
      </w:tr>
      <w:tr w:rsidR="00846263" w:rsidRPr="0031350A" w14:paraId="72DB4A8E" w14:textId="77777777" w:rsidTr="00AB77AA">
        <w:tc>
          <w:tcPr>
            <w:tcW w:w="0" w:type="auto"/>
          </w:tcPr>
          <w:p w14:paraId="77B6EFD2" w14:textId="5B03BA0B" w:rsidR="00846263" w:rsidRPr="0031350A" w:rsidRDefault="00AD7C93" w:rsidP="006409DE">
            <w:pPr>
              <w:pStyle w:val="ListParagraph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ind w:left="655" w:hanging="655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31350A">
              <w:rPr>
                <w:rFonts w:ascii="Times New Roman" w:hAnsi="Times New Roman" w:cs="Times New Roman"/>
                <w:bCs/>
                <w:color w:val="231F20"/>
                <w:sz w:val="22"/>
              </w:rPr>
              <w:t>Conclusion and Lessons for Reform</w:t>
            </w:r>
          </w:p>
        </w:tc>
        <w:tc>
          <w:tcPr>
            <w:tcW w:w="0" w:type="auto"/>
          </w:tcPr>
          <w:p w14:paraId="401B5010" w14:textId="10F28AD8" w:rsidR="00846263" w:rsidRPr="0031350A" w:rsidRDefault="00AD7C93" w:rsidP="009F3CD0">
            <w:pPr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left"/>
              <w:outlineLvl w:val="0"/>
              <w:rPr>
                <w:rFonts w:ascii="Times New Roman" w:hAnsi="Times New Roman" w:cs="Times New Roman"/>
                <w:bCs/>
                <w:color w:val="231F20"/>
                <w:sz w:val="22"/>
              </w:rPr>
            </w:pPr>
            <w:r w:rsidRPr="009F3CD0">
              <w:rPr>
                <w:rFonts w:ascii="Times New Roman" w:hAnsi="Times New Roman" w:cs="Times New Roman"/>
                <w:color w:val="231F20"/>
                <w:sz w:val="22"/>
              </w:rPr>
              <w:t>490</w:t>
            </w:r>
          </w:p>
        </w:tc>
      </w:tr>
    </w:tbl>
    <w:p w14:paraId="60B549C0" w14:textId="77777777" w:rsidR="00D77152" w:rsidRPr="003D2F71" w:rsidRDefault="00D77152" w:rsidP="00D77152">
      <w:pPr>
        <w:pStyle w:val="Heading1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I. Executive Summary</w:t>
      </w:r>
    </w:p>
    <w:p w14:paraId="20EEE0A6" w14:textId="2ED4BCF1" w:rsidR="005C4E52" w:rsidRPr="003D2F71" w:rsidRDefault="005C4E52" w:rsidP="005C4E5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With the highest top marginal corporate tax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 among OECD nations and the third highest in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world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at 35 percent, it is not surprising that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policymakers have long evinced a desire to lower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U.S. federal corporate income tax rate. Doing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so would have implications for a wide range of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outcomes — from federal revenue to foreign</w:t>
      </w:r>
      <w:r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direct investment — but the effects of such a</w:t>
      </w:r>
      <w:r w:rsidR="00AB77A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 on the labor market are less understood.</w:t>
      </w:r>
    </w:p>
    <w:p w14:paraId="51DF4E6A" w14:textId="77128287" w:rsidR="005C4E52" w:rsidRPr="003D2F71" w:rsidRDefault="005C4E52" w:rsidP="00F064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Despite high corporate income tax rates, the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United States collects relatively little revenue from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corporate income tax — slightly more than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$300 billion in 2016, which amounts to about 10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 of all federal receipts. High corporate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 rates are cause for concern, as they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deter multinationals from locating investment in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United States and reduce the amount of capital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formation in the country, which affects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and wages.</w:t>
      </w:r>
    </w:p>
    <w:p w14:paraId="302C1614" w14:textId="4733DD1B" w:rsidR="005C4E52" w:rsidRPr="003D2F71" w:rsidRDefault="005C4E52" w:rsidP="00F064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Economists establish the effect of the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 on employment and wages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by using a wide range of methods, including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international, national, and state-level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comparisons. The key to any </w:t>
      </w:r>
      <w:r w:rsidRPr="003D2F71">
        <w:rPr>
          <w:rFonts w:ascii="Times New Roman" w:hAnsi="Times New Roman" w:cs="Times New Roman"/>
          <w:sz w:val="22"/>
        </w:rPr>
        <w:lastRenderedPageBreak/>
        <w:t>empirical work is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attempting to disentangle the effects of the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 from other factors that may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 correlated with both the corporate tax and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labor outcomes. We find estimates that use a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treatment and comparison set up within the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framework of the vast array of state-level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changes to be the most effective way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to establish a clear link between corporate taxes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labor outcomes. Other work that relies on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only federal changes is complicated by the many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national factors that also change with time.</w:t>
      </w:r>
    </w:p>
    <w:p w14:paraId="174A0F05" w14:textId="0B9EBC00" w:rsidR="005C4E52" w:rsidRDefault="005C4E52" w:rsidP="00F064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In general, empirical work with the strongest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results, that controls for factors of influence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outside corporate income taxes, generally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suggests an elasticity of employment regarding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corporate income tax rate of between -0.2 and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-0.4, with a wage-income elasticity near -0.5. In the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context of recent tax reform discussions that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propose a rate reduction of 10 to 20 percentage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points, that would imply long-run employment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gains between 6 and 22 percent and wage</w:t>
      </w:r>
      <w:r w:rsidR="00F0648F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3D2F71">
        <w:rPr>
          <w:rFonts w:ascii="Times New Roman" w:hAnsi="Times New Roman" w:cs="Times New Roman"/>
          <w:sz w:val="22"/>
        </w:rPr>
        <w:t>increases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between 15 and 28 percent.</w:t>
      </w:r>
    </w:p>
    <w:p w14:paraId="639F0F82" w14:textId="77777777" w:rsidR="00F0648F" w:rsidRPr="003D2F71" w:rsidRDefault="00F0648F" w:rsidP="00F064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0F2EE1A6" w14:textId="77777777" w:rsidR="005C4E52" w:rsidRPr="003D2F71" w:rsidRDefault="005C4E52" w:rsidP="00F0648F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 483</w:t>
      </w:r>
    </w:p>
    <w:p w14:paraId="7166E3C0" w14:textId="5B3912E7" w:rsidR="005C4E52" w:rsidRPr="003D2F71" w:rsidRDefault="005C4E52" w:rsidP="00F064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In terms of applicability to potential federal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to the corporate income tax, there are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some caveats to consider. First, all empirical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estimates are necessarily from a different time and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place, compared with when and where a new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 will be implemented. Second, the United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States has a different baseline than other countries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that change corporate tax policy. Third, it is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unclear how other countries, U.S. state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government policy, and our own Federal Reserve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might react to federal corporate tax policy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changes. Finally, the state-level estimates we cite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are all in the context of existing federal policy, and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these differences pale in comparison with many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international business climate differences.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Although there is some uncertainty about how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well existing empirical estimates would translate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to any federal corporate income tax reduction, we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find the notion that corporate tax reform would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boost employment and wages to be a strong</w:t>
      </w:r>
      <w:r w:rsidR="00F0648F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result.</w:t>
      </w:r>
    </w:p>
    <w:p w14:paraId="133C28BA" w14:textId="77777777" w:rsidR="005C4E52" w:rsidRPr="003D2F71" w:rsidRDefault="005C4E52" w:rsidP="00ED5DF2">
      <w:pPr>
        <w:pStyle w:val="Heading1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II. Introduction</w:t>
      </w:r>
    </w:p>
    <w:p w14:paraId="22C314D8" w14:textId="674ADF2E" w:rsidR="005C4E52" w:rsidRPr="003D2F71" w:rsidRDefault="005C4E52" w:rsidP="007317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United States has the highest top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marginal corporate income tax rate among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OECD members at 35 percent (38.9 percent when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combined with subnational taxes).</w:t>
      </w:r>
      <w:r w:rsidRPr="006B70CA">
        <w:rPr>
          <w:rFonts w:ascii="Times New Roman" w:hAnsi="Times New Roman" w:cs="Times New Roman"/>
          <w:sz w:val="22"/>
          <w:vertAlign w:val="superscript"/>
        </w:rPr>
        <w:t>1</w:t>
      </w:r>
      <w:r w:rsidRPr="003D2F71">
        <w:rPr>
          <w:rFonts w:ascii="Times New Roman" w:hAnsi="Times New Roman" w:cs="Times New Roman"/>
          <w:sz w:val="22"/>
        </w:rPr>
        <w:t xml:space="preserve"> The U.S.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 is the highest among the OECD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group and the third highest rate in the world,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surpassed only by Puerto Rico and the United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Arab Emirates.</w:t>
      </w:r>
      <w:r w:rsidRPr="006B70CA">
        <w:rPr>
          <w:rFonts w:ascii="Times New Roman" w:hAnsi="Times New Roman" w:cs="Times New Roman"/>
          <w:sz w:val="22"/>
          <w:vertAlign w:val="superscript"/>
        </w:rPr>
        <w:t>2</w:t>
      </w:r>
      <w:r w:rsidRPr="003D2F71">
        <w:rPr>
          <w:rFonts w:ascii="Times New Roman" w:hAnsi="Times New Roman" w:cs="Times New Roman"/>
          <w:sz w:val="22"/>
        </w:rPr>
        <w:t xml:space="preserve"> Meanwhile, corporate income tax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rates have been declining around the world for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last two decades; the average corporate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 rate in the OECD has fallen from 30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 in 2003 to 22.5 percent in 2016.</w:t>
      </w:r>
      <w:r w:rsidRPr="006B70CA">
        <w:rPr>
          <w:rFonts w:ascii="Times New Roman" w:hAnsi="Times New Roman" w:cs="Times New Roman"/>
          <w:sz w:val="22"/>
          <w:vertAlign w:val="superscript"/>
        </w:rPr>
        <w:t>3</w:t>
      </w:r>
    </w:p>
    <w:p w14:paraId="6CC397F3" w14:textId="2267DDD5" w:rsidR="005C4E52" w:rsidRPr="003D2F71" w:rsidRDefault="005C4E52" w:rsidP="007317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Despite high corporate income tax rates,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United States collects relatively little revenue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from the corporate income tax — slightly more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than $300 billion in 2016, which amounts to about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10 percent of all federal receipts.</w:t>
      </w:r>
      <w:r w:rsidRPr="006B70CA">
        <w:rPr>
          <w:rFonts w:ascii="Times New Roman" w:hAnsi="Times New Roman" w:cs="Times New Roman"/>
          <w:sz w:val="22"/>
          <w:vertAlign w:val="superscript"/>
        </w:rPr>
        <w:t>4</w:t>
      </w:r>
      <w:r w:rsidRPr="003D2F71">
        <w:rPr>
          <w:rFonts w:ascii="Times New Roman" w:hAnsi="Times New Roman" w:cs="Times New Roman"/>
          <w:sz w:val="22"/>
        </w:rPr>
        <w:t xml:space="preserve"> High corporate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 rates are cause for concern; high rates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deter multinationals from locating investment in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United States and, more generally, reduce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amount of capital formation in the country.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Lowering corporate tax rates is cited as a top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 priority by multinational corporations over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changing other aspects of the tax code.</w:t>
      </w:r>
      <w:r w:rsidRPr="006B70CA">
        <w:rPr>
          <w:rFonts w:ascii="Times New Roman" w:hAnsi="Times New Roman" w:cs="Times New Roman"/>
          <w:sz w:val="22"/>
          <w:vertAlign w:val="superscript"/>
        </w:rPr>
        <w:t>5</w:t>
      </w:r>
    </w:p>
    <w:p w14:paraId="47526E26" w14:textId="163FD074" w:rsidR="005C4E52" w:rsidRPr="003D2F71" w:rsidRDefault="005C4E52" w:rsidP="007317A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More generally, the contrast between the high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rates and low income illustrates a basic problem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with taxing corporation income: It is an incredibly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distorting tax. Companies go to great lengths to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reduce or eliminate tax liability, and despite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best intentions of Congress or the White House, it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can be difficult or impossible — from both a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political and a practical perspective — to reduce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or eliminate such behavior.</w:t>
      </w:r>
    </w:p>
    <w:p w14:paraId="15B016F9" w14:textId="5839319B" w:rsidR="005C4E52" w:rsidRPr="003D2F71" w:rsidRDefault="005C4E52" w:rsidP="00A03A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However, the tax treatment of corporations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may also have implications that extend beyond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boardroom to affect the U.S. labor force. There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is a growing empirical literature on the effect of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taxes on employment and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income. Empirical estimates, rather than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theoretical models that abstract from many of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realities of the U.S. and world economy, offer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best hope of understanding how changes to the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current federal corporation income tax may affect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workers. Empirical estimates in the existing</w:t>
      </w:r>
      <w:r w:rsidR="007317A2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literature come with a unique set of challenges —including methodological issues, data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applicability, and the geographic area analyzed —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that do not make them perfectly applicable to</w:t>
      </w:r>
    </w:p>
    <w:p w14:paraId="5952EABF" w14:textId="2D2C8953" w:rsidR="005C4E52" w:rsidRPr="003D2F71" w:rsidRDefault="005C4E52" w:rsidP="005C4E5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recent tax reform discussions without some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caveats.</w:t>
      </w:r>
    </w:p>
    <w:p w14:paraId="5748854A" w14:textId="55418C01" w:rsidR="005C4E52" w:rsidRDefault="005C4E52" w:rsidP="00A03A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lastRenderedPageBreak/>
        <w:t>In general, empirical work with the strongest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results — that best control for other factors of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influence — estimates an elasticity of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regarding the corporate income tax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 of between -0.2 and -0.4, with a wage-income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elasticity near -0.5. In terms of prediction, </w:t>
      </w:r>
      <w:proofErr w:type="gramStart"/>
      <w:r w:rsidRPr="003D2F71">
        <w:rPr>
          <w:rFonts w:ascii="Times New Roman" w:hAnsi="Times New Roman" w:cs="Times New Roman"/>
          <w:sz w:val="22"/>
        </w:rPr>
        <w:t>These</w:t>
      </w:r>
      <w:proofErr w:type="gramEnd"/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elasticities imply that a 10 percent decrease in the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 would lead to a 2 percent to 4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 increase in employment and a 5 percent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gain in wages.</w:t>
      </w:r>
    </w:p>
    <w:p w14:paraId="4EA4DB3A" w14:textId="77777777" w:rsidR="00A03AB6" w:rsidRPr="003D2F71" w:rsidRDefault="00A03AB6" w:rsidP="00A03A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142E57AE" w14:textId="77777777" w:rsidR="005C4E52" w:rsidRPr="003D2F71" w:rsidRDefault="005C4E52" w:rsidP="00A03AB6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sz w:val="22"/>
        </w:rPr>
        <w:t xml:space="preserve">484 </w:t>
      </w: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</w:t>
      </w:r>
    </w:p>
    <w:p w14:paraId="50E661FC" w14:textId="77777777" w:rsidR="00622041" w:rsidRPr="003D2F71" w:rsidRDefault="00622041" w:rsidP="00ED5DF2">
      <w:pPr>
        <w:pStyle w:val="Heading1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III. Conceptual Framework</w:t>
      </w:r>
    </w:p>
    <w:p w14:paraId="2E9BB984" w14:textId="4B420647" w:rsidR="00622041" w:rsidRPr="003D2F71" w:rsidRDefault="00622041" w:rsidP="00A03A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economic effects of the corporate income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are wide-ranging. Because the corporate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 is essentially a tax on profits, it affects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all decisions regarding how corporations earn a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profit. While this report considers how it affects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and wages, the corporate income tax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also affects where companies locate, the amount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capital investment, where to locate that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investment, and various other decisions.</w:t>
      </w:r>
    </w:p>
    <w:p w14:paraId="2728D00D" w14:textId="77777777" w:rsidR="00622041" w:rsidRPr="003D2F71" w:rsidRDefault="00622041" w:rsidP="00D77152">
      <w:pPr>
        <w:pStyle w:val="Heading2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A. Incidence of the Corporate Income Tax</w:t>
      </w:r>
    </w:p>
    <w:p w14:paraId="774ADB02" w14:textId="560508C7" w:rsidR="00622041" w:rsidRPr="003D2F71" w:rsidRDefault="00622041" w:rsidP="00A03A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There is a long literature that examines the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incidence of corporate taxes, with implications for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(and wages). “Incidence” refers to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which entity bears the burden of the tax after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considering the cumulative effects the tax may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have on various prices and corporate behavior.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entity that writes the check does not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necessarily pay the tax, economics has long taught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us.</w:t>
      </w:r>
    </w:p>
    <w:p w14:paraId="2175A71E" w14:textId="0A8C0FA7" w:rsidR="00622041" w:rsidRPr="003D2F71" w:rsidRDefault="00622041" w:rsidP="00A03A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For example, when corporate taxes increase,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we would say that workers effectively pay the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incremental tax if we observed that wages and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decline as a result. Alan J. Auerbach</w:t>
      </w:r>
      <w:r w:rsidRPr="006B70CA">
        <w:rPr>
          <w:rFonts w:ascii="Times New Roman" w:hAnsi="Times New Roman" w:cs="Times New Roman"/>
          <w:sz w:val="22"/>
          <w:vertAlign w:val="superscript"/>
        </w:rPr>
        <w:t>6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offers an extensive review of corporate tax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incidence, focusing on how theoretical models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explain the incidence of the corporate tax and how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different variations of these models can imply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something different about who ultimately pays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for the corporate tax. Auerbach points out that if a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 causes the capital-labor ratio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to decline, it would result in falling wages and</w:t>
      </w:r>
      <w:r w:rsidR="00A03AB6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workers bearing the burden of the tax.</w:t>
      </w:r>
    </w:p>
    <w:p w14:paraId="3BBB76CD" w14:textId="5CA85967" w:rsidR="00622041" w:rsidRPr="003D2F71" w:rsidRDefault="00622041" w:rsidP="00EA39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Mihir A. Desai, C. Fritz Foley, and James R.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Hines</w:t>
      </w:r>
      <w:r w:rsidRPr="006B70CA">
        <w:rPr>
          <w:rFonts w:ascii="Times New Roman" w:hAnsi="Times New Roman" w:cs="Times New Roman"/>
          <w:sz w:val="22"/>
          <w:vertAlign w:val="superscript"/>
        </w:rPr>
        <w:t>7</w:t>
      </w:r>
      <w:r w:rsidRPr="003D2F71">
        <w:rPr>
          <w:rFonts w:ascii="Times New Roman" w:hAnsi="Times New Roman" w:cs="Times New Roman"/>
          <w:sz w:val="22"/>
        </w:rPr>
        <w:t xml:space="preserve"> offer a lucid explanation of how corporate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taxes may in theory adversely affect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workers in both a closed and open economy. In a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closed economy model, which probably doesn’t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represent the United States well, Desai, Foley, and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Hines point out that taxes on corporate income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raise the cost of production done by corporations.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However, not all production is done through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corporations — the high corporate tax rates have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begotten </w:t>
      </w:r>
      <w:proofErr w:type="gramStart"/>
      <w:r w:rsidRPr="003D2F71">
        <w:rPr>
          <w:rFonts w:ascii="Times New Roman" w:hAnsi="Times New Roman" w:cs="Times New Roman"/>
          <w:sz w:val="22"/>
        </w:rPr>
        <w:t>a large number of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partnerships, sole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proprietorships, S corporations, and other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passthrough entities — so the corporate tax may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induce production to shift to the noncorporate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sector. If the ratio of capital to labor is higher in the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noncorporate sector, resources flowing into the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noncorporate sector will raise the demand for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capital in turn, which could conceivably raise the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after-tax return on capital enough to induce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substitution away from labor and toward capital.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result would be that workers bear the burden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the corporate income tax.</w:t>
      </w:r>
      <w:r w:rsidRPr="006B70CA">
        <w:rPr>
          <w:rFonts w:ascii="Times New Roman" w:hAnsi="Times New Roman" w:cs="Times New Roman"/>
          <w:sz w:val="22"/>
          <w:vertAlign w:val="superscript"/>
        </w:rPr>
        <w:t>8</w:t>
      </w:r>
    </w:p>
    <w:p w14:paraId="590861F7" w14:textId="5E55E18B" w:rsidR="00622041" w:rsidRPr="003D2F71" w:rsidRDefault="00622041" w:rsidP="00EA39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Desai aver that in an open economy, which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may be a better representation of the United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States, corporate taxes may be even more likely to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 paid for by workers. Their intuition is that if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capital is mobile across international borders,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then the after-tax return to capital must be the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same across the economies of the world in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equilibrium (presuming that capital flows to the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highest after-tax return destination). If this is true,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taxes discourage investment in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 country. Also, because the after-tax return to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capital must equalize across countries, inputs that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are immobile (or less mobile) will bear the burden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the corporate income tax. Labor, or other less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mobile factors of production, would therefore pay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for the corporate income tax via lower wages.</w:t>
      </w:r>
    </w:p>
    <w:p w14:paraId="31A315A0" w14:textId="77777777" w:rsidR="00622041" w:rsidRPr="003D2F71" w:rsidRDefault="00622041" w:rsidP="00C14688">
      <w:pPr>
        <w:pStyle w:val="Heading1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IV. Empirical Evidence</w:t>
      </w:r>
    </w:p>
    <w:p w14:paraId="00F1D949" w14:textId="0F6E212B" w:rsidR="00622041" w:rsidRDefault="00622041" w:rsidP="00EA39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intuition in Desai, Foley, and Hines,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comes from a long line of theoretical work on the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tax. Economists have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traditionally used dynamic, general equilibrium,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theoretical </w:t>
      </w:r>
      <w:r w:rsidRPr="003D2F71">
        <w:rPr>
          <w:rFonts w:ascii="Times New Roman" w:hAnsi="Times New Roman" w:cs="Times New Roman"/>
          <w:sz w:val="22"/>
        </w:rPr>
        <w:lastRenderedPageBreak/>
        <w:t>models of the U.S. economy to study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how corporate taxes affect employment and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wages. The problem with these models is that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they may miss important aspects of the real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economy that are relevant to the relationship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between corporate taxes and outcomes for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workers. More recently, the availability of data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advances in econometric techniques have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allowed for an empirical investigation into how</w:t>
      </w:r>
    </w:p>
    <w:p w14:paraId="0EFB2F70" w14:textId="77777777" w:rsidR="00EA39C8" w:rsidRPr="003D2F71" w:rsidRDefault="00EA39C8" w:rsidP="00EA39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59297266" w14:textId="77777777" w:rsidR="00622041" w:rsidRPr="003D2F71" w:rsidRDefault="00622041" w:rsidP="00EA39C8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 485</w:t>
      </w:r>
    </w:p>
    <w:p w14:paraId="4309F0AE" w14:textId="589E1670" w:rsidR="00DD25E0" w:rsidRPr="003D2F71" w:rsidRDefault="00DD25E0" w:rsidP="00DD25E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corporate taxes affect economic activity. We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examine that literature to gain an understanding</w:t>
      </w:r>
      <w:r w:rsidR="00EA39C8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how the corporate income tax affects labor —not in theory, but in practice.</w:t>
      </w:r>
    </w:p>
    <w:p w14:paraId="6F632C55" w14:textId="77777777" w:rsidR="00DD25E0" w:rsidRPr="003D2F71" w:rsidRDefault="00DD25E0" w:rsidP="005B6F1D">
      <w:pPr>
        <w:pStyle w:val="Heading2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A. U.S. Evidence at the Federal Level</w:t>
      </w:r>
    </w:p>
    <w:p w14:paraId="6B7692E7" w14:textId="5C0961A8" w:rsidR="00DD25E0" w:rsidRPr="003D2F71" w:rsidRDefault="00DD25E0" w:rsidP="005664D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Karel Mertens and Morten O. Ravn</w:t>
      </w:r>
      <w:r w:rsidRPr="006B70CA">
        <w:rPr>
          <w:rFonts w:ascii="Times New Roman" w:hAnsi="Times New Roman" w:cs="Times New Roman"/>
          <w:sz w:val="22"/>
          <w:vertAlign w:val="superscript"/>
        </w:rPr>
        <w:t>9</w:t>
      </w:r>
      <w:r w:rsidRPr="003D2F71">
        <w:rPr>
          <w:rFonts w:ascii="Times New Roman" w:hAnsi="Times New Roman" w:cs="Times New Roman"/>
          <w:sz w:val="22"/>
        </w:rPr>
        <w:t xml:space="preserve"> provide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only recent direct evidence on the effects of the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federal corporate income tax rate on employment.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Following Christina Romer and David Romer,</w:t>
      </w:r>
      <w:r w:rsidRPr="006B70CA">
        <w:rPr>
          <w:rFonts w:ascii="Times New Roman" w:hAnsi="Times New Roman" w:cs="Times New Roman"/>
          <w:sz w:val="22"/>
          <w:vertAlign w:val="superscript"/>
        </w:rPr>
        <w:t>10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rely on the “narrative” method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estimation, which attempts to sort out tax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that were in effect a “surprise” to the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economy. Their goal is to separate the effect of the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change from other factors that occur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simultaneously in the economy — most notably a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response to deficit concerns.</w:t>
      </w:r>
    </w:p>
    <w:p w14:paraId="0F491851" w14:textId="0BCDE333" w:rsidR="00DD25E0" w:rsidRPr="003D2F71" w:rsidRDefault="00DD25E0" w:rsidP="005664D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rely on a sample of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quarterly data on the U.S. economy from 1950 to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2006 and directly examine corporate tax </w:t>
      </w:r>
      <w:r w:rsidRPr="003D2F71">
        <w:rPr>
          <w:rFonts w:ascii="Times New Roman" w:hAnsi="Times New Roman" w:cs="Times New Roman"/>
          <w:i/>
          <w:iCs/>
          <w:sz w:val="22"/>
        </w:rPr>
        <w:t>liability</w:t>
      </w:r>
      <w:r w:rsidR="005664DA">
        <w:rPr>
          <w:rFonts w:ascii="Times New Roman" w:hAnsi="Times New Roman" w:cs="Times New Roman"/>
          <w:i/>
          <w:iCs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rather than a policy measure like corporate tax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rates. They find that a 1 percentage point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reduction in the average corporate income tax rate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increases real GDP per capita immediately by 0.4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 and by another 0.6 percent with a one</w:t>
      </w:r>
      <w:r w:rsidR="005664DA">
        <w:rPr>
          <w:rFonts w:ascii="Times New Roman" w:hAnsi="Times New Roman" w:cs="Times New Roman"/>
          <w:sz w:val="22"/>
        </w:rPr>
        <w:t>-</w:t>
      </w:r>
      <w:r w:rsidRPr="003D2F71">
        <w:rPr>
          <w:rFonts w:ascii="Times New Roman" w:hAnsi="Times New Roman" w:cs="Times New Roman"/>
          <w:sz w:val="22"/>
        </w:rPr>
        <w:t>year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lag. They also find that cutting the average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 does not affect tax revenue and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does not affect employment in the aggregate.</w:t>
      </w:r>
    </w:p>
    <w:p w14:paraId="5260B692" w14:textId="0B3F50B3" w:rsidR="00DD25E0" w:rsidRPr="003D2F71" w:rsidRDefault="00DD25E0" w:rsidP="005664D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While the 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work is novel in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its approach and unique in examining U.S. federal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 only, it has several shortcomings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that call into question their failure to discern any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effects of a change in the corporate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rate.</w:t>
      </w:r>
    </w:p>
    <w:p w14:paraId="27173B9F" w14:textId="7D56F669" w:rsidR="00DD25E0" w:rsidRPr="003D2F71" w:rsidRDefault="00DD25E0" w:rsidP="005664D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First, the analysis uses the average corporate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rate as a measure of corporate income tax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policy, calculated as tax liability divided by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profits. The problem with this approach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is that anything that affects corporate profits or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general tax liability that might also affect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might bias the study’s results. For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example, if the economy is moving into recession,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profits typically shrink. This would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artificially inflate the 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measure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average corporate tax rate at a time when firms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are likely shedding employees — causing</w:t>
      </w:r>
      <w:r w:rsidR="005664D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estimates of tax policy to be biased against finding</w:t>
      </w:r>
    </w:p>
    <w:p w14:paraId="4157146F" w14:textId="77777777" w:rsidR="00DD25E0" w:rsidRPr="003D2F71" w:rsidRDefault="00DD25E0" w:rsidP="00DD25E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an employment </w:t>
      </w:r>
      <w:proofErr w:type="gramStart"/>
      <w:r w:rsidRPr="003D2F71">
        <w:rPr>
          <w:rFonts w:ascii="Times New Roman" w:hAnsi="Times New Roman" w:cs="Times New Roman"/>
          <w:sz w:val="22"/>
        </w:rPr>
        <w:t>effect</w:t>
      </w:r>
      <w:proofErr w:type="gramEnd"/>
      <w:r w:rsidRPr="003D2F71">
        <w:rPr>
          <w:rFonts w:ascii="Times New Roman" w:hAnsi="Times New Roman" w:cs="Times New Roman"/>
          <w:sz w:val="22"/>
        </w:rPr>
        <w:t>.</w:t>
      </w:r>
    </w:p>
    <w:p w14:paraId="3929160F" w14:textId="165638C9" w:rsidR="00DD25E0" w:rsidRPr="003D2F71" w:rsidRDefault="00DD25E0" w:rsidP="00AF652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Second, it relies on a small set of corporate tax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— 16 in total over 56 years of data. In fact,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Alexander </w:t>
      </w:r>
      <w:proofErr w:type="spellStart"/>
      <w:r w:rsidRPr="003D2F71">
        <w:rPr>
          <w:rFonts w:ascii="Times New Roman" w:hAnsi="Times New Roman" w:cs="Times New Roman"/>
          <w:sz w:val="22"/>
        </w:rPr>
        <w:t>Ljungqvist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Michael Smolyansky</w:t>
      </w:r>
      <w:r w:rsidRPr="006B70CA">
        <w:rPr>
          <w:rFonts w:ascii="Times New Roman" w:hAnsi="Times New Roman" w:cs="Times New Roman"/>
          <w:sz w:val="22"/>
          <w:vertAlign w:val="superscript"/>
        </w:rPr>
        <w:t>11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point out that there have been only three rate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to the top federal corporate tax rate since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1969 (as opposed to 271 state-level changes): a </w:t>
      </w:r>
      <w:proofErr w:type="gramStart"/>
      <w:r w:rsidRPr="003D2F71">
        <w:rPr>
          <w:rFonts w:ascii="Times New Roman" w:hAnsi="Times New Roman" w:cs="Times New Roman"/>
          <w:sz w:val="22"/>
        </w:rPr>
        <w:t>2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percentage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point decline in 1979, a 12-point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reduction in 1986, and a 1 percentage point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 in 1993. It is not clear to us how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representative the changes identified by Mertens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are, beyond the three explicit rate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reductions in the current economic climate.</w:t>
      </w:r>
    </w:p>
    <w:p w14:paraId="5CE1DBBB" w14:textId="18006FA4" w:rsidR="00DD25E0" w:rsidRPr="003D2F71" w:rsidRDefault="00DD25E0" w:rsidP="00AF652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Finally, 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rely on time-series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variation and simply cannot rule out the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possibility that other factors in the economy,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changing at or around the same time as their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narrative shocks, are driving their results.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are not able to construct a valid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counterfactual benchmark for how the U.S.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situation would have evolved in the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absence of corporate income tax changes.</w:t>
      </w:r>
    </w:p>
    <w:p w14:paraId="5FB77118" w14:textId="77777777" w:rsidR="00DD25E0" w:rsidRPr="003D2F71" w:rsidRDefault="00DD25E0" w:rsidP="005B6F1D">
      <w:pPr>
        <w:pStyle w:val="Heading2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 xml:space="preserve">B. Evidence </w:t>
      </w:r>
      <w:proofErr w:type="gramStart"/>
      <w:r w:rsidRPr="003D2F71">
        <w:rPr>
          <w:rFonts w:ascii="Times New Roman" w:hAnsi="Times New Roman" w:cs="Times New Roman"/>
        </w:rPr>
        <w:t>From</w:t>
      </w:r>
      <w:proofErr w:type="gramEnd"/>
      <w:r w:rsidRPr="003D2F71">
        <w:rPr>
          <w:rFonts w:ascii="Times New Roman" w:hAnsi="Times New Roman" w:cs="Times New Roman"/>
        </w:rPr>
        <w:t xml:space="preserve"> U.S. States</w:t>
      </w:r>
    </w:p>
    <w:p w14:paraId="047D0490" w14:textId="60D4AD7D" w:rsidR="00DD25E0" w:rsidRPr="003D2F71" w:rsidRDefault="00DD25E0" w:rsidP="00AF652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promise of using state-level changes in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corporation tax rate is that it provides a much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larger and stronger data set that makes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controlling for economic fluctuations and similar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exogenous forces easier to accomplish.</w:t>
      </w:r>
    </w:p>
    <w:p w14:paraId="6959B90B" w14:textId="43B54208" w:rsidR="00622041" w:rsidRPr="003D2F71" w:rsidRDefault="00DD25E0" w:rsidP="008C47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J. William Harden and William H. Hoyt</w:t>
      </w:r>
      <w:r w:rsidRPr="006B70CA">
        <w:rPr>
          <w:rFonts w:ascii="Times New Roman" w:hAnsi="Times New Roman" w:cs="Times New Roman"/>
          <w:sz w:val="22"/>
          <w:vertAlign w:val="superscript"/>
        </w:rPr>
        <w:t>12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provide an important review of the older economic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literature that generally examines how state taxes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(including business incentives and the corporate</w:t>
      </w:r>
      <w:r w:rsidR="00AF6527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tax) affect employment as well as an analysis of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how corporate taxes affect employment. Using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annual U.S. state-level data between 1977 and 1994,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Harden and Hoyt control for fixed state and year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differences in the data and by doing so identify the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 of corporate taxes on employment using</w:t>
      </w:r>
    </w:p>
    <w:p w14:paraId="321CD5E1" w14:textId="77777777" w:rsidR="00DD25E0" w:rsidRPr="003D2F71" w:rsidRDefault="00DD25E0" w:rsidP="008C47B1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sz w:val="22"/>
        </w:rPr>
        <w:lastRenderedPageBreak/>
        <w:t xml:space="preserve">486 </w:t>
      </w: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</w:t>
      </w:r>
    </w:p>
    <w:p w14:paraId="10F5B161" w14:textId="39D37D99" w:rsidR="00DD25E0" w:rsidRPr="003D2F71" w:rsidRDefault="00DD25E0" w:rsidP="00DD25E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state-level corporate tax changes. Harden and Hoyt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take an all-encompassing view of the corporate tax,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measuring the size of the corporate tax burden as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revenue divided by personal income</w:t>
      </w:r>
      <w:r w:rsidR="008C47B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a state. Importantly, because corporations may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take time in adjusting to corporate tax policy,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Harden and Hoyt examine the effects on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through a lagged relationship.</w:t>
      </w:r>
    </w:p>
    <w:p w14:paraId="1E13589E" w14:textId="700F75C3" w:rsidR="00DD25E0" w:rsidRPr="003D2F71" w:rsidRDefault="00DD25E0" w:rsidP="00171EA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Harden and Hoyt find a negative and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statistically significant relationship between the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burden in a state and employment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growth. Holding total revenue constant, Harden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Hoyt estimate that shifting 10 percent of the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burden in a state from the corporate tax to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another revenue source would increase the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growth rate by 2.83 percent.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Notably, the gains Harden and Hoyt report are for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individual income taxes replacing corporate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taxes; employment gains would likely be larger if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revenue were replaced with a more efficient tax,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such as a VAT, a carbon tax, or some other tax on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consumption.</w:t>
      </w:r>
    </w:p>
    <w:p w14:paraId="0280FA3F" w14:textId="3E2B52AC" w:rsidR="00DD25E0" w:rsidRPr="003D2F71" w:rsidRDefault="00DD25E0" w:rsidP="00171EA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Alison R. Felix</w:t>
      </w:r>
      <w:r w:rsidRPr="006B70CA">
        <w:rPr>
          <w:rFonts w:ascii="Times New Roman" w:hAnsi="Times New Roman" w:cs="Times New Roman"/>
          <w:sz w:val="22"/>
          <w:vertAlign w:val="superscript"/>
        </w:rPr>
        <w:t>13</w:t>
      </w:r>
      <w:r w:rsidRPr="003D2F71">
        <w:rPr>
          <w:rFonts w:ascii="Times New Roman" w:hAnsi="Times New Roman" w:cs="Times New Roman"/>
          <w:sz w:val="22"/>
        </w:rPr>
        <w:t xml:space="preserve"> extends the previous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literature by examining the effect of U.S. state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 on worker wages using a more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recent data set spanning the period between 1977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2005. Felix estimates the relationship between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 and wages using a simple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regression framework. She controls for the many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other factors besides taxes that might affect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worker wages, including individual factors (such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as age, education, and occupation) as well as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other, state-level factors (including income taxes,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sales taxes, and government services). She uses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top marginal corporate tax rate in a state to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measure the corporate tax burden and estimate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relationship between corporate taxes and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wages.</w:t>
      </w:r>
    </w:p>
    <w:p w14:paraId="0927A6F5" w14:textId="186E7867" w:rsidR="00DD25E0" w:rsidRPr="003D2F71" w:rsidRDefault="00DD25E0" w:rsidP="002F4AB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i/>
          <w:iCs/>
          <w:sz w:val="22"/>
        </w:rPr>
      </w:pPr>
      <w:r w:rsidRPr="003D2F71">
        <w:rPr>
          <w:rFonts w:ascii="Times New Roman" w:hAnsi="Times New Roman" w:cs="Times New Roman"/>
          <w:sz w:val="22"/>
        </w:rPr>
        <w:t>The Felix model indicates a negative and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statistically significant relationship between the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top marginal corporate tax rate and worker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wages, with a magnitude that suggests that a 1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percentage point increase in the top corporate tax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 will reduce employment by between 0.14 and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0.36 percent. A 15 percent corporate rate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reduction, then, translates to employment gains</w:t>
      </w:r>
      <w:r w:rsidR="00171EA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between 2 percent and 5 percent</w:t>
      </w:r>
      <w:r w:rsidRPr="003D2F71">
        <w:rPr>
          <w:rFonts w:ascii="Times New Roman" w:hAnsi="Times New Roman" w:cs="Times New Roman"/>
          <w:i/>
          <w:iCs/>
          <w:sz w:val="22"/>
        </w:rPr>
        <w:t>—the</w:t>
      </w:r>
      <w:r w:rsidR="002F4ABE">
        <w:rPr>
          <w:rFonts w:ascii="Times New Roman" w:hAnsi="Times New Roman" w:cs="Times New Roman"/>
          <w:i/>
          <w:iCs/>
          <w:sz w:val="22"/>
        </w:rPr>
        <w:t xml:space="preserve"> </w:t>
      </w:r>
      <w:r w:rsidRPr="003D2F71">
        <w:rPr>
          <w:rFonts w:ascii="Times New Roman" w:hAnsi="Times New Roman" w:cs="Times New Roman"/>
          <w:i/>
          <w:iCs/>
          <w:sz w:val="22"/>
        </w:rPr>
        <w:t>equivalent of 2.8 million to 7 million new workers.</w:t>
      </w:r>
    </w:p>
    <w:p w14:paraId="437FD379" w14:textId="0DF38053" w:rsidR="00DD25E0" w:rsidRPr="003D2F71" w:rsidRDefault="00DD25E0" w:rsidP="00C769F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Felix also shows that while the effect of the top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marginal corporate tax rate is negative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throughout the sample period, the relationship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between the corporate tax rate and employment is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stronger in the later part of the sample rather than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the earlier part. In fact, between 1997 and 2001,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 1 percentage point increase in the top corporate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rate reduces employment by nearly 0.7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percent, which is more than double the effect in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earlier years of the sample. The changing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relationship between the corporate tax and wages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could result from increased competition among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U.S. states or by foreign nations for mobile capital,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she hypothesizes.</w:t>
      </w:r>
    </w:p>
    <w:p w14:paraId="7324AC92" w14:textId="42F519E1" w:rsidR="00DD25E0" w:rsidRPr="003D2F71" w:rsidRDefault="00DD25E0" w:rsidP="00C769F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proofErr w:type="spellStart"/>
      <w:r w:rsidRPr="003D2F71">
        <w:rPr>
          <w:rFonts w:ascii="Times New Roman" w:hAnsi="Times New Roman" w:cs="Times New Roman"/>
          <w:sz w:val="22"/>
        </w:rPr>
        <w:t>Xiaobing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Shuai and Christine Chmura</w:t>
      </w:r>
      <w:r w:rsidRPr="00717B40">
        <w:rPr>
          <w:rFonts w:ascii="Times New Roman" w:hAnsi="Times New Roman" w:cs="Times New Roman"/>
          <w:sz w:val="22"/>
          <w:vertAlign w:val="superscript"/>
        </w:rPr>
        <w:t>14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further extend previous analyses of U.S. state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policy by using updated data on job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creation and state corporate tax policy changes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between 1990 and 2012. During the sample period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used by Shuai and Chmura, 30 states made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 changes, which offers a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“laboratory” to discover how differences in the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 affect job creation.</w:t>
      </w:r>
    </w:p>
    <w:p w14:paraId="7937B9A8" w14:textId="731FB26F" w:rsidR="00DD25E0" w:rsidRPr="003D2F71" w:rsidRDefault="00DD25E0" w:rsidP="00C769F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Shuai and Chmura model controls for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general time effects using a fixed-effects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estimation strategy, which offers control over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many other factors that could bias their study, but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their preferred model does not incorporate state</w:t>
      </w:r>
      <w:r w:rsidR="00C769FD">
        <w:rPr>
          <w:rFonts w:ascii="Times New Roman" w:hAnsi="Times New Roman" w:cs="Times New Roman"/>
          <w:sz w:val="22"/>
        </w:rPr>
        <w:t>-</w:t>
      </w:r>
      <w:r w:rsidRPr="003D2F71">
        <w:rPr>
          <w:rFonts w:ascii="Times New Roman" w:hAnsi="Times New Roman" w:cs="Times New Roman"/>
          <w:sz w:val="22"/>
        </w:rPr>
        <w:t>level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fixed effects. The Shuai and Chmura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estimates indicate that state corporate tax rates are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negatively and statistically significantly related to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growth. They estimate that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will grow 0.03 to 0.05 percentage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points faster in a state with a 1 percentage point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lower corporate tax rate, or that the elasticity of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regarding the corporate tax rate is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-0.2. That translates to employment growth of 0.6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 to 1 percent faster per year for a reduction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the corporate tax rate to 15 percent, as proposed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by the Trump administration.</w:t>
      </w:r>
    </w:p>
    <w:p w14:paraId="77BB6334" w14:textId="5B6267BD" w:rsidR="00DD25E0" w:rsidRDefault="00DD25E0" w:rsidP="00C769F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Xavier </w:t>
      </w:r>
      <w:proofErr w:type="spellStart"/>
      <w:r w:rsidRPr="003D2F71">
        <w:rPr>
          <w:rFonts w:ascii="Times New Roman" w:hAnsi="Times New Roman" w:cs="Times New Roman"/>
          <w:sz w:val="22"/>
        </w:rPr>
        <w:t>Giroud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Joshua Rauh</w:t>
      </w:r>
      <w:r w:rsidRPr="00717B40">
        <w:rPr>
          <w:rFonts w:ascii="Times New Roman" w:hAnsi="Times New Roman" w:cs="Times New Roman"/>
          <w:sz w:val="22"/>
          <w:vertAlign w:val="superscript"/>
        </w:rPr>
        <w:t>15</w:t>
      </w:r>
      <w:r w:rsidRPr="003D2F71">
        <w:rPr>
          <w:rFonts w:ascii="Times New Roman" w:hAnsi="Times New Roman" w:cs="Times New Roman"/>
          <w:sz w:val="22"/>
        </w:rPr>
        <w:t xml:space="preserve"> also exploit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 corporate tax policy differences as they</w:t>
      </w:r>
    </w:p>
    <w:p w14:paraId="6932A00A" w14:textId="77777777" w:rsidR="00C769FD" w:rsidRPr="003D2F71" w:rsidRDefault="00C769FD" w:rsidP="00C769F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6AD9A9BD" w14:textId="77777777" w:rsidR="00DD25E0" w:rsidRPr="003D2F71" w:rsidRDefault="00DD25E0" w:rsidP="00C769FD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 487</w:t>
      </w:r>
    </w:p>
    <w:p w14:paraId="5C773C67" w14:textId="4E4286D3" w:rsidR="00DD25E0" w:rsidRPr="003D2F71" w:rsidRDefault="00DD25E0" w:rsidP="00DD25E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relate to employment and business establishment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location. They constructed a sample of all U.S.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business establishments with at least 100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employees that were active in multiple states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between 1977 and 2011. </w:t>
      </w:r>
      <w:r w:rsidRPr="003D2F71">
        <w:rPr>
          <w:rFonts w:ascii="Times New Roman" w:hAnsi="Times New Roman" w:cs="Times New Roman"/>
          <w:sz w:val="22"/>
        </w:rPr>
        <w:lastRenderedPageBreak/>
        <w:t>Their model controls for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constant differences among states, time-varying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characteristics that are common to all states, and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many other economic factors that differ across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both states and time.</w:t>
      </w:r>
    </w:p>
    <w:p w14:paraId="559DC6EA" w14:textId="6AB3515B" w:rsidR="00DD25E0" w:rsidRPr="003D2F71" w:rsidRDefault="00DD25E0" w:rsidP="00C769F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They find that a 1 percentage point increase in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 state corporate tax rate leads to the closing of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0.03 business establishments and that about half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the effect occurs because companies can shift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locations to competing states. On the employment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side, </w:t>
      </w:r>
      <w:proofErr w:type="spellStart"/>
      <w:r w:rsidRPr="003D2F71">
        <w:rPr>
          <w:rFonts w:ascii="Times New Roman" w:hAnsi="Times New Roman" w:cs="Times New Roman"/>
          <w:sz w:val="22"/>
        </w:rPr>
        <w:t>Giroud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</w:t>
      </w:r>
      <w:proofErr w:type="spellStart"/>
      <w:r w:rsidRPr="003D2F71">
        <w:rPr>
          <w:rFonts w:ascii="Times New Roman" w:hAnsi="Times New Roman" w:cs="Times New Roman"/>
          <w:sz w:val="22"/>
        </w:rPr>
        <w:t>Rauh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find that a 10 percent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 in the corporate tax rate corresponds to a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4 percent decline in employment at corporations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that are subject to the tax increase. As a check for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spurious correlation, </w:t>
      </w:r>
      <w:proofErr w:type="spellStart"/>
      <w:r w:rsidRPr="003D2F71">
        <w:rPr>
          <w:rFonts w:ascii="Times New Roman" w:hAnsi="Times New Roman" w:cs="Times New Roman"/>
          <w:sz w:val="22"/>
        </w:rPr>
        <w:t>Giroud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</w:t>
      </w:r>
      <w:proofErr w:type="spellStart"/>
      <w:r w:rsidRPr="003D2F71">
        <w:rPr>
          <w:rFonts w:ascii="Times New Roman" w:hAnsi="Times New Roman" w:cs="Times New Roman"/>
          <w:sz w:val="22"/>
        </w:rPr>
        <w:t>Rauh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find no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correlation between employment at corporations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changes in the personal income tax rate,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lending credibility to their estimates.</w:t>
      </w:r>
    </w:p>
    <w:p w14:paraId="1F038AA9" w14:textId="04EDC39B" w:rsidR="00DD25E0" w:rsidRPr="003D2F71" w:rsidRDefault="00DD25E0" w:rsidP="00012F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Finally, </w:t>
      </w:r>
      <w:proofErr w:type="spellStart"/>
      <w:r w:rsidRPr="003D2F71">
        <w:rPr>
          <w:rFonts w:ascii="Times New Roman" w:hAnsi="Times New Roman" w:cs="Times New Roman"/>
          <w:sz w:val="22"/>
        </w:rPr>
        <w:t>Ljungqvist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Smolyansky estimate</w:t>
      </w:r>
      <w:r w:rsidR="00C769FD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effect of U.S. state corporate tax changes using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experience of counties located on the border of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states with differing tax policies. Their data span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1970-2010, and they examine 140 separate tax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increases in 45 states (and the District of Columbia)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131 tax cuts in 35 states for their analysis. The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data they analyze are taken from the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Bureau of Economic Analysis Regional Economic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Accounts, which documents annual employment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income at the county level. Their analysis relies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heavily on the natural experiment approach to state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corporate tax changes but also controls for </w:t>
      </w:r>
      <w:proofErr w:type="spellStart"/>
      <w:r w:rsidRPr="003D2F71">
        <w:rPr>
          <w:rFonts w:ascii="Times New Roman" w:hAnsi="Times New Roman" w:cs="Times New Roman"/>
          <w:sz w:val="22"/>
        </w:rPr>
        <w:t>timevarying</w:t>
      </w:r>
      <w:proofErr w:type="spellEnd"/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factors such as demographic characteristics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residents.</w:t>
      </w:r>
    </w:p>
    <w:p w14:paraId="612C60D3" w14:textId="5776C365" w:rsidR="00DD25E0" w:rsidRPr="003D2F71" w:rsidRDefault="00DD25E0" w:rsidP="00012F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They find that increasing the corporate tax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 leads to significant reductions in employment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(and income) for residents. They estimate that a 1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percentage point increase in the top marginal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income tax rate reduces employment by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0.3 percent to 0.5 percent, but they also find that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cutting corporate taxes does not have a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corresponding positive effect unless the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government implements the reductions during a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recession.</w:t>
      </w:r>
    </w:p>
    <w:p w14:paraId="5D47FF1C" w14:textId="447EBC02" w:rsidR="00DD25E0" w:rsidRPr="003D2F71" w:rsidRDefault="00DD25E0" w:rsidP="00012F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proofErr w:type="spellStart"/>
      <w:r w:rsidRPr="003D2F71">
        <w:rPr>
          <w:rFonts w:ascii="Times New Roman" w:hAnsi="Times New Roman" w:cs="Times New Roman"/>
          <w:sz w:val="22"/>
        </w:rPr>
        <w:t>Ljungqvist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Smolyansky also find a large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 on incomes, with a 1 percentage point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 in the top marginal corporate income tax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 corresponding to an income loss of between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0.3 percent and 0.6 percent. Cutting corporate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taxes does not have a corresponding positive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 on income unless (again) the cuts are made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during a recession.</w:t>
      </w:r>
    </w:p>
    <w:p w14:paraId="28EB795B" w14:textId="4ECF0247" w:rsidR="00DD25E0" w:rsidRPr="003D2F71" w:rsidRDefault="00DD25E0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Importantly, </w:t>
      </w:r>
      <w:proofErr w:type="spellStart"/>
      <w:r w:rsidRPr="003D2F71">
        <w:rPr>
          <w:rFonts w:ascii="Times New Roman" w:hAnsi="Times New Roman" w:cs="Times New Roman"/>
          <w:sz w:val="22"/>
        </w:rPr>
        <w:t>Ljungqvist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Smolyansky use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 measure of employment and income based on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the residence of individuals and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not </w:t>
      </w:r>
      <w:r w:rsidRPr="003D2F71">
        <w:rPr>
          <w:rFonts w:ascii="Times New Roman" w:hAnsi="Times New Roman" w:cs="Times New Roman"/>
          <w:sz w:val="22"/>
        </w:rPr>
        <w:t>the location of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businesses. This likely means they underestimate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effect of corporate taxes on the outcomes of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interest because workers themselves are mobile</w:t>
      </w:r>
      <w:r w:rsidR="00012F2A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may look for work in neighboring counties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when corporate tax changes affect their wages.</w:t>
      </w:r>
    </w:p>
    <w:p w14:paraId="56C67ECF" w14:textId="6932FA4B" w:rsidR="00DD25E0" w:rsidRPr="003D2F71" w:rsidRDefault="00DD25E0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As a partial solution to this problem, Shawn</w:t>
      </w:r>
      <w:r w:rsidR="00FB20D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Rohlin</w:t>
      </w:r>
      <w:proofErr w:type="spellEnd"/>
      <w:r w:rsidRPr="003D2F71">
        <w:rPr>
          <w:rFonts w:ascii="Times New Roman" w:hAnsi="Times New Roman" w:cs="Times New Roman"/>
          <w:sz w:val="22"/>
        </w:rPr>
        <w:t>, Stuart Rosenthal, and Amanda Ross</w:t>
      </w:r>
      <w:r w:rsidRPr="00717B40">
        <w:rPr>
          <w:rFonts w:ascii="Times New Roman" w:hAnsi="Times New Roman" w:cs="Times New Roman"/>
          <w:sz w:val="22"/>
          <w:vertAlign w:val="superscript"/>
        </w:rPr>
        <w:t>16</w:t>
      </w:r>
      <w:r w:rsidRPr="003D2F71">
        <w:rPr>
          <w:rFonts w:ascii="Times New Roman" w:hAnsi="Times New Roman" w:cs="Times New Roman"/>
          <w:sz w:val="22"/>
        </w:rPr>
        <w:t xml:space="preserve"> use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data that is based on business location and apply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 similar border method to state-level corporate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changes. They examine the effects of tax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on the propensity for businesses to open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the face of corporate income tax changes and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find extremely large and negative effects — a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higher corporate tax substantially reduces the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probability that a new business starts operation in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 area, which necessarily reduces employment.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The primary sample used by </w:t>
      </w:r>
      <w:proofErr w:type="spellStart"/>
      <w:r w:rsidRPr="003D2F71">
        <w:rPr>
          <w:rFonts w:ascii="Times New Roman" w:hAnsi="Times New Roman" w:cs="Times New Roman"/>
          <w:sz w:val="22"/>
        </w:rPr>
        <w:t>Rohlin</w:t>
      </w:r>
      <w:proofErr w:type="spellEnd"/>
      <w:r w:rsidRPr="003D2F71">
        <w:rPr>
          <w:rFonts w:ascii="Times New Roman" w:hAnsi="Times New Roman" w:cs="Times New Roman"/>
          <w:sz w:val="22"/>
        </w:rPr>
        <w:t>, Rosenthal,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Ross examines border states with a reciprocal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agreement so that labor mobility across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borders is not an issue in their estimates.</w:t>
      </w:r>
    </w:p>
    <w:p w14:paraId="702ADC53" w14:textId="566B5AD9" w:rsidR="00DD25E0" w:rsidRPr="003D2F71" w:rsidRDefault="00DD25E0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data show that a 1 percentage point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 in the top marginal corporate tax rate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reduces the likelihood of a corporate business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opening in the county by a whopping 34 percent.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This effect is larger for manufacturing and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service-based businesses and slightly smaller for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retail-based businesses.</w:t>
      </w:r>
    </w:p>
    <w:p w14:paraId="556C9FF4" w14:textId="2CE0495B" w:rsidR="00DD25E0" w:rsidRPr="003D2F71" w:rsidRDefault="00DD25E0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In short, the data from state-based research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consistently reveals that higher corporate taxes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reduce employment and compensation.</w:t>
      </w:r>
    </w:p>
    <w:p w14:paraId="43414768" w14:textId="77777777" w:rsidR="00DD25E0" w:rsidRPr="003D2F71" w:rsidRDefault="00DD25E0" w:rsidP="00F5642B">
      <w:pPr>
        <w:pStyle w:val="Heading2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C. International Evidence</w:t>
      </w:r>
    </w:p>
    <w:p w14:paraId="31171EB3" w14:textId="3DC430E2" w:rsidR="00DD25E0" w:rsidRDefault="00DD25E0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The U.S state corporate tax literature may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offer the most potential for understanding the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effects of changing federal corporate tax policy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because all states operate within the laws and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business climate of the United States. However,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 corporate tax policy may be dwarfed by</w:t>
      </w:r>
    </w:p>
    <w:p w14:paraId="2A942804" w14:textId="77777777" w:rsidR="00FB20D9" w:rsidRPr="003D2F71" w:rsidRDefault="00FB20D9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5F0194F6" w14:textId="77777777" w:rsidR="00DD25E0" w:rsidRPr="003D2F71" w:rsidRDefault="00DD25E0" w:rsidP="00FB20D9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sz w:val="22"/>
        </w:rPr>
        <w:t xml:space="preserve">488 </w:t>
      </w: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</w:t>
      </w:r>
    </w:p>
    <w:p w14:paraId="270C1646" w14:textId="35B618B0" w:rsidR="0028037A" w:rsidRPr="003D2F71" w:rsidRDefault="0028037A" w:rsidP="0028037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federal policy, so using state data to infer the effect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changes at the federal level may very well cause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economists to underestimate the size of expected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federal changes.</w:t>
      </w:r>
    </w:p>
    <w:p w14:paraId="3B2E26D0" w14:textId="314EBBB3" w:rsidR="0028037A" w:rsidRPr="003D2F71" w:rsidRDefault="0028037A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lastRenderedPageBreak/>
        <w:t>Examining corporate tax policy from an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international perspective is advantageous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because it can give a clearer picture of the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potential effects of corporate tax policy changes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on a national basis. However, the apparent gain in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estimating size effects comes at the cost of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examining corporate taxes in what is often a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completely different legal and business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environment than that of the United States.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What’s more, most other OECD countries —they’re typically the comparisons used, by dint of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availability of data as well as the fact that they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comprise the universe of developed countries —are much more closely integrated with their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immediate neighbors and trading partners than is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United States, making such comparisons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complicated.</w:t>
      </w:r>
    </w:p>
    <w:p w14:paraId="028F10FA" w14:textId="5D141AA4" w:rsidR="0028037A" w:rsidRPr="003D2F71" w:rsidRDefault="0028037A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A few international studies are </w:t>
      </w:r>
      <w:proofErr w:type="gramStart"/>
      <w:r w:rsidRPr="003D2F71">
        <w:rPr>
          <w:rFonts w:ascii="Times New Roman" w:hAnsi="Times New Roman" w:cs="Times New Roman"/>
          <w:sz w:val="22"/>
        </w:rPr>
        <w:t>similar to</w:t>
      </w:r>
      <w:proofErr w:type="gramEnd"/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analyses made across U.S. states, examining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policy across areas within a country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where policy differs. We analyze a few such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studies, all of which have been published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relatively recently.</w:t>
      </w:r>
    </w:p>
    <w:p w14:paraId="5038D4AA" w14:textId="410F096C" w:rsidR="0028037A" w:rsidRPr="003D2F71" w:rsidRDefault="0028037A" w:rsidP="00FB20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For instance, Lars Feld and </w:t>
      </w:r>
      <w:proofErr w:type="spellStart"/>
      <w:r w:rsidRPr="003D2F71">
        <w:rPr>
          <w:rFonts w:ascii="Times New Roman" w:hAnsi="Times New Roman" w:cs="Times New Roman"/>
          <w:sz w:val="22"/>
        </w:rPr>
        <w:t>Gebhard</w:t>
      </w:r>
      <w:proofErr w:type="spellEnd"/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Kirchgässner</w:t>
      </w:r>
      <w:r w:rsidRPr="00717B40">
        <w:rPr>
          <w:rFonts w:ascii="Times New Roman" w:hAnsi="Times New Roman" w:cs="Times New Roman"/>
          <w:sz w:val="22"/>
          <w:vertAlign w:val="superscript"/>
        </w:rPr>
        <w:t>17</w:t>
      </w:r>
      <w:r w:rsidRPr="003D2F71">
        <w:rPr>
          <w:rFonts w:ascii="Times New Roman" w:hAnsi="Times New Roman" w:cs="Times New Roman"/>
          <w:sz w:val="22"/>
        </w:rPr>
        <w:t xml:space="preserve"> examine the effect of corporate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taxes on resident employment across Swiss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cantons (a canton is a division of the country</w:t>
      </w:r>
      <w:r w:rsidR="00FB20D9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3D2F71">
        <w:rPr>
          <w:rFonts w:ascii="Times New Roman" w:hAnsi="Times New Roman" w:cs="Times New Roman"/>
          <w:sz w:val="22"/>
        </w:rPr>
        <w:t>similar to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states in the United States). They show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that corporate income taxes deter companies from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operating and reduce employment for residents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after controlling for factors like wages, education,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demographic differences. Their data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encompass the years 1985 to 1997, in a context of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low federal corporate income taxes, and reveal a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relatively small magnitude of response from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—a 10 percent increase in corporate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leads to an employment loss of about 1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percent.</w:t>
      </w:r>
    </w:p>
    <w:p w14:paraId="348488F0" w14:textId="55B326C2" w:rsidR="0028037A" w:rsidRPr="003D2F71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Simeon </w:t>
      </w:r>
      <w:proofErr w:type="spellStart"/>
      <w:r w:rsidRPr="003D2F71">
        <w:rPr>
          <w:rFonts w:ascii="Times New Roman" w:hAnsi="Times New Roman" w:cs="Times New Roman"/>
          <w:sz w:val="22"/>
        </w:rPr>
        <w:t>Djankov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his coauthors</w:t>
      </w:r>
      <w:r w:rsidRPr="00717B40">
        <w:rPr>
          <w:rFonts w:ascii="Times New Roman" w:hAnsi="Times New Roman" w:cs="Times New Roman"/>
          <w:sz w:val="22"/>
          <w:vertAlign w:val="superscript"/>
        </w:rPr>
        <w:t>18</w:t>
      </w:r>
      <w:r w:rsidRPr="003D2F71">
        <w:rPr>
          <w:rFonts w:ascii="Times New Roman" w:hAnsi="Times New Roman" w:cs="Times New Roman"/>
          <w:sz w:val="22"/>
        </w:rPr>
        <w:t xml:space="preserve"> study the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 of corporate taxes using a cross section of 85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countries in the year 2004, focusing on how one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country’s policy would affect a standardized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company. This approach is interesting because it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examines corporate tax policy in many countries,</w:t>
      </w:r>
      <w:r w:rsidR="00FB20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but the use of only a cross section, as opposed to a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panel of data, means that other differences across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countries might influence the results. </w:t>
      </w:r>
      <w:proofErr w:type="spellStart"/>
      <w:r w:rsidRPr="003D2F71">
        <w:rPr>
          <w:rFonts w:ascii="Times New Roman" w:hAnsi="Times New Roman" w:cs="Times New Roman"/>
          <w:sz w:val="22"/>
        </w:rPr>
        <w:t>Djankov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et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al. do not examine employment directly but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instead examine entrepreneurship, finding that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 have a large negative effect on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entrepreneurial activity (as well as a large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negative effect on foreign direct investment,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which is directly relevant to job creation and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wages). They estimate that a </w:t>
      </w:r>
      <w:proofErr w:type="gramStart"/>
      <w:r w:rsidRPr="003D2F71">
        <w:rPr>
          <w:rFonts w:ascii="Times New Roman" w:hAnsi="Times New Roman" w:cs="Times New Roman"/>
          <w:sz w:val="22"/>
        </w:rPr>
        <w:t>10 percentage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point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 in the corporate tax rate (applying to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first-year businesses) reduces the number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companies by 1.9 per 100 people, or by 38 percent.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They also find that a </w:t>
      </w:r>
      <w:proofErr w:type="gramStart"/>
      <w:r w:rsidRPr="003D2F71">
        <w:rPr>
          <w:rFonts w:ascii="Times New Roman" w:hAnsi="Times New Roman" w:cs="Times New Roman"/>
          <w:sz w:val="22"/>
        </w:rPr>
        <w:t>10 percentage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point increase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the average corporate tax rate reduces the rate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 businesses entering a country by 1.4 percentage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points, or 17.5 percent at the mean.</w:t>
      </w:r>
    </w:p>
    <w:p w14:paraId="3EB552BD" w14:textId="0D7BE770" w:rsidR="0028037A" w:rsidRPr="003D2F71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Using a smaller sample of countries over a 25-year panel, Kevin </w:t>
      </w:r>
      <w:proofErr w:type="spellStart"/>
      <w:r w:rsidRPr="003D2F71">
        <w:rPr>
          <w:rFonts w:ascii="Times New Roman" w:hAnsi="Times New Roman" w:cs="Times New Roman"/>
          <w:sz w:val="22"/>
        </w:rPr>
        <w:t>Hassett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Aparna Mathur</w:t>
      </w:r>
      <w:r w:rsidRPr="00717B40">
        <w:rPr>
          <w:rFonts w:ascii="Times New Roman" w:hAnsi="Times New Roman" w:cs="Times New Roman"/>
          <w:sz w:val="22"/>
          <w:vertAlign w:val="superscript"/>
        </w:rPr>
        <w:t>19</w:t>
      </w:r>
      <w:r w:rsidR="00177489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3D2F71">
        <w:rPr>
          <w:rFonts w:ascii="Times New Roman" w:hAnsi="Times New Roman" w:cs="Times New Roman"/>
          <w:sz w:val="22"/>
        </w:rPr>
        <w:t>are able to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account for country-specific fixed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effects, or anything else about a country that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differs, besides the corporate tax, and is constant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across time. The </w:t>
      </w:r>
      <w:proofErr w:type="spellStart"/>
      <w:r w:rsidRPr="003D2F71">
        <w:rPr>
          <w:rFonts w:ascii="Times New Roman" w:hAnsi="Times New Roman" w:cs="Times New Roman"/>
          <w:sz w:val="22"/>
        </w:rPr>
        <w:t>Hassett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and Mathur model also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controls for time-period effects and other factors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that change across both time and countries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besides corporate taxes. They find that corporate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taxes (measured as either effective or marginal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rates) have a substantial negative effect on worker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 — a 1 percent increase in the corporate tax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 leads to a 0.5 percent decline in wages.</w:t>
      </w:r>
    </w:p>
    <w:p w14:paraId="1AAC4F68" w14:textId="1CCD7EBA" w:rsidR="00DD25E0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proofErr w:type="spellStart"/>
      <w:r w:rsidRPr="003D2F71">
        <w:rPr>
          <w:rFonts w:ascii="Times New Roman" w:hAnsi="Times New Roman" w:cs="Times New Roman"/>
          <w:sz w:val="22"/>
        </w:rPr>
        <w:t>Wiji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Arulampalam</w:t>
      </w:r>
      <w:proofErr w:type="spellEnd"/>
      <w:r w:rsidRPr="003D2F71">
        <w:rPr>
          <w:rFonts w:ascii="Times New Roman" w:hAnsi="Times New Roman" w:cs="Times New Roman"/>
          <w:sz w:val="22"/>
        </w:rPr>
        <w:t>, Michael Devereux, and</w:t>
      </w:r>
      <w:r w:rsidR="0017748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Giorgia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Maffini</w:t>
      </w:r>
      <w:r w:rsidRPr="00717B40">
        <w:rPr>
          <w:rFonts w:ascii="Times New Roman" w:hAnsi="Times New Roman" w:cs="Times New Roman"/>
          <w:sz w:val="22"/>
          <w:vertAlign w:val="superscript"/>
        </w:rPr>
        <w:t>20</w:t>
      </w:r>
      <w:r w:rsidRPr="003D2F71">
        <w:rPr>
          <w:rFonts w:ascii="Times New Roman" w:hAnsi="Times New Roman" w:cs="Times New Roman"/>
          <w:sz w:val="22"/>
        </w:rPr>
        <w:t xml:space="preserve"> also use a panel of data,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examining 55,000 individual companies operating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nine European countries (Belgium, Finland,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France, Germany, Italy, the Netherlands, Spain,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Sweden, and the United Kingdom) to examine the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 of corporate taxes on employee wages over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years 1996-2003. Using microdata on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individual companies, the study controls for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many factors that may not be accounted for in</w:t>
      </w:r>
    </w:p>
    <w:p w14:paraId="12836064" w14:textId="77777777" w:rsidR="00177489" w:rsidRPr="003D2F71" w:rsidRDefault="00177489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5F6F1847" w14:textId="77777777" w:rsidR="0028037A" w:rsidRPr="003D2F71" w:rsidRDefault="0028037A" w:rsidP="00177489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 489</w:t>
      </w:r>
    </w:p>
    <w:p w14:paraId="75105B8C" w14:textId="0DA610E8" w:rsidR="0028037A" w:rsidRPr="003D2F71" w:rsidRDefault="0028037A" w:rsidP="0028037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 xml:space="preserve">previous studies. </w:t>
      </w:r>
      <w:proofErr w:type="spellStart"/>
      <w:r w:rsidRPr="003D2F71">
        <w:rPr>
          <w:rFonts w:ascii="Times New Roman" w:hAnsi="Times New Roman" w:cs="Times New Roman"/>
          <w:sz w:val="22"/>
        </w:rPr>
        <w:t>Arulampalam</w:t>
      </w:r>
      <w:proofErr w:type="spellEnd"/>
      <w:r w:rsidRPr="003D2F71">
        <w:rPr>
          <w:rFonts w:ascii="Times New Roman" w:hAnsi="Times New Roman" w:cs="Times New Roman"/>
          <w:sz w:val="22"/>
        </w:rPr>
        <w:t>, Devereux, and</w:t>
      </w:r>
      <w:r w:rsidR="0017748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Maffini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are also able to examine the effect of tax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at the individual company level, which is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advantageous because it accurately depicts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exactly the amount of tax being paid, although it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is harder to interpret from a policy perspective.</w:t>
      </w:r>
      <w:r w:rsidR="0017748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Arulampalam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, Devereux, and </w:t>
      </w:r>
      <w:proofErr w:type="spellStart"/>
      <w:r w:rsidRPr="003D2F71">
        <w:rPr>
          <w:rFonts w:ascii="Times New Roman" w:hAnsi="Times New Roman" w:cs="Times New Roman"/>
          <w:sz w:val="22"/>
        </w:rPr>
        <w:t>Maffini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find that a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one-dollar increase in taxes results in companies’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total wage bill falling by 49 cents. This effect could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come via reduced wages, lower employment, or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some combination of the two.</w:t>
      </w:r>
    </w:p>
    <w:p w14:paraId="64858EC9" w14:textId="1A00F913" w:rsidR="0028037A" w:rsidRPr="003D2F71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Besides the previously mentioned theoretical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explanation in Desai, Foley, and Hines, their work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offers an empirical investigation into the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incidence of the corporate tax using data from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American multinational companies operating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between 1989 and 2004. They estimate that a large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portion of </w:t>
      </w:r>
      <w:r w:rsidRPr="003D2F71">
        <w:rPr>
          <w:rFonts w:ascii="Times New Roman" w:hAnsi="Times New Roman" w:cs="Times New Roman"/>
          <w:sz w:val="22"/>
        </w:rPr>
        <w:lastRenderedPageBreak/>
        <w:t>corporate taxes are borne by workers.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While their estimates depend on the period and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empirical specification, they show that ultimately</w:t>
      </w:r>
      <w:r w:rsidR="0017748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workers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pay between 45 percent and 75 percent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corporate tax burden, which suggests that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 and employment necessarily fall when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rates rise and vice versa.</w:t>
      </w:r>
    </w:p>
    <w:p w14:paraId="7D984329" w14:textId="74CE9A69" w:rsidR="0028037A" w:rsidRPr="003D2F71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Marco Da Rin, Marina Di Giacomo, and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Alessandro Sembenelli</w:t>
      </w:r>
      <w:r w:rsidRPr="00717B40">
        <w:rPr>
          <w:rFonts w:ascii="Times New Roman" w:hAnsi="Times New Roman" w:cs="Times New Roman"/>
          <w:sz w:val="22"/>
          <w:vertAlign w:val="superscript"/>
        </w:rPr>
        <w:t>21</w:t>
      </w:r>
      <w:r w:rsidRPr="003D2F71">
        <w:rPr>
          <w:rFonts w:ascii="Times New Roman" w:hAnsi="Times New Roman" w:cs="Times New Roman"/>
          <w:sz w:val="22"/>
        </w:rPr>
        <w:t xml:space="preserve"> show that corporate tax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 may interact with other aspects of a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country’s economy and find that countries with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better “institutional infrastructure” — that is, a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respect for the rule of law, predictable changes in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policy, and strong property rights protected by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courts with deep knowledge of such issues —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experience more benefits from lowering their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taxes. This has implications for U.S.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policy because U.S. institutional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infrastructure outside the tax code is typically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regarded favorably in the world economy.</w:t>
      </w:r>
    </w:p>
    <w:p w14:paraId="4F898297" w14:textId="58425E62" w:rsidR="0028037A" w:rsidRPr="003D2F71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Another important response to the corporate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 that has implications for employment and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 is how multinational companies choose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where to locate their operations. Johannes Voget</w:t>
      </w:r>
      <w:r w:rsidRPr="00717B40">
        <w:rPr>
          <w:rFonts w:ascii="Times New Roman" w:hAnsi="Times New Roman" w:cs="Times New Roman"/>
          <w:sz w:val="22"/>
          <w:vertAlign w:val="superscript"/>
        </w:rPr>
        <w:t>22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examines the location decisions of multinational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companies from 1997 to 2007 to determine how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important corporate taxes are to cross-border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relocation. </w:t>
      </w:r>
      <w:proofErr w:type="spellStart"/>
      <w:r w:rsidRPr="003D2F71">
        <w:rPr>
          <w:rFonts w:ascii="Times New Roman" w:hAnsi="Times New Roman" w:cs="Times New Roman"/>
          <w:sz w:val="22"/>
        </w:rPr>
        <w:t>Voget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finds that companies are quite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responsive to the burden of home-country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taxation when considering international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relocation, and </w:t>
      </w:r>
      <w:proofErr w:type="spellStart"/>
      <w:r w:rsidRPr="003D2F71">
        <w:rPr>
          <w:rFonts w:ascii="Times New Roman" w:hAnsi="Times New Roman" w:cs="Times New Roman"/>
          <w:sz w:val="22"/>
        </w:rPr>
        <w:t>Voget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estimates that for an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 in repatriation taxes of 10 percentage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points in the home country, the share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multinational companies relocating abroad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increases by 2.2 percentage points. Put another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way, this change would increase the number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relocations by a third.</w:t>
      </w:r>
    </w:p>
    <w:p w14:paraId="46A3CC5C" w14:textId="127E9726" w:rsidR="0028037A" w:rsidRPr="003D2F71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James R. Hines Jr.</w:t>
      </w:r>
      <w:r w:rsidRPr="00717B40">
        <w:rPr>
          <w:rFonts w:ascii="Times New Roman" w:hAnsi="Times New Roman" w:cs="Times New Roman"/>
          <w:sz w:val="22"/>
          <w:vertAlign w:val="superscript"/>
        </w:rPr>
        <w:t>23</w:t>
      </w:r>
      <w:r w:rsidRPr="003D2F71">
        <w:rPr>
          <w:rFonts w:ascii="Times New Roman" w:hAnsi="Times New Roman" w:cs="Times New Roman"/>
          <w:sz w:val="22"/>
        </w:rPr>
        <w:t xml:space="preserve"> examines the sensitivity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foreign direct investment (FDI) in U.S. states to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policy. Although this is not a direct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measurement of an employment effect, the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International Trade Administration attributes 12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million U.S. jobs to FDI,</w:t>
      </w:r>
      <w:r w:rsidRPr="00717B40">
        <w:rPr>
          <w:rFonts w:ascii="Times New Roman" w:hAnsi="Times New Roman" w:cs="Times New Roman"/>
          <w:sz w:val="22"/>
          <w:vertAlign w:val="superscript"/>
        </w:rPr>
        <w:t>24</w:t>
      </w:r>
      <w:r w:rsidRPr="003D2F71">
        <w:rPr>
          <w:rFonts w:ascii="Times New Roman" w:hAnsi="Times New Roman" w:cs="Times New Roman"/>
          <w:sz w:val="22"/>
        </w:rPr>
        <w:t xml:space="preserve"> so the link between FDI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jobs is important. Hines shows that a state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rate difference of just 1 percent is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associated with a difference of between 9 and 11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percent in the share of manufacturing capital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owned by differently taxed investors.</w:t>
      </w:r>
    </w:p>
    <w:p w14:paraId="14E3C6E8" w14:textId="77777777" w:rsidR="0028037A" w:rsidRPr="003D2F71" w:rsidRDefault="0028037A" w:rsidP="00C97F5F">
      <w:pPr>
        <w:pStyle w:val="Heading1"/>
        <w:rPr>
          <w:rFonts w:ascii="Times New Roman" w:hAnsi="Times New Roman" w:cs="Times New Roman"/>
        </w:rPr>
      </w:pPr>
      <w:r w:rsidRPr="003D2F71">
        <w:rPr>
          <w:rFonts w:ascii="Times New Roman" w:hAnsi="Times New Roman" w:cs="Times New Roman"/>
        </w:rPr>
        <w:t>V. Conclusion and Lessons for Reform</w:t>
      </w:r>
    </w:p>
    <w:p w14:paraId="13B2ADE4" w14:textId="513738CB" w:rsidR="0028037A" w:rsidRDefault="0028037A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Although the context and technique of the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studies examining the effects of the corporate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income </w:t>
      </w:r>
      <w:proofErr w:type="gramStart"/>
      <w:r w:rsidRPr="003D2F71">
        <w:rPr>
          <w:rFonts w:ascii="Times New Roman" w:hAnsi="Times New Roman" w:cs="Times New Roman"/>
          <w:sz w:val="22"/>
        </w:rPr>
        <w:t>tax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we cite in this report are different —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sometimes markedly so — the balance of the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literature shows a substantial negative effect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 on labor, through employment,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wages, and the business location. Studies with the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stronger results that control for factors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influence outside corporate income taxes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generally have an elasticity of employment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regarding the corporate income tax rate of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between -0.2 and -0.4, with a wage-income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elasticity near -0.5. That is, for a 10 percent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decrease in the corporate tax rate, the existing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empirical literature shows an increase in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employment of between 2 and 4 percent, along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with a 5 percent gain in wages.</w:t>
      </w:r>
    </w:p>
    <w:p w14:paraId="4E8AAA8C" w14:textId="77777777" w:rsidR="00177489" w:rsidRPr="003D2F71" w:rsidRDefault="00177489" w:rsidP="001774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</w:p>
    <w:p w14:paraId="48C5C457" w14:textId="77777777" w:rsidR="0028037A" w:rsidRPr="003D2F71" w:rsidRDefault="0028037A" w:rsidP="00177489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sz w:val="22"/>
        </w:rPr>
        <w:t xml:space="preserve">490 </w:t>
      </w: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</w:t>
      </w:r>
    </w:p>
    <w:p w14:paraId="284CF987" w14:textId="77777777" w:rsidR="00177489" w:rsidRDefault="0028037A" w:rsidP="00C97F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In terms of applicability to potential federal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 to the corporate income tax, there are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some caveats to consider.</w:t>
      </w:r>
      <w:r w:rsidR="00177489">
        <w:rPr>
          <w:rFonts w:ascii="Times New Roman" w:hAnsi="Times New Roman" w:cs="Times New Roman"/>
          <w:sz w:val="22"/>
        </w:rPr>
        <w:t xml:space="preserve"> </w:t>
      </w:r>
    </w:p>
    <w:p w14:paraId="5AEA5219" w14:textId="744344DF" w:rsidR="0028037A" w:rsidRPr="003D2F71" w:rsidRDefault="0028037A" w:rsidP="00BF46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First, all empirical estimates are necessarily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derived from a different time and place than</w:t>
      </w:r>
      <w:r w:rsidR="0017748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when and where a new policy will be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implemented. This calls into question how similar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current economic climate today is to the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climate (place, time, existing policies, and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industrial mix) when the studies we cite were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completed. In terms of studies that examine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taxes internationally over time, this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validity problem may be especially severe — the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United States has a </w:t>
      </w:r>
      <w:proofErr w:type="gramStart"/>
      <w:r w:rsidRPr="003D2F71">
        <w:rPr>
          <w:rFonts w:ascii="Times New Roman" w:hAnsi="Times New Roman" w:cs="Times New Roman"/>
          <w:sz w:val="22"/>
        </w:rPr>
        <w:t>particular set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of laws,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regulations, and workforce characteristics that are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very different from other countries, all of which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might make the effect of corporate income taxes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on employment and wages more or less severe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here than elsewhere.</w:t>
      </w:r>
    </w:p>
    <w:p w14:paraId="373AD46E" w14:textId="4F13D471" w:rsidR="0028037A" w:rsidRPr="003D2F71" w:rsidRDefault="0028037A" w:rsidP="00BF46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Second, the United States has a different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baseline than other countries that change their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policy — having the highest top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statutory corporate tax rate among developed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nations and being the largest economy in the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world may make the effects of corporate income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taxes different here.</w:t>
      </w:r>
    </w:p>
    <w:p w14:paraId="36973A4D" w14:textId="77777777" w:rsidR="00BF46D9" w:rsidRDefault="0028037A" w:rsidP="00C97F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lastRenderedPageBreak/>
        <w:t>Third, it is unclear how other countries, U.S.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 governments, and our own Federal Reserve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may react to federal corporate tax policy changes;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any policy changes they enact in response may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serve to mute or exacerbate expected effects.</w:t>
      </w:r>
    </w:p>
    <w:p w14:paraId="76FD1A4A" w14:textId="2158A3B8" w:rsidR="0028037A" w:rsidRPr="003D2F71" w:rsidRDefault="0028037A" w:rsidP="00BF46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Finally, the state-level estimates we cite are all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 the context of existing federal policy, and while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there are considerable differences in state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business climates, these differences pale in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comparison with many international business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climate differences. It is likely that the corporate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 interacts with the general business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climate, which might mean that changing the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federal corporate income tax would do more to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attract new companies from outside the United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States (or slow the flow of corporate inversions)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than any state change could, resulting in a larger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effect on employment than state-level estimates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suggest.</w:t>
      </w:r>
    </w:p>
    <w:p w14:paraId="37B70E85" w14:textId="77777777" w:rsidR="00BF46D9" w:rsidRDefault="0028037A" w:rsidP="00BF46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</w:rPr>
        <w:t>Although there is some uncertainty about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how well existing empirical estimates would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translate to any reduction in federal corporate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income tax, nearly all empirical studies suggest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there would be some gains for labor from the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change. This is highlighted by estimates of</w:t>
      </w:r>
      <w:r w:rsidR="00BF46D9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incidence that suggest it is labor that</w:t>
      </w:r>
      <w:r w:rsidR="00BF46D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3D2F71">
        <w:rPr>
          <w:rFonts w:ascii="Times New Roman" w:hAnsi="Times New Roman" w:cs="Times New Roman"/>
          <w:sz w:val="22"/>
        </w:rPr>
        <w:t>ays</w:t>
      </w:r>
      <w:proofErr w:type="spellEnd"/>
      <w:r w:rsidRPr="003D2F71">
        <w:rPr>
          <w:rFonts w:ascii="Times New Roman" w:hAnsi="Times New Roman" w:cs="Times New Roman"/>
          <w:sz w:val="22"/>
        </w:rPr>
        <w:t xml:space="preserve"> for most of the corporate income </w:t>
      </w:r>
      <w:proofErr w:type="gramStart"/>
      <w:r w:rsidRPr="003D2F71">
        <w:rPr>
          <w:rFonts w:ascii="Times New Roman" w:hAnsi="Times New Roman" w:cs="Times New Roman"/>
          <w:sz w:val="22"/>
        </w:rPr>
        <w:t>tax.</w:t>
      </w:r>
      <w:r w:rsidRPr="003D2F71">
        <w:rPr>
          <w:rFonts w:ascii="Times New Roman" w:eastAsia="Times New Roman" w:hAnsi="Times New Roman" w:cs="Times New Roman" w:hint="eastAsia"/>
          <w:sz w:val="22"/>
        </w:rPr>
        <w:t>􀀃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</w:t>
      </w:r>
    </w:p>
    <w:p w14:paraId="30264997" w14:textId="02DB7228" w:rsidR="0028037A" w:rsidRPr="003D2F71" w:rsidRDefault="0028037A" w:rsidP="00BF46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eastAsia="Times New Roman" w:hAnsi="Times New Roman" w:cs="Times New Roman" w:hint="eastAsia"/>
          <w:sz w:val="22"/>
        </w:rPr>
        <w:t>􀂄</w:t>
      </w:r>
    </w:p>
    <w:p w14:paraId="47E1EE63" w14:textId="77777777" w:rsidR="0028037A" w:rsidRPr="003D2F71" w:rsidRDefault="00AD6367" w:rsidP="00BF46D9">
      <w:pPr>
        <w:jc w:val="right"/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b/>
          <w:bCs/>
          <w:sz w:val="22"/>
        </w:rPr>
        <w:t>, JULY 24, 2017 491</w:t>
      </w:r>
    </w:p>
    <w:p w14:paraId="41831F36" w14:textId="77777777" w:rsidR="00AD6367" w:rsidRPr="003D2F71" w:rsidRDefault="00AD6367" w:rsidP="0028037A">
      <w:pPr>
        <w:rPr>
          <w:rFonts w:ascii="Times New Roman" w:hAnsi="Times New Roman" w:cs="Times New Roman"/>
          <w:b/>
          <w:bCs/>
          <w:sz w:val="22"/>
        </w:rPr>
      </w:pPr>
      <w:r w:rsidRPr="003D2F71">
        <w:rPr>
          <w:rFonts w:ascii="Times New Roman" w:hAnsi="Times New Roman" w:cs="Times New Roman"/>
          <w:b/>
          <w:bCs/>
          <w:sz w:val="22"/>
        </w:rPr>
        <w:t>Notes</w:t>
      </w:r>
    </w:p>
    <w:p w14:paraId="6B33EB3C" w14:textId="2A580B1F" w:rsidR="00AD6367" w:rsidRPr="003D2F71" w:rsidRDefault="00AD6367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</w:t>
      </w:r>
      <w:r w:rsidRPr="003D2F71">
        <w:rPr>
          <w:rFonts w:ascii="Times New Roman" w:hAnsi="Times New Roman" w:cs="Times New Roman"/>
          <w:sz w:val="22"/>
        </w:rPr>
        <w:t>OECD, “Corporate and Capital Income Taxes,” at Table II.1</w:t>
      </w:r>
      <w:r w:rsidR="00C97F5F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(2017).</w:t>
      </w:r>
    </w:p>
    <w:p w14:paraId="5713566A" w14:textId="77777777" w:rsidR="003831C2" w:rsidRPr="003D2F71" w:rsidRDefault="00AD6367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2</w:t>
      </w:r>
      <w:r w:rsidRPr="003D2F71">
        <w:rPr>
          <w:rFonts w:ascii="Times New Roman" w:hAnsi="Times New Roman" w:cs="Times New Roman"/>
          <w:sz w:val="22"/>
        </w:rPr>
        <w:t xml:space="preserve">Kyle Pomerleau and Emily </w:t>
      </w:r>
      <w:proofErr w:type="spellStart"/>
      <w:r w:rsidRPr="003D2F71">
        <w:rPr>
          <w:rFonts w:ascii="Times New Roman" w:hAnsi="Times New Roman" w:cs="Times New Roman"/>
          <w:sz w:val="22"/>
        </w:rPr>
        <w:t>Potosky</w:t>
      </w:r>
      <w:proofErr w:type="spellEnd"/>
      <w:r w:rsidRPr="003D2F71">
        <w:rPr>
          <w:rFonts w:ascii="Times New Roman" w:hAnsi="Times New Roman" w:cs="Times New Roman"/>
          <w:sz w:val="22"/>
        </w:rPr>
        <w:t>, “Corporate Income Tax</w:t>
      </w:r>
      <w:r w:rsidR="00C97F5F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Rates Around the World, 2016,” The Tax Foundation Fiscal Fact</w:t>
      </w:r>
      <w:r w:rsidR="00C97F5F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No. 525 (2016).</w:t>
      </w:r>
    </w:p>
    <w:p w14:paraId="1D3D0BC6" w14:textId="1BE6FBB3" w:rsidR="00AD6367" w:rsidRPr="003D2F71" w:rsidRDefault="00AD6367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3</w:t>
      </w:r>
      <w:r w:rsidRPr="003D2F71">
        <w:rPr>
          <w:rFonts w:ascii="Times New Roman" w:hAnsi="Times New Roman" w:cs="Times New Roman"/>
          <w:i/>
          <w:iCs/>
          <w:sz w:val="22"/>
        </w:rPr>
        <w:t>Id.</w:t>
      </w:r>
    </w:p>
    <w:p w14:paraId="76460DFD" w14:textId="640276C2" w:rsidR="00AD6367" w:rsidRPr="003D2F71" w:rsidRDefault="00AD6367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4</w:t>
      </w:r>
      <w:r w:rsidRPr="003D2F71">
        <w:rPr>
          <w:rFonts w:ascii="Times New Roman" w:hAnsi="Times New Roman" w:cs="Times New Roman"/>
          <w:sz w:val="22"/>
        </w:rPr>
        <w:t>Office of Management and Budget Historical Tables,</w:t>
      </w:r>
      <w:r w:rsidR="00C97F5F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“Percentage Composition of Receipts by Source: 1934-2021,” at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Table 2.2 (corporate taxes averaged 10.1 percent of federal receipts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between 2000 and 2015).</w:t>
      </w:r>
    </w:p>
    <w:p w14:paraId="53529C5E" w14:textId="255B0833" w:rsidR="00AD6367" w:rsidRPr="003D2F71" w:rsidRDefault="00AD6367" w:rsidP="003831C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5</w:t>
      </w:r>
      <w:r w:rsidRPr="003D2F71">
        <w:rPr>
          <w:rFonts w:ascii="Times New Roman" w:hAnsi="Times New Roman" w:cs="Times New Roman"/>
          <w:sz w:val="22"/>
        </w:rPr>
        <w:t xml:space="preserve">Tom </w:t>
      </w:r>
      <w:proofErr w:type="spellStart"/>
      <w:r w:rsidRPr="003D2F71">
        <w:rPr>
          <w:rFonts w:ascii="Times New Roman" w:hAnsi="Times New Roman" w:cs="Times New Roman"/>
          <w:sz w:val="22"/>
        </w:rPr>
        <w:t>Neubig</w:t>
      </w:r>
      <w:proofErr w:type="spellEnd"/>
      <w:r w:rsidRPr="003D2F71">
        <w:rPr>
          <w:rFonts w:ascii="Times New Roman" w:hAnsi="Times New Roman" w:cs="Times New Roman"/>
          <w:sz w:val="22"/>
        </w:rPr>
        <w:t>, “Where’s the Applause? Why Most Corporations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Prefer a Lower Rate?” </w:t>
      </w:r>
      <w:r w:rsidRPr="003D2F71">
        <w:rPr>
          <w:rFonts w:ascii="Times New Roman" w:hAnsi="Times New Roman" w:cs="Times New Roman"/>
          <w:i/>
          <w:iCs/>
          <w:sz w:val="22"/>
        </w:rPr>
        <w:t>Tax Notes</w:t>
      </w:r>
      <w:r w:rsidRPr="003D2F71">
        <w:rPr>
          <w:rFonts w:ascii="Times New Roman" w:hAnsi="Times New Roman" w:cs="Times New Roman"/>
          <w:sz w:val="22"/>
        </w:rPr>
        <w:t>, Apr. 24, 2006, p. 483.</w:t>
      </w:r>
    </w:p>
    <w:p w14:paraId="410244A2" w14:textId="1C3825D1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6</w:t>
      </w:r>
      <w:r w:rsidRPr="003D2F71">
        <w:rPr>
          <w:rFonts w:ascii="Times New Roman" w:hAnsi="Times New Roman" w:cs="Times New Roman"/>
          <w:sz w:val="22"/>
        </w:rPr>
        <w:t>Alan J. Auerbach, “Who Bears the Corporate Tax? A Review of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What We Know,” in 20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Tax </w:t>
      </w:r>
      <w:proofErr w:type="spellStart"/>
      <w:r w:rsidRPr="003D2F71">
        <w:rPr>
          <w:rFonts w:ascii="Times New Roman" w:hAnsi="Times New Roman" w:cs="Times New Roman"/>
          <w:i/>
          <w:iCs/>
          <w:sz w:val="22"/>
        </w:rPr>
        <w:t>Pol’y</w:t>
      </w:r>
      <w:proofErr w:type="spellEnd"/>
      <w:r w:rsidRPr="003D2F71">
        <w:rPr>
          <w:rFonts w:ascii="Times New Roman" w:hAnsi="Times New Roman" w:cs="Times New Roman"/>
          <w:i/>
          <w:iCs/>
          <w:sz w:val="22"/>
        </w:rPr>
        <w:t xml:space="preserve"> and the Econ. </w:t>
      </w:r>
      <w:r w:rsidRPr="003D2F71">
        <w:rPr>
          <w:rFonts w:ascii="Times New Roman" w:hAnsi="Times New Roman" w:cs="Times New Roman"/>
          <w:sz w:val="22"/>
        </w:rPr>
        <w:t>(2006).</w:t>
      </w:r>
    </w:p>
    <w:p w14:paraId="28608884" w14:textId="56C304B8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7</w:t>
      </w:r>
      <w:r w:rsidRPr="003D2F71">
        <w:rPr>
          <w:rFonts w:ascii="Times New Roman" w:hAnsi="Times New Roman" w:cs="Times New Roman"/>
          <w:sz w:val="22"/>
        </w:rPr>
        <w:t>Desai, Foley, and Hines, “Labor and Capital Shares of the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Corporate Tax Burden: International Evidence,” unpublished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manuscript prepared for presentation at the International Tax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Policy Forum and Urban-Brookings Tax Policy Center conference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on Who Pays the Corporate Tax in an Open Economy? (Dec. 18,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2007).</w:t>
      </w:r>
    </w:p>
    <w:p w14:paraId="5B7982DE" w14:textId="135F7688" w:rsidR="00AD6367" w:rsidRPr="003D2F71" w:rsidRDefault="00711F33" w:rsidP="003831C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8</w:t>
      </w:r>
      <w:r w:rsidRPr="003D2F71">
        <w:rPr>
          <w:rFonts w:ascii="Times New Roman" w:hAnsi="Times New Roman" w:cs="Times New Roman"/>
          <w:sz w:val="22"/>
        </w:rPr>
        <w:t>Desai, Foley, and Hines note that this effect is mitigated by the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fact that labor costs are deductible under a corporate income tax, so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initial effect of a corporate income tax would be to substitute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toward labor in the corporate sector.</w:t>
      </w:r>
    </w:p>
    <w:p w14:paraId="7B8EBB06" w14:textId="6BA212EE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9</w:t>
      </w:r>
      <w:r w:rsidRPr="003D2F71">
        <w:rPr>
          <w:rFonts w:ascii="Times New Roman" w:hAnsi="Times New Roman" w:cs="Times New Roman"/>
          <w:sz w:val="22"/>
        </w:rPr>
        <w:t xml:space="preserve">Mertens and </w:t>
      </w:r>
      <w:proofErr w:type="spellStart"/>
      <w:r w:rsidRPr="003D2F71">
        <w:rPr>
          <w:rFonts w:ascii="Times New Roman" w:hAnsi="Times New Roman" w:cs="Times New Roman"/>
          <w:sz w:val="22"/>
        </w:rPr>
        <w:t>Ravn</w:t>
      </w:r>
      <w:proofErr w:type="spellEnd"/>
      <w:r w:rsidRPr="003D2F71">
        <w:rPr>
          <w:rFonts w:ascii="Times New Roman" w:hAnsi="Times New Roman" w:cs="Times New Roman"/>
          <w:sz w:val="22"/>
        </w:rPr>
        <w:t>, “The Dynamic Effects of Personal and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Corporate Income Tax Changes in the United States,” 103 </w:t>
      </w:r>
      <w:r w:rsidRPr="003D2F71">
        <w:rPr>
          <w:rFonts w:ascii="Times New Roman" w:hAnsi="Times New Roman" w:cs="Times New Roman"/>
          <w:i/>
          <w:iCs/>
          <w:sz w:val="22"/>
        </w:rPr>
        <w:t>Am. Econ.</w:t>
      </w:r>
      <w:r w:rsidR="003831C2" w:rsidRPr="003D2F71">
        <w:rPr>
          <w:rFonts w:ascii="Times New Roman" w:hAnsi="Times New Roman" w:cs="Times New Roman"/>
          <w:i/>
          <w:iCs/>
          <w:sz w:val="22"/>
        </w:rPr>
        <w:t xml:space="preserve">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Rev. </w:t>
      </w:r>
      <w:r w:rsidRPr="003D2F71">
        <w:rPr>
          <w:rFonts w:ascii="Times New Roman" w:hAnsi="Times New Roman" w:cs="Times New Roman"/>
          <w:sz w:val="22"/>
        </w:rPr>
        <w:t>1212 (2013).</w:t>
      </w:r>
    </w:p>
    <w:p w14:paraId="5A97DAC3" w14:textId="37C0530C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10</w:t>
      </w:r>
      <w:r w:rsidRPr="003D2F71">
        <w:rPr>
          <w:rFonts w:ascii="Times New Roman" w:hAnsi="Times New Roman" w:cs="Times New Roman"/>
          <w:sz w:val="22"/>
        </w:rPr>
        <w:t>Romer and Romer, “The Macroeconomic Effects of Tax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Changes: Estimates Based on a New Measure of Fiscal Shocks,” 100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Am. Econ. Rev. </w:t>
      </w:r>
      <w:r w:rsidRPr="003D2F71">
        <w:rPr>
          <w:rFonts w:ascii="Times New Roman" w:hAnsi="Times New Roman" w:cs="Times New Roman"/>
          <w:sz w:val="22"/>
        </w:rPr>
        <w:t>763 (2010).</w:t>
      </w:r>
    </w:p>
    <w:p w14:paraId="47F21CFD" w14:textId="58420F8C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11</w:t>
      </w:r>
      <w:r w:rsidRPr="003D2F71">
        <w:rPr>
          <w:rFonts w:ascii="Times New Roman" w:hAnsi="Times New Roman" w:cs="Times New Roman"/>
          <w:sz w:val="22"/>
        </w:rPr>
        <w:t>Ljungqvist and Smolyansky, “To Cut or Not to Cut? On the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Impact of Corporate Taxes on Employment and Income,” Finance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and Economics Discussion Series Federal Reserve Board of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Governors Working Paper (2016).</w:t>
      </w:r>
    </w:p>
    <w:p w14:paraId="277E1156" w14:textId="09D36970" w:rsidR="00711F33" w:rsidRPr="003D2F71" w:rsidRDefault="00711F33" w:rsidP="003831C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12</w:t>
      </w:r>
      <w:r w:rsidRPr="003D2F71">
        <w:rPr>
          <w:rFonts w:ascii="Times New Roman" w:hAnsi="Times New Roman" w:cs="Times New Roman"/>
          <w:sz w:val="22"/>
        </w:rPr>
        <w:t>Harden and Hoyt, “Do States Choose Their Mix of Taxes to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Minimize Employment Losses?” 56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Nat’l Tax J. </w:t>
      </w:r>
      <w:r w:rsidRPr="003D2F71">
        <w:rPr>
          <w:rFonts w:ascii="Times New Roman" w:hAnsi="Times New Roman" w:cs="Times New Roman"/>
          <w:sz w:val="22"/>
        </w:rPr>
        <w:t>7 (2003).</w:t>
      </w:r>
    </w:p>
    <w:p w14:paraId="041AB1B1" w14:textId="0C9DFC01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13</w:t>
      </w:r>
      <w:r w:rsidRPr="003D2F71">
        <w:rPr>
          <w:rFonts w:ascii="Times New Roman" w:hAnsi="Times New Roman" w:cs="Times New Roman"/>
          <w:sz w:val="22"/>
        </w:rPr>
        <w:t>Felix, “Do State Corporate Income Taxes Reduce Wages?” 94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Econ. Rev. – Fed. Res. Bank of Kansas City </w:t>
      </w:r>
      <w:r w:rsidRPr="003D2F71">
        <w:rPr>
          <w:rFonts w:ascii="Times New Roman" w:hAnsi="Times New Roman" w:cs="Times New Roman"/>
          <w:sz w:val="22"/>
        </w:rPr>
        <w:t>77 (2009).</w:t>
      </w:r>
    </w:p>
    <w:p w14:paraId="467F9D9B" w14:textId="7D5C995E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14</w:t>
      </w:r>
      <w:r w:rsidRPr="003D2F71">
        <w:rPr>
          <w:rFonts w:ascii="Times New Roman" w:hAnsi="Times New Roman" w:cs="Times New Roman"/>
          <w:sz w:val="22"/>
        </w:rPr>
        <w:t>Shuai and Chmura, “The Effect of State Corporate Income Tax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Rate Cuts on Job Creation,” 48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Bus. Econ. </w:t>
      </w:r>
      <w:r w:rsidRPr="003D2F71">
        <w:rPr>
          <w:rFonts w:ascii="Times New Roman" w:hAnsi="Times New Roman" w:cs="Times New Roman"/>
          <w:sz w:val="22"/>
        </w:rPr>
        <w:t>183 (2013).</w:t>
      </w:r>
    </w:p>
    <w:p w14:paraId="32D459A8" w14:textId="16400E42" w:rsidR="00711F33" w:rsidRPr="003D2F71" w:rsidRDefault="00711F33" w:rsidP="003831C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lastRenderedPageBreak/>
        <w:t>15</w:t>
      </w:r>
      <w:r w:rsidRPr="003D2F71">
        <w:rPr>
          <w:rFonts w:ascii="Times New Roman" w:hAnsi="Times New Roman" w:cs="Times New Roman"/>
          <w:sz w:val="22"/>
        </w:rPr>
        <w:t xml:space="preserve">Giroud and </w:t>
      </w:r>
      <w:proofErr w:type="spellStart"/>
      <w:r w:rsidRPr="003D2F71">
        <w:rPr>
          <w:rFonts w:ascii="Times New Roman" w:hAnsi="Times New Roman" w:cs="Times New Roman"/>
          <w:sz w:val="22"/>
        </w:rPr>
        <w:t>Rauh</w:t>
      </w:r>
      <w:proofErr w:type="spellEnd"/>
      <w:r w:rsidRPr="003D2F71">
        <w:rPr>
          <w:rFonts w:ascii="Times New Roman" w:hAnsi="Times New Roman" w:cs="Times New Roman"/>
          <w:sz w:val="22"/>
        </w:rPr>
        <w:t>, “State Taxation and the Reallocation of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Business Activity: Evidence </w:t>
      </w:r>
      <w:proofErr w:type="gramStart"/>
      <w:r w:rsidRPr="003D2F71">
        <w:rPr>
          <w:rFonts w:ascii="Times New Roman" w:hAnsi="Times New Roman" w:cs="Times New Roman"/>
          <w:sz w:val="22"/>
        </w:rPr>
        <w:t>From</w:t>
      </w:r>
      <w:proofErr w:type="gramEnd"/>
      <w:r w:rsidRPr="003D2F71">
        <w:rPr>
          <w:rFonts w:ascii="Times New Roman" w:hAnsi="Times New Roman" w:cs="Times New Roman"/>
          <w:sz w:val="22"/>
        </w:rPr>
        <w:t xml:space="preserve"> Establishment-Level Data,”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National Bureau of Economic Research Working Paper No. 21534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(2015).</w:t>
      </w:r>
    </w:p>
    <w:p w14:paraId="311AD9A7" w14:textId="466153EB" w:rsidR="00711F33" w:rsidRPr="003D2F71" w:rsidRDefault="00711F33" w:rsidP="003831C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16</w:t>
      </w:r>
      <w:r w:rsidRPr="003D2F71">
        <w:rPr>
          <w:rFonts w:ascii="Times New Roman" w:hAnsi="Times New Roman" w:cs="Times New Roman"/>
          <w:sz w:val="22"/>
        </w:rPr>
        <w:t>Rohlin, Rosenthal, and Ross, “Tax Avoidance and Business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Location in a State Border Model,” 83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J. of Urban Econ. </w:t>
      </w:r>
      <w:r w:rsidRPr="003D2F71">
        <w:rPr>
          <w:rFonts w:ascii="Times New Roman" w:hAnsi="Times New Roman" w:cs="Times New Roman"/>
          <w:sz w:val="22"/>
        </w:rPr>
        <w:t>34 (2014).</w:t>
      </w:r>
    </w:p>
    <w:p w14:paraId="68168C8E" w14:textId="79533A11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17</w:t>
      </w:r>
      <w:r w:rsidRPr="003D2F71">
        <w:rPr>
          <w:rFonts w:ascii="Times New Roman" w:hAnsi="Times New Roman" w:cs="Times New Roman"/>
          <w:sz w:val="22"/>
        </w:rPr>
        <w:t xml:space="preserve">Feld and </w:t>
      </w:r>
      <w:proofErr w:type="spellStart"/>
      <w:r w:rsidRPr="003D2F71">
        <w:rPr>
          <w:rFonts w:ascii="Times New Roman" w:hAnsi="Times New Roman" w:cs="Times New Roman"/>
          <w:sz w:val="22"/>
        </w:rPr>
        <w:t>Kirchgässner</w:t>
      </w:r>
      <w:proofErr w:type="spellEnd"/>
      <w:r w:rsidRPr="003D2F71">
        <w:rPr>
          <w:rFonts w:ascii="Times New Roman" w:hAnsi="Times New Roman" w:cs="Times New Roman"/>
          <w:sz w:val="22"/>
        </w:rPr>
        <w:t>, “The Impact of Corporate and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Personal Income Taxes on the Location of Firms and on</w:t>
      </w:r>
      <w:r w:rsidR="003831C2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Employment: Some Panel Evidence for the Swiss Cantons,” 87 </w:t>
      </w:r>
      <w:r w:rsidRPr="003D2F71">
        <w:rPr>
          <w:rFonts w:ascii="Times New Roman" w:hAnsi="Times New Roman" w:cs="Times New Roman"/>
          <w:i/>
          <w:iCs/>
          <w:sz w:val="22"/>
        </w:rPr>
        <w:t>J. of</w:t>
      </w:r>
      <w:r w:rsidR="003831C2" w:rsidRPr="003D2F71">
        <w:rPr>
          <w:rFonts w:ascii="Times New Roman" w:hAnsi="Times New Roman" w:cs="Times New Roman"/>
          <w:i/>
          <w:iCs/>
          <w:sz w:val="22"/>
        </w:rPr>
        <w:t xml:space="preserve">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Pub. Econ. </w:t>
      </w:r>
      <w:r w:rsidRPr="003D2F71">
        <w:rPr>
          <w:rFonts w:ascii="Times New Roman" w:hAnsi="Times New Roman" w:cs="Times New Roman"/>
          <w:sz w:val="22"/>
        </w:rPr>
        <w:t>129 (2002).</w:t>
      </w:r>
    </w:p>
    <w:p w14:paraId="5FBA53BE" w14:textId="45897A0F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18</w:t>
      </w:r>
      <w:r w:rsidRPr="003D2F71">
        <w:rPr>
          <w:rFonts w:ascii="Times New Roman" w:hAnsi="Times New Roman" w:cs="Times New Roman"/>
          <w:sz w:val="22"/>
        </w:rPr>
        <w:t>Djankov et al., “The Effect of Corporate Taxes on Investment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and Entrepreneurship,” 2 </w:t>
      </w:r>
      <w:r w:rsidRPr="003D2F71">
        <w:rPr>
          <w:rFonts w:ascii="Times New Roman" w:hAnsi="Times New Roman" w:cs="Times New Roman"/>
          <w:i/>
          <w:iCs/>
          <w:sz w:val="22"/>
        </w:rPr>
        <w:t>Am. Econ. J.: Macroeconomic</w:t>
      </w:r>
      <w:r w:rsidRPr="003D2F71">
        <w:rPr>
          <w:rFonts w:ascii="Times New Roman" w:hAnsi="Times New Roman" w:cs="Times New Roman"/>
          <w:sz w:val="22"/>
        </w:rPr>
        <w:t>s 31 (2010).</w:t>
      </w:r>
    </w:p>
    <w:p w14:paraId="450AF5A0" w14:textId="00A40F00" w:rsidR="00711F33" w:rsidRPr="003D2F71" w:rsidRDefault="00711F33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1</w:t>
      </w:r>
      <w:r w:rsidRPr="003D2F71">
        <w:rPr>
          <w:rFonts w:ascii="Times New Roman" w:hAnsi="Times New Roman" w:cs="Times New Roman"/>
          <w:sz w:val="22"/>
        </w:rPr>
        <w:t>9Hassett and Mathur, “A Spatial Model of Corporate Tax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Incidence,” 47 </w:t>
      </w:r>
      <w:r w:rsidRPr="003D2F71">
        <w:rPr>
          <w:rFonts w:ascii="Times New Roman" w:hAnsi="Times New Roman" w:cs="Times New Roman"/>
          <w:i/>
          <w:iCs/>
          <w:sz w:val="22"/>
        </w:rPr>
        <w:t>Applied Econ</w:t>
      </w:r>
      <w:r w:rsidRPr="003D2F71">
        <w:rPr>
          <w:rFonts w:ascii="Times New Roman" w:hAnsi="Times New Roman" w:cs="Times New Roman"/>
          <w:sz w:val="22"/>
        </w:rPr>
        <w:t>. 1350 (2015).</w:t>
      </w:r>
    </w:p>
    <w:p w14:paraId="47EEA02D" w14:textId="4AB3D037" w:rsidR="00711F33" w:rsidRPr="003D2F71" w:rsidRDefault="00711F33" w:rsidP="003D2F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20</w:t>
      </w:r>
      <w:r w:rsidRPr="003D2F71">
        <w:rPr>
          <w:rFonts w:ascii="Times New Roman" w:hAnsi="Times New Roman" w:cs="Times New Roman"/>
          <w:sz w:val="22"/>
        </w:rPr>
        <w:t xml:space="preserve">Arulampalam, Devereux, and </w:t>
      </w:r>
      <w:proofErr w:type="spellStart"/>
      <w:r w:rsidRPr="003D2F71">
        <w:rPr>
          <w:rFonts w:ascii="Times New Roman" w:hAnsi="Times New Roman" w:cs="Times New Roman"/>
          <w:sz w:val="22"/>
        </w:rPr>
        <w:t>Maffini</w:t>
      </w:r>
      <w:proofErr w:type="spellEnd"/>
      <w:r w:rsidRPr="003D2F71">
        <w:rPr>
          <w:rFonts w:ascii="Times New Roman" w:hAnsi="Times New Roman" w:cs="Times New Roman"/>
          <w:sz w:val="22"/>
        </w:rPr>
        <w:t>, “The Direct Incidence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of Corporate Income Tax on Wages,” 56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European Econ. Rev. </w:t>
      </w:r>
      <w:r w:rsidRPr="003D2F71">
        <w:rPr>
          <w:rFonts w:ascii="Times New Roman" w:hAnsi="Times New Roman" w:cs="Times New Roman"/>
          <w:sz w:val="22"/>
        </w:rPr>
        <w:t>1038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(2012).</w:t>
      </w:r>
    </w:p>
    <w:p w14:paraId="3E059964" w14:textId="4F4A6463" w:rsidR="00A12006" w:rsidRPr="003D2F71" w:rsidRDefault="00A12006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21</w:t>
      </w:r>
      <w:r w:rsidRPr="003D2F71">
        <w:rPr>
          <w:rFonts w:ascii="Times New Roman" w:hAnsi="Times New Roman" w:cs="Times New Roman"/>
          <w:sz w:val="22"/>
        </w:rPr>
        <w:t xml:space="preserve">Da Rin, Di Giacomo, and </w:t>
      </w:r>
      <w:proofErr w:type="spellStart"/>
      <w:r w:rsidRPr="003D2F71">
        <w:rPr>
          <w:rFonts w:ascii="Times New Roman" w:hAnsi="Times New Roman" w:cs="Times New Roman"/>
          <w:sz w:val="22"/>
        </w:rPr>
        <w:t>Sembenelli</w:t>
      </w:r>
      <w:proofErr w:type="spellEnd"/>
      <w:r w:rsidRPr="003D2F71">
        <w:rPr>
          <w:rFonts w:ascii="Times New Roman" w:hAnsi="Times New Roman" w:cs="Times New Roman"/>
          <w:sz w:val="22"/>
        </w:rPr>
        <w:t>, “Entrepreneurship,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Firm Entry, and the Taxation of Corporate Income: Evidence </w:t>
      </w:r>
      <w:proofErr w:type="gramStart"/>
      <w:r w:rsidRPr="003D2F71">
        <w:rPr>
          <w:rFonts w:ascii="Times New Roman" w:hAnsi="Times New Roman" w:cs="Times New Roman"/>
          <w:sz w:val="22"/>
        </w:rPr>
        <w:t>From</w:t>
      </w:r>
      <w:proofErr w:type="gramEnd"/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Europe,” 95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J. of Pub. Econ. </w:t>
      </w:r>
      <w:r w:rsidRPr="003D2F71">
        <w:rPr>
          <w:rFonts w:ascii="Times New Roman" w:hAnsi="Times New Roman" w:cs="Times New Roman"/>
          <w:sz w:val="22"/>
        </w:rPr>
        <w:t>1048 (2009).</w:t>
      </w:r>
    </w:p>
    <w:p w14:paraId="11316397" w14:textId="16B1A3AD" w:rsidR="00A12006" w:rsidRPr="003D2F71" w:rsidRDefault="00A12006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22</w:t>
      </w:r>
      <w:r w:rsidRPr="003D2F71">
        <w:rPr>
          <w:rFonts w:ascii="Times New Roman" w:hAnsi="Times New Roman" w:cs="Times New Roman"/>
          <w:sz w:val="22"/>
        </w:rPr>
        <w:t>Voget, “Relocation of Headquarters and International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Taxation,” 95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J. of Pub. Econ. </w:t>
      </w:r>
      <w:r w:rsidRPr="003D2F71">
        <w:rPr>
          <w:rFonts w:ascii="Times New Roman" w:hAnsi="Times New Roman" w:cs="Times New Roman"/>
          <w:sz w:val="22"/>
        </w:rPr>
        <w:t>1067 (2011).</w:t>
      </w:r>
    </w:p>
    <w:p w14:paraId="08A0C96B" w14:textId="6DAFDEF7" w:rsidR="00A12006" w:rsidRPr="003D2F71" w:rsidRDefault="00A12006" w:rsidP="00C97F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2</w:t>
      </w:r>
      <w:r w:rsidRPr="003D2F71">
        <w:rPr>
          <w:rFonts w:ascii="Times New Roman" w:hAnsi="Times New Roman" w:cs="Times New Roman"/>
          <w:sz w:val="22"/>
        </w:rPr>
        <w:t>3Hines, “Altered States: Taxes and the Location of Foreign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 xml:space="preserve">Direct Investment in America,” 86 </w:t>
      </w:r>
      <w:r w:rsidRPr="003D2F71">
        <w:rPr>
          <w:rFonts w:ascii="Times New Roman" w:hAnsi="Times New Roman" w:cs="Times New Roman"/>
          <w:i/>
          <w:iCs/>
          <w:sz w:val="22"/>
        </w:rPr>
        <w:t xml:space="preserve">Am. Econ. Rev. </w:t>
      </w:r>
      <w:r w:rsidRPr="003D2F71">
        <w:rPr>
          <w:rFonts w:ascii="Times New Roman" w:hAnsi="Times New Roman" w:cs="Times New Roman"/>
          <w:sz w:val="22"/>
        </w:rPr>
        <w:t>1076–1094 (1996).</w:t>
      </w:r>
    </w:p>
    <w:p w14:paraId="369EAEA3" w14:textId="486496F0" w:rsidR="005C4E52" w:rsidRPr="003D2F71" w:rsidRDefault="00A12006" w:rsidP="003D2F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 w:val="22"/>
        </w:rPr>
      </w:pPr>
      <w:r w:rsidRPr="003D2F71">
        <w:rPr>
          <w:rFonts w:ascii="Times New Roman" w:hAnsi="Times New Roman" w:cs="Times New Roman"/>
          <w:sz w:val="22"/>
          <w:vertAlign w:val="superscript"/>
        </w:rPr>
        <w:t>24</w:t>
      </w:r>
      <w:r w:rsidRPr="003D2F71">
        <w:rPr>
          <w:rFonts w:ascii="Times New Roman" w:hAnsi="Times New Roman" w:cs="Times New Roman"/>
          <w:sz w:val="22"/>
        </w:rPr>
        <w:t>This estimate includes direct employment at foreign-owned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companies, indirect and induced employment from foreign-owned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companies, and indirect and induced employment from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productivity spillovers resulting from foreign-owned companies.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The figure comes from the International Trade Administration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publication: Julian Richards and Elizabeth Schaefer, “Jobs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Attributable to Foreign Direct Investment in the United States,”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Industry and Analysis Economics Brief, International Trade</w:t>
      </w:r>
      <w:r w:rsidR="003D2F71" w:rsidRPr="003D2F71">
        <w:rPr>
          <w:rFonts w:ascii="Times New Roman" w:hAnsi="Times New Roman" w:cs="Times New Roman"/>
          <w:sz w:val="22"/>
        </w:rPr>
        <w:t xml:space="preserve"> </w:t>
      </w:r>
      <w:r w:rsidRPr="003D2F71">
        <w:rPr>
          <w:rFonts w:ascii="Times New Roman" w:hAnsi="Times New Roman" w:cs="Times New Roman"/>
          <w:sz w:val="22"/>
        </w:rPr>
        <w:t>Administration (2016).</w:t>
      </w:r>
    </w:p>
    <w:sectPr w:rsidR="005C4E52" w:rsidRPr="003D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-Bol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3"/>
      <w:numFmt w:val="upperRoman"/>
      <w:lvlText w:val="%1."/>
      <w:lvlJc w:val="left"/>
      <w:pPr>
        <w:ind w:left="2701" w:hanging="541"/>
      </w:pPr>
      <w:rPr>
        <w:rFonts w:ascii="Palatino Linotype" w:hAnsi="Palatino Linotype" w:cs="Palatino Linotype"/>
        <w:b/>
        <w:bCs/>
        <w:color w:val="231F20"/>
        <w:spacing w:val="-1"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left="940" w:hanging="301"/>
      </w:pPr>
      <w:rPr>
        <w:rFonts w:ascii="Palatino Linotype" w:hAnsi="Palatino Linotype" w:cs="Palatino Linotype"/>
        <w:b w:val="0"/>
        <w:bCs w:val="0"/>
        <w:color w:val="231F20"/>
        <w:w w:val="99"/>
        <w:sz w:val="22"/>
        <w:szCs w:val="22"/>
      </w:rPr>
    </w:lvl>
    <w:lvl w:ilvl="2">
      <w:numFmt w:val="bullet"/>
      <w:lvlText w:val="•"/>
      <w:lvlJc w:val="left"/>
      <w:pPr>
        <w:ind w:left="1895" w:hanging="301"/>
      </w:pPr>
    </w:lvl>
    <w:lvl w:ilvl="3">
      <w:numFmt w:val="bullet"/>
      <w:lvlText w:val="•"/>
      <w:lvlJc w:val="left"/>
      <w:pPr>
        <w:ind w:left="2851" w:hanging="301"/>
      </w:pPr>
    </w:lvl>
    <w:lvl w:ilvl="4">
      <w:numFmt w:val="bullet"/>
      <w:lvlText w:val="•"/>
      <w:lvlJc w:val="left"/>
      <w:pPr>
        <w:ind w:left="3806" w:hanging="301"/>
      </w:pPr>
    </w:lvl>
    <w:lvl w:ilvl="5">
      <w:numFmt w:val="bullet"/>
      <w:lvlText w:val="•"/>
      <w:lvlJc w:val="left"/>
      <w:pPr>
        <w:ind w:left="4762" w:hanging="301"/>
      </w:pPr>
    </w:lvl>
    <w:lvl w:ilvl="6">
      <w:numFmt w:val="bullet"/>
      <w:lvlText w:val="•"/>
      <w:lvlJc w:val="left"/>
      <w:pPr>
        <w:ind w:left="5717" w:hanging="301"/>
      </w:pPr>
    </w:lvl>
    <w:lvl w:ilvl="7">
      <w:numFmt w:val="bullet"/>
      <w:lvlText w:val="•"/>
      <w:lvlJc w:val="left"/>
      <w:pPr>
        <w:ind w:left="6673" w:hanging="301"/>
      </w:pPr>
    </w:lvl>
    <w:lvl w:ilvl="8">
      <w:numFmt w:val="bullet"/>
      <w:lvlText w:val="•"/>
      <w:lvlJc w:val="left"/>
      <w:pPr>
        <w:ind w:left="7628" w:hanging="30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042XurSSiG0Mn4DLM5QFtVq/5MwVIpoFJbJkfDYqHn/4bMKJOjq7TwECB6odXG7FMpPabO6w80gpV0oh9loioA==" w:salt="CF7soiGmT16GhBLOMve6B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3C"/>
    <w:rsid w:val="00003562"/>
    <w:rsid w:val="0000729D"/>
    <w:rsid w:val="0000734B"/>
    <w:rsid w:val="0000764D"/>
    <w:rsid w:val="00007F4F"/>
    <w:rsid w:val="00010543"/>
    <w:rsid w:val="0001072F"/>
    <w:rsid w:val="000125F6"/>
    <w:rsid w:val="00012F2A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5D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0FB0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1EAD"/>
    <w:rsid w:val="00173556"/>
    <w:rsid w:val="00174A35"/>
    <w:rsid w:val="00175940"/>
    <w:rsid w:val="00177489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37A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4ABE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50A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07A"/>
    <w:rsid w:val="00380953"/>
    <w:rsid w:val="0038193F"/>
    <w:rsid w:val="00381F0E"/>
    <w:rsid w:val="0038204F"/>
    <w:rsid w:val="003831C2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33B4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2F71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4DA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CB5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B6F1D"/>
    <w:rsid w:val="005C00EC"/>
    <w:rsid w:val="005C30E9"/>
    <w:rsid w:val="005C4E52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E74FE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2041"/>
    <w:rsid w:val="00623E47"/>
    <w:rsid w:val="00624A0D"/>
    <w:rsid w:val="00624CD2"/>
    <w:rsid w:val="006250D2"/>
    <w:rsid w:val="0062795C"/>
    <w:rsid w:val="006304F1"/>
    <w:rsid w:val="006315C8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09DE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0CA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1F33"/>
    <w:rsid w:val="00714EE9"/>
    <w:rsid w:val="007155DD"/>
    <w:rsid w:val="0071586C"/>
    <w:rsid w:val="00715963"/>
    <w:rsid w:val="00716847"/>
    <w:rsid w:val="00717134"/>
    <w:rsid w:val="00717B40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7A2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263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7B1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243C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25A2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3CD0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AB6"/>
    <w:rsid w:val="00A03D2C"/>
    <w:rsid w:val="00A0519B"/>
    <w:rsid w:val="00A11F34"/>
    <w:rsid w:val="00A12006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B77AA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6367"/>
    <w:rsid w:val="00AD7BBA"/>
    <w:rsid w:val="00AD7C93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52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07C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6D9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4688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67A25"/>
    <w:rsid w:val="00C70BBE"/>
    <w:rsid w:val="00C719BE"/>
    <w:rsid w:val="00C71AA6"/>
    <w:rsid w:val="00C742C3"/>
    <w:rsid w:val="00C75559"/>
    <w:rsid w:val="00C769FD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97F5F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152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091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5E0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07617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39C8"/>
    <w:rsid w:val="00EA6E8E"/>
    <w:rsid w:val="00EA7978"/>
    <w:rsid w:val="00EA7D19"/>
    <w:rsid w:val="00EB3EFB"/>
    <w:rsid w:val="00EB50C5"/>
    <w:rsid w:val="00EB5C2C"/>
    <w:rsid w:val="00EB6AC0"/>
    <w:rsid w:val="00EB74EB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5DF2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152D"/>
    <w:rsid w:val="00F0246E"/>
    <w:rsid w:val="00F0258B"/>
    <w:rsid w:val="00F026DB"/>
    <w:rsid w:val="00F04133"/>
    <w:rsid w:val="00F0648F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42B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9DD"/>
    <w:rsid w:val="00FA5E0B"/>
    <w:rsid w:val="00FA73F5"/>
    <w:rsid w:val="00FA7BFA"/>
    <w:rsid w:val="00FB00F5"/>
    <w:rsid w:val="00FB0527"/>
    <w:rsid w:val="00FB20D9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30E15"/>
  <w15:chartTrackingRefBased/>
  <w15:docId w15:val="{73FCD98D-0106-4D69-8725-BD321FD39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table" w:styleId="TableGrid">
    <w:name w:val="Table Grid"/>
    <w:basedOn w:val="TableNormal"/>
    <w:uiPriority w:val="39"/>
    <w:rsid w:val="00EB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7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4E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9F3CD0"/>
    <w:pPr>
      <w:autoSpaceDE w:val="0"/>
      <w:autoSpaceDN w:val="0"/>
      <w:adjustRightInd w:val="0"/>
      <w:spacing w:after="0" w:line="280" w:lineRule="exact"/>
      <w:ind w:left="939" w:hanging="300"/>
      <w:jc w:val="left"/>
    </w:pPr>
    <w:rPr>
      <w:rFonts w:ascii="Palatino Linotype" w:hAnsi="Palatino Linotype" w:cs="Palatino Linotype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9F3CD0"/>
    <w:rPr>
      <w:rFonts w:ascii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5A10CC-1AD2-4396-AEA5-635ECEF4E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406F6-85CA-4860-8B23-0B6E4CCFE7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38BCC-7731-4346-BB98-6FFC4369CF46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1dc5a16d-a9e1-4107-81af-b56e13c8526c"/>
    <ds:schemaRef ds:uri="455b151d-75b8-4438-a72d-e06b314124a1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5534</Words>
  <Characters>31544</Characters>
  <Application>Microsoft Office Word</Application>
  <DocSecurity>8</DocSecurity>
  <Lines>262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38</cp:revision>
  <dcterms:created xsi:type="dcterms:W3CDTF">2019-04-11T15:32:00Z</dcterms:created>
  <dcterms:modified xsi:type="dcterms:W3CDTF">2019-04-11T16:43:00Z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