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84CD2"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984CD2"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984CD2">
        <w:rPr>
          <w:rFonts w:cstheme="minorHAnsi"/>
          <w:b/>
          <w:bCs/>
          <w:color w:val="316192"/>
          <w:sz w:val="28"/>
          <w:szCs w:val="26"/>
        </w:rPr>
        <w:t>Marquette University</w:t>
      </w:r>
    </w:p>
    <w:p w14:paraId="158D4B9F" w14:textId="77777777" w:rsidR="000A7622" w:rsidRPr="00984CD2" w:rsidRDefault="000A7622" w:rsidP="00D14423">
      <w:pPr>
        <w:autoSpaceDE w:val="0"/>
        <w:autoSpaceDN w:val="0"/>
        <w:adjustRightInd w:val="0"/>
        <w:rPr>
          <w:rFonts w:cstheme="minorHAnsi"/>
          <w:b/>
          <w:bCs/>
          <w:color w:val="316192"/>
          <w:sz w:val="40"/>
          <w:szCs w:val="36"/>
        </w:rPr>
      </w:pPr>
      <w:proofErr w:type="spellStart"/>
      <w:r w:rsidRPr="00984CD2">
        <w:rPr>
          <w:rFonts w:cstheme="minorHAnsi"/>
          <w:b/>
          <w:bCs/>
          <w:color w:val="316192"/>
          <w:sz w:val="40"/>
          <w:szCs w:val="36"/>
        </w:rPr>
        <w:t>e-Publications@Marquette</w:t>
      </w:r>
      <w:proofErr w:type="spellEnd"/>
    </w:p>
    <w:p w14:paraId="689ACF87" w14:textId="77777777" w:rsidR="000A7622" w:rsidRPr="00984CD2" w:rsidRDefault="000A7622" w:rsidP="00D14423">
      <w:pPr>
        <w:autoSpaceDE w:val="0"/>
        <w:autoSpaceDN w:val="0"/>
        <w:adjustRightInd w:val="0"/>
        <w:rPr>
          <w:rFonts w:cstheme="minorHAnsi"/>
          <w:b/>
          <w:bCs/>
          <w:i/>
          <w:iCs/>
        </w:rPr>
      </w:pPr>
    </w:p>
    <w:p w14:paraId="161853CC" w14:textId="05CC107D" w:rsidR="000A7622" w:rsidRPr="00984CD2" w:rsidRDefault="001D2A47"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984CD2">
        <w:rPr>
          <w:rFonts w:cstheme="minorHAnsi"/>
          <w:b/>
          <w:bCs/>
          <w:i/>
          <w:iCs/>
          <w:sz w:val="32"/>
          <w:szCs w:val="32"/>
        </w:rPr>
        <w:t>Faculty Research and Publications/</w:t>
      </w:r>
      <w:r w:rsidR="009732A9" w:rsidRPr="00984CD2">
        <w:rPr>
          <w:rFonts w:cstheme="minorHAnsi"/>
          <w:b/>
          <w:bCs/>
          <w:i/>
          <w:iCs/>
          <w:sz w:val="32"/>
          <w:szCs w:val="32"/>
        </w:rPr>
        <w:t xml:space="preserve">College of </w:t>
      </w:r>
      <w:r w:rsidR="00314C35" w:rsidRPr="00984CD2">
        <w:rPr>
          <w:rFonts w:cstheme="minorHAnsi"/>
          <w:b/>
          <w:bCs/>
          <w:i/>
          <w:iCs/>
          <w:sz w:val="32"/>
          <w:szCs w:val="32"/>
        </w:rPr>
        <w:t>Nursing</w:t>
      </w:r>
    </w:p>
    <w:bookmarkEnd w:id="1"/>
    <w:p w14:paraId="3E538636" w14:textId="77777777" w:rsidR="000A7622" w:rsidRPr="00984CD2" w:rsidRDefault="000A7622" w:rsidP="00D14423">
      <w:pPr>
        <w:jc w:val="center"/>
        <w:rPr>
          <w:rFonts w:cstheme="minorHAnsi"/>
          <w:b/>
          <w:bCs/>
          <w:i/>
          <w:iCs/>
        </w:rPr>
      </w:pPr>
    </w:p>
    <w:p w14:paraId="25509BF0" w14:textId="30FE69F1" w:rsidR="000A7622" w:rsidRPr="00984CD2" w:rsidRDefault="000A7622" w:rsidP="00D14423">
      <w:pPr>
        <w:jc w:val="center"/>
        <w:rPr>
          <w:rFonts w:cstheme="minorHAnsi"/>
          <w:sz w:val="24"/>
          <w:szCs w:val="24"/>
        </w:rPr>
      </w:pPr>
      <w:r w:rsidRPr="00984CD2">
        <w:rPr>
          <w:rFonts w:cstheme="minorHAnsi"/>
          <w:b/>
          <w:bCs/>
          <w:i/>
          <w:iCs/>
          <w:sz w:val="24"/>
          <w:szCs w:val="24"/>
        </w:rPr>
        <w:t xml:space="preserve">This paper is NOT THE PUBLISHED VERSION; </w:t>
      </w:r>
      <w:r w:rsidRPr="00984CD2">
        <w:rPr>
          <w:rFonts w:cstheme="minorHAnsi"/>
          <w:b/>
          <w:bCs/>
          <w:sz w:val="24"/>
          <w:szCs w:val="24"/>
        </w:rPr>
        <w:t xml:space="preserve">but the author’s final, peer-reviewed manuscript. </w:t>
      </w:r>
      <w:r w:rsidRPr="00984CD2">
        <w:rPr>
          <w:rFonts w:cstheme="minorHAnsi"/>
          <w:sz w:val="24"/>
          <w:szCs w:val="24"/>
        </w:rPr>
        <w:t>The published version may be accessed by following the link in th</w:t>
      </w:r>
      <w:r w:rsidR="006073C7" w:rsidRPr="00984CD2">
        <w:rPr>
          <w:rFonts w:cstheme="minorHAnsi"/>
          <w:sz w:val="24"/>
          <w:szCs w:val="24"/>
        </w:rPr>
        <w:t>e</w:t>
      </w:r>
      <w:r w:rsidRPr="00984CD2">
        <w:rPr>
          <w:rFonts w:cstheme="minorHAnsi"/>
          <w:sz w:val="24"/>
          <w:szCs w:val="24"/>
        </w:rPr>
        <w:t xml:space="preserve"> citation below.</w:t>
      </w:r>
    </w:p>
    <w:p w14:paraId="207B0342" w14:textId="77777777" w:rsidR="000A7622" w:rsidRPr="00984CD2" w:rsidRDefault="000A7622" w:rsidP="00D14423">
      <w:pPr>
        <w:jc w:val="center"/>
        <w:rPr>
          <w:rFonts w:cstheme="minorHAnsi"/>
          <w:sz w:val="24"/>
          <w:szCs w:val="24"/>
        </w:rPr>
      </w:pPr>
    </w:p>
    <w:p w14:paraId="2A38AFE1" w14:textId="7CE4BFCE" w:rsidR="000A7622" w:rsidRPr="00984CD2" w:rsidRDefault="00D239C7" w:rsidP="00D14423">
      <w:pPr>
        <w:rPr>
          <w:rFonts w:cstheme="minorHAnsi"/>
          <w:sz w:val="24"/>
          <w:szCs w:val="24"/>
        </w:rPr>
      </w:pPr>
      <w:r w:rsidRPr="00984CD2">
        <w:rPr>
          <w:rFonts w:cstheme="minorHAnsi"/>
          <w:i/>
          <w:sz w:val="24"/>
          <w:szCs w:val="24"/>
        </w:rPr>
        <w:t>Gerontology and Geriatric Medicine</w:t>
      </w:r>
      <w:r w:rsidR="000A7622" w:rsidRPr="00984CD2">
        <w:rPr>
          <w:rFonts w:cstheme="minorHAnsi"/>
          <w:sz w:val="24"/>
          <w:szCs w:val="24"/>
          <w:lang w:val="fr-FR"/>
        </w:rPr>
        <w:t xml:space="preserve">, Vol. </w:t>
      </w:r>
      <w:r w:rsidR="00C06A01" w:rsidRPr="00984CD2">
        <w:rPr>
          <w:rFonts w:cstheme="minorHAnsi"/>
          <w:sz w:val="24"/>
          <w:szCs w:val="24"/>
          <w:lang w:val="fr-FR"/>
        </w:rPr>
        <w:t>4 2018</w:t>
      </w:r>
      <w:r w:rsidR="000A7622" w:rsidRPr="00984CD2">
        <w:rPr>
          <w:rFonts w:cstheme="minorHAnsi"/>
          <w:sz w:val="24"/>
          <w:szCs w:val="24"/>
          <w:lang w:val="fr-FR"/>
        </w:rPr>
        <w:t xml:space="preserve"> </w:t>
      </w:r>
      <w:hyperlink r:id="rId8" w:history="1">
        <w:r w:rsidR="000A7622" w:rsidRPr="00984CD2">
          <w:rPr>
            <w:rStyle w:val="Hyperlink"/>
            <w:rFonts w:cstheme="minorHAnsi"/>
            <w:sz w:val="24"/>
            <w:szCs w:val="24"/>
            <w:lang w:val="fr-FR"/>
          </w:rPr>
          <w:t>DOI</w:t>
        </w:r>
      </w:hyperlink>
      <w:r w:rsidR="000A7622" w:rsidRPr="00984CD2">
        <w:rPr>
          <w:rFonts w:cstheme="minorHAnsi"/>
          <w:sz w:val="24"/>
          <w:szCs w:val="24"/>
          <w:lang w:val="fr-FR"/>
        </w:rPr>
        <w:t xml:space="preserve">. </w:t>
      </w:r>
      <w:r w:rsidR="000A7622" w:rsidRPr="00984CD2">
        <w:rPr>
          <w:rFonts w:cstheme="minorHAnsi"/>
          <w:sz w:val="24"/>
          <w:szCs w:val="24"/>
        </w:rPr>
        <w:t xml:space="preserve">This article is © </w:t>
      </w:r>
      <w:r w:rsidR="00DC2AA1" w:rsidRPr="00984CD2">
        <w:rPr>
          <w:rFonts w:cstheme="minorHAnsi"/>
          <w:sz w:val="24"/>
          <w:szCs w:val="24"/>
        </w:rPr>
        <w:t>SAGE</w:t>
      </w:r>
      <w:r w:rsidR="006E7D99" w:rsidRPr="00984CD2">
        <w:rPr>
          <w:rFonts w:cstheme="minorHAnsi"/>
          <w:sz w:val="24"/>
          <w:szCs w:val="24"/>
        </w:rPr>
        <w:t xml:space="preserve"> Publications</w:t>
      </w:r>
      <w:r w:rsidR="000A7622" w:rsidRPr="00984CD2">
        <w:rPr>
          <w:rFonts w:cstheme="minorHAnsi"/>
          <w:sz w:val="24"/>
          <w:szCs w:val="24"/>
        </w:rPr>
        <w:t xml:space="preserve"> and permission has been granted for this version to appear in </w:t>
      </w:r>
      <w:hyperlink r:id="rId9" w:history="1">
        <w:proofErr w:type="spellStart"/>
        <w:r w:rsidR="000A7622" w:rsidRPr="00984CD2">
          <w:rPr>
            <w:rFonts w:cstheme="minorHAnsi"/>
            <w:color w:val="0563C1" w:themeColor="hyperlink"/>
            <w:sz w:val="24"/>
            <w:szCs w:val="24"/>
            <w:u w:val="single"/>
          </w:rPr>
          <w:t>e-Publications@Marquette</w:t>
        </w:r>
        <w:proofErr w:type="spellEnd"/>
      </w:hyperlink>
      <w:r w:rsidR="000A7622" w:rsidRPr="00984CD2">
        <w:rPr>
          <w:rFonts w:cstheme="minorHAnsi"/>
          <w:sz w:val="24"/>
          <w:szCs w:val="24"/>
        </w:rPr>
        <w:t xml:space="preserve">. </w:t>
      </w:r>
      <w:r w:rsidR="00DC2AA1" w:rsidRPr="00984CD2">
        <w:rPr>
          <w:rFonts w:cstheme="minorHAnsi"/>
          <w:sz w:val="24"/>
          <w:szCs w:val="24"/>
        </w:rPr>
        <w:t xml:space="preserve">SAGE Publications </w:t>
      </w:r>
      <w:r w:rsidR="000A7622" w:rsidRPr="00984CD2">
        <w:rPr>
          <w:rFonts w:cstheme="minorHAnsi"/>
          <w:sz w:val="24"/>
          <w:szCs w:val="24"/>
        </w:rPr>
        <w:t xml:space="preserve">does not grant permission for this article to be further copied/distributed or hosted elsewhere without the express permission from </w:t>
      </w:r>
      <w:r w:rsidR="00DC2AA1" w:rsidRPr="00984CD2">
        <w:rPr>
          <w:rFonts w:cstheme="minorHAnsi"/>
          <w:sz w:val="24"/>
          <w:szCs w:val="24"/>
        </w:rPr>
        <w:t>SAGE Publications.</w:t>
      </w:r>
    </w:p>
    <w:bookmarkEnd w:id="2"/>
    <w:p w14:paraId="5BF6C8A5" w14:textId="1ED3EB41" w:rsidR="00A64DE7" w:rsidRPr="00984CD2" w:rsidRDefault="00A64DE7" w:rsidP="000A7622">
      <w:pPr>
        <w:rPr>
          <w:rFonts w:cstheme="minorHAnsi"/>
        </w:rPr>
      </w:pPr>
    </w:p>
    <w:p w14:paraId="42F4DA21" w14:textId="4435A1FD" w:rsidR="00314C35" w:rsidRPr="00984CD2" w:rsidRDefault="00BD359E" w:rsidP="00BD359E">
      <w:pPr>
        <w:pStyle w:val="Title"/>
        <w:rPr>
          <w:rFonts w:asciiTheme="minorHAnsi" w:hAnsiTheme="minorHAnsi" w:cstheme="minorHAnsi"/>
          <w:i/>
          <w:iCs/>
        </w:rPr>
      </w:pPr>
      <w:r w:rsidRPr="00984CD2">
        <w:rPr>
          <w:rFonts w:asciiTheme="minorHAnsi" w:hAnsiTheme="minorHAnsi" w:cstheme="minorHAnsi"/>
          <w:i/>
          <w:iCs/>
        </w:rPr>
        <w:t>Health-Related Quality of Life of Older Adults in Costa Rica as Measured by the Short-Form-36 Health Survey</w:t>
      </w:r>
    </w:p>
    <w:p w14:paraId="58945128" w14:textId="4CFA5B19" w:rsidR="00BD359E" w:rsidRPr="00984CD2" w:rsidRDefault="00BD359E" w:rsidP="00BD359E">
      <w:pPr>
        <w:rPr>
          <w:rFonts w:cstheme="minorHAnsi"/>
        </w:rPr>
      </w:pPr>
    </w:p>
    <w:p w14:paraId="0B7A5D5A" w14:textId="50972E77" w:rsidR="00C46B0A" w:rsidRPr="00EB420D" w:rsidRDefault="00895AB7" w:rsidP="00E12ED7">
      <w:pPr>
        <w:pStyle w:val="NoSpacing"/>
        <w:rPr>
          <w:sz w:val="32"/>
          <w:szCs w:val="32"/>
        </w:rPr>
      </w:pPr>
      <w:r w:rsidRPr="00EB420D">
        <w:rPr>
          <w:sz w:val="32"/>
          <w:szCs w:val="32"/>
        </w:rPr>
        <w:t xml:space="preserve">Esmeralda </w:t>
      </w:r>
      <w:proofErr w:type="spellStart"/>
      <w:r w:rsidRPr="00EB420D">
        <w:rPr>
          <w:sz w:val="32"/>
          <w:szCs w:val="32"/>
        </w:rPr>
        <w:t>Valdivieso</w:t>
      </w:r>
      <w:proofErr w:type="spellEnd"/>
      <w:r w:rsidRPr="00EB420D">
        <w:rPr>
          <w:sz w:val="32"/>
          <w:szCs w:val="32"/>
        </w:rPr>
        <w:t>-Mor</w:t>
      </w:r>
      <w:r w:rsidR="00C46B0A" w:rsidRPr="00EB420D">
        <w:rPr>
          <w:sz w:val="32"/>
          <w:szCs w:val="32"/>
        </w:rPr>
        <w:t>a</w:t>
      </w:r>
    </w:p>
    <w:p w14:paraId="52DE7DA5" w14:textId="67252B71" w:rsidR="001E6FA8" w:rsidRPr="00EB420D" w:rsidRDefault="001E6FA8" w:rsidP="00E12ED7">
      <w:pPr>
        <w:pStyle w:val="NoSpacing"/>
        <w:rPr>
          <w:sz w:val="24"/>
          <w:szCs w:val="24"/>
        </w:rPr>
      </w:pPr>
      <w:r w:rsidRPr="00EB420D">
        <w:rPr>
          <w:sz w:val="24"/>
          <w:szCs w:val="24"/>
        </w:rPr>
        <w:t xml:space="preserve">University of Kansas, Universidad </w:t>
      </w:r>
      <w:r w:rsidR="005A53E1" w:rsidRPr="00EB420D">
        <w:rPr>
          <w:sz w:val="24"/>
          <w:szCs w:val="24"/>
        </w:rPr>
        <w:t>Centro Americana</w:t>
      </w:r>
    </w:p>
    <w:p w14:paraId="219FCB84" w14:textId="4B8559C3" w:rsidR="00C46B0A" w:rsidRPr="00EB420D" w:rsidRDefault="00895AB7" w:rsidP="00E12ED7">
      <w:pPr>
        <w:pStyle w:val="NoSpacing"/>
        <w:rPr>
          <w:sz w:val="32"/>
          <w:szCs w:val="32"/>
        </w:rPr>
      </w:pPr>
      <w:r w:rsidRPr="00EB420D">
        <w:rPr>
          <w:sz w:val="32"/>
          <w:szCs w:val="32"/>
        </w:rPr>
        <w:t>Mirjana Ivanisevi</w:t>
      </w:r>
      <w:r w:rsidR="00C46B0A" w:rsidRPr="00EB420D">
        <w:rPr>
          <w:sz w:val="32"/>
          <w:szCs w:val="32"/>
        </w:rPr>
        <w:t>c</w:t>
      </w:r>
    </w:p>
    <w:p w14:paraId="55D15B3D" w14:textId="0134BB77" w:rsidR="00C46B0A" w:rsidRPr="00EB420D" w:rsidRDefault="005A53E1" w:rsidP="00E12ED7">
      <w:pPr>
        <w:pStyle w:val="NoSpacing"/>
        <w:rPr>
          <w:sz w:val="24"/>
          <w:szCs w:val="24"/>
        </w:rPr>
      </w:pPr>
      <w:r w:rsidRPr="00EB420D">
        <w:rPr>
          <w:sz w:val="24"/>
          <w:szCs w:val="24"/>
        </w:rPr>
        <w:t>University of Kansas</w:t>
      </w:r>
    </w:p>
    <w:p w14:paraId="6F6DF27D" w14:textId="5BA62559" w:rsidR="00C46B0A" w:rsidRPr="00EB420D" w:rsidRDefault="00895AB7" w:rsidP="00E12ED7">
      <w:pPr>
        <w:pStyle w:val="NoSpacing"/>
        <w:rPr>
          <w:sz w:val="32"/>
          <w:szCs w:val="32"/>
        </w:rPr>
      </w:pPr>
      <w:r w:rsidRPr="00EB420D">
        <w:rPr>
          <w:sz w:val="32"/>
          <w:szCs w:val="32"/>
        </w:rPr>
        <w:t>Leslie A. Shaw</w:t>
      </w:r>
    </w:p>
    <w:p w14:paraId="0FF3C0A5" w14:textId="7D3E7580" w:rsidR="00C46B0A" w:rsidRPr="00EB420D" w:rsidRDefault="005A53E1" w:rsidP="00E12ED7">
      <w:pPr>
        <w:pStyle w:val="NoSpacing"/>
        <w:rPr>
          <w:sz w:val="24"/>
          <w:szCs w:val="24"/>
        </w:rPr>
      </w:pPr>
      <w:r w:rsidRPr="00EB420D">
        <w:rPr>
          <w:sz w:val="24"/>
          <w:szCs w:val="24"/>
        </w:rPr>
        <w:t xml:space="preserve">Cornell University </w:t>
      </w:r>
    </w:p>
    <w:p w14:paraId="61C95106" w14:textId="7B9B6CC0" w:rsidR="00C46B0A" w:rsidRPr="00EB420D" w:rsidRDefault="00895AB7" w:rsidP="00E12ED7">
      <w:pPr>
        <w:pStyle w:val="NoSpacing"/>
        <w:rPr>
          <w:sz w:val="32"/>
          <w:szCs w:val="32"/>
        </w:rPr>
      </w:pPr>
      <w:r w:rsidRPr="00EB420D">
        <w:rPr>
          <w:sz w:val="32"/>
          <w:szCs w:val="32"/>
        </w:rPr>
        <w:t>Mauricio Garnier-Villarreal</w:t>
      </w:r>
    </w:p>
    <w:p w14:paraId="14A7FC30" w14:textId="7EE0C6D4" w:rsidR="005A53E1" w:rsidRPr="00EB420D" w:rsidRDefault="00AF36FE" w:rsidP="00E12ED7">
      <w:pPr>
        <w:pStyle w:val="NoSpacing"/>
        <w:rPr>
          <w:sz w:val="24"/>
          <w:szCs w:val="24"/>
        </w:rPr>
      </w:pPr>
      <w:r w:rsidRPr="00EB420D">
        <w:rPr>
          <w:sz w:val="24"/>
          <w:szCs w:val="24"/>
        </w:rPr>
        <w:t>Marquette University</w:t>
      </w:r>
    </w:p>
    <w:p w14:paraId="517AFE34" w14:textId="1038A7D5" w:rsidR="00C46B0A" w:rsidRPr="00EB420D" w:rsidRDefault="00895AB7" w:rsidP="00E12ED7">
      <w:pPr>
        <w:pStyle w:val="NoSpacing"/>
        <w:rPr>
          <w:sz w:val="32"/>
          <w:szCs w:val="32"/>
        </w:rPr>
      </w:pPr>
      <w:r w:rsidRPr="00EB420D">
        <w:rPr>
          <w:sz w:val="32"/>
          <w:szCs w:val="32"/>
        </w:rPr>
        <w:t>Zachary D. Green</w:t>
      </w:r>
    </w:p>
    <w:p w14:paraId="688B50BF" w14:textId="1E6DF364" w:rsidR="00AF36FE" w:rsidRPr="00EB420D" w:rsidRDefault="00A1725A" w:rsidP="00E12ED7">
      <w:pPr>
        <w:pStyle w:val="NoSpacing"/>
        <w:rPr>
          <w:sz w:val="24"/>
          <w:szCs w:val="24"/>
        </w:rPr>
      </w:pPr>
      <w:r w:rsidRPr="00EB420D">
        <w:rPr>
          <w:sz w:val="24"/>
          <w:szCs w:val="24"/>
        </w:rPr>
        <w:t>University of Kansas</w:t>
      </w:r>
    </w:p>
    <w:p w14:paraId="49D8DEF7" w14:textId="4C51569F" w:rsidR="00C46B0A" w:rsidRPr="00EB420D" w:rsidRDefault="00895AB7" w:rsidP="00E12ED7">
      <w:pPr>
        <w:pStyle w:val="NoSpacing"/>
        <w:rPr>
          <w:sz w:val="32"/>
          <w:szCs w:val="32"/>
        </w:rPr>
      </w:pPr>
      <w:r w:rsidRPr="00EB420D">
        <w:rPr>
          <w:sz w:val="32"/>
          <w:szCs w:val="32"/>
        </w:rPr>
        <w:t>Mónica Salazar-</w:t>
      </w:r>
      <w:proofErr w:type="spellStart"/>
      <w:r w:rsidRPr="00EB420D">
        <w:rPr>
          <w:sz w:val="32"/>
          <w:szCs w:val="32"/>
        </w:rPr>
        <w:t>Villanea</w:t>
      </w:r>
      <w:proofErr w:type="spellEnd"/>
    </w:p>
    <w:p w14:paraId="6774EE99" w14:textId="25B86C0C" w:rsidR="00C46B0A" w:rsidRPr="00EB420D" w:rsidRDefault="00A1725A" w:rsidP="00E12ED7">
      <w:pPr>
        <w:pStyle w:val="NoSpacing"/>
        <w:rPr>
          <w:sz w:val="24"/>
          <w:szCs w:val="24"/>
        </w:rPr>
      </w:pPr>
      <w:r w:rsidRPr="00EB420D">
        <w:rPr>
          <w:sz w:val="24"/>
          <w:szCs w:val="24"/>
        </w:rPr>
        <w:t>University of Costa Rica</w:t>
      </w:r>
    </w:p>
    <w:p w14:paraId="1A62DEEC" w14:textId="0BF23F73" w:rsidR="00C46B0A" w:rsidRPr="00EB420D" w:rsidRDefault="00895AB7" w:rsidP="00E12ED7">
      <w:pPr>
        <w:pStyle w:val="NoSpacing"/>
        <w:rPr>
          <w:sz w:val="32"/>
          <w:szCs w:val="32"/>
        </w:rPr>
      </w:pPr>
      <w:r w:rsidRPr="00EB420D">
        <w:rPr>
          <w:sz w:val="32"/>
          <w:szCs w:val="32"/>
        </w:rPr>
        <w:t>José Moncada-Jiménez</w:t>
      </w:r>
    </w:p>
    <w:p w14:paraId="6778C66A" w14:textId="4C11EB96" w:rsidR="00C46B0A" w:rsidRPr="00EB420D" w:rsidRDefault="00A1725A" w:rsidP="00E12ED7">
      <w:pPr>
        <w:pStyle w:val="NoSpacing"/>
        <w:rPr>
          <w:sz w:val="24"/>
          <w:szCs w:val="24"/>
        </w:rPr>
      </w:pPr>
      <w:r w:rsidRPr="00EB420D">
        <w:rPr>
          <w:sz w:val="24"/>
          <w:szCs w:val="24"/>
        </w:rPr>
        <w:t>University of Costa Rica</w:t>
      </w:r>
    </w:p>
    <w:p w14:paraId="3B85B9AE" w14:textId="146D94D2" w:rsidR="00BD359E" w:rsidRPr="00EB420D" w:rsidRDefault="00895AB7" w:rsidP="00E12ED7">
      <w:pPr>
        <w:pStyle w:val="NoSpacing"/>
        <w:rPr>
          <w:sz w:val="32"/>
          <w:szCs w:val="32"/>
        </w:rPr>
      </w:pPr>
      <w:r w:rsidRPr="00EB420D">
        <w:rPr>
          <w:sz w:val="32"/>
          <w:szCs w:val="32"/>
        </w:rPr>
        <w:lastRenderedPageBreak/>
        <w:t>David K. Johnson</w:t>
      </w:r>
    </w:p>
    <w:p w14:paraId="4AF2E81F" w14:textId="455357D6" w:rsidR="00BC04DC" w:rsidRPr="00EB420D" w:rsidRDefault="00D73DB3" w:rsidP="00E12ED7">
      <w:pPr>
        <w:pStyle w:val="NoSpacing"/>
        <w:rPr>
          <w:sz w:val="24"/>
          <w:szCs w:val="24"/>
        </w:rPr>
      </w:pPr>
      <w:r w:rsidRPr="00EB420D">
        <w:rPr>
          <w:sz w:val="24"/>
          <w:szCs w:val="24"/>
        </w:rPr>
        <w:t xml:space="preserve">University of California </w:t>
      </w:r>
    </w:p>
    <w:p w14:paraId="50C450EB" w14:textId="166115C0" w:rsidR="00BC04DC" w:rsidRPr="00984CD2" w:rsidRDefault="00BC04DC" w:rsidP="00BD359E">
      <w:pPr>
        <w:rPr>
          <w:rFonts w:cstheme="minorHAnsi"/>
          <w:sz w:val="28"/>
          <w:szCs w:val="28"/>
        </w:rPr>
      </w:pPr>
    </w:p>
    <w:p w14:paraId="3459BBCE" w14:textId="50851F14" w:rsidR="00DF505D" w:rsidRPr="00984CD2" w:rsidRDefault="00A67D59" w:rsidP="00F04F4F">
      <w:pPr>
        <w:rPr>
          <w:rFonts w:cstheme="minorHAnsi"/>
        </w:rPr>
      </w:pPr>
      <w:r w:rsidRPr="00984CD2">
        <w:rPr>
          <w:rStyle w:val="Heading1Char"/>
          <w:rFonts w:asciiTheme="minorHAnsi" w:hAnsiTheme="minorHAnsi" w:cstheme="minorHAnsi"/>
        </w:rPr>
        <w:t xml:space="preserve">Abstract </w:t>
      </w:r>
      <w:r w:rsidRPr="00122E35">
        <w:t>Objective</w:t>
      </w:r>
      <w:r w:rsidRPr="00984CD2">
        <w:rPr>
          <w:rFonts w:cstheme="minorHAnsi"/>
        </w:rPr>
        <w:t>: To test the validity of a common measure of health-related quality of life (Short-Form-36 [SF-36]) in cognitively healthy older adults living in rural and urban Costa Rica. Method: Confirmatory factor analysis was applied to SF-36 data collected in 250 older adults from San Jose and Guanacaste, Costa Rica. Results: The best fitting model for the SF-36 was an eight first-order factor structure. A high correlation between the Mental Component Summary and Physical Component Summary scores was found. Region differences indicated that rural dwellers perceive a poorer health-related quality of life compared with the urban group. Discussion: Costa Rican older adults perceived health as a unidimensional construct. Age and urbanity of older adult Costa Ricans should be appreciated when trying to measure self-reported physical and mental health. Cultural context of the individuals should be considered when studying health-related quality of life.</w:t>
      </w:r>
    </w:p>
    <w:p w14:paraId="55FFF341" w14:textId="77777777" w:rsidR="00F04F4F" w:rsidRPr="00984CD2" w:rsidRDefault="00F04F4F" w:rsidP="00F04F4F">
      <w:pPr>
        <w:pStyle w:val="Heading1"/>
        <w:rPr>
          <w:rFonts w:asciiTheme="minorHAnsi" w:hAnsiTheme="minorHAnsi" w:cstheme="minorHAnsi"/>
        </w:rPr>
      </w:pPr>
      <w:r w:rsidRPr="00984CD2">
        <w:rPr>
          <w:rFonts w:asciiTheme="minorHAnsi" w:hAnsiTheme="minorHAnsi" w:cstheme="minorHAnsi"/>
        </w:rPr>
        <w:t xml:space="preserve">Keywords </w:t>
      </w:r>
    </w:p>
    <w:p w14:paraId="519CDA67" w14:textId="5723F109" w:rsidR="00DF505D" w:rsidRPr="00984CD2" w:rsidRDefault="00F04F4F" w:rsidP="00BD359E">
      <w:pPr>
        <w:rPr>
          <w:rFonts w:cstheme="minorHAnsi"/>
        </w:rPr>
      </w:pPr>
      <w:r w:rsidRPr="00984CD2">
        <w:rPr>
          <w:rFonts w:cstheme="minorHAnsi"/>
        </w:rPr>
        <w:t>health-related quality of life, SF-36, Costa Rica, older adults, rural/urban differences</w:t>
      </w:r>
    </w:p>
    <w:p w14:paraId="47B2A36B" w14:textId="77777777" w:rsidR="009A177A" w:rsidRDefault="00F04F4F" w:rsidP="00BD359E">
      <w:pPr>
        <w:rPr>
          <w:rFonts w:cstheme="minorHAnsi"/>
        </w:rPr>
      </w:pPr>
      <w:r w:rsidRPr="00984CD2">
        <w:rPr>
          <w:rFonts w:cstheme="minorHAnsi"/>
        </w:rPr>
        <w:t>Manuscript received: March 7, 2018; final revision received: May 1, 2018; accepted: May 21, 2018</w:t>
      </w:r>
      <w:r w:rsidR="00F927B9" w:rsidRPr="00984CD2">
        <w:rPr>
          <w:rFonts w:cstheme="minorHAnsi"/>
        </w:rPr>
        <w:t xml:space="preserve">The Short-Form-36 health survey (SF-36) is a </w:t>
      </w:r>
      <w:proofErr w:type="spellStart"/>
      <w:r w:rsidR="00F927B9" w:rsidRPr="00984CD2">
        <w:rPr>
          <w:rFonts w:cstheme="minorHAnsi"/>
        </w:rPr>
        <w:t>factoranalytically</w:t>
      </w:r>
      <w:proofErr w:type="spellEnd"/>
      <w:r w:rsidR="00F927B9" w:rsidRPr="00984CD2">
        <w:rPr>
          <w:rFonts w:cstheme="minorHAnsi"/>
        </w:rPr>
        <w:t xml:space="preserve"> derived measure of health-related quality of life (HRQOL; Ware &amp; </w:t>
      </w:r>
      <w:proofErr w:type="spellStart"/>
      <w:r w:rsidR="00F927B9" w:rsidRPr="00984CD2">
        <w:rPr>
          <w:rFonts w:cstheme="minorHAnsi"/>
        </w:rPr>
        <w:t>Sherbourne</w:t>
      </w:r>
      <w:proofErr w:type="spellEnd"/>
      <w:r w:rsidR="00F927B9" w:rsidRPr="00984CD2">
        <w:rPr>
          <w:rFonts w:cstheme="minorHAnsi"/>
        </w:rPr>
        <w:t xml:space="preserve">, 1992) created from a subset of items from the Medical Outcome Study Questionnaire (MOS; Stewart &amp; Ware, 1992). The SF-36 items aggregate into eight scales (first-order factors): physical functioning (PF), bodily pain (BP), role limitations due to physical health problems (RP), general health (GH), role limitations due to emotional problems (RE), social functioning (SF), emotional wellbeing/mental health (MH), and energy/fatigue or vitality (VT). The eight subscales yield two second-order factors: </w:t>
      </w:r>
      <w:proofErr w:type="gramStart"/>
      <w:r w:rsidR="00F927B9" w:rsidRPr="00984CD2">
        <w:rPr>
          <w:rFonts w:cstheme="minorHAnsi"/>
        </w:rPr>
        <w:t>the</w:t>
      </w:r>
      <w:proofErr w:type="gramEnd"/>
      <w:r w:rsidR="00F927B9" w:rsidRPr="00984CD2">
        <w:rPr>
          <w:rFonts w:cstheme="minorHAnsi"/>
        </w:rPr>
        <w:t xml:space="preserve"> Physical Component Summary (PCS; PF, BP, RP, and GH) and the Mental Component Summary (MCS; RE, SF, MH, and VT; cf. Ware &amp; Kosinski, 2001; Ware &amp; </w:t>
      </w:r>
      <w:proofErr w:type="spellStart"/>
      <w:r w:rsidR="00F927B9" w:rsidRPr="00984CD2">
        <w:rPr>
          <w:rFonts w:cstheme="minorHAnsi"/>
        </w:rPr>
        <w:t>Sherbourne</w:t>
      </w:r>
      <w:proofErr w:type="spellEnd"/>
      <w:r w:rsidR="00F927B9" w:rsidRPr="00984CD2">
        <w:rPr>
          <w:rFonts w:cstheme="minorHAnsi"/>
        </w:rPr>
        <w:t xml:space="preserve">, 1992). </w:t>
      </w:r>
    </w:p>
    <w:p w14:paraId="3C00DF10" w14:textId="77777777" w:rsidR="004D7CF9" w:rsidRDefault="00F927B9" w:rsidP="00BD359E">
      <w:pPr>
        <w:rPr>
          <w:rFonts w:cstheme="minorHAnsi"/>
        </w:rPr>
      </w:pPr>
      <w:r w:rsidRPr="00984CD2">
        <w:rPr>
          <w:rFonts w:cstheme="minorHAnsi"/>
        </w:rPr>
        <w:t xml:space="preserve">Initially developed in the United States, the SF-36 was adapted and validated for international use by the International Quality of Life Assessment project (IQOLA; Ware &amp; </w:t>
      </w:r>
      <w:proofErr w:type="spellStart"/>
      <w:r w:rsidRPr="00984CD2">
        <w:rPr>
          <w:rFonts w:cstheme="minorHAnsi"/>
        </w:rPr>
        <w:t>Gandek</w:t>
      </w:r>
      <w:proofErr w:type="spellEnd"/>
      <w:r w:rsidRPr="00984CD2">
        <w:rPr>
          <w:rFonts w:cstheme="minorHAnsi"/>
        </w:rPr>
        <w:t xml:space="preserve">, 1998). The current version of the SF-36 (Version 2.0) was improved in 1996 with better instructions, scales of measurement, and item words while maintaining the composition of the scales (Ware, 1999). The improvements also included greater comparability to commonly used translations of the instrument and cultural adaptations that were based on Version 1.0, allowing for ease of comparison between the two versions to obtain information on HRQOL. The SF-36 is used in over 40 countries worldwide, including many Latin American countries (LAC; Ware &amp; </w:t>
      </w:r>
      <w:proofErr w:type="spellStart"/>
      <w:r w:rsidRPr="00984CD2">
        <w:rPr>
          <w:rFonts w:cstheme="minorHAnsi"/>
        </w:rPr>
        <w:t>Gandek</w:t>
      </w:r>
      <w:proofErr w:type="spellEnd"/>
      <w:r w:rsidRPr="00984CD2">
        <w:rPr>
          <w:rFonts w:cstheme="minorHAnsi"/>
        </w:rPr>
        <w:t xml:space="preserve">, 1998). </w:t>
      </w:r>
    </w:p>
    <w:p w14:paraId="75177165" w14:textId="3FCD2493" w:rsidR="00D73DB3" w:rsidRPr="00984CD2" w:rsidRDefault="00F927B9" w:rsidP="00BD359E">
      <w:pPr>
        <w:rPr>
          <w:rFonts w:cstheme="minorHAnsi"/>
        </w:rPr>
      </w:pPr>
      <w:r w:rsidRPr="00984CD2">
        <w:rPr>
          <w:rFonts w:cstheme="minorHAnsi"/>
        </w:rPr>
        <w:t xml:space="preserve">The Spanish version of the SF-36 was originally adapted by Alonso, Prieto, and </w:t>
      </w:r>
      <w:proofErr w:type="spellStart"/>
      <w:r w:rsidRPr="00984CD2">
        <w:rPr>
          <w:rFonts w:cstheme="minorHAnsi"/>
        </w:rPr>
        <w:t>Anto</w:t>
      </w:r>
      <w:proofErr w:type="spellEnd"/>
      <w:r w:rsidRPr="00984CD2">
        <w:rPr>
          <w:rFonts w:cstheme="minorHAnsi"/>
        </w:rPr>
        <w:t xml:space="preserve"> (1995) in general adult population from Spain and has been widely used in this country to study HRQOL in different diseases (Alonso et al., 1998; </w:t>
      </w:r>
      <w:proofErr w:type="spellStart"/>
      <w:r w:rsidRPr="00984CD2">
        <w:rPr>
          <w:rFonts w:cstheme="minorHAnsi"/>
        </w:rPr>
        <w:t>Failde</w:t>
      </w:r>
      <w:proofErr w:type="spellEnd"/>
      <w:r w:rsidRPr="00984CD2">
        <w:rPr>
          <w:rFonts w:cstheme="minorHAnsi"/>
        </w:rPr>
        <w:t xml:space="preserve"> &amp; Ramos, 2000; Sánchez et al., 2012). Further research examining the psychometric properties of this instrument have been conducted in LAC, such as Brazil (</w:t>
      </w:r>
      <w:proofErr w:type="spellStart"/>
      <w:r w:rsidRPr="00984CD2">
        <w:rPr>
          <w:rFonts w:cstheme="minorHAnsi"/>
        </w:rPr>
        <w:t>Assumpcao</w:t>
      </w:r>
      <w:proofErr w:type="spellEnd"/>
      <w:r w:rsidRPr="00984CD2">
        <w:rPr>
          <w:rFonts w:cstheme="minorHAnsi"/>
        </w:rPr>
        <w:t xml:space="preserve"> et al., 2010; </w:t>
      </w:r>
      <w:proofErr w:type="spellStart"/>
      <w:r w:rsidRPr="00984CD2">
        <w:rPr>
          <w:rFonts w:cstheme="minorHAnsi"/>
        </w:rPr>
        <w:t>GomesTeixeira</w:t>
      </w:r>
      <w:proofErr w:type="spellEnd"/>
      <w:r w:rsidRPr="00984CD2">
        <w:rPr>
          <w:rFonts w:cstheme="minorHAnsi"/>
        </w:rPr>
        <w:t xml:space="preserve"> et al., 2015; Oliveira, Costa, Manzoni, &amp; Cabral, 2014), Argentina (</w:t>
      </w:r>
      <w:proofErr w:type="spellStart"/>
      <w:r w:rsidRPr="00984CD2">
        <w:rPr>
          <w:rFonts w:cstheme="minorHAnsi"/>
        </w:rPr>
        <w:t>Augustovski</w:t>
      </w:r>
      <w:proofErr w:type="spellEnd"/>
      <w:r w:rsidRPr="00984CD2">
        <w:rPr>
          <w:rFonts w:cstheme="minorHAnsi"/>
        </w:rPr>
        <w:t>, Lewin, Garcia-</w:t>
      </w:r>
      <w:proofErr w:type="spellStart"/>
      <w:r w:rsidRPr="00984CD2">
        <w:rPr>
          <w:rFonts w:cstheme="minorHAnsi"/>
        </w:rPr>
        <w:t>Elorrio</w:t>
      </w:r>
      <w:proofErr w:type="spellEnd"/>
      <w:r w:rsidRPr="00984CD2">
        <w:rPr>
          <w:rFonts w:cstheme="minorHAnsi"/>
        </w:rPr>
        <w:t xml:space="preserve">, &amp; Rubinstein, 2008), Mexico (López-Pérez et al., 2014; </w:t>
      </w:r>
      <w:proofErr w:type="spellStart"/>
      <w:r w:rsidRPr="00984CD2">
        <w:rPr>
          <w:rFonts w:cstheme="minorHAnsi"/>
        </w:rPr>
        <w:t>Martínez-Hernández</w:t>
      </w:r>
      <w:proofErr w:type="spellEnd"/>
      <w:r w:rsidRPr="00984CD2">
        <w:rPr>
          <w:rFonts w:cstheme="minorHAnsi"/>
        </w:rPr>
        <w:t xml:space="preserve">, </w:t>
      </w:r>
      <w:proofErr w:type="spellStart"/>
      <w:r w:rsidRPr="00984CD2">
        <w:rPr>
          <w:rFonts w:cstheme="minorHAnsi"/>
        </w:rPr>
        <w:t>Segura-Méndez</w:t>
      </w:r>
      <w:proofErr w:type="spellEnd"/>
      <w:r w:rsidRPr="00984CD2">
        <w:rPr>
          <w:rFonts w:cstheme="minorHAnsi"/>
        </w:rPr>
        <w:t xml:space="preserve">, </w:t>
      </w:r>
      <w:proofErr w:type="spellStart"/>
      <w:r w:rsidRPr="00984CD2">
        <w:rPr>
          <w:rFonts w:cstheme="minorHAnsi"/>
        </w:rPr>
        <w:t>AntonioOcampo</w:t>
      </w:r>
      <w:proofErr w:type="spellEnd"/>
      <w:r w:rsidRPr="00984CD2">
        <w:rPr>
          <w:rFonts w:cstheme="minorHAnsi"/>
        </w:rPr>
        <w:t xml:space="preserve">, Torres-Salazar, &amp; Murillo-Gómez, 2010; Zuniga, Carrillo-Jimenez, </w:t>
      </w:r>
      <w:proofErr w:type="spellStart"/>
      <w:r w:rsidRPr="00984CD2">
        <w:rPr>
          <w:rFonts w:cstheme="minorHAnsi"/>
        </w:rPr>
        <w:t>Fos</w:t>
      </w:r>
      <w:proofErr w:type="spellEnd"/>
      <w:r w:rsidRPr="00984CD2">
        <w:rPr>
          <w:rFonts w:cstheme="minorHAnsi"/>
        </w:rPr>
        <w:t xml:space="preserve">, </w:t>
      </w:r>
      <w:proofErr w:type="spellStart"/>
      <w:r w:rsidRPr="00984CD2">
        <w:rPr>
          <w:rFonts w:cstheme="minorHAnsi"/>
        </w:rPr>
        <w:t>Gandek</w:t>
      </w:r>
      <w:proofErr w:type="spellEnd"/>
      <w:r w:rsidRPr="00984CD2">
        <w:rPr>
          <w:rFonts w:cstheme="minorHAnsi"/>
        </w:rPr>
        <w:t xml:space="preserve">, &amp; </w:t>
      </w:r>
      <w:proofErr w:type="spellStart"/>
      <w:r w:rsidRPr="00984CD2">
        <w:rPr>
          <w:rFonts w:cstheme="minorHAnsi"/>
        </w:rPr>
        <w:t>MedinaMoreno</w:t>
      </w:r>
      <w:proofErr w:type="spellEnd"/>
      <w:r w:rsidRPr="00984CD2">
        <w:rPr>
          <w:rFonts w:cstheme="minorHAnsi"/>
        </w:rPr>
        <w:t xml:space="preserve">, 1999), Chile (Lera, Fuentes-Garcia, Sanchez, &amp; </w:t>
      </w:r>
      <w:proofErr w:type="spellStart"/>
      <w:r w:rsidRPr="00984CD2">
        <w:rPr>
          <w:rFonts w:cstheme="minorHAnsi"/>
        </w:rPr>
        <w:t>Albala</w:t>
      </w:r>
      <w:proofErr w:type="spellEnd"/>
      <w:r w:rsidRPr="00984CD2">
        <w:rPr>
          <w:rFonts w:cstheme="minorHAnsi"/>
        </w:rPr>
        <w:t>, 2013), Peru (Salazar &amp; Bernabe, 2015), and Colombia (Arango-</w:t>
      </w:r>
      <w:proofErr w:type="spellStart"/>
      <w:r w:rsidRPr="00984CD2">
        <w:rPr>
          <w:rFonts w:cstheme="minorHAnsi"/>
        </w:rPr>
        <w:t>Lasprilla</w:t>
      </w:r>
      <w:proofErr w:type="spellEnd"/>
      <w:r w:rsidRPr="00984CD2">
        <w:rPr>
          <w:rFonts w:cstheme="minorHAnsi"/>
        </w:rPr>
        <w:t xml:space="preserve">, </w:t>
      </w:r>
      <w:proofErr w:type="spellStart"/>
      <w:r w:rsidRPr="00984CD2">
        <w:rPr>
          <w:rFonts w:cstheme="minorHAnsi"/>
        </w:rPr>
        <w:t>Krch</w:t>
      </w:r>
      <w:proofErr w:type="spellEnd"/>
      <w:r w:rsidRPr="00984CD2">
        <w:rPr>
          <w:rFonts w:cstheme="minorHAnsi"/>
        </w:rPr>
        <w:t xml:space="preserve">, Drew, De Los Reyes Aragon, &amp; Stevens, 2012; Garcia, Vera, &amp; Lugo, 2014). These studies have examined the psychometric properties of this instrument with either descriptive or </w:t>
      </w:r>
      <w:proofErr w:type="spellStart"/>
      <w:r w:rsidRPr="00984CD2">
        <w:rPr>
          <w:rFonts w:cstheme="minorHAnsi"/>
        </w:rPr>
        <w:t>theorydriven</w:t>
      </w:r>
      <w:proofErr w:type="spellEnd"/>
      <w:r w:rsidRPr="00984CD2">
        <w:rPr>
          <w:rFonts w:cstheme="minorHAnsi"/>
        </w:rPr>
        <w:t xml:space="preserve"> (i.e., a priori) statistical procedures. Studies using descriptive statistical procedures have mostly focused on analyzing the validity and reliability of the SF-36 by testing its internal consistency with Cronbach’s alpha (</w:t>
      </w:r>
      <w:proofErr w:type="spellStart"/>
      <w:r w:rsidRPr="00984CD2">
        <w:rPr>
          <w:rFonts w:cstheme="minorHAnsi"/>
        </w:rPr>
        <w:t>Assumpcao</w:t>
      </w:r>
      <w:proofErr w:type="spellEnd"/>
      <w:r w:rsidRPr="00984CD2">
        <w:rPr>
          <w:rFonts w:cstheme="minorHAnsi"/>
        </w:rPr>
        <w:t xml:space="preserve"> et al., 2010; </w:t>
      </w:r>
      <w:proofErr w:type="spellStart"/>
      <w:r w:rsidRPr="00984CD2">
        <w:rPr>
          <w:rFonts w:cstheme="minorHAnsi"/>
        </w:rPr>
        <w:lastRenderedPageBreak/>
        <w:t>Augustovski</w:t>
      </w:r>
      <w:proofErr w:type="spellEnd"/>
      <w:r w:rsidRPr="00984CD2">
        <w:rPr>
          <w:rFonts w:cstheme="minorHAnsi"/>
        </w:rPr>
        <w:t xml:space="preserve"> et al., 2008; Garcia et al., 2014; Jordan-Marsh, Cody, Silverstein, &amp; Garcia, 2008; </w:t>
      </w:r>
      <w:proofErr w:type="spellStart"/>
      <w:r w:rsidRPr="00984CD2">
        <w:rPr>
          <w:rFonts w:cstheme="minorHAnsi"/>
        </w:rPr>
        <w:t>Martínez-Hernández</w:t>
      </w:r>
      <w:proofErr w:type="spellEnd"/>
      <w:r w:rsidRPr="00984CD2">
        <w:rPr>
          <w:rFonts w:cstheme="minorHAnsi"/>
        </w:rPr>
        <w:t xml:space="preserve"> et al., 2010; Zuniga et al., 1999). The internal consistency varied among these studies, with coefficients ranging from low (Jordan-Marsh et al., 2008) to moderate and strong in adult samples of Argentina (</w:t>
      </w:r>
      <w:proofErr w:type="spellStart"/>
      <w:r w:rsidRPr="00984CD2">
        <w:rPr>
          <w:rFonts w:cstheme="minorHAnsi"/>
        </w:rPr>
        <w:t>Augustovski</w:t>
      </w:r>
      <w:proofErr w:type="spellEnd"/>
      <w:r w:rsidRPr="00984CD2">
        <w:rPr>
          <w:rFonts w:cstheme="minorHAnsi"/>
        </w:rPr>
        <w:t xml:space="preserve"> et al., 2008), Mexico (</w:t>
      </w:r>
      <w:proofErr w:type="spellStart"/>
      <w:r w:rsidRPr="00984CD2">
        <w:rPr>
          <w:rFonts w:cstheme="minorHAnsi"/>
        </w:rPr>
        <w:t>Martínez-Hernández</w:t>
      </w:r>
      <w:proofErr w:type="spellEnd"/>
      <w:r w:rsidRPr="00984CD2">
        <w:rPr>
          <w:rFonts w:cstheme="minorHAnsi"/>
        </w:rPr>
        <w:t xml:space="preserve"> et al., 2010; Zuniga et al., 1999), and Peru (Salazar &amp; Bernabe, 2015). One study focused more on examining the predictive validity of the instrument in Spanish-speaking individuals (</w:t>
      </w:r>
      <w:proofErr w:type="spellStart"/>
      <w:r w:rsidRPr="00984CD2">
        <w:rPr>
          <w:rFonts w:cstheme="minorHAnsi"/>
        </w:rPr>
        <w:t>Assumpcao</w:t>
      </w:r>
      <w:proofErr w:type="spellEnd"/>
      <w:r w:rsidRPr="00984CD2">
        <w:rPr>
          <w:rFonts w:cstheme="minorHAnsi"/>
        </w:rPr>
        <w:t xml:space="preserve"> et al., 2010). Other studies did not assess the psychometric properties of the SF-36 in their samples (see </w:t>
      </w:r>
      <w:proofErr w:type="spellStart"/>
      <w:r w:rsidRPr="00984CD2">
        <w:rPr>
          <w:rFonts w:cstheme="minorHAnsi"/>
        </w:rPr>
        <w:t>ArangoLasprilla</w:t>
      </w:r>
      <w:proofErr w:type="spellEnd"/>
      <w:r w:rsidRPr="00984CD2">
        <w:rPr>
          <w:rFonts w:cstheme="minorHAnsi"/>
        </w:rPr>
        <w:t xml:space="preserve"> et al., 2012; Garcia et al., 2014; López-Pérez et al., 2014). The cumulative findings from these studies suggest that the instrument overall has a moderate to strong internal consistency. However, Cronbach’s alpha is only an indicator of the closeness of the items in a scale but does not inform about its dimensionality or structure (T. A. Brown, 2014), that is, this measure of internal consistency does not allow for examining the structural validity of the SF-36 within each country. Studies using theory-driven statistical procedures, such as confirmatory factor analyses (CFA), examined the measurement invariance of the instrument by looking at the relationship between the observed measures (i.e., behavioral ratings) and latent variables (i.e., construct measured), and testing how well measurement models generalize across groups (T. A. Brown, 2014). The original scoring algorithm for the SF-36 proposes an orthogonal (uncorrelated) model indicating that the two higher order constructs are independent (Ware &amp; </w:t>
      </w:r>
      <w:proofErr w:type="spellStart"/>
      <w:r w:rsidRPr="00984CD2">
        <w:rPr>
          <w:rFonts w:cstheme="minorHAnsi"/>
        </w:rPr>
        <w:t>Sherbourne</w:t>
      </w:r>
      <w:proofErr w:type="spellEnd"/>
      <w:r w:rsidRPr="00984CD2">
        <w:rPr>
          <w:rFonts w:cstheme="minorHAnsi"/>
        </w:rPr>
        <w:t xml:space="preserve">, 1992). This algorithm has been found problematic as it produces negative coefficients in some scales and negatively weighted scales of one component explaining the variance of the other component, suggesting an interdependence between PCS and MCS (Taft, Karlson, &amp; Sullivan, 2001). Other studies have found better models using an oblique solution (Hann &amp; Reeves, 2008; </w:t>
      </w:r>
      <w:proofErr w:type="spellStart"/>
      <w:r w:rsidRPr="00984CD2">
        <w:rPr>
          <w:rFonts w:cstheme="minorHAnsi"/>
        </w:rPr>
        <w:t>Laucis</w:t>
      </w:r>
      <w:proofErr w:type="spellEnd"/>
      <w:r w:rsidRPr="00984CD2">
        <w:rPr>
          <w:rFonts w:cstheme="minorHAnsi"/>
        </w:rPr>
        <w:t xml:space="preserve">, Hays, &amp; Bhattacharyya, 2015; Simon, </w:t>
      </w:r>
      <w:proofErr w:type="spellStart"/>
      <w:r w:rsidRPr="00984CD2">
        <w:rPr>
          <w:rFonts w:cstheme="minorHAnsi"/>
        </w:rPr>
        <w:t>Revicki</w:t>
      </w:r>
      <w:proofErr w:type="spellEnd"/>
      <w:r w:rsidRPr="00984CD2">
        <w:rPr>
          <w:rFonts w:cstheme="minorHAnsi"/>
        </w:rPr>
        <w:t xml:space="preserve">, </w:t>
      </w:r>
      <w:proofErr w:type="spellStart"/>
      <w:r w:rsidRPr="00984CD2">
        <w:rPr>
          <w:rFonts w:cstheme="minorHAnsi"/>
        </w:rPr>
        <w:t>Grothaus</w:t>
      </w:r>
      <w:proofErr w:type="spellEnd"/>
      <w:r w:rsidRPr="00984CD2">
        <w:rPr>
          <w:rFonts w:cstheme="minorHAnsi"/>
        </w:rPr>
        <w:t xml:space="preserve">, &amp; </w:t>
      </w:r>
      <w:proofErr w:type="spellStart"/>
      <w:r w:rsidRPr="00984CD2">
        <w:rPr>
          <w:rFonts w:cstheme="minorHAnsi"/>
        </w:rPr>
        <w:t>Vonkorff</w:t>
      </w:r>
      <w:proofErr w:type="spellEnd"/>
      <w:r w:rsidRPr="00984CD2">
        <w:rPr>
          <w:rFonts w:cstheme="minorHAnsi"/>
        </w:rPr>
        <w:t xml:space="preserve">, 1998). Thus, continued theory-driven research is important on this instrument to gain an accurate understanding of measurement invariance and cross-cultural factors that contribute to these differential findings. Theory-driven statistical procedures to analyze the psychometric properties of the SF-36 have been conducted worldwide (Ware &amp; </w:t>
      </w:r>
      <w:proofErr w:type="spellStart"/>
      <w:r w:rsidRPr="00984CD2">
        <w:rPr>
          <w:rFonts w:cstheme="minorHAnsi"/>
        </w:rPr>
        <w:t>Gandek</w:t>
      </w:r>
      <w:proofErr w:type="spellEnd"/>
      <w:r w:rsidRPr="00984CD2">
        <w:rPr>
          <w:rFonts w:cstheme="minorHAnsi"/>
        </w:rPr>
        <w:t>, 1998). Although limited, the studies from Spain and LAC have been informative to our understanding of cross-cultural factors of HRQOL in Spanish-speaking populations. To our knowledge, five studies have used CFA statistical procedures to examine the psychometric properties of the SF-36 and found mixed results (</w:t>
      </w:r>
      <w:proofErr w:type="spellStart"/>
      <w:r w:rsidRPr="00984CD2">
        <w:rPr>
          <w:rFonts w:cstheme="minorHAnsi"/>
        </w:rPr>
        <w:t>Ayuso-Mateos</w:t>
      </w:r>
      <w:proofErr w:type="spellEnd"/>
      <w:r w:rsidRPr="00984CD2">
        <w:rPr>
          <w:rFonts w:cstheme="minorHAnsi"/>
        </w:rPr>
        <w:t xml:space="preserve">, Lasa, &amp; </w:t>
      </w:r>
      <w:proofErr w:type="spellStart"/>
      <w:r w:rsidRPr="00984CD2">
        <w:rPr>
          <w:rFonts w:cstheme="minorHAnsi"/>
        </w:rPr>
        <w:t>VazquezBarquero</w:t>
      </w:r>
      <w:proofErr w:type="spellEnd"/>
      <w:r w:rsidRPr="00984CD2">
        <w:rPr>
          <w:rFonts w:cstheme="minorHAnsi"/>
        </w:rPr>
        <w:t xml:space="preserve">, 1999; </w:t>
      </w:r>
      <w:proofErr w:type="spellStart"/>
      <w:r w:rsidRPr="00984CD2">
        <w:rPr>
          <w:rFonts w:cstheme="minorHAnsi"/>
        </w:rPr>
        <w:t>Failde</w:t>
      </w:r>
      <w:proofErr w:type="spellEnd"/>
      <w:r w:rsidRPr="00984CD2">
        <w:rPr>
          <w:rFonts w:cstheme="minorHAnsi"/>
        </w:rPr>
        <w:t xml:space="preserve"> &amp; Ramos, 2000; Lera et al., 2013; Peek, Ray, Patel, </w:t>
      </w:r>
      <w:proofErr w:type="spellStart"/>
      <w:r w:rsidRPr="00984CD2">
        <w:rPr>
          <w:rFonts w:cstheme="minorHAnsi"/>
        </w:rPr>
        <w:t>Stoebner</w:t>
      </w:r>
      <w:proofErr w:type="spellEnd"/>
      <w:r w:rsidRPr="00984CD2">
        <w:rPr>
          <w:rFonts w:cstheme="minorHAnsi"/>
        </w:rPr>
        <w:t xml:space="preserve">-May, &amp; </w:t>
      </w:r>
      <w:proofErr w:type="spellStart"/>
      <w:r w:rsidRPr="00984CD2">
        <w:rPr>
          <w:rFonts w:cstheme="minorHAnsi"/>
        </w:rPr>
        <w:t>Ottenbacher</w:t>
      </w:r>
      <w:proofErr w:type="spellEnd"/>
      <w:r w:rsidRPr="00984CD2">
        <w:rPr>
          <w:rFonts w:cstheme="minorHAnsi"/>
        </w:rPr>
        <w:t xml:space="preserve">, 2004; Salazar &amp; Bernabe, 2015). Most studies found that the first-order domains demonstrate some problems comparatively with the original factor structure (Ware &amp; </w:t>
      </w:r>
      <w:proofErr w:type="spellStart"/>
      <w:r w:rsidRPr="00984CD2">
        <w:rPr>
          <w:rFonts w:cstheme="minorHAnsi"/>
        </w:rPr>
        <w:t>Sherbourne</w:t>
      </w:r>
      <w:proofErr w:type="spellEnd"/>
      <w:r w:rsidRPr="00984CD2">
        <w:rPr>
          <w:rFonts w:cstheme="minorHAnsi"/>
        </w:rPr>
        <w:t xml:space="preserve">, 1992). For example, </w:t>
      </w:r>
      <w:proofErr w:type="spellStart"/>
      <w:r w:rsidRPr="00984CD2">
        <w:rPr>
          <w:rFonts w:cstheme="minorHAnsi"/>
        </w:rPr>
        <w:t>Ayuso-Mateos</w:t>
      </w:r>
      <w:proofErr w:type="spellEnd"/>
      <w:r w:rsidRPr="00984CD2">
        <w:rPr>
          <w:rFonts w:cstheme="minorHAnsi"/>
        </w:rPr>
        <w:t xml:space="preserve"> et al. (1999) found that five first-order factors best fit the model in their adult sample in Spain, while a similar study in Spain found that all eight first-order factors load except for some problematic items on the mental health domain (</w:t>
      </w:r>
      <w:proofErr w:type="spellStart"/>
      <w:r w:rsidRPr="00984CD2">
        <w:rPr>
          <w:rFonts w:cstheme="minorHAnsi"/>
        </w:rPr>
        <w:t>Failde</w:t>
      </w:r>
      <w:proofErr w:type="spellEnd"/>
      <w:r w:rsidRPr="00984CD2">
        <w:rPr>
          <w:rFonts w:cstheme="minorHAnsi"/>
        </w:rPr>
        <w:t xml:space="preserve"> &amp; Ramos, 2000). Similarly, Peek et al. (2004) found that the RE domain was not loading as proposed in the original factor structure in their sample of Mexican Americans. The Peruvian study used CFA and found the model with eight first-order factors and two second-order factors had acceptable fit (Salazar &amp; Bernabe, 2015). The Chilean study by Lera and colleagues (2013) used principal components factor analysis, which forces items to load onto a construct, with an orthogonal solution. Their findings supported two higher order factors (MCS and PCS) with GH loading on MCS (Lera et al., 2013). The Chilean study is the only study in LAC focusing on an older adult sample. The factor structure of the SF-36 should be examined to explore its measurement invariance and test its construct validity in each country interested in its clinical application. Of interest in this study is to examine the factor structure of the SF-36 in a sample of Costa Rican older adults. Although most LAC share cultural-related characteristics and Spanish as their primary language, the differences between countries in older adults’ health status and self-reported health found in the Health, </w:t>
      </w:r>
      <w:proofErr w:type="spellStart"/>
      <w:r w:rsidRPr="00984CD2">
        <w:rPr>
          <w:rFonts w:cstheme="minorHAnsi"/>
        </w:rPr>
        <w:t>WellBeing</w:t>
      </w:r>
      <w:proofErr w:type="spellEnd"/>
      <w:r w:rsidRPr="00984CD2">
        <w:rPr>
          <w:rFonts w:cstheme="minorHAnsi"/>
        </w:rPr>
        <w:t xml:space="preserve">, and Aging studies (SABE), led us to believe older adults’ HRQOL should be examined within each country’s cultural world (see </w:t>
      </w:r>
      <w:proofErr w:type="spellStart"/>
      <w:r w:rsidRPr="00984CD2">
        <w:rPr>
          <w:rFonts w:cstheme="minorHAnsi"/>
        </w:rPr>
        <w:t>Palloni</w:t>
      </w:r>
      <w:proofErr w:type="spellEnd"/>
      <w:r w:rsidRPr="00984CD2">
        <w:rPr>
          <w:rFonts w:cstheme="minorHAnsi"/>
        </w:rPr>
        <w:t xml:space="preserve"> &amp; </w:t>
      </w:r>
      <w:proofErr w:type="spellStart"/>
      <w:r w:rsidRPr="00984CD2">
        <w:rPr>
          <w:rFonts w:cstheme="minorHAnsi"/>
        </w:rPr>
        <w:t>McEniry</w:t>
      </w:r>
      <w:proofErr w:type="spellEnd"/>
      <w:r w:rsidRPr="00984CD2">
        <w:rPr>
          <w:rFonts w:cstheme="minorHAnsi"/>
        </w:rPr>
        <w:t xml:space="preserve">, 2007; </w:t>
      </w:r>
      <w:proofErr w:type="spellStart"/>
      <w:r w:rsidRPr="00984CD2">
        <w:rPr>
          <w:rFonts w:cstheme="minorHAnsi"/>
        </w:rPr>
        <w:t>Zunzunegui</w:t>
      </w:r>
      <w:proofErr w:type="spellEnd"/>
      <w:r w:rsidRPr="00984CD2">
        <w:rPr>
          <w:rFonts w:cstheme="minorHAnsi"/>
        </w:rPr>
        <w:t xml:space="preserve">, Alvarado, Beland, &amp; </w:t>
      </w:r>
      <w:proofErr w:type="spellStart"/>
      <w:r w:rsidRPr="00984CD2">
        <w:rPr>
          <w:rFonts w:cstheme="minorHAnsi"/>
        </w:rPr>
        <w:t>Vissandjee</w:t>
      </w:r>
      <w:proofErr w:type="spellEnd"/>
      <w:r w:rsidRPr="00984CD2">
        <w:rPr>
          <w:rFonts w:cstheme="minorHAnsi"/>
        </w:rPr>
        <w:t xml:space="preserve">, 2009). To our knowledge, the present study is the first one in the Central America region using the SF-36 and examining its factor structure in a sample of cognitively healthy older adults. There is no research to date that </w:t>
      </w:r>
    </w:p>
    <w:p w14:paraId="15019B1C" w14:textId="77777777" w:rsidR="00E20060" w:rsidRPr="00984CD2" w:rsidRDefault="00E20060" w:rsidP="00E20060">
      <w:pPr>
        <w:kinsoku w:val="0"/>
        <w:overflowPunct w:val="0"/>
        <w:autoSpaceDE w:val="0"/>
        <w:autoSpaceDN w:val="0"/>
        <w:adjustRightInd w:val="0"/>
        <w:spacing w:after="0" w:line="240" w:lineRule="auto"/>
        <w:rPr>
          <w:rFonts w:cstheme="minorHAnsi"/>
          <w:color w:val="231F20"/>
          <w:sz w:val="18"/>
          <w:szCs w:val="18"/>
        </w:rPr>
      </w:pPr>
      <w:r w:rsidRPr="00984CD2">
        <w:rPr>
          <w:rFonts w:cstheme="minorHAnsi"/>
          <w:b/>
          <w:bCs/>
          <w:color w:val="231F20"/>
          <w:sz w:val="18"/>
          <w:szCs w:val="18"/>
        </w:rPr>
        <w:lastRenderedPageBreak/>
        <w:t xml:space="preserve">Table 1. </w:t>
      </w:r>
      <w:r w:rsidRPr="00984CD2">
        <w:rPr>
          <w:rFonts w:cstheme="minorHAnsi"/>
          <w:color w:val="231F20"/>
          <w:sz w:val="18"/>
          <w:szCs w:val="18"/>
        </w:rPr>
        <w:t>Participant Descriptive Statistics.</w:t>
      </w:r>
    </w:p>
    <w:p w14:paraId="010F0002" w14:textId="77777777" w:rsidR="00E20060" w:rsidRPr="00984CD2" w:rsidRDefault="00E20060" w:rsidP="00E20060">
      <w:pPr>
        <w:kinsoku w:val="0"/>
        <w:overflowPunct w:val="0"/>
        <w:autoSpaceDE w:val="0"/>
        <w:autoSpaceDN w:val="0"/>
        <w:adjustRightInd w:val="0"/>
        <w:spacing w:after="0" w:line="240" w:lineRule="auto"/>
        <w:rPr>
          <w:rFonts w:cstheme="minorHAnsi"/>
          <w:sz w:val="20"/>
          <w:szCs w:val="20"/>
        </w:rPr>
      </w:pPr>
    </w:p>
    <w:p w14:paraId="377FF244" w14:textId="77777777" w:rsidR="00E20060" w:rsidRPr="00984CD2" w:rsidRDefault="00E20060" w:rsidP="00E20060">
      <w:pPr>
        <w:kinsoku w:val="0"/>
        <w:overflowPunct w:val="0"/>
        <w:autoSpaceDE w:val="0"/>
        <w:autoSpaceDN w:val="0"/>
        <w:adjustRightInd w:val="0"/>
        <w:spacing w:before="2" w:after="0" w:line="240" w:lineRule="auto"/>
        <w:rPr>
          <w:rFonts w:cstheme="minorHAnsi"/>
          <w:sz w:val="10"/>
          <w:szCs w:val="10"/>
        </w:rPr>
      </w:pPr>
    </w:p>
    <w:tbl>
      <w:tblPr>
        <w:tblStyle w:val="TableGrid"/>
        <w:tblW w:w="0" w:type="auto"/>
        <w:tblLayout w:type="fixed"/>
        <w:tblLook w:val="0020" w:firstRow="1" w:lastRow="0" w:firstColumn="0" w:lastColumn="0" w:noHBand="0" w:noVBand="0"/>
      </w:tblPr>
      <w:tblGrid>
        <w:gridCol w:w="2950"/>
        <w:gridCol w:w="1365"/>
        <w:gridCol w:w="926"/>
        <w:gridCol w:w="1197"/>
        <w:gridCol w:w="1124"/>
        <w:gridCol w:w="1208"/>
        <w:gridCol w:w="823"/>
      </w:tblGrid>
      <w:tr w:rsidR="00F94DE7" w:rsidRPr="00984CD2" w14:paraId="4FBF4388" w14:textId="77777777" w:rsidTr="00AF0611">
        <w:trPr>
          <w:trHeight w:val="510"/>
        </w:trPr>
        <w:tc>
          <w:tcPr>
            <w:tcW w:w="2950" w:type="dxa"/>
          </w:tcPr>
          <w:p w14:paraId="00EA9735" w14:textId="77777777" w:rsidR="00F94DE7" w:rsidRPr="00984CD2" w:rsidRDefault="00F94DE7" w:rsidP="009302E4">
            <w:pPr>
              <w:pStyle w:val="NoSpacing"/>
            </w:pPr>
          </w:p>
        </w:tc>
        <w:tc>
          <w:tcPr>
            <w:tcW w:w="1365" w:type="dxa"/>
          </w:tcPr>
          <w:p w14:paraId="42B78C9E" w14:textId="5CA9212E" w:rsidR="00F94DE7" w:rsidRPr="00984CD2" w:rsidRDefault="00F94DE7" w:rsidP="009302E4">
            <w:pPr>
              <w:pStyle w:val="NoSpacing"/>
              <w:rPr>
                <w:sz w:val="24"/>
                <w:szCs w:val="24"/>
              </w:rPr>
            </w:pPr>
            <w:r w:rsidRPr="00984CD2">
              <w:t>Urban(n=168)</w:t>
            </w:r>
          </w:p>
        </w:tc>
        <w:tc>
          <w:tcPr>
            <w:tcW w:w="926" w:type="dxa"/>
          </w:tcPr>
          <w:p w14:paraId="169A645E" w14:textId="77777777" w:rsidR="00F94DE7" w:rsidRPr="00984CD2" w:rsidRDefault="00F94DE7" w:rsidP="009302E4">
            <w:pPr>
              <w:pStyle w:val="NoSpacing"/>
              <w:rPr>
                <w:sz w:val="24"/>
                <w:szCs w:val="24"/>
              </w:rPr>
            </w:pPr>
          </w:p>
        </w:tc>
        <w:tc>
          <w:tcPr>
            <w:tcW w:w="2321" w:type="dxa"/>
            <w:gridSpan w:val="2"/>
          </w:tcPr>
          <w:p w14:paraId="43AB8157" w14:textId="04C20FAF" w:rsidR="00F94DE7" w:rsidRPr="00984CD2" w:rsidRDefault="00F94DE7" w:rsidP="009302E4">
            <w:pPr>
              <w:pStyle w:val="NoSpacing"/>
              <w:rPr>
                <w:sz w:val="24"/>
                <w:szCs w:val="24"/>
              </w:rPr>
            </w:pPr>
            <w:r w:rsidRPr="00984CD2">
              <w:t>Rural(n=71)</w:t>
            </w:r>
          </w:p>
        </w:tc>
        <w:tc>
          <w:tcPr>
            <w:tcW w:w="1208" w:type="dxa"/>
          </w:tcPr>
          <w:p w14:paraId="258DD01B" w14:textId="4CF18161" w:rsidR="00F94DE7" w:rsidRPr="00984CD2" w:rsidRDefault="00F94DE7" w:rsidP="009302E4">
            <w:pPr>
              <w:pStyle w:val="NoSpacing"/>
              <w:rPr>
                <w:sz w:val="24"/>
                <w:szCs w:val="24"/>
              </w:rPr>
            </w:pPr>
            <w:r w:rsidRPr="00984CD2">
              <w:t>Total(n=250)</w:t>
            </w:r>
          </w:p>
        </w:tc>
        <w:tc>
          <w:tcPr>
            <w:tcW w:w="823" w:type="dxa"/>
          </w:tcPr>
          <w:p w14:paraId="4C756C0E" w14:textId="77777777" w:rsidR="00F94DE7" w:rsidRPr="00984CD2" w:rsidRDefault="00F94DE7" w:rsidP="009302E4">
            <w:pPr>
              <w:pStyle w:val="NoSpacing"/>
              <w:rPr>
                <w:sz w:val="24"/>
                <w:szCs w:val="24"/>
              </w:rPr>
            </w:pPr>
          </w:p>
        </w:tc>
      </w:tr>
      <w:tr w:rsidR="00C53A59" w:rsidRPr="00984CD2" w14:paraId="1718FCF2" w14:textId="77777777" w:rsidTr="00596103">
        <w:trPr>
          <w:trHeight w:val="510"/>
        </w:trPr>
        <w:tc>
          <w:tcPr>
            <w:tcW w:w="2950" w:type="dxa"/>
          </w:tcPr>
          <w:p w14:paraId="68B1BD21" w14:textId="77777777" w:rsidR="00C53A59" w:rsidRPr="00984CD2" w:rsidRDefault="00C53A59" w:rsidP="009302E4">
            <w:pPr>
              <w:pStyle w:val="NoSpacing"/>
            </w:pPr>
          </w:p>
        </w:tc>
        <w:tc>
          <w:tcPr>
            <w:tcW w:w="1365" w:type="dxa"/>
          </w:tcPr>
          <w:p w14:paraId="05B199B2" w14:textId="778E8834" w:rsidR="00C53A59" w:rsidRPr="00984CD2" w:rsidRDefault="00AB64DF" w:rsidP="009302E4">
            <w:pPr>
              <w:pStyle w:val="NoSpacing"/>
              <w:rPr>
                <w:sz w:val="24"/>
                <w:szCs w:val="24"/>
              </w:rPr>
            </w:pPr>
            <w:r w:rsidRPr="00984CD2">
              <w:rPr>
                <w:sz w:val="24"/>
                <w:szCs w:val="24"/>
              </w:rPr>
              <w:t>n</w:t>
            </w:r>
          </w:p>
        </w:tc>
        <w:tc>
          <w:tcPr>
            <w:tcW w:w="926" w:type="dxa"/>
          </w:tcPr>
          <w:p w14:paraId="0961FB10" w14:textId="320C1DE4" w:rsidR="00C53A59" w:rsidRPr="00984CD2" w:rsidRDefault="00AB64DF" w:rsidP="009302E4">
            <w:pPr>
              <w:pStyle w:val="NoSpacing"/>
              <w:rPr>
                <w:sz w:val="24"/>
                <w:szCs w:val="24"/>
              </w:rPr>
            </w:pPr>
            <w:r w:rsidRPr="00984CD2">
              <w:rPr>
                <w:sz w:val="24"/>
                <w:szCs w:val="24"/>
              </w:rPr>
              <w:t>%</w:t>
            </w:r>
          </w:p>
        </w:tc>
        <w:tc>
          <w:tcPr>
            <w:tcW w:w="1197" w:type="dxa"/>
          </w:tcPr>
          <w:p w14:paraId="0EE94D89" w14:textId="15E375FE" w:rsidR="00C53A59" w:rsidRPr="00984CD2" w:rsidRDefault="00AB64DF" w:rsidP="009302E4">
            <w:pPr>
              <w:pStyle w:val="NoSpacing"/>
              <w:rPr>
                <w:sz w:val="24"/>
                <w:szCs w:val="24"/>
              </w:rPr>
            </w:pPr>
            <w:r w:rsidRPr="00984CD2">
              <w:rPr>
                <w:sz w:val="24"/>
                <w:szCs w:val="24"/>
              </w:rPr>
              <w:t>n</w:t>
            </w:r>
          </w:p>
        </w:tc>
        <w:tc>
          <w:tcPr>
            <w:tcW w:w="1124" w:type="dxa"/>
          </w:tcPr>
          <w:p w14:paraId="27504781" w14:textId="523253A9" w:rsidR="00C53A59" w:rsidRPr="00984CD2" w:rsidRDefault="00AB64DF" w:rsidP="009302E4">
            <w:pPr>
              <w:pStyle w:val="NoSpacing"/>
              <w:rPr>
                <w:sz w:val="24"/>
                <w:szCs w:val="24"/>
              </w:rPr>
            </w:pPr>
            <w:r w:rsidRPr="00984CD2">
              <w:rPr>
                <w:sz w:val="24"/>
                <w:szCs w:val="24"/>
              </w:rPr>
              <w:t>%</w:t>
            </w:r>
          </w:p>
        </w:tc>
        <w:tc>
          <w:tcPr>
            <w:tcW w:w="1208" w:type="dxa"/>
          </w:tcPr>
          <w:p w14:paraId="4DD3E552" w14:textId="6FC051AF" w:rsidR="00C53A59" w:rsidRPr="00984CD2" w:rsidRDefault="00AB64DF" w:rsidP="009302E4">
            <w:pPr>
              <w:pStyle w:val="NoSpacing"/>
              <w:rPr>
                <w:sz w:val="24"/>
                <w:szCs w:val="24"/>
              </w:rPr>
            </w:pPr>
            <w:r w:rsidRPr="00984CD2">
              <w:rPr>
                <w:sz w:val="24"/>
                <w:szCs w:val="24"/>
              </w:rPr>
              <w:t>n</w:t>
            </w:r>
          </w:p>
        </w:tc>
        <w:tc>
          <w:tcPr>
            <w:tcW w:w="823" w:type="dxa"/>
          </w:tcPr>
          <w:p w14:paraId="5511633D" w14:textId="400A97DE" w:rsidR="00C53A59" w:rsidRPr="00984CD2" w:rsidRDefault="00AB64DF" w:rsidP="009302E4">
            <w:pPr>
              <w:pStyle w:val="NoSpacing"/>
              <w:rPr>
                <w:sz w:val="24"/>
                <w:szCs w:val="24"/>
              </w:rPr>
            </w:pPr>
            <w:r w:rsidRPr="00984CD2">
              <w:rPr>
                <w:sz w:val="24"/>
                <w:szCs w:val="24"/>
              </w:rPr>
              <w:t>%</w:t>
            </w:r>
          </w:p>
        </w:tc>
      </w:tr>
      <w:tr w:rsidR="00E20060" w:rsidRPr="00984CD2" w14:paraId="45D726E3" w14:textId="77777777" w:rsidTr="00596103">
        <w:trPr>
          <w:trHeight w:val="510"/>
        </w:trPr>
        <w:tc>
          <w:tcPr>
            <w:tcW w:w="2950" w:type="dxa"/>
          </w:tcPr>
          <w:p w14:paraId="427DF49E" w14:textId="0C9E4C3F" w:rsidR="00E20060" w:rsidRPr="00984CD2" w:rsidRDefault="00E05D1F" w:rsidP="009302E4">
            <w:pPr>
              <w:pStyle w:val="NoSpacing"/>
            </w:pPr>
            <w:r w:rsidRPr="00984CD2">
              <w:t>Gender</w:t>
            </w:r>
          </w:p>
        </w:tc>
        <w:tc>
          <w:tcPr>
            <w:tcW w:w="1365" w:type="dxa"/>
          </w:tcPr>
          <w:p w14:paraId="751E3580" w14:textId="77777777" w:rsidR="00E20060" w:rsidRPr="00984CD2" w:rsidRDefault="00E20060" w:rsidP="009302E4">
            <w:pPr>
              <w:pStyle w:val="NoSpacing"/>
              <w:rPr>
                <w:sz w:val="24"/>
                <w:szCs w:val="24"/>
              </w:rPr>
            </w:pPr>
          </w:p>
          <w:p w14:paraId="22F7631E" w14:textId="77777777" w:rsidR="00E20060" w:rsidRPr="00984CD2" w:rsidRDefault="00E20060" w:rsidP="009302E4">
            <w:pPr>
              <w:pStyle w:val="NoSpacing"/>
            </w:pPr>
            <w:r w:rsidRPr="00984CD2">
              <w:t>45</w:t>
            </w:r>
          </w:p>
        </w:tc>
        <w:tc>
          <w:tcPr>
            <w:tcW w:w="926" w:type="dxa"/>
          </w:tcPr>
          <w:p w14:paraId="07A233DE" w14:textId="77777777" w:rsidR="00E20060" w:rsidRPr="00984CD2" w:rsidRDefault="00E20060" w:rsidP="009302E4">
            <w:pPr>
              <w:pStyle w:val="NoSpacing"/>
              <w:rPr>
                <w:sz w:val="24"/>
                <w:szCs w:val="24"/>
              </w:rPr>
            </w:pPr>
          </w:p>
          <w:p w14:paraId="74AC8770" w14:textId="77777777" w:rsidR="00E20060" w:rsidRPr="00984CD2" w:rsidRDefault="00E20060" w:rsidP="009302E4">
            <w:pPr>
              <w:pStyle w:val="NoSpacing"/>
            </w:pPr>
            <w:r w:rsidRPr="00984CD2">
              <w:t>26.8</w:t>
            </w:r>
          </w:p>
        </w:tc>
        <w:tc>
          <w:tcPr>
            <w:tcW w:w="1197" w:type="dxa"/>
          </w:tcPr>
          <w:p w14:paraId="19D4D1F2" w14:textId="77777777" w:rsidR="00E20060" w:rsidRPr="00984CD2" w:rsidRDefault="00E20060" w:rsidP="009302E4">
            <w:pPr>
              <w:pStyle w:val="NoSpacing"/>
              <w:rPr>
                <w:sz w:val="24"/>
                <w:szCs w:val="24"/>
              </w:rPr>
            </w:pPr>
          </w:p>
          <w:p w14:paraId="1486E6F1" w14:textId="77777777" w:rsidR="00E20060" w:rsidRPr="00984CD2" w:rsidRDefault="00E20060" w:rsidP="009302E4">
            <w:pPr>
              <w:pStyle w:val="NoSpacing"/>
            </w:pPr>
            <w:r w:rsidRPr="00984CD2">
              <w:t>14</w:t>
            </w:r>
          </w:p>
        </w:tc>
        <w:tc>
          <w:tcPr>
            <w:tcW w:w="1124" w:type="dxa"/>
          </w:tcPr>
          <w:p w14:paraId="16565D9B" w14:textId="77777777" w:rsidR="00E20060" w:rsidRPr="00984CD2" w:rsidRDefault="00E20060" w:rsidP="009302E4">
            <w:pPr>
              <w:pStyle w:val="NoSpacing"/>
              <w:rPr>
                <w:sz w:val="24"/>
                <w:szCs w:val="24"/>
              </w:rPr>
            </w:pPr>
          </w:p>
          <w:p w14:paraId="0A51C3AD" w14:textId="77777777" w:rsidR="00E20060" w:rsidRPr="00984CD2" w:rsidRDefault="00E20060" w:rsidP="009302E4">
            <w:pPr>
              <w:pStyle w:val="NoSpacing"/>
            </w:pPr>
            <w:r w:rsidRPr="00984CD2">
              <w:t>19.7</w:t>
            </w:r>
          </w:p>
        </w:tc>
        <w:tc>
          <w:tcPr>
            <w:tcW w:w="1208" w:type="dxa"/>
          </w:tcPr>
          <w:p w14:paraId="7DCC7872" w14:textId="77777777" w:rsidR="00E20060" w:rsidRPr="00984CD2" w:rsidRDefault="00E20060" w:rsidP="009302E4">
            <w:pPr>
              <w:pStyle w:val="NoSpacing"/>
              <w:rPr>
                <w:sz w:val="24"/>
                <w:szCs w:val="24"/>
              </w:rPr>
            </w:pPr>
          </w:p>
          <w:p w14:paraId="28359AE3" w14:textId="77777777" w:rsidR="00E20060" w:rsidRPr="00984CD2" w:rsidRDefault="00E20060" w:rsidP="009302E4">
            <w:pPr>
              <w:pStyle w:val="NoSpacing"/>
            </w:pPr>
            <w:r w:rsidRPr="00984CD2">
              <w:t>60</w:t>
            </w:r>
          </w:p>
        </w:tc>
        <w:tc>
          <w:tcPr>
            <w:tcW w:w="823" w:type="dxa"/>
          </w:tcPr>
          <w:p w14:paraId="2B83B87A" w14:textId="77777777" w:rsidR="00E20060" w:rsidRPr="00984CD2" w:rsidRDefault="00E20060" w:rsidP="009302E4">
            <w:pPr>
              <w:pStyle w:val="NoSpacing"/>
              <w:rPr>
                <w:sz w:val="24"/>
                <w:szCs w:val="24"/>
              </w:rPr>
            </w:pPr>
          </w:p>
          <w:p w14:paraId="7748FB21" w14:textId="77777777" w:rsidR="00E20060" w:rsidRPr="00984CD2" w:rsidRDefault="00E20060" w:rsidP="009302E4">
            <w:pPr>
              <w:pStyle w:val="NoSpacing"/>
              <w:rPr>
                <w:w w:val="95"/>
              </w:rPr>
            </w:pPr>
            <w:r w:rsidRPr="00984CD2">
              <w:rPr>
                <w:w w:val="95"/>
              </w:rPr>
              <w:t>24.0</w:t>
            </w:r>
          </w:p>
        </w:tc>
      </w:tr>
      <w:tr w:rsidR="00E20060" w:rsidRPr="00984CD2" w14:paraId="64A5B92A" w14:textId="77777777" w:rsidTr="00596103">
        <w:trPr>
          <w:trHeight w:val="230"/>
        </w:trPr>
        <w:tc>
          <w:tcPr>
            <w:tcW w:w="2950" w:type="dxa"/>
          </w:tcPr>
          <w:p w14:paraId="69FB9CB7" w14:textId="77777777" w:rsidR="00E20060" w:rsidRPr="00984CD2" w:rsidRDefault="00E20060" w:rsidP="009302E4">
            <w:pPr>
              <w:pStyle w:val="NoSpacing"/>
            </w:pPr>
            <w:r w:rsidRPr="00984CD2">
              <w:t>Female</w:t>
            </w:r>
          </w:p>
        </w:tc>
        <w:tc>
          <w:tcPr>
            <w:tcW w:w="1365" w:type="dxa"/>
          </w:tcPr>
          <w:p w14:paraId="74B818E8" w14:textId="77777777" w:rsidR="00E20060" w:rsidRPr="00984CD2" w:rsidRDefault="00E20060" w:rsidP="009302E4">
            <w:pPr>
              <w:pStyle w:val="NoSpacing"/>
            </w:pPr>
            <w:r w:rsidRPr="00984CD2">
              <w:t>123</w:t>
            </w:r>
          </w:p>
        </w:tc>
        <w:tc>
          <w:tcPr>
            <w:tcW w:w="926" w:type="dxa"/>
          </w:tcPr>
          <w:p w14:paraId="55A062DB" w14:textId="77777777" w:rsidR="00E20060" w:rsidRPr="00984CD2" w:rsidRDefault="00E20060" w:rsidP="009302E4">
            <w:pPr>
              <w:pStyle w:val="NoSpacing"/>
            </w:pPr>
            <w:r w:rsidRPr="00984CD2">
              <w:t>73.2</w:t>
            </w:r>
          </w:p>
        </w:tc>
        <w:tc>
          <w:tcPr>
            <w:tcW w:w="1197" w:type="dxa"/>
          </w:tcPr>
          <w:p w14:paraId="04FD5F07" w14:textId="77777777" w:rsidR="00E20060" w:rsidRPr="00984CD2" w:rsidRDefault="00E20060" w:rsidP="009302E4">
            <w:pPr>
              <w:pStyle w:val="NoSpacing"/>
            </w:pPr>
            <w:r w:rsidRPr="00984CD2">
              <w:t>57</w:t>
            </w:r>
          </w:p>
        </w:tc>
        <w:tc>
          <w:tcPr>
            <w:tcW w:w="1124" w:type="dxa"/>
          </w:tcPr>
          <w:p w14:paraId="07333F80" w14:textId="77777777" w:rsidR="00E20060" w:rsidRPr="00984CD2" w:rsidRDefault="00E20060" w:rsidP="009302E4">
            <w:pPr>
              <w:pStyle w:val="NoSpacing"/>
            </w:pPr>
            <w:r w:rsidRPr="00984CD2">
              <w:t>80.3</w:t>
            </w:r>
          </w:p>
        </w:tc>
        <w:tc>
          <w:tcPr>
            <w:tcW w:w="1208" w:type="dxa"/>
          </w:tcPr>
          <w:p w14:paraId="5417CE91" w14:textId="77777777" w:rsidR="00E20060" w:rsidRPr="00984CD2" w:rsidRDefault="00E20060" w:rsidP="009302E4">
            <w:pPr>
              <w:pStyle w:val="NoSpacing"/>
            </w:pPr>
            <w:r w:rsidRPr="00984CD2">
              <w:t>186</w:t>
            </w:r>
          </w:p>
        </w:tc>
        <w:tc>
          <w:tcPr>
            <w:tcW w:w="823" w:type="dxa"/>
          </w:tcPr>
          <w:p w14:paraId="305C6BF1" w14:textId="77777777" w:rsidR="00E20060" w:rsidRPr="00984CD2" w:rsidRDefault="00E20060" w:rsidP="009302E4">
            <w:pPr>
              <w:pStyle w:val="NoSpacing"/>
              <w:rPr>
                <w:w w:val="95"/>
              </w:rPr>
            </w:pPr>
            <w:r w:rsidRPr="00984CD2">
              <w:rPr>
                <w:w w:val="95"/>
              </w:rPr>
              <w:t>74.4</w:t>
            </w:r>
          </w:p>
        </w:tc>
      </w:tr>
      <w:tr w:rsidR="00E20060" w:rsidRPr="00984CD2" w14:paraId="2E78E42A" w14:textId="77777777" w:rsidTr="00596103">
        <w:trPr>
          <w:trHeight w:val="230"/>
        </w:trPr>
        <w:tc>
          <w:tcPr>
            <w:tcW w:w="2950" w:type="dxa"/>
          </w:tcPr>
          <w:p w14:paraId="44BD7E70" w14:textId="77777777" w:rsidR="00E20060" w:rsidRPr="00984CD2" w:rsidRDefault="00E20060" w:rsidP="009302E4">
            <w:pPr>
              <w:pStyle w:val="NoSpacing"/>
            </w:pPr>
            <w:r w:rsidRPr="00984CD2">
              <w:t>Missing</w:t>
            </w:r>
          </w:p>
        </w:tc>
        <w:tc>
          <w:tcPr>
            <w:tcW w:w="1365" w:type="dxa"/>
          </w:tcPr>
          <w:p w14:paraId="34A86408" w14:textId="77777777" w:rsidR="00E20060" w:rsidRPr="00984CD2" w:rsidRDefault="00E20060" w:rsidP="009302E4">
            <w:pPr>
              <w:pStyle w:val="NoSpacing"/>
            </w:pPr>
            <w:r w:rsidRPr="00984CD2">
              <w:t>—</w:t>
            </w:r>
          </w:p>
        </w:tc>
        <w:tc>
          <w:tcPr>
            <w:tcW w:w="926" w:type="dxa"/>
          </w:tcPr>
          <w:p w14:paraId="3B125C7A" w14:textId="77777777" w:rsidR="00E20060" w:rsidRPr="00984CD2" w:rsidRDefault="00E20060" w:rsidP="009302E4">
            <w:pPr>
              <w:pStyle w:val="NoSpacing"/>
            </w:pPr>
            <w:r w:rsidRPr="00984CD2">
              <w:t>—</w:t>
            </w:r>
          </w:p>
        </w:tc>
        <w:tc>
          <w:tcPr>
            <w:tcW w:w="1197" w:type="dxa"/>
          </w:tcPr>
          <w:p w14:paraId="4A72786E" w14:textId="77777777" w:rsidR="00E20060" w:rsidRPr="00984CD2" w:rsidRDefault="00E20060" w:rsidP="009302E4">
            <w:pPr>
              <w:pStyle w:val="NoSpacing"/>
            </w:pPr>
            <w:r w:rsidRPr="00984CD2">
              <w:t>—</w:t>
            </w:r>
          </w:p>
        </w:tc>
        <w:tc>
          <w:tcPr>
            <w:tcW w:w="1124" w:type="dxa"/>
          </w:tcPr>
          <w:p w14:paraId="2482F213" w14:textId="77777777" w:rsidR="00E20060" w:rsidRPr="00984CD2" w:rsidRDefault="00E20060" w:rsidP="009302E4">
            <w:pPr>
              <w:pStyle w:val="NoSpacing"/>
            </w:pPr>
            <w:r w:rsidRPr="00984CD2">
              <w:t>—</w:t>
            </w:r>
          </w:p>
        </w:tc>
        <w:tc>
          <w:tcPr>
            <w:tcW w:w="1208" w:type="dxa"/>
          </w:tcPr>
          <w:p w14:paraId="4E8D7BC6" w14:textId="77777777" w:rsidR="00E20060" w:rsidRPr="00984CD2" w:rsidRDefault="00E20060" w:rsidP="009302E4">
            <w:pPr>
              <w:pStyle w:val="NoSpacing"/>
            </w:pPr>
            <w:r w:rsidRPr="00984CD2">
              <w:t>4</w:t>
            </w:r>
          </w:p>
        </w:tc>
        <w:tc>
          <w:tcPr>
            <w:tcW w:w="823" w:type="dxa"/>
          </w:tcPr>
          <w:p w14:paraId="24D22F9A" w14:textId="77777777" w:rsidR="00E20060" w:rsidRPr="00984CD2" w:rsidRDefault="00E20060" w:rsidP="009302E4">
            <w:pPr>
              <w:pStyle w:val="NoSpacing"/>
              <w:rPr>
                <w:w w:val="95"/>
              </w:rPr>
            </w:pPr>
            <w:r w:rsidRPr="00984CD2">
              <w:rPr>
                <w:w w:val="95"/>
              </w:rPr>
              <w:t>1.6</w:t>
            </w:r>
          </w:p>
        </w:tc>
      </w:tr>
      <w:tr w:rsidR="00E20060" w:rsidRPr="00984CD2" w14:paraId="40ACC77E" w14:textId="77777777" w:rsidTr="00596103">
        <w:trPr>
          <w:trHeight w:val="460"/>
        </w:trPr>
        <w:tc>
          <w:tcPr>
            <w:tcW w:w="2950" w:type="dxa"/>
          </w:tcPr>
          <w:p w14:paraId="6ED5E217" w14:textId="77777777" w:rsidR="00E20060" w:rsidRPr="00984CD2" w:rsidRDefault="00E20060" w:rsidP="009302E4">
            <w:pPr>
              <w:pStyle w:val="NoSpacing"/>
            </w:pPr>
            <w:r w:rsidRPr="00984CD2">
              <w:t>Highest level of</w:t>
            </w:r>
            <w:r w:rsidRPr="00984CD2">
              <w:rPr>
                <w:spacing w:val="-16"/>
              </w:rPr>
              <w:t xml:space="preserve"> </w:t>
            </w:r>
            <w:r w:rsidRPr="00984CD2">
              <w:t>education</w:t>
            </w:r>
          </w:p>
          <w:p w14:paraId="1E4F8D76" w14:textId="77777777" w:rsidR="00E20060" w:rsidRPr="00984CD2" w:rsidRDefault="00E20060" w:rsidP="009302E4">
            <w:pPr>
              <w:pStyle w:val="NoSpacing"/>
            </w:pPr>
            <w:r w:rsidRPr="00984CD2">
              <w:t>Incomplete elementary</w:t>
            </w:r>
          </w:p>
        </w:tc>
        <w:tc>
          <w:tcPr>
            <w:tcW w:w="1365" w:type="dxa"/>
          </w:tcPr>
          <w:p w14:paraId="6CF29A24" w14:textId="77777777" w:rsidR="00E20060" w:rsidRPr="00984CD2" w:rsidRDefault="00E20060" w:rsidP="009302E4">
            <w:pPr>
              <w:pStyle w:val="NoSpacing"/>
              <w:rPr>
                <w:sz w:val="20"/>
                <w:szCs w:val="20"/>
              </w:rPr>
            </w:pPr>
          </w:p>
          <w:p w14:paraId="321052B6" w14:textId="77777777" w:rsidR="00E20060" w:rsidRPr="00984CD2" w:rsidRDefault="00E20060" w:rsidP="009302E4">
            <w:pPr>
              <w:pStyle w:val="NoSpacing"/>
            </w:pPr>
            <w:r w:rsidRPr="00984CD2">
              <w:t>15</w:t>
            </w:r>
          </w:p>
        </w:tc>
        <w:tc>
          <w:tcPr>
            <w:tcW w:w="926" w:type="dxa"/>
          </w:tcPr>
          <w:p w14:paraId="3741DEDE" w14:textId="77777777" w:rsidR="00E20060" w:rsidRPr="00984CD2" w:rsidRDefault="00E20060" w:rsidP="009302E4">
            <w:pPr>
              <w:pStyle w:val="NoSpacing"/>
              <w:rPr>
                <w:sz w:val="20"/>
                <w:szCs w:val="20"/>
              </w:rPr>
            </w:pPr>
          </w:p>
          <w:p w14:paraId="750FC0D0" w14:textId="77777777" w:rsidR="00E20060" w:rsidRPr="00984CD2" w:rsidRDefault="00E20060" w:rsidP="009302E4">
            <w:pPr>
              <w:pStyle w:val="NoSpacing"/>
            </w:pPr>
            <w:r w:rsidRPr="00984CD2">
              <w:t>8.9</w:t>
            </w:r>
          </w:p>
        </w:tc>
        <w:tc>
          <w:tcPr>
            <w:tcW w:w="1197" w:type="dxa"/>
          </w:tcPr>
          <w:p w14:paraId="7864E76A" w14:textId="77777777" w:rsidR="00E20060" w:rsidRPr="00984CD2" w:rsidRDefault="00E20060" w:rsidP="009302E4">
            <w:pPr>
              <w:pStyle w:val="NoSpacing"/>
              <w:rPr>
                <w:sz w:val="20"/>
                <w:szCs w:val="20"/>
              </w:rPr>
            </w:pPr>
          </w:p>
          <w:p w14:paraId="520ED773" w14:textId="77777777" w:rsidR="00E20060" w:rsidRPr="00984CD2" w:rsidRDefault="00E20060" w:rsidP="009302E4">
            <w:pPr>
              <w:pStyle w:val="NoSpacing"/>
            </w:pPr>
            <w:r w:rsidRPr="00984CD2">
              <w:t>17</w:t>
            </w:r>
          </w:p>
        </w:tc>
        <w:tc>
          <w:tcPr>
            <w:tcW w:w="1124" w:type="dxa"/>
          </w:tcPr>
          <w:p w14:paraId="1E6C400E" w14:textId="77777777" w:rsidR="00E20060" w:rsidRPr="00984CD2" w:rsidRDefault="00E20060" w:rsidP="009302E4">
            <w:pPr>
              <w:pStyle w:val="NoSpacing"/>
              <w:rPr>
                <w:sz w:val="20"/>
                <w:szCs w:val="20"/>
              </w:rPr>
            </w:pPr>
          </w:p>
          <w:p w14:paraId="39E2146E" w14:textId="77777777" w:rsidR="00E20060" w:rsidRPr="00984CD2" w:rsidRDefault="00E20060" w:rsidP="009302E4">
            <w:pPr>
              <w:pStyle w:val="NoSpacing"/>
            </w:pPr>
            <w:r w:rsidRPr="00984CD2">
              <w:t>23.9</w:t>
            </w:r>
          </w:p>
        </w:tc>
        <w:tc>
          <w:tcPr>
            <w:tcW w:w="1208" w:type="dxa"/>
          </w:tcPr>
          <w:p w14:paraId="31369468" w14:textId="77777777" w:rsidR="00E20060" w:rsidRPr="00984CD2" w:rsidRDefault="00E20060" w:rsidP="009302E4">
            <w:pPr>
              <w:pStyle w:val="NoSpacing"/>
              <w:rPr>
                <w:sz w:val="20"/>
                <w:szCs w:val="20"/>
              </w:rPr>
            </w:pPr>
          </w:p>
          <w:p w14:paraId="15E82875" w14:textId="77777777" w:rsidR="00E20060" w:rsidRPr="00984CD2" w:rsidRDefault="00E20060" w:rsidP="009302E4">
            <w:pPr>
              <w:pStyle w:val="NoSpacing"/>
            </w:pPr>
            <w:r w:rsidRPr="00984CD2">
              <w:t>34</w:t>
            </w:r>
          </w:p>
        </w:tc>
        <w:tc>
          <w:tcPr>
            <w:tcW w:w="823" w:type="dxa"/>
          </w:tcPr>
          <w:p w14:paraId="0664DFB5" w14:textId="77777777" w:rsidR="00E20060" w:rsidRPr="00984CD2" w:rsidRDefault="00E20060" w:rsidP="009302E4">
            <w:pPr>
              <w:pStyle w:val="NoSpacing"/>
              <w:rPr>
                <w:sz w:val="20"/>
                <w:szCs w:val="20"/>
              </w:rPr>
            </w:pPr>
          </w:p>
          <w:p w14:paraId="66E6D601" w14:textId="77777777" w:rsidR="00E20060" w:rsidRPr="00984CD2" w:rsidRDefault="00E20060" w:rsidP="009302E4">
            <w:pPr>
              <w:pStyle w:val="NoSpacing"/>
              <w:rPr>
                <w:w w:val="95"/>
              </w:rPr>
            </w:pPr>
            <w:r w:rsidRPr="00984CD2">
              <w:rPr>
                <w:w w:val="95"/>
              </w:rPr>
              <w:t>13.6</w:t>
            </w:r>
          </w:p>
        </w:tc>
      </w:tr>
      <w:tr w:rsidR="00E20060" w:rsidRPr="00984CD2" w14:paraId="143D9210" w14:textId="77777777" w:rsidTr="00596103">
        <w:trPr>
          <w:trHeight w:val="230"/>
        </w:trPr>
        <w:tc>
          <w:tcPr>
            <w:tcW w:w="2950" w:type="dxa"/>
          </w:tcPr>
          <w:p w14:paraId="3F6E1287" w14:textId="77777777" w:rsidR="00E20060" w:rsidRPr="00984CD2" w:rsidRDefault="00E20060" w:rsidP="009302E4">
            <w:pPr>
              <w:pStyle w:val="NoSpacing"/>
            </w:pPr>
            <w:r w:rsidRPr="00984CD2">
              <w:t>Elementary</w:t>
            </w:r>
          </w:p>
        </w:tc>
        <w:tc>
          <w:tcPr>
            <w:tcW w:w="1365" w:type="dxa"/>
          </w:tcPr>
          <w:p w14:paraId="7CC99224" w14:textId="77777777" w:rsidR="00E20060" w:rsidRPr="00984CD2" w:rsidRDefault="00E20060" w:rsidP="009302E4">
            <w:pPr>
              <w:pStyle w:val="NoSpacing"/>
            </w:pPr>
            <w:r w:rsidRPr="00984CD2">
              <w:t>19</w:t>
            </w:r>
          </w:p>
        </w:tc>
        <w:tc>
          <w:tcPr>
            <w:tcW w:w="926" w:type="dxa"/>
          </w:tcPr>
          <w:p w14:paraId="5BF86BC2" w14:textId="77777777" w:rsidR="00E20060" w:rsidRPr="00984CD2" w:rsidRDefault="00E20060" w:rsidP="009302E4">
            <w:pPr>
              <w:pStyle w:val="NoSpacing"/>
            </w:pPr>
            <w:r w:rsidRPr="00984CD2">
              <w:t>11.3</w:t>
            </w:r>
          </w:p>
        </w:tc>
        <w:tc>
          <w:tcPr>
            <w:tcW w:w="1197" w:type="dxa"/>
          </w:tcPr>
          <w:p w14:paraId="644AD4E8" w14:textId="77777777" w:rsidR="00E20060" w:rsidRPr="00984CD2" w:rsidRDefault="00E20060" w:rsidP="009302E4">
            <w:pPr>
              <w:pStyle w:val="NoSpacing"/>
            </w:pPr>
            <w:r w:rsidRPr="00984CD2">
              <w:t>7</w:t>
            </w:r>
          </w:p>
        </w:tc>
        <w:tc>
          <w:tcPr>
            <w:tcW w:w="1124" w:type="dxa"/>
          </w:tcPr>
          <w:p w14:paraId="25D6A38C" w14:textId="77777777" w:rsidR="00E20060" w:rsidRPr="00984CD2" w:rsidRDefault="00E20060" w:rsidP="009302E4">
            <w:pPr>
              <w:pStyle w:val="NoSpacing"/>
            </w:pPr>
            <w:r w:rsidRPr="00984CD2">
              <w:t>9.9</w:t>
            </w:r>
          </w:p>
        </w:tc>
        <w:tc>
          <w:tcPr>
            <w:tcW w:w="1208" w:type="dxa"/>
          </w:tcPr>
          <w:p w14:paraId="364CEE7A" w14:textId="77777777" w:rsidR="00E20060" w:rsidRPr="00984CD2" w:rsidRDefault="00E20060" w:rsidP="009302E4">
            <w:pPr>
              <w:pStyle w:val="NoSpacing"/>
            </w:pPr>
            <w:r w:rsidRPr="00984CD2">
              <w:t>26</w:t>
            </w:r>
          </w:p>
        </w:tc>
        <w:tc>
          <w:tcPr>
            <w:tcW w:w="823" w:type="dxa"/>
          </w:tcPr>
          <w:p w14:paraId="40659623" w14:textId="77777777" w:rsidR="00E20060" w:rsidRPr="00984CD2" w:rsidRDefault="00E20060" w:rsidP="009302E4">
            <w:pPr>
              <w:pStyle w:val="NoSpacing"/>
              <w:rPr>
                <w:w w:val="95"/>
              </w:rPr>
            </w:pPr>
            <w:r w:rsidRPr="00984CD2">
              <w:rPr>
                <w:w w:val="95"/>
              </w:rPr>
              <w:t>10.4</w:t>
            </w:r>
          </w:p>
        </w:tc>
      </w:tr>
      <w:tr w:rsidR="00E20060" w:rsidRPr="00984CD2" w14:paraId="736667DB" w14:textId="77777777" w:rsidTr="00596103">
        <w:trPr>
          <w:trHeight w:val="230"/>
        </w:trPr>
        <w:tc>
          <w:tcPr>
            <w:tcW w:w="2950" w:type="dxa"/>
          </w:tcPr>
          <w:p w14:paraId="19191F05" w14:textId="77777777" w:rsidR="00E20060" w:rsidRPr="00984CD2" w:rsidRDefault="00E20060" w:rsidP="009302E4">
            <w:pPr>
              <w:pStyle w:val="NoSpacing"/>
            </w:pPr>
            <w:r w:rsidRPr="00984CD2">
              <w:t>Incomplete high school</w:t>
            </w:r>
          </w:p>
        </w:tc>
        <w:tc>
          <w:tcPr>
            <w:tcW w:w="1365" w:type="dxa"/>
          </w:tcPr>
          <w:p w14:paraId="73C7C6EC" w14:textId="77777777" w:rsidR="00E20060" w:rsidRPr="00984CD2" w:rsidRDefault="00E20060" w:rsidP="009302E4">
            <w:pPr>
              <w:pStyle w:val="NoSpacing"/>
            </w:pPr>
            <w:r w:rsidRPr="00984CD2">
              <w:t>17</w:t>
            </w:r>
          </w:p>
        </w:tc>
        <w:tc>
          <w:tcPr>
            <w:tcW w:w="926" w:type="dxa"/>
          </w:tcPr>
          <w:p w14:paraId="52275035" w14:textId="77777777" w:rsidR="00E20060" w:rsidRPr="00984CD2" w:rsidRDefault="00E20060" w:rsidP="009302E4">
            <w:pPr>
              <w:pStyle w:val="NoSpacing"/>
            </w:pPr>
            <w:r w:rsidRPr="00984CD2">
              <w:t>10.1</w:t>
            </w:r>
          </w:p>
        </w:tc>
        <w:tc>
          <w:tcPr>
            <w:tcW w:w="1197" w:type="dxa"/>
          </w:tcPr>
          <w:p w14:paraId="493CE07D" w14:textId="77777777" w:rsidR="00E20060" w:rsidRPr="00984CD2" w:rsidRDefault="00E20060" w:rsidP="009302E4">
            <w:pPr>
              <w:pStyle w:val="NoSpacing"/>
            </w:pPr>
            <w:r w:rsidRPr="00984CD2">
              <w:t>10</w:t>
            </w:r>
          </w:p>
        </w:tc>
        <w:tc>
          <w:tcPr>
            <w:tcW w:w="1124" w:type="dxa"/>
          </w:tcPr>
          <w:p w14:paraId="3F7CF014" w14:textId="77777777" w:rsidR="00E20060" w:rsidRPr="00984CD2" w:rsidRDefault="00E20060" w:rsidP="009302E4">
            <w:pPr>
              <w:pStyle w:val="NoSpacing"/>
            </w:pPr>
            <w:r w:rsidRPr="00984CD2">
              <w:t>14.1</w:t>
            </w:r>
          </w:p>
        </w:tc>
        <w:tc>
          <w:tcPr>
            <w:tcW w:w="1208" w:type="dxa"/>
          </w:tcPr>
          <w:p w14:paraId="371312D9" w14:textId="77777777" w:rsidR="00E20060" w:rsidRPr="00984CD2" w:rsidRDefault="00E20060" w:rsidP="009302E4">
            <w:pPr>
              <w:pStyle w:val="NoSpacing"/>
            </w:pPr>
            <w:r w:rsidRPr="00984CD2">
              <w:t>29</w:t>
            </w:r>
          </w:p>
        </w:tc>
        <w:tc>
          <w:tcPr>
            <w:tcW w:w="823" w:type="dxa"/>
          </w:tcPr>
          <w:p w14:paraId="71C6D1AA" w14:textId="77777777" w:rsidR="00E20060" w:rsidRPr="00984CD2" w:rsidRDefault="00E20060" w:rsidP="009302E4">
            <w:pPr>
              <w:pStyle w:val="NoSpacing"/>
              <w:rPr>
                <w:w w:val="95"/>
              </w:rPr>
            </w:pPr>
            <w:r w:rsidRPr="00984CD2">
              <w:rPr>
                <w:w w:val="95"/>
              </w:rPr>
              <w:t>11.6</w:t>
            </w:r>
          </w:p>
        </w:tc>
      </w:tr>
      <w:tr w:rsidR="00E20060" w:rsidRPr="00984CD2" w14:paraId="685647C9" w14:textId="77777777" w:rsidTr="00596103">
        <w:trPr>
          <w:trHeight w:val="230"/>
        </w:trPr>
        <w:tc>
          <w:tcPr>
            <w:tcW w:w="2950" w:type="dxa"/>
          </w:tcPr>
          <w:p w14:paraId="3AAB3B90" w14:textId="77777777" w:rsidR="00E20060" w:rsidRPr="00984CD2" w:rsidRDefault="00E20060" w:rsidP="009302E4">
            <w:pPr>
              <w:pStyle w:val="NoSpacing"/>
            </w:pPr>
            <w:r w:rsidRPr="00984CD2">
              <w:t>High school</w:t>
            </w:r>
          </w:p>
        </w:tc>
        <w:tc>
          <w:tcPr>
            <w:tcW w:w="1365" w:type="dxa"/>
          </w:tcPr>
          <w:p w14:paraId="5618D8A8" w14:textId="77777777" w:rsidR="00E20060" w:rsidRPr="00984CD2" w:rsidRDefault="00E20060" w:rsidP="009302E4">
            <w:pPr>
              <w:pStyle w:val="NoSpacing"/>
            </w:pPr>
            <w:r w:rsidRPr="00984CD2">
              <w:t>20</w:t>
            </w:r>
          </w:p>
        </w:tc>
        <w:tc>
          <w:tcPr>
            <w:tcW w:w="926" w:type="dxa"/>
          </w:tcPr>
          <w:p w14:paraId="123C7A9A" w14:textId="77777777" w:rsidR="00E20060" w:rsidRPr="00984CD2" w:rsidRDefault="00E20060" w:rsidP="009302E4">
            <w:pPr>
              <w:pStyle w:val="NoSpacing"/>
            </w:pPr>
            <w:r w:rsidRPr="00984CD2">
              <w:t>11.9</w:t>
            </w:r>
          </w:p>
        </w:tc>
        <w:tc>
          <w:tcPr>
            <w:tcW w:w="1197" w:type="dxa"/>
          </w:tcPr>
          <w:p w14:paraId="35382A0E" w14:textId="77777777" w:rsidR="00E20060" w:rsidRPr="00984CD2" w:rsidRDefault="00E20060" w:rsidP="009302E4">
            <w:pPr>
              <w:pStyle w:val="NoSpacing"/>
            </w:pPr>
            <w:r w:rsidRPr="00984CD2">
              <w:t>9</w:t>
            </w:r>
          </w:p>
        </w:tc>
        <w:tc>
          <w:tcPr>
            <w:tcW w:w="1124" w:type="dxa"/>
          </w:tcPr>
          <w:p w14:paraId="46B23932" w14:textId="77777777" w:rsidR="00E20060" w:rsidRPr="00984CD2" w:rsidRDefault="00E20060" w:rsidP="009302E4">
            <w:pPr>
              <w:pStyle w:val="NoSpacing"/>
            </w:pPr>
            <w:r w:rsidRPr="00984CD2">
              <w:t>12.7</w:t>
            </w:r>
          </w:p>
        </w:tc>
        <w:tc>
          <w:tcPr>
            <w:tcW w:w="1208" w:type="dxa"/>
          </w:tcPr>
          <w:p w14:paraId="3E491266" w14:textId="77777777" w:rsidR="00E20060" w:rsidRPr="00984CD2" w:rsidRDefault="00E20060" w:rsidP="009302E4">
            <w:pPr>
              <w:pStyle w:val="NoSpacing"/>
            </w:pPr>
            <w:r w:rsidRPr="00984CD2">
              <w:t>29</w:t>
            </w:r>
          </w:p>
        </w:tc>
        <w:tc>
          <w:tcPr>
            <w:tcW w:w="823" w:type="dxa"/>
          </w:tcPr>
          <w:p w14:paraId="1453A7BA" w14:textId="77777777" w:rsidR="00E20060" w:rsidRPr="00984CD2" w:rsidRDefault="00E20060" w:rsidP="009302E4">
            <w:pPr>
              <w:pStyle w:val="NoSpacing"/>
              <w:rPr>
                <w:w w:val="95"/>
              </w:rPr>
            </w:pPr>
            <w:r w:rsidRPr="00984CD2">
              <w:rPr>
                <w:w w:val="95"/>
              </w:rPr>
              <w:t>11.6</w:t>
            </w:r>
          </w:p>
        </w:tc>
      </w:tr>
      <w:tr w:rsidR="00E20060" w:rsidRPr="00984CD2" w14:paraId="433C4A6D" w14:textId="77777777" w:rsidTr="00596103">
        <w:trPr>
          <w:trHeight w:val="230"/>
        </w:trPr>
        <w:tc>
          <w:tcPr>
            <w:tcW w:w="2950" w:type="dxa"/>
          </w:tcPr>
          <w:p w14:paraId="510CD338" w14:textId="77777777" w:rsidR="00E20060" w:rsidRPr="00984CD2" w:rsidRDefault="00E20060" w:rsidP="009302E4">
            <w:pPr>
              <w:pStyle w:val="NoSpacing"/>
            </w:pPr>
            <w:r w:rsidRPr="00984CD2">
              <w:t>Incomplete university</w:t>
            </w:r>
          </w:p>
        </w:tc>
        <w:tc>
          <w:tcPr>
            <w:tcW w:w="1365" w:type="dxa"/>
          </w:tcPr>
          <w:p w14:paraId="740FE614" w14:textId="77777777" w:rsidR="00E20060" w:rsidRPr="00984CD2" w:rsidRDefault="00E20060" w:rsidP="009302E4">
            <w:pPr>
              <w:pStyle w:val="NoSpacing"/>
            </w:pPr>
            <w:r w:rsidRPr="00984CD2">
              <w:t>33</w:t>
            </w:r>
          </w:p>
        </w:tc>
        <w:tc>
          <w:tcPr>
            <w:tcW w:w="926" w:type="dxa"/>
          </w:tcPr>
          <w:p w14:paraId="20FA8C32" w14:textId="77777777" w:rsidR="00E20060" w:rsidRPr="00984CD2" w:rsidRDefault="00E20060" w:rsidP="009302E4">
            <w:pPr>
              <w:pStyle w:val="NoSpacing"/>
            </w:pPr>
            <w:r w:rsidRPr="00984CD2">
              <w:t>19.6</w:t>
            </w:r>
          </w:p>
        </w:tc>
        <w:tc>
          <w:tcPr>
            <w:tcW w:w="1197" w:type="dxa"/>
          </w:tcPr>
          <w:p w14:paraId="46E1289D" w14:textId="77777777" w:rsidR="00E20060" w:rsidRPr="00984CD2" w:rsidRDefault="00E20060" w:rsidP="009302E4">
            <w:pPr>
              <w:pStyle w:val="NoSpacing"/>
            </w:pPr>
            <w:r w:rsidRPr="00984CD2">
              <w:t>4</w:t>
            </w:r>
          </w:p>
        </w:tc>
        <w:tc>
          <w:tcPr>
            <w:tcW w:w="1124" w:type="dxa"/>
          </w:tcPr>
          <w:p w14:paraId="46DFEFB1" w14:textId="77777777" w:rsidR="00E20060" w:rsidRPr="00984CD2" w:rsidRDefault="00E20060" w:rsidP="009302E4">
            <w:pPr>
              <w:pStyle w:val="NoSpacing"/>
            </w:pPr>
            <w:r w:rsidRPr="00984CD2">
              <w:t>5.6</w:t>
            </w:r>
          </w:p>
        </w:tc>
        <w:tc>
          <w:tcPr>
            <w:tcW w:w="1208" w:type="dxa"/>
          </w:tcPr>
          <w:p w14:paraId="17FB3F48" w14:textId="77777777" w:rsidR="00E20060" w:rsidRPr="00984CD2" w:rsidRDefault="00E20060" w:rsidP="009302E4">
            <w:pPr>
              <w:pStyle w:val="NoSpacing"/>
            </w:pPr>
            <w:r w:rsidRPr="00984CD2">
              <w:t>37</w:t>
            </w:r>
          </w:p>
        </w:tc>
        <w:tc>
          <w:tcPr>
            <w:tcW w:w="823" w:type="dxa"/>
          </w:tcPr>
          <w:p w14:paraId="1CB768CD" w14:textId="77777777" w:rsidR="00E20060" w:rsidRPr="00984CD2" w:rsidRDefault="00E20060" w:rsidP="009302E4">
            <w:pPr>
              <w:pStyle w:val="NoSpacing"/>
              <w:rPr>
                <w:w w:val="95"/>
              </w:rPr>
            </w:pPr>
            <w:r w:rsidRPr="00984CD2">
              <w:rPr>
                <w:w w:val="95"/>
              </w:rPr>
              <w:t>14.8</w:t>
            </w:r>
          </w:p>
        </w:tc>
      </w:tr>
      <w:tr w:rsidR="00E20060" w:rsidRPr="00984CD2" w14:paraId="547B0681" w14:textId="77777777" w:rsidTr="00596103">
        <w:trPr>
          <w:trHeight w:val="230"/>
        </w:trPr>
        <w:tc>
          <w:tcPr>
            <w:tcW w:w="2950" w:type="dxa"/>
          </w:tcPr>
          <w:p w14:paraId="7B001C26" w14:textId="77777777" w:rsidR="00E20060" w:rsidRPr="00984CD2" w:rsidRDefault="00E20060" w:rsidP="009302E4">
            <w:pPr>
              <w:pStyle w:val="NoSpacing"/>
            </w:pPr>
            <w:r w:rsidRPr="00984CD2">
              <w:t>University</w:t>
            </w:r>
          </w:p>
        </w:tc>
        <w:tc>
          <w:tcPr>
            <w:tcW w:w="1365" w:type="dxa"/>
          </w:tcPr>
          <w:p w14:paraId="4E44D4DD" w14:textId="77777777" w:rsidR="00E20060" w:rsidRPr="00984CD2" w:rsidRDefault="00E20060" w:rsidP="009302E4">
            <w:pPr>
              <w:pStyle w:val="NoSpacing"/>
            </w:pPr>
            <w:r w:rsidRPr="00984CD2">
              <w:t>64</w:t>
            </w:r>
          </w:p>
        </w:tc>
        <w:tc>
          <w:tcPr>
            <w:tcW w:w="926" w:type="dxa"/>
          </w:tcPr>
          <w:p w14:paraId="41A71440" w14:textId="77777777" w:rsidR="00E20060" w:rsidRPr="00984CD2" w:rsidRDefault="00E20060" w:rsidP="009302E4">
            <w:pPr>
              <w:pStyle w:val="NoSpacing"/>
            </w:pPr>
            <w:r w:rsidRPr="00984CD2">
              <w:t>50.0</w:t>
            </w:r>
          </w:p>
        </w:tc>
        <w:tc>
          <w:tcPr>
            <w:tcW w:w="1197" w:type="dxa"/>
          </w:tcPr>
          <w:p w14:paraId="41C0BFA7" w14:textId="77777777" w:rsidR="00E20060" w:rsidRPr="00984CD2" w:rsidRDefault="00E20060" w:rsidP="009302E4">
            <w:pPr>
              <w:pStyle w:val="NoSpacing"/>
            </w:pPr>
            <w:r w:rsidRPr="00984CD2">
              <w:t>24</w:t>
            </w:r>
          </w:p>
        </w:tc>
        <w:tc>
          <w:tcPr>
            <w:tcW w:w="1124" w:type="dxa"/>
          </w:tcPr>
          <w:p w14:paraId="1A8552CC" w14:textId="77777777" w:rsidR="00E20060" w:rsidRPr="00984CD2" w:rsidRDefault="00E20060" w:rsidP="009302E4">
            <w:pPr>
              <w:pStyle w:val="NoSpacing"/>
            </w:pPr>
            <w:r w:rsidRPr="00984CD2">
              <w:t>33.8</w:t>
            </w:r>
          </w:p>
        </w:tc>
        <w:tc>
          <w:tcPr>
            <w:tcW w:w="1208" w:type="dxa"/>
          </w:tcPr>
          <w:p w14:paraId="07C60985" w14:textId="77777777" w:rsidR="00E20060" w:rsidRPr="00984CD2" w:rsidRDefault="00E20060" w:rsidP="009302E4">
            <w:pPr>
              <w:pStyle w:val="NoSpacing"/>
            </w:pPr>
            <w:r w:rsidRPr="00984CD2">
              <w:t>91</w:t>
            </w:r>
          </w:p>
        </w:tc>
        <w:tc>
          <w:tcPr>
            <w:tcW w:w="823" w:type="dxa"/>
          </w:tcPr>
          <w:p w14:paraId="5367E9A3" w14:textId="77777777" w:rsidR="00E20060" w:rsidRPr="00984CD2" w:rsidRDefault="00E20060" w:rsidP="009302E4">
            <w:pPr>
              <w:pStyle w:val="NoSpacing"/>
              <w:rPr>
                <w:w w:val="95"/>
              </w:rPr>
            </w:pPr>
            <w:r w:rsidRPr="00984CD2">
              <w:rPr>
                <w:w w:val="95"/>
              </w:rPr>
              <w:t>36.4</w:t>
            </w:r>
          </w:p>
        </w:tc>
      </w:tr>
      <w:tr w:rsidR="00E20060" w:rsidRPr="00984CD2" w14:paraId="217BE7DD" w14:textId="77777777" w:rsidTr="00596103">
        <w:trPr>
          <w:trHeight w:val="289"/>
        </w:trPr>
        <w:tc>
          <w:tcPr>
            <w:tcW w:w="2950" w:type="dxa"/>
          </w:tcPr>
          <w:p w14:paraId="0EB5591C" w14:textId="77777777" w:rsidR="00E20060" w:rsidRPr="00984CD2" w:rsidRDefault="00E20060" w:rsidP="009302E4">
            <w:pPr>
              <w:pStyle w:val="NoSpacing"/>
            </w:pPr>
            <w:r w:rsidRPr="00984CD2">
              <w:t>Missing</w:t>
            </w:r>
          </w:p>
        </w:tc>
        <w:tc>
          <w:tcPr>
            <w:tcW w:w="1365" w:type="dxa"/>
          </w:tcPr>
          <w:p w14:paraId="5E283D45" w14:textId="77777777" w:rsidR="00E20060" w:rsidRPr="00984CD2" w:rsidRDefault="00E20060" w:rsidP="009302E4">
            <w:pPr>
              <w:pStyle w:val="NoSpacing"/>
            </w:pPr>
            <w:r w:rsidRPr="00984CD2">
              <w:t>—</w:t>
            </w:r>
          </w:p>
        </w:tc>
        <w:tc>
          <w:tcPr>
            <w:tcW w:w="926" w:type="dxa"/>
          </w:tcPr>
          <w:p w14:paraId="48C35F73" w14:textId="77777777" w:rsidR="00E20060" w:rsidRPr="00984CD2" w:rsidRDefault="00E20060" w:rsidP="009302E4">
            <w:pPr>
              <w:pStyle w:val="NoSpacing"/>
            </w:pPr>
            <w:r w:rsidRPr="00984CD2">
              <w:t>—</w:t>
            </w:r>
          </w:p>
        </w:tc>
        <w:tc>
          <w:tcPr>
            <w:tcW w:w="1197" w:type="dxa"/>
          </w:tcPr>
          <w:p w14:paraId="0A31A163" w14:textId="77777777" w:rsidR="00E20060" w:rsidRPr="00984CD2" w:rsidRDefault="00E20060" w:rsidP="009302E4">
            <w:pPr>
              <w:pStyle w:val="NoSpacing"/>
            </w:pPr>
            <w:r w:rsidRPr="00984CD2">
              <w:t>—</w:t>
            </w:r>
          </w:p>
        </w:tc>
        <w:tc>
          <w:tcPr>
            <w:tcW w:w="1124" w:type="dxa"/>
          </w:tcPr>
          <w:p w14:paraId="2D0907F1" w14:textId="77777777" w:rsidR="00E20060" w:rsidRPr="00984CD2" w:rsidRDefault="00E20060" w:rsidP="009302E4">
            <w:pPr>
              <w:pStyle w:val="NoSpacing"/>
            </w:pPr>
            <w:r w:rsidRPr="00984CD2">
              <w:t>—</w:t>
            </w:r>
          </w:p>
        </w:tc>
        <w:tc>
          <w:tcPr>
            <w:tcW w:w="1208" w:type="dxa"/>
          </w:tcPr>
          <w:p w14:paraId="4E826C23" w14:textId="77777777" w:rsidR="00E20060" w:rsidRPr="00984CD2" w:rsidRDefault="00E20060" w:rsidP="009302E4">
            <w:pPr>
              <w:pStyle w:val="NoSpacing"/>
            </w:pPr>
            <w:r w:rsidRPr="00984CD2">
              <w:t>4</w:t>
            </w:r>
          </w:p>
        </w:tc>
        <w:tc>
          <w:tcPr>
            <w:tcW w:w="823" w:type="dxa"/>
          </w:tcPr>
          <w:p w14:paraId="7C7B4E68" w14:textId="77777777" w:rsidR="00E20060" w:rsidRPr="00984CD2" w:rsidRDefault="00E20060" w:rsidP="009302E4">
            <w:pPr>
              <w:pStyle w:val="NoSpacing"/>
              <w:rPr>
                <w:w w:val="95"/>
              </w:rPr>
            </w:pPr>
            <w:r w:rsidRPr="00984CD2">
              <w:rPr>
                <w:w w:val="95"/>
              </w:rPr>
              <w:t>1.6</w:t>
            </w:r>
          </w:p>
        </w:tc>
      </w:tr>
      <w:tr w:rsidR="00E20060" w:rsidRPr="00984CD2" w14:paraId="5EBD6F07" w14:textId="77777777" w:rsidTr="00596103">
        <w:trPr>
          <w:trHeight w:val="380"/>
        </w:trPr>
        <w:tc>
          <w:tcPr>
            <w:tcW w:w="2950" w:type="dxa"/>
          </w:tcPr>
          <w:p w14:paraId="297ADB55" w14:textId="77777777" w:rsidR="00E20060" w:rsidRPr="00984CD2" w:rsidRDefault="00E20060" w:rsidP="009302E4">
            <w:pPr>
              <w:pStyle w:val="NoSpacing"/>
              <w:rPr>
                <w:sz w:val="16"/>
                <w:szCs w:val="16"/>
              </w:rPr>
            </w:pPr>
          </w:p>
        </w:tc>
        <w:tc>
          <w:tcPr>
            <w:tcW w:w="1365" w:type="dxa"/>
          </w:tcPr>
          <w:p w14:paraId="693D21BF" w14:textId="77777777" w:rsidR="00E20060" w:rsidRPr="00984CD2" w:rsidRDefault="00E20060" w:rsidP="009302E4">
            <w:pPr>
              <w:pStyle w:val="NoSpacing"/>
              <w:rPr>
                <w:i/>
                <w:iCs/>
              </w:rPr>
            </w:pPr>
            <w:r w:rsidRPr="00984CD2">
              <w:rPr>
                <w:i/>
                <w:iCs/>
              </w:rPr>
              <w:t>M</w:t>
            </w:r>
          </w:p>
        </w:tc>
        <w:tc>
          <w:tcPr>
            <w:tcW w:w="926" w:type="dxa"/>
          </w:tcPr>
          <w:p w14:paraId="69447C5E" w14:textId="77777777" w:rsidR="00E20060" w:rsidRPr="00984CD2" w:rsidRDefault="00E20060" w:rsidP="009302E4">
            <w:pPr>
              <w:pStyle w:val="NoSpacing"/>
              <w:rPr>
                <w:i/>
                <w:iCs/>
              </w:rPr>
            </w:pPr>
            <w:r w:rsidRPr="00984CD2">
              <w:rPr>
                <w:i/>
                <w:iCs/>
              </w:rPr>
              <w:t>SD</w:t>
            </w:r>
          </w:p>
        </w:tc>
        <w:tc>
          <w:tcPr>
            <w:tcW w:w="1197" w:type="dxa"/>
          </w:tcPr>
          <w:p w14:paraId="03641624" w14:textId="77777777" w:rsidR="00E20060" w:rsidRPr="00984CD2" w:rsidRDefault="00E20060" w:rsidP="009302E4">
            <w:pPr>
              <w:pStyle w:val="NoSpacing"/>
              <w:rPr>
                <w:i/>
                <w:iCs/>
              </w:rPr>
            </w:pPr>
            <w:r w:rsidRPr="00984CD2">
              <w:rPr>
                <w:i/>
                <w:iCs/>
              </w:rPr>
              <w:t>M</w:t>
            </w:r>
          </w:p>
        </w:tc>
        <w:tc>
          <w:tcPr>
            <w:tcW w:w="1124" w:type="dxa"/>
          </w:tcPr>
          <w:p w14:paraId="31B21D73" w14:textId="77777777" w:rsidR="00E20060" w:rsidRPr="00984CD2" w:rsidRDefault="00E20060" w:rsidP="009302E4">
            <w:pPr>
              <w:pStyle w:val="NoSpacing"/>
              <w:rPr>
                <w:i/>
                <w:iCs/>
              </w:rPr>
            </w:pPr>
            <w:r w:rsidRPr="00984CD2">
              <w:rPr>
                <w:i/>
                <w:iCs/>
              </w:rPr>
              <w:t>SD</w:t>
            </w:r>
          </w:p>
        </w:tc>
        <w:tc>
          <w:tcPr>
            <w:tcW w:w="1208" w:type="dxa"/>
          </w:tcPr>
          <w:p w14:paraId="19208B5D" w14:textId="77777777" w:rsidR="00E20060" w:rsidRPr="00984CD2" w:rsidRDefault="00E20060" w:rsidP="009302E4">
            <w:pPr>
              <w:pStyle w:val="NoSpacing"/>
              <w:rPr>
                <w:i/>
                <w:iCs/>
              </w:rPr>
            </w:pPr>
            <w:r w:rsidRPr="00984CD2">
              <w:rPr>
                <w:i/>
                <w:iCs/>
              </w:rPr>
              <w:t>M</w:t>
            </w:r>
          </w:p>
        </w:tc>
        <w:tc>
          <w:tcPr>
            <w:tcW w:w="823" w:type="dxa"/>
          </w:tcPr>
          <w:p w14:paraId="108F264F" w14:textId="77777777" w:rsidR="00E20060" w:rsidRPr="00984CD2" w:rsidRDefault="00E20060" w:rsidP="009302E4">
            <w:pPr>
              <w:pStyle w:val="NoSpacing"/>
              <w:rPr>
                <w:i/>
                <w:iCs/>
              </w:rPr>
            </w:pPr>
            <w:r w:rsidRPr="00984CD2">
              <w:rPr>
                <w:i/>
                <w:iCs/>
              </w:rPr>
              <w:t>SD</w:t>
            </w:r>
          </w:p>
        </w:tc>
      </w:tr>
      <w:tr w:rsidR="00E20060" w:rsidRPr="00984CD2" w14:paraId="66D7F910" w14:textId="77777777" w:rsidTr="00596103">
        <w:trPr>
          <w:trHeight w:val="285"/>
        </w:trPr>
        <w:tc>
          <w:tcPr>
            <w:tcW w:w="2950" w:type="dxa"/>
          </w:tcPr>
          <w:p w14:paraId="24594094" w14:textId="77777777" w:rsidR="00E20060" w:rsidRPr="00984CD2" w:rsidRDefault="00E20060" w:rsidP="009302E4">
            <w:pPr>
              <w:pStyle w:val="NoSpacing"/>
            </w:pPr>
            <w:r w:rsidRPr="00984CD2">
              <w:t>Age</w:t>
            </w:r>
          </w:p>
        </w:tc>
        <w:tc>
          <w:tcPr>
            <w:tcW w:w="1365" w:type="dxa"/>
          </w:tcPr>
          <w:p w14:paraId="0F0F29DD" w14:textId="77777777" w:rsidR="00E20060" w:rsidRPr="00984CD2" w:rsidRDefault="00E20060" w:rsidP="009302E4">
            <w:pPr>
              <w:pStyle w:val="NoSpacing"/>
              <w:rPr>
                <w:w w:val="95"/>
              </w:rPr>
            </w:pPr>
            <w:r w:rsidRPr="00984CD2">
              <w:rPr>
                <w:w w:val="95"/>
              </w:rPr>
              <w:t>67.54</w:t>
            </w:r>
          </w:p>
        </w:tc>
        <w:tc>
          <w:tcPr>
            <w:tcW w:w="926" w:type="dxa"/>
          </w:tcPr>
          <w:p w14:paraId="53C5AA52" w14:textId="77777777" w:rsidR="00E20060" w:rsidRPr="00984CD2" w:rsidRDefault="00E20060" w:rsidP="009302E4">
            <w:pPr>
              <w:pStyle w:val="NoSpacing"/>
            </w:pPr>
            <w:r w:rsidRPr="00984CD2">
              <w:t>5.67</w:t>
            </w:r>
          </w:p>
        </w:tc>
        <w:tc>
          <w:tcPr>
            <w:tcW w:w="1197" w:type="dxa"/>
          </w:tcPr>
          <w:p w14:paraId="6123FDFA" w14:textId="77777777" w:rsidR="00E20060" w:rsidRPr="00984CD2" w:rsidRDefault="00E20060" w:rsidP="009302E4">
            <w:pPr>
              <w:pStyle w:val="NoSpacing"/>
            </w:pPr>
            <w:r w:rsidRPr="00984CD2">
              <w:t>69.85</w:t>
            </w:r>
          </w:p>
        </w:tc>
        <w:tc>
          <w:tcPr>
            <w:tcW w:w="1124" w:type="dxa"/>
          </w:tcPr>
          <w:p w14:paraId="3CD35921" w14:textId="77777777" w:rsidR="00E20060" w:rsidRPr="00984CD2" w:rsidRDefault="00E20060" w:rsidP="009302E4">
            <w:pPr>
              <w:pStyle w:val="NoSpacing"/>
            </w:pPr>
            <w:r w:rsidRPr="00984CD2">
              <w:t>6.25</w:t>
            </w:r>
          </w:p>
        </w:tc>
        <w:tc>
          <w:tcPr>
            <w:tcW w:w="1208" w:type="dxa"/>
          </w:tcPr>
          <w:p w14:paraId="130F23C1" w14:textId="77777777" w:rsidR="00E20060" w:rsidRPr="00984CD2" w:rsidRDefault="00E20060" w:rsidP="009302E4">
            <w:pPr>
              <w:pStyle w:val="NoSpacing"/>
            </w:pPr>
            <w:r w:rsidRPr="00984CD2">
              <w:t>68.28</w:t>
            </w:r>
          </w:p>
        </w:tc>
        <w:tc>
          <w:tcPr>
            <w:tcW w:w="823" w:type="dxa"/>
          </w:tcPr>
          <w:p w14:paraId="46DB51A5" w14:textId="77777777" w:rsidR="00E20060" w:rsidRPr="00984CD2" w:rsidRDefault="00E20060" w:rsidP="009302E4">
            <w:pPr>
              <w:pStyle w:val="NoSpacing"/>
              <w:rPr>
                <w:w w:val="95"/>
              </w:rPr>
            </w:pPr>
            <w:r w:rsidRPr="00984CD2">
              <w:rPr>
                <w:w w:val="95"/>
              </w:rPr>
              <w:t>5.98</w:t>
            </w:r>
          </w:p>
        </w:tc>
      </w:tr>
      <w:tr w:rsidR="00E20060" w:rsidRPr="00984CD2" w14:paraId="0CB38D1C" w14:textId="77777777" w:rsidTr="00596103">
        <w:trPr>
          <w:trHeight w:val="289"/>
        </w:trPr>
        <w:tc>
          <w:tcPr>
            <w:tcW w:w="2950" w:type="dxa"/>
          </w:tcPr>
          <w:p w14:paraId="067AB7A7" w14:textId="77777777" w:rsidR="00E20060" w:rsidRPr="00984CD2" w:rsidRDefault="00E20060" w:rsidP="009302E4">
            <w:pPr>
              <w:pStyle w:val="NoSpacing"/>
            </w:pPr>
            <w:r w:rsidRPr="00984CD2">
              <w:t>Mini-Mental Status Examination</w:t>
            </w:r>
          </w:p>
        </w:tc>
        <w:tc>
          <w:tcPr>
            <w:tcW w:w="1365" w:type="dxa"/>
          </w:tcPr>
          <w:p w14:paraId="2CE4372B" w14:textId="77777777" w:rsidR="00E20060" w:rsidRPr="00984CD2" w:rsidRDefault="00E20060" w:rsidP="009302E4">
            <w:pPr>
              <w:pStyle w:val="NoSpacing"/>
              <w:rPr>
                <w:w w:val="95"/>
              </w:rPr>
            </w:pPr>
            <w:r w:rsidRPr="00984CD2">
              <w:rPr>
                <w:w w:val="95"/>
              </w:rPr>
              <w:t>29.09</w:t>
            </w:r>
          </w:p>
        </w:tc>
        <w:tc>
          <w:tcPr>
            <w:tcW w:w="926" w:type="dxa"/>
          </w:tcPr>
          <w:p w14:paraId="4A253A9F" w14:textId="77777777" w:rsidR="00E20060" w:rsidRPr="00984CD2" w:rsidRDefault="00E20060" w:rsidP="009302E4">
            <w:pPr>
              <w:pStyle w:val="NoSpacing"/>
            </w:pPr>
            <w:r w:rsidRPr="00984CD2">
              <w:t>1.26</w:t>
            </w:r>
          </w:p>
        </w:tc>
        <w:tc>
          <w:tcPr>
            <w:tcW w:w="1197" w:type="dxa"/>
          </w:tcPr>
          <w:p w14:paraId="1146C2FA" w14:textId="77777777" w:rsidR="00E20060" w:rsidRPr="00984CD2" w:rsidRDefault="00E20060" w:rsidP="009302E4">
            <w:pPr>
              <w:pStyle w:val="NoSpacing"/>
            </w:pPr>
            <w:r w:rsidRPr="00984CD2">
              <w:t>27.83</w:t>
            </w:r>
          </w:p>
        </w:tc>
        <w:tc>
          <w:tcPr>
            <w:tcW w:w="1124" w:type="dxa"/>
          </w:tcPr>
          <w:p w14:paraId="62B2A2CC" w14:textId="77777777" w:rsidR="00E20060" w:rsidRPr="00984CD2" w:rsidRDefault="00E20060" w:rsidP="009302E4">
            <w:pPr>
              <w:pStyle w:val="NoSpacing"/>
            </w:pPr>
            <w:r w:rsidRPr="00984CD2">
              <w:t>1.67</w:t>
            </w:r>
          </w:p>
        </w:tc>
        <w:tc>
          <w:tcPr>
            <w:tcW w:w="1208" w:type="dxa"/>
          </w:tcPr>
          <w:p w14:paraId="7A1C4BDD" w14:textId="77777777" w:rsidR="00E20060" w:rsidRPr="00984CD2" w:rsidRDefault="00E20060" w:rsidP="009302E4">
            <w:pPr>
              <w:pStyle w:val="NoSpacing"/>
            </w:pPr>
            <w:r w:rsidRPr="00984CD2">
              <w:t>28.69</w:t>
            </w:r>
          </w:p>
        </w:tc>
        <w:tc>
          <w:tcPr>
            <w:tcW w:w="823" w:type="dxa"/>
          </w:tcPr>
          <w:p w14:paraId="2A9762BC" w14:textId="77777777" w:rsidR="00E20060" w:rsidRPr="00984CD2" w:rsidRDefault="00E20060" w:rsidP="009302E4">
            <w:pPr>
              <w:pStyle w:val="NoSpacing"/>
              <w:rPr>
                <w:w w:val="95"/>
              </w:rPr>
            </w:pPr>
            <w:r w:rsidRPr="00984CD2">
              <w:rPr>
                <w:w w:val="95"/>
              </w:rPr>
              <w:t>1.51</w:t>
            </w:r>
          </w:p>
        </w:tc>
      </w:tr>
    </w:tbl>
    <w:p w14:paraId="5F39113C" w14:textId="77777777" w:rsidR="00E20060" w:rsidRPr="00984CD2" w:rsidRDefault="00E20060" w:rsidP="00E20060">
      <w:pPr>
        <w:kinsoku w:val="0"/>
        <w:overflowPunct w:val="0"/>
        <w:autoSpaceDE w:val="0"/>
        <w:autoSpaceDN w:val="0"/>
        <w:adjustRightInd w:val="0"/>
        <w:spacing w:before="96" w:after="0" w:line="240" w:lineRule="auto"/>
        <w:ind w:left="120"/>
        <w:rPr>
          <w:rFonts w:cstheme="minorHAnsi"/>
          <w:color w:val="231F20"/>
          <w:sz w:val="16"/>
          <w:szCs w:val="16"/>
        </w:rPr>
      </w:pPr>
      <w:r w:rsidRPr="00984CD2">
        <w:rPr>
          <w:rFonts w:cstheme="minorHAnsi"/>
          <w:i/>
          <w:iCs/>
          <w:color w:val="231F20"/>
          <w:sz w:val="16"/>
          <w:szCs w:val="16"/>
        </w:rPr>
        <w:t>Note</w:t>
      </w:r>
      <w:r w:rsidRPr="00984CD2">
        <w:rPr>
          <w:rFonts w:cstheme="minorHAnsi"/>
          <w:color w:val="231F20"/>
          <w:sz w:val="16"/>
          <w:szCs w:val="16"/>
        </w:rPr>
        <w:t>. 11 respondents did not specify geographical region.</w:t>
      </w:r>
    </w:p>
    <w:p w14:paraId="02F75F16" w14:textId="61D0F4BE" w:rsidR="00F04F4F" w:rsidRPr="00984CD2" w:rsidRDefault="00F04F4F" w:rsidP="00BD359E">
      <w:pPr>
        <w:rPr>
          <w:rFonts w:cstheme="minorHAnsi"/>
        </w:rPr>
      </w:pPr>
    </w:p>
    <w:p w14:paraId="284A168F" w14:textId="25822E5F" w:rsidR="00F927B9" w:rsidRPr="00984CD2" w:rsidRDefault="000D5257" w:rsidP="00BD359E">
      <w:pPr>
        <w:rPr>
          <w:rFonts w:cstheme="minorHAnsi"/>
        </w:rPr>
      </w:pPr>
      <w:r w:rsidRPr="00984CD2">
        <w:rPr>
          <w:rFonts w:cstheme="minorHAnsi"/>
        </w:rPr>
        <w:t>has used theory-driven statistical approaches to study perception of health and well-being as measured by the SF-36 in Costa Rica. The purpose of this study is to examine the factor structure of the SF-36 in a sample of Costa Rican older adults followed by a model that evaluates the effects of personal characteristics in their HRQOL.</w:t>
      </w:r>
    </w:p>
    <w:p w14:paraId="25B7CC2F" w14:textId="0E39AEFB" w:rsidR="00F04F4F" w:rsidRPr="00984CD2" w:rsidRDefault="00F04F4F" w:rsidP="00BD359E">
      <w:pPr>
        <w:rPr>
          <w:rFonts w:cstheme="minorHAnsi"/>
        </w:rPr>
      </w:pPr>
    </w:p>
    <w:p w14:paraId="35642F8A" w14:textId="77777777" w:rsidR="0013555B" w:rsidRPr="00984CD2" w:rsidRDefault="00D72D59" w:rsidP="00BD359E">
      <w:pPr>
        <w:rPr>
          <w:rStyle w:val="Heading1Char"/>
          <w:rFonts w:asciiTheme="minorHAnsi" w:hAnsiTheme="minorHAnsi" w:cstheme="minorHAnsi"/>
        </w:rPr>
      </w:pPr>
      <w:r w:rsidRPr="00984CD2">
        <w:rPr>
          <w:rStyle w:val="Heading1Char"/>
          <w:rFonts w:asciiTheme="minorHAnsi" w:hAnsiTheme="minorHAnsi" w:cstheme="minorHAnsi"/>
        </w:rPr>
        <w:t>Method</w:t>
      </w:r>
    </w:p>
    <w:p w14:paraId="55FA9D10" w14:textId="6D92D78D" w:rsidR="000D5257" w:rsidRPr="00984CD2" w:rsidRDefault="00D72D59" w:rsidP="00BD359E">
      <w:pPr>
        <w:rPr>
          <w:rFonts w:cstheme="minorHAnsi"/>
        </w:rPr>
      </w:pPr>
      <w:r w:rsidRPr="00984CD2">
        <w:rPr>
          <w:rFonts w:cstheme="minorHAnsi"/>
        </w:rPr>
        <w:t xml:space="preserve"> The Epidemiology and the Development of Alzheimer’s Disease in Costa Rica (EDAD) is a large study of Latino cognitive aging conducted in collaboration with the Universidad de Costa Rica (UCR), the University of Kansas (KU), and the University of California at Davis School of Medicine (UCD). The EDAD was designed to assess functionality in domains of cognition, personality, psychosocial behaviors, physical health, and diet in older adults residing in rural and urban areas of Costa Rica. The overarching goal of this research project was to compare functional abilities of older adults in rural and urban residences on the various domains. Participants were recruited from the Institutional Program for the Older Adults of the University of Costa Rica, the Costa Rican Gerontology Association, the Golden Citizen Program of the Costa Rican Social Security Bureau, as well as communitydwelling older adults. Both the UCR and KU institutional review boards approved the study. All participants consented prior to taking part in this research study.</w:t>
      </w:r>
    </w:p>
    <w:p w14:paraId="78382802" w14:textId="1D63DB4D" w:rsidR="00D72D59" w:rsidRPr="00984CD2" w:rsidRDefault="00D72D59" w:rsidP="00BD359E">
      <w:pPr>
        <w:rPr>
          <w:rFonts w:cstheme="minorHAnsi"/>
        </w:rPr>
      </w:pPr>
    </w:p>
    <w:p w14:paraId="51C78053" w14:textId="77777777" w:rsidR="0013555B" w:rsidRPr="00984CD2" w:rsidRDefault="00D72D59" w:rsidP="00BD359E">
      <w:pPr>
        <w:rPr>
          <w:rStyle w:val="Heading2Char"/>
          <w:rFonts w:asciiTheme="minorHAnsi" w:hAnsiTheme="minorHAnsi" w:cstheme="minorHAnsi"/>
        </w:rPr>
      </w:pPr>
      <w:r w:rsidRPr="00984CD2">
        <w:rPr>
          <w:rStyle w:val="Heading2Char"/>
          <w:rFonts w:asciiTheme="minorHAnsi" w:hAnsiTheme="minorHAnsi" w:cstheme="minorHAnsi"/>
        </w:rPr>
        <w:t>Participants</w:t>
      </w:r>
    </w:p>
    <w:p w14:paraId="41CF59B1" w14:textId="5ED94F63" w:rsidR="00727115" w:rsidRPr="00984CD2" w:rsidRDefault="00D72D59" w:rsidP="00BD359E">
      <w:pPr>
        <w:rPr>
          <w:rFonts w:eastAsiaTheme="majorEastAsia" w:cstheme="minorHAnsi"/>
          <w:color w:val="262626" w:themeColor="text1" w:themeTint="D9"/>
          <w:sz w:val="28"/>
          <w:szCs w:val="28"/>
        </w:rPr>
      </w:pPr>
      <w:r w:rsidRPr="00984CD2">
        <w:rPr>
          <w:rFonts w:cstheme="minorHAnsi"/>
        </w:rPr>
        <w:t xml:space="preserve"> Participants included 250 Costa Rican older adults between the ages of 60 and 85 from the Greater Metropolitan Area of San Jose (urban region) and the Guanacaste province (rural region). As shown in Table 1, </w:t>
      </w:r>
      <w:r w:rsidRPr="00984CD2">
        <w:rPr>
          <w:rFonts w:cstheme="minorHAnsi"/>
        </w:rPr>
        <w:lastRenderedPageBreak/>
        <w:t xml:space="preserve">74% of the sample were females and the ratio of female to male was relatively similar in urban and rural regions (~3:1 female to male ratio). Participants had a mean age of 68.28 years (SD = 5.98). In addition, 61% endorsed hypertension and 18% endorsed a diagnosis of diabetes; both conditions were reported to be well managed with medication. Eligibility requirements for all participants included normal to corrected vision and hearing, no present cognitive impairment as measured by the MiniMental Status Examination (MMSE &gt; 23; Blesa et al., 2001; Folstein, Folstein, &amp; McHugh, 1975), and regimented adherence to medication (within 30 days of testing). Participants were excluded for a past or current history of clinically significant major psychiatric disorder or significant psychiatric symptoms, clinically evident stroke, brain trauma, neurocognitive disorder, clinically significant infection within the last 30 days, history of drug or alcohol abuse or dependence within the past 2 years, and significant pain or musculoskeletal disorder. </w:t>
      </w:r>
    </w:p>
    <w:p w14:paraId="612B3221" w14:textId="77777777" w:rsidR="0013555B" w:rsidRPr="00984CD2" w:rsidRDefault="00D72D59" w:rsidP="00BD359E">
      <w:pPr>
        <w:rPr>
          <w:rStyle w:val="Heading2Char"/>
          <w:rFonts w:asciiTheme="minorHAnsi" w:hAnsiTheme="minorHAnsi" w:cstheme="minorHAnsi"/>
        </w:rPr>
      </w:pPr>
      <w:r w:rsidRPr="00984CD2">
        <w:rPr>
          <w:rStyle w:val="Heading2Char"/>
          <w:rFonts w:asciiTheme="minorHAnsi" w:hAnsiTheme="minorHAnsi" w:cstheme="minorHAnsi"/>
        </w:rPr>
        <w:t>Procedure</w:t>
      </w:r>
    </w:p>
    <w:p w14:paraId="1AE0D525" w14:textId="512F18BE" w:rsidR="00D72D59" w:rsidRPr="00984CD2" w:rsidRDefault="00D72D59" w:rsidP="00BD359E">
      <w:pPr>
        <w:rPr>
          <w:rFonts w:cstheme="minorHAnsi"/>
        </w:rPr>
      </w:pPr>
      <w:r w:rsidRPr="00984CD2">
        <w:rPr>
          <w:rFonts w:cstheme="minorHAnsi"/>
        </w:rPr>
        <w:t xml:space="preserve"> Each participant completed the Spanish version of the SF-36 Health Questionnaire as part of a larger survey on health behaviors. The administered version is in coordination with the version adapted and translated by Alonso, Prieto, and Anto (1995) to measure HRQOL. Statistical analyses of the Spanish version indicated an acceptable internal consistency, with Cronbach’s alpha ranging from .70 to .90 (Alonso et al., 1995; AyusoMateos et al., 1999). The Spanish version of this scale Table 1. Participant Descriptive Statistics. Urban (n = 168) Rural (n = 71) Total (n = 250) n % n % n % Gender Male 45 26.8 14 19.7 60 24.0 Female 123 73.2 57 80.3 186 74.4 Missing — — — — 4 1.6 Highest level of education Incomplete elementary 15 8.9 17 23.9 34 13.6 Elementary 19 11.3 7 9.9 26 10.4 Incomplete high school 17 10.1 10 14.1 29 11.6 High school 20 11.9 9 12.7 29 11.6 Incomplete university 33 19.6 4 5.6 37 14.8 University 64 50.0 24 33.8 91 36.4 Missing — — — — 4 1.6 M SD M SD M SD Age 67.54 5.67 69.85 6.25 68.28 5.98 Mini-Mental Status Examination 29.09 1.26 27.83 1.67 28.69 1.51 Note. 11 respondents did not specify geographical region. 4 Gerontology &amp; Geriatric Medicine has been shown to be valid in Hispanic populations (Arango-Lasprilla et al., 2012; Augustovski et al., 2008; Garcia et al., 2014; López-Pérez et al., 2014; MartínezHernández et al., 2010; Salazar &amp; Bernabe, 2015; Zuniga et al., 1999). Data were collected with three-form planned missing design, where each subject answered two thirds of the items of the SF-36 scale (Graham, Hofer, &amp; MacKinnon, 1996; Graham, Taylor, Olchowski, &amp; Cumsille, 2006). The three-form planned missing design reduces subject burden and fatigue, increasing reliability and power. Due to the planned missing data design, multiple imputation was used to properly handle missing data (Enders, 2010). The data were imputed as ordinal keeping the categorical scale intact.</w:t>
      </w:r>
    </w:p>
    <w:p w14:paraId="16D51B6D" w14:textId="0889D561" w:rsidR="0013555B" w:rsidRPr="00984CD2" w:rsidRDefault="0013555B" w:rsidP="00BD359E">
      <w:pPr>
        <w:rPr>
          <w:rFonts w:cstheme="minorHAnsi"/>
        </w:rPr>
      </w:pPr>
    </w:p>
    <w:p w14:paraId="47F5B8AC" w14:textId="77777777" w:rsidR="00D0640C" w:rsidRPr="00984CD2" w:rsidRDefault="00D0640C" w:rsidP="00BD359E">
      <w:pPr>
        <w:rPr>
          <w:rStyle w:val="Heading1Char"/>
          <w:rFonts w:asciiTheme="minorHAnsi" w:hAnsiTheme="minorHAnsi" w:cstheme="minorHAnsi"/>
        </w:rPr>
      </w:pPr>
      <w:r w:rsidRPr="00984CD2">
        <w:rPr>
          <w:rStyle w:val="Heading1Char"/>
          <w:rFonts w:asciiTheme="minorHAnsi" w:hAnsiTheme="minorHAnsi" w:cstheme="minorHAnsi"/>
        </w:rPr>
        <w:t>Statistical Analyses</w:t>
      </w:r>
    </w:p>
    <w:p w14:paraId="2ACBA73B" w14:textId="52268604" w:rsidR="0013555B" w:rsidRPr="00984CD2" w:rsidRDefault="00D0640C" w:rsidP="00BD359E">
      <w:pPr>
        <w:rPr>
          <w:rFonts w:cstheme="minorHAnsi"/>
        </w:rPr>
      </w:pPr>
      <w:r w:rsidRPr="00984CD2">
        <w:rPr>
          <w:rFonts w:cstheme="minorHAnsi"/>
        </w:rPr>
        <w:t xml:space="preserve"> We examined the underlying dimensions (i.e., factors) and the item–factor relationship (i.e., factor loadings) of the SF-36 Questionnaire in a sample of Costa Rican older adults using CFA. Relevant items were reverse scored and multiple imputation was implemented using the Bayes estimator in Mplus 7.2 (Muthén &amp; Muthén, 1998-2012) to generate 100 imputed data sets. Three alternative factor structures of the SF-36 were tested. The first model was with eight first-order factors corresponding to the eight scales (PF, RP, BP, GH, VT, SF, RE, MH) and no higher order factors. The second model added to Model 1 two higher order factors represented by the PCS (PF, RP, GH, VT) and the MCS (VT, SF, RE, MH). The third model added to Model 1 one higher order factor representing overall health (PF, RP, BP, GH, VT, SF, RE, MH). All factor models were identified and evaluated using the parameters described in this section. The response items on the SF-36 Questionnaire are categorical, so we used the robust weighted least squares (WLSMV) in Mplus 7.2 (Muthén &amp; Muthén, 1998-2012) to estimate model parameters as this is the most appropriate estimator for categorical data (Curran, West, &amp; Finch, 1996; Hu, Bentler, &amp; Kano, 1992). Latent variables were defined by the corresponding item of the SF-36 </w:t>
      </w:r>
      <w:r w:rsidRPr="00984CD2">
        <w:rPr>
          <w:rFonts w:cstheme="minorHAnsi"/>
        </w:rPr>
        <w:lastRenderedPageBreak/>
        <w:t xml:space="preserve">Questionnaire. Model identification was set using a fixed factor variance method so that the latent mean is fixed to 0 and latent variance is fixed to 1. The higher order models utilized marker variable for the lower order factors and fixed factor for the higher order factor(s). Marker variable fixes the first item to 1 and freely estimates the factor variance. Factor loadings between measured indicators and between latent variables </w:t>
      </w:r>
      <w:proofErr w:type="gramStart"/>
      <w:r w:rsidRPr="00984CD2">
        <w:rPr>
          <w:rFonts w:cstheme="minorHAnsi"/>
        </w:rPr>
        <w:t>were allowed to</w:t>
      </w:r>
      <w:proofErr w:type="gramEnd"/>
      <w:r w:rsidRPr="00984CD2">
        <w:rPr>
          <w:rFonts w:cstheme="minorHAnsi"/>
        </w:rPr>
        <w:t xml:space="preserve"> vary without constraint. Model fit was evaluated on overall goodness of fit. Chi-square analyses were conducted to evaluate overall goodness of model fit (χ²) with nonsignificant values indicating poor model fit. Additional model fit indices, such as comparative fit indices (CFIs) and root mean square error of approximation (RMSEA) were also evaluated for greatest specification of overall model fit. CFI values equal to greater than 0.95 and RMSEA values equal to or smaller than 0.05 indicate good model fit (Hu &amp; Bentler, 1999), with CFI greater than 0.90 and RMSEA less than 0.08 considered acceptable (T. A. Brown, 2014). We did not conduct model modifications to assess for model improvement fit to data because the goal of this project was to determine if the factor structure of the SF-36 could be replicated in our sample of cognitively healthy older adults in Costa Rica. In subsequent analyses, region, age, and education were added as covariates and the a priori α was set to .05. Region was implemented as a dummy variable predictor of latent constructs that were scaled to a mean of 0 and SD 1, and the coefficients were automatically interpretable as latent d effect sizes. Urban was set as the reference group, with differences estimated for rural participants. Covariate for education was included in the analyses as the highest level of completed education with five dummy variables (elementary school, incomplete high school, high school, incomplete university, and university) compared with incomplete elementary school. Furthermore, age was mean-centered and then entered as a covariate.</w:t>
      </w:r>
    </w:p>
    <w:p w14:paraId="2AF027E3" w14:textId="5A370089" w:rsidR="00925F07" w:rsidRPr="00984CD2" w:rsidRDefault="00925F07" w:rsidP="00BD359E">
      <w:pPr>
        <w:rPr>
          <w:rFonts w:cstheme="minorHAnsi"/>
        </w:rPr>
      </w:pPr>
    </w:p>
    <w:p w14:paraId="6729E200" w14:textId="77777777" w:rsidR="00925F07" w:rsidRPr="00984CD2" w:rsidRDefault="00925F07" w:rsidP="00925F07">
      <w:pPr>
        <w:pStyle w:val="Heading1"/>
        <w:rPr>
          <w:rFonts w:asciiTheme="minorHAnsi" w:hAnsiTheme="minorHAnsi" w:cstheme="minorHAnsi"/>
        </w:rPr>
      </w:pPr>
      <w:r w:rsidRPr="00984CD2">
        <w:rPr>
          <w:rFonts w:asciiTheme="minorHAnsi" w:hAnsiTheme="minorHAnsi" w:cstheme="minorHAnsi"/>
        </w:rPr>
        <w:t xml:space="preserve">Results </w:t>
      </w:r>
    </w:p>
    <w:p w14:paraId="61F82332" w14:textId="77777777" w:rsidR="00925F07" w:rsidRPr="00984CD2" w:rsidRDefault="00925F07" w:rsidP="00925F07">
      <w:pPr>
        <w:pStyle w:val="Heading2"/>
        <w:rPr>
          <w:rFonts w:asciiTheme="minorHAnsi" w:hAnsiTheme="minorHAnsi" w:cstheme="minorHAnsi"/>
        </w:rPr>
      </w:pPr>
      <w:r w:rsidRPr="00984CD2">
        <w:rPr>
          <w:rFonts w:asciiTheme="minorHAnsi" w:hAnsiTheme="minorHAnsi" w:cstheme="minorHAnsi"/>
        </w:rPr>
        <w:t>Preliminary Analyses</w:t>
      </w:r>
    </w:p>
    <w:p w14:paraId="0B1C7624" w14:textId="41410F36" w:rsidR="00925F07" w:rsidRPr="00984CD2" w:rsidRDefault="00925F07" w:rsidP="00BD359E">
      <w:pPr>
        <w:rPr>
          <w:rFonts w:cstheme="minorHAnsi"/>
        </w:rPr>
      </w:pPr>
      <w:r w:rsidRPr="00984CD2">
        <w:rPr>
          <w:rFonts w:cstheme="minorHAnsi"/>
        </w:rPr>
        <w:t xml:space="preserve"> Based on the proposed factor structure, all combinations of items within a factor were placed in contingency tables. Responses were inspected to look for sparseness of responses in some answer choice categories and lack of variance in pairs of responses. From the item inspection, we decided to omit Item 12 (limits in “bathing or dressing yourself”) due to a large percentage of participants answering “no, not limited at all,” and Item 15 (“were limited in the kind of work or other activities”) for having identical answers to Item 13 (“cut down the amount of time you spent on work or other activities”). Furthermore, the first two response choices were collapsed into a single choice for certain questions due to too few selected responses across the two choices. On the GH domain, Items 33 to 36, response choices “definitely true” and “mostly true” were collapsed. On the Vitality and Mental Health domain, Items 23 to 31, response choices “all of the time” and “most of the time” were collapsed. </w:t>
      </w:r>
    </w:p>
    <w:p w14:paraId="77F16427" w14:textId="7CE8756B" w:rsidR="001E7D68" w:rsidRPr="00984CD2" w:rsidRDefault="001E7D68" w:rsidP="00BD359E">
      <w:pPr>
        <w:rPr>
          <w:rFonts w:cstheme="minorHAnsi"/>
        </w:rPr>
      </w:pPr>
      <w:r w:rsidRPr="00984CD2">
        <w:rPr>
          <w:rFonts w:cstheme="minorHAnsi"/>
        </w:rPr>
        <w:t>After removing Items 12 and 15, and collapsing categories, CFA model fitting was conducted (</w:t>
      </w:r>
      <w:hyperlink r:id="rId10" w:history="1">
        <w:r w:rsidRPr="00984CD2">
          <w:rPr>
            <w:rStyle w:val="Hyperlink"/>
            <w:rFonts w:cstheme="minorHAnsi"/>
          </w:rPr>
          <w:t>Bentler &amp; Mooijaart, 1989</w:t>
        </w:r>
      </w:hyperlink>
      <w:r w:rsidRPr="00984CD2">
        <w:rPr>
          <w:rFonts w:cstheme="minorHAnsi"/>
        </w:rPr>
        <w:t>; </w:t>
      </w:r>
      <w:hyperlink r:id="rId11" w:history="1">
        <w:r w:rsidRPr="00984CD2">
          <w:rPr>
            <w:rStyle w:val="Hyperlink"/>
            <w:rFonts w:cstheme="minorHAnsi"/>
          </w:rPr>
          <w:t>Jöreskog &amp; Sörbom, 1996</w:t>
        </w:r>
      </w:hyperlink>
      <w:r w:rsidRPr="00984CD2">
        <w:rPr>
          <w:rFonts w:cstheme="minorHAnsi"/>
        </w:rPr>
        <w:t>; </w:t>
      </w:r>
      <w:hyperlink r:id="rId12" w:history="1">
        <w:r w:rsidRPr="00984CD2">
          <w:rPr>
            <w:rStyle w:val="Hyperlink"/>
            <w:rFonts w:cstheme="minorHAnsi"/>
          </w:rPr>
          <w:t>MacCallum, Browne, &amp; Cai, 2006</w:t>
        </w:r>
      </w:hyperlink>
      <w:r w:rsidRPr="00984CD2">
        <w:rPr>
          <w:rFonts w:cstheme="minorHAnsi"/>
        </w:rPr>
        <w:t>). Each of the eight factors proposed in the original model of the SF-36 fit well, but their loading onto higher order latent constructs was highly correlated, introducing instability into the CFA, nested model testing procedure. The first pair of problem factors was RP and RE. Each factor is composed of questions following a prompt about problems in the last 4 weeks, and the first two questions in each set have similar meaning (i.e., “cut down the amount of time” and “accomplished less”). As shown in </w:t>
      </w:r>
      <w:hyperlink r:id="rId13" w:tooltip="Open Figure Viewer" w:history="1">
        <w:r w:rsidRPr="00984CD2">
          <w:rPr>
            <w:rStyle w:val="Hyperlink"/>
            <w:rFonts w:cstheme="minorHAnsi"/>
          </w:rPr>
          <w:t>Figure 1</w:t>
        </w:r>
      </w:hyperlink>
      <w:r w:rsidRPr="00984CD2">
        <w:rPr>
          <w:rFonts w:cstheme="minorHAnsi"/>
        </w:rPr>
        <w:t>, correlation residuals were added between Questions 13 and 17 and between Questions 14 and 18. This minor change reduced the correlation between RP and RE to acceptable levels. The second pair of problem factors was BP and SF, so each model was reestimated twice, once without BP and once without SF. Dropping either factor added stability to the model but did not change the general results, as shown in </w:t>
      </w:r>
      <w:hyperlink r:id="rId14" w:history="1">
        <w:r w:rsidRPr="00984CD2">
          <w:rPr>
            <w:rStyle w:val="Hyperlink"/>
            <w:rFonts w:cstheme="minorHAnsi"/>
          </w:rPr>
          <w:t>Tables 2</w:t>
        </w:r>
      </w:hyperlink>
      <w:r w:rsidRPr="00984CD2">
        <w:rPr>
          <w:rFonts w:cstheme="minorHAnsi"/>
        </w:rPr>
        <w:t> and </w:t>
      </w:r>
      <w:hyperlink r:id="rId15" w:history="1">
        <w:r w:rsidRPr="00984CD2">
          <w:rPr>
            <w:rStyle w:val="Hyperlink"/>
            <w:rFonts w:cstheme="minorHAnsi"/>
          </w:rPr>
          <w:t>3</w:t>
        </w:r>
      </w:hyperlink>
      <w:r w:rsidRPr="00984CD2">
        <w:rPr>
          <w:rFonts w:cstheme="minorHAnsi"/>
        </w:rPr>
        <w:t>.</w:t>
      </w:r>
    </w:p>
    <w:p w14:paraId="7CED8D84" w14:textId="77777777" w:rsidR="001E7D68" w:rsidRPr="00984CD2" w:rsidRDefault="001E7D68" w:rsidP="00BD359E">
      <w:pPr>
        <w:rPr>
          <w:rFonts w:cstheme="minorHAnsi"/>
        </w:rPr>
      </w:pPr>
    </w:p>
    <w:p w14:paraId="353EDC17" w14:textId="52FDA5EE" w:rsidR="00925F07" w:rsidRPr="00984CD2" w:rsidRDefault="0076772B" w:rsidP="00BD359E">
      <w:pPr>
        <w:rPr>
          <w:rFonts w:cstheme="minorHAnsi"/>
        </w:rPr>
      </w:pPr>
      <w:r w:rsidRPr="00984CD2">
        <w:rPr>
          <w:rFonts w:cstheme="minorHAnsi"/>
          <w:noProof/>
        </w:rPr>
        <w:drawing>
          <wp:inline distT="0" distB="0" distL="0" distR="0" wp14:anchorId="58533A2E" wp14:editId="1BC5063F">
            <wp:extent cx="6315710" cy="8187055"/>
            <wp:effectExtent l="0" t="0" r="8890" b="4445"/>
            <wp:docPr id="9" name="Picture 9" descr="1. Final model with factor loadings.&#10;Note. The dashed ovals for BP and SF reflect that the model converged without warnings if one of the two constructs was omitted, but the&#10;factor loadings did not change. Although not represented in the diagram, error was estimated for all indicators. Items 12 and 15 were omitted&#10;from the analyses (see “Results” section). The latent covariances are listed in Tabl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15710" cy="8187055"/>
                    </a:xfrm>
                    <a:prstGeom prst="rect">
                      <a:avLst/>
                    </a:prstGeom>
                    <a:noFill/>
                    <a:ln>
                      <a:noFill/>
                    </a:ln>
                  </pic:spPr>
                </pic:pic>
              </a:graphicData>
            </a:graphic>
          </wp:inline>
        </w:drawing>
      </w:r>
    </w:p>
    <w:p w14:paraId="7D6265B7" w14:textId="77777777" w:rsidR="008C78E1" w:rsidRPr="00984CD2" w:rsidRDefault="008C78E1" w:rsidP="008C78E1">
      <w:pPr>
        <w:autoSpaceDE w:val="0"/>
        <w:autoSpaceDN w:val="0"/>
        <w:adjustRightInd w:val="0"/>
        <w:spacing w:after="0" w:line="240" w:lineRule="auto"/>
        <w:rPr>
          <w:rFonts w:cstheme="minorHAnsi"/>
          <w:sz w:val="18"/>
          <w:szCs w:val="18"/>
        </w:rPr>
      </w:pPr>
      <w:r w:rsidRPr="00984CD2">
        <w:rPr>
          <w:rFonts w:cstheme="minorHAnsi"/>
          <w:b/>
          <w:bCs/>
          <w:sz w:val="18"/>
          <w:szCs w:val="18"/>
        </w:rPr>
        <w:lastRenderedPageBreak/>
        <w:t xml:space="preserve">1. </w:t>
      </w:r>
      <w:r w:rsidRPr="00984CD2">
        <w:rPr>
          <w:rFonts w:cstheme="minorHAnsi"/>
          <w:sz w:val="18"/>
          <w:szCs w:val="18"/>
        </w:rPr>
        <w:t>Final model with factor loadings.</w:t>
      </w:r>
    </w:p>
    <w:p w14:paraId="42E50927" w14:textId="77777777" w:rsidR="008C78E1" w:rsidRPr="00984CD2" w:rsidRDefault="008C78E1" w:rsidP="008C78E1">
      <w:pPr>
        <w:autoSpaceDE w:val="0"/>
        <w:autoSpaceDN w:val="0"/>
        <w:adjustRightInd w:val="0"/>
        <w:spacing w:after="0" w:line="240" w:lineRule="auto"/>
        <w:rPr>
          <w:rFonts w:cstheme="minorHAnsi"/>
          <w:sz w:val="16"/>
          <w:szCs w:val="16"/>
        </w:rPr>
      </w:pPr>
      <w:r w:rsidRPr="00984CD2">
        <w:rPr>
          <w:rFonts w:cstheme="minorHAnsi"/>
          <w:i/>
          <w:iCs/>
          <w:sz w:val="16"/>
          <w:szCs w:val="16"/>
        </w:rPr>
        <w:t>Note</w:t>
      </w:r>
      <w:r w:rsidRPr="00984CD2">
        <w:rPr>
          <w:rFonts w:cstheme="minorHAnsi"/>
          <w:sz w:val="16"/>
          <w:szCs w:val="16"/>
        </w:rPr>
        <w:t>. The dashed ovals for BP and SF reflect that the model converged without warnings if one of the two constructs was omitted, but the</w:t>
      </w:r>
    </w:p>
    <w:p w14:paraId="679CF7C1" w14:textId="77777777" w:rsidR="008C78E1" w:rsidRPr="00984CD2" w:rsidRDefault="008C78E1" w:rsidP="008C78E1">
      <w:pPr>
        <w:autoSpaceDE w:val="0"/>
        <w:autoSpaceDN w:val="0"/>
        <w:adjustRightInd w:val="0"/>
        <w:spacing w:after="0" w:line="240" w:lineRule="auto"/>
        <w:rPr>
          <w:rFonts w:cstheme="minorHAnsi"/>
          <w:sz w:val="16"/>
          <w:szCs w:val="16"/>
        </w:rPr>
      </w:pPr>
      <w:r w:rsidRPr="00984CD2">
        <w:rPr>
          <w:rFonts w:cstheme="minorHAnsi"/>
          <w:sz w:val="16"/>
          <w:szCs w:val="16"/>
        </w:rPr>
        <w:t>factor loadings did not change. Although not represented in the diagram, error was estimated for all indicators. Items 12 and 15 were omitted</w:t>
      </w:r>
    </w:p>
    <w:p w14:paraId="67D3742D" w14:textId="35AD1A5A" w:rsidR="0076772B" w:rsidRPr="00984CD2" w:rsidRDefault="008C78E1" w:rsidP="008C78E1">
      <w:pPr>
        <w:rPr>
          <w:rFonts w:cstheme="minorHAnsi"/>
          <w:sz w:val="16"/>
          <w:szCs w:val="16"/>
        </w:rPr>
      </w:pPr>
      <w:r w:rsidRPr="00984CD2">
        <w:rPr>
          <w:rFonts w:cstheme="minorHAnsi"/>
          <w:sz w:val="16"/>
          <w:szCs w:val="16"/>
        </w:rPr>
        <w:t>from the analyses (see “Results” section). The latent covariances are listed in Table 3.</w:t>
      </w:r>
    </w:p>
    <w:p w14:paraId="07C84AFA" w14:textId="6C6E0604" w:rsidR="0076772B" w:rsidRDefault="00586728" w:rsidP="00BD359E">
      <w:pPr>
        <w:rPr>
          <w:rFonts w:cstheme="minorHAnsi"/>
        </w:rPr>
      </w:pPr>
      <w:r w:rsidRPr="00984CD2">
        <w:rPr>
          <w:rFonts w:cstheme="minorHAnsi"/>
          <w:noProof/>
        </w:rPr>
        <w:drawing>
          <wp:inline distT="0" distB="0" distL="0" distR="0" wp14:anchorId="25B40AE0" wp14:editId="6D75F870">
            <wp:extent cx="4763135" cy="2200910"/>
            <wp:effectExtent l="0" t="0" r="0" b="8890"/>
            <wp:docPr id="10" name="Picture 10" descr="Table 2. Fit Indices for the Three Factor Structures and All Models at Each St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abl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3135" cy="2200910"/>
                    </a:xfrm>
                    <a:prstGeom prst="rect">
                      <a:avLst/>
                    </a:prstGeom>
                    <a:noFill/>
                    <a:ln>
                      <a:noFill/>
                    </a:ln>
                  </pic:spPr>
                </pic:pic>
              </a:graphicData>
            </a:graphic>
          </wp:inline>
        </w:drawing>
      </w:r>
    </w:p>
    <w:p w14:paraId="53E9B572" w14:textId="47E2C921" w:rsidR="00C11B9C" w:rsidRDefault="00C11B9C" w:rsidP="00BD359E">
      <w:pPr>
        <w:rPr>
          <w:rFonts w:cstheme="minorHAnsi"/>
        </w:rPr>
      </w:pPr>
    </w:p>
    <w:p w14:paraId="037B50D7" w14:textId="77777777" w:rsidR="00C11B9C" w:rsidRPr="00C11B9C" w:rsidRDefault="00C11B9C" w:rsidP="00C11B9C">
      <w:pPr>
        <w:spacing w:after="0" w:line="240" w:lineRule="auto"/>
        <w:rPr>
          <w:rFonts w:ascii="Times New Roman" w:eastAsia="Times New Roman" w:hAnsi="Times New Roman" w:cs="Times New Roman"/>
          <w:sz w:val="24"/>
          <w:szCs w:val="24"/>
        </w:rPr>
      </w:pPr>
      <w:r w:rsidRPr="00C11B9C">
        <w:rPr>
          <w:rFonts w:ascii="Times New Roman" w:eastAsia="Times New Roman" w:hAnsi="Times New Roman" w:cs="Times New Roman"/>
          <w:b/>
          <w:bCs/>
          <w:sz w:val="24"/>
          <w:szCs w:val="24"/>
        </w:rPr>
        <w:t>Table 2.</w:t>
      </w:r>
      <w:r w:rsidRPr="00C11B9C">
        <w:rPr>
          <w:rFonts w:ascii="Times New Roman" w:eastAsia="Times New Roman" w:hAnsi="Times New Roman" w:cs="Times New Roman"/>
          <w:sz w:val="24"/>
          <w:szCs w:val="24"/>
        </w:rPr>
        <w:t> </w:t>
      </w:r>
    </w:p>
    <w:p w14:paraId="2CD901F4" w14:textId="77777777" w:rsidR="00C11B9C" w:rsidRPr="00C11B9C" w:rsidRDefault="00C11B9C" w:rsidP="00C11B9C">
      <w:pPr>
        <w:spacing w:after="0"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Fit Indices for the Three Factor Structures and All Models at Each Stage.</w:t>
      </w:r>
    </w:p>
    <w:tbl>
      <w:tblPr>
        <w:tblStyle w:val="TableGrid"/>
        <w:tblW w:w="0" w:type="auto"/>
        <w:tblLook w:val="04A0" w:firstRow="1" w:lastRow="0" w:firstColumn="1" w:lastColumn="0" w:noHBand="0" w:noVBand="1"/>
      </w:tblPr>
      <w:tblGrid>
        <w:gridCol w:w="2284"/>
        <w:gridCol w:w="916"/>
        <w:gridCol w:w="696"/>
        <w:gridCol w:w="516"/>
        <w:gridCol w:w="1043"/>
        <w:gridCol w:w="1397"/>
        <w:gridCol w:w="666"/>
        <w:gridCol w:w="943"/>
        <w:gridCol w:w="666"/>
        <w:gridCol w:w="943"/>
      </w:tblGrid>
      <w:tr w:rsidR="00614BF8" w:rsidRPr="00C11B9C" w14:paraId="7204DBC6" w14:textId="77777777" w:rsidTr="007428C7">
        <w:tc>
          <w:tcPr>
            <w:tcW w:w="0" w:type="auto"/>
            <w:hideMark/>
          </w:tcPr>
          <w:p w14:paraId="1C2CA9D0"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p>
        </w:tc>
        <w:tc>
          <w:tcPr>
            <w:tcW w:w="0" w:type="auto"/>
            <w:hideMark/>
          </w:tcPr>
          <w:p w14:paraId="787B3E91"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sz w:val="24"/>
                <w:szCs w:val="24"/>
              </w:rPr>
              <w:t>χ</w:t>
            </w:r>
            <w:r w:rsidRPr="00C11B9C">
              <w:rPr>
                <w:rFonts w:ascii="Times New Roman" w:eastAsia="Times New Roman" w:hAnsi="Times New Roman" w:cs="Times New Roman"/>
                <w:sz w:val="24"/>
                <w:szCs w:val="24"/>
                <w:vertAlign w:val="superscript"/>
              </w:rPr>
              <w:t>2</w:t>
            </w:r>
          </w:p>
        </w:tc>
        <w:tc>
          <w:tcPr>
            <w:tcW w:w="0" w:type="auto"/>
            <w:hideMark/>
          </w:tcPr>
          <w:p w14:paraId="2B1C2EBF"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sz w:val="24"/>
                <w:szCs w:val="24"/>
              </w:rPr>
              <w:t>χ</w:t>
            </w:r>
            <w:r w:rsidRPr="00C11B9C">
              <w:rPr>
                <w:rFonts w:ascii="Times New Roman" w:eastAsia="Times New Roman" w:hAnsi="Times New Roman" w:cs="Times New Roman"/>
                <w:sz w:val="24"/>
                <w:szCs w:val="24"/>
                <w:vertAlign w:val="superscript"/>
              </w:rPr>
              <w:t>2</w:t>
            </w:r>
            <w:r w:rsidRPr="00C11B9C">
              <w:rPr>
                <w:rFonts w:ascii="Times New Roman" w:eastAsia="Times New Roman" w:hAnsi="Times New Roman" w:cs="Times New Roman"/>
                <w:i/>
                <w:iCs/>
                <w:sz w:val="24"/>
                <w:szCs w:val="24"/>
              </w:rPr>
              <w:t>SD</w:t>
            </w:r>
          </w:p>
        </w:tc>
        <w:tc>
          <w:tcPr>
            <w:tcW w:w="0" w:type="auto"/>
            <w:hideMark/>
          </w:tcPr>
          <w:p w14:paraId="733A28C7"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i/>
                <w:iCs/>
                <w:sz w:val="24"/>
                <w:szCs w:val="24"/>
              </w:rPr>
              <w:t>df</w:t>
            </w:r>
          </w:p>
        </w:tc>
        <w:tc>
          <w:tcPr>
            <w:tcW w:w="0" w:type="auto"/>
            <w:hideMark/>
          </w:tcPr>
          <w:p w14:paraId="193B60DE"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sz w:val="24"/>
                <w:szCs w:val="24"/>
              </w:rPr>
              <w:t>RMSEA</w:t>
            </w:r>
          </w:p>
        </w:tc>
        <w:tc>
          <w:tcPr>
            <w:tcW w:w="0" w:type="auto"/>
            <w:hideMark/>
          </w:tcPr>
          <w:p w14:paraId="15FFE0D2"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sz w:val="24"/>
                <w:szCs w:val="24"/>
              </w:rPr>
              <w:t>RMSEA </w:t>
            </w:r>
            <w:r w:rsidRPr="00C11B9C">
              <w:rPr>
                <w:rFonts w:ascii="Times New Roman" w:eastAsia="Times New Roman" w:hAnsi="Times New Roman" w:cs="Times New Roman"/>
                <w:i/>
                <w:iCs/>
                <w:sz w:val="24"/>
                <w:szCs w:val="24"/>
              </w:rPr>
              <w:t>SD</w:t>
            </w:r>
          </w:p>
        </w:tc>
        <w:tc>
          <w:tcPr>
            <w:tcW w:w="0" w:type="auto"/>
            <w:hideMark/>
          </w:tcPr>
          <w:p w14:paraId="1460864C"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sz w:val="24"/>
                <w:szCs w:val="24"/>
              </w:rPr>
              <w:t>CFI</w:t>
            </w:r>
          </w:p>
        </w:tc>
        <w:tc>
          <w:tcPr>
            <w:tcW w:w="0" w:type="auto"/>
            <w:hideMark/>
          </w:tcPr>
          <w:p w14:paraId="560CD951"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sz w:val="24"/>
                <w:szCs w:val="24"/>
              </w:rPr>
              <w:t>CFI </w:t>
            </w:r>
            <w:r w:rsidRPr="00C11B9C">
              <w:rPr>
                <w:rFonts w:ascii="Times New Roman" w:eastAsia="Times New Roman" w:hAnsi="Times New Roman" w:cs="Times New Roman"/>
                <w:i/>
                <w:iCs/>
                <w:sz w:val="24"/>
                <w:szCs w:val="24"/>
              </w:rPr>
              <w:t>SD</w:t>
            </w:r>
          </w:p>
        </w:tc>
        <w:tc>
          <w:tcPr>
            <w:tcW w:w="0" w:type="auto"/>
            <w:hideMark/>
          </w:tcPr>
          <w:p w14:paraId="45F9CBBF"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sz w:val="24"/>
                <w:szCs w:val="24"/>
              </w:rPr>
              <w:t>TLI</w:t>
            </w:r>
          </w:p>
        </w:tc>
        <w:tc>
          <w:tcPr>
            <w:tcW w:w="0" w:type="auto"/>
            <w:hideMark/>
          </w:tcPr>
          <w:p w14:paraId="1B0A37A1" w14:textId="77777777" w:rsidR="00C11B9C" w:rsidRPr="00C11B9C" w:rsidRDefault="00C11B9C" w:rsidP="00C11B9C">
            <w:pPr>
              <w:jc w:val="center"/>
              <w:rPr>
                <w:rFonts w:ascii="Times New Roman" w:eastAsia="Times New Roman" w:hAnsi="Times New Roman" w:cs="Times New Roman"/>
                <w:sz w:val="24"/>
                <w:szCs w:val="24"/>
              </w:rPr>
            </w:pPr>
            <w:r w:rsidRPr="00C11B9C">
              <w:rPr>
                <w:rFonts w:ascii="Times New Roman" w:eastAsia="Times New Roman" w:hAnsi="Times New Roman" w:cs="Times New Roman"/>
                <w:sz w:val="24"/>
                <w:szCs w:val="24"/>
              </w:rPr>
              <w:t>TLI </w:t>
            </w:r>
            <w:r w:rsidRPr="00C11B9C">
              <w:rPr>
                <w:rFonts w:ascii="Times New Roman" w:eastAsia="Times New Roman" w:hAnsi="Times New Roman" w:cs="Times New Roman"/>
                <w:i/>
                <w:iCs/>
                <w:sz w:val="24"/>
                <w:szCs w:val="24"/>
              </w:rPr>
              <w:t>SD</w:t>
            </w:r>
          </w:p>
        </w:tc>
      </w:tr>
      <w:tr w:rsidR="00614BF8" w:rsidRPr="00C11B9C" w14:paraId="4EB9232F" w14:textId="77777777" w:rsidTr="007428C7">
        <w:tc>
          <w:tcPr>
            <w:tcW w:w="0" w:type="auto"/>
            <w:hideMark/>
          </w:tcPr>
          <w:p w14:paraId="2656D8C6" w14:textId="77777777" w:rsidR="00614BF8" w:rsidRPr="00C11B9C" w:rsidRDefault="00614BF8"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Model 1. First-order factors</w:t>
            </w:r>
          </w:p>
        </w:tc>
        <w:tc>
          <w:tcPr>
            <w:tcW w:w="0" w:type="auto"/>
          </w:tcPr>
          <w:p w14:paraId="6CC6F466" w14:textId="77777777" w:rsidR="00614BF8" w:rsidRPr="00C11B9C" w:rsidRDefault="00614BF8" w:rsidP="00C11B9C">
            <w:pPr>
              <w:spacing w:line="240" w:lineRule="atLeast"/>
              <w:rPr>
                <w:rFonts w:ascii="Times New Roman" w:eastAsia="Times New Roman" w:hAnsi="Times New Roman" w:cs="Times New Roman"/>
                <w:sz w:val="20"/>
                <w:szCs w:val="20"/>
              </w:rPr>
            </w:pPr>
          </w:p>
        </w:tc>
        <w:tc>
          <w:tcPr>
            <w:tcW w:w="0" w:type="auto"/>
          </w:tcPr>
          <w:p w14:paraId="279AF068" w14:textId="77777777" w:rsidR="00614BF8" w:rsidRPr="00C11B9C" w:rsidRDefault="00614BF8" w:rsidP="00C11B9C">
            <w:pPr>
              <w:spacing w:line="240" w:lineRule="atLeast"/>
              <w:rPr>
                <w:rFonts w:ascii="Times New Roman" w:eastAsia="Times New Roman" w:hAnsi="Times New Roman" w:cs="Times New Roman"/>
                <w:sz w:val="20"/>
                <w:szCs w:val="20"/>
              </w:rPr>
            </w:pPr>
          </w:p>
        </w:tc>
        <w:tc>
          <w:tcPr>
            <w:tcW w:w="0" w:type="auto"/>
          </w:tcPr>
          <w:p w14:paraId="7E05894A" w14:textId="77777777" w:rsidR="00614BF8" w:rsidRPr="00C11B9C" w:rsidRDefault="00614BF8" w:rsidP="00C11B9C">
            <w:pPr>
              <w:spacing w:line="240" w:lineRule="atLeast"/>
              <w:rPr>
                <w:rFonts w:ascii="Times New Roman" w:eastAsia="Times New Roman" w:hAnsi="Times New Roman" w:cs="Times New Roman"/>
                <w:sz w:val="20"/>
                <w:szCs w:val="20"/>
              </w:rPr>
            </w:pPr>
          </w:p>
        </w:tc>
        <w:tc>
          <w:tcPr>
            <w:tcW w:w="0" w:type="auto"/>
          </w:tcPr>
          <w:p w14:paraId="3570CEF9" w14:textId="77777777" w:rsidR="00614BF8" w:rsidRPr="00C11B9C" w:rsidRDefault="00614BF8" w:rsidP="00C11B9C">
            <w:pPr>
              <w:spacing w:line="240" w:lineRule="atLeast"/>
              <w:rPr>
                <w:rFonts w:ascii="Times New Roman" w:eastAsia="Times New Roman" w:hAnsi="Times New Roman" w:cs="Times New Roman"/>
                <w:sz w:val="20"/>
                <w:szCs w:val="20"/>
              </w:rPr>
            </w:pPr>
          </w:p>
        </w:tc>
        <w:tc>
          <w:tcPr>
            <w:tcW w:w="0" w:type="auto"/>
          </w:tcPr>
          <w:p w14:paraId="43C1004C" w14:textId="77777777" w:rsidR="00614BF8" w:rsidRPr="00C11B9C" w:rsidRDefault="00614BF8" w:rsidP="00C11B9C">
            <w:pPr>
              <w:spacing w:line="240" w:lineRule="atLeast"/>
              <w:rPr>
                <w:rFonts w:ascii="Times New Roman" w:eastAsia="Times New Roman" w:hAnsi="Times New Roman" w:cs="Times New Roman"/>
                <w:sz w:val="20"/>
                <w:szCs w:val="20"/>
              </w:rPr>
            </w:pPr>
          </w:p>
        </w:tc>
        <w:tc>
          <w:tcPr>
            <w:tcW w:w="0" w:type="auto"/>
          </w:tcPr>
          <w:p w14:paraId="5E353548" w14:textId="77777777" w:rsidR="00614BF8" w:rsidRPr="00C11B9C" w:rsidRDefault="00614BF8" w:rsidP="00C11B9C">
            <w:pPr>
              <w:spacing w:line="240" w:lineRule="atLeast"/>
              <w:rPr>
                <w:rFonts w:ascii="Times New Roman" w:eastAsia="Times New Roman" w:hAnsi="Times New Roman" w:cs="Times New Roman"/>
                <w:sz w:val="20"/>
                <w:szCs w:val="20"/>
              </w:rPr>
            </w:pPr>
          </w:p>
        </w:tc>
        <w:tc>
          <w:tcPr>
            <w:tcW w:w="0" w:type="auto"/>
          </w:tcPr>
          <w:p w14:paraId="3A49E48C" w14:textId="77777777" w:rsidR="00614BF8" w:rsidRPr="00C11B9C" w:rsidRDefault="00614BF8" w:rsidP="00C11B9C">
            <w:pPr>
              <w:spacing w:line="240" w:lineRule="atLeast"/>
              <w:rPr>
                <w:rFonts w:ascii="Times New Roman" w:eastAsia="Times New Roman" w:hAnsi="Times New Roman" w:cs="Times New Roman"/>
                <w:sz w:val="20"/>
                <w:szCs w:val="20"/>
              </w:rPr>
            </w:pPr>
          </w:p>
        </w:tc>
        <w:tc>
          <w:tcPr>
            <w:tcW w:w="0" w:type="auto"/>
          </w:tcPr>
          <w:p w14:paraId="3FD19D16" w14:textId="77777777" w:rsidR="00614BF8" w:rsidRPr="00C11B9C" w:rsidRDefault="00614BF8" w:rsidP="00C11B9C">
            <w:pPr>
              <w:spacing w:line="240" w:lineRule="atLeast"/>
              <w:rPr>
                <w:rFonts w:ascii="Times New Roman" w:eastAsia="Times New Roman" w:hAnsi="Times New Roman" w:cs="Times New Roman"/>
                <w:sz w:val="20"/>
                <w:szCs w:val="20"/>
              </w:rPr>
            </w:pPr>
          </w:p>
        </w:tc>
        <w:tc>
          <w:tcPr>
            <w:tcW w:w="0" w:type="auto"/>
          </w:tcPr>
          <w:p w14:paraId="3F70354A" w14:textId="09553ECC" w:rsidR="00614BF8" w:rsidRPr="00C11B9C" w:rsidRDefault="00614BF8" w:rsidP="00C11B9C">
            <w:pPr>
              <w:spacing w:line="240" w:lineRule="atLeast"/>
              <w:rPr>
                <w:rFonts w:ascii="Times New Roman" w:eastAsia="Times New Roman" w:hAnsi="Times New Roman" w:cs="Times New Roman"/>
                <w:sz w:val="20"/>
                <w:szCs w:val="20"/>
              </w:rPr>
            </w:pPr>
          </w:p>
        </w:tc>
      </w:tr>
      <w:tr w:rsidR="00614BF8" w:rsidRPr="00C11B9C" w14:paraId="748E0E89" w14:textId="77777777" w:rsidTr="007428C7">
        <w:tc>
          <w:tcPr>
            <w:tcW w:w="0" w:type="auto"/>
            <w:hideMark/>
          </w:tcPr>
          <w:p w14:paraId="2F87B0F8"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All</w:t>
            </w:r>
          </w:p>
        </w:tc>
        <w:tc>
          <w:tcPr>
            <w:tcW w:w="0" w:type="auto"/>
            <w:hideMark/>
          </w:tcPr>
          <w:p w14:paraId="039CED58"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996.62</w:t>
            </w:r>
          </w:p>
        </w:tc>
        <w:tc>
          <w:tcPr>
            <w:tcW w:w="0" w:type="auto"/>
            <w:hideMark/>
          </w:tcPr>
          <w:p w14:paraId="3649F4E1"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45.95</w:t>
            </w:r>
          </w:p>
        </w:tc>
        <w:tc>
          <w:tcPr>
            <w:tcW w:w="0" w:type="auto"/>
            <w:hideMark/>
          </w:tcPr>
          <w:p w14:paraId="4E442026"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467</w:t>
            </w:r>
          </w:p>
        </w:tc>
        <w:tc>
          <w:tcPr>
            <w:tcW w:w="0" w:type="auto"/>
            <w:hideMark/>
          </w:tcPr>
          <w:p w14:paraId="2692256D"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0.067</w:t>
            </w:r>
          </w:p>
        </w:tc>
        <w:tc>
          <w:tcPr>
            <w:tcW w:w="0" w:type="auto"/>
            <w:hideMark/>
          </w:tcPr>
          <w:p w14:paraId="4FB29559"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11184D81"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0.935</w:t>
            </w:r>
          </w:p>
        </w:tc>
        <w:tc>
          <w:tcPr>
            <w:tcW w:w="0" w:type="auto"/>
            <w:hideMark/>
          </w:tcPr>
          <w:p w14:paraId="6C61FCFE"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0.006</w:t>
            </w:r>
          </w:p>
        </w:tc>
        <w:tc>
          <w:tcPr>
            <w:tcW w:w="0" w:type="auto"/>
            <w:hideMark/>
          </w:tcPr>
          <w:p w14:paraId="06337FC8"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0.926</w:t>
            </w:r>
          </w:p>
        </w:tc>
        <w:tc>
          <w:tcPr>
            <w:tcW w:w="0" w:type="auto"/>
            <w:hideMark/>
          </w:tcPr>
          <w:p w14:paraId="00B9D787"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r>
      <w:tr w:rsidR="00614BF8" w:rsidRPr="00C11B9C" w14:paraId="22AA9899" w14:textId="77777777" w:rsidTr="007428C7">
        <w:tc>
          <w:tcPr>
            <w:tcW w:w="0" w:type="auto"/>
            <w:hideMark/>
          </w:tcPr>
          <w:p w14:paraId="08D09C54"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Omit BP</w:t>
            </w:r>
          </w:p>
        </w:tc>
        <w:tc>
          <w:tcPr>
            <w:tcW w:w="0" w:type="auto"/>
            <w:hideMark/>
          </w:tcPr>
          <w:p w14:paraId="4609F996"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886.05</w:t>
            </w:r>
          </w:p>
        </w:tc>
        <w:tc>
          <w:tcPr>
            <w:tcW w:w="0" w:type="auto"/>
            <w:hideMark/>
          </w:tcPr>
          <w:p w14:paraId="07B8DCBE"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45.28</w:t>
            </w:r>
          </w:p>
        </w:tc>
        <w:tc>
          <w:tcPr>
            <w:tcW w:w="0" w:type="auto"/>
            <w:hideMark/>
          </w:tcPr>
          <w:p w14:paraId="59F9120E"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412</w:t>
            </w:r>
          </w:p>
        </w:tc>
        <w:tc>
          <w:tcPr>
            <w:tcW w:w="0" w:type="auto"/>
            <w:hideMark/>
          </w:tcPr>
          <w:p w14:paraId="4336834B"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0.068</w:t>
            </w:r>
          </w:p>
        </w:tc>
        <w:tc>
          <w:tcPr>
            <w:tcW w:w="0" w:type="auto"/>
            <w:hideMark/>
          </w:tcPr>
          <w:p w14:paraId="1D57B6C7"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490BC4A9"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0.937</w:t>
            </w:r>
          </w:p>
        </w:tc>
        <w:tc>
          <w:tcPr>
            <w:tcW w:w="0" w:type="auto"/>
            <w:hideMark/>
          </w:tcPr>
          <w:p w14:paraId="63847576"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c>
          <w:tcPr>
            <w:tcW w:w="0" w:type="auto"/>
            <w:hideMark/>
          </w:tcPr>
          <w:p w14:paraId="6B9B298C"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0.929</w:t>
            </w:r>
          </w:p>
        </w:tc>
        <w:tc>
          <w:tcPr>
            <w:tcW w:w="0" w:type="auto"/>
            <w:hideMark/>
          </w:tcPr>
          <w:p w14:paraId="3A95DF77"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r>
      <w:tr w:rsidR="00614BF8" w:rsidRPr="00C11B9C" w14:paraId="288185D3" w14:textId="77777777" w:rsidTr="007428C7">
        <w:tc>
          <w:tcPr>
            <w:tcW w:w="0" w:type="auto"/>
            <w:hideMark/>
          </w:tcPr>
          <w:p w14:paraId="05ACDA30"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Omit SF</w:t>
            </w:r>
          </w:p>
        </w:tc>
        <w:tc>
          <w:tcPr>
            <w:tcW w:w="0" w:type="auto"/>
            <w:hideMark/>
          </w:tcPr>
          <w:p w14:paraId="533B042E"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893.04</w:t>
            </w:r>
          </w:p>
        </w:tc>
        <w:tc>
          <w:tcPr>
            <w:tcW w:w="0" w:type="auto"/>
            <w:hideMark/>
          </w:tcPr>
          <w:p w14:paraId="1A1C4104"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45.16</w:t>
            </w:r>
          </w:p>
        </w:tc>
        <w:tc>
          <w:tcPr>
            <w:tcW w:w="0" w:type="auto"/>
            <w:hideMark/>
          </w:tcPr>
          <w:p w14:paraId="48F6E3EF"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412</w:t>
            </w:r>
          </w:p>
        </w:tc>
        <w:tc>
          <w:tcPr>
            <w:tcW w:w="0" w:type="auto"/>
            <w:hideMark/>
          </w:tcPr>
          <w:p w14:paraId="42932B7B"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0.068</w:t>
            </w:r>
          </w:p>
        </w:tc>
        <w:tc>
          <w:tcPr>
            <w:tcW w:w="0" w:type="auto"/>
            <w:hideMark/>
          </w:tcPr>
          <w:p w14:paraId="22F7D77D"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1912AD08"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0.937</w:t>
            </w:r>
          </w:p>
        </w:tc>
        <w:tc>
          <w:tcPr>
            <w:tcW w:w="0" w:type="auto"/>
            <w:hideMark/>
          </w:tcPr>
          <w:p w14:paraId="7C84BE7B"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0.006</w:t>
            </w:r>
          </w:p>
        </w:tc>
        <w:tc>
          <w:tcPr>
            <w:tcW w:w="0" w:type="auto"/>
            <w:hideMark/>
          </w:tcPr>
          <w:p w14:paraId="0B8C65D4"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0.929</w:t>
            </w:r>
          </w:p>
        </w:tc>
        <w:tc>
          <w:tcPr>
            <w:tcW w:w="0" w:type="auto"/>
            <w:hideMark/>
          </w:tcPr>
          <w:p w14:paraId="242B3448"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r>
      <w:tr w:rsidR="007428C7" w:rsidRPr="00C11B9C" w14:paraId="39369843" w14:textId="77777777" w:rsidTr="00475543">
        <w:tc>
          <w:tcPr>
            <w:tcW w:w="0" w:type="auto"/>
            <w:hideMark/>
          </w:tcPr>
          <w:p w14:paraId="0A38C257" w14:textId="77777777" w:rsidR="007428C7" w:rsidRPr="00C11B9C" w:rsidRDefault="007428C7"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Model 2. Two higher order factors</w:t>
            </w:r>
          </w:p>
        </w:tc>
        <w:tc>
          <w:tcPr>
            <w:tcW w:w="0" w:type="auto"/>
          </w:tcPr>
          <w:p w14:paraId="6FF4814D"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2D27DCC9"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1211520C" w14:textId="3AC4DB8F"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3D855F91"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40B002E9"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3B6C7831"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4B4BB795"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32CEA96B"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0BF7B710" w14:textId="5B348E02" w:rsidR="007428C7" w:rsidRPr="00C11B9C" w:rsidRDefault="007428C7" w:rsidP="00C11B9C">
            <w:pPr>
              <w:spacing w:line="240" w:lineRule="atLeast"/>
              <w:rPr>
                <w:rFonts w:ascii="Times New Roman" w:eastAsia="Times New Roman" w:hAnsi="Times New Roman" w:cs="Times New Roman"/>
                <w:sz w:val="20"/>
                <w:szCs w:val="20"/>
              </w:rPr>
            </w:pPr>
          </w:p>
        </w:tc>
      </w:tr>
      <w:tr w:rsidR="00614BF8" w:rsidRPr="00C11B9C" w14:paraId="304C6E89" w14:textId="77777777" w:rsidTr="007428C7">
        <w:tc>
          <w:tcPr>
            <w:tcW w:w="0" w:type="auto"/>
            <w:hideMark/>
          </w:tcPr>
          <w:p w14:paraId="7E7C05B2"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All</w:t>
            </w:r>
          </w:p>
        </w:tc>
        <w:tc>
          <w:tcPr>
            <w:tcW w:w="0" w:type="auto"/>
            <w:hideMark/>
          </w:tcPr>
          <w:p w14:paraId="76F3892D"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1,141.58</w:t>
            </w:r>
          </w:p>
        </w:tc>
        <w:tc>
          <w:tcPr>
            <w:tcW w:w="0" w:type="auto"/>
            <w:hideMark/>
          </w:tcPr>
          <w:p w14:paraId="77E28BF0"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51.64</w:t>
            </w:r>
          </w:p>
        </w:tc>
        <w:tc>
          <w:tcPr>
            <w:tcW w:w="0" w:type="auto"/>
            <w:hideMark/>
          </w:tcPr>
          <w:p w14:paraId="491F7B7C"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485</w:t>
            </w:r>
          </w:p>
        </w:tc>
        <w:tc>
          <w:tcPr>
            <w:tcW w:w="0" w:type="auto"/>
            <w:hideMark/>
          </w:tcPr>
          <w:p w14:paraId="57D12348"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0.074</w:t>
            </w:r>
          </w:p>
        </w:tc>
        <w:tc>
          <w:tcPr>
            <w:tcW w:w="0" w:type="auto"/>
            <w:hideMark/>
          </w:tcPr>
          <w:p w14:paraId="0D4355D4"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6B40633B"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0.919</w:t>
            </w:r>
          </w:p>
        </w:tc>
        <w:tc>
          <w:tcPr>
            <w:tcW w:w="0" w:type="auto"/>
            <w:hideMark/>
          </w:tcPr>
          <w:p w14:paraId="202BB7A3"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c>
          <w:tcPr>
            <w:tcW w:w="0" w:type="auto"/>
            <w:hideMark/>
          </w:tcPr>
          <w:p w14:paraId="48309C97"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0.912</w:t>
            </w:r>
          </w:p>
        </w:tc>
        <w:tc>
          <w:tcPr>
            <w:tcW w:w="0" w:type="auto"/>
            <w:hideMark/>
          </w:tcPr>
          <w:p w14:paraId="0BF4256D"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r>
      <w:tr w:rsidR="00614BF8" w:rsidRPr="00C11B9C" w14:paraId="56A66EF1" w14:textId="77777777" w:rsidTr="007428C7">
        <w:tc>
          <w:tcPr>
            <w:tcW w:w="0" w:type="auto"/>
            <w:hideMark/>
          </w:tcPr>
          <w:p w14:paraId="7F39507D"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Omit BP</w:t>
            </w:r>
          </w:p>
        </w:tc>
        <w:tc>
          <w:tcPr>
            <w:tcW w:w="0" w:type="auto"/>
            <w:hideMark/>
          </w:tcPr>
          <w:p w14:paraId="54D1B9A1"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1,016.75</w:t>
            </w:r>
          </w:p>
        </w:tc>
        <w:tc>
          <w:tcPr>
            <w:tcW w:w="0" w:type="auto"/>
            <w:hideMark/>
          </w:tcPr>
          <w:p w14:paraId="0CCB36D3"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49.66</w:t>
            </w:r>
          </w:p>
        </w:tc>
        <w:tc>
          <w:tcPr>
            <w:tcW w:w="0" w:type="auto"/>
            <w:hideMark/>
          </w:tcPr>
          <w:p w14:paraId="6B02EE41"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424</w:t>
            </w:r>
          </w:p>
        </w:tc>
        <w:tc>
          <w:tcPr>
            <w:tcW w:w="0" w:type="auto"/>
            <w:hideMark/>
          </w:tcPr>
          <w:p w14:paraId="6A7B16E4"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0.075</w:t>
            </w:r>
          </w:p>
        </w:tc>
        <w:tc>
          <w:tcPr>
            <w:tcW w:w="0" w:type="auto"/>
            <w:hideMark/>
          </w:tcPr>
          <w:p w14:paraId="0F2A1C98"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5D97BF0B"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0.922</w:t>
            </w:r>
          </w:p>
        </w:tc>
        <w:tc>
          <w:tcPr>
            <w:tcW w:w="0" w:type="auto"/>
            <w:hideMark/>
          </w:tcPr>
          <w:p w14:paraId="2189024F"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c>
          <w:tcPr>
            <w:tcW w:w="0" w:type="auto"/>
            <w:hideMark/>
          </w:tcPr>
          <w:p w14:paraId="202A4719"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0.914</w:t>
            </w:r>
          </w:p>
        </w:tc>
        <w:tc>
          <w:tcPr>
            <w:tcW w:w="0" w:type="auto"/>
            <w:hideMark/>
          </w:tcPr>
          <w:p w14:paraId="10F65EFB"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0.008</w:t>
            </w:r>
          </w:p>
        </w:tc>
      </w:tr>
      <w:tr w:rsidR="00614BF8" w:rsidRPr="00C11B9C" w14:paraId="734A7D18" w14:textId="77777777" w:rsidTr="007428C7">
        <w:tc>
          <w:tcPr>
            <w:tcW w:w="0" w:type="auto"/>
            <w:hideMark/>
          </w:tcPr>
          <w:p w14:paraId="49FAF063"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Omit SF</w:t>
            </w:r>
          </w:p>
        </w:tc>
        <w:tc>
          <w:tcPr>
            <w:tcW w:w="0" w:type="auto"/>
            <w:hideMark/>
          </w:tcPr>
          <w:p w14:paraId="3AE4E1D4"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1,008.93</w:t>
            </w:r>
          </w:p>
        </w:tc>
        <w:tc>
          <w:tcPr>
            <w:tcW w:w="0" w:type="auto"/>
            <w:hideMark/>
          </w:tcPr>
          <w:p w14:paraId="79B85003"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50.02</w:t>
            </w:r>
          </w:p>
        </w:tc>
        <w:tc>
          <w:tcPr>
            <w:tcW w:w="0" w:type="auto"/>
            <w:hideMark/>
          </w:tcPr>
          <w:p w14:paraId="2EE286AA"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424</w:t>
            </w:r>
          </w:p>
        </w:tc>
        <w:tc>
          <w:tcPr>
            <w:tcW w:w="0" w:type="auto"/>
            <w:hideMark/>
          </w:tcPr>
          <w:p w14:paraId="43550019"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0.074</w:t>
            </w:r>
          </w:p>
        </w:tc>
        <w:tc>
          <w:tcPr>
            <w:tcW w:w="0" w:type="auto"/>
            <w:hideMark/>
          </w:tcPr>
          <w:p w14:paraId="2EF19ED7"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06677D31"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0.924</w:t>
            </w:r>
          </w:p>
        </w:tc>
        <w:tc>
          <w:tcPr>
            <w:tcW w:w="0" w:type="auto"/>
            <w:hideMark/>
          </w:tcPr>
          <w:p w14:paraId="4B3A8788"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c>
          <w:tcPr>
            <w:tcW w:w="0" w:type="auto"/>
            <w:hideMark/>
          </w:tcPr>
          <w:p w14:paraId="1F6E583B"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0.916</w:t>
            </w:r>
          </w:p>
        </w:tc>
        <w:tc>
          <w:tcPr>
            <w:tcW w:w="0" w:type="auto"/>
            <w:hideMark/>
          </w:tcPr>
          <w:p w14:paraId="673B9185"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0.008</w:t>
            </w:r>
          </w:p>
        </w:tc>
      </w:tr>
      <w:tr w:rsidR="007428C7" w:rsidRPr="00C11B9C" w14:paraId="2DC8E9B1" w14:textId="77777777" w:rsidTr="00770BD5">
        <w:tc>
          <w:tcPr>
            <w:tcW w:w="0" w:type="auto"/>
            <w:hideMark/>
          </w:tcPr>
          <w:p w14:paraId="3D28E09F" w14:textId="4B9248AE" w:rsidR="007428C7" w:rsidRPr="00C11B9C" w:rsidRDefault="007428C7"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Model 3. One higher order factor</w:t>
            </w:r>
          </w:p>
        </w:tc>
        <w:tc>
          <w:tcPr>
            <w:tcW w:w="0" w:type="auto"/>
          </w:tcPr>
          <w:p w14:paraId="643E1697"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78FB5C45"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3CF58F19" w14:textId="14040332"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337F8FAB"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3FB767F1"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7A1B53B3"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0567015A"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5BAB8EF8" w14:textId="77777777" w:rsidR="007428C7" w:rsidRPr="00C11B9C" w:rsidRDefault="007428C7" w:rsidP="00C11B9C">
            <w:pPr>
              <w:spacing w:line="240" w:lineRule="atLeast"/>
              <w:rPr>
                <w:rFonts w:ascii="Times New Roman" w:eastAsia="Times New Roman" w:hAnsi="Times New Roman" w:cs="Times New Roman"/>
                <w:sz w:val="20"/>
                <w:szCs w:val="20"/>
              </w:rPr>
            </w:pPr>
          </w:p>
        </w:tc>
        <w:tc>
          <w:tcPr>
            <w:tcW w:w="0" w:type="auto"/>
          </w:tcPr>
          <w:p w14:paraId="0BAE0380" w14:textId="41669F4A" w:rsidR="007428C7" w:rsidRPr="00C11B9C" w:rsidRDefault="007428C7" w:rsidP="00C11B9C">
            <w:pPr>
              <w:spacing w:line="240" w:lineRule="atLeast"/>
              <w:rPr>
                <w:rFonts w:ascii="Times New Roman" w:eastAsia="Times New Roman" w:hAnsi="Times New Roman" w:cs="Times New Roman"/>
                <w:sz w:val="20"/>
                <w:szCs w:val="20"/>
              </w:rPr>
            </w:pPr>
          </w:p>
        </w:tc>
      </w:tr>
      <w:tr w:rsidR="00614BF8" w:rsidRPr="00C11B9C" w14:paraId="31B5F0C3" w14:textId="77777777" w:rsidTr="007428C7">
        <w:tc>
          <w:tcPr>
            <w:tcW w:w="0" w:type="auto"/>
            <w:hideMark/>
          </w:tcPr>
          <w:p w14:paraId="0FB9FAE1"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All</w:t>
            </w:r>
          </w:p>
        </w:tc>
        <w:tc>
          <w:tcPr>
            <w:tcW w:w="0" w:type="auto"/>
            <w:hideMark/>
          </w:tcPr>
          <w:p w14:paraId="6CDA3977"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1,173.17</w:t>
            </w:r>
          </w:p>
        </w:tc>
        <w:tc>
          <w:tcPr>
            <w:tcW w:w="0" w:type="auto"/>
            <w:hideMark/>
          </w:tcPr>
          <w:p w14:paraId="0ADB7F1F"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53.20</w:t>
            </w:r>
          </w:p>
        </w:tc>
        <w:tc>
          <w:tcPr>
            <w:tcW w:w="0" w:type="auto"/>
            <w:hideMark/>
          </w:tcPr>
          <w:p w14:paraId="21A88987"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486</w:t>
            </w:r>
          </w:p>
        </w:tc>
        <w:tc>
          <w:tcPr>
            <w:tcW w:w="0" w:type="auto"/>
            <w:hideMark/>
          </w:tcPr>
          <w:p w14:paraId="59B0BB89"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0.075</w:t>
            </w:r>
          </w:p>
        </w:tc>
        <w:tc>
          <w:tcPr>
            <w:tcW w:w="0" w:type="auto"/>
            <w:hideMark/>
          </w:tcPr>
          <w:p w14:paraId="6C175926"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56C3F399"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0.916</w:t>
            </w:r>
          </w:p>
        </w:tc>
        <w:tc>
          <w:tcPr>
            <w:tcW w:w="0" w:type="auto"/>
            <w:hideMark/>
          </w:tcPr>
          <w:p w14:paraId="36652AE5"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0.008</w:t>
            </w:r>
          </w:p>
        </w:tc>
        <w:tc>
          <w:tcPr>
            <w:tcW w:w="0" w:type="auto"/>
            <w:hideMark/>
          </w:tcPr>
          <w:p w14:paraId="622B65C3"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0.908</w:t>
            </w:r>
          </w:p>
        </w:tc>
        <w:tc>
          <w:tcPr>
            <w:tcW w:w="0" w:type="auto"/>
            <w:hideMark/>
          </w:tcPr>
          <w:p w14:paraId="35EBCA20"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0.008</w:t>
            </w:r>
          </w:p>
        </w:tc>
      </w:tr>
      <w:tr w:rsidR="00614BF8" w:rsidRPr="00C11B9C" w14:paraId="505E30BB" w14:textId="77777777" w:rsidTr="007428C7">
        <w:tc>
          <w:tcPr>
            <w:tcW w:w="0" w:type="auto"/>
            <w:hideMark/>
          </w:tcPr>
          <w:p w14:paraId="2BE23917"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Omit BP</w:t>
            </w:r>
          </w:p>
        </w:tc>
        <w:tc>
          <w:tcPr>
            <w:tcW w:w="0" w:type="auto"/>
            <w:hideMark/>
          </w:tcPr>
          <w:p w14:paraId="20B4EF70"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1,061.37</w:t>
            </w:r>
          </w:p>
        </w:tc>
        <w:tc>
          <w:tcPr>
            <w:tcW w:w="0" w:type="auto"/>
            <w:hideMark/>
          </w:tcPr>
          <w:p w14:paraId="58526B7C"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51.99</w:t>
            </w:r>
          </w:p>
        </w:tc>
        <w:tc>
          <w:tcPr>
            <w:tcW w:w="0" w:type="auto"/>
            <w:hideMark/>
          </w:tcPr>
          <w:p w14:paraId="6CF25F0B"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425</w:t>
            </w:r>
          </w:p>
        </w:tc>
        <w:tc>
          <w:tcPr>
            <w:tcW w:w="0" w:type="auto"/>
            <w:hideMark/>
          </w:tcPr>
          <w:p w14:paraId="29351186"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0.077</w:t>
            </w:r>
          </w:p>
        </w:tc>
        <w:tc>
          <w:tcPr>
            <w:tcW w:w="0" w:type="auto"/>
            <w:hideMark/>
          </w:tcPr>
          <w:p w14:paraId="73EE0423"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0D21B757"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0.916</w:t>
            </w:r>
          </w:p>
        </w:tc>
        <w:tc>
          <w:tcPr>
            <w:tcW w:w="0" w:type="auto"/>
            <w:hideMark/>
          </w:tcPr>
          <w:p w14:paraId="61834B90"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c>
          <w:tcPr>
            <w:tcW w:w="0" w:type="auto"/>
            <w:hideMark/>
          </w:tcPr>
          <w:p w14:paraId="04F6ADAE"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0.908</w:t>
            </w:r>
          </w:p>
        </w:tc>
        <w:tc>
          <w:tcPr>
            <w:tcW w:w="0" w:type="auto"/>
            <w:hideMark/>
          </w:tcPr>
          <w:p w14:paraId="0671A1F0"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0.008</w:t>
            </w:r>
          </w:p>
        </w:tc>
      </w:tr>
      <w:tr w:rsidR="00614BF8" w:rsidRPr="00C11B9C" w14:paraId="378AE93C" w14:textId="77777777" w:rsidTr="007428C7">
        <w:tc>
          <w:tcPr>
            <w:tcW w:w="0" w:type="auto"/>
            <w:hideMark/>
          </w:tcPr>
          <w:p w14:paraId="488046C8" w14:textId="77777777" w:rsidR="00C11B9C" w:rsidRPr="00C11B9C" w:rsidRDefault="00C11B9C" w:rsidP="00C11B9C">
            <w:pPr>
              <w:spacing w:line="240" w:lineRule="atLeast"/>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 </w:t>
            </w:r>
            <w:r w:rsidRPr="00C11B9C">
              <w:rPr>
                <w:rFonts w:ascii="Times New Roman" w:eastAsia="Times New Roman" w:hAnsi="Times New Roman" w:cs="Times New Roman"/>
                <w:sz w:val="20"/>
                <w:szCs w:val="20"/>
              </w:rPr>
              <w:t>Omit SF</w:t>
            </w:r>
          </w:p>
        </w:tc>
        <w:tc>
          <w:tcPr>
            <w:tcW w:w="0" w:type="auto"/>
            <w:hideMark/>
          </w:tcPr>
          <w:p w14:paraId="7C28401E"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1,050.52</w:t>
            </w:r>
          </w:p>
        </w:tc>
        <w:tc>
          <w:tcPr>
            <w:tcW w:w="0" w:type="auto"/>
            <w:hideMark/>
          </w:tcPr>
          <w:p w14:paraId="2F30BA75"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52.10</w:t>
            </w:r>
          </w:p>
        </w:tc>
        <w:tc>
          <w:tcPr>
            <w:tcW w:w="0" w:type="auto"/>
            <w:hideMark/>
          </w:tcPr>
          <w:p w14:paraId="7B6DE235"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425</w:t>
            </w:r>
          </w:p>
        </w:tc>
        <w:tc>
          <w:tcPr>
            <w:tcW w:w="0" w:type="auto"/>
            <w:hideMark/>
          </w:tcPr>
          <w:p w14:paraId="418C04F0"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0.077</w:t>
            </w:r>
          </w:p>
        </w:tc>
        <w:tc>
          <w:tcPr>
            <w:tcW w:w="0" w:type="auto"/>
            <w:hideMark/>
          </w:tcPr>
          <w:p w14:paraId="33A6446E"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0.003</w:t>
            </w:r>
          </w:p>
        </w:tc>
        <w:tc>
          <w:tcPr>
            <w:tcW w:w="0" w:type="auto"/>
            <w:hideMark/>
          </w:tcPr>
          <w:p w14:paraId="0C9BF041"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0.918</w:t>
            </w:r>
          </w:p>
        </w:tc>
        <w:tc>
          <w:tcPr>
            <w:tcW w:w="0" w:type="auto"/>
            <w:hideMark/>
          </w:tcPr>
          <w:p w14:paraId="555C9B3E"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0.007</w:t>
            </w:r>
          </w:p>
        </w:tc>
        <w:tc>
          <w:tcPr>
            <w:tcW w:w="0" w:type="auto"/>
            <w:hideMark/>
          </w:tcPr>
          <w:p w14:paraId="5CBC8B1D"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0.911</w:t>
            </w:r>
          </w:p>
        </w:tc>
        <w:tc>
          <w:tcPr>
            <w:tcW w:w="0" w:type="auto"/>
            <w:hideMark/>
          </w:tcPr>
          <w:p w14:paraId="4831BF76" w14:textId="77777777" w:rsidR="00C11B9C" w:rsidRPr="00C11B9C" w:rsidRDefault="00C11B9C" w:rsidP="00C11B9C">
            <w:pPr>
              <w:spacing w:line="240" w:lineRule="atLeast"/>
              <w:jc w:val="center"/>
              <w:rPr>
                <w:rFonts w:ascii="Times New Roman" w:eastAsia="Times New Roman" w:hAnsi="Times New Roman" w:cs="Times New Roman"/>
                <w:sz w:val="20"/>
                <w:szCs w:val="20"/>
              </w:rPr>
            </w:pPr>
            <w:r w:rsidRPr="00C11B9C">
              <w:rPr>
                <w:rFonts w:ascii="Times New Roman" w:eastAsia="Times New Roman" w:hAnsi="Times New Roman" w:cs="Times New Roman"/>
                <w:sz w:val="20"/>
                <w:szCs w:val="20"/>
              </w:rPr>
              <w:t>0.008</w:t>
            </w:r>
          </w:p>
        </w:tc>
      </w:tr>
    </w:tbl>
    <w:p w14:paraId="624AD459" w14:textId="77777777" w:rsidR="00C11B9C" w:rsidRPr="00984CD2" w:rsidRDefault="00C11B9C" w:rsidP="00BD359E">
      <w:pPr>
        <w:rPr>
          <w:rFonts w:cstheme="minorHAnsi"/>
        </w:rPr>
      </w:pPr>
    </w:p>
    <w:p w14:paraId="5B3DBD25" w14:textId="61C8DA25" w:rsidR="00586728" w:rsidRPr="008D032F" w:rsidRDefault="00586728" w:rsidP="00BD359E">
      <w:pPr>
        <w:rPr>
          <w:rFonts w:cstheme="minorHAnsi"/>
          <w:color w:val="FF0000"/>
        </w:rPr>
      </w:pPr>
      <w:r w:rsidRPr="005D3671">
        <w:rPr>
          <w:rFonts w:cstheme="minorHAnsi"/>
          <w:b/>
          <w:bCs/>
        </w:rPr>
        <w:t>Table 2.</w:t>
      </w:r>
      <w:r w:rsidRPr="005D3671">
        <w:rPr>
          <w:rFonts w:cstheme="minorHAnsi"/>
        </w:rPr>
        <w:t> Fit Indices for the Three Factor Structures and All Models at Each Stage.</w:t>
      </w:r>
    </w:p>
    <w:p w14:paraId="7165A836" w14:textId="63F31999" w:rsidR="00586728" w:rsidRPr="00984CD2" w:rsidRDefault="00586728" w:rsidP="00BD359E">
      <w:pPr>
        <w:rPr>
          <w:rFonts w:cstheme="minorHAnsi"/>
        </w:rPr>
      </w:pPr>
    </w:p>
    <w:p w14:paraId="0029F7B3" w14:textId="6D8A36E6" w:rsidR="00586728" w:rsidRPr="00984CD2" w:rsidRDefault="00F750AF" w:rsidP="00BD359E">
      <w:pPr>
        <w:rPr>
          <w:rFonts w:cstheme="minorHAnsi"/>
        </w:rPr>
      </w:pPr>
      <w:r w:rsidRPr="00984CD2">
        <w:rPr>
          <w:rFonts w:cstheme="minorHAnsi"/>
          <w:noProof/>
        </w:rPr>
        <w:lastRenderedPageBreak/>
        <w:drawing>
          <wp:inline distT="0" distB="0" distL="0" distR="0" wp14:anchorId="13727FE7" wp14:editId="51385CFE">
            <wp:extent cx="4763135" cy="3827780"/>
            <wp:effectExtent l="0" t="0" r="0" b="1270"/>
            <wp:docPr id="11" name="Picture 11" descr="Table 3. Correlations Between Constructs for Model 1 Based on All or Subset of First-Order Facto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abl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3135" cy="3827780"/>
                    </a:xfrm>
                    <a:prstGeom prst="rect">
                      <a:avLst/>
                    </a:prstGeom>
                    <a:noFill/>
                    <a:ln>
                      <a:noFill/>
                    </a:ln>
                  </pic:spPr>
                </pic:pic>
              </a:graphicData>
            </a:graphic>
          </wp:inline>
        </w:drawing>
      </w:r>
    </w:p>
    <w:p w14:paraId="62793989" w14:textId="40C8463E" w:rsidR="00231D45" w:rsidRDefault="00F750AF" w:rsidP="00BD359E">
      <w:pPr>
        <w:rPr>
          <w:rFonts w:cstheme="minorHAnsi"/>
        </w:rPr>
      </w:pPr>
      <w:r w:rsidRPr="00984CD2">
        <w:rPr>
          <w:rFonts w:cstheme="minorHAnsi"/>
          <w:b/>
          <w:bCs/>
        </w:rPr>
        <w:t>Table 3.</w:t>
      </w:r>
      <w:r w:rsidRPr="00984CD2">
        <w:rPr>
          <w:rFonts w:cstheme="minorHAnsi"/>
        </w:rPr>
        <w:t> Correlations Between Constructs for Model 1 Based on All or Subset of First-Order Factors.</w:t>
      </w:r>
    </w:p>
    <w:p w14:paraId="5E3B8A58" w14:textId="473C17CD" w:rsidR="004B5ACD" w:rsidRDefault="004B5ACD" w:rsidP="00BD359E">
      <w:pPr>
        <w:rPr>
          <w:rFonts w:cstheme="minorHAnsi"/>
        </w:rPr>
      </w:pPr>
    </w:p>
    <w:p w14:paraId="676A007E" w14:textId="68A1C6A0" w:rsidR="00E96BB5" w:rsidRDefault="00E96BB5" w:rsidP="00BD359E">
      <w:pPr>
        <w:rPr>
          <w:rFonts w:cstheme="minorHAnsi"/>
        </w:rPr>
      </w:pPr>
    </w:p>
    <w:p w14:paraId="214DD4B3" w14:textId="41E59212" w:rsidR="00E96BB5" w:rsidRDefault="00E96BB5" w:rsidP="00BD359E">
      <w:pPr>
        <w:rPr>
          <w:rFonts w:cstheme="minorHAnsi"/>
        </w:rPr>
      </w:pPr>
    </w:p>
    <w:p w14:paraId="1F219B7A" w14:textId="6756501D" w:rsidR="00E96BB5" w:rsidRDefault="00E96BB5" w:rsidP="00BD359E">
      <w:pPr>
        <w:rPr>
          <w:rFonts w:cstheme="minorHAnsi"/>
        </w:rPr>
      </w:pPr>
    </w:p>
    <w:p w14:paraId="754C5C99" w14:textId="0D894149" w:rsidR="00E96BB5" w:rsidRDefault="00E96BB5" w:rsidP="00BD359E">
      <w:pPr>
        <w:rPr>
          <w:rFonts w:cstheme="minorHAnsi"/>
        </w:rPr>
      </w:pPr>
    </w:p>
    <w:p w14:paraId="659A4FFB" w14:textId="6BFB2E71" w:rsidR="00E96BB5" w:rsidRDefault="00E96BB5" w:rsidP="00BD359E">
      <w:pPr>
        <w:rPr>
          <w:rFonts w:cstheme="minorHAnsi"/>
        </w:rPr>
      </w:pPr>
    </w:p>
    <w:p w14:paraId="1E319239" w14:textId="6EC36135" w:rsidR="00E96BB5" w:rsidRDefault="00E96BB5" w:rsidP="00BD359E">
      <w:pPr>
        <w:rPr>
          <w:rFonts w:cstheme="minorHAnsi"/>
        </w:rPr>
      </w:pPr>
    </w:p>
    <w:p w14:paraId="5875198D" w14:textId="1F621443" w:rsidR="00E96BB5" w:rsidRDefault="00E96BB5" w:rsidP="00BD359E">
      <w:pPr>
        <w:rPr>
          <w:rFonts w:cstheme="minorHAnsi"/>
        </w:rPr>
      </w:pPr>
    </w:p>
    <w:p w14:paraId="10B0003F" w14:textId="4B062350" w:rsidR="00E96BB5" w:rsidRDefault="00E96BB5" w:rsidP="00BD359E">
      <w:pPr>
        <w:rPr>
          <w:rFonts w:cstheme="minorHAnsi"/>
        </w:rPr>
      </w:pPr>
    </w:p>
    <w:p w14:paraId="45859744" w14:textId="3108F86D" w:rsidR="00E96BB5" w:rsidRDefault="00E96BB5" w:rsidP="00BD359E">
      <w:pPr>
        <w:rPr>
          <w:rFonts w:cstheme="minorHAnsi"/>
        </w:rPr>
      </w:pPr>
    </w:p>
    <w:p w14:paraId="402F3694" w14:textId="6E4DA275" w:rsidR="00E96BB5" w:rsidRDefault="00E96BB5" w:rsidP="00BD359E">
      <w:pPr>
        <w:rPr>
          <w:rFonts w:cstheme="minorHAnsi"/>
        </w:rPr>
      </w:pPr>
    </w:p>
    <w:p w14:paraId="335E426A" w14:textId="4226A32A" w:rsidR="00E96BB5" w:rsidRDefault="00E96BB5" w:rsidP="00BD359E">
      <w:pPr>
        <w:rPr>
          <w:rFonts w:cstheme="minorHAnsi"/>
        </w:rPr>
      </w:pPr>
    </w:p>
    <w:p w14:paraId="5F4E671C" w14:textId="5DD689BE" w:rsidR="00E96BB5" w:rsidRDefault="00E96BB5" w:rsidP="00BD359E">
      <w:pPr>
        <w:rPr>
          <w:rFonts w:cstheme="minorHAnsi"/>
        </w:rPr>
      </w:pPr>
    </w:p>
    <w:p w14:paraId="0A6F1F6F" w14:textId="64159DE5" w:rsidR="00E96BB5" w:rsidRDefault="00E96BB5" w:rsidP="00BD359E">
      <w:pPr>
        <w:rPr>
          <w:rFonts w:cstheme="minorHAnsi"/>
        </w:rPr>
      </w:pPr>
    </w:p>
    <w:p w14:paraId="2C57395A" w14:textId="293FFF66" w:rsidR="00E96BB5" w:rsidRDefault="00E96BB5" w:rsidP="00BD359E">
      <w:pPr>
        <w:rPr>
          <w:rFonts w:cstheme="minorHAnsi"/>
        </w:rPr>
      </w:pPr>
    </w:p>
    <w:p w14:paraId="1735AD65" w14:textId="77777777" w:rsidR="00E96BB5" w:rsidRDefault="00E96BB5" w:rsidP="00BD359E">
      <w:pPr>
        <w:rPr>
          <w:rFonts w:cstheme="minorHAnsi"/>
        </w:rPr>
      </w:pPr>
    </w:p>
    <w:tbl>
      <w:tblPr>
        <w:tblStyle w:val="TableGrid"/>
        <w:tblW w:w="0" w:type="auto"/>
        <w:tblLook w:val="04A0" w:firstRow="1" w:lastRow="0" w:firstColumn="1" w:lastColumn="0" w:noHBand="0" w:noVBand="1"/>
      </w:tblPr>
      <w:tblGrid>
        <w:gridCol w:w="3329"/>
        <w:gridCol w:w="495"/>
        <w:gridCol w:w="495"/>
        <w:gridCol w:w="606"/>
        <w:gridCol w:w="495"/>
        <w:gridCol w:w="495"/>
        <w:gridCol w:w="495"/>
        <w:gridCol w:w="495"/>
        <w:gridCol w:w="383"/>
      </w:tblGrid>
      <w:tr w:rsidR="004B5ACD" w:rsidRPr="004B5ACD" w14:paraId="1C330934" w14:textId="77777777" w:rsidTr="00E96BB5">
        <w:tc>
          <w:tcPr>
            <w:tcW w:w="0" w:type="auto"/>
            <w:hideMark/>
          </w:tcPr>
          <w:p w14:paraId="16E59E55"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lastRenderedPageBreak/>
              <w:t> </w:t>
            </w:r>
          </w:p>
        </w:tc>
        <w:tc>
          <w:tcPr>
            <w:tcW w:w="0" w:type="auto"/>
            <w:hideMark/>
          </w:tcPr>
          <w:p w14:paraId="01F7E1BF" w14:textId="77777777" w:rsidR="004B5ACD" w:rsidRPr="004B5ACD" w:rsidRDefault="004B5ACD" w:rsidP="004B5ACD">
            <w:pPr>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1D9C1F13" w14:textId="77777777" w:rsidR="004B5ACD" w:rsidRPr="004B5ACD" w:rsidRDefault="004B5ACD" w:rsidP="004B5ACD">
            <w:pPr>
              <w:jc w:val="center"/>
              <w:rPr>
                <w:rFonts w:ascii="Arial" w:eastAsia="Times New Roman" w:hAnsi="Arial" w:cs="Arial"/>
                <w:color w:val="000000"/>
                <w:sz w:val="20"/>
                <w:szCs w:val="20"/>
              </w:rPr>
            </w:pPr>
            <w:r w:rsidRPr="004B5ACD">
              <w:rPr>
                <w:rFonts w:ascii="Arial" w:eastAsia="Times New Roman" w:hAnsi="Arial" w:cs="Arial"/>
                <w:color w:val="000000"/>
                <w:sz w:val="20"/>
                <w:szCs w:val="20"/>
              </w:rPr>
              <w:t>2.</w:t>
            </w:r>
          </w:p>
        </w:tc>
        <w:tc>
          <w:tcPr>
            <w:tcW w:w="0" w:type="auto"/>
            <w:hideMark/>
          </w:tcPr>
          <w:p w14:paraId="0960E8B6" w14:textId="77777777" w:rsidR="004B5ACD" w:rsidRPr="004B5ACD" w:rsidRDefault="004B5ACD" w:rsidP="004B5ACD">
            <w:pPr>
              <w:jc w:val="center"/>
              <w:rPr>
                <w:rFonts w:ascii="Arial" w:eastAsia="Times New Roman" w:hAnsi="Arial" w:cs="Arial"/>
                <w:color w:val="000000"/>
                <w:sz w:val="20"/>
                <w:szCs w:val="20"/>
              </w:rPr>
            </w:pPr>
            <w:r w:rsidRPr="004B5ACD">
              <w:rPr>
                <w:rFonts w:ascii="Arial" w:eastAsia="Times New Roman" w:hAnsi="Arial" w:cs="Arial"/>
                <w:color w:val="000000"/>
                <w:sz w:val="20"/>
                <w:szCs w:val="20"/>
              </w:rPr>
              <w:t>3.</w:t>
            </w:r>
          </w:p>
        </w:tc>
        <w:tc>
          <w:tcPr>
            <w:tcW w:w="0" w:type="auto"/>
            <w:hideMark/>
          </w:tcPr>
          <w:p w14:paraId="65CC3933" w14:textId="77777777" w:rsidR="004B5ACD" w:rsidRPr="004B5ACD" w:rsidRDefault="004B5ACD" w:rsidP="004B5ACD">
            <w:pPr>
              <w:jc w:val="center"/>
              <w:rPr>
                <w:rFonts w:ascii="Arial" w:eastAsia="Times New Roman" w:hAnsi="Arial" w:cs="Arial"/>
                <w:color w:val="000000"/>
                <w:sz w:val="20"/>
                <w:szCs w:val="20"/>
              </w:rPr>
            </w:pPr>
            <w:r w:rsidRPr="004B5ACD">
              <w:rPr>
                <w:rFonts w:ascii="Arial" w:eastAsia="Times New Roman" w:hAnsi="Arial" w:cs="Arial"/>
                <w:color w:val="000000"/>
                <w:sz w:val="20"/>
                <w:szCs w:val="20"/>
              </w:rPr>
              <w:t>4.</w:t>
            </w:r>
          </w:p>
        </w:tc>
        <w:tc>
          <w:tcPr>
            <w:tcW w:w="0" w:type="auto"/>
            <w:hideMark/>
          </w:tcPr>
          <w:p w14:paraId="66BB4460" w14:textId="77777777" w:rsidR="004B5ACD" w:rsidRPr="004B5ACD" w:rsidRDefault="004B5ACD" w:rsidP="004B5ACD">
            <w:pPr>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w:t>
            </w:r>
          </w:p>
        </w:tc>
        <w:tc>
          <w:tcPr>
            <w:tcW w:w="0" w:type="auto"/>
            <w:hideMark/>
          </w:tcPr>
          <w:p w14:paraId="393AF177" w14:textId="77777777" w:rsidR="004B5ACD" w:rsidRPr="004B5ACD" w:rsidRDefault="004B5ACD" w:rsidP="004B5ACD">
            <w:pPr>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w:t>
            </w:r>
          </w:p>
        </w:tc>
        <w:tc>
          <w:tcPr>
            <w:tcW w:w="0" w:type="auto"/>
            <w:hideMark/>
          </w:tcPr>
          <w:p w14:paraId="254E2CDC" w14:textId="77777777" w:rsidR="004B5ACD" w:rsidRPr="004B5ACD" w:rsidRDefault="004B5ACD" w:rsidP="004B5ACD">
            <w:pPr>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w:t>
            </w:r>
          </w:p>
        </w:tc>
        <w:tc>
          <w:tcPr>
            <w:tcW w:w="0" w:type="auto"/>
            <w:hideMark/>
          </w:tcPr>
          <w:p w14:paraId="431BCA77" w14:textId="77777777" w:rsidR="004B5ACD" w:rsidRPr="004B5ACD" w:rsidRDefault="004B5ACD" w:rsidP="004B5ACD">
            <w:pPr>
              <w:jc w:val="center"/>
              <w:rPr>
                <w:rFonts w:ascii="Arial" w:eastAsia="Times New Roman" w:hAnsi="Arial" w:cs="Arial"/>
                <w:color w:val="000000"/>
                <w:sz w:val="20"/>
                <w:szCs w:val="20"/>
              </w:rPr>
            </w:pPr>
            <w:r w:rsidRPr="004B5ACD">
              <w:rPr>
                <w:rFonts w:ascii="Arial" w:eastAsia="Times New Roman" w:hAnsi="Arial" w:cs="Arial"/>
                <w:color w:val="000000"/>
                <w:sz w:val="20"/>
                <w:szCs w:val="20"/>
              </w:rPr>
              <w:t>8.</w:t>
            </w:r>
          </w:p>
        </w:tc>
      </w:tr>
      <w:tr w:rsidR="00186586" w:rsidRPr="004B5ACD" w14:paraId="0913CF7E" w14:textId="77777777" w:rsidTr="006514D5">
        <w:tc>
          <w:tcPr>
            <w:tcW w:w="0" w:type="auto"/>
            <w:hideMark/>
          </w:tcPr>
          <w:p w14:paraId="6F2C5583" w14:textId="589A13D5" w:rsidR="00186586" w:rsidRPr="004B5ACD" w:rsidRDefault="00186586"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All 8 factors</w:t>
            </w:r>
          </w:p>
        </w:tc>
        <w:tc>
          <w:tcPr>
            <w:tcW w:w="0" w:type="auto"/>
          </w:tcPr>
          <w:p w14:paraId="5B945F7F" w14:textId="77777777" w:rsidR="00186586" w:rsidRPr="004B5ACD" w:rsidRDefault="00186586" w:rsidP="004B5ACD">
            <w:pPr>
              <w:spacing w:line="240" w:lineRule="atLeast"/>
              <w:rPr>
                <w:rFonts w:ascii="Arial" w:eastAsia="Times New Roman" w:hAnsi="Arial" w:cs="Arial"/>
                <w:color w:val="000000"/>
                <w:sz w:val="20"/>
                <w:szCs w:val="20"/>
              </w:rPr>
            </w:pPr>
          </w:p>
        </w:tc>
        <w:tc>
          <w:tcPr>
            <w:tcW w:w="0" w:type="auto"/>
          </w:tcPr>
          <w:p w14:paraId="66207B9A" w14:textId="77777777" w:rsidR="00186586" w:rsidRPr="004B5ACD" w:rsidRDefault="00186586" w:rsidP="004B5ACD">
            <w:pPr>
              <w:spacing w:line="240" w:lineRule="atLeast"/>
              <w:rPr>
                <w:rFonts w:ascii="Arial" w:eastAsia="Times New Roman" w:hAnsi="Arial" w:cs="Arial"/>
                <w:color w:val="000000"/>
                <w:sz w:val="20"/>
                <w:szCs w:val="20"/>
              </w:rPr>
            </w:pPr>
          </w:p>
        </w:tc>
        <w:tc>
          <w:tcPr>
            <w:tcW w:w="0" w:type="auto"/>
          </w:tcPr>
          <w:p w14:paraId="0732B571" w14:textId="77777777" w:rsidR="00186586" w:rsidRPr="004B5ACD" w:rsidRDefault="00186586" w:rsidP="004B5ACD">
            <w:pPr>
              <w:spacing w:line="240" w:lineRule="atLeast"/>
              <w:rPr>
                <w:rFonts w:ascii="Arial" w:eastAsia="Times New Roman" w:hAnsi="Arial" w:cs="Arial"/>
                <w:color w:val="000000"/>
                <w:sz w:val="20"/>
                <w:szCs w:val="20"/>
              </w:rPr>
            </w:pPr>
          </w:p>
        </w:tc>
        <w:tc>
          <w:tcPr>
            <w:tcW w:w="0" w:type="auto"/>
          </w:tcPr>
          <w:p w14:paraId="12D986EB" w14:textId="2512C175" w:rsidR="00186586" w:rsidRPr="004B5ACD" w:rsidRDefault="00186586" w:rsidP="004B5ACD">
            <w:pPr>
              <w:spacing w:line="240" w:lineRule="atLeast"/>
              <w:rPr>
                <w:rFonts w:ascii="Arial" w:eastAsia="Times New Roman" w:hAnsi="Arial" w:cs="Arial"/>
                <w:color w:val="000000"/>
                <w:sz w:val="20"/>
                <w:szCs w:val="20"/>
              </w:rPr>
            </w:pPr>
          </w:p>
        </w:tc>
        <w:tc>
          <w:tcPr>
            <w:tcW w:w="0" w:type="auto"/>
          </w:tcPr>
          <w:p w14:paraId="3E199BD8" w14:textId="77777777" w:rsidR="00186586" w:rsidRPr="004B5ACD" w:rsidRDefault="00186586" w:rsidP="004B5ACD">
            <w:pPr>
              <w:spacing w:line="240" w:lineRule="atLeast"/>
              <w:rPr>
                <w:rFonts w:ascii="Arial" w:eastAsia="Times New Roman" w:hAnsi="Arial" w:cs="Arial"/>
                <w:color w:val="000000"/>
                <w:sz w:val="20"/>
                <w:szCs w:val="20"/>
              </w:rPr>
            </w:pPr>
          </w:p>
        </w:tc>
        <w:tc>
          <w:tcPr>
            <w:tcW w:w="0" w:type="auto"/>
          </w:tcPr>
          <w:p w14:paraId="777C8954" w14:textId="77777777" w:rsidR="00186586" w:rsidRPr="004B5ACD" w:rsidRDefault="00186586" w:rsidP="004B5ACD">
            <w:pPr>
              <w:spacing w:line="240" w:lineRule="atLeast"/>
              <w:rPr>
                <w:rFonts w:ascii="Arial" w:eastAsia="Times New Roman" w:hAnsi="Arial" w:cs="Arial"/>
                <w:color w:val="000000"/>
                <w:sz w:val="20"/>
                <w:szCs w:val="20"/>
              </w:rPr>
            </w:pPr>
          </w:p>
        </w:tc>
        <w:tc>
          <w:tcPr>
            <w:tcW w:w="0" w:type="auto"/>
          </w:tcPr>
          <w:p w14:paraId="7FAD4FE0" w14:textId="77777777" w:rsidR="00186586" w:rsidRPr="004B5ACD" w:rsidRDefault="00186586" w:rsidP="004B5ACD">
            <w:pPr>
              <w:spacing w:line="240" w:lineRule="atLeast"/>
              <w:rPr>
                <w:rFonts w:ascii="Arial" w:eastAsia="Times New Roman" w:hAnsi="Arial" w:cs="Arial"/>
                <w:color w:val="000000"/>
                <w:sz w:val="20"/>
                <w:szCs w:val="20"/>
              </w:rPr>
            </w:pPr>
          </w:p>
        </w:tc>
        <w:tc>
          <w:tcPr>
            <w:tcW w:w="0" w:type="auto"/>
          </w:tcPr>
          <w:p w14:paraId="6CF4DECA" w14:textId="1391BB4C" w:rsidR="00186586" w:rsidRPr="004B5ACD" w:rsidRDefault="00186586" w:rsidP="004B5ACD">
            <w:pPr>
              <w:spacing w:line="240" w:lineRule="atLeast"/>
              <w:rPr>
                <w:rFonts w:ascii="Arial" w:eastAsia="Times New Roman" w:hAnsi="Arial" w:cs="Arial"/>
                <w:color w:val="000000"/>
                <w:sz w:val="20"/>
                <w:szCs w:val="20"/>
              </w:rPr>
            </w:pPr>
          </w:p>
        </w:tc>
      </w:tr>
      <w:tr w:rsidR="004B5ACD" w:rsidRPr="004B5ACD" w14:paraId="2D46EC0F" w14:textId="77777777" w:rsidTr="00E96BB5">
        <w:tc>
          <w:tcPr>
            <w:tcW w:w="0" w:type="auto"/>
            <w:hideMark/>
          </w:tcPr>
          <w:p w14:paraId="580BBBA9"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1. Physical functioning</w:t>
            </w:r>
          </w:p>
        </w:tc>
        <w:tc>
          <w:tcPr>
            <w:tcW w:w="0" w:type="auto"/>
            <w:hideMark/>
          </w:tcPr>
          <w:p w14:paraId="552B26A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7376897D"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258582CA"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DF734F6"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FB76FF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B4F7C8D"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369DF93"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FB2E6A4"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27A132EB" w14:textId="77777777" w:rsidTr="00E96BB5">
        <w:tc>
          <w:tcPr>
            <w:tcW w:w="0" w:type="auto"/>
            <w:hideMark/>
          </w:tcPr>
          <w:p w14:paraId="14DAC40F"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2. Role limits—Physical problems</w:t>
            </w:r>
          </w:p>
        </w:tc>
        <w:tc>
          <w:tcPr>
            <w:tcW w:w="0" w:type="auto"/>
            <w:hideMark/>
          </w:tcPr>
          <w:p w14:paraId="27A0274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.66</w:t>
            </w:r>
          </w:p>
        </w:tc>
        <w:tc>
          <w:tcPr>
            <w:tcW w:w="0" w:type="auto"/>
            <w:hideMark/>
          </w:tcPr>
          <w:p w14:paraId="4610831F"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0283276A"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7C8BB73D"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701A60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354B7007"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2A157E55"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59C48CA"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64CD4335" w14:textId="77777777" w:rsidTr="00E96BB5">
        <w:tc>
          <w:tcPr>
            <w:tcW w:w="0" w:type="auto"/>
            <w:hideMark/>
          </w:tcPr>
          <w:p w14:paraId="6E2B2A6C"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3. Bodily pain</w:t>
            </w:r>
          </w:p>
        </w:tc>
        <w:tc>
          <w:tcPr>
            <w:tcW w:w="0" w:type="auto"/>
            <w:hideMark/>
          </w:tcPr>
          <w:p w14:paraId="0907754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.62</w:t>
            </w:r>
          </w:p>
        </w:tc>
        <w:tc>
          <w:tcPr>
            <w:tcW w:w="0" w:type="auto"/>
            <w:hideMark/>
          </w:tcPr>
          <w:p w14:paraId="7E2A40E9"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.74</w:t>
            </w:r>
          </w:p>
        </w:tc>
        <w:tc>
          <w:tcPr>
            <w:tcW w:w="0" w:type="auto"/>
            <w:hideMark/>
          </w:tcPr>
          <w:p w14:paraId="360925F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1802C110"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3CB5431A"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0DC1071"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56F8A47"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318ADB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30ADF737" w14:textId="77777777" w:rsidTr="00E96BB5">
        <w:tc>
          <w:tcPr>
            <w:tcW w:w="0" w:type="auto"/>
            <w:hideMark/>
          </w:tcPr>
          <w:p w14:paraId="31984084"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4. General health</w:t>
            </w:r>
          </w:p>
        </w:tc>
        <w:tc>
          <w:tcPr>
            <w:tcW w:w="0" w:type="auto"/>
            <w:hideMark/>
          </w:tcPr>
          <w:p w14:paraId="38EFE6E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.67</w:t>
            </w:r>
          </w:p>
        </w:tc>
        <w:tc>
          <w:tcPr>
            <w:tcW w:w="0" w:type="auto"/>
            <w:hideMark/>
          </w:tcPr>
          <w:p w14:paraId="6679719F"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.59</w:t>
            </w:r>
          </w:p>
        </w:tc>
        <w:tc>
          <w:tcPr>
            <w:tcW w:w="0" w:type="auto"/>
            <w:hideMark/>
          </w:tcPr>
          <w:p w14:paraId="5C08D4D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.59</w:t>
            </w:r>
          </w:p>
        </w:tc>
        <w:tc>
          <w:tcPr>
            <w:tcW w:w="0" w:type="auto"/>
            <w:hideMark/>
          </w:tcPr>
          <w:p w14:paraId="59D98A5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099D8786"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7B64D793"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6AF0F92"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4F546E7"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3292503F" w14:textId="77777777" w:rsidTr="00E96BB5">
        <w:tc>
          <w:tcPr>
            <w:tcW w:w="0" w:type="auto"/>
            <w:hideMark/>
          </w:tcPr>
          <w:p w14:paraId="1CF1D705"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5. Energy/fatigue</w:t>
            </w:r>
          </w:p>
        </w:tc>
        <w:tc>
          <w:tcPr>
            <w:tcW w:w="0" w:type="auto"/>
            <w:hideMark/>
          </w:tcPr>
          <w:p w14:paraId="04D28CB9"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.58</w:t>
            </w:r>
          </w:p>
        </w:tc>
        <w:tc>
          <w:tcPr>
            <w:tcW w:w="0" w:type="auto"/>
            <w:hideMark/>
          </w:tcPr>
          <w:p w14:paraId="1C6D47A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.55</w:t>
            </w:r>
          </w:p>
        </w:tc>
        <w:tc>
          <w:tcPr>
            <w:tcW w:w="0" w:type="auto"/>
            <w:hideMark/>
          </w:tcPr>
          <w:p w14:paraId="2761F50F"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.61</w:t>
            </w:r>
          </w:p>
        </w:tc>
        <w:tc>
          <w:tcPr>
            <w:tcW w:w="0" w:type="auto"/>
            <w:hideMark/>
          </w:tcPr>
          <w:p w14:paraId="740306CE"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.65</w:t>
            </w:r>
          </w:p>
        </w:tc>
        <w:tc>
          <w:tcPr>
            <w:tcW w:w="0" w:type="auto"/>
            <w:hideMark/>
          </w:tcPr>
          <w:p w14:paraId="3328FC2E"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465F478E"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048DA11"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5E2A2F5"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1227B841" w14:textId="77777777" w:rsidTr="00E96BB5">
        <w:tc>
          <w:tcPr>
            <w:tcW w:w="0" w:type="auto"/>
            <w:hideMark/>
          </w:tcPr>
          <w:p w14:paraId="321D400D"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6. Social functioning</w:t>
            </w:r>
          </w:p>
        </w:tc>
        <w:tc>
          <w:tcPr>
            <w:tcW w:w="0" w:type="auto"/>
            <w:hideMark/>
          </w:tcPr>
          <w:p w14:paraId="272F1149"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.65</w:t>
            </w:r>
          </w:p>
        </w:tc>
        <w:tc>
          <w:tcPr>
            <w:tcW w:w="0" w:type="auto"/>
            <w:hideMark/>
          </w:tcPr>
          <w:p w14:paraId="53B6D9D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.86</w:t>
            </w:r>
          </w:p>
        </w:tc>
        <w:tc>
          <w:tcPr>
            <w:tcW w:w="0" w:type="auto"/>
            <w:hideMark/>
          </w:tcPr>
          <w:p w14:paraId="28CFC90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b/>
                <w:bCs/>
                <w:color w:val="000000"/>
                <w:sz w:val="20"/>
                <w:szCs w:val="20"/>
              </w:rPr>
              <w:t>1.04</w:t>
            </w:r>
          </w:p>
        </w:tc>
        <w:tc>
          <w:tcPr>
            <w:tcW w:w="0" w:type="auto"/>
            <w:hideMark/>
          </w:tcPr>
          <w:p w14:paraId="4660B730"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.89</w:t>
            </w:r>
          </w:p>
        </w:tc>
        <w:tc>
          <w:tcPr>
            <w:tcW w:w="0" w:type="auto"/>
            <w:hideMark/>
          </w:tcPr>
          <w:p w14:paraId="0760808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.90</w:t>
            </w:r>
          </w:p>
        </w:tc>
        <w:tc>
          <w:tcPr>
            <w:tcW w:w="0" w:type="auto"/>
            <w:hideMark/>
          </w:tcPr>
          <w:p w14:paraId="1C2ECD6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4A8B8C0A"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688335F"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2C51EB7A" w14:textId="77777777" w:rsidTr="00E96BB5">
        <w:tc>
          <w:tcPr>
            <w:tcW w:w="0" w:type="auto"/>
            <w:hideMark/>
          </w:tcPr>
          <w:p w14:paraId="18D448F1"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7. Role limits—Emotional problems</w:t>
            </w:r>
          </w:p>
        </w:tc>
        <w:tc>
          <w:tcPr>
            <w:tcW w:w="0" w:type="auto"/>
            <w:hideMark/>
          </w:tcPr>
          <w:p w14:paraId="22FF094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.71</w:t>
            </w:r>
          </w:p>
        </w:tc>
        <w:tc>
          <w:tcPr>
            <w:tcW w:w="0" w:type="auto"/>
            <w:hideMark/>
          </w:tcPr>
          <w:p w14:paraId="2D141727"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.95</w:t>
            </w:r>
          </w:p>
        </w:tc>
        <w:tc>
          <w:tcPr>
            <w:tcW w:w="0" w:type="auto"/>
            <w:hideMark/>
          </w:tcPr>
          <w:p w14:paraId="76C900A4"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.86</w:t>
            </w:r>
          </w:p>
        </w:tc>
        <w:tc>
          <w:tcPr>
            <w:tcW w:w="0" w:type="auto"/>
            <w:hideMark/>
          </w:tcPr>
          <w:p w14:paraId="182A8CB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.56</w:t>
            </w:r>
          </w:p>
        </w:tc>
        <w:tc>
          <w:tcPr>
            <w:tcW w:w="0" w:type="auto"/>
            <w:hideMark/>
          </w:tcPr>
          <w:p w14:paraId="3365FD90"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.70</w:t>
            </w:r>
          </w:p>
        </w:tc>
        <w:tc>
          <w:tcPr>
            <w:tcW w:w="0" w:type="auto"/>
            <w:hideMark/>
          </w:tcPr>
          <w:p w14:paraId="6ABD3B0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.94</w:t>
            </w:r>
          </w:p>
        </w:tc>
        <w:tc>
          <w:tcPr>
            <w:tcW w:w="0" w:type="auto"/>
            <w:hideMark/>
          </w:tcPr>
          <w:p w14:paraId="788F5555"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2DC9A87F"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67960704" w14:textId="77777777" w:rsidTr="00E96BB5">
        <w:tc>
          <w:tcPr>
            <w:tcW w:w="0" w:type="auto"/>
            <w:hideMark/>
          </w:tcPr>
          <w:p w14:paraId="5DC36AE7"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8. Emotional well-being</w:t>
            </w:r>
          </w:p>
        </w:tc>
        <w:tc>
          <w:tcPr>
            <w:tcW w:w="0" w:type="auto"/>
            <w:hideMark/>
          </w:tcPr>
          <w:p w14:paraId="2CE919F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.34</w:t>
            </w:r>
          </w:p>
        </w:tc>
        <w:tc>
          <w:tcPr>
            <w:tcW w:w="0" w:type="auto"/>
            <w:hideMark/>
          </w:tcPr>
          <w:p w14:paraId="0596618B"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.52</w:t>
            </w:r>
          </w:p>
        </w:tc>
        <w:tc>
          <w:tcPr>
            <w:tcW w:w="0" w:type="auto"/>
            <w:hideMark/>
          </w:tcPr>
          <w:p w14:paraId="7528BD2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.62</w:t>
            </w:r>
          </w:p>
        </w:tc>
        <w:tc>
          <w:tcPr>
            <w:tcW w:w="0" w:type="auto"/>
            <w:hideMark/>
          </w:tcPr>
          <w:p w14:paraId="36EE6394"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.64</w:t>
            </w:r>
          </w:p>
        </w:tc>
        <w:tc>
          <w:tcPr>
            <w:tcW w:w="0" w:type="auto"/>
            <w:hideMark/>
          </w:tcPr>
          <w:p w14:paraId="726F04E5"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.77</w:t>
            </w:r>
          </w:p>
        </w:tc>
        <w:tc>
          <w:tcPr>
            <w:tcW w:w="0" w:type="auto"/>
            <w:hideMark/>
          </w:tcPr>
          <w:p w14:paraId="281BC71E"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.94</w:t>
            </w:r>
          </w:p>
        </w:tc>
        <w:tc>
          <w:tcPr>
            <w:tcW w:w="0" w:type="auto"/>
            <w:hideMark/>
          </w:tcPr>
          <w:p w14:paraId="4CB2A28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.77</w:t>
            </w:r>
          </w:p>
        </w:tc>
        <w:tc>
          <w:tcPr>
            <w:tcW w:w="0" w:type="auto"/>
            <w:hideMark/>
          </w:tcPr>
          <w:p w14:paraId="7C125D6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r>
      <w:tr w:rsidR="00FE15F8" w:rsidRPr="004B5ACD" w14:paraId="422270F7" w14:textId="77777777" w:rsidTr="006514D5">
        <w:tc>
          <w:tcPr>
            <w:tcW w:w="0" w:type="auto"/>
            <w:hideMark/>
          </w:tcPr>
          <w:p w14:paraId="5FD6E4EC" w14:textId="4A261781" w:rsidR="00FE15F8" w:rsidRPr="004B5ACD" w:rsidRDefault="00FE15F8"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No bodily pain</w:t>
            </w:r>
          </w:p>
        </w:tc>
        <w:tc>
          <w:tcPr>
            <w:tcW w:w="0" w:type="auto"/>
          </w:tcPr>
          <w:p w14:paraId="5219214D" w14:textId="77777777" w:rsidR="00FE15F8" w:rsidRPr="004B5ACD" w:rsidRDefault="00FE15F8" w:rsidP="004B5ACD">
            <w:pPr>
              <w:spacing w:line="240" w:lineRule="atLeast"/>
              <w:rPr>
                <w:rFonts w:ascii="Arial" w:eastAsia="Times New Roman" w:hAnsi="Arial" w:cs="Arial"/>
                <w:color w:val="000000"/>
                <w:sz w:val="20"/>
                <w:szCs w:val="20"/>
              </w:rPr>
            </w:pPr>
          </w:p>
        </w:tc>
        <w:tc>
          <w:tcPr>
            <w:tcW w:w="0" w:type="auto"/>
          </w:tcPr>
          <w:p w14:paraId="4409AED4" w14:textId="77777777" w:rsidR="00FE15F8" w:rsidRPr="004B5ACD" w:rsidRDefault="00FE15F8" w:rsidP="004B5ACD">
            <w:pPr>
              <w:spacing w:line="240" w:lineRule="atLeast"/>
              <w:rPr>
                <w:rFonts w:ascii="Arial" w:eastAsia="Times New Roman" w:hAnsi="Arial" w:cs="Arial"/>
                <w:color w:val="000000"/>
                <w:sz w:val="20"/>
                <w:szCs w:val="20"/>
              </w:rPr>
            </w:pPr>
          </w:p>
        </w:tc>
        <w:tc>
          <w:tcPr>
            <w:tcW w:w="0" w:type="auto"/>
          </w:tcPr>
          <w:p w14:paraId="4284C92A" w14:textId="77777777" w:rsidR="00FE15F8" w:rsidRPr="004B5ACD" w:rsidRDefault="00FE15F8" w:rsidP="004B5ACD">
            <w:pPr>
              <w:spacing w:line="240" w:lineRule="atLeast"/>
              <w:rPr>
                <w:rFonts w:ascii="Arial" w:eastAsia="Times New Roman" w:hAnsi="Arial" w:cs="Arial"/>
                <w:color w:val="000000"/>
                <w:sz w:val="20"/>
                <w:szCs w:val="20"/>
              </w:rPr>
            </w:pPr>
          </w:p>
        </w:tc>
        <w:tc>
          <w:tcPr>
            <w:tcW w:w="0" w:type="auto"/>
          </w:tcPr>
          <w:p w14:paraId="291F7292" w14:textId="7C2C2162" w:rsidR="00FE15F8" w:rsidRPr="004B5ACD" w:rsidRDefault="00FE15F8" w:rsidP="004B5ACD">
            <w:pPr>
              <w:spacing w:line="240" w:lineRule="atLeast"/>
              <w:rPr>
                <w:rFonts w:ascii="Arial" w:eastAsia="Times New Roman" w:hAnsi="Arial" w:cs="Arial"/>
                <w:color w:val="000000"/>
                <w:sz w:val="20"/>
                <w:szCs w:val="20"/>
              </w:rPr>
            </w:pPr>
          </w:p>
        </w:tc>
        <w:tc>
          <w:tcPr>
            <w:tcW w:w="0" w:type="auto"/>
          </w:tcPr>
          <w:p w14:paraId="367B1E96" w14:textId="77777777" w:rsidR="00FE15F8" w:rsidRPr="004B5ACD" w:rsidRDefault="00FE15F8" w:rsidP="004B5ACD">
            <w:pPr>
              <w:spacing w:line="240" w:lineRule="atLeast"/>
              <w:rPr>
                <w:rFonts w:ascii="Arial" w:eastAsia="Times New Roman" w:hAnsi="Arial" w:cs="Arial"/>
                <w:color w:val="000000"/>
                <w:sz w:val="20"/>
                <w:szCs w:val="20"/>
              </w:rPr>
            </w:pPr>
          </w:p>
        </w:tc>
        <w:tc>
          <w:tcPr>
            <w:tcW w:w="0" w:type="auto"/>
          </w:tcPr>
          <w:p w14:paraId="2C512846" w14:textId="77777777" w:rsidR="00FE15F8" w:rsidRPr="004B5ACD" w:rsidRDefault="00FE15F8" w:rsidP="004B5ACD">
            <w:pPr>
              <w:spacing w:line="240" w:lineRule="atLeast"/>
              <w:rPr>
                <w:rFonts w:ascii="Arial" w:eastAsia="Times New Roman" w:hAnsi="Arial" w:cs="Arial"/>
                <w:color w:val="000000"/>
                <w:sz w:val="20"/>
                <w:szCs w:val="20"/>
              </w:rPr>
            </w:pPr>
          </w:p>
        </w:tc>
        <w:tc>
          <w:tcPr>
            <w:tcW w:w="0" w:type="auto"/>
          </w:tcPr>
          <w:p w14:paraId="4082DFB8" w14:textId="77777777" w:rsidR="00FE15F8" w:rsidRPr="004B5ACD" w:rsidRDefault="00FE15F8" w:rsidP="004B5ACD">
            <w:pPr>
              <w:spacing w:line="240" w:lineRule="atLeast"/>
              <w:rPr>
                <w:rFonts w:ascii="Arial" w:eastAsia="Times New Roman" w:hAnsi="Arial" w:cs="Arial"/>
                <w:color w:val="000000"/>
                <w:sz w:val="20"/>
                <w:szCs w:val="20"/>
              </w:rPr>
            </w:pPr>
          </w:p>
        </w:tc>
        <w:tc>
          <w:tcPr>
            <w:tcW w:w="0" w:type="auto"/>
          </w:tcPr>
          <w:p w14:paraId="01981320" w14:textId="749EE386" w:rsidR="00FE15F8" w:rsidRPr="004B5ACD" w:rsidRDefault="00FE15F8" w:rsidP="004B5ACD">
            <w:pPr>
              <w:spacing w:line="240" w:lineRule="atLeast"/>
              <w:rPr>
                <w:rFonts w:ascii="Arial" w:eastAsia="Times New Roman" w:hAnsi="Arial" w:cs="Arial"/>
                <w:color w:val="000000"/>
                <w:sz w:val="20"/>
                <w:szCs w:val="20"/>
              </w:rPr>
            </w:pPr>
          </w:p>
        </w:tc>
      </w:tr>
      <w:tr w:rsidR="004B5ACD" w:rsidRPr="004B5ACD" w14:paraId="1CB49A76" w14:textId="77777777" w:rsidTr="00E96BB5">
        <w:tc>
          <w:tcPr>
            <w:tcW w:w="0" w:type="auto"/>
            <w:hideMark/>
          </w:tcPr>
          <w:p w14:paraId="3E54925E"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1. Physical functioning</w:t>
            </w:r>
          </w:p>
        </w:tc>
        <w:tc>
          <w:tcPr>
            <w:tcW w:w="0" w:type="auto"/>
            <w:hideMark/>
          </w:tcPr>
          <w:p w14:paraId="4D7FEEE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3FFCC3B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EED65B3"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4636788"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487AEA4"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4438212"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CE1EB1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204C98A"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4AC05D46" w14:textId="77777777" w:rsidTr="00E96BB5">
        <w:tc>
          <w:tcPr>
            <w:tcW w:w="0" w:type="auto"/>
            <w:hideMark/>
          </w:tcPr>
          <w:p w14:paraId="579666D9"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2. Role limits—Physical problems</w:t>
            </w:r>
          </w:p>
        </w:tc>
        <w:tc>
          <w:tcPr>
            <w:tcW w:w="0" w:type="auto"/>
            <w:hideMark/>
          </w:tcPr>
          <w:p w14:paraId="3FF485B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.66</w:t>
            </w:r>
          </w:p>
        </w:tc>
        <w:tc>
          <w:tcPr>
            <w:tcW w:w="0" w:type="auto"/>
            <w:hideMark/>
          </w:tcPr>
          <w:p w14:paraId="22B9E8F7"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512B0367"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7A2E5EAE"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FF3385D"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0C62B11"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D6EF881"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454031B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40994697" w14:textId="77777777" w:rsidTr="00E96BB5">
        <w:tc>
          <w:tcPr>
            <w:tcW w:w="0" w:type="auto"/>
            <w:hideMark/>
          </w:tcPr>
          <w:p w14:paraId="50C722D1"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3. Bodily pain</w:t>
            </w:r>
          </w:p>
        </w:tc>
        <w:tc>
          <w:tcPr>
            <w:tcW w:w="0" w:type="auto"/>
            <w:hideMark/>
          </w:tcPr>
          <w:p w14:paraId="028F8458"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56D4E455"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40486BD8"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355E1B94"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7654DBFF"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3088C0AC"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95443DB"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0BBD2F9"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0D436355" w14:textId="77777777" w:rsidTr="00E96BB5">
        <w:tc>
          <w:tcPr>
            <w:tcW w:w="0" w:type="auto"/>
            <w:hideMark/>
          </w:tcPr>
          <w:p w14:paraId="5335E82C"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4. General health</w:t>
            </w:r>
          </w:p>
        </w:tc>
        <w:tc>
          <w:tcPr>
            <w:tcW w:w="0" w:type="auto"/>
            <w:hideMark/>
          </w:tcPr>
          <w:p w14:paraId="5618B2B4"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.67</w:t>
            </w:r>
          </w:p>
        </w:tc>
        <w:tc>
          <w:tcPr>
            <w:tcW w:w="0" w:type="auto"/>
            <w:hideMark/>
          </w:tcPr>
          <w:p w14:paraId="0C8C919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.60</w:t>
            </w:r>
          </w:p>
        </w:tc>
        <w:tc>
          <w:tcPr>
            <w:tcW w:w="0" w:type="auto"/>
            <w:hideMark/>
          </w:tcPr>
          <w:p w14:paraId="07BAEEEF"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296CF17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5377FCE7"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3D2E1D3C"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2D244F2E"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4FE5D05"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6699B4A4" w14:textId="77777777" w:rsidTr="00E96BB5">
        <w:tc>
          <w:tcPr>
            <w:tcW w:w="0" w:type="auto"/>
            <w:hideMark/>
          </w:tcPr>
          <w:p w14:paraId="6D467789"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5. Energy/fatigue</w:t>
            </w:r>
          </w:p>
        </w:tc>
        <w:tc>
          <w:tcPr>
            <w:tcW w:w="0" w:type="auto"/>
            <w:hideMark/>
          </w:tcPr>
          <w:p w14:paraId="4364C3CC"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.58</w:t>
            </w:r>
          </w:p>
        </w:tc>
        <w:tc>
          <w:tcPr>
            <w:tcW w:w="0" w:type="auto"/>
            <w:hideMark/>
          </w:tcPr>
          <w:p w14:paraId="0BB83ADC"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.56</w:t>
            </w:r>
          </w:p>
        </w:tc>
        <w:tc>
          <w:tcPr>
            <w:tcW w:w="0" w:type="auto"/>
            <w:hideMark/>
          </w:tcPr>
          <w:p w14:paraId="35B6C3EB"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3F86D87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.65</w:t>
            </w:r>
          </w:p>
        </w:tc>
        <w:tc>
          <w:tcPr>
            <w:tcW w:w="0" w:type="auto"/>
            <w:hideMark/>
          </w:tcPr>
          <w:p w14:paraId="332B8C7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28B7E03C"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31222A13"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6B4F14C"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46CC5038" w14:textId="77777777" w:rsidTr="00E96BB5">
        <w:tc>
          <w:tcPr>
            <w:tcW w:w="0" w:type="auto"/>
            <w:hideMark/>
          </w:tcPr>
          <w:p w14:paraId="31B3F516"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6. Social functioning</w:t>
            </w:r>
          </w:p>
        </w:tc>
        <w:tc>
          <w:tcPr>
            <w:tcW w:w="0" w:type="auto"/>
            <w:hideMark/>
          </w:tcPr>
          <w:p w14:paraId="5FCE09FB"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.65</w:t>
            </w:r>
          </w:p>
        </w:tc>
        <w:tc>
          <w:tcPr>
            <w:tcW w:w="0" w:type="auto"/>
            <w:hideMark/>
          </w:tcPr>
          <w:p w14:paraId="7E61DCD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.86</w:t>
            </w:r>
          </w:p>
        </w:tc>
        <w:tc>
          <w:tcPr>
            <w:tcW w:w="0" w:type="auto"/>
            <w:hideMark/>
          </w:tcPr>
          <w:p w14:paraId="0B620B3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4B54C7B2"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.89</w:t>
            </w:r>
          </w:p>
        </w:tc>
        <w:tc>
          <w:tcPr>
            <w:tcW w:w="0" w:type="auto"/>
            <w:hideMark/>
          </w:tcPr>
          <w:p w14:paraId="0E7DD088"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.90</w:t>
            </w:r>
          </w:p>
        </w:tc>
        <w:tc>
          <w:tcPr>
            <w:tcW w:w="0" w:type="auto"/>
            <w:hideMark/>
          </w:tcPr>
          <w:p w14:paraId="0BB5B538"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54F5E794"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78C2087B"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42BFB97F" w14:textId="77777777" w:rsidTr="00E96BB5">
        <w:tc>
          <w:tcPr>
            <w:tcW w:w="0" w:type="auto"/>
            <w:hideMark/>
          </w:tcPr>
          <w:p w14:paraId="272E3FCC"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7. Role limits—Emotional problems</w:t>
            </w:r>
          </w:p>
        </w:tc>
        <w:tc>
          <w:tcPr>
            <w:tcW w:w="0" w:type="auto"/>
            <w:hideMark/>
          </w:tcPr>
          <w:p w14:paraId="34524B94"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.70</w:t>
            </w:r>
          </w:p>
        </w:tc>
        <w:tc>
          <w:tcPr>
            <w:tcW w:w="0" w:type="auto"/>
            <w:hideMark/>
          </w:tcPr>
          <w:p w14:paraId="542A37C5"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.96</w:t>
            </w:r>
          </w:p>
        </w:tc>
        <w:tc>
          <w:tcPr>
            <w:tcW w:w="0" w:type="auto"/>
            <w:hideMark/>
          </w:tcPr>
          <w:p w14:paraId="72AA539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0B55853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.56</w:t>
            </w:r>
          </w:p>
        </w:tc>
        <w:tc>
          <w:tcPr>
            <w:tcW w:w="0" w:type="auto"/>
            <w:hideMark/>
          </w:tcPr>
          <w:p w14:paraId="6AE4AC8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.70</w:t>
            </w:r>
          </w:p>
        </w:tc>
        <w:tc>
          <w:tcPr>
            <w:tcW w:w="0" w:type="auto"/>
            <w:hideMark/>
          </w:tcPr>
          <w:p w14:paraId="61BC9D0C"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.94</w:t>
            </w:r>
          </w:p>
        </w:tc>
        <w:tc>
          <w:tcPr>
            <w:tcW w:w="0" w:type="auto"/>
            <w:hideMark/>
          </w:tcPr>
          <w:p w14:paraId="1BE1D112"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411E4EBF"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43D557A0" w14:textId="77777777" w:rsidTr="00E96BB5">
        <w:tc>
          <w:tcPr>
            <w:tcW w:w="0" w:type="auto"/>
            <w:hideMark/>
          </w:tcPr>
          <w:p w14:paraId="503C1B3F"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8. Emotional well-being</w:t>
            </w:r>
          </w:p>
        </w:tc>
        <w:tc>
          <w:tcPr>
            <w:tcW w:w="0" w:type="auto"/>
            <w:hideMark/>
          </w:tcPr>
          <w:p w14:paraId="2CEE1F1F"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.34</w:t>
            </w:r>
          </w:p>
        </w:tc>
        <w:tc>
          <w:tcPr>
            <w:tcW w:w="0" w:type="auto"/>
            <w:hideMark/>
          </w:tcPr>
          <w:p w14:paraId="462CBCEE"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.52</w:t>
            </w:r>
          </w:p>
        </w:tc>
        <w:tc>
          <w:tcPr>
            <w:tcW w:w="0" w:type="auto"/>
            <w:hideMark/>
          </w:tcPr>
          <w:p w14:paraId="3D58DA0B"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14B19AD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.64</w:t>
            </w:r>
          </w:p>
        </w:tc>
        <w:tc>
          <w:tcPr>
            <w:tcW w:w="0" w:type="auto"/>
            <w:hideMark/>
          </w:tcPr>
          <w:p w14:paraId="7C8DB81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.77</w:t>
            </w:r>
          </w:p>
        </w:tc>
        <w:tc>
          <w:tcPr>
            <w:tcW w:w="0" w:type="auto"/>
            <w:hideMark/>
          </w:tcPr>
          <w:p w14:paraId="63DD2F7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.94</w:t>
            </w:r>
          </w:p>
        </w:tc>
        <w:tc>
          <w:tcPr>
            <w:tcW w:w="0" w:type="auto"/>
            <w:hideMark/>
          </w:tcPr>
          <w:p w14:paraId="3772B6AE"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.77</w:t>
            </w:r>
          </w:p>
        </w:tc>
        <w:tc>
          <w:tcPr>
            <w:tcW w:w="0" w:type="auto"/>
            <w:hideMark/>
          </w:tcPr>
          <w:p w14:paraId="46D711DE"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r>
      <w:tr w:rsidR="00B771D4" w:rsidRPr="004B5ACD" w14:paraId="1CDA1D4F" w14:textId="77777777" w:rsidTr="006514D5">
        <w:tc>
          <w:tcPr>
            <w:tcW w:w="0" w:type="auto"/>
            <w:hideMark/>
          </w:tcPr>
          <w:p w14:paraId="5F67F9E7" w14:textId="2ECC088A" w:rsidR="00B771D4" w:rsidRPr="004B5ACD" w:rsidRDefault="00B771D4"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No social functioning</w:t>
            </w:r>
          </w:p>
        </w:tc>
        <w:tc>
          <w:tcPr>
            <w:tcW w:w="0" w:type="auto"/>
          </w:tcPr>
          <w:p w14:paraId="1341F7CE" w14:textId="77777777" w:rsidR="00B771D4" w:rsidRPr="004B5ACD" w:rsidRDefault="00B771D4" w:rsidP="004B5ACD">
            <w:pPr>
              <w:spacing w:line="240" w:lineRule="atLeast"/>
              <w:rPr>
                <w:rFonts w:ascii="Arial" w:eastAsia="Times New Roman" w:hAnsi="Arial" w:cs="Arial"/>
                <w:color w:val="000000"/>
                <w:sz w:val="20"/>
                <w:szCs w:val="20"/>
              </w:rPr>
            </w:pPr>
          </w:p>
        </w:tc>
        <w:tc>
          <w:tcPr>
            <w:tcW w:w="0" w:type="auto"/>
          </w:tcPr>
          <w:p w14:paraId="64CC4A03" w14:textId="77777777" w:rsidR="00B771D4" w:rsidRPr="004B5ACD" w:rsidRDefault="00B771D4" w:rsidP="004B5ACD">
            <w:pPr>
              <w:spacing w:line="240" w:lineRule="atLeast"/>
              <w:rPr>
                <w:rFonts w:ascii="Arial" w:eastAsia="Times New Roman" w:hAnsi="Arial" w:cs="Arial"/>
                <w:color w:val="000000"/>
                <w:sz w:val="20"/>
                <w:szCs w:val="20"/>
              </w:rPr>
            </w:pPr>
          </w:p>
        </w:tc>
        <w:tc>
          <w:tcPr>
            <w:tcW w:w="0" w:type="auto"/>
          </w:tcPr>
          <w:p w14:paraId="0C404D6E" w14:textId="77777777" w:rsidR="00B771D4" w:rsidRPr="004B5ACD" w:rsidRDefault="00B771D4" w:rsidP="004B5ACD">
            <w:pPr>
              <w:spacing w:line="240" w:lineRule="atLeast"/>
              <w:rPr>
                <w:rFonts w:ascii="Arial" w:eastAsia="Times New Roman" w:hAnsi="Arial" w:cs="Arial"/>
                <w:color w:val="000000"/>
                <w:sz w:val="20"/>
                <w:szCs w:val="20"/>
              </w:rPr>
            </w:pPr>
          </w:p>
        </w:tc>
        <w:tc>
          <w:tcPr>
            <w:tcW w:w="0" w:type="auto"/>
          </w:tcPr>
          <w:p w14:paraId="19E71D80" w14:textId="77777777" w:rsidR="00B771D4" w:rsidRPr="004B5ACD" w:rsidRDefault="00B771D4" w:rsidP="004B5ACD">
            <w:pPr>
              <w:spacing w:line="240" w:lineRule="atLeast"/>
              <w:rPr>
                <w:rFonts w:ascii="Arial" w:eastAsia="Times New Roman" w:hAnsi="Arial" w:cs="Arial"/>
                <w:color w:val="000000"/>
                <w:sz w:val="20"/>
                <w:szCs w:val="20"/>
              </w:rPr>
            </w:pPr>
          </w:p>
        </w:tc>
        <w:tc>
          <w:tcPr>
            <w:tcW w:w="0" w:type="auto"/>
          </w:tcPr>
          <w:p w14:paraId="32EAF6A6" w14:textId="6A8F371B" w:rsidR="00B771D4" w:rsidRPr="004B5ACD" w:rsidRDefault="00B771D4" w:rsidP="004B5ACD">
            <w:pPr>
              <w:spacing w:line="240" w:lineRule="atLeast"/>
              <w:rPr>
                <w:rFonts w:ascii="Arial" w:eastAsia="Times New Roman" w:hAnsi="Arial" w:cs="Arial"/>
                <w:color w:val="000000"/>
                <w:sz w:val="20"/>
                <w:szCs w:val="20"/>
              </w:rPr>
            </w:pPr>
          </w:p>
        </w:tc>
        <w:tc>
          <w:tcPr>
            <w:tcW w:w="0" w:type="auto"/>
          </w:tcPr>
          <w:p w14:paraId="7B050F13" w14:textId="77777777" w:rsidR="00B771D4" w:rsidRPr="004B5ACD" w:rsidRDefault="00B771D4" w:rsidP="004B5ACD">
            <w:pPr>
              <w:spacing w:line="240" w:lineRule="atLeast"/>
              <w:rPr>
                <w:rFonts w:ascii="Arial" w:eastAsia="Times New Roman" w:hAnsi="Arial" w:cs="Arial"/>
                <w:color w:val="000000"/>
                <w:sz w:val="20"/>
                <w:szCs w:val="20"/>
              </w:rPr>
            </w:pPr>
          </w:p>
        </w:tc>
        <w:tc>
          <w:tcPr>
            <w:tcW w:w="0" w:type="auto"/>
          </w:tcPr>
          <w:p w14:paraId="0C2044C4" w14:textId="77777777" w:rsidR="00B771D4" w:rsidRPr="004B5ACD" w:rsidRDefault="00B771D4" w:rsidP="004B5ACD">
            <w:pPr>
              <w:spacing w:line="240" w:lineRule="atLeast"/>
              <w:rPr>
                <w:rFonts w:ascii="Arial" w:eastAsia="Times New Roman" w:hAnsi="Arial" w:cs="Arial"/>
                <w:color w:val="000000"/>
                <w:sz w:val="20"/>
                <w:szCs w:val="20"/>
              </w:rPr>
            </w:pPr>
          </w:p>
        </w:tc>
        <w:tc>
          <w:tcPr>
            <w:tcW w:w="0" w:type="auto"/>
          </w:tcPr>
          <w:p w14:paraId="6A8F7721" w14:textId="4A8293DD" w:rsidR="00B771D4" w:rsidRPr="004B5ACD" w:rsidRDefault="00B771D4" w:rsidP="004B5ACD">
            <w:pPr>
              <w:spacing w:line="240" w:lineRule="atLeast"/>
              <w:rPr>
                <w:rFonts w:ascii="Arial" w:eastAsia="Times New Roman" w:hAnsi="Arial" w:cs="Arial"/>
                <w:color w:val="000000"/>
                <w:sz w:val="20"/>
                <w:szCs w:val="20"/>
              </w:rPr>
            </w:pPr>
          </w:p>
        </w:tc>
      </w:tr>
      <w:tr w:rsidR="004B5ACD" w:rsidRPr="004B5ACD" w14:paraId="023FEEF7" w14:textId="77777777" w:rsidTr="00E96BB5">
        <w:tc>
          <w:tcPr>
            <w:tcW w:w="0" w:type="auto"/>
            <w:hideMark/>
          </w:tcPr>
          <w:p w14:paraId="76A31DE3"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1. Physical functioning</w:t>
            </w:r>
          </w:p>
        </w:tc>
        <w:tc>
          <w:tcPr>
            <w:tcW w:w="0" w:type="auto"/>
            <w:hideMark/>
          </w:tcPr>
          <w:p w14:paraId="6ABE848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29EEFAA6"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0127058"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E6CC917"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E6B717D"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AEDA53F"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9E93DBF"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33F2BCC0"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2FF64571" w14:textId="77777777" w:rsidTr="00E96BB5">
        <w:tc>
          <w:tcPr>
            <w:tcW w:w="0" w:type="auto"/>
            <w:hideMark/>
          </w:tcPr>
          <w:p w14:paraId="69BF2BB5"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2. Role limits—Physical problems</w:t>
            </w:r>
          </w:p>
        </w:tc>
        <w:tc>
          <w:tcPr>
            <w:tcW w:w="0" w:type="auto"/>
            <w:hideMark/>
          </w:tcPr>
          <w:p w14:paraId="65FC9E8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.66</w:t>
            </w:r>
          </w:p>
        </w:tc>
        <w:tc>
          <w:tcPr>
            <w:tcW w:w="0" w:type="auto"/>
            <w:hideMark/>
          </w:tcPr>
          <w:p w14:paraId="2759FDAE"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4265B9E1"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398B305"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2418AF32"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6205C59D"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27AF792"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278663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5FD3DC8F" w14:textId="77777777" w:rsidTr="00E96BB5">
        <w:tc>
          <w:tcPr>
            <w:tcW w:w="0" w:type="auto"/>
            <w:hideMark/>
          </w:tcPr>
          <w:p w14:paraId="15D2C463"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3. Bodily pain</w:t>
            </w:r>
          </w:p>
        </w:tc>
        <w:tc>
          <w:tcPr>
            <w:tcW w:w="0" w:type="auto"/>
            <w:hideMark/>
          </w:tcPr>
          <w:p w14:paraId="51C4D69E"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.62</w:t>
            </w:r>
          </w:p>
        </w:tc>
        <w:tc>
          <w:tcPr>
            <w:tcW w:w="0" w:type="auto"/>
            <w:hideMark/>
          </w:tcPr>
          <w:p w14:paraId="076A3E4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.74</w:t>
            </w:r>
          </w:p>
        </w:tc>
        <w:tc>
          <w:tcPr>
            <w:tcW w:w="0" w:type="auto"/>
            <w:hideMark/>
          </w:tcPr>
          <w:p w14:paraId="11E3B2D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67517AEF"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3BE61AEF"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5A42330"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4E68C2F"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B9C8CD7"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1493EFD3" w14:textId="77777777" w:rsidTr="00E96BB5">
        <w:tc>
          <w:tcPr>
            <w:tcW w:w="0" w:type="auto"/>
            <w:hideMark/>
          </w:tcPr>
          <w:p w14:paraId="5DC14C97"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4. General health</w:t>
            </w:r>
          </w:p>
        </w:tc>
        <w:tc>
          <w:tcPr>
            <w:tcW w:w="0" w:type="auto"/>
            <w:hideMark/>
          </w:tcPr>
          <w:p w14:paraId="5BA4133F"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.67</w:t>
            </w:r>
          </w:p>
        </w:tc>
        <w:tc>
          <w:tcPr>
            <w:tcW w:w="0" w:type="auto"/>
            <w:hideMark/>
          </w:tcPr>
          <w:p w14:paraId="40834249"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.59</w:t>
            </w:r>
          </w:p>
        </w:tc>
        <w:tc>
          <w:tcPr>
            <w:tcW w:w="0" w:type="auto"/>
            <w:hideMark/>
          </w:tcPr>
          <w:p w14:paraId="0692C1A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.59</w:t>
            </w:r>
          </w:p>
        </w:tc>
        <w:tc>
          <w:tcPr>
            <w:tcW w:w="0" w:type="auto"/>
            <w:hideMark/>
          </w:tcPr>
          <w:p w14:paraId="471C53C0"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24C5C10C"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18BAA1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76095885"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5F95E58B"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6F790475" w14:textId="77777777" w:rsidTr="00E96BB5">
        <w:tc>
          <w:tcPr>
            <w:tcW w:w="0" w:type="auto"/>
            <w:hideMark/>
          </w:tcPr>
          <w:p w14:paraId="0A641B77"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5. Energy/fatigue</w:t>
            </w:r>
          </w:p>
        </w:tc>
        <w:tc>
          <w:tcPr>
            <w:tcW w:w="0" w:type="auto"/>
            <w:hideMark/>
          </w:tcPr>
          <w:p w14:paraId="3D7E6558"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.58</w:t>
            </w:r>
          </w:p>
        </w:tc>
        <w:tc>
          <w:tcPr>
            <w:tcW w:w="0" w:type="auto"/>
            <w:hideMark/>
          </w:tcPr>
          <w:p w14:paraId="3502B4E4"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.55</w:t>
            </w:r>
          </w:p>
        </w:tc>
        <w:tc>
          <w:tcPr>
            <w:tcW w:w="0" w:type="auto"/>
            <w:hideMark/>
          </w:tcPr>
          <w:p w14:paraId="43E2531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.61</w:t>
            </w:r>
          </w:p>
        </w:tc>
        <w:tc>
          <w:tcPr>
            <w:tcW w:w="0" w:type="auto"/>
            <w:hideMark/>
          </w:tcPr>
          <w:p w14:paraId="5C9A5F0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.65</w:t>
            </w:r>
          </w:p>
        </w:tc>
        <w:tc>
          <w:tcPr>
            <w:tcW w:w="0" w:type="auto"/>
            <w:hideMark/>
          </w:tcPr>
          <w:p w14:paraId="293CD9A0"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1E75A48C"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22364509"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17032A43"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02056BDA" w14:textId="77777777" w:rsidTr="00E96BB5">
        <w:tc>
          <w:tcPr>
            <w:tcW w:w="0" w:type="auto"/>
            <w:hideMark/>
          </w:tcPr>
          <w:p w14:paraId="10ACFE95"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6. Social functioning</w:t>
            </w:r>
          </w:p>
        </w:tc>
        <w:tc>
          <w:tcPr>
            <w:tcW w:w="0" w:type="auto"/>
            <w:hideMark/>
          </w:tcPr>
          <w:p w14:paraId="57AF5A31"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7D23EF40"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669E6834"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661079C4"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211C3D1B"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5360F3AC"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4970F689"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c>
          <w:tcPr>
            <w:tcW w:w="0" w:type="auto"/>
            <w:hideMark/>
          </w:tcPr>
          <w:p w14:paraId="0DAEB29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0DDDB473" w14:textId="77777777" w:rsidTr="00E96BB5">
        <w:tc>
          <w:tcPr>
            <w:tcW w:w="0" w:type="auto"/>
            <w:hideMark/>
          </w:tcPr>
          <w:p w14:paraId="25073163"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7. Role limits—Emotional problems</w:t>
            </w:r>
          </w:p>
        </w:tc>
        <w:tc>
          <w:tcPr>
            <w:tcW w:w="0" w:type="auto"/>
            <w:hideMark/>
          </w:tcPr>
          <w:p w14:paraId="1FFE565F"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.71</w:t>
            </w:r>
          </w:p>
        </w:tc>
        <w:tc>
          <w:tcPr>
            <w:tcW w:w="0" w:type="auto"/>
            <w:hideMark/>
          </w:tcPr>
          <w:p w14:paraId="7B4435DA"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.95</w:t>
            </w:r>
          </w:p>
        </w:tc>
        <w:tc>
          <w:tcPr>
            <w:tcW w:w="0" w:type="auto"/>
            <w:hideMark/>
          </w:tcPr>
          <w:p w14:paraId="02D2E702"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.86</w:t>
            </w:r>
          </w:p>
        </w:tc>
        <w:tc>
          <w:tcPr>
            <w:tcW w:w="0" w:type="auto"/>
            <w:hideMark/>
          </w:tcPr>
          <w:p w14:paraId="6FF4E01C"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.56</w:t>
            </w:r>
          </w:p>
        </w:tc>
        <w:tc>
          <w:tcPr>
            <w:tcW w:w="0" w:type="auto"/>
            <w:hideMark/>
          </w:tcPr>
          <w:p w14:paraId="20468EB5"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.70</w:t>
            </w:r>
          </w:p>
        </w:tc>
        <w:tc>
          <w:tcPr>
            <w:tcW w:w="0" w:type="auto"/>
            <w:hideMark/>
          </w:tcPr>
          <w:p w14:paraId="4DDD7BF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44E96DC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c>
          <w:tcPr>
            <w:tcW w:w="0" w:type="auto"/>
            <w:hideMark/>
          </w:tcPr>
          <w:p w14:paraId="4A2523DD" w14:textId="77777777" w:rsidR="004B5ACD" w:rsidRPr="004B5ACD" w:rsidRDefault="004B5ACD" w:rsidP="004B5ACD">
            <w:pPr>
              <w:spacing w:line="240" w:lineRule="atLeast"/>
              <w:jc w:val="both"/>
              <w:rPr>
                <w:rFonts w:ascii="Arial" w:eastAsia="Times New Roman" w:hAnsi="Arial" w:cs="Arial"/>
                <w:color w:val="000000"/>
                <w:sz w:val="20"/>
                <w:szCs w:val="20"/>
              </w:rPr>
            </w:pPr>
            <w:r w:rsidRPr="004B5ACD">
              <w:rPr>
                <w:rFonts w:ascii="Arial" w:eastAsia="Times New Roman" w:hAnsi="Arial" w:cs="Arial"/>
                <w:color w:val="000000"/>
                <w:sz w:val="20"/>
                <w:szCs w:val="20"/>
              </w:rPr>
              <w:t> </w:t>
            </w:r>
          </w:p>
        </w:tc>
      </w:tr>
      <w:tr w:rsidR="004B5ACD" w:rsidRPr="004B5ACD" w14:paraId="3AAA05C4" w14:textId="77777777" w:rsidTr="00E96BB5">
        <w:tc>
          <w:tcPr>
            <w:tcW w:w="0" w:type="auto"/>
            <w:hideMark/>
          </w:tcPr>
          <w:p w14:paraId="0D60471E" w14:textId="77777777" w:rsidR="004B5ACD" w:rsidRPr="004B5ACD" w:rsidRDefault="004B5ACD" w:rsidP="004B5ACD">
            <w:pPr>
              <w:spacing w:line="240" w:lineRule="atLeast"/>
              <w:rPr>
                <w:rFonts w:ascii="Arial" w:eastAsia="Times New Roman" w:hAnsi="Arial" w:cs="Arial"/>
                <w:color w:val="000000"/>
                <w:sz w:val="20"/>
                <w:szCs w:val="20"/>
              </w:rPr>
            </w:pPr>
            <w:r w:rsidRPr="004B5ACD">
              <w:rPr>
                <w:rFonts w:ascii="Arial" w:eastAsia="Times New Roman" w:hAnsi="Arial" w:cs="Arial"/>
                <w:color w:val="000000"/>
                <w:sz w:val="20"/>
                <w:szCs w:val="20"/>
              </w:rPr>
              <w:t>8. Emotional well-being</w:t>
            </w:r>
          </w:p>
        </w:tc>
        <w:tc>
          <w:tcPr>
            <w:tcW w:w="0" w:type="auto"/>
            <w:hideMark/>
          </w:tcPr>
          <w:p w14:paraId="41950B3C"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.34</w:t>
            </w:r>
          </w:p>
        </w:tc>
        <w:tc>
          <w:tcPr>
            <w:tcW w:w="0" w:type="auto"/>
            <w:hideMark/>
          </w:tcPr>
          <w:p w14:paraId="0DDCE5A0"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.52</w:t>
            </w:r>
          </w:p>
        </w:tc>
        <w:tc>
          <w:tcPr>
            <w:tcW w:w="0" w:type="auto"/>
            <w:hideMark/>
          </w:tcPr>
          <w:p w14:paraId="6E61E305"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.62</w:t>
            </w:r>
          </w:p>
        </w:tc>
        <w:tc>
          <w:tcPr>
            <w:tcW w:w="0" w:type="auto"/>
            <w:hideMark/>
          </w:tcPr>
          <w:p w14:paraId="3C4F23FD"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.64</w:t>
            </w:r>
          </w:p>
        </w:tc>
        <w:tc>
          <w:tcPr>
            <w:tcW w:w="0" w:type="auto"/>
            <w:hideMark/>
          </w:tcPr>
          <w:p w14:paraId="43246D69"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.77</w:t>
            </w:r>
          </w:p>
        </w:tc>
        <w:tc>
          <w:tcPr>
            <w:tcW w:w="0" w:type="auto"/>
            <w:hideMark/>
          </w:tcPr>
          <w:p w14:paraId="67864071"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w:t>
            </w:r>
          </w:p>
        </w:tc>
        <w:tc>
          <w:tcPr>
            <w:tcW w:w="0" w:type="auto"/>
            <w:hideMark/>
          </w:tcPr>
          <w:p w14:paraId="24630D16"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.77</w:t>
            </w:r>
          </w:p>
        </w:tc>
        <w:tc>
          <w:tcPr>
            <w:tcW w:w="0" w:type="auto"/>
            <w:hideMark/>
          </w:tcPr>
          <w:p w14:paraId="06F9DD43" w14:textId="77777777" w:rsidR="004B5ACD" w:rsidRPr="004B5ACD" w:rsidRDefault="004B5ACD" w:rsidP="004B5ACD">
            <w:pPr>
              <w:spacing w:line="240" w:lineRule="atLeast"/>
              <w:jc w:val="center"/>
              <w:rPr>
                <w:rFonts w:ascii="Arial" w:eastAsia="Times New Roman" w:hAnsi="Arial" w:cs="Arial"/>
                <w:color w:val="000000"/>
                <w:sz w:val="20"/>
                <w:szCs w:val="20"/>
              </w:rPr>
            </w:pPr>
            <w:r w:rsidRPr="004B5ACD">
              <w:rPr>
                <w:rFonts w:ascii="Arial" w:eastAsia="Times New Roman" w:hAnsi="Arial" w:cs="Arial"/>
                <w:color w:val="000000"/>
                <w:sz w:val="20"/>
                <w:szCs w:val="20"/>
              </w:rPr>
              <w:t>1</w:t>
            </w:r>
          </w:p>
        </w:tc>
      </w:tr>
    </w:tbl>
    <w:p w14:paraId="3A9DDE98" w14:textId="77777777" w:rsidR="004B5ACD" w:rsidRPr="00984CD2" w:rsidRDefault="004B5ACD" w:rsidP="00BD359E">
      <w:pPr>
        <w:rPr>
          <w:rFonts w:cstheme="minorHAnsi"/>
        </w:rPr>
      </w:pPr>
    </w:p>
    <w:p w14:paraId="0FA090E8" w14:textId="3A6E2F07" w:rsidR="00F750AF" w:rsidRPr="00984CD2" w:rsidRDefault="00F750AF" w:rsidP="00BD359E">
      <w:pPr>
        <w:rPr>
          <w:rFonts w:cstheme="minorHAnsi"/>
        </w:rPr>
      </w:pPr>
      <w:r w:rsidRPr="00984CD2">
        <w:rPr>
          <w:rFonts w:cstheme="minorHAnsi"/>
        </w:rPr>
        <w:t>As shown in </w:t>
      </w:r>
      <w:hyperlink r:id="rId19" w:history="1">
        <w:r w:rsidRPr="00984CD2">
          <w:rPr>
            <w:rStyle w:val="Hyperlink"/>
            <w:rFonts w:cstheme="minorHAnsi"/>
          </w:rPr>
          <w:t>Table 1</w:t>
        </w:r>
      </w:hyperlink>
      <w:r w:rsidRPr="00984CD2">
        <w:rPr>
          <w:rFonts w:cstheme="minorHAnsi"/>
        </w:rPr>
        <w:t>, participants from the urban region (</w:t>
      </w:r>
      <w:r w:rsidRPr="00984CD2">
        <w:rPr>
          <w:rFonts w:cstheme="minorHAnsi"/>
          <w:i/>
          <w:iCs/>
        </w:rPr>
        <w:t>n</w:t>
      </w:r>
      <w:r w:rsidRPr="00984CD2">
        <w:rPr>
          <w:rFonts w:cstheme="minorHAnsi"/>
        </w:rPr>
        <w:t> = 168) had a mean age of 67.54 years (</w:t>
      </w:r>
      <w:r w:rsidRPr="00984CD2">
        <w:rPr>
          <w:rFonts w:cstheme="minorHAnsi"/>
          <w:i/>
          <w:iCs/>
        </w:rPr>
        <w:t>SD</w:t>
      </w:r>
      <w:r w:rsidRPr="00984CD2">
        <w:rPr>
          <w:rFonts w:cstheme="minorHAnsi"/>
        </w:rPr>
        <w:t> = 5.67) and those residing in the rural area (</w:t>
      </w:r>
      <w:r w:rsidRPr="00984CD2">
        <w:rPr>
          <w:rFonts w:cstheme="minorHAnsi"/>
          <w:i/>
          <w:iCs/>
        </w:rPr>
        <w:t>n</w:t>
      </w:r>
      <w:r w:rsidRPr="00984CD2">
        <w:rPr>
          <w:rFonts w:cstheme="minorHAnsi"/>
        </w:rPr>
        <w:t> = 71) a mean age of 69.85 years (</w:t>
      </w:r>
      <w:r w:rsidRPr="00984CD2">
        <w:rPr>
          <w:rFonts w:cstheme="minorHAnsi"/>
          <w:i/>
          <w:iCs/>
        </w:rPr>
        <w:t>SD</w:t>
      </w:r>
      <w:r w:rsidRPr="00984CD2">
        <w:rPr>
          <w:rFonts w:cstheme="minorHAnsi"/>
        </w:rPr>
        <w:t> = 6.25), being statistically different, </w:t>
      </w:r>
      <w:r w:rsidRPr="00984CD2">
        <w:rPr>
          <w:rFonts w:cstheme="minorHAnsi"/>
          <w:i/>
          <w:iCs/>
        </w:rPr>
        <w:t>t</w:t>
      </w:r>
      <w:r w:rsidRPr="00984CD2">
        <w:rPr>
          <w:rFonts w:cstheme="minorHAnsi"/>
        </w:rPr>
        <w:t>(237) = −2.79, </w:t>
      </w:r>
      <w:r w:rsidRPr="00984CD2">
        <w:rPr>
          <w:rFonts w:cstheme="minorHAnsi"/>
          <w:i/>
          <w:iCs/>
        </w:rPr>
        <w:t>p</w:t>
      </w:r>
      <w:r w:rsidRPr="00984CD2">
        <w:rPr>
          <w:rFonts w:cstheme="minorHAnsi"/>
        </w:rPr>
        <w:t> &lt; .001. The mean level of education for participants in the urban area (</w:t>
      </w:r>
      <w:r w:rsidRPr="00984CD2">
        <w:rPr>
          <w:rFonts w:cstheme="minorHAnsi"/>
          <w:i/>
          <w:iCs/>
        </w:rPr>
        <w:t>M</w:t>
      </w:r>
      <w:r w:rsidRPr="00984CD2">
        <w:rPr>
          <w:rFonts w:cstheme="minorHAnsi"/>
        </w:rPr>
        <w:t> = 14.18, </w:t>
      </w:r>
      <w:r w:rsidRPr="00984CD2">
        <w:rPr>
          <w:rFonts w:cstheme="minorHAnsi"/>
          <w:i/>
          <w:iCs/>
        </w:rPr>
        <w:t>SD</w:t>
      </w:r>
      <w:r w:rsidRPr="00984CD2">
        <w:rPr>
          <w:rFonts w:cstheme="minorHAnsi"/>
        </w:rPr>
        <w:t> = 6.21) was significantly higher than that of their counterparts in the rural region (</w:t>
      </w:r>
      <w:r w:rsidRPr="00984CD2">
        <w:rPr>
          <w:rFonts w:cstheme="minorHAnsi"/>
          <w:i/>
          <w:iCs/>
        </w:rPr>
        <w:t>M</w:t>
      </w:r>
      <w:r w:rsidRPr="00984CD2">
        <w:rPr>
          <w:rFonts w:cstheme="minorHAnsi"/>
        </w:rPr>
        <w:t> = 10.27, </w:t>
      </w:r>
      <w:r w:rsidRPr="00984CD2">
        <w:rPr>
          <w:rFonts w:cstheme="minorHAnsi"/>
          <w:i/>
          <w:iCs/>
        </w:rPr>
        <w:t>SD</w:t>
      </w:r>
      <w:r w:rsidRPr="00984CD2">
        <w:rPr>
          <w:rFonts w:cstheme="minorHAnsi"/>
        </w:rPr>
        <w:t> = 5.82), </w:t>
      </w:r>
      <w:proofErr w:type="gramStart"/>
      <w:r w:rsidRPr="00984CD2">
        <w:rPr>
          <w:rFonts w:cstheme="minorHAnsi"/>
          <w:i/>
          <w:iCs/>
        </w:rPr>
        <w:t>t</w:t>
      </w:r>
      <w:r w:rsidRPr="00984CD2">
        <w:rPr>
          <w:rFonts w:cstheme="minorHAnsi"/>
        </w:rPr>
        <w:t>(</w:t>
      </w:r>
      <w:proofErr w:type="gramEnd"/>
      <w:r w:rsidRPr="00984CD2">
        <w:rPr>
          <w:rFonts w:cstheme="minorHAnsi"/>
        </w:rPr>
        <w:t>234) = 4.51, </w:t>
      </w:r>
      <w:r w:rsidRPr="00984CD2">
        <w:rPr>
          <w:rFonts w:cstheme="minorHAnsi"/>
          <w:i/>
          <w:iCs/>
        </w:rPr>
        <w:t>p</w:t>
      </w:r>
      <w:r w:rsidRPr="00984CD2">
        <w:rPr>
          <w:rFonts w:cstheme="minorHAnsi"/>
        </w:rPr>
        <w:t> &lt; .01. These results suggest that age and level of education could be potential extraneous variables and therefore were added as covariates in our CFA models. Additional chi-square analyses did not show a significant difference between rural and urban participants for hypertension, χ²(1, </w:t>
      </w:r>
      <w:r w:rsidRPr="00984CD2">
        <w:rPr>
          <w:rFonts w:cstheme="minorHAnsi"/>
          <w:i/>
          <w:iCs/>
        </w:rPr>
        <w:t>N</w:t>
      </w:r>
      <w:r w:rsidRPr="00984CD2">
        <w:rPr>
          <w:rFonts w:cstheme="minorHAnsi"/>
        </w:rPr>
        <w:t> = 235) = .320, </w:t>
      </w:r>
      <w:r w:rsidRPr="00984CD2">
        <w:rPr>
          <w:rFonts w:cstheme="minorHAnsi"/>
          <w:i/>
          <w:iCs/>
        </w:rPr>
        <w:t>p</w:t>
      </w:r>
      <w:r w:rsidRPr="00984CD2">
        <w:rPr>
          <w:rFonts w:cstheme="minorHAnsi"/>
        </w:rPr>
        <w:t> = .57, φ = .037, and diabetes, χ²(1, </w:t>
      </w:r>
      <w:r w:rsidRPr="00984CD2">
        <w:rPr>
          <w:rFonts w:cstheme="minorHAnsi"/>
          <w:i/>
          <w:iCs/>
        </w:rPr>
        <w:t>N</w:t>
      </w:r>
      <w:r w:rsidRPr="00984CD2">
        <w:rPr>
          <w:rFonts w:cstheme="minorHAnsi"/>
        </w:rPr>
        <w:t> = 235) = 1.41, </w:t>
      </w:r>
      <w:r w:rsidRPr="00984CD2">
        <w:rPr>
          <w:rFonts w:cstheme="minorHAnsi"/>
          <w:i/>
          <w:iCs/>
        </w:rPr>
        <w:t>p</w:t>
      </w:r>
      <w:r w:rsidRPr="00984CD2">
        <w:rPr>
          <w:rFonts w:cstheme="minorHAnsi"/>
        </w:rPr>
        <w:t> = .24, φ = .07.</w:t>
      </w:r>
    </w:p>
    <w:p w14:paraId="1C6E1EB8" w14:textId="0C720A92" w:rsidR="00F750AF" w:rsidRPr="00984CD2" w:rsidRDefault="00F750AF" w:rsidP="00F750AF">
      <w:pPr>
        <w:pStyle w:val="Heading1"/>
        <w:rPr>
          <w:rFonts w:asciiTheme="minorHAnsi" w:hAnsiTheme="minorHAnsi" w:cstheme="minorHAnsi"/>
        </w:rPr>
      </w:pPr>
      <w:r w:rsidRPr="00984CD2">
        <w:rPr>
          <w:rFonts w:asciiTheme="minorHAnsi" w:hAnsiTheme="minorHAnsi" w:cstheme="minorHAnsi"/>
        </w:rPr>
        <w:t>Model Comparison</w:t>
      </w:r>
    </w:p>
    <w:p w14:paraId="31C66AB5" w14:textId="77777777" w:rsidR="00743AA0" w:rsidRPr="00984CD2" w:rsidRDefault="00743AA0" w:rsidP="00743AA0">
      <w:pPr>
        <w:rPr>
          <w:rFonts w:cstheme="minorHAnsi"/>
        </w:rPr>
      </w:pPr>
      <w:r w:rsidRPr="00984CD2">
        <w:rPr>
          <w:rFonts w:cstheme="minorHAnsi"/>
        </w:rPr>
        <w:t>Our results show that the observed data fit the eight first-order factors model well and that the inclusion of higher order factors did not significantly improve fit. Neither the two- nor the one higher order factor model fits the observed data appreciable better. Summary of model fit statistics are in </w:t>
      </w:r>
      <w:hyperlink r:id="rId20" w:history="1">
        <w:r w:rsidRPr="00984CD2">
          <w:rPr>
            <w:rStyle w:val="Hyperlink"/>
            <w:rFonts w:cstheme="minorHAnsi"/>
          </w:rPr>
          <w:t>Table 2</w:t>
        </w:r>
      </w:hyperlink>
      <w:r w:rsidRPr="00984CD2">
        <w:rPr>
          <w:rFonts w:cstheme="minorHAnsi"/>
        </w:rPr>
        <w:t> for the three alternate factor structure models of the SF-36 Questionnaire from our analyses. As shown in </w:t>
      </w:r>
      <w:hyperlink r:id="rId21" w:history="1">
        <w:r w:rsidRPr="00984CD2">
          <w:rPr>
            <w:rStyle w:val="Hyperlink"/>
            <w:rFonts w:cstheme="minorHAnsi"/>
          </w:rPr>
          <w:t>Table 2</w:t>
        </w:r>
      </w:hyperlink>
      <w:r w:rsidRPr="00984CD2">
        <w:rPr>
          <w:rFonts w:cstheme="minorHAnsi"/>
        </w:rPr>
        <w:t>, factor loadings of individual indicators (i.e., factors or domains) changed very little or not at all whether the domain of BP or SF was omitted or not for all models. The largest observed difference from one model to the next was within the confidence interval of the same estimate in the other two models. In reference to size of factor loadings, ideally all standardized factor loadings (λ) should exceed 0.70, indicating that more than half of the variance for each item is due to the factor. As shown in </w:t>
      </w:r>
      <w:hyperlink r:id="rId22" w:tooltip="Open Figure Viewer" w:history="1">
        <w:r w:rsidRPr="00984CD2">
          <w:rPr>
            <w:rStyle w:val="Hyperlink"/>
            <w:rFonts w:cstheme="minorHAnsi"/>
          </w:rPr>
          <w:t>Figure 1</w:t>
        </w:r>
      </w:hyperlink>
      <w:r w:rsidRPr="00984CD2">
        <w:rPr>
          <w:rFonts w:cstheme="minorHAnsi"/>
        </w:rPr>
        <w:t> (depiction of Model 1), the factor loading for Question 35 (“I expect my health to get worse”) was 0.37, well below 0.70, indicating that only 13.7% of its variance for this question was explained by GH. Examination of sample statistics showed that this item correlated highly (</w:t>
      </w:r>
      <w:r w:rsidRPr="00984CD2">
        <w:rPr>
          <w:rFonts w:cstheme="minorHAnsi"/>
          <w:i/>
          <w:iCs/>
        </w:rPr>
        <w:t>r</w:t>
      </w:r>
      <w:r w:rsidRPr="00984CD2">
        <w:rPr>
          <w:rFonts w:cstheme="minorHAnsi"/>
        </w:rPr>
        <w:t xml:space="preserve"> = .53) </w:t>
      </w:r>
      <w:r w:rsidRPr="00984CD2">
        <w:rPr>
          <w:rFonts w:cstheme="minorHAnsi"/>
        </w:rPr>
        <w:lastRenderedPageBreak/>
        <w:t>with only one other question on the factor: Question 33 (“I seem to get sick a little easier than other people”). The other correlations ranged from .05 to .24. Factor loadings for three other items were less than 0.70, but the 95% confidence interval for those items contained 0.70. Those questions were 33 and 34 on GH and Question 24 on MH.</w:t>
      </w:r>
    </w:p>
    <w:p w14:paraId="23F863D8" w14:textId="77777777" w:rsidR="00743AA0" w:rsidRPr="00984CD2" w:rsidRDefault="00743AA0" w:rsidP="00743AA0">
      <w:pPr>
        <w:rPr>
          <w:rFonts w:cstheme="minorHAnsi"/>
        </w:rPr>
      </w:pPr>
      <w:r w:rsidRPr="00984CD2">
        <w:rPr>
          <w:rFonts w:cstheme="minorHAnsi"/>
        </w:rPr>
        <w:t xml:space="preserve">When the two higher order factors were introduced in Model 2, there was no impact on the factor loadings for the lower order factors </w:t>
      </w:r>
      <w:proofErr w:type="gramStart"/>
      <w:r w:rsidRPr="00984CD2">
        <w:rPr>
          <w:rFonts w:cstheme="minorHAnsi"/>
        </w:rPr>
        <w:t>with the exception of</w:t>
      </w:r>
      <w:proofErr w:type="gramEnd"/>
      <w:r w:rsidRPr="00984CD2">
        <w:rPr>
          <w:rFonts w:cstheme="minorHAnsi"/>
        </w:rPr>
        <w:t xml:space="preserve"> four domains (BP, SF, RP, and RE). The factor loadings for BP and SF changed slightly because these items were constrained to equality for identification purposes in the other models. However, as shown in </w:t>
      </w:r>
      <w:hyperlink r:id="rId23" w:history="1">
        <w:r w:rsidRPr="00984CD2">
          <w:rPr>
            <w:rStyle w:val="Hyperlink"/>
            <w:rFonts w:cstheme="minorHAnsi"/>
          </w:rPr>
          <w:t>Table 3</w:t>
        </w:r>
      </w:hyperlink>
      <w:r w:rsidRPr="00984CD2">
        <w:rPr>
          <w:rFonts w:cstheme="minorHAnsi"/>
        </w:rPr>
        <w:t>, removal of either BP or SF did not change factor correlations for the lower order factors. Furthermore, PF was correlated at the same level with all other factors (those loading on PCS and MCS), except MH, and RP was highly correlated (</w:t>
      </w:r>
      <w:r w:rsidRPr="00984CD2">
        <w:rPr>
          <w:rFonts w:cstheme="minorHAnsi"/>
          <w:i/>
          <w:iCs/>
        </w:rPr>
        <w:t>r</w:t>
      </w:r>
      <w:r w:rsidRPr="00984CD2">
        <w:rPr>
          <w:rFonts w:cstheme="minorHAnsi"/>
        </w:rPr>
        <w:t xml:space="preserve"> = .94) with RE. These statistical changes suggest cross loading between PCS domains and MCS domains. </w:t>
      </w:r>
      <w:proofErr w:type="gramStart"/>
      <w:r w:rsidRPr="00984CD2">
        <w:rPr>
          <w:rFonts w:cstheme="minorHAnsi"/>
        </w:rPr>
        <w:t>In order for</w:t>
      </w:r>
      <w:proofErr w:type="gramEnd"/>
      <w:r w:rsidRPr="00984CD2">
        <w:rPr>
          <w:rFonts w:cstheme="minorHAnsi"/>
        </w:rPr>
        <w:t xml:space="preserve"> higher order factors to improve model fit, the correlations between the Physical Health domains should be higher than with any Mental Health domain. This is not the case in these Latin American older adults. Due to the high cross loading of first-order factors when the higher order models were analyzed, Model 1, with no higher order factors, best represents HRQOL in our sample.</w:t>
      </w:r>
    </w:p>
    <w:p w14:paraId="0E0C4069" w14:textId="334DBC90" w:rsidR="00F750AF" w:rsidRPr="00984CD2" w:rsidRDefault="00743AA0" w:rsidP="00F750AF">
      <w:pPr>
        <w:rPr>
          <w:rFonts w:cstheme="minorHAnsi"/>
        </w:rPr>
      </w:pPr>
      <w:r w:rsidRPr="00984CD2">
        <w:rPr>
          <w:rFonts w:cstheme="minorHAnsi"/>
        </w:rPr>
        <w:t>Furthermore, the estimates in Model 2 with eight first-order factors and two higher order factors produced a correlation between PCS and MCS that exceeded .84. Although the exact statistic differed slightly for each of the three models, the estimates for each model remained within the confidence interval of the other two models (i.e., correlation was still within confidence interval). In this sample, the correlation in the model with all eight first-order factors was .88 (</w:t>
      </w:r>
      <w:r w:rsidRPr="00984CD2">
        <w:rPr>
          <w:rFonts w:cstheme="minorHAnsi"/>
          <w:i/>
          <w:iCs/>
        </w:rPr>
        <w:t>SE</w:t>
      </w:r>
      <w:r w:rsidRPr="00984CD2">
        <w:rPr>
          <w:rFonts w:cstheme="minorHAnsi"/>
        </w:rPr>
        <w:t> = 0.03). The correlation was .85 (</w:t>
      </w:r>
      <w:r w:rsidRPr="00984CD2">
        <w:rPr>
          <w:rFonts w:cstheme="minorHAnsi"/>
          <w:i/>
          <w:iCs/>
        </w:rPr>
        <w:t>SE</w:t>
      </w:r>
      <w:r w:rsidRPr="00984CD2">
        <w:rPr>
          <w:rFonts w:cstheme="minorHAnsi"/>
        </w:rPr>
        <w:t> = 0.04) in the model without BP. The model without SF estimated a latent correlation of .86 (</w:t>
      </w:r>
      <w:r w:rsidRPr="00984CD2">
        <w:rPr>
          <w:rFonts w:cstheme="minorHAnsi"/>
          <w:i/>
          <w:iCs/>
        </w:rPr>
        <w:t>SE</w:t>
      </w:r>
      <w:r w:rsidRPr="00984CD2">
        <w:rPr>
          <w:rFonts w:cstheme="minorHAnsi"/>
        </w:rPr>
        <w:t> = 0.04). Regardless of model, the correlation between PCS and MCS was large.</w:t>
      </w:r>
    </w:p>
    <w:p w14:paraId="5A1B1CDA" w14:textId="77777777" w:rsidR="00EA0C4A" w:rsidRPr="00984CD2" w:rsidRDefault="00EA0C4A" w:rsidP="00EA0C4A">
      <w:pPr>
        <w:pStyle w:val="Heading1"/>
        <w:rPr>
          <w:rFonts w:asciiTheme="minorHAnsi" w:hAnsiTheme="minorHAnsi" w:cstheme="minorHAnsi"/>
        </w:rPr>
      </w:pPr>
      <w:r w:rsidRPr="00984CD2">
        <w:rPr>
          <w:rFonts w:asciiTheme="minorHAnsi" w:hAnsiTheme="minorHAnsi" w:cstheme="minorHAnsi"/>
        </w:rPr>
        <w:t>Effects of Covariates (Region, Age, and Education)</w:t>
      </w:r>
    </w:p>
    <w:p w14:paraId="5D2EBE38" w14:textId="4AB3585B" w:rsidR="00EA0C4A" w:rsidRPr="00984CD2" w:rsidRDefault="00EA0C4A" w:rsidP="00EA0C4A">
      <w:pPr>
        <w:rPr>
          <w:rFonts w:cstheme="minorHAnsi"/>
        </w:rPr>
      </w:pPr>
      <w:r w:rsidRPr="00984CD2">
        <w:rPr>
          <w:rFonts w:cstheme="minorHAnsi"/>
        </w:rPr>
        <w:t>Given the results from the independent samples </w:t>
      </w:r>
      <w:r w:rsidRPr="00984CD2">
        <w:rPr>
          <w:rFonts w:cstheme="minorHAnsi"/>
          <w:i/>
          <w:iCs/>
        </w:rPr>
        <w:t>t</w:t>
      </w:r>
      <w:r w:rsidRPr="00984CD2">
        <w:rPr>
          <w:rFonts w:cstheme="minorHAnsi"/>
        </w:rPr>
        <w:t> test, we examined the effects of region, age, and education as covariates in our models. These variables were added to the model selected as the better of the higher order models (Model 2, two higher order factors) and the first-order model with no higher order factor (Model 1) to estimate change in overall health.</w:t>
      </w:r>
    </w:p>
    <w:p w14:paraId="028B1466" w14:textId="2C9A3E5D" w:rsidR="00287817" w:rsidRPr="00984CD2" w:rsidRDefault="00287817" w:rsidP="00287817">
      <w:pPr>
        <w:pStyle w:val="Heading1"/>
        <w:rPr>
          <w:rFonts w:asciiTheme="minorHAnsi" w:hAnsiTheme="minorHAnsi" w:cstheme="minorHAnsi"/>
        </w:rPr>
      </w:pPr>
      <w:r w:rsidRPr="00984CD2">
        <w:rPr>
          <w:rFonts w:asciiTheme="minorHAnsi" w:hAnsiTheme="minorHAnsi" w:cstheme="minorHAnsi"/>
        </w:rPr>
        <w:t>Region</w:t>
      </w:r>
    </w:p>
    <w:p w14:paraId="69086D11" w14:textId="17D92762" w:rsidR="00287817" w:rsidRPr="00984CD2" w:rsidRDefault="00287817" w:rsidP="00287817">
      <w:pPr>
        <w:rPr>
          <w:rFonts w:cstheme="minorHAnsi"/>
        </w:rPr>
      </w:pPr>
      <w:r w:rsidRPr="00984CD2">
        <w:rPr>
          <w:rFonts w:cstheme="minorHAnsi"/>
        </w:rPr>
        <w:t>Region (urban or rural) was added first to Model 1. Overall health on all factors was lower for rural participants with standardized coefficients that ranged from −0.23 </w:t>
      </w:r>
      <w:r w:rsidRPr="00984CD2">
        <w:rPr>
          <w:rFonts w:cstheme="minorHAnsi"/>
          <w:i/>
          <w:iCs/>
        </w:rPr>
        <w:t>SD</w:t>
      </w:r>
      <w:r w:rsidRPr="00984CD2">
        <w:rPr>
          <w:rFonts w:cstheme="minorHAnsi"/>
        </w:rPr>
        <w:t>s on RP to −0.77 </w:t>
      </w:r>
      <w:r w:rsidRPr="00984CD2">
        <w:rPr>
          <w:rFonts w:cstheme="minorHAnsi"/>
          <w:i/>
          <w:iCs/>
        </w:rPr>
        <w:t>SD</w:t>
      </w:r>
      <w:r w:rsidRPr="00984CD2">
        <w:rPr>
          <w:rFonts w:cstheme="minorHAnsi"/>
        </w:rPr>
        <w:t>s for SF. The effects of region on RP and RE were not statistically significant based on Wald statistics with probability that exceeded .05, which indicated that there was no statistical difference between urban and rural participants on these two factors. All other first-order factors showed that there were statistically significant differences by region. Two models were estimated to determine if omission of a factor would change results, and the effects of region did not differ in models in which BP or SF were omitted. The full list of coefficients for models is provided in </w:t>
      </w:r>
      <w:hyperlink r:id="rId24" w:history="1">
        <w:r w:rsidRPr="00984CD2">
          <w:rPr>
            <w:rStyle w:val="Hyperlink"/>
            <w:rFonts w:cstheme="minorHAnsi"/>
          </w:rPr>
          <w:t>Table 4</w:t>
        </w:r>
      </w:hyperlink>
      <w:r w:rsidRPr="00984CD2">
        <w:rPr>
          <w:rFonts w:cstheme="minorHAnsi"/>
        </w:rPr>
        <w:t>, which also contains the coefficients for the two higher order factors model (with all eight factors) to determine if there were PCS and MCS differences based on region.</w:t>
      </w:r>
    </w:p>
    <w:p w14:paraId="00C8A921" w14:textId="2D0D1841" w:rsidR="00743AA0" w:rsidRPr="00984CD2" w:rsidRDefault="00743AA0" w:rsidP="00287817">
      <w:pPr>
        <w:rPr>
          <w:rFonts w:cstheme="minorHAnsi"/>
        </w:rPr>
      </w:pPr>
    </w:p>
    <w:p w14:paraId="6A68311B" w14:textId="39E537A6" w:rsidR="00743AA0" w:rsidRPr="00984CD2" w:rsidRDefault="00743AA0" w:rsidP="00287817">
      <w:pPr>
        <w:rPr>
          <w:rFonts w:cstheme="minorHAnsi"/>
        </w:rPr>
      </w:pPr>
      <w:r w:rsidRPr="00984CD2">
        <w:rPr>
          <w:rFonts w:cstheme="minorHAnsi"/>
          <w:noProof/>
        </w:rPr>
        <w:lastRenderedPageBreak/>
        <w:drawing>
          <wp:inline distT="0" distB="0" distL="0" distR="0" wp14:anchorId="47AD552C" wp14:editId="1F890454">
            <wp:extent cx="4763135" cy="3615055"/>
            <wp:effectExtent l="0" t="0" r="0" b="4445"/>
            <wp:docPr id="12" name="Picture 12" descr="Table 4. Effect of Age and Rural Geographic Location With Urban Participants as Reference Grou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bl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3135" cy="3615055"/>
                    </a:xfrm>
                    <a:prstGeom prst="rect">
                      <a:avLst/>
                    </a:prstGeom>
                    <a:noFill/>
                    <a:ln>
                      <a:noFill/>
                    </a:ln>
                  </pic:spPr>
                </pic:pic>
              </a:graphicData>
            </a:graphic>
          </wp:inline>
        </w:drawing>
      </w:r>
    </w:p>
    <w:p w14:paraId="48B180C0" w14:textId="2F9C2F79" w:rsidR="004A2FC0" w:rsidRDefault="00743AA0" w:rsidP="00EA0C4A">
      <w:pPr>
        <w:rPr>
          <w:rFonts w:cstheme="minorHAnsi"/>
        </w:rPr>
      </w:pPr>
      <w:r w:rsidRPr="00984CD2">
        <w:rPr>
          <w:rFonts w:cstheme="minorHAnsi"/>
          <w:b/>
          <w:bCs/>
        </w:rPr>
        <w:t>Table 4.</w:t>
      </w:r>
      <w:r w:rsidRPr="00984CD2">
        <w:rPr>
          <w:rFonts w:cstheme="minorHAnsi"/>
        </w:rPr>
        <w:t xml:space="preserve"> Effect of Age and Rural Geographic Location </w:t>
      </w:r>
      <w:proofErr w:type="gramStart"/>
      <w:r w:rsidRPr="00984CD2">
        <w:rPr>
          <w:rFonts w:cstheme="minorHAnsi"/>
        </w:rPr>
        <w:t>With</w:t>
      </w:r>
      <w:proofErr w:type="gramEnd"/>
      <w:r w:rsidRPr="00984CD2">
        <w:rPr>
          <w:rFonts w:cstheme="minorHAnsi"/>
        </w:rPr>
        <w:t xml:space="preserve"> Urban Participants as Reference Group.</w:t>
      </w:r>
    </w:p>
    <w:p w14:paraId="17B5043A" w14:textId="77777777" w:rsidR="004A2FC0" w:rsidRDefault="004A2FC0" w:rsidP="004A2FC0">
      <w:r>
        <w:rPr>
          <w:rStyle w:val="Strong"/>
        </w:rPr>
        <w:t>Table 4.</w:t>
      </w:r>
      <w:r>
        <w:t> </w:t>
      </w:r>
    </w:p>
    <w:p w14:paraId="166FE968" w14:textId="77777777" w:rsidR="004A2FC0" w:rsidRDefault="004A2FC0" w:rsidP="004A2FC0">
      <w:pPr>
        <w:spacing w:line="240" w:lineRule="atLeast"/>
        <w:rPr>
          <w:sz w:val="20"/>
          <w:szCs w:val="20"/>
        </w:rPr>
      </w:pPr>
      <w:r>
        <w:rPr>
          <w:sz w:val="20"/>
          <w:szCs w:val="20"/>
        </w:rPr>
        <w:t xml:space="preserve">Effect of Age and Rural Geographic Location </w:t>
      </w:r>
      <w:proofErr w:type="gramStart"/>
      <w:r>
        <w:rPr>
          <w:sz w:val="20"/>
          <w:szCs w:val="20"/>
        </w:rPr>
        <w:t>With</w:t>
      </w:r>
      <w:proofErr w:type="gramEnd"/>
      <w:r>
        <w:rPr>
          <w:sz w:val="20"/>
          <w:szCs w:val="20"/>
        </w:rPr>
        <w:t xml:space="preserve"> Urban Participants as Reference Group.</w:t>
      </w:r>
    </w:p>
    <w:tbl>
      <w:tblPr>
        <w:tblStyle w:val="TableGrid"/>
        <w:tblW w:w="0" w:type="auto"/>
        <w:tblLook w:val="04A0" w:firstRow="1" w:lastRow="0" w:firstColumn="1" w:lastColumn="0" w:noHBand="0" w:noVBand="1"/>
      </w:tblPr>
      <w:tblGrid>
        <w:gridCol w:w="3264"/>
        <w:gridCol w:w="569"/>
        <w:gridCol w:w="571"/>
        <w:gridCol w:w="684"/>
        <w:gridCol w:w="870"/>
      </w:tblGrid>
      <w:tr w:rsidR="004004BD" w14:paraId="7AA9D0AB" w14:textId="77777777" w:rsidTr="003B2833">
        <w:tc>
          <w:tcPr>
            <w:tcW w:w="0" w:type="auto"/>
            <w:hideMark/>
          </w:tcPr>
          <w:p w14:paraId="5E5A076E" w14:textId="77777777" w:rsidR="004A2FC0" w:rsidRDefault="004A2FC0">
            <w:pPr>
              <w:spacing w:line="240" w:lineRule="atLeast"/>
              <w:jc w:val="center"/>
              <w:rPr>
                <w:sz w:val="20"/>
                <w:szCs w:val="20"/>
              </w:rPr>
            </w:pPr>
            <w:r>
              <w:rPr>
                <w:sz w:val="20"/>
                <w:szCs w:val="20"/>
              </w:rPr>
              <w:t> </w:t>
            </w:r>
          </w:p>
        </w:tc>
        <w:tc>
          <w:tcPr>
            <w:tcW w:w="0" w:type="auto"/>
            <w:hideMark/>
          </w:tcPr>
          <w:p w14:paraId="3EDC0032" w14:textId="77777777" w:rsidR="004A2FC0" w:rsidRDefault="004A2FC0">
            <w:pPr>
              <w:jc w:val="center"/>
              <w:rPr>
                <w:sz w:val="24"/>
                <w:szCs w:val="24"/>
              </w:rPr>
            </w:pPr>
            <w:r>
              <w:t>β</w:t>
            </w:r>
          </w:p>
        </w:tc>
        <w:tc>
          <w:tcPr>
            <w:tcW w:w="0" w:type="auto"/>
            <w:hideMark/>
          </w:tcPr>
          <w:p w14:paraId="190053F6" w14:textId="77777777" w:rsidR="004A2FC0" w:rsidRDefault="004A2FC0">
            <w:pPr>
              <w:jc w:val="center"/>
            </w:pPr>
            <w:r>
              <w:rPr>
                <w:rStyle w:val="Emphasis"/>
              </w:rPr>
              <w:t>SE</w:t>
            </w:r>
          </w:p>
        </w:tc>
        <w:tc>
          <w:tcPr>
            <w:tcW w:w="0" w:type="auto"/>
            <w:hideMark/>
          </w:tcPr>
          <w:p w14:paraId="3CA1B705" w14:textId="77777777" w:rsidR="004A2FC0" w:rsidRDefault="004A2FC0">
            <w:pPr>
              <w:jc w:val="center"/>
            </w:pPr>
            <w:r>
              <w:t>Wald</w:t>
            </w:r>
          </w:p>
        </w:tc>
        <w:tc>
          <w:tcPr>
            <w:tcW w:w="0" w:type="auto"/>
            <w:hideMark/>
          </w:tcPr>
          <w:p w14:paraId="22F70C91" w14:textId="77777777" w:rsidR="004A2FC0" w:rsidRDefault="004A2FC0">
            <w:pPr>
              <w:jc w:val="center"/>
            </w:pPr>
            <w:r>
              <w:rPr>
                <w:rStyle w:val="Emphasis"/>
              </w:rPr>
              <w:t>p</w:t>
            </w:r>
          </w:p>
        </w:tc>
      </w:tr>
      <w:tr w:rsidR="006514D5" w14:paraId="0F6A0D10" w14:textId="77777777" w:rsidTr="003B2833">
        <w:tc>
          <w:tcPr>
            <w:tcW w:w="0" w:type="auto"/>
            <w:hideMark/>
          </w:tcPr>
          <w:p w14:paraId="222EBEA0" w14:textId="77777777" w:rsidR="006514D5" w:rsidRDefault="006514D5">
            <w:pPr>
              <w:spacing w:line="240" w:lineRule="atLeast"/>
              <w:rPr>
                <w:sz w:val="20"/>
                <w:szCs w:val="20"/>
              </w:rPr>
            </w:pPr>
            <w:r>
              <w:rPr>
                <w:sz w:val="20"/>
                <w:szCs w:val="20"/>
              </w:rPr>
              <w:t>Age</w:t>
            </w:r>
          </w:p>
        </w:tc>
        <w:tc>
          <w:tcPr>
            <w:tcW w:w="0" w:type="auto"/>
          </w:tcPr>
          <w:p w14:paraId="0737641E" w14:textId="77777777" w:rsidR="006514D5" w:rsidRDefault="006514D5">
            <w:pPr>
              <w:spacing w:line="240" w:lineRule="atLeast"/>
              <w:rPr>
                <w:sz w:val="20"/>
                <w:szCs w:val="20"/>
              </w:rPr>
            </w:pPr>
          </w:p>
        </w:tc>
        <w:tc>
          <w:tcPr>
            <w:tcW w:w="0" w:type="auto"/>
          </w:tcPr>
          <w:p w14:paraId="7653D790" w14:textId="559D1B91" w:rsidR="006514D5" w:rsidRDefault="006514D5">
            <w:pPr>
              <w:spacing w:line="240" w:lineRule="atLeast"/>
              <w:rPr>
                <w:sz w:val="20"/>
                <w:szCs w:val="20"/>
              </w:rPr>
            </w:pPr>
          </w:p>
        </w:tc>
        <w:tc>
          <w:tcPr>
            <w:tcW w:w="0" w:type="auto"/>
          </w:tcPr>
          <w:p w14:paraId="0981AE8B" w14:textId="77777777" w:rsidR="006514D5" w:rsidRDefault="006514D5">
            <w:pPr>
              <w:spacing w:line="240" w:lineRule="atLeast"/>
              <w:rPr>
                <w:sz w:val="20"/>
                <w:szCs w:val="20"/>
              </w:rPr>
            </w:pPr>
          </w:p>
        </w:tc>
        <w:tc>
          <w:tcPr>
            <w:tcW w:w="0" w:type="auto"/>
          </w:tcPr>
          <w:p w14:paraId="5FB72096" w14:textId="6937F13E" w:rsidR="006514D5" w:rsidRDefault="006514D5">
            <w:pPr>
              <w:spacing w:line="240" w:lineRule="atLeast"/>
              <w:rPr>
                <w:sz w:val="20"/>
                <w:szCs w:val="20"/>
              </w:rPr>
            </w:pPr>
          </w:p>
        </w:tc>
      </w:tr>
      <w:tr w:rsidR="006514D5" w14:paraId="4497A488" w14:textId="77777777" w:rsidTr="003B2833">
        <w:tc>
          <w:tcPr>
            <w:tcW w:w="0" w:type="auto"/>
            <w:hideMark/>
          </w:tcPr>
          <w:p w14:paraId="359E0C49" w14:textId="77777777" w:rsidR="006514D5" w:rsidRDefault="006514D5">
            <w:pPr>
              <w:spacing w:line="240" w:lineRule="atLeast"/>
              <w:rPr>
                <w:sz w:val="20"/>
                <w:szCs w:val="20"/>
              </w:rPr>
            </w:pPr>
            <w:r>
              <w:rPr>
                <w:sz w:val="20"/>
                <w:szCs w:val="20"/>
              </w:rPr>
              <w:t> </w:t>
            </w:r>
            <w:r>
              <w:rPr>
                <w:sz w:val="20"/>
                <w:szCs w:val="20"/>
              </w:rPr>
              <w:t>Model 1—First-order factors</w:t>
            </w:r>
          </w:p>
        </w:tc>
        <w:tc>
          <w:tcPr>
            <w:tcW w:w="0" w:type="auto"/>
          </w:tcPr>
          <w:p w14:paraId="54092BBA" w14:textId="77777777" w:rsidR="006514D5" w:rsidRDefault="006514D5">
            <w:pPr>
              <w:spacing w:line="240" w:lineRule="atLeast"/>
              <w:rPr>
                <w:sz w:val="20"/>
                <w:szCs w:val="20"/>
              </w:rPr>
            </w:pPr>
          </w:p>
        </w:tc>
        <w:tc>
          <w:tcPr>
            <w:tcW w:w="0" w:type="auto"/>
          </w:tcPr>
          <w:p w14:paraId="0B4A1474" w14:textId="4E4F51FD" w:rsidR="006514D5" w:rsidRDefault="006514D5">
            <w:pPr>
              <w:spacing w:line="240" w:lineRule="atLeast"/>
              <w:rPr>
                <w:sz w:val="20"/>
                <w:szCs w:val="20"/>
              </w:rPr>
            </w:pPr>
          </w:p>
        </w:tc>
        <w:tc>
          <w:tcPr>
            <w:tcW w:w="0" w:type="auto"/>
          </w:tcPr>
          <w:p w14:paraId="33FF6801" w14:textId="77777777" w:rsidR="006514D5" w:rsidRDefault="006514D5">
            <w:pPr>
              <w:spacing w:line="240" w:lineRule="atLeast"/>
              <w:rPr>
                <w:sz w:val="20"/>
                <w:szCs w:val="20"/>
              </w:rPr>
            </w:pPr>
          </w:p>
        </w:tc>
        <w:tc>
          <w:tcPr>
            <w:tcW w:w="0" w:type="auto"/>
          </w:tcPr>
          <w:p w14:paraId="7283C7DF" w14:textId="366757BF" w:rsidR="006514D5" w:rsidRDefault="006514D5">
            <w:pPr>
              <w:spacing w:line="240" w:lineRule="atLeast"/>
              <w:rPr>
                <w:sz w:val="20"/>
                <w:szCs w:val="20"/>
              </w:rPr>
            </w:pPr>
          </w:p>
        </w:tc>
      </w:tr>
      <w:tr w:rsidR="004004BD" w14:paraId="7288A212" w14:textId="77777777" w:rsidTr="003B2833">
        <w:tc>
          <w:tcPr>
            <w:tcW w:w="0" w:type="auto"/>
            <w:hideMark/>
          </w:tcPr>
          <w:p w14:paraId="088FCC40" w14:textId="77777777" w:rsidR="004A2FC0" w:rsidRDefault="004A2FC0">
            <w:pPr>
              <w:spacing w:line="240" w:lineRule="atLeast"/>
              <w:rPr>
                <w:sz w:val="20"/>
                <w:szCs w:val="20"/>
              </w:rPr>
            </w:pPr>
            <w:r>
              <w:rPr>
                <w:sz w:val="20"/>
                <w:szCs w:val="20"/>
              </w:rPr>
              <w:t> </w:t>
            </w:r>
            <w:r>
              <w:rPr>
                <w:sz w:val="20"/>
                <w:szCs w:val="20"/>
              </w:rPr>
              <w:t> </w:t>
            </w:r>
            <w:r>
              <w:rPr>
                <w:sz w:val="20"/>
                <w:szCs w:val="20"/>
              </w:rPr>
              <w:t>Physical functioning</w:t>
            </w:r>
          </w:p>
        </w:tc>
        <w:tc>
          <w:tcPr>
            <w:tcW w:w="0" w:type="auto"/>
            <w:hideMark/>
          </w:tcPr>
          <w:p w14:paraId="0F9B7ABC" w14:textId="77777777" w:rsidR="004A2FC0" w:rsidRDefault="004A2FC0">
            <w:pPr>
              <w:spacing w:line="240" w:lineRule="atLeast"/>
              <w:jc w:val="center"/>
              <w:rPr>
                <w:sz w:val="20"/>
                <w:szCs w:val="20"/>
              </w:rPr>
            </w:pPr>
            <w:r>
              <w:rPr>
                <w:sz w:val="20"/>
                <w:szCs w:val="20"/>
              </w:rPr>
              <w:t>−.04</w:t>
            </w:r>
          </w:p>
        </w:tc>
        <w:tc>
          <w:tcPr>
            <w:tcW w:w="0" w:type="auto"/>
            <w:hideMark/>
          </w:tcPr>
          <w:p w14:paraId="5AC03CB6" w14:textId="77777777" w:rsidR="004A2FC0" w:rsidRDefault="004A2FC0">
            <w:pPr>
              <w:spacing w:line="240" w:lineRule="atLeast"/>
              <w:jc w:val="center"/>
              <w:rPr>
                <w:sz w:val="20"/>
                <w:szCs w:val="20"/>
              </w:rPr>
            </w:pPr>
            <w:r>
              <w:rPr>
                <w:sz w:val="20"/>
                <w:szCs w:val="20"/>
              </w:rPr>
              <w:t>0.01</w:t>
            </w:r>
          </w:p>
        </w:tc>
        <w:tc>
          <w:tcPr>
            <w:tcW w:w="0" w:type="auto"/>
            <w:hideMark/>
          </w:tcPr>
          <w:p w14:paraId="1BE5F7B9" w14:textId="77777777" w:rsidR="004A2FC0" w:rsidRDefault="004A2FC0">
            <w:pPr>
              <w:spacing w:line="240" w:lineRule="atLeast"/>
              <w:jc w:val="center"/>
              <w:rPr>
                <w:sz w:val="20"/>
                <w:szCs w:val="20"/>
              </w:rPr>
            </w:pPr>
            <w:r>
              <w:rPr>
                <w:sz w:val="20"/>
                <w:szCs w:val="20"/>
              </w:rPr>
              <w:t>−3.08</w:t>
            </w:r>
          </w:p>
        </w:tc>
        <w:tc>
          <w:tcPr>
            <w:tcW w:w="0" w:type="auto"/>
            <w:hideMark/>
          </w:tcPr>
          <w:p w14:paraId="605D335F" w14:textId="77777777" w:rsidR="004A2FC0" w:rsidRDefault="004A2FC0">
            <w:pPr>
              <w:spacing w:line="240" w:lineRule="atLeast"/>
              <w:jc w:val="center"/>
              <w:rPr>
                <w:sz w:val="20"/>
                <w:szCs w:val="20"/>
              </w:rPr>
            </w:pPr>
            <w:r>
              <w:rPr>
                <w:sz w:val="20"/>
                <w:szCs w:val="20"/>
              </w:rPr>
              <w:t>.002</w:t>
            </w:r>
            <w:hyperlink r:id="rId26" w:anchor="table-fn5-2333721418782812" w:history="1">
              <w:r>
                <w:rPr>
                  <w:rStyle w:val="Hyperlink"/>
                  <w:color w:val="000000"/>
                  <w:sz w:val="20"/>
                  <w:szCs w:val="20"/>
                </w:rPr>
                <w:t>***</w:t>
              </w:r>
            </w:hyperlink>
          </w:p>
        </w:tc>
      </w:tr>
      <w:tr w:rsidR="004004BD" w14:paraId="26CDF76A" w14:textId="77777777" w:rsidTr="003B2833">
        <w:tc>
          <w:tcPr>
            <w:tcW w:w="0" w:type="auto"/>
            <w:hideMark/>
          </w:tcPr>
          <w:p w14:paraId="7EBE6F37" w14:textId="77777777" w:rsidR="004A2FC0" w:rsidRDefault="004A2FC0">
            <w:pPr>
              <w:spacing w:line="240" w:lineRule="atLeast"/>
              <w:rPr>
                <w:sz w:val="20"/>
                <w:szCs w:val="20"/>
              </w:rPr>
            </w:pPr>
            <w:r>
              <w:rPr>
                <w:sz w:val="20"/>
                <w:szCs w:val="20"/>
              </w:rPr>
              <w:t> </w:t>
            </w:r>
            <w:r>
              <w:rPr>
                <w:sz w:val="20"/>
                <w:szCs w:val="20"/>
              </w:rPr>
              <w:t> </w:t>
            </w:r>
            <w:r>
              <w:rPr>
                <w:sz w:val="20"/>
                <w:szCs w:val="20"/>
              </w:rPr>
              <w:t>Role limits—Physical problems</w:t>
            </w:r>
          </w:p>
        </w:tc>
        <w:tc>
          <w:tcPr>
            <w:tcW w:w="0" w:type="auto"/>
            <w:hideMark/>
          </w:tcPr>
          <w:p w14:paraId="6ABD99B9" w14:textId="77777777" w:rsidR="004A2FC0" w:rsidRDefault="004A2FC0">
            <w:pPr>
              <w:spacing w:line="240" w:lineRule="atLeast"/>
              <w:jc w:val="center"/>
              <w:rPr>
                <w:sz w:val="20"/>
                <w:szCs w:val="20"/>
              </w:rPr>
            </w:pPr>
            <w:r>
              <w:rPr>
                <w:sz w:val="20"/>
                <w:szCs w:val="20"/>
              </w:rPr>
              <w:t>−.02</w:t>
            </w:r>
          </w:p>
        </w:tc>
        <w:tc>
          <w:tcPr>
            <w:tcW w:w="0" w:type="auto"/>
            <w:hideMark/>
          </w:tcPr>
          <w:p w14:paraId="06BF3B15" w14:textId="77777777" w:rsidR="004A2FC0" w:rsidRDefault="004A2FC0">
            <w:pPr>
              <w:spacing w:line="240" w:lineRule="atLeast"/>
              <w:jc w:val="center"/>
              <w:rPr>
                <w:sz w:val="20"/>
                <w:szCs w:val="20"/>
              </w:rPr>
            </w:pPr>
            <w:r>
              <w:rPr>
                <w:sz w:val="20"/>
                <w:szCs w:val="20"/>
              </w:rPr>
              <w:t>0.02</w:t>
            </w:r>
          </w:p>
        </w:tc>
        <w:tc>
          <w:tcPr>
            <w:tcW w:w="0" w:type="auto"/>
            <w:hideMark/>
          </w:tcPr>
          <w:p w14:paraId="714A452E" w14:textId="77777777" w:rsidR="004A2FC0" w:rsidRDefault="004A2FC0">
            <w:pPr>
              <w:spacing w:line="240" w:lineRule="atLeast"/>
              <w:jc w:val="center"/>
              <w:rPr>
                <w:sz w:val="20"/>
                <w:szCs w:val="20"/>
              </w:rPr>
            </w:pPr>
            <w:r>
              <w:rPr>
                <w:sz w:val="20"/>
                <w:szCs w:val="20"/>
              </w:rPr>
              <w:t>−1.18</w:t>
            </w:r>
          </w:p>
        </w:tc>
        <w:tc>
          <w:tcPr>
            <w:tcW w:w="0" w:type="auto"/>
            <w:hideMark/>
          </w:tcPr>
          <w:p w14:paraId="494CEA86" w14:textId="77777777" w:rsidR="004A2FC0" w:rsidRDefault="004A2FC0">
            <w:pPr>
              <w:spacing w:line="240" w:lineRule="atLeast"/>
              <w:jc w:val="center"/>
              <w:rPr>
                <w:sz w:val="20"/>
                <w:szCs w:val="20"/>
              </w:rPr>
            </w:pPr>
            <w:r>
              <w:rPr>
                <w:sz w:val="20"/>
                <w:szCs w:val="20"/>
              </w:rPr>
              <w:t>.239</w:t>
            </w:r>
          </w:p>
        </w:tc>
      </w:tr>
      <w:tr w:rsidR="004004BD" w14:paraId="75E9A371" w14:textId="77777777" w:rsidTr="003B2833">
        <w:tc>
          <w:tcPr>
            <w:tcW w:w="0" w:type="auto"/>
            <w:hideMark/>
          </w:tcPr>
          <w:p w14:paraId="46996417" w14:textId="77777777" w:rsidR="004A2FC0" w:rsidRDefault="004A2FC0">
            <w:pPr>
              <w:spacing w:line="240" w:lineRule="atLeast"/>
              <w:rPr>
                <w:sz w:val="20"/>
                <w:szCs w:val="20"/>
              </w:rPr>
            </w:pPr>
            <w:r>
              <w:rPr>
                <w:sz w:val="20"/>
                <w:szCs w:val="20"/>
              </w:rPr>
              <w:t> </w:t>
            </w:r>
            <w:r>
              <w:rPr>
                <w:sz w:val="20"/>
                <w:szCs w:val="20"/>
              </w:rPr>
              <w:t> </w:t>
            </w:r>
            <w:r>
              <w:rPr>
                <w:sz w:val="20"/>
                <w:szCs w:val="20"/>
              </w:rPr>
              <w:t>Bodily pain</w:t>
            </w:r>
          </w:p>
        </w:tc>
        <w:tc>
          <w:tcPr>
            <w:tcW w:w="0" w:type="auto"/>
            <w:hideMark/>
          </w:tcPr>
          <w:p w14:paraId="05A1A43F" w14:textId="77777777" w:rsidR="004A2FC0" w:rsidRDefault="004A2FC0">
            <w:pPr>
              <w:spacing w:line="240" w:lineRule="atLeast"/>
              <w:jc w:val="center"/>
              <w:rPr>
                <w:sz w:val="20"/>
                <w:szCs w:val="20"/>
              </w:rPr>
            </w:pPr>
            <w:r>
              <w:rPr>
                <w:sz w:val="20"/>
                <w:szCs w:val="20"/>
              </w:rPr>
              <w:t>.00</w:t>
            </w:r>
          </w:p>
        </w:tc>
        <w:tc>
          <w:tcPr>
            <w:tcW w:w="0" w:type="auto"/>
            <w:hideMark/>
          </w:tcPr>
          <w:p w14:paraId="2526A8DB" w14:textId="77777777" w:rsidR="004A2FC0" w:rsidRDefault="004A2FC0">
            <w:pPr>
              <w:spacing w:line="240" w:lineRule="atLeast"/>
              <w:jc w:val="center"/>
              <w:rPr>
                <w:sz w:val="20"/>
                <w:szCs w:val="20"/>
              </w:rPr>
            </w:pPr>
            <w:r>
              <w:rPr>
                <w:sz w:val="20"/>
                <w:szCs w:val="20"/>
              </w:rPr>
              <w:t>0.02</w:t>
            </w:r>
          </w:p>
        </w:tc>
        <w:tc>
          <w:tcPr>
            <w:tcW w:w="0" w:type="auto"/>
            <w:hideMark/>
          </w:tcPr>
          <w:p w14:paraId="5728943A" w14:textId="77777777" w:rsidR="004A2FC0" w:rsidRDefault="004A2FC0">
            <w:pPr>
              <w:spacing w:line="240" w:lineRule="atLeast"/>
              <w:jc w:val="center"/>
              <w:rPr>
                <w:sz w:val="20"/>
                <w:szCs w:val="20"/>
              </w:rPr>
            </w:pPr>
            <w:r>
              <w:rPr>
                <w:sz w:val="20"/>
                <w:szCs w:val="20"/>
              </w:rPr>
              <w:t>0.20</w:t>
            </w:r>
          </w:p>
        </w:tc>
        <w:tc>
          <w:tcPr>
            <w:tcW w:w="0" w:type="auto"/>
            <w:hideMark/>
          </w:tcPr>
          <w:p w14:paraId="4ACB5787" w14:textId="77777777" w:rsidR="004A2FC0" w:rsidRDefault="004A2FC0">
            <w:pPr>
              <w:spacing w:line="240" w:lineRule="atLeast"/>
              <w:jc w:val="center"/>
              <w:rPr>
                <w:sz w:val="20"/>
                <w:szCs w:val="20"/>
              </w:rPr>
            </w:pPr>
            <w:r>
              <w:rPr>
                <w:sz w:val="20"/>
                <w:szCs w:val="20"/>
              </w:rPr>
              <w:t>.839</w:t>
            </w:r>
          </w:p>
        </w:tc>
      </w:tr>
      <w:tr w:rsidR="004004BD" w14:paraId="37823BAD" w14:textId="77777777" w:rsidTr="003B2833">
        <w:tc>
          <w:tcPr>
            <w:tcW w:w="0" w:type="auto"/>
            <w:hideMark/>
          </w:tcPr>
          <w:p w14:paraId="1F30183E" w14:textId="77777777" w:rsidR="004A2FC0" w:rsidRDefault="004A2FC0">
            <w:pPr>
              <w:spacing w:line="240" w:lineRule="atLeast"/>
              <w:rPr>
                <w:sz w:val="20"/>
                <w:szCs w:val="20"/>
              </w:rPr>
            </w:pPr>
            <w:r>
              <w:rPr>
                <w:sz w:val="20"/>
                <w:szCs w:val="20"/>
              </w:rPr>
              <w:t> </w:t>
            </w:r>
            <w:r>
              <w:rPr>
                <w:sz w:val="20"/>
                <w:szCs w:val="20"/>
              </w:rPr>
              <w:t> </w:t>
            </w:r>
            <w:r>
              <w:rPr>
                <w:sz w:val="20"/>
                <w:szCs w:val="20"/>
              </w:rPr>
              <w:t>General health</w:t>
            </w:r>
          </w:p>
        </w:tc>
        <w:tc>
          <w:tcPr>
            <w:tcW w:w="0" w:type="auto"/>
            <w:hideMark/>
          </w:tcPr>
          <w:p w14:paraId="131ED579" w14:textId="77777777" w:rsidR="004A2FC0" w:rsidRDefault="004A2FC0">
            <w:pPr>
              <w:spacing w:line="240" w:lineRule="atLeast"/>
              <w:jc w:val="center"/>
              <w:rPr>
                <w:sz w:val="20"/>
                <w:szCs w:val="20"/>
              </w:rPr>
            </w:pPr>
            <w:r>
              <w:rPr>
                <w:sz w:val="20"/>
                <w:szCs w:val="20"/>
              </w:rPr>
              <w:t>−.01</w:t>
            </w:r>
          </w:p>
        </w:tc>
        <w:tc>
          <w:tcPr>
            <w:tcW w:w="0" w:type="auto"/>
            <w:hideMark/>
          </w:tcPr>
          <w:p w14:paraId="20F0395B" w14:textId="77777777" w:rsidR="004A2FC0" w:rsidRDefault="004A2FC0">
            <w:pPr>
              <w:spacing w:line="240" w:lineRule="atLeast"/>
              <w:jc w:val="center"/>
              <w:rPr>
                <w:sz w:val="20"/>
                <w:szCs w:val="20"/>
              </w:rPr>
            </w:pPr>
            <w:r>
              <w:rPr>
                <w:sz w:val="20"/>
                <w:szCs w:val="20"/>
              </w:rPr>
              <w:t>0.01</w:t>
            </w:r>
          </w:p>
        </w:tc>
        <w:tc>
          <w:tcPr>
            <w:tcW w:w="0" w:type="auto"/>
            <w:hideMark/>
          </w:tcPr>
          <w:p w14:paraId="3AD52CF4" w14:textId="77777777" w:rsidR="004A2FC0" w:rsidRDefault="004A2FC0">
            <w:pPr>
              <w:spacing w:line="240" w:lineRule="atLeast"/>
              <w:jc w:val="center"/>
              <w:rPr>
                <w:sz w:val="20"/>
                <w:szCs w:val="20"/>
              </w:rPr>
            </w:pPr>
            <w:r>
              <w:rPr>
                <w:sz w:val="20"/>
                <w:szCs w:val="20"/>
              </w:rPr>
              <w:t>−0.44</w:t>
            </w:r>
          </w:p>
        </w:tc>
        <w:tc>
          <w:tcPr>
            <w:tcW w:w="0" w:type="auto"/>
            <w:hideMark/>
          </w:tcPr>
          <w:p w14:paraId="1F2A5EC4" w14:textId="77777777" w:rsidR="004A2FC0" w:rsidRDefault="004A2FC0">
            <w:pPr>
              <w:spacing w:line="240" w:lineRule="atLeast"/>
              <w:jc w:val="center"/>
              <w:rPr>
                <w:sz w:val="20"/>
                <w:szCs w:val="20"/>
              </w:rPr>
            </w:pPr>
            <w:r>
              <w:rPr>
                <w:sz w:val="20"/>
                <w:szCs w:val="20"/>
              </w:rPr>
              <w:t>.657</w:t>
            </w:r>
          </w:p>
        </w:tc>
      </w:tr>
      <w:tr w:rsidR="004004BD" w14:paraId="3B3BF76B" w14:textId="77777777" w:rsidTr="003B2833">
        <w:tc>
          <w:tcPr>
            <w:tcW w:w="0" w:type="auto"/>
            <w:hideMark/>
          </w:tcPr>
          <w:p w14:paraId="1A3837B6" w14:textId="77777777" w:rsidR="004A2FC0" w:rsidRDefault="004A2FC0">
            <w:pPr>
              <w:spacing w:line="240" w:lineRule="atLeast"/>
              <w:rPr>
                <w:sz w:val="20"/>
                <w:szCs w:val="20"/>
              </w:rPr>
            </w:pPr>
            <w:r>
              <w:rPr>
                <w:sz w:val="20"/>
                <w:szCs w:val="20"/>
              </w:rPr>
              <w:t> </w:t>
            </w:r>
            <w:r>
              <w:rPr>
                <w:sz w:val="20"/>
                <w:szCs w:val="20"/>
              </w:rPr>
              <w:t> </w:t>
            </w:r>
            <w:r>
              <w:rPr>
                <w:sz w:val="20"/>
                <w:szCs w:val="20"/>
              </w:rPr>
              <w:t>Energy/fatigue</w:t>
            </w:r>
          </w:p>
        </w:tc>
        <w:tc>
          <w:tcPr>
            <w:tcW w:w="0" w:type="auto"/>
            <w:hideMark/>
          </w:tcPr>
          <w:p w14:paraId="79BE0F1D" w14:textId="77777777" w:rsidR="004A2FC0" w:rsidRDefault="004A2FC0">
            <w:pPr>
              <w:spacing w:line="240" w:lineRule="atLeast"/>
              <w:jc w:val="center"/>
              <w:rPr>
                <w:sz w:val="20"/>
                <w:szCs w:val="20"/>
              </w:rPr>
            </w:pPr>
            <w:r>
              <w:rPr>
                <w:sz w:val="20"/>
                <w:szCs w:val="20"/>
              </w:rPr>
              <w:t>−.03</w:t>
            </w:r>
          </w:p>
        </w:tc>
        <w:tc>
          <w:tcPr>
            <w:tcW w:w="0" w:type="auto"/>
            <w:hideMark/>
          </w:tcPr>
          <w:p w14:paraId="0B56CF1D" w14:textId="77777777" w:rsidR="004A2FC0" w:rsidRDefault="004A2FC0">
            <w:pPr>
              <w:spacing w:line="240" w:lineRule="atLeast"/>
              <w:jc w:val="center"/>
              <w:rPr>
                <w:sz w:val="20"/>
                <w:szCs w:val="20"/>
              </w:rPr>
            </w:pPr>
            <w:r>
              <w:rPr>
                <w:sz w:val="20"/>
                <w:szCs w:val="20"/>
              </w:rPr>
              <w:t>0.01</w:t>
            </w:r>
          </w:p>
        </w:tc>
        <w:tc>
          <w:tcPr>
            <w:tcW w:w="0" w:type="auto"/>
            <w:hideMark/>
          </w:tcPr>
          <w:p w14:paraId="1C543D84" w14:textId="77777777" w:rsidR="004A2FC0" w:rsidRDefault="004A2FC0">
            <w:pPr>
              <w:spacing w:line="240" w:lineRule="atLeast"/>
              <w:jc w:val="center"/>
              <w:rPr>
                <w:sz w:val="20"/>
                <w:szCs w:val="20"/>
              </w:rPr>
            </w:pPr>
            <w:r>
              <w:rPr>
                <w:sz w:val="20"/>
                <w:szCs w:val="20"/>
              </w:rPr>
              <w:t>−2.05</w:t>
            </w:r>
          </w:p>
        </w:tc>
        <w:tc>
          <w:tcPr>
            <w:tcW w:w="0" w:type="auto"/>
            <w:hideMark/>
          </w:tcPr>
          <w:p w14:paraId="66C8AA59" w14:textId="77777777" w:rsidR="004A2FC0" w:rsidRDefault="004A2FC0">
            <w:pPr>
              <w:spacing w:line="240" w:lineRule="atLeast"/>
              <w:jc w:val="center"/>
              <w:rPr>
                <w:sz w:val="20"/>
                <w:szCs w:val="20"/>
              </w:rPr>
            </w:pPr>
            <w:r>
              <w:rPr>
                <w:sz w:val="20"/>
                <w:szCs w:val="20"/>
              </w:rPr>
              <w:t>.040</w:t>
            </w:r>
            <w:hyperlink r:id="rId27" w:anchor="table-fn5-2333721418782812" w:history="1">
              <w:r>
                <w:rPr>
                  <w:rStyle w:val="Hyperlink"/>
                  <w:color w:val="000000"/>
                  <w:sz w:val="20"/>
                  <w:szCs w:val="20"/>
                </w:rPr>
                <w:t>*</w:t>
              </w:r>
            </w:hyperlink>
          </w:p>
        </w:tc>
      </w:tr>
      <w:tr w:rsidR="004004BD" w14:paraId="31F9F95B" w14:textId="77777777" w:rsidTr="003B2833">
        <w:tc>
          <w:tcPr>
            <w:tcW w:w="0" w:type="auto"/>
            <w:hideMark/>
          </w:tcPr>
          <w:p w14:paraId="068F8A9B" w14:textId="77777777" w:rsidR="004A2FC0" w:rsidRDefault="004A2FC0">
            <w:pPr>
              <w:spacing w:line="240" w:lineRule="atLeast"/>
              <w:rPr>
                <w:sz w:val="20"/>
                <w:szCs w:val="20"/>
              </w:rPr>
            </w:pPr>
            <w:r>
              <w:rPr>
                <w:sz w:val="20"/>
                <w:szCs w:val="20"/>
              </w:rPr>
              <w:t> </w:t>
            </w:r>
            <w:r>
              <w:rPr>
                <w:sz w:val="20"/>
                <w:szCs w:val="20"/>
              </w:rPr>
              <w:t> </w:t>
            </w:r>
            <w:r>
              <w:rPr>
                <w:sz w:val="20"/>
                <w:szCs w:val="20"/>
              </w:rPr>
              <w:t>Social functioning</w:t>
            </w:r>
          </w:p>
        </w:tc>
        <w:tc>
          <w:tcPr>
            <w:tcW w:w="0" w:type="auto"/>
            <w:hideMark/>
          </w:tcPr>
          <w:p w14:paraId="4BC521C4" w14:textId="77777777" w:rsidR="004A2FC0" w:rsidRDefault="004A2FC0">
            <w:pPr>
              <w:spacing w:line="240" w:lineRule="atLeast"/>
              <w:jc w:val="center"/>
              <w:rPr>
                <w:sz w:val="20"/>
                <w:szCs w:val="20"/>
              </w:rPr>
            </w:pPr>
            <w:r>
              <w:rPr>
                <w:sz w:val="20"/>
                <w:szCs w:val="20"/>
              </w:rPr>
              <w:t>.00</w:t>
            </w:r>
          </w:p>
        </w:tc>
        <w:tc>
          <w:tcPr>
            <w:tcW w:w="0" w:type="auto"/>
            <w:hideMark/>
          </w:tcPr>
          <w:p w14:paraId="64AD44A7" w14:textId="77777777" w:rsidR="004A2FC0" w:rsidRDefault="004A2FC0">
            <w:pPr>
              <w:spacing w:line="240" w:lineRule="atLeast"/>
              <w:jc w:val="center"/>
              <w:rPr>
                <w:sz w:val="20"/>
                <w:szCs w:val="20"/>
              </w:rPr>
            </w:pPr>
            <w:r>
              <w:rPr>
                <w:sz w:val="20"/>
                <w:szCs w:val="20"/>
              </w:rPr>
              <w:t>0.02</w:t>
            </w:r>
          </w:p>
        </w:tc>
        <w:tc>
          <w:tcPr>
            <w:tcW w:w="0" w:type="auto"/>
            <w:hideMark/>
          </w:tcPr>
          <w:p w14:paraId="662F9C73" w14:textId="77777777" w:rsidR="004A2FC0" w:rsidRDefault="004A2FC0">
            <w:pPr>
              <w:spacing w:line="240" w:lineRule="atLeast"/>
              <w:jc w:val="center"/>
              <w:rPr>
                <w:sz w:val="20"/>
                <w:szCs w:val="20"/>
              </w:rPr>
            </w:pPr>
            <w:r>
              <w:rPr>
                <w:sz w:val="20"/>
                <w:szCs w:val="20"/>
              </w:rPr>
              <w:t>−0.06</w:t>
            </w:r>
          </w:p>
        </w:tc>
        <w:tc>
          <w:tcPr>
            <w:tcW w:w="0" w:type="auto"/>
            <w:hideMark/>
          </w:tcPr>
          <w:p w14:paraId="4B91C331" w14:textId="77777777" w:rsidR="004A2FC0" w:rsidRDefault="004A2FC0">
            <w:pPr>
              <w:spacing w:line="240" w:lineRule="atLeast"/>
              <w:jc w:val="center"/>
              <w:rPr>
                <w:sz w:val="20"/>
                <w:szCs w:val="20"/>
              </w:rPr>
            </w:pPr>
            <w:r>
              <w:rPr>
                <w:sz w:val="20"/>
                <w:szCs w:val="20"/>
              </w:rPr>
              <w:t>.954</w:t>
            </w:r>
          </w:p>
        </w:tc>
      </w:tr>
      <w:tr w:rsidR="004004BD" w14:paraId="4CEE00C0" w14:textId="77777777" w:rsidTr="003B2833">
        <w:tc>
          <w:tcPr>
            <w:tcW w:w="0" w:type="auto"/>
            <w:hideMark/>
          </w:tcPr>
          <w:p w14:paraId="5DDFE7A2" w14:textId="77777777" w:rsidR="004A2FC0" w:rsidRDefault="004A2FC0">
            <w:pPr>
              <w:spacing w:line="240" w:lineRule="atLeast"/>
              <w:rPr>
                <w:sz w:val="20"/>
                <w:szCs w:val="20"/>
              </w:rPr>
            </w:pPr>
            <w:r>
              <w:rPr>
                <w:sz w:val="20"/>
                <w:szCs w:val="20"/>
              </w:rPr>
              <w:t> </w:t>
            </w:r>
            <w:r>
              <w:rPr>
                <w:sz w:val="20"/>
                <w:szCs w:val="20"/>
              </w:rPr>
              <w:t> </w:t>
            </w:r>
            <w:r>
              <w:rPr>
                <w:sz w:val="20"/>
                <w:szCs w:val="20"/>
              </w:rPr>
              <w:t>Role limits—Emotional problems</w:t>
            </w:r>
          </w:p>
        </w:tc>
        <w:tc>
          <w:tcPr>
            <w:tcW w:w="0" w:type="auto"/>
            <w:hideMark/>
          </w:tcPr>
          <w:p w14:paraId="71C607F1" w14:textId="77777777" w:rsidR="004A2FC0" w:rsidRDefault="004A2FC0">
            <w:pPr>
              <w:spacing w:line="240" w:lineRule="atLeast"/>
              <w:jc w:val="center"/>
              <w:rPr>
                <w:sz w:val="20"/>
                <w:szCs w:val="20"/>
              </w:rPr>
            </w:pPr>
            <w:r>
              <w:rPr>
                <w:sz w:val="20"/>
                <w:szCs w:val="20"/>
              </w:rPr>
              <w:t>−.01</w:t>
            </w:r>
          </w:p>
        </w:tc>
        <w:tc>
          <w:tcPr>
            <w:tcW w:w="0" w:type="auto"/>
            <w:hideMark/>
          </w:tcPr>
          <w:p w14:paraId="552B9D70" w14:textId="77777777" w:rsidR="004A2FC0" w:rsidRDefault="004A2FC0">
            <w:pPr>
              <w:spacing w:line="240" w:lineRule="atLeast"/>
              <w:jc w:val="center"/>
              <w:rPr>
                <w:sz w:val="20"/>
                <w:szCs w:val="20"/>
              </w:rPr>
            </w:pPr>
            <w:r>
              <w:rPr>
                <w:sz w:val="20"/>
                <w:szCs w:val="20"/>
              </w:rPr>
              <w:t>0.02</w:t>
            </w:r>
          </w:p>
        </w:tc>
        <w:tc>
          <w:tcPr>
            <w:tcW w:w="0" w:type="auto"/>
            <w:hideMark/>
          </w:tcPr>
          <w:p w14:paraId="0543B951" w14:textId="77777777" w:rsidR="004A2FC0" w:rsidRDefault="004A2FC0">
            <w:pPr>
              <w:spacing w:line="240" w:lineRule="atLeast"/>
              <w:jc w:val="center"/>
              <w:rPr>
                <w:sz w:val="20"/>
                <w:szCs w:val="20"/>
              </w:rPr>
            </w:pPr>
            <w:r>
              <w:rPr>
                <w:sz w:val="20"/>
                <w:szCs w:val="20"/>
              </w:rPr>
              <w:t>−0.85</w:t>
            </w:r>
          </w:p>
        </w:tc>
        <w:tc>
          <w:tcPr>
            <w:tcW w:w="0" w:type="auto"/>
            <w:hideMark/>
          </w:tcPr>
          <w:p w14:paraId="122913EC" w14:textId="77777777" w:rsidR="004A2FC0" w:rsidRDefault="004A2FC0">
            <w:pPr>
              <w:spacing w:line="240" w:lineRule="atLeast"/>
              <w:jc w:val="center"/>
              <w:rPr>
                <w:sz w:val="20"/>
                <w:szCs w:val="20"/>
              </w:rPr>
            </w:pPr>
            <w:r>
              <w:rPr>
                <w:sz w:val="20"/>
                <w:szCs w:val="20"/>
              </w:rPr>
              <w:t>.397</w:t>
            </w:r>
          </w:p>
        </w:tc>
      </w:tr>
      <w:tr w:rsidR="004004BD" w14:paraId="5407B720" w14:textId="77777777" w:rsidTr="003B2833">
        <w:tc>
          <w:tcPr>
            <w:tcW w:w="0" w:type="auto"/>
            <w:hideMark/>
          </w:tcPr>
          <w:p w14:paraId="619FB28B" w14:textId="77777777" w:rsidR="004A2FC0" w:rsidRDefault="004A2FC0">
            <w:pPr>
              <w:spacing w:line="240" w:lineRule="atLeast"/>
              <w:rPr>
                <w:sz w:val="20"/>
                <w:szCs w:val="20"/>
              </w:rPr>
            </w:pPr>
            <w:r>
              <w:rPr>
                <w:sz w:val="20"/>
                <w:szCs w:val="20"/>
              </w:rPr>
              <w:t> </w:t>
            </w:r>
            <w:r>
              <w:rPr>
                <w:sz w:val="20"/>
                <w:szCs w:val="20"/>
              </w:rPr>
              <w:t> </w:t>
            </w:r>
            <w:r>
              <w:rPr>
                <w:sz w:val="20"/>
                <w:szCs w:val="20"/>
              </w:rPr>
              <w:t>Emotional well-being</w:t>
            </w:r>
          </w:p>
        </w:tc>
        <w:tc>
          <w:tcPr>
            <w:tcW w:w="0" w:type="auto"/>
            <w:hideMark/>
          </w:tcPr>
          <w:p w14:paraId="469174CF" w14:textId="77777777" w:rsidR="004A2FC0" w:rsidRDefault="004A2FC0">
            <w:pPr>
              <w:spacing w:line="240" w:lineRule="atLeast"/>
              <w:jc w:val="center"/>
              <w:rPr>
                <w:sz w:val="20"/>
                <w:szCs w:val="20"/>
              </w:rPr>
            </w:pPr>
            <w:r>
              <w:rPr>
                <w:sz w:val="20"/>
                <w:szCs w:val="20"/>
              </w:rPr>
              <w:t>−.03</w:t>
            </w:r>
          </w:p>
        </w:tc>
        <w:tc>
          <w:tcPr>
            <w:tcW w:w="0" w:type="auto"/>
            <w:hideMark/>
          </w:tcPr>
          <w:p w14:paraId="553AFBC5" w14:textId="77777777" w:rsidR="004A2FC0" w:rsidRDefault="004A2FC0">
            <w:pPr>
              <w:spacing w:line="240" w:lineRule="atLeast"/>
              <w:jc w:val="center"/>
              <w:rPr>
                <w:sz w:val="20"/>
                <w:szCs w:val="20"/>
              </w:rPr>
            </w:pPr>
            <w:r>
              <w:rPr>
                <w:sz w:val="20"/>
                <w:szCs w:val="20"/>
              </w:rPr>
              <w:t>0.01</w:t>
            </w:r>
          </w:p>
        </w:tc>
        <w:tc>
          <w:tcPr>
            <w:tcW w:w="0" w:type="auto"/>
            <w:hideMark/>
          </w:tcPr>
          <w:p w14:paraId="52D994D9" w14:textId="77777777" w:rsidR="004A2FC0" w:rsidRDefault="004A2FC0">
            <w:pPr>
              <w:spacing w:line="240" w:lineRule="atLeast"/>
              <w:jc w:val="center"/>
              <w:rPr>
                <w:sz w:val="20"/>
                <w:szCs w:val="20"/>
              </w:rPr>
            </w:pPr>
            <w:r>
              <w:rPr>
                <w:sz w:val="20"/>
                <w:szCs w:val="20"/>
              </w:rPr>
              <w:t>−2.08</w:t>
            </w:r>
          </w:p>
        </w:tc>
        <w:tc>
          <w:tcPr>
            <w:tcW w:w="0" w:type="auto"/>
            <w:hideMark/>
          </w:tcPr>
          <w:p w14:paraId="00303256" w14:textId="77777777" w:rsidR="004A2FC0" w:rsidRDefault="004A2FC0">
            <w:pPr>
              <w:spacing w:line="240" w:lineRule="atLeast"/>
              <w:jc w:val="center"/>
              <w:rPr>
                <w:sz w:val="20"/>
                <w:szCs w:val="20"/>
              </w:rPr>
            </w:pPr>
            <w:r>
              <w:rPr>
                <w:sz w:val="20"/>
                <w:szCs w:val="20"/>
              </w:rPr>
              <w:t>.038</w:t>
            </w:r>
            <w:hyperlink r:id="rId28" w:anchor="table-fn5-2333721418782812" w:history="1">
              <w:r>
                <w:rPr>
                  <w:rStyle w:val="Hyperlink"/>
                  <w:color w:val="000000"/>
                  <w:sz w:val="20"/>
                  <w:szCs w:val="20"/>
                </w:rPr>
                <w:t>*</w:t>
              </w:r>
            </w:hyperlink>
          </w:p>
        </w:tc>
      </w:tr>
      <w:tr w:rsidR="005C3A57" w14:paraId="4745D1B9" w14:textId="77777777" w:rsidTr="003B2833">
        <w:tc>
          <w:tcPr>
            <w:tcW w:w="0" w:type="auto"/>
            <w:hideMark/>
          </w:tcPr>
          <w:p w14:paraId="464CAD02" w14:textId="77777777" w:rsidR="005C3A57" w:rsidRDefault="005C3A57">
            <w:pPr>
              <w:spacing w:line="240" w:lineRule="atLeast"/>
              <w:rPr>
                <w:sz w:val="20"/>
                <w:szCs w:val="20"/>
              </w:rPr>
            </w:pPr>
            <w:r>
              <w:rPr>
                <w:sz w:val="20"/>
                <w:szCs w:val="20"/>
              </w:rPr>
              <w:t> </w:t>
            </w:r>
            <w:r>
              <w:rPr>
                <w:sz w:val="20"/>
                <w:szCs w:val="20"/>
              </w:rPr>
              <w:t>Model 2—Two higher order factors</w:t>
            </w:r>
          </w:p>
        </w:tc>
        <w:tc>
          <w:tcPr>
            <w:tcW w:w="0" w:type="auto"/>
          </w:tcPr>
          <w:p w14:paraId="0695F168" w14:textId="77777777" w:rsidR="005C3A57" w:rsidRDefault="005C3A57">
            <w:pPr>
              <w:spacing w:line="240" w:lineRule="atLeast"/>
              <w:rPr>
                <w:sz w:val="20"/>
                <w:szCs w:val="20"/>
              </w:rPr>
            </w:pPr>
          </w:p>
        </w:tc>
        <w:tc>
          <w:tcPr>
            <w:tcW w:w="0" w:type="auto"/>
          </w:tcPr>
          <w:p w14:paraId="415AE7CA" w14:textId="77777777" w:rsidR="005C3A57" w:rsidRDefault="005C3A57">
            <w:pPr>
              <w:spacing w:line="240" w:lineRule="atLeast"/>
              <w:rPr>
                <w:sz w:val="20"/>
                <w:szCs w:val="20"/>
              </w:rPr>
            </w:pPr>
          </w:p>
        </w:tc>
        <w:tc>
          <w:tcPr>
            <w:tcW w:w="0" w:type="auto"/>
          </w:tcPr>
          <w:p w14:paraId="577B1563" w14:textId="77777777" w:rsidR="005C3A57" w:rsidRDefault="005C3A57">
            <w:pPr>
              <w:spacing w:line="240" w:lineRule="atLeast"/>
              <w:rPr>
                <w:sz w:val="20"/>
                <w:szCs w:val="20"/>
              </w:rPr>
            </w:pPr>
          </w:p>
        </w:tc>
        <w:tc>
          <w:tcPr>
            <w:tcW w:w="0" w:type="auto"/>
          </w:tcPr>
          <w:p w14:paraId="47093512" w14:textId="0A10EC7A" w:rsidR="005C3A57" w:rsidRDefault="005C3A57">
            <w:pPr>
              <w:spacing w:line="240" w:lineRule="atLeast"/>
              <w:rPr>
                <w:sz w:val="20"/>
                <w:szCs w:val="20"/>
              </w:rPr>
            </w:pPr>
          </w:p>
        </w:tc>
      </w:tr>
      <w:tr w:rsidR="004004BD" w14:paraId="17284376" w14:textId="77777777" w:rsidTr="003B2833">
        <w:tc>
          <w:tcPr>
            <w:tcW w:w="0" w:type="auto"/>
            <w:hideMark/>
          </w:tcPr>
          <w:p w14:paraId="5C8B8C68" w14:textId="77777777" w:rsidR="004A2FC0" w:rsidRDefault="004A2FC0">
            <w:pPr>
              <w:spacing w:line="240" w:lineRule="atLeast"/>
              <w:rPr>
                <w:sz w:val="20"/>
                <w:szCs w:val="20"/>
              </w:rPr>
            </w:pPr>
            <w:r>
              <w:rPr>
                <w:sz w:val="20"/>
                <w:szCs w:val="20"/>
              </w:rPr>
              <w:t> </w:t>
            </w:r>
            <w:r>
              <w:rPr>
                <w:sz w:val="20"/>
                <w:szCs w:val="20"/>
              </w:rPr>
              <w:t> </w:t>
            </w:r>
            <w:r>
              <w:rPr>
                <w:sz w:val="20"/>
                <w:szCs w:val="20"/>
              </w:rPr>
              <w:t>Physical health</w:t>
            </w:r>
          </w:p>
        </w:tc>
        <w:tc>
          <w:tcPr>
            <w:tcW w:w="0" w:type="auto"/>
            <w:hideMark/>
          </w:tcPr>
          <w:p w14:paraId="709668B1" w14:textId="77777777" w:rsidR="004A2FC0" w:rsidRDefault="004A2FC0">
            <w:pPr>
              <w:spacing w:line="240" w:lineRule="atLeast"/>
              <w:jc w:val="center"/>
              <w:rPr>
                <w:sz w:val="20"/>
                <w:szCs w:val="20"/>
              </w:rPr>
            </w:pPr>
            <w:r>
              <w:rPr>
                <w:sz w:val="20"/>
                <w:szCs w:val="20"/>
              </w:rPr>
              <w:t>−.03</w:t>
            </w:r>
          </w:p>
        </w:tc>
        <w:tc>
          <w:tcPr>
            <w:tcW w:w="0" w:type="auto"/>
            <w:hideMark/>
          </w:tcPr>
          <w:p w14:paraId="553B3241" w14:textId="77777777" w:rsidR="004A2FC0" w:rsidRDefault="004A2FC0">
            <w:pPr>
              <w:spacing w:line="240" w:lineRule="atLeast"/>
              <w:jc w:val="center"/>
              <w:rPr>
                <w:sz w:val="20"/>
                <w:szCs w:val="20"/>
              </w:rPr>
            </w:pPr>
            <w:r>
              <w:rPr>
                <w:sz w:val="20"/>
                <w:szCs w:val="20"/>
              </w:rPr>
              <w:t>0.01</w:t>
            </w:r>
          </w:p>
        </w:tc>
        <w:tc>
          <w:tcPr>
            <w:tcW w:w="0" w:type="auto"/>
            <w:hideMark/>
          </w:tcPr>
          <w:p w14:paraId="5B03CD71" w14:textId="77777777" w:rsidR="004A2FC0" w:rsidRDefault="004A2FC0">
            <w:pPr>
              <w:spacing w:line="240" w:lineRule="atLeast"/>
              <w:jc w:val="center"/>
              <w:rPr>
                <w:sz w:val="20"/>
                <w:szCs w:val="20"/>
              </w:rPr>
            </w:pPr>
            <w:r>
              <w:rPr>
                <w:sz w:val="20"/>
                <w:szCs w:val="20"/>
              </w:rPr>
              <w:t>−2.11</w:t>
            </w:r>
          </w:p>
        </w:tc>
        <w:tc>
          <w:tcPr>
            <w:tcW w:w="0" w:type="auto"/>
            <w:hideMark/>
          </w:tcPr>
          <w:p w14:paraId="3BED3C1F" w14:textId="77777777" w:rsidR="004A2FC0" w:rsidRDefault="004A2FC0">
            <w:pPr>
              <w:spacing w:line="240" w:lineRule="atLeast"/>
              <w:jc w:val="center"/>
              <w:rPr>
                <w:sz w:val="20"/>
                <w:szCs w:val="20"/>
              </w:rPr>
            </w:pPr>
            <w:r>
              <w:rPr>
                <w:sz w:val="20"/>
                <w:szCs w:val="20"/>
              </w:rPr>
              <w:t>.035</w:t>
            </w:r>
            <w:hyperlink r:id="rId29" w:anchor="table-fn5-2333721418782812" w:history="1">
              <w:r>
                <w:rPr>
                  <w:rStyle w:val="Hyperlink"/>
                  <w:color w:val="000000"/>
                  <w:sz w:val="20"/>
                  <w:szCs w:val="20"/>
                </w:rPr>
                <w:t>*</w:t>
              </w:r>
            </w:hyperlink>
          </w:p>
        </w:tc>
      </w:tr>
      <w:tr w:rsidR="004004BD" w14:paraId="61513E4E" w14:textId="77777777" w:rsidTr="003B2833">
        <w:tc>
          <w:tcPr>
            <w:tcW w:w="0" w:type="auto"/>
            <w:hideMark/>
          </w:tcPr>
          <w:p w14:paraId="7EB0C34E" w14:textId="77777777" w:rsidR="004A2FC0" w:rsidRDefault="004A2FC0">
            <w:pPr>
              <w:spacing w:line="240" w:lineRule="atLeast"/>
              <w:rPr>
                <w:sz w:val="20"/>
                <w:szCs w:val="20"/>
              </w:rPr>
            </w:pPr>
            <w:r>
              <w:rPr>
                <w:sz w:val="20"/>
                <w:szCs w:val="20"/>
              </w:rPr>
              <w:t> </w:t>
            </w:r>
            <w:r>
              <w:rPr>
                <w:sz w:val="20"/>
                <w:szCs w:val="20"/>
              </w:rPr>
              <w:t> </w:t>
            </w:r>
            <w:r>
              <w:rPr>
                <w:sz w:val="20"/>
                <w:szCs w:val="20"/>
              </w:rPr>
              <w:t>Emotional health</w:t>
            </w:r>
          </w:p>
        </w:tc>
        <w:tc>
          <w:tcPr>
            <w:tcW w:w="0" w:type="auto"/>
            <w:hideMark/>
          </w:tcPr>
          <w:p w14:paraId="5E418570" w14:textId="77777777" w:rsidR="004A2FC0" w:rsidRDefault="004A2FC0">
            <w:pPr>
              <w:spacing w:line="240" w:lineRule="atLeast"/>
              <w:jc w:val="center"/>
              <w:rPr>
                <w:sz w:val="20"/>
                <w:szCs w:val="20"/>
              </w:rPr>
            </w:pPr>
            <w:r>
              <w:rPr>
                <w:sz w:val="20"/>
                <w:szCs w:val="20"/>
              </w:rPr>
              <w:t>−.02</w:t>
            </w:r>
          </w:p>
        </w:tc>
        <w:tc>
          <w:tcPr>
            <w:tcW w:w="0" w:type="auto"/>
            <w:hideMark/>
          </w:tcPr>
          <w:p w14:paraId="12A90E81" w14:textId="77777777" w:rsidR="004A2FC0" w:rsidRDefault="004A2FC0">
            <w:pPr>
              <w:spacing w:line="240" w:lineRule="atLeast"/>
              <w:jc w:val="center"/>
              <w:rPr>
                <w:sz w:val="20"/>
                <w:szCs w:val="20"/>
              </w:rPr>
            </w:pPr>
            <w:r>
              <w:rPr>
                <w:sz w:val="20"/>
                <w:szCs w:val="20"/>
              </w:rPr>
              <w:t>0.01</w:t>
            </w:r>
          </w:p>
        </w:tc>
        <w:tc>
          <w:tcPr>
            <w:tcW w:w="0" w:type="auto"/>
            <w:hideMark/>
          </w:tcPr>
          <w:p w14:paraId="7A9E2527" w14:textId="77777777" w:rsidR="004A2FC0" w:rsidRDefault="004A2FC0">
            <w:pPr>
              <w:spacing w:line="240" w:lineRule="atLeast"/>
              <w:jc w:val="center"/>
              <w:rPr>
                <w:sz w:val="20"/>
                <w:szCs w:val="20"/>
              </w:rPr>
            </w:pPr>
            <w:r>
              <w:rPr>
                <w:sz w:val="20"/>
                <w:szCs w:val="20"/>
              </w:rPr>
              <w:t>−1.81</w:t>
            </w:r>
          </w:p>
        </w:tc>
        <w:tc>
          <w:tcPr>
            <w:tcW w:w="0" w:type="auto"/>
            <w:hideMark/>
          </w:tcPr>
          <w:p w14:paraId="20045583" w14:textId="77777777" w:rsidR="004A2FC0" w:rsidRDefault="004A2FC0">
            <w:pPr>
              <w:spacing w:line="240" w:lineRule="atLeast"/>
              <w:jc w:val="center"/>
              <w:rPr>
                <w:sz w:val="20"/>
                <w:szCs w:val="20"/>
              </w:rPr>
            </w:pPr>
            <w:r>
              <w:rPr>
                <w:sz w:val="20"/>
                <w:szCs w:val="20"/>
              </w:rPr>
              <w:t>.071</w:t>
            </w:r>
            <w:hyperlink r:id="rId30" w:anchor="table-fn5-2333721418782812" w:history="1">
              <w:r>
                <w:rPr>
                  <w:rStyle w:val="Hyperlink"/>
                  <w:color w:val="000000"/>
                  <w:sz w:val="20"/>
                  <w:szCs w:val="20"/>
                </w:rPr>
                <w:t>*</w:t>
              </w:r>
            </w:hyperlink>
          </w:p>
        </w:tc>
      </w:tr>
      <w:tr w:rsidR="0049531E" w14:paraId="41730D32" w14:textId="77777777" w:rsidTr="003B2833">
        <w:tc>
          <w:tcPr>
            <w:tcW w:w="0" w:type="auto"/>
            <w:hideMark/>
          </w:tcPr>
          <w:p w14:paraId="28EC49FC" w14:textId="77777777" w:rsidR="0049531E" w:rsidRDefault="0049531E">
            <w:pPr>
              <w:spacing w:line="240" w:lineRule="atLeast"/>
              <w:rPr>
                <w:sz w:val="20"/>
                <w:szCs w:val="20"/>
              </w:rPr>
            </w:pPr>
            <w:r>
              <w:rPr>
                <w:sz w:val="20"/>
                <w:szCs w:val="20"/>
              </w:rPr>
              <w:t>Rural</w:t>
            </w:r>
          </w:p>
        </w:tc>
        <w:tc>
          <w:tcPr>
            <w:tcW w:w="0" w:type="auto"/>
          </w:tcPr>
          <w:p w14:paraId="09F4E49D" w14:textId="77777777" w:rsidR="0049531E" w:rsidRDefault="0049531E">
            <w:pPr>
              <w:spacing w:line="240" w:lineRule="atLeast"/>
              <w:rPr>
                <w:sz w:val="20"/>
                <w:szCs w:val="20"/>
              </w:rPr>
            </w:pPr>
          </w:p>
        </w:tc>
        <w:tc>
          <w:tcPr>
            <w:tcW w:w="0" w:type="auto"/>
          </w:tcPr>
          <w:p w14:paraId="18F2D52A" w14:textId="77777777" w:rsidR="0049531E" w:rsidRDefault="0049531E">
            <w:pPr>
              <w:spacing w:line="240" w:lineRule="atLeast"/>
              <w:rPr>
                <w:sz w:val="20"/>
                <w:szCs w:val="20"/>
              </w:rPr>
            </w:pPr>
          </w:p>
        </w:tc>
        <w:tc>
          <w:tcPr>
            <w:tcW w:w="0" w:type="auto"/>
          </w:tcPr>
          <w:p w14:paraId="12F3201F" w14:textId="7E51889C" w:rsidR="0049531E" w:rsidRDefault="0049531E">
            <w:pPr>
              <w:spacing w:line="240" w:lineRule="atLeast"/>
              <w:rPr>
                <w:sz w:val="20"/>
                <w:szCs w:val="20"/>
              </w:rPr>
            </w:pPr>
          </w:p>
        </w:tc>
        <w:tc>
          <w:tcPr>
            <w:tcW w:w="0" w:type="auto"/>
          </w:tcPr>
          <w:p w14:paraId="04D02DA0" w14:textId="0A4234B2" w:rsidR="0049531E" w:rsidRDefault="0049531E">
            <w:pPr>
              <w:spacing w:line="240" w:lineRule="atLeast"/>
              <w:rPr>
                <w:sz w:val="20"/>
                <w:szCs w:val="20"/>
              </w:rPr>
            </w:pPr>
          </w:p>
        </w:tc>
      </w:tr>
      <w:tr w:rsidR="0095261B" w14:paraId="7C1ED42A" w14:textId="77777777" w:rsidTr="003B2833">
        <w:tc>
          <w:tcPr>
            <w:tcW w:w="0" w:type="auto"/>
            <w:hideMark/>
          </w:tcPr>
          <w:p w14:paraId="79259ACE" w14:textId="798B4106" w:rsidR="0095261B" w:rsidRDefault="0095261B">
            <w:pPr>
              <w:spacing w:line="240" w:lineRule="atLeast"/>
              <w:rPr>
                <w:sz w:val="20"/>
                <w:szCs w:val="20"/>
              </w:rPr>
            </w:pPr>
            <w:r>
              <w:rPr>
                <w:sz w:val="20"/>
                <w:szCs w:val="20"/>
              </w:rPr>
              <w:t> </w:t>
            </w:r>
            <w:r>
              <w:rPr>
                <w:sz w:val="20"/>
                <w:szCs w:val="20"/>
              </w:rPr>
              <w:t>Model 1—First-order factors</w:t>
            </w:r>
          </w:p>
        </w:tc>
        <w:tc>
          <w:tcPr>
            <w:tcW w:w="0" w:type="auto"/>
          </w:tcPr>
          <w:p w14:paraId="5074B58F" w14:textId="77777777" w:rsidR="0095261B" w:rsidRDefault="0095261B">
            <w:pPr>
              <w:spacing w:line="240" w:lineRule="atLeast"/>
              <w:rPr>
                <w:sz w:val="20"/>
                <w:szCs w:val="20"/>
              </w:rPr>
            </w:pPr>
          </w:p>
        </w:tc>
        <w:tc>
          <w:tcPr>
            <w:tcW w:w="0" w:type="auto"/>
          </w:tcPr>
          <w:p w14:paraId="32B0D263" w14:textId="3249B36A" w:rsidR="0095261B" w:rsidRDefault="0095261B">
            <w:pPr>
              <w:spacing w:line="240" w:lineRule="atLeast"/>
              <w:rPr>
                <w:sz w:val="20"/>
                <w:szCs w:val="20"/>
              </w:rPr>
            </w:pPr>
          </w:p>
        </w:tc>
        <w:tc>
          <w:tcPr>
            <w:tcW w:w="0" w:type="auto"/>
          </w:tcPr>
          <w:p w14:paraId="4483FC0D" w14:textId="77777777" w:rsidR="0095261B" w:rsidRDefault="0095261B">
            <w:pPr>
              <w:spacing w:line="240" w:lineRule="atLeast"/>
              <w:rPr>
                <w:sz w:val="20"/>
                <w:szCs w:val="20"/>
              </w:rPr>
            </w:pPr>
          </w:p>
        </w:tc>
        <w:tc>
          <w:tcPr>
            <w:tcW w:w="0" w:type="auto"/>
          </w:tcPr>
          <w:p w14:paraId="75CE083C" w14:textId="18B482DE" w:rsidR="0095261B" w:rsidRDefault="0095261B">
            <w:pPr>
              <w:spacing w:line="240" w:lineRule="atLeast"/>
              <w:rPr>
                <w:sz w:val="20"/>
                <w:szCs w:val="20"/>
              </w:rPr>
            </w:pPr>
          </w:p>
        </w:tc>
      </w:tr>
      <w:tr w:rsidR="004004BD" w14:paraId="4573F3E9" w14:textId="77777777" w:rsidTr="003B2833">
        <w:tc>
          <w:tcPr>
            <w:tcW w:w="0" w:type="auto"/>
            <w:hideMark/>
          </w:tcPr>
          <w:p w14:paraId="45BE3E87" w14:textId="77777777" w:rsidR="004A2FC0" w:rsidRDefault="004A2FC0">
            <w:pPr>
              <w:spacing w:line="240" w:lineRule="atLeast"/>
              <w:rPr>
                <w:sz w:val="20"/>
                <w:szCs w:val="20"/>
              </w:rPr>
            </w:pPr>
            <w:r>
              <w:rPr>
                <w:sz w:val="20"/>
                <w:szCs w:val="20"/>
              </w:rPr>
              <w:t> </w:t>
            </w:r>
            <w:r>
              <w:rPr>
                <w:sz w:val="20"/>
                <w:szCs w:val="20"/>
              </w:rPr>
              <w:t> </w:t>
            </w:r>
            <w:r>
              <w:rPr>
                <w:sz w:val="20"/>
                <w:szCs w:val="20"/>
              </w:rPr>
              <w:t>Physical functioning</w:t>
            </w:r>
          </w:p>
        </w:tc>
        <w:tc>
          <w:tcPr>
            <w:tcW w:w="0" w:type="auto"/>
            <w:hideMark/>
          </w:tcPr>
          <w:p w14:paraId="2E7190D8" w14:textId="77777777" w:rsidR="004A2FC0" w:rsidRDefault="004A2FC0">
            <w:pPr>
              <w:spacing w:line="240" w:lineRule="atLeast"/>
              <w:jc w:val="center"/>
              <w:rPr>
                <w:sz w:val="20"/>
                <w:szCs w:val="20"/>
              </w:rPr>
            </w:pPr>
            <w:r>
              <w:rPr>
                <w:sz w:val="20"/>
                <w:szCs w:val="20"/>
              </w:rPr>
              <w:t>−.57</w:t>
            </w:r>
          </w:p>
        </w:tc>
        <w:tc>
          <w:tcPr>
            <w:tcW w:w="0" w:type="auto"/>
            <w:hideMark/>
          </w:tcPr>
          <w:p w14:paraId="55CE731A" w14:textId="77777777" w:rsidR="004A2FC0" w:rsidRDefault="004A2FC0">
            <w:pPr>
              <w:spacing w:line="240" w:lineRule="atLeast"/>
              <w:jc w:val="center"/>
              <w:rPr>
                <w:sz w:val="20"/>
                <w:szCs w:val="20"/>
              </w:rPr>
            </w:pPr>
            <w:r>
              <w:rPr>
                <w:sz w:val="20"/>
                <w:szCs w:val="20"/>
              </w:rPr>
              <w:t>0.16</w:t>
            </w:r>
          </w:p>
        </w:tc>
        <w:tc>
          <w:tcPr>
            <w:tcW w:w="0" w:type="auto"/>
            <w:hideMark/>
          </w:tcPr>
          <w:p w14:paraId="6C2294F8" w14:textId="77777777" w:rsidR="004A2FC0" w:rsidRDefault="004A2FC0">
            <w:pPr>
              <w:spacing w:line="240" w:lineRule="atLeast"/>
              <w:jc w:val="center"/>
              <w:rPr>
                <w:sz w:val="20"/>
                <w:szCs w:val="20"/>
              </w:rPr>
            </w:pPr>
            <w:r>
              <w:rPr>
                <w:sz w:val="20"/>
                <w:szCs w:val="20"/>
              </w:rPr>
              <w:t>−3.51</w:t>
            </w:r>
          </w:p>
        </w:tc>
        <w:tc>
          <w:tcPr>
            <w:tcW w:w="0" w:type="auto"/>
            <w:hideMark/>
          </w:tcPr>
          <w:p w14:paraId="05B9D6D9" w14:textId="77777777" w:rsidR="004A2FC0" w:rsidRDefault="004A2FC0">
            <w:pPr>
              <w:spacing w:line="240" w:lineRule="atLeast"/>
              <w:jc w:val="center"/>
              <w:rPr>
                <w:sz w:val="20"/>
                <w:szCs w:val="20"/>
              </w:rPr>
            </w:pPr>
            <w:r>
              <w:rPr>
                <w:sz w:val="20"/>
                <w:szCs w:val="20"/>
              </w:rPr>
              <w:t>.000</w:t>
            </w:r>
            <w:hyperlink r:id="rId31" w:anchor="table-fn5-2333721418782812" w:history="1">
              <w:r>
                <w:rPr>
                  <w:rStyle w:val="Hyperlink"/>
                  <w:color w:val="000000"/>
                  <w:sz w:val="20"/>
                  <w:szCs w:val="20"/>
                </w:rPr>
                <w:t>***</w:t>
              </w:r>
            </w:hyperlink>
          </w:p>
        </w:tc>
      </w:tr>
      <w:tr w:rsidR="004004BD" w14:paraId="382BB951" w14:textId="77777777" w:rsidTr="003B2833">
        <w:tc>
          <w:tcPr>
            <w:tcW w:w="0" w:type="auto"/>
            <w:hideMark/>
          </w:tcPr>
          <w:p w14:paraId="0C610A83" w14:textId="77777777" w:rsidR="004A2FC0" w:rsidRDefault="004A2FC0">
            <w:pPr>
              <w:spacing w:line="240" w:lineRule="atLeast"/>
              <w:rPr>
                <w:sz w:val="20"/>
                <w:szCs w:val="20"/>
              </w:rPr>
            </w:pPr>
            <w:r>
              <w:rPr>
                <w:sz w:val="20"/>
                <w:szCs w:val="20"/>
              </w:rPr>
              <w:t> </w:t>
            </w:r>
            <w:r>
              <w:rPr>
                <w:sz w:val="20"/>
                <w:szCs w:val="20"/>
              </w:rPr>
              <w:t> </w:t>
            </w:r>
            <w:r>
              <w:rPr>
                <w:sz w:val="20"/>
                <w:szCs w:val="20"/>
              </w:rPr>
              <w:t>Role limits—Physical problems</w:t>
            </w:r>
          </w:p>
        </w:tc>
        <w:tc>
          <w:tcPr>
            <w:tcW w:w="0" w:type="auto"/>
            <w:hideMark/>
          </w:tcPr>
          <w:p w14:paraId="01DD0767" w14:textId="77777777" w:rsidR="004A2FC0" w:rsidRDefault="004A2FC0">
            <w:pPr>
              <w:spacing w:line="240" w:lineRule="atLeast"/>
              <w:jc w:val="center"/>
              <w:rPr>
                <w:sz w:val="20"/>
                <w:szCs w:val="20"/>
              </w:rPr>
            </w:pPr>
            <w:r>
              <w:rPr>
                <w:sz w:val="20"/>
                <w:szCs w:val="20"/>
              </w:rPr>
              <w:t>−.23</w:t>
            </w:r>
          </w:p>
        </w:tc>
        <w:tc>
          <w:tcPr>
            <w:tcW w:w="0" w:type="auto"/>
            <w:hideMark/>
          </w:tcPr>
          <w:p w14:paraId="1771BCA8" w14:textId="77777777" w:rsidR="004A2FC0" w:rsidRDefault="004A2FC0">
            <w:pPr>
              <w:spacing w:line="240" w:lineRule="atLeast"/>
              <w:jc w:val="center"/>
              <w:rPr>
                <w:sz w:val="20"/>
                <w:szCs w:val="20"/>
              </w:rPr>
            </w:pPr>
            <w:r>
              <w:rPr>
                <w:sz w:val="20"/>
                <w:szCs w:val="20"/>
              </w:rPr>
              <w:t>0.23</w:t>
            </w:r>
          </w:p>
        </w:tc>
        <w:tc>
          <w:tcPr>
            <w:tcW w:w="0" w:type="auto"/>
            <w:hideMark/>
          </w:tcPr>
          <w:p w14:paraId="015F4264" w14:textId="77777777" w:rsidR="004A2FC0" w:rsidRDefault="004A2FC0">
            <w:pPr>
              <w:spacing w:line="240" w:lineRule="atLeast"/>
              <w:jc w:val="center"/>
              <w:rPr>
                <w:sz w:val="20"/>
                <w:szCs w:val="20"/>
              </w:rPr>
            </w:pPr>
            <w:r>
              <w:rPr>
                <w:sz w:val="20"/>
                <w:szCs w:val="20"/>
              </w:rPr>
              <w:t>−1.04</w:t>
            </w:r>
          </w:p>
        </w:tc>
        <w:tc>
          <w:tcPr>
            <w:tcW w:w="0" w:type="auto"/>
            <w:hideMark/>
          </w:tcPr>
          <w:p w14:paraId="3E82BA23" w14:textId="77777777" w:rsidR="004A2FC0" w:rsidRDefault="004A2FC0">
            <w:pPr>
              <w:spacing w:line="240" w:lineRule="atLeast"/>
              <w:jc w:val="center"/>
              <w:rPr>
                <w:sz w:val="20"/>
                <w:szCs w:val="20"/>
              </w:rPr>
            </w:pPr>
            <w:r>
              <w:rPr>
                <w:sz w:val="20"/>
                <w:szCs w:val="20"/>
              </w:rPr>
              <w:t>.299</w:t>
            </w:r>
          </w:p>
        </w:tc>
      </w:tr>
      <w:tr w:rsidR="004004BD" w14:paraId="01BFD962" w14:textId="77777777" w:rsidTr="003B2833">
        <w:tc>
          <w:tcPr>
            <w:tcW w:w="0" w:type="auto"/>
            <w:hideMark/>
          </w:tcPr>
          <w:p w14:paraId="00712D40" w14:textId="77777777" w:rsidR="004A2FC0" w:rsidRDefault="004A2FC0">
            <w:pPr>
              <w:spacing w:line="240" w:lineRule="atLeast"/>
              <w:rPr>
                <w:sz w:val="20"/>
                <w:szCs w:val="20"/>
              </w:rPr>
            </w:pPr>
            <w:r>
              <w:rPr>
                <w:sz w:val="20"/>
                <w:szCs w:val="20"/>
              </w:rPr>
              <w:t> </w:t>
            </w:r>
            <w:r>
              <w:rPr>
                <w:sz w:val="20"/>
                <w:szCs w:val="20"/>
              </w:rPr>
              <w:t> </w:t>
            </w:r>
            <w:r>
              <w:rPr>
                <w:sz w:val="20"/>
                <w:szCs w:val="20"/>
              </w:rPr>
              <w:t>Bodily pain</w:t>
            </w:r>
          </w:p>
        </w:tc>
        <w:tc>
          <w:tcPr>
            <w:tcW w:w="0" w:type="auto"/>
            <w:hideMark/>
          </w:tcPr>
          <w:p w14:paraId="10E1950B" w14:textId="77777777" w:rsidR="004A2FC0" w:rsidRDefault="004A2FC0">
            <w:pPr>
              <w:spacing w:line="240" w:lineRule="atLeast"/>
              <w:jc w:val="center"/>
              <w:rPr>
                <w:sz w:val="20"/>
                <w:szCs w:val="20"/>
              </w:rPr>
            </w:pPr>
            <w:r>
              <w:rPr>
                <w:sz w:val="20"/>
                <w:szCs w:val="20"/>
              </w:rPr>
              <w:t>−.46</w:t>
            </w:r>
          </w:p>
        </w:tc>
        <w:tc>
          <w:tcPr>
            <w:tcW w:w="0" w:type="auto"/>
            <w:hideMark/>
          </w:tcPr>
          <w:p w14:paraId="391F8198" w14:textId="77777777" w:rsidR="004A2FC0" w:rsidRDefault="004A2FC0">
            <w:pPr>
              <w:spacing w:line="240" w:lineRule="atLeast"/>
              <w:jc w:val="center"/>
              <w:rPr>
                <w:sz w:val="20"/>
                <w:szCs w:val="20"/>
              </w:rPr>
            </w:pPr>
            <w:r>
              <w:rPr>
                <w:sz w:val="20"/>
                <w:szCs w:val="20"/>
              </w:rPr>
              <w:t>0.18</w:t>
            </w:r>
          </w:p>
        </w:tc>
        <w:tc>
          <w:tcPr>
            <w:tcW w:w="0" w:type="auto"/>
            <w:hideMark/>
          </w:tcPr>
          <w:p w14:paraId="08BB64D9" w14:textId="77777777" w:rsidR="004A2FC0" w:rsidRDefault="004A2FC0">
            <w:pPr>
              <w:spacing w:line="240" w:lineRule="atLeast"/>
              <w:jc w:val="center"/>
              <w:rPr>
                <w:sz w:val="20"/>
                <w:szCs w:val="20"/>
              </w:rPr>
            </w:pPr>
            <w:r>
              <w:rPr>
                <w:sz w:val="20"/>
                <w:szCs w:val="20"/>
              </w:rPr>
              <w:t>−2.50</w:t>
            </w:r>
          </w:p>
        </w:tc>
        <w:tc>
          <w:tcPr>
            <w:tcW w:w="0" w:type="auto"/>
            <w:hideMark/>
          </w:tcPr>
          <w:p w14:paraId="181892AE" w14:textId="77777777" w:rsidR="004A2FC0" w:rsidRDefault="004A2FC0">
            <w:pPr>
              <w:spacing w:line="240" w:lineRule="atLeast"/>
              <w:jc w:val="center"/>
              <w:rPr>
                <w:sz w:val="20"/>
                <w:szCs w:val="20"/>
              </w:rPr>
            </w:pPr>
            <w:r>
              <w:rPr>
                <w:sz w:val="20"/>
                <w:szCs w:val="20"/>
              </w:rPr>
              <w:t>.012</w:t>
            </w:r>
            <w:hyperlink r:id="rId32" w:anchor="table-fn5-2333721418782812" w:history="1">
              <w:r>
                <w:rPr>
                  <w:rStyle w:val="Hyperlink"/>
                  <w:color w:val="000000"/>
                  <w:sz w:val="20"/>
                  <w:szCs w:val="20"/>
                </w:rPr>
                <w:t>*</w:t>
              </w:r>
            </w:hyperlink>
          </w:p>
        </w:tc>
      </w:tr>
      <w:tr w:rsidR="004004BD" w14:paraId="04C1F35D" w14:textId="77777777" w:rsidTr="003B2833">
        <w:tc>
          <w:tcPr>
            <w:tcW w:w="0" w:type="auto"/>
            <w:hideMark/>
          </w:tcPr>
          <w:p w14:paraId="3803329C" w14:textId="77777777" w:rsidR="004A2FC0" w:rsidRDefault="004A2FC0">
            <w:pPr>
              <w:spacing w:line="240" w:lineRule="atLeast"/>
              <w:rPr>
                <w:sz w:val="20"/>
                <w:szCs w:val="20"/>
              </w:rPr>
            </w:pPr>
            <w:r>
              <w:rPr>
                <w:sz w:val="20"/>
                <w:szCs w:val="20"/>
              </w:rPr>
              <w:t> </w:t>
            </w:r>
            <w:r>
              <w:rPr>
                <w:sz w:val="20"/>
                <w:szCs w:val="20"/>
              </w:rPr>
              <w:t> </w:t>
            </w:r>
            <w:r>
              <w:rPr>
                <w:sz w:val="20"/>
                <w:szCs w:val="20"/>
              </w:rPr>
              <w:t>General health</w:t>
            </w:r>
          </w:p>
        </w:tc>
        <w:tc>
          <w:tcPr>
            <w:tcW w:w="0" w:type="auto"/>
            <w:hideMark/>
          </w:tcPr>
          <w:p w14:paraId="6DB95261" w14:textId="77777777" w:rsidR="004A2FC0" w:rsidRDefault="004A2FC0">
            <w:pPr>
              <w:spacing w:line="240" w:lineRule="atLeast"/>
              <w:jc w:val="center"/>
              <w:rPr>
                <w:sz w:val="20"/>
                <w:szCs w:val="20"/>
              </w:rPr>
            </w:pPr>
            <w:r>
              <w:rPr>
                <w:sz w:val="20"/>
                <w:szCs w:val="20"/>
              </w:rPr>
              <w:t>−.67</w:t>
            </w:r>
          </w:p>
        </w:tc>
        <w:tc>
          <w:tcPr>
            <w:tcW w:w="0" w:type="auto"/>
            <w:hideMark/>
          </w:tcPr>
          <w:p w14:paraId="799A3D8F" w14:textId="77777777" w:rsidR="004A2FC0" w:rsidRDefault="004A2FC0">
            <w:pPr>
              <w:spacing w:line="240" w:lineRule="atLeast"/>
              <w:jc w:val="center"/>
              <w:rPr>
                <w:sz w:val="20"/>
                <w:szCs w:val="20"/>
              </w:rPr>
            </w:pPr>
            <w:r>
              <w:rPr>
                <w:sz w:val="20"/>
                <w:szCs w:val="20"/>
              </w:rPr>
              <w:t>0.18</w:t>
            </w:r>
          </w:p>
        </w:tc>
        <w:tc>
          <w:tcPr>
            <w:tcW w:w="0" w:type="auto"/>
            <w:hideMark/>
          </w:tcPr>
          <w:p w14:paraId="2D388D90" w14:textId="77777777" w:rsidR="004A2FC0" w:rsidRDefault="004A2FC0">
            <w:pPr>
              <w:spacing w:line="240" w:lineRule="atLeast"/>
              <w:jc w:val="center"/>
              <w:rPr>
                <w:sz w:val="20"/>
                <w:szCs w:val="20"/>
              </w:rPr>
            </w:pPr>
            <w:r>
              <w:rPr>
                <w:sz w:val="20"/>
                <w:szCs w:val="20"/>
              </w:rPr>
              <w:t>−3.72</w:t>
            </w:r>
          </w:p>
        </w:tc>
        <w:tc>
          <w:tcPr>
            <w:tcW w:w="0" w:type="auto"/>
            <w:hideMark/>
          </w:tcPr>
          <w:p w14:paraId="6D9B9577" w14:textId="77777777" w:rsidR="004A2FC0" w:rsidRDefault="004A2FC0">
            <w:pPr>
              <w:spacing w:line="240" w:lineRule="atLeast"/>
              <w:jc w:val="center"/>
              <w:rPr>
                <w:sz w:val="20"/>
                <w:szCs w:val="20"/>
              </w:rPr>
            </w:pPr>
            <w:r>
              <w:rPr>
                <w:sz w:val="20"/>
                <w:szCs w:val="20"/>
              </w:rPr>
              <w:t>.000</w:t>
            </w:r>
            <w:hyperlink r:id="rId33" w:anchor="table-fn5-2333721418782812" w:history="1">
              <w:r>
                <w:rPr>
                  <w:rStyle w:val="Hyperlink"/>
                  <w:color w:val="000000"/>
                  <w:sz w:val="20"/>
                  <w:szCs w:val="20"/>
                </w:rPr>
                <w:t>***</w:t>
              </w:r>
            </w:hyperlink>
          </w:p>
        </w:tc>
      </w:tr>
      <w:tr w:rsidR="004004BD" w14:paraId="112308A5" w14:textId="77777777" w:rsidTr="003B2833">
        <w:tc>
          <w:tcPr>
            <w:tcW w:w="0" w:type="auto"/>
            <w:hideMark/>
          </w:tcPr>
          <w:p w14:paraId="1FA1F773" w14:textId="77777777" w:rsidR="004A2FC0" w:rsidRDefault="004A2FC0">
            <w:pPr>
              <w:spacing w:line="240" w:lineRule="atLeast"/>
              <w:rPr>
                <w:sz w:val="20"/>
                <w:szCs w:val="20"/>
              </w:rPr>
            </w:pPr>
            <w:r>
              <w:rPr>
                <w:sz w:val="20"/>
                <w:szCs w:val="20"/>
              </w:rPr>
              <w:t> </w:t>
            </w:r>
            <w:r>
              <w:rPr>
                <w:sz w:val="20"/>
                <w:szCs w:val="20"/>
              </w:rPr>
              <w:t> </w:t>
            </w:r>
            <w:r>
              <w:rPr>
                <w:sz w:val="20"/>
                <w:szCs w:val="20"/>
              </w:rPr>
              <w:t>Energy/fatigue</w:t>
            </w:r>
          </w:p>
        </w:tc>
        <w:tc>
          <w:tcPr>
            <w:tcW w:w="0" w:type="auto"/>
            <w:hideMark/>
          </w:tcPr>
          <w:p w14:paraId="239EC741" w14:textId="77777777" w:rsidR="004A2FC0" w:rsidRDefault="004A2FC0">
            <w:pPr>
              <w:spacing w:line="240" w:lineRule="atLeast"/>
              <w:jc w:val="center"/>
              <w:rPr>
                <w:sz w:val="20"/>
                <w:szCs w:val="20"/>
              </w:rPr>
            </w:pPr>
            <w:r>
              <w:rPr>
                <w:sz w:val="20"/>
                <w:szCs w:val="20"/>
              </w:rPr>
              <w:t>−.37</w:t>
            </w:r>
          </w:p>
        </w:tc>
        <w:tc>
          <w:tcPr>
            <w:tcW w:w="0" w:type="auto"/>
            <w:hideMark/>
          </w:tcPr>
          <w:p w14:paraId="1D4EBF3D" w14:textId="77777777" w:rsidR="004A2FC0" w:rsidRDefault="004A2FC0">
            <w:pPr>
              <w:spacing w:line="240" w:lineRule="atLeast"/>
              <w:jc w:val="center"/>
              <w:rPr>
                <w:sz w:val="20"/>
                <w:szCs w:val="20"/>
              </w:rPr>
            </w:pPr>
            <w:r>
              <w:rPr>
                <w:sz w:val="20"/>
                <w:szCs w:val="20"/>
              </w:rPr>
              <w:t>0.17</w:t>
            </w:r>
          </w:p>
        </w:tc>
        <w:tc>
          <w:tcPr>
            <w:tcW w:w="0" w:type="auto"/>
            <w:hideMark/>
          </w:tcPr>
          <w:p w14:paraId="710B4A98" w14:textId="77777777" w:rsidR="004A2FC0" w:rsidRDefault="004A2FC0">
            <w:pPr>
              <w:spacing w:line="240" w:lineRule="atLeast"/>
              <w:jc w:val="center"/>
              <w:rPr>
                <w:sz w:val="20"/>
                <w:szCs w:val="20"/>
              </w:rPr>
            </w:pPr>
            <w:r>
              <w:rPr>
                <w:sz w:val="20"/>
                <w:szCs w:val="20"/>
              </w:rPr>
              <w:t>−2.16</w:t>
            </w:r>
          </w:p>
        </w:tc>
        <w:tc>
          <w:tcPr>
            <w:tcW w:w="0" w:type="auto"/>
            <w:hideMark/>
          </w:tcPr>
          <w:p w14:paraId="59399557" w14:textId="77777777" w:rsidR="004A2FC0" w:rsidRDefault="004A2FC0">
            <w:pPr>
              <w:spacing w:line="240" w:lineRule="atLeast"/>
              <w:jc w:val="center"/>
              <w:rPr>
                <w:sz w:val="20"/>
                <w:szCs w:val="20"/>
              </w:rPr>
            </w:pPr>
            <w:r>
              <w:rPr>
                <w:sz w:val="20"/>
                <w:szCs w:val="20"/>
              </w:rPr>
              <w:t>.030</w:t>
            </w:r>
            <w:hyperlink r:id="rId34" w:anchor="table-fn5-2333721418782812" w:history="1">
              <w:r>
                <w:rPr>
                  <w:rStyle w:val="Hyperlink"/>
                  <w:color w:val="000000"/>
                  <w:sz w:val="20"/>
                  <w:szCs w:val="20"/>
                </w:rPr>
                <w:t>*</w:t>
              </w:r>
            </w:hyperlink>
          </w:p>
        </w:tc>
      </w:tr>
      <w:tr w:rsidR="004004BD" w14:paraId="5F9F2007" w14:textId="77777777" w:rsidTr="003B2833">
        <w:tc>
          <w:tcPr>
            <w:tcW w:w="0" w:type="auto"/>
            <w:hideMark/>
          </w:tcPr>
          <w:p w14:paraId="080F53D9" w14:textId="77777777" w:rsidR="004A2FC0" w:rsidRDefault="004A2FC0">
            <w:pPr>
              <w:spacing w:line="240" w:lineRule="atLeast"/>
              <w:rPr>
                <w:sz w:val="20"/>
                <w:szCs w:val="20"/>
              </w:rPr>
            </w:pPr>
            <w:r>
              <w:rPr>
                <w:sz w:val="20"/>
                <w:szCs w:val="20"/>
              </w:rPr>
              <w:t> </w:t>
            </w:r>
            <w:r>
              <w:rPr>
                <w:sz w:val="20"/>
                <w:szCs w:val="20"/>
              </w:rPr>
              <w:t> </w:t>
            </w:r>
            <w:r>
              <w:rPr>
                <w:sz w:val="20"/>
                <w:szCs w:val="20"/>
              </w:rPr>
              <w:t>Social functioning</w:t>
            </w:r>
          </w:p>
        </w:tc>
        <w:tc>
          <w:tcPr>
            <w:tcW w:w="0" w:type="auto"/>
            <w:hideMark/>
          </w:tcPr>
          <w:p w14:paraId="4F105E42" w14:textId="77777777" w:rsidR="004A2FC0" w:rsidRDefault="004A2FC0">
            <w:pPr>
              <w:spacing w:line="240" w:lineRule="atLeast"/>
              <w:jc w:val="center"/>
              <w:rPr>
                <w:sz w:val="20"/>
                <w:szCs w:val="20"/>
              </w:rPr>
            </w:pPr>
            <w:r>
              <w:rPr>
                <w:sz w:val="20"/>
                <w:szCs w:val="20"/>
              </w:rPr>
              <w:t>−.77</w:t>
            </w:r>
          </w:p>
        </w:tc>
        <w:tc>
          <w:tcPr>
            <w:tcW w:w="0" w:type="auto"/>
            <w:hideMark/>
          </w:tcPr>
          <w:p w14:paraId="41FCED2F" w14:textId="77777777" w:rsidR="004A2FC0" w:rsidRDefault="004A2FC0">
            <w:pPr>
              <w:spacing w:line="240" w:lineRule="atLeast"/>
              <w:jc w:val="center"/>
              <w:rPr>
                <w:sz w:val="20"/>
                <w:szCs w:val="20"/>
              </w:rPr>
            </w:pPr>
            <w:r>
              <w:rPr>
                <w:sz w:val="20"/>
                <w:szCs w:val="20"/>
              </w:rPr>
              <w:t>0.25</w:t>
            </w:r>
          </w:p>
        </w:tc>
        <w:tc>
          <w:tcPr>
            <w:tcW w:w="0" w:type="auto"/>
            <w:hideMark/>
          </w:tcPr>
          <w:p w14:paraId="1F23EA6F" w14:textId="77777777" w:rsidR="004A2FC0" w:rsidRDefault="004A2FC0">
            <w:pPr>
              <w:spacing w:line="240" w:lineRule="atLeast"/>
              <w:jc w:val="center"/>
              <w:rPr>
                <w:sz w:val="20"/>
                <w:szCs w:val="20"/>
              </w:rPr>
            </w:pPr>
            <w:r>
              <w:rPr>
                <w:sz w:val="20"/>
                <w:szCs w:val="20"/>
              </w:rPr>
              <w:t>−3.11</w:t>
            </w:r>
          </w:p>
        </w:tc>
        <w:tc>
          <w:tcPr>
            <w:tcW w:w="0" w:type="auto"/>
            <w:hideMark/>
          </w:tcPr>
          <w:p w14:paraId="3FE56D4E" w14:textId="77777777" w:rsidR="004A2FC0" w:rsidRDefault="004A2FC0">
            <w:pPr>
              <w:spacing w:line="240" w:lineRule="atLeast"/>
              <w:jc w:val="center"/>
              <w:rPr>
                <w:sz w:val="20"/>
                <w:szCs w:val="20"/>
              </w:rPr>
            </w:pPr>
            <w:r>
              <w:rPr>
                <w:sz w:val="20"/>
                <w:szCs w:val="20"/>
              </w:rPr>
              <w:t>.002</w:t>
            </w:r>
            <w:hyperlink r:id="rId35" w:anchor="table-fn5-2333721418782812" w:history="1">
              <w:r>
                <w:rPr>
                  <w:rStyle w:val="Hyperlink"/>
                  <w:color w:val="000000"/>
                  <w:sz w:val="20"/>
                  <w:szCs w:val="20"/>
                </w:rPr>
                <w:t>**</w:t>
              </w:r>
            </w:hyperlink>
          </w:p>
        </w:tc>
      </w:tr>
      <w:tr w:rsidR="004004BD" w14:paraId="317E3B3F" w14:textId="77777777" w:rsidTr="003B2833">
        <w:tc>
          <w:tcPr>
            <w:tcW w:w="0" w:type="auto"/>
            <w:hideMark/>
          </w:tcPr>
          <w:p w14:paraId="769C8C73" w14:textId="77777777" w:rsidR="004A2FC0" w:rsidRDefault="004A2FC0">
            <w:pPr>
              <w:spacing w:line="240" w:lineRule="atLeast"/>
              <w:rPr>
                <w:sz w:val="20"/>
                <w:szCs w:val="20"/>
              </w:rPr>
            </w:pPr>
            <w:r>
              <w:rPr>
                <w:sz w:val="20"/>
                <w:szCs w:val="20"/>
              </w:rPr>
              <w:t> </w:t>
            </w:r>
            <w:r>
              <w:rPr>
                <w:sz w:val="20"/>
                <w:szCs w:val="20"/>
              </w:rPr>
              <w:t> </w:t>
            </w:r>
            <w:r>
              <w:rPr>
                <w:sz w:val="20"/>
                <w:szCs w:val="20"/>
              </w:rPr>
              <w:t>Role limits—Emotional problems</w:t>
            </w:r>
          </w:p>
        </w:tc>
        <w:tc>
          <w:tcPr>
            <w:tcW w:w="0" w:type="auto"/>
            <w:hideMark/>
          </w:tcPr>
          <w:p w14:paraId="6EC504CC" w14:textId="77777777" w:rsidR="004A2FC0" w:rsidRDefault="004A2FC0">
            <w:pPr>
              <w:spacing w:line="240" w:lineRule="atLeast"/>
              <w:jc w:val="center"/>
              <w:rPr>
                <w:sz w:val="20"/>
                <w:szCs w:val="20"/>
              </w:rPr>
            </w:pPr>
            <w:r>
              <w:rPr>
                <w:sz w:val="20"/>
                <w:szCs w:val="20"/>
              </w:rPr>
              <w:t>−.26</w:t>
            </w:r>
          </w:p>
        </w:tc>
        <w:tc>
          <w:tcPr>
            <w:tcW w:w="0" w:type="auto"/>
            <w:hideMark/>
          </w:tcPr>
          <w:p w14:paraId="1755EB0A" w14:textId="77777777" w:rsidR="004A2FC0" w:rsidRDefault="004A2FC0">
            <w:pPr>
              <w:spacing w:line="240" w:lineRule="atLeast"/>
              <w:jc w:val="center"/>
              <w:rPr>
                <w:sz w:val="20"/>
                <w:szCs w:val="20"/>
              </w:rPr>
            </w:pPr>
            <w:r>
              <w:rPr>
                <w:sz w:val="20"/>
                <w:szCs w:val="20"/>
              </w:rPr>
              <w:t>0.21</w:t>
            </w:r>
          </w:p>
        </w:tc>
        <w:tc>
          <w:tcPr>
            <w:tcW w:w="0" w:type="auto"/>
            <w:hideMark/>
          </w:tcPr>
          <w:p w14:paraId="5626ABE2" w14:textId="77777777" w:rsidR="004A2FC0" w:rsidRDefault="004A2FC0">
            <w:pPr>
              <w:spacing w:line="240" w:lineRule="atLeast"/>
              <w:jc w:val="center"/>
              <w:rPr>
                <w:sz w:val="20"/>
                <w:szCs w:val="20"/>
              </w:rPr>
            </w:pPr>
            <w:r>
              <w:rPr>
                <w:sz w:val="20"/>
                <w:szCs w:val="20"/>
              </w:rPr>
              <w:t>−1.22</w:t>
            </w:r>
          </w:p>
        </w:tc>
        <w:tc>
          <w:tcPr>
            <w:tcW w:w="0" w:type="auto"/>
            <w:hideMark/>
          </w:tcPr>
          <w:p w14:paraId="249CE15C" w14:textId="77777777" w:rsidR="004A2FC0" w:rsidRDefault="004A2FC0">
            <w:pPr>
              <w:spacing w:line="240" w:lineRule="atLeast"/>
              <w:jc w:val="center"/>
              <w:rPr>
                <w:sz w:val="20"/>
                <w:szCs w:val="20"/>
              </w:rPr>
            </w:pPr>
            <w:r>
              <w:rPr>
                <w:sz w:val="20"/>
                <w:szCs w:val="20"/>
              </w:rPr>
              <w:t>.222</w:t>
            </w:r>
          </w:p>
        </w:tc>
      </w:tr>
      <w:tr w:rsidR="004004BD" w14:paraId="1425127D" w14:textId="77777777" w:rsidTr="003B2833">
        <w:tc>
          <w:tcPr>
            <w:tcW w:w="0" w:type="auto"/>
            <w:hideMark/>
          </w:tcPr>
          <w:p w14:paraId="52B3BBE6" w14:textId="77777777" w:rsidR="004A2FC0" w:rsidRDefault="004A2FC0">
            <w:pPr>
              <w:spacing w:line="240" w:lineRule="atLeast"/>
              <w:rPr>
                <w:sz w:val="20"/>
                <w:szCs w:val="20"/>
              </w:rPr>
            </w:pPr>
            <w:r>
              <w:rPr>
                <w:sz w:val="20"/>
                <w:szCs w:val="20"/>
              </w:rPr>
              <w:t> </w:t>
            </w:r>
            <w:r>
              <w:rPr>
                <w:sz w:val="20"/>
                <w:szCs w:val="20"/>
              </w:rPr>
              <w:t> </w:t>
            </w:r>
            <w:r>
              <w:rPr>
                <w:sz w:val="20"/>
                <w:szCs w:val="20"/>
              </w:rPr>
              <w:t>Emotional well-being</w:t>
            </w:r>
          </w:p>
        </w:tc>
        <w:tc>
          <w:tcPr>
            <w:tcW w:w="0" w:type="auto"/>
            <w:hideMark/>
          </w:tcPr>
          <w:p w14:paraId="543C427E" w14:textId="77777777" w:rsidR="004A2FC0" w:rsidRDefault="004A2FC0">
            <w:pPr>
              <w:spacing w:line="240" w:lineRule="atLeast"/>
              <w:jc w:val="center"/>
              <w:rPr>
                <w:sz w:val="20"/>
                <w:szCs w:val="20"/>
              </w:rPr>
            </w:pPr>
            <w:r>
              <w:rPr>
                <w:sz w:val="20"/>
                <w:szCs w:val="20"/>
              </w:rPr>
              <w:t>−.40</w:t>
            </w:r>
          </w:p>
        </w:tc>
        <w:tc>
          <w:tcPr>
            <w:tcW w:w="0" w:type="auto"/>
            <w:hideMark/>
          </w:tcPr>
          <w:p w14:paraId="26CFB0BE" w14:textId="77777777" w:rsidR="004A2FC0" w:rsidRDefault="004A2FC0">
            <w:pPr>
              <w:spacing w:line="240" w:lineRule="atLeast"/>
              <w:jc w:val="center"/>
              <w:rPr>
                <w:sz w:val="20"/>
                <w:szCs w:val="20"/>
              </w:rPr>
            </w:pPr>
            <w:r>
              <w:rPr>
                <w:sz w:val="20"/>
                <w:szCs w:val="20"/>
              </w:rPr>
              <w:t>0.18</w:t>
            </w:r>
          </w:p>
        </w:tc>
        <w:tc>
          <w:tcPr>
            <w:tcW w:w="0" w:type="auto"/>
            <w:hideMark/>
          </w:tcPr>
          <w:p w14:paraId="08BC421E" w14:textId="77777777" w:rsidR="004A2FC0" w:rsidRDefault="004A2FC0">
            <w:pPr>
              <w:spacing w:line="240" w:lineRule="atLeast"/>
              <w:jc w:val="center"/>
              <w:rPr>
                <w:sz w:val="20"/>
                <w:szCs w:val="20"/>
              </w:rPr>
            </w:pPr>
            <w:r>
              <w:rPr>
                <w:sz w:val="20"/>
                <w:szCs w:val="20"/>
              </w:rPr>
              <w:t>−2.25</w:t>
            </w:r>
          </w:p>
        </w:tc>
        <w:tc>
          <w:tcPr>
            <w:tcW w:w="0" w:type="auto"/>
            <w:hideMark/>
          </w:tcPr>
          <w:p w14:paraId="39412B40" w14:textId="77777777" w:rsidR="004A2FC0" w:rsidRDefault="004A2FC0">
            <w:pPr>
              <w:spacing w:line="240" w:lineRule="atLeast"/>
              <w:jc w:val="center"/>
              <w:rPr>
                <w:sz w:val="20"/>
                <w:szCs w:val="20"/>
              </w:rPr>
            </w:pPr>
            <w:r>
              <w:rPr>
                <w:sz w:val="20"/>
                <w:szCs w:val="20"/>
              </w:rPr>
              <w:t>.025</w:t>
            </w:r>
            <w:hyperlink r:id="rId36" w:anchor="table-fn5-2333721418782812" w:history="1">
              <w:r>
                <w:rPr>
                  <w:rStyle w:val="Hyperlink"/>
                  <w:color w:val="000000"/>
                  <w:sz w:val="20"/>
                  <w:szCs w:val="20"/>
                </w:rPr>
                <w:t>*</w:t>
              </w:r>
            </w:hyperlink>
          </w:p>
        </w:tc>
      </w:tr>
      <w:tr w:rsidR="004004BD" w14:paraId="40C5666F" w14:textId="77777777" w:rsidTr="003B2833">
        <w:tc>
          <w:tcPr>
            <w:tcW w:w="0" w:type="auto"/>
            <w:hideMark/>
          </w:tcPr>
          <w:p w14:paraId="749A990D" w14:textId="2B58C25B" w:rsidR="004004BD" w:rsidRDefault="004004BD">
            <w:pPr>
              <w:spacing w:line="240" w:lineRule="atLeast"/>
              <w:rPr>
                <w:sz w:val="20"/>
                <w:szCs w:val="20"/>
              </w:rPr>
            </w:pPr>
            <w:r>
              <w:rPr>
                <w:sz w:val="20"/>
                <w:szCs w:val="20"/>
              </w:rPr>
              <w:t> </w:t>
            </w:r>
            <w:r>
              <w:rPr>
                <w:sz w:val="20"/>
                <w:szCs w:val="20"/>
              </w:rPr>
              <w:t>Model 2—Two higher order factors</w:t>
            </w:r>
          </w:p>
        </w:tc>
        <w:tc>
          <w:tcPr>
            <w:tcW w:w="0" w:type="auto"/>
          </w:tcPr>
          <w:p w14:paraId="14D022D3" w14:textId="77777777" w:rsidR="004004BD" w:rsidRDefault="004004BD">
            <w:pPr>
              <w:spacing w:line="240" w:lineRule="atLeast"/>
              <w:rPr>
                <w:sz w:val="20"/>
                <w:szCs w:val="20"/>
              </w:rPr>
            </w:pPr>
          </w:p>
        </w:tc>
        <w:tc>
          <w:tcPr>
            <w:tcW w:w="0" w:type="auto"/>
          </w:tcPr>
          <w:p w14:paraId="69EE8AFF" w14:textId="653747F3" w:rsidR="004004BD" w:rsidRDefault="004004BD">
            <w:pPr>
              <w:spacing w:line="240" w:lineRule="atLeast"/>
              <w:rPr>
                <w:sz w:val="20"/>
                <w:szCs w:val="20"/>
              </w:rPr>
            </w:pPr>
          </w:p>
        </w:tc>
        <w:tc>
          <w:tcPr>
            <w:tcW w:w="0" w:type="auto"/>
          </w:tcPr>
          <w:p w14:paraId="7F573B77" w14:textId="77777777" w:rsidR="004004BD" w:rsidRDefault="004004BD">
            <w:pPr>
              <w:spacing w:line="240" w:lineRule="atLeast"/>
              <w:rPr>
                <w:sz w:val="20"/>
                <w:szCs w:val="20"/>
              </w:rPr>
            </w:pPr>
          </w:p>
        </w:tc>
        <w:tc>
          <w:tcPr>
            <w:tcW w:w="0" w:type="auto"/>
          </w:tcPr>
          <w:p w14:paraId="6D430FE3" w14:textId="49BA7844" w:rsidR="004004BD" w:rsidRDefault="004004BD">
            <w:pPr>
              <w:spacing w:line="240" w:lineRule="atLeast"/>
              <w:rPr>
                <w:sz w:val="20"/>
                <w:szCs w:val="20"/>
              </w:rPr>
            </w:pPr>
          </w:p>
        </w:tc>
      </w:tr>
      <w:tr w:rsidR="004004BD" w14:paraId="13F50712" w14:textId="77777777" w:rsidTr="003B2833">
        <w:tc>
          <w:tcPr>
            <w:tcW w:w="0" w:type="auto"/>
            <w:hideMark/>
          </w:tcPr>
          <w:p w14:paraId="6FF78A9C" w14:textId="77777777" w:rsidR="004A2FC0" w:rsidRDefault="004A2FC0">
            <w:pPr>
              <w:spacing w:line="240" w:lineRule="atLeast"/>
              <w:rPr>
                <w:sz w:val="20"/>
                <w:szCs w:val="20"/>
              </w:rPr>
            </w:pPr>
            <w:r>
              <w:rPr>
                <w:sz w:val="20"/>
                <w:szCs w:val="20"/>
              </w:rPr>
              <w:lastRenderedPageBreak/>
              <w:t> </w:t>
            </w:r>
            <w:r>
              <w:rPr>
                <w:sz w:val="20"/>
                <w:szCs w:val="20"/>
              </w:rPr>
              <w:t> </w:t>
            </w:r>
            <w:r>
              <w:rPr>
                <w:sz w:val="20"/>
                <w:szCs w:val="20"/>
              </w:rPr>
              <w:t>Physical health</w:t>
            </w:r>
          </w:p>
        </w:tc>
        <w:tc>
          <w:tcPr>
            <w:tcW w:w="0" w:type="auto"/>
            <w:hideMark/>
          </w:tcPr>
          <w:p w14:paraId="068D7E28" w14:textId="77777777" w:rsidR="004A2FC0" w:rsidRDefault="004A2FC0">
            <w:pPr>
              <w:spacing w:line="240" w:lineRule="atLeast"/>
              <w:jc w:val="center"/>
              <w:rPr>
                <w:sz w:val="20"/>
                <w:szCs w:val="20"/>
              </w:rPr>
            </w:pPr>
            <w:r>
              <w:rPr>
                <w:sz w:val="20"/>
                <w:szCs w:val="20"/>
              </w:rPr>
              <w:t>−.68</w:t>
            </w:r>
          </w:p>
        </w:tc>
        <w:tc>
          <w:tcPr>
            <w:tcW w:w="0" w:type="auto"/>
            <w:hideMark/>
          </w:tcPr>
          <w:p w14:paraId="7D2D8531" w14:textId="77777777" w:rsidR="004A2FC0" w:rsidRDefault="004A2FC0">
            <w:pPr>
              <w:spacing w:line="240" w:lineRule="atLeast"/>
              <w:jc w:val="center"/>
              <w:rPr>
                <w:sz w:val="20"/>
                <w:szCs w:val="20"/>
              </w:rPr>
            </w:pPr>
            <w:r>
              <w:rPr>
                <w:sz w:val="20"/>
                <w:szCs w:val="20"/>
              </w:rPr>
              <w:t>0.18</w:t>
            </w:r>
          </w:p>
        </w:tc>
        <w:tc>
          <w:tcPr>
            <w:tcW w:w="0" w:type="auto"/>
            <w:hideMark/>
          </w:tcPr>
          <w:p w14:paraId="565B9FA3" w14:textId="77777777" w:rsidR="004A2FC0" w:rsidRDefault="004A2FC0">
            <w:pPr>
              <w:spacing w:line="240" w:lineRule="atLeast"/>
              <w:jc w:val="center"/>
              <w:rPr>
                <w:sz w:val="20"/>
                <w:szCs w:val="20"/>
              </w:rPr>
            </w:pPr>
            <w:r>
              <w:rPr>
                <w:sz w:val="20"/>
                <w:szCs w:val="20"/>
              </w:rPr>
              <w:t>−3.86</w:t>
            </w:r>
          </w:p>
        </w:tc>
        <w:tc>
          <w:tcPr>
            <w:tcW w:w="0" w:type="auto"/>
            <w:hideMark/>
          </w:tcPr>
          <w:p w14:paraId="14080D5B" w14:textId="77777777" w:rsidR="004A2FC0" w:rsidRDefault="004A2FC0">
            <w:pPr>
              <w:spacing w:line="240" w:lineRule="atLeast"/>
              <w:jc w:val="center"/>
              <w:rPr>
                <w:sz w:val="20"/>
                <w:szCs w:val="20"/>
              </w:rPr>
            </w:pPr>
            <w:r>
              <w:rPr>
                <w:sz w:val="20"/>
                <w:szCs w:val="20"/>
              </w:rPr>
              <w:t>.000</w:t>
            </w:r>
            <w:hyperlink r:id="rId37" w:anchor="table-fn5-2333721418782812" w:history="1">
              <w:r>
                <w:rPr>
                  <w:rStyle w:val="Hyperlink"/>
                  <w:color w:val="000000"/>
                  <w:sz w:val="20"/>
                  <w:szCs w:val="20"/>
                </w:rPr>
                <w:t>***</w:t>
              </w:r>
            </w:hyperlink>
          </w:p>
        </w:tc>
      </w:tr>
      <w:tr w:rsidR="004004BD" w14:paraId="256ACAEA" w14:textId="77777777" w:rsidTr="003B2833">
        <w:tc>
          <w:tcPr>
            <w:tcW w:w="0" w:type="auto"/>
            <w:hideMark/>
          </w:tcPr>
          <w:p w14:paraId="3A1CFB0E" w14:textId="77777777" w:rsidR="004A2FC0" w:rsidRDefault="004A2FC0">
            <w:pPr>
              <w:spacing w:line="240" w:lineRule="atLeast"/>
              <w:rPr>
                <w:sz w:val="20"/>
                <w:szCs w:val="20"/>
              </w:rPr>
            </w:pPr>
            <w:r>
              <w:rPr>
                <w:sz w:val="20"/>
                <w:szCs w:val="20"/>
              </w:rPr>
              <w:t> </w:t>
            </w:r>
            <w:r>
              <w:rPr>
                <w:sz w:val="20"/>
                <w:szCs w:val="20"/>
              </w:rPr>
              <w:t> </w:t>
            </w:r>
            <w:r>
              <w:rPr>
                <w:sz w:val="20"/>
                <w:szCs w:val="20"/>
              </w:rPr>
              <w:t>Emotional health</w:t>
            </w:r>
          </w:p>
        </w:tc>
        <w:tc>
          <w:tcPr>
            <w:tcW w:w="0" w:type="auto"/>
            <w:hideMark/>
          </w:tcPr>
          <w:p w14:paraId="04D826CD" w14:textId="77777777" w:rsidR="004A2FC0" w:rsidRDefault="004A2FC0">
            <w:pPr>
              <w:spacing w:line="240" w:lineRule="atLeast"/>
              <w:jc w:val="center"/>
              <w:rPr>
                <w:sz w:val="20"/>
                <w:szCs w:val="20"/>
              </w:rPr>
            </w:pPr>
            <w:r>
              <w:rPr>
                <w:sz w:val="20"/>
                <w:szCs w:val="20"/>
              </w:rPr>
              <w:t>−.47</w:t>
            </w:r>
          </w:p>
        </w:tc>
        <w:tc>
          <w:tcPr>
            <w:tcW w:w="0" w:type="auto"/>
            <w:hideMark/>
          </w:tcPr>
          <w:p w14:paraId="73552A5C" w14:textId="77777777" w:rsidR="004A2FC0" w:rsidRDefault="004A2FC0">
            <w:pPr>
              <w:spacing w:line="240" w:lineRule="atLeast"/>
              <w:jc w:val="center"/>
              <w:rPr>
                <w:sz w:val="20"/>
                <w:szCs w:val="20"/>
              </w:rPr>
            </w:pPr>
            <w:r>
              <w:rPr>
                <w:sz w:val="20"/>
                <w:szCs w:val="20"/>
              </w:rPr>
              <w:t>0.17</w:t>
            </w:r>
          </w:p>
        </w:tc>
        <w:tc>
          <w:tcPr>
            <w:tcW w:w="0" w:type="auto"/>
            <w:hideMark/>
          </w:tcPr>
          <w:p w14:paraId="25470BDA" w14:textId="77777777" w:rsidR="004A2FC0" w:rsidRDefault="004A2FC0">
            <w:pPr>
              <w:spacing w:line="240" w:lineRule="atLeast"/>
              <w:jc w:val="center"/>
              <w:rPr>
                <w:sz w:val="20"/>
                <w:szCs w:val="20"/>
              </w:rPr>
            </w:pPr>
            <w:r>
              <w:rPr>
                <w:sz w:val="20"/>
                <w:szCs w:val="20"/>
              </w:rPr>
              <w:t>−2.75</w:t>
            </w:r>
          </w:p>
        </w:tc>
        <w:tc>
          <w:tcPr>
            <w:tcW w:w="0" w:type="auto"/>
            <w:hideMark/>
          </w:tcPr>
          <w:p w14:paraId="319E6A8F" w14:textId="77777777" w:rsidR="004A2FC0" w:rsidRDefault="004A2FC0">
            <w:pPr>
              <w:spacing w:line="240" w:lineRule="atLeast"/>
              <w:jc w:val="center"/>
              <w:rPr>
                <w:sz w:val="20"/>
                <w:szCs w:val="20"/>
              </w:rPr>
            </w:pPr>
            <w:r>
              <w:rPr>
                <w:sz w:val="20"/>
                <w:szCs w:val="20"/>
              </w:rPr>
              <w:t>.006</w:t>
            </w:r>
            <w:hyperlink r:id="rId38" w:anchor="table-fn5-2333721418782812" w:history="1">
              <w:r>
                <w:rPr>
                  <w:rStyle w:val="Hyperlink"/>
                  <w:color w:val="000000"/>
                  <w:sz w:val="20"/>
                  <w:szCs w:val="20"/>
                </w:rPr>
                <w:t>**</w:t>
              </w:r>
            </w:hyperlink>
          </w:p>
        </w:tc>
      </w:tr>
    </w:tbl>
    <w:p w14:paraId="0CF73A1E" w14:textId="77777777" w:rsidR="004A2FC0" w:rsidRDefault="004A2FC0" w:rsidP="004A2FC0">
      <w:pPr>
        <w:spacing w:line="195" w:lineRule="atLeast"/>
        <w:jc w:val="both"/>
        <w:rPr>
          <w:rFonts w:ascii="Arial" w:hAnsi="Arial" w:cs="Arial"/>
          <w:i/>
          <w:iCs/>
          <w:color w:val="000000"/>
          <w:sz w:val="17"/>
          <w:szCs w:val="17"/>
        </w:rPr>
      </w:pPr>
      <w:r>
        <w:rPr>
          <w:rFonts w:ascii="Arial" w:hAnsi="Arial" w:cs="Arial"/>
          <w:i/>
          <w:iCs/>
          <w:color w:val="000000"/>
          <w:sz w:val="17"/>
          <w:szCs w:val="17"/>
        </w:rPr>
        <w:t>*</w:t>
      </w:r>
    </w:p>
    <w:p w14:paraId="037D52D7" w14:textId="77777777" w:rsidR="004A2FC0" w:rsidRDefault="004A2FC0" w:rsidP="004A2FC0">
      <w:pPr>
        <w:spacing w:line="240" w:lineRule="atLeast"/>
        <w:jc w:val="both"/>
        <w:rPr>
          <w:rFonts w:ascii="Arial" w:hAnsi="Arial" w:cs="Arial"/>
          <w:color w:val="000000"/>
          <w:sz w:val="20"/>
          <w:szCs w:val="20"/>
        </w:rPr>
      </w:pPr>
      <w:r>
        <w:rPr>
          <w:rStyle w:val="Emphasis"/>
          <w:rFonts w:ascii="Arial" w:hAnsi="Arial" w:cs="Arial"/>
          <w:color w:val="000000"/>
          <w:sz w:val="20"/>
          <w:szCs w:val="20"/>
        </w:rPr>
        <w:t>p</w:t>
      </w:r>
      <w:r>
        <w:rPr>
          <w:rFonts w:ascii="Arial" w:hAnsi="Arial" w:cs="Arial"/>
          <w:color w:val="000000"/>
          <w:sz w:val="20"/>
          <w:szCs w:val="20"/>
        </w:rPr>
        <w:t> &lt; .05. **</w:t>
      </w:r>
      <w:r>
        <w:rPr>
          <w:rStyle w:val="Emphasis"/>
          <w:rFonts w:ascii="Arial" w:hAnsi="Arial" w:cs="Arial"/>
          <w:color w:val="000000"/>
          <w:sz w:val="20"/>
          <w:szCs w:val="20"/>
        </w:rPr>
        <w:t>p</w:t>
      </w:r>
      <w:r>
        <w:rPr>
          <w:rFonts w:ascii="Arial" w:hAnsi="Arial" w:cs="Arial"/>
          <w:color w:val="000000"/>
          <w:sz w:val="20"/>
          <w:szCs w:val="20"/>
        </w:rPr>
        <w:t> &lt; .01. ***</w:t>
      </w:r>
      <w:r>
        <w:rPr>
          <w:rStyle w:val="Emphasis"/>
          <w:rFonts w:ascii="Arial" w:hAnsi="Arial" w:cs="Arial"/>
          <w:color w:val="000000"/>
          <w:sz w:val="20"/>
          <w:szCs w:val="20"/>
        </w:rPr>
        <w:t>p</w:t>
      </w:r>
      <w:r>
        <w:rPr>
          <w:rFonts w:ascii="Arial" w:hAnsi="Arial" w:cs="Arial"/>
          <w:color w:val="000000"/>
          <w:sz w:val="20"/>
          <w:szCs w:val="20"/>
        </w:rPr>
        <w:t> &lt; .001.</w:t>
      </w:r>
    </w:p>
    <w:p w14:paraId="366FD335" w14:textId="77777777" w:rsidR="004A2FC0" w:rsidRPr="00984CD2" w:rsidRDefault="004A2FC0" w:rsidP="00EA0C4A">
      <w:pPr>
        <w:rPr>
          <w:rFonts w:cstheme="minorHAnsi"/>
        </w:rPr>
      </w:pPr>
    </w:p>
    <w:p w14:paraId="08E186FE" w14:textId="4D4789FA" w:rsidR="00EA0C4A" w:rsidRPr="00984CD2" w:rsidRDefault="00AA0081" w:rsidP="00EA0C4A">
      <w:pPr>
        <w:rPr>
          <w:rFonts w:cstheme="minorHAnsi"/>
        </w:rPr>
      </w:pPr>
      <w:r w:rsidRPr="00984CD2">
        <w:rPr>
          <w:rFonts w:cstheme="minorHAnsi"/>
        </w:rPr>
        <w:t xml:space="preserve">In Model 2, the effect of region was quite large, </w:t>
      </w:r>
      <w:proofErr w:type="gramStart"/>
      <w:r w:rsidRPr="00984CD2">
        <w:rPr>
          <w:rFonts w:cstheme="minorHAnsi"/>
        </w:rPr>
        <w:t>similar to</w:t>
      </w:r>
      <w:proofErr w:type="gramEnd"/>
      <w:r w:rsidRPr="00984CD2">
        <w:rPr>
          <w:rFonts w:cstheme="minorHAnsi"/>
        </w:rPr>
        <w:t xml:space="preserve"> the results in Model 1. In the model with all eight first-order factors, participants’ PCS in rural settings was 0.68 (</w:t>
      </w:r>
      <w:r w:rsidRPr="00984CD2">
        <w:rPr>
          <w:rFonts w:cstheme="minorHAnsi"/>
          <w:i/>
          <w:iCs/>
        </w:rPr>
        <w:t>SE</w:t>
      </w:r>
      <w:r w:rsidRPr="00984CD2">
        <w:rPr>
          <w:rFonts w:cstheme="minorHAnsi"/>
        </w:rPr>
        <w:t> = 0.18) standard deviations lower than their urban peers. MCS was 0.47 (</w:t>
      </w:r>
      <w:r w:rsidRPr="00984CD2">
        <w:rPr>
          <w:rFonts w:cstheme="minorHAnsi"/>
          <w:i/>
          <w:iCs/>
        </w:rPr>
        <w:t>SE</w:t>
      </w:r>
      <w:r w:rsidRPr="00984CD2">
        <w:rPr>
          <w:rFonts w:cstheme="minorHAnsi"/>
        </w:rPr>
        <w:t> = 0.17) standard deviations lower as well.</w:t>
      </w:r>
    </w:p>
    <w:p w14:paraId="4C850AB8" w14:textId="26F918F3" w:rsidR="00AA0081" w:rsidRPr="00984CD2" w:rsidRDefault="00AA0081" w:rsidP="00EA0C4A">
      <w:pPr>
        <w:rPr>
          <w:rFonts w:cstheme="minorHAnsi"/>
        </w:rPr>
      </w:pPr>
    </w:p>
    <w:p w14:paraId="15C91D07" w14:textId="5E679C1C" w:rsidR="00AA0081" w:rsidRPr="00984CD2" w:rsidRDefault="00AA0081" w:rsidP="00AA0081">
      <w:pPr>
        <w:pStyle w:val="Heading1"/>
        <w:rPr>
          <w:rFonts w:asciiTheme="minorHAnsi" w:hAnsiTheme="minorHAnsi" w:cstheme="minorHAnsi"/>
        </w:rPr>
      </w:pPr>
      <w:r w:rsidRPr="00984CD2">
        <w:rPr>
          <w:rFonts w:asciiTheme="minorHAnsi" w:hAnsiTheme="minorHAnsi" w:cstheme="minorHAnsi"/>
        </w:rPr>
        <w:t>Age</w:t>
      </w:r>
    </w:p>
    <w:p w14:paraId="3D3EEF87" w14:textId="4F3BCD1E" w:rsidR="00AA0081" w:rsidRPr="00984CD2" w:rsidRDefault="00AA0081" w:rsidP="00265479">
      <w:pPr>
        <w:rPr>
          <w:rFonts w:cstheme="minorHAnsi"/>
        </w:rPr>
      </w:pPr>
      <w:r w:rsidRPr="00984CD2">
        <w:rPr>
          <w:rFonts w:cstheme="minorHAnsi"/>
        </w:rPr>
        <w:t>In Model 1, statistically significant results were observed in PF, VT, and MH. The effect for age was negative, which indicated that, for every year increase in age, health ratings decreased with changes interpreted in terms of standard deviations on the factor scores. The largest effect was for PF (β = −.04, </w:t>
      </w:r>
      <w:r w:rsidRPr="00984CD2">
        <w:rPr>
          <w:rFonts w:cstheme="minorHAnsi"/>
          <w:i/>
          <w:iCs/>
        </w:rPr>
        <w:t>SE</w:t>
      </w:r>
      <w:r w:rsidRPr="00984CD2">
        <w:rPr>
          <w:rFonts w:cstheme="minorHAnsi"/>
        </w:rPr>
        <w:t> = 0.01). Both VT and MH decreased 0.03 standard deviations (</w:t>
      </w:r>
      <w:r w:rsidRPr="00984CD2">
        <w:rPr>
          <w:rFonts w:cstheme="minorHAnsi"/>
          <w:i/>
          <w:iCs/>
        </w:rPr>
        <w:t>SE</w:t>
      </w:r>
      <w:r w:rsidRPr="00984CD2">
        <w:rPr>
          <w:rFonts w:cstheme="minorHAnsi"/>
        </w:rPr>
        <w:t> = 0.01) for every 1-year increase in age. In Model 2 (two higher order factors), the effects of age were significant in PCS (β = −.03, </w:t>
      </w:r>
      <w:r w:rsidRPr="00984CD2">
        <w:rPr>
          <w:rFonts w:cstheme="minorHAnsi"/>
          <w:i/>
          <w:iCs/>
        </w:rPr>
        <w:t>SE</w:t>
      </w:r>
      <w:r w:rsidRPr="00984CD2">
        <w:rPr>
          <w:rFonts w:cstheme="minorHAnsi"/>
        </w:rPr>
        <w:t> = 0.01) but not MCS (β = −.02, </w:t>
      </w:r>
      <w:r w:rsidRPr="00984CD2">
        <w:rPr>
          <w:rFonts w:cstheme="minorHAnsi"/>
          <w:i/>
          <w:iCs/>
        </w:rPr>
        <w:t>SE</w:t>
      </w:r>
      <w:r w:rsidRPr="00984CD2">
        <w:rPr>
          <w:rFonts w:cstheme="minorHAnsi"/>
        </w:rPr>
        <w:t> = 0.01), as shown in </w:t>
      </w:r>
      <w:hyperlink r:id="rId39" w:history="1">
        <w:r w:rsidRPr="00984CD2">
          <w:rPr>
            <w:rStyle w:val="Hyperlink"/>
            <w:rFonts w:cstheme="minorHAnsi"/>
          </w:rPr>
          <w:t>Table 4</w:t>
        </w:r>
      </w:hyperlink>
      <w:r w:rsidRPr="00984CD2">
        <w:rPr>
          <w:rFonts w:cstheme="minorHAnsi"/>
        </w:rPr>
        <w:t>.</w:t>
      </w:r>
    </w:p>
    <w:p w14:paraId="5E401CE2" w14:textId="77777777" w:rsidR="00265479" w:rsidRPr="00984CD2" w:rsidRDefault="00265479" w:rsidP="00265479">
      <w:pPr>
        <w:pStyle w:val="Heading1"/>
        <w:rPr>
          <w:rFonts w:asciiTheme="minorHAnsi" w:hAnsiTheme="minorHAnsi" w:cstheme="minorHAnsi"/>
        </w:rPr>
      </w:pPr>
      <w:r w:rsidRPr="00984CD2">
        <w:rPr>
          <w:rFonts w:asciiTheme="minorHAnsi" w:hAnsiTheme="minorHAnsi" w:cstheme="minorHAnsi"/>
        </w:rPr>
        <w:t>Education</w:t>
      </w:r>
    </w:p>
    <w:p w14:paraId="5CA0E583" w14:textId="4438CDFE" w:rsidR="00265479" w:rsidRPr="00984CD2" w:rsidRDefault="00265479" w:rsidP="00265479">
      <w:pPr>
        <w:rPr>
          <w:rFonts w:cstheme="minorHAnsi"/>
        </w:rPr>
      </w:pPr>
      <w:r w:rsidRPr="00984CD2">
        <w:rPr>
          <w:rFonts w:cstheme="minorHAnsi"/>
        </w:rPr>
        <w:t>The results listed in </w:t>
      </w:r>
      <w:hyperlink r:id="rId40" w:history="1">
        <w:r w:rsidRPr="00984CD2">
          <w:rPr>
            <w:rStyle w:val="Hyperlink"/>
            <w:rFonts w:cstheme="minorHAnsi"/>
          </w:rPr>
          <w:t>Table 5</w:t>
        </w:r>
      </w:hyperlink>
      <w:r w:rsidRPr="00984CD2">
        <w:rPr>
          <w:rFonts w:cstheme="minorHAnsi"/>
        </w:rPr>
        <w:t> indicated mean differences on SF-36 responses changed little based on level of completed education, with one exception. In Model 1, participants with incomplete high school rated their health lower on VT (β = −.59, </w:t>
      </w:r>
      <w:r w:rsidRPr="00984CD2">
        <w:rPr>
          <w:rFonts w:cstheme="minorHAnsi"/>
          <w:i/>
          <w:iCs/>
        </w:rPr>
        <w:t>SE</w:t>
      </w:r>
      <w:r w:rsidRPr="00984CD2">
        <w:rPr>
          <w:rFonts w:cstheme="minorHAnsi"/>
        </w:rPr>
        <w:t> = 0.30), SF (β = −.95, </w:t>
      </w:r>
      <w:r w:rsidRPr="00984CD2">
        <w:rPr>
          <w:rFonts w:cstheme="minorHAnsi"/>
          <w:i/>
          <w:iCs/>
        </w:rPr>
        <w:t>SE</w:t>
      </w:r>
      <w:r w:rsidRPr="00984CD2">
        <w:rPr>
          <w:rFonts w:cstheme="minorHAnsi"/>
        </w:rPr>
        <w:t> = 0.41), and MH (β = −.71, </w:t>
      </w:r>
      <w:r w:rsidRPr="00984CD2">
        <w:rPr>
          <w:rFonts w:cstheme="minorHAnsi"/>
          <w:i/>
          <w:iCs/>
        </w:rPr>
        <w:t>SE</w:t>
      </w:r>
      <w:r w:rsidRPr="00984CD2">
        <w:rPr>
          <w:rFonts w:cstheme="minorHAnsi"/>
        </w:rPr>
        <w:t> = 0.29), all emotional health domains. Likewise, in Model 2, MCS rating were significantly different for those same participants (β = −.74, </w:t>
      </w:r>
      <w:r w:rsidRPr="00984CD2">
        <w:rPr>
          <w:rFonts w:cstheme="minorHAnsi"/>
          <w:i/>
          <w:iCs/>
        </w:rPr>
        <w:t>SE</w:t>
      </w:r>
      <w:r w:rsidRPr="00984CD2">
        <w:rPr>
          <w:rFonts w:cstheme="minorHAnsi"/>
        </w:rPr>
        <w:t> = 0.29). All of these statistically significant results had </w:t>
      </w:r>
      <w:r w:rsidRPr="00984CD2">
        <w:rPr>
          <w:rFonts w:cstheme="minorHAnsi"/>
          <w:i/>
          <w:iCs/>
        </w:rPr>
        <w:t>p</w:t>
      </w:r>
      <w:r w:rsidRPr="00984CD2">
        <w:rPr>
          <w:rFonts w:cstheme="minorHAnsi"/>
        </w:rPr>
        <w:t> &lt; .05. These findings suggest that education does not have overall significant impact on perception of HRQOL, although some slight differences on emotion-based domains were noted.</w:t>
      </w:r>
    </w:p>
    <w:p w14:paraId="19DE26CB" w14:textId="77777777" w:rsidR="00A07775" w:rsidRPr="00984CD2" w:rsidRDefault="00A07775" w:rsidP="00A07775">
      <w:pPr>
        <w:pStyle w:val="Heading1"/>
        <w:rPr>
          <w:rFonts w:asciiTheme="minorHAnsi" w:hAnsiTheme="minorHAnsi" w:cstheme="minorHAnsi"/>
        </w:rPr>
      </w:pPr>
      <w:r w:rsidRPr="00984CD2">
        <w:rPr>
          <w:rFonts w:asciiTheme="minorHAnsi" w:hAnsiTheme="minorHAnsi" w:cstheme="minorHAnsi"/>
        </w:rPr>
        <w:t>Summary of Results</w:t>
      </w:r>
    </w:p>
    <w:p w14:paraId="7A82EB1F" w14:textId="77777777" w:rsidR="00A07775" w:rsidRPr="00984CD2" w:rsidRDefault="00A07775" w:rsidP="00A07775">
      <w:pPr>
        <w:rPr>
          <w:rFonts w:cstheme="minorHAnsi"/>
        </w:rPr>
      </w:pPr>
      <w:r w:rsidRPr="00984CD2">
        <w:rPr>
          <w:rFonts w:cstheme="minorHAnsi"/>
        </w:rPr>
        <w:t>Analyses identified two questions that could not be included in the models, namely, Items 12 and 15, as well as questions with sparse responses at one end of response choices. After removal of these indicators and collapsing of categories, high latent correlations were problematic for role limits (RP and RE) though correlated residual added due to similar wording and closeness of questions on the measure reduced the correlation to acceptable levels for estimation. All models were estimated 3 times to examine the factor structure with all eight factors and then without SF or BP. Estimates were affected very little by the omission of one of those factors, and final CFA results indicated that the best fit model was the model without higher order factors. The health ratings differed by region, with lower physical and mental health reported by participants from rural settings. Older age also influenced participants’ perception of their HRQOL. Finally, no health differences were found in the completed educational levels.</w:t>
      </w:r>
    </w:p>
    <w:p w14:paraId="0B82F901" w14:textId="77777777" w:rsidR="00A07775" w:rsidRPr="00984CD2" w:rsidRDefault="00A07775" w:rsidP="00A07775">
      <w:pPr>
        <w:pStyle w:val="Heading1"/>
        <w:rPr>
          <w:rFonts w:asciiTheme="minorHAnsi" w:hAnsiTheme="minorHAnsi" w:cstheme="minorHAnsi"/>
        </w:rPr>
      </w:pPr>
      <w:bookmarkStart w:id="3" w:name="_i19"/>
      <w:bookmarkEnd w:id="3"/>
      <w:r w:rsidRPr="00984CD2">
        <w:rPr>
          <w:rFonts w:asciiTheme="minorHAnsi" w:hAnsiTheme="minorHAnsi" w:cstheme="minorHAnsi"/>
        </w:rPr>
        <w:t>Discussion</w:t>
      </w:r>
    </w:p>
    <w:p w14:paraId="3A974ED7" w14:textId="77777777" w:rsidR="00A07775" w:rsidRPr="00984CD2" w:rsidRDefault="00A07775" w:rsidP="00A07775">
      <w:pPr>
        <w:rPr>
          <w:rFonts w:cstheme="minorHAnsi"/>
        </w:rPr>
      </w:pPr>
      <w:r w:rsidRPr="00984CD2">
        <w:rPr>
          <w:rFonts w:cstheme="minorHAnsi"/>
        </w:rPr>
        <w:t xml:space="preserve">The purpose of the present study was to assess the factor structure of the SF-36 in a sample of cognitively healthy older adults from Costa Rica. Based on modification indices, we revised the current model and evaluated alternative factor structures. Our findings show that the best fitting model of the SF-36 was the one with the eight first-order factor structure, indicating that the same first-order factor structure found to be valid for </w:t>
      </w:r>
      <w:r w:rsidRPr="00984CD2">
        <w:rPr>
          <w:rFonts w:cstheme="minorHAnsi"/>
        </w:rPr>
        <w:lastRenderedPageBreak/>
        <w:t>English (</w:t>
      </w:r>
      <w:hyperlink r:id="rId41" w:history="1">
        <w:r w:rsidRPr="00984CD2">
          <w:rPr>
            <w:rStyle w:val="Hyperlink"/>
            <w:rFonts w:cstheme="minorHAnsi"/>
          </w:rPr>
          <w:t>Ware &amp; Sherbourne, 1992</w:t>
        </w:r>
      </w:hyperlink>
      <w:r w:rsidRPr="00984CD2">
        <w:rPr>
          <w:rFonts w:cstheme="minorHAnsi"/>
        </w:rPr>
        <w:t>) and Spanish speakers (Spain: </w:t>
      </w:r>
      <w:hyperlink r:id="rId42" w:history="1">
        <w:r w:rsidRPr="00984CD2">
          <w:rPr>
            <w:rStyle w:val="Hyperlink"/>
            <w:rFonts w:cstheme="minorHAnsi"/>
          </w:rPr>
          <w:t>Alonso et al., 1995</w:t>
        </w:r>
      </w:hyperlink>
      <w:r w:rsidRPr="00984CD2">
        <w:rPr>
          <w:rFonts w:cstheme="minorHAnsi"/>
        </w:rPr>
        <w:t>; Peru: </w:t>
      </w:r>
      <w:hyperlink r:id="rId43" w:history="1">
        <w:r w:rsidRPr="00984CD2">
          <w:rPr>
            <w:rStyle w:val="Hyperlink"/>
            <w:rFonts w:cstheme="minorHAnsi"/>
          </w:rPr>
          <w:t>Salazar &amp; Bernabe, 2015</w:t>
        </w:r>
      </w:hyperlink>
      <w:r w:rsidRPr="00984CD2">
        <w:rPr>
          <w:rFonts w:cstheme="minorHAnsi"/>
        </w:rPr>
        <w:t>; Chile: </w:t>
      </w:r>
      <w:hyperlink r:id="rId44" w:history="1">
        <w:r w:rsidRPr="00984CD2">
          <w:rPr>
            <w:rStyle w:val="Hyperlink"/>
            <w:rFonts w:cstheme="minorHAnsi"/>
          </w:rPr>
          <w:t>Lera et al., 2013</w:t>
        </w:r>
      </w:hyperlink>
      <w:r w:rsidRPr="00984CD2">
        <w:rPr>
          <w:rFonts w:cstheme="minorHAnsi"/>
        </w:rPr>
        <w:t>) was also valid in this sample of Central Americans. The original empirical model of the SF-36 with eight first-order factors is supported in our sample of Costa Rican older adults.</w:t>
      </w:r>
    </w:p>
    <w:p w14:paraId="59B85FC7" w14:textId="342DFE0B" w:rsidR="00A07775" w:rsidRPr="00984CD2" w:rsidRDefault="00A07775" w:rsidP="00A07775">
      <w:pPr>
        <w:rPr>
          <w:rFonts w:cstheme="minorHAnsi"/>
        </w:rPr>
      </w:pPr>
      <w:r w:rsidRPr="00984CD2">
        <w:rPr>
          <w:rFonts w:cstheme="minorHAnsi"/>
        </w:rPr>
        <w:t>As part of the model revision of the confirmatory procedure, we tested the seven first-order models that omitted BP or SF, which did not result in a superior factor model to the one with eight factors. We found that the eight-factor model was the most robust model, even when the two higher order factors (i.e., MCS and PCS) were included. These findings suggest that Costa Rican older adults’ HRQOL is better characterized by the scores of the eight domain scales than the two higher order component scores.</w:t>
      </w:r>
    </w:p>
    <w:p w14:paraId="30E34B05" w14:textId="77777777" w:rsidR="009B16E7" w:rsidRPr="00984CD2" w:rsidRDefault="009B16E7" w:rsidP="009B16E7">
      <w:pPr>
        <w:pStyle w:val="Heading1"/>
        <w:rPr>
          <w:rFonts w:asciiTheme="minorHAnsi" w:hAnsiTheme="minorHAnsi" w:cstheme="minorHAnsi"/>
        </w:rPr>
      </w:pPr>
      <w:r w:rsidRPr="00984CD2">
        <w:rPr>
          <w:rFonts w:asciiTheme="minorHAnsi" w:hAnsiTheme="minorHAnsi" w:cstheme="minorHAnsi"/>
        </w:rPr>
        <w:t>The Eight-Factor Structure of the SF-36</w:t>
      </w:r>
    </w:p>
    <w:p w14:paraId="1AC1C002" w14:textId="77777777" w:rsidR="009B16E7" w:rsidRPr="00984CD2" w:rsidRDefault="009B16E7" w:rsidP="009B16E7">
      <w:pPr>
        <w:rPr>
          <w:rFonts w:cstheme="minorHAnsi"/>
        </w:rPr>
      </w:pPr>
      <w:r w:rsidRPr="00984CD2">
        <w:rPr>
          <w:rFonts w:cstheme="minorHAnsi"/>
        </w:rPr>
        <w:t>As we explained in the “Results” section, the specified model resulted in omitting some items, collapsing answer choices, and testing alternative models to add stability to the model. The source of instability came from the low variability in some item responses (i.e., Item 12), multicollinearity found on pairs of items (i.e., Items 13 and 15), and first-order factors (i.e., BP and SF). Recall that factors are best identified when multiple items are used in composite to define them. In the case of BP and SF, there were only two items that defined each factor. Thus, the item density of these factors was low. Furthermore, each contributing item had similarly worded descriptions. The item conceptual and grammatical overlap was not distinct enough for our Costa Rican sample to make fine discerned judgments leading to the items’ multicollinearity. Other studies have similarly found that these same constructs (BP and SF) have poor psychometric properties (i.e., low Cronbach’s alpha) and they do not clearly discriminate on which second-order factor they load (see </w:t>
      </w:r>
      <w:hyperlink r:id="rId45" w:history="1">
        <w:r w:rsidRPr="00984CD2">
          <w:rPr>
            <w:rStyle w:val="Hyperlink"/>
            <w:rFonts w:cstheme="minorHAnsi"/>
          </w:rPr>
          <w:t>Alonso et al., 1998</w:t>
        </w:r>
      </w:hyperlink>
      <w:r w:rsidRPr="00984CD2">
        <w:rPr>
          <w:rFonts w:cstheme="minorHAnsi"/>
        </w:rPr>
        <w:t>; </w:t>
      </w:r>
      <w:hyperlink r:id="rId46" w:history="1">
        <w:r w:rsidRPr="00984CD2">
          <w:rPr>
            <w:rStyle w:val="Hyperlink"/>
            <w:rFonts w:cstheme="minorHAnsi"/>
          </w:rPr>
          <w:t>Ayuso-Mateos et al., 1999</w:t>
        </w:r>
      </w:hyperlink>
      <w:r w:rsidRPr="00984CD2">
        <w:rPr>
          <w:rFonts w:cstheme="minorHAnsi"/>
        </w:rPr>
        <w:t>; </w:t>
      </w:r>
      <w:hyperlink r:id="rId47" w:history="1">
        <w:r w:rsidRPr="00984CD2">
          <w:rPr>
            <w:rStyle w:val="Hyperlink"/>
            <w:rFonts w:cstheme="minorHAnsi"/>
          </w:rPr>
          <w:t>Jordan-Marsh et al., 2008</w:t>
        </w:r>
      </w:hyperlink>
      <w:r w:rsidRPr="00984CD2">
        <w:rPr>
          <w:rFonts w:cstheme="minorHAnsi"/>
        </w:rPr>
        <w:t>; </w:t>
      </w:r>
      <w:hyperlink r:id="rId48" w:history="1">
        <w:r w:rsidRPr="00984CD2">
          <w:rPr>
            <w:rStyle w:val="Hyperlink"/>
            <w:rFonts w:cstheme="minorHAnsi"/>
          </w:rPr>
          <w:t>Keller et al., 1998</w:t>
        </w:r>
      </w:hyperlink>
      <w:r w:rsidRPr="00984CD2">
        <w:rPr>
          <w:rFonts w:cstheme="minorHAnsi"/>
        </w:rPr>
        <w:t>; </w:t>
      </w:r>
      <w:hyperlink r:id="rId49" w:history="1">
        <w:r w:rsidRPr="00984CD2">
          <w:rPr>
            <w:rStyle w:val="Hyperlink"/>
            <w:rFonts w:cstheme="minorHAnsi"/>
          </w:rPr>
          <w:t>Kelly et al., 2015</w:t>
        </w:r>
      </w:hyperlink>
      <w:r w:rsidRPr="00984CD2">
        <w:rPr>
          <w:rFonts w:cstheme="minorHAnsi"/>
        </w:rPr>
        <w:t>; </w:t>
      </w:r>
      <w:hyperlink r:id="rId50" w:history="1">
        <w:r w:rsidRPr="00984CD2">
          <w:rPr>
            <w:rStyle w:val="Hyperlink"/>
            <w:rFonts w:cstheme="minorHAnsi"/>
          </w:rPr>
          <w:t>Oliveira et al., 2014</w:t>
        </w:r>
      </w:hyperlink>
      <w:r w:rsidRPr="00984CD2">
        <w:rPr>
          <w:rFonts w:cstheme="minorHAnsi"/>
        </w:rPr>
        <w:t>; </w:t>
      </w:r>
      <w:hyperlink r:id="rId51" w:history="1">
        <w:r w:rsidRPr="00984CD2">
          <w:rPr>
            <w:rStyle w:val="Hyperlink"/>
            <w:rFonts w:cstheme="minorHAnsi"/>
          </w:rPr>
          <w:t>Peek et al., 2004</w:t>
        </w:r>
      </w:hyperlink>
      <w:r w:rsidRPr="00984CD2">
        <w:rPr>
          <w:rFonts w:cstheme="minorHAnsi"/>
        </w:rPr>
        <w:t>; </w:t>
      </w:r>
      <w:hyperlink r:id="rId52" w:history="1">
        <w:r w:rsidRPr="00984CD2">
          <w:rPr>
            <w:rStyle w:val="Hyperlink"/>
            <w:rFonts w:cstheme="minorHAnsi"/>
          </w:rPr>
          <w:t>Y. Zhang, Qu, Lun, Guo, &amp; Liu, 2012</w:t>
        </w:r>
      </w:hyperlink>
      <w:r w:rsidRPr="00984CD2">
        <w:rPr>
          <w:rFonts w:cstheme="minorHAnsi"/>
        </w:rPr>
        <w:t>).</w:t>
      </w:r>
    </w:p>
    <w:p w14:paraId="15EFC141" w14:textId="77777777" w:rsidR="009B16E7" w:rsidRPr="00984CD2" w:rsidRDefault="009B16E7" w:rsidP="009B16E7">
      <w:pPr>
        <w:rPr>
          <w:rFonts w:cstheme="minorHAnsi"/>
        </w:rPr>
      </w:pPr>
      <w:r w:rsidRPr="00984CD2">
        <w:rPr>
          <w:rFonts w:cstheme="minorHAnsi"/>
        </w:rPr>
        <w:t>An alternative explanation to Costa Rican older adults’ perception of their HRQOL can be formulated from a cultural perspective. Our findings of multicollinearity between the BP and SF factors could be indicative of the cultural construction Costa Rican older adults have on pain perception and social functioning. Based on </w:t>
      </w:r>
      <w:hyperlink r:id="rId53" w:history="1">
        <w:r w:rsidRPr="00984CD2">
          <w:rPr>
            <w:rStyle w:val="Hyperlink"/>
            <w:rFonts w:cstheme="minorHAnsi"/>
          </w:rPr>
          <w:t>Yiengprugsawan, Welsh, and Kendig’s (2018)</w:t>
        </w:r>
      </w:hyperlink>
      <w:r w:rsidRPr="00984CD2">
        <w:rPr>
          <w:rFonts w:cstheme="minorHAnsi"/>
        </w:rPr>
        <w:t> finding of a positive association between social connectedness and good self-rated health in mid- and later life, and on </w:t>
      </w:r>
      <w:hyperlink r:id="rId54" w:history="1">
        <w:r w:rsidRPr="00984CD2">
          <w:rPr>
            <w:rStyle w:val="Hyperlink"/>
            <w:rFonts w:cstheme="minorHAnsi"/>
          </w:rPr>
          <w:t>Biesanz, Biensanz, and Biesanz’s (1999)</w:t>
        </w:r>
      </w:hyperlink>
      <w:r w:rsidRPr="00984CD2">
        <w:rPr>
          <w:rFonts w:cstheme="minorHAnsi"/>
        </w:rPr>
        <w:t> description of older generations of Costa Ricans as work-oriented and community-involved citizens, it is possible that Costa Rican older adults’ social and work-related activities positively influence their views on pain, physical, and/or emotional health–related problems. This interpretation would support findings from experimental studies in which distractibility, cognitive reappraisal (</w:t>
      </w:r>
      <w:hyperlink r:id="rId55" w:history="1">
        <w:r w:rsidRPr="00984CD2">
          <w:rPr>
            <w:rStyle w:val="Hyperlink"/>
            <w:rFonts w:cstheme="minorHAnsi"/>
          </w:rPr>
          <w:t>Wiech, 2016</w:t>
        </w:r>
      </w:hyperlink>
      <w:r w:rsidRPr="00984CD2">
        <w:rPr>
          <w:rFonts w:cstheme="minorHAnsi"/>
        </w:rPr>
        <w:t>), and social support (</w:t>
      </w:r>
      <w:hyperlink r:id="rId56" w:history="1">
        <w:r w:rsidRPr="00984CD2">
          <w:rPr>
            <w:rStyle w:val="Hyperlink"/>
            <w:rFonts w:cstheme="minorHAnsi"/>
          </w:rPr>
          <w:t>J. Brown, Sheffield, Leary, &amp; Robinson, 2003</w:t>
        </w:r>
      </w:hyperlink>
      <w:r w:rsidRPr="00984CD2">
        <w:rPr>
          <w:rFonts w:cstheme="minorHAnsi"/>
        </w:rPr>
        <w:t>) reduces pain perception.</w:t>
      </w:r>
    </w:p>
    <w:p w14:paraId="29D59AC1" w14:textId="77777777" w:rsidR="009B16E7" w:rsidRPr="00984CD2" w:rsidRDefault="009B16E7" w:rsidP="009B16E7">
      <w:pPr>
        <w:pStyle w:val="Heading1"/>
        <w:rPr>
          <w:rFonts w:asciiTheme="minorHAnsi" w:hAnsiTheme="minorHAnsi" w:cstheme="minorHAnsi"/>
        </w:rPr>
      </w:pPr>
      <w:r w:rsidRPr="00984CD2">
        <w:rPr>
          <w:rFonts w:asciiTheme="minorHAnsi" w:hAnsiTheme="minorHAnsi" w:cstheme="minorHAnsi"/>
        </w:rPr>
        <w:t>HRQOL as a Unidimensional Construct</w:t>
      </w:r>
    </w:p>
    <w:p w14:paraId="029EA42D" w14:textId="77777777" w:rsidR="009B16E7" w:rsidRPr="00984CD2" w:rsidRDefault="009B16E7" w:rsidP="009B16E7">
      <w:pPr>
        <w:rPr>
          <w:rFonts w:cstheme="minorHAnsi"/>
        </w:rPr>
      </w:pPr>
      <w:r w:rsidRPr="00984CD2">
        <w:rPr>
          <w:rFonts w:cstheme="minorHAnsi"/>
        </w:rPr>
        <w:t>Costa Rican older adults perceive health as a unitary construct, and their HRQOL is better characterized by analyzing the eight first-order factor scores only. The high correlation between PCS and MCS advises there was low discriminant validity between the physical and mental health composites, indicating that these constructs are not discriminated in this sample of Latin Americans (</w:t>
      </w:r>
      <w:hyperlink r:id="rId57" w:history="1">
        <w:r w:rsidRPr="00984CD2">
          <w:rPr>
            <w:rStyle w:val="Hyperlink"/>
            <w:rFonts w:cstheme="minorHAnsi"/>
          </w:rPr>
          <w:t>T. A. Brown, 2014</w:t>
        </w:r>
      </w:hyperlink>
      <w:r w:rsidRPr="00984CD2">
        <w:rPr>
          <w:rFonts w:cstheme="minorHAnsi"/>
        </w:rPr>
        <w:t>). The cross-loadings of high correlation between domains of PCS and of those that load on to MCS suggest that even the relationship between the first-order domains was not clearly differentiated as purely physical or mental. These results converge with other reports in LAC, where high correlations between the SF-36 components have also been reported (see </w:t>
      </w:r>
      <w:hyperlink r:id="rId58" w:history="1">
        <w:r w:rsidRPr="00984CD2">
          <w:rPr>
            <w:rStyle w:val="Hyperlink"/>
            <w:rFonts w:cstheme="minorHAnsi"/>
          </w:rPr>
          <w:t>Salazar &amp; Bernabe, 2015</w:t>
        </w:r>
      </w:hyperlink>
      <w:r w:rsidRPr="00984CD2">
        <w:rPr>
          <w:rFonts w:cstheme="minorHAnsi"/>
        </w:rPr>
        <w:t>; </w:t>
      </w:r>
      <w:hyperlink r:id="rId59" w:history="1">
        <w:r w:rsidRPr="00984CD2">
          <w:rPr>
            <w:rStyle w:val="Hyperlink"/>
            <w:rFonts w:cstheme="minorHAnsi"/>
          </w:rPr>
          <w:t>Tucker, Adams, &amp; Wilson, 2013</w:t>
        </w:r>
      </w:hyperlink>
      <w:r w:rsidRPr="00984CD2">
        <w:rPr>
          <w:rFonts w:cstheme="minorHAnsi"/>
        </w:rPr>
        <w:t>).</w:t>
      </w:r>
    </w:p>
    <w:p w14:paraId="1B0CFF75" w14:textId="77777777" w:rsidR="009B16E7" w:rsidRPr="00984CD2" w:rsidRDefault="009B16E7" w:rsidP="009B16E7">
      <w:pPr>
        <w:rPr>
          <w:rFonts w:cstheme="minorHAnsi"/>
        </w:rPr>
      </w:pPr>
      <w:r w:rsidRPr="00984CD2">
        <w:rPr>
          <w:rFonts w:cstheme="minorHAnsi"/>
        </w:rPr>
        <w:t>The concepts of health and HRQOL are social constructions (see </w:t>
      </w:r>
      <w:hyperlink r:id="rId60" w:history="1">
        <w:r w:rsidRPr="00984CD2">
          <w:rPr>
            <w:rStyle w:val="Hyperlink"/>
            <w:rFonts w:cstheme="minorHAnsi"/>
          </w:rPr>
          <w:t>Olafsdottir, 2013</w:t>
        </w:r>
      </w:hyperlink>
      <w:r w:rsidRPr="00984CD2">
        <w:rPr>
          <w:rFonts w:cstheme="minorHAnsi"/>
        </w:rPr>
        <w:t xml:space="preserve">) that are embedded within a particular social context. This perspective of the social construction of health could explain the nondistinction between a mental and a physical component of the SF-36 in our sample. Costa Rican older adults perceive their </w:t>
      </w:r>
      <w:r w:rsidRPr="00984CD2">
        <w:rPr>
          <w:rFonts w:cstheme="minorHAnsi"/>
        </w:rPr>
        <w:lastRenderedPageBreak/>
        <w:t>health as an overlapping single construct, not as two Cartesian discrete constructs in which the body and the mind are separate entities. Costa Ricans’ perception of their HRQOL is consistent with the dynamic relationship between mental and physical health found in aging studies (</w:t>
      </w:r>
      <w:hyperlink r:id="rId61" w:history="1">
        <w:r w:rsidRPr="00984CD2">
          <w:rPr>
            <w:rStyle w:val="Hyperlink"/>
            <w:rFonts w:cstheme="minorHAnsi"/>
          </w:rPr>
          <w:t>Ohrnberger, Fichera, &amp; Sutton, 2017</w:t>
        </w:r>
      </w:hyperlink>
      <w:r w:rsidRPr="00984CD2">
        <w:rPr>
          <w:rFonts w:cstheme="minorHAnsi"/>
        </w:rPr>
        <w:t>); and with the World Health Organization’s (WHO) view on health: “there is no health without mental health” (</w:t>
      </w:r>
      <w:hyperlink r:id="rId62" w:history="1">
        <w:r w:rsidRPr="00984CD2">
          <w:rPr>
            <w:rStyle w:val="Hyperlink"/>
            <w:rFonts w:cstheme="minorHAnsi"/>
          </w:rPr>
          <w:t>WHO, 2004</w:t>
        </w:r>
      </w:hyperlink>
      <w:r w:rsidRPr="00984CD2">
        <w:rPr>
          <w:rFonts w:cstheme="minorHAnsi"/>
        </w:rPr>
        <w:t>, p. 10). The joint effect of social, physical, and mental health on HRQOL has been evidenced in studies conducted outside the Latin American region. For example, </w:t>
      </w:r>
      <w:hyperlink r:id="rId63" w:history="1">
        <w:r w:rsidRPr="00984CD2">
          <w:rPr>
            <w:rStyle w:val="Hyperlink"/>
            <w:rFonts w:cstheme="minorHAnsi"/>
          </w:rPr>
          <w:t>X. Zhang and colleagues (2018)</w:t>
        </w:r>
      </w:hyperlink>
      <w:r w:rsidRPr="00984CD2">
        <w:rPr>
          <w:rFonts w:cstheme="minorHAnsi"/>
        </w:rPr>
        <w:t> found that different lifestyle factors (e.g., diet, sleep, exercise, labor, and leisure time) contributed to the perception of HRQOL in Chinese older adults.</w:t>
      </w:r>
    </w:p>
    <w:p w14:paraId="5CB0EC51" w14:textId="77777777" w:rsidR="009B16E7" w:rsidRPr="00984CD2" w:rsidRDefault="009B16E7" w:rsidP="009B16E7">
      <w:pPr>
        <w:pStyle w:val="Heading1"/>
        <w:rPr>
          <w:rFonts w:asciiTheme="minorHAnsi" w:hAnsiTheme="minorHAnsi" w:cstheme="minorHAnsi"/>
        </w:rPr>
      </w:pPr>
      <w:r w:rsidRPr="00984CD2">
        <w:rPr>
          <w:rFonts w:asciiTheme="minorHAnsi" w:hAnsiTheme="minorHAnsi" w:cstheme="minorHAnsi"/>
        </w:rPr>
        <w:t>HRQOL as a Function of Sociodemographic Characteristics</w:t>
      </w:r>
    </w:p>
    <w:p w14:paraId="0A66D4D8" w14:textId="77777777" w:rsidR="009B16E7" w:rsidRPr="00984CD2" w:rsidRDefault="009B16E7" w:rsidP="009B16E7">
      <w:pPr>
        <w:rPr>
          <w:rFonts w:cstheme="minorHAnsi"/>
        </w:rPr>
      </w:pPr>
      <w:r w:rsidRPr="00984CD2">
        <w:rPr>
          <w:rFonts w:cstheme="minorHAnsi"/>
        </w:rPr>
        <w:t>HRQOL of Costa Rican older adults differed by region of residency. Those residing in rural Costa Rica reported overall lower HRQOL compared with those living in urban Costa Rica. These geographical differences in health perception highlight that impact of social determinants of health as a fundamental cause of health inequalities. According to the </w:t>
      </w:r>
      <w:hyperlink r:id="rId64" w:history="1">
        <w:r w:rsidRPr="00984CD2">
          <w:rPr>
            <w:rStyle w:val="Hyperlink"/>
            <w:rFonts w:cstheme="minorHAnsi"/>
          </w:rPr>
          <w:t>WHO (n.d.)</w:t>
        </w:r>
      </w:hyperlink>
      <w:r w:rsidRPr="00984CD2">
        <w:rPr>
          <w:rFonts w:cstheme="minorHAnsi"/>
        </w:rPr>
        <w:t>, the social determinants of health consider the “conditions in which people are born, grow, live, work and age.” The fundamental cause of health inequalities is more specific in explaining that socioeconomic status (SES) can open or limit the access to resources that can prevent diseases or minimize its consequences (see </w:t>
      </w:r>
      <w:hyperlink r:id="rId65" w:history="1">
        <w:r w:rsidRPr="00984CD2">
          <w:rPr>
            <w:rStyle w:val="Hyperlink"/>
            <w:rFonts w:cstheme="minorHAnsi"/>
          </w:rPr>
          <w:t>Phelan, Link, &amp; Tehranifar, 2010</w:t>
        </w:r>
      </w:hyperlink>
      <w:r w:rsidRPr="00984CD2">
        <w:rPr>
          <w:rFonts w:cstheme="minorHAnsi"/>
        </w:rPr>
        <w:t>). These theories explain the effect of region on Costa Rican’s HRQOL we found in this study.</w:t>
      </w:r>
    </w:p>
    <w:p w14:paraId="260007C9" w14:textId="77777777" w:rsidR="009B16E7" w:rsidRPr="00984CD2" w:rsidRDefault="009B16E7" w:rsidP="009B16E7">
      <w:pPr>
        <w:rPr>
          <w:rFonts w:cstheme="minorHAnsi"/>
        </w:rPr>
      </w:pPr>
      <w:r w:rsidRPr="00984CD2">
        <w:rPr>
          <w:rFonts w:cstheme="minorHAnsi"/>
        </w:rPr>
        <w:t>Costa Rica has superior health indicators compared with its Central American neighbors; however, significant health disparities within the country exist. Costa Rica is an LAC with a superior human development in the region (see the human development index from the United Nations Developmental Program [UNDP]), with a public health system (in Spanish: seguridad social) implemented on principles of social participation, solidarity, equity, and universality, which are financially mandatory, and with rural health programs such as the Community and Rural Health Program in Nicoya (</w:t>
      </w:r>
      <w:hyperlink r:id="rId66" w:history="1">
        <w:r w:rsidRPr="00984CD2">
          <w:rPr>
            <w:rStyle w:val="Hyperlink"/>
            <w:rFonts w:cstheme="minorHAnsi"/>
          </w:rPr>
          <w:t>Salas-Chavez, 2013</w:t>
        </w:r>
      </w:hyperlink>
      <w:r w:rsidRPr="00984CD2">
        <w:rPr>
          <w:rFonts w:cstheme="minorHAnsi"/>
        </w:rPr>
        <w:t>). However, the inequalities within the country are moderately increasing (see UNDP), making health access difficult to reach in those provinces with lower social development (</w:t>
      </w:r>
      <w:hyperlink r:id="rId67" w:history="1">
        <w:r w:rsidRPr="00984CD2">
          <w:rPr>
            <w:rStyle w:val="Hyperlink"/>
            <w:rFonts w:cstheme="minorHAnsi"/>
          </w:rPr>
          <w:t>Castillo-Martinez, 2013</w:t>
        </w:r>
      </w:hyperlink>
      <w:r w:rsidRPr="00984CD2">
        <w:rPr>
          <w:rFonts w:cstheme="minorHAnsi"/>
        </w:rPr>
        <w:t xml:space="preserve">). Rural Costa Rican older adults’ lower perception of their HRQOL </w:t>
      </w:r>
      <w:proofErr w:type="gramStart"/>
      <w:r w:rsidRPr="00984CD2">
        <w:rPr>
          <w:rFonts w:cstheme="minorHAnsi"/>
        </w:rPr>
        <w:t>is a reflection of</w:t>
      </w:r>
      <w:proofErr w:type="gramEnd"/>
      <w:r w:rsidRPr="00984CD2">
        <w:rPr>
          <w:rFonts w:cstheme="minorHAnsi"/>
        </w:rPr>
        <w:t xml:space="preserve"> the health and sociocultural disparities in their surroundings. Health and quality of life are not dependent on individual effort.</w:t>
      </w:r>
    </w:p>
    <w:p w14:paraId="6A376F07" w14:textId="77777777" w:rsidR="009B16E7" w:rsidRPr="00984CD2" w:rsidRDefault="009B16E7" w:rsidP="009B16E7">
      <w:pPr>
        <w:rPr>
          <w:rFonts w:cstheme="minorHAnsi"/>
        </w:rPr>
      </w:pPr>
      <w:r w:rsidRPr="00984CD2">
        <w:rPr>
          <w:rFonts w:cstheme="minorHAnsi"/>
        </w:rPr>
        <w:t>From the SABE studies, we know that differences in self-reported health among Latin American older adults are associated with education and income inequalities (</w:t>
      </w:r>
      <w:hyperlink r:id="rId68" w:history="1">
        <w:r w:rsidRPr="00984CD2">
          <w:rPr>
            <w:rStyle w:val="Hyperlink"/>
            <w:rFonts w:cstheme="minorHAnsi"/>
          </w:rPr>
          <w:t>Palloni &amp; McEniry, 2007</w:t>
        </w:r>
      </w:hyperlink>
      <w:r w:rsidRPr="00984CD2">
        <w:rPr>
          <w:rFonts w:cstheme="minorHAnsi"/>
        </w:rPr>
        <w:t>). Specific to Costa Rica, </w:t>
      </w:r>
      <w:hyperlink r:id="rId69" w:history="1">
        <w:r w:rsidRPr="00984CD2">
          <w:rPr>
            <w:rStyle w:val="Hyperlink"/>
            <w:rFonts w:cstheme="minorHAnsi"/>
          </w:rPr>
          <w:t>Rosero-Bixby and Dow (2009)</w:t>
        </w:r>
      </w:hyperlink>
      <w:r w:rsidRPr="00984CD2">
        <w:rPr>
          <w:rFonts w:cstheme="minorHAnsi"/>
        </w:rPr>
        <w:t> found that smoking and sedentary behaviors were more common among low-SES older adults, compared with those in the highest SES bracket. These studies support the view that the HRQOL disparities found in our study can be explained by the fundamental cause of health inequalities.</w:t>
      </w:r>
    </w:p>
    <w:p w14:paraId="6BAB448B" w14:textId="77777777" w:rsidR="009B16E7" w:rsidRPr="00984CD2" w:rsidRDefault="009B16E7" w:rsidP="009B16E7">
      <w:pPr>
        <w:rPr>
          <w:rFonts w:cstheme="minorHAnsi"/>
        </w:rPr>
      </w:pPr>
      <w:r w:rsidRPr="00984CD2">
        <w:rPr>
          <w:rFonts w:cstheme="minorHAnsi"/>
        </w:rPr>
        <w:t>As expected, we found that age is related to Costa Ricans’ view of HRQOL. Older participants reported having poorer PF, less energy, and lower emotional well-being. As age increased, reported health on these domains specifically was rated lower. It is important to note that age did not influence ratings on all domains of the SF-36. The association between age and HRQOL has been well documented and our results are consistent with those found in other studies (see </w:t>
      </w:r>
      <w:hyperlink r:id="rId70" w:history="1">
        <w:r w:rsidRPr="00984CD2">
          <w:rPr>
            <w:rStyle w:val="Hyperlink"/>
            <w:rFonts w:cstheme="minorHAnsi"/>
          </w:rPr>
          <w:t>Der-Martirosian, Kritz-Silverstein, &amp; Barrett-Connor, 2010</w:t>
        </w:r>
      </w:hyperlink>
      <w:r w:rsidRPr="00984CD2">
        <w:rPr>
          <w:rFonts w:cstheme="minorHAnsi"/>
        </w:rPr>
        <w:t>; </w:t>
      </w:r>
      <w:hyperlink r:id="rId71" w:history="1">
        <w:r w:rsidRPr="00984CD2">
          <w:rPr>
            <w:rStyle w:val="Hyperlink"/>
            <w:rFonts w:cstheme="minorHAnsi"/>
          </w:rPr>
          <w:t>Sullivan, Kempen, Van Sonderen, &amp; Ormel, 2000</w:t>
        </w:r>
      </w:hyperlink>
      <w:r w:rsidRPr="00984CD2">
        <w:rPr>
          <w:rFonts w:cstheme="minorHAnsi"/>
        </w:rPr>
        <w:t>). We want to highlight that even though poorer ratings of HRQOL on those three factors were related to participants’ age, domains associated with perception of pain, social functioning, role limitations, and general health were not significantly rated lower as a function of age. Age should be considered when evaluating HRQOL in older adults.</w:t>
      </w:r>
    </w:p>
    <w:p w14:paraId="24718302" w14:textId="77777777" w:rsidR="009B16E7" w:rsidRPr="00984CD2" w:rsidRDefault="009B16E7" w:rsidP="009B16E7">
      <w:pPr>
        <w:rPr>
          <w:rFonts w:cstheme="minorHAnsi"/>
        </w:rPr>
      </w:pPr>
      <w:r w:rsidRPr="00984CD2">
        <w:rPr>
          <w:rFonts w:cstheme="minorHAnsi"/>
        </w:rPr>
        <w:t xml:space="preserve">Finally, our results showed no mean differences in HRQOL between the highest and lowest completed level of education (i.e., university completed vs. incomplete elementary). This finding is suggesting that the differences </w:t>
      </w:r>
      <w:r w:rsidRPr="00984CD2">
        <w:rPr>
          <w:rFonts w:cstheme="minorHAnsi"/>
        </w:rPr>
        <w:lastRenderedPageBreak/>
        <w:t>in HRQOL between the urban and rural regions are the result of other sociocultural disparities but not of education. Future studies should aim at exploring the characteristics that explain the urban and rural differences found in the Costa Rican older adult population.</w:t>
      </w:r>
    </w:p>
    <w:p w14:paraId="31BB969B" w14:textId="77777777" w:rsidR="009B16E7" w:rsidRPr="00984CD2" w:rsidRDefault="009B16E7" w:rsidP="009B16E7">
      <w:pPr>
        <w:pStyle w:val="Heading1"/>
        <w:rPr>
          <w:rFonts w:asciiTheme="minorHAnsi" w:hAnsiTheme="minorHAnsi" w:cstheme="minorHAnsi"/>
        </w:rPr>
      </w:pPr>
      <w:r w:rsidRPr="00984CD2">
        <w:rPr>
          <w:rFonts w:asciiTheme="minorHAnsi" w:hAnsiTheme="minorHAnsi" w:cstheme="minorHAnsi"/>
        </w:rPr>
        <w:t>Conclusion</w:t>
      </w:r>
    </w:p>
    <w:p w14:paraId="048D789A" w14:textId="77777777" w:rsidR="009B16E7" w:rsidRPr="00984CD2" w:rsidRDefault="009B16E7" w:rsidP="009B16E7">
      <w:pPr>
        <w:rPr>
          <w:rFonts w:cstheme="minorHAnsi"/>
        </w:rPr>
      </w:pPr>
      <w:r w:rsidRPr="00984CD2">
        <w:rPr>
          <w:rFonts w:cstheme="minorHAnsi"/>
        </w:rPr>
        <w:t>Our study examined the factor structure of the SF-36 in a sample of Costa Rican cognitively healthy older adults and found that the eight-factor model describes better this population’s HRQOL. In the model with two higher order factors, our findings show a high correlation between mental component and physical component scores, suggesting that these scores are not clearly distinguished as two separate constructs. Given the popularized use of the SF-36 in research and clinical settings, we strongly encourage consideration of the sociocultural context of Latin American older adults. We believe that researchers and clinicians should always be mindful of the underlying cultural values of health-related concepts (see </w:t>
      </w:r>
      <w:hyperlink r:id="rId72" w:history="1">
        <w:r w:rsidRPr="00984CD2">
          <w:rPr>
            <w:rStyle w:val="Hyperlink"/>
            <w:rFonts w:cstheme="minorHAnsi"/>
          </w:rPr>
          <w:t>Ngo-Metzger, Sorkin, Mangione, Gandek, &amp; Hays, 2008</w:t>
        </w:r>
      </w:hyperlink>
      <w:r w:rsidRPr="00984CD2">
        <w:rPr>
          <w:rFonts w:cstheme="minorHAnsi"/>
        </w:rPr>
        <w:t>). Those who use the SF-36 with Latin American older adults should use the mental and PCS scores with caution (see, </w:t>
      </w:r>
      <w:hyperlink r:id="rId73" w:history="1">
        <w:r w:rsidRPr="00984CD2">
          <w:rPr>
            <w:rStyle w:val="Hyperlink"/>
            <w:rFonts w:cstheme="minorHAnsi"/>
          </w:rPr>
          <w:t>Simon et al., 1998</w:t>
        </w:r>
      </w:hyperlink>
      <w:r w:rsidRPr="00984CD2">
        <w:rPr>
          <w:rFonts w:cstheme="minorHAnsi"/>
        </w:rPr>
        <w:t>).</w:t>
      </w:r>
    </w:p>
    <w:p w14:paraId="42585994" w14:textId="77777777" w:rsidR="009B16E7" w:rsidRPr="00984CD2" w:rsidRDefault="009B16E7" w:rsidP="009B16E7">
      <w:pPr>
        <w:rPr>
          <w:rFonts w:cstheme="minorHAnsi"/>
        </w:rPr>
      </w:pPr>
      <w:r w:rsidRPr="00984CD2">
        <w:rPr>
          <w:rFonts w:cstheme="minorHAnsi"/>
        </w:rPr>
        <w:t>Validity studies of the SF-36 in Latin American older adult population are necessary for understanding of health perception of older adults within the region, and for developing country-specific scoring norms. In this effort, we recommend (a) testing measurement invariance with the specific populations of interest, (b) conducting preliminary analyses of items and distribution of responses to adjust properly the model specification step of the confirmatory process (see </w:t>
      </w:r>
      <w:hyperlink r:id="rId74" w:history="1">
        <w:r w:rsidRPr="00984CD2">
          <w:rPr>
            <w:rStyle w:val="Hyperlink"/>
            <w:rFonts w:cstheme="minorHAnsi"/>
          </w:rPr>
          <w:t>MacCallum, 2003</w:t>
        </w:r>
      </w:hyperlink>
      <w:r w:rsidRPr="00984CD2">
        <w:rPr>
          <w:rFonts w:cstheme="minorHAnsi"/>
        </w:rPr>
        <w:t>), and (c) testing if changes on the structure of the BP and SF factors (i.e., expanding the items on each subscale) would result in improved model fit.</w:t>
      </w:r>
    </w:p>
    <w:p w14:paraId="52714DFE" w14:textId="77777777" w:rsidR="009B16E7" w:rsidRPr="00984CD2" w:rsidRDefault="009B16E7" w:rsidP="009B16E7">
      <w:pPr>
        <w:rPr>
          <w:rFonts w:cstheme="minorHAnsi"/>
        </w:rPr>
      </w:pPr>
      <w:r w:rsidRPr="00984CD2">
        <w:rPr>
          <w:rFonts w:cstheme="minorHAnsi"/>
        </w:rPr>
        <w:t>Overall, we examined the structural validity of the SF-36 and found the eight scales are valid constructs in our sample of cognitively healthy Costa Rican older adults. Our results support the use of the SF-36 in Latin American older adults. The interpretation of composite measures of physical health and mental health should be conducted with caution as they may not be distinctive in the way Latin Americans view health.</w:t>
      </w:r>
    </w:p>
    <w:p w14:paraId="5FC9F133" w14:textId="23C0EC3B" w:rsidR="009B16E7" w:rsidRPr="00984CD2" w:rsidRDefault="009B16E7" w:rsidP="00FA124F">
      <w:pPr>
        <w:pStyle w:val="NoSpacing"/>
        <w:rPr>
          <w:rFonts w:cstheme="minorHAnsi"/>
        </w:rPr>
      </w:pPr>
      <w:r w:rsidRPr="00984CD2">
        <w:rPr>
          <w:rStyle w:val="Heading1Char"/>
          <w:rFonts w:asciiTheme="minorHAnsi" w:hAnsiTheme="minorHAnsi" w:cstheme="minorHAnsi"/>
        </w:rPr>
        <w:t>Declaration of Conflicting Interests</w:t>
      </w:r>
      <w:r w:rsidRPr="00984CD2">
        <w:rPr>
          <w:rFonts w:cstheme="minorHAnsi"/>
        </w:rPr>
        <w:br/>
        <w:t>The author(s) declared no potential conflicts of interest with respect to the research, authorship, and/or publication of this article.</w:t>
      </w:r>
    </w:p>
    <w:p w14:paraId="3B335B4A" w14:textId="77777777" w:rsidR="00FA124F" w:rsidRPr="00984CD2" w:rsidRDefault="00FA124F" w:rsidP="00FA124F">
      <w:pPr>
        <w:pStyle w:val="NoSpacing"/>
        <w:rPr>
          <w:rFonts w:cstheme="minorHAnsi"/>
        </w:rPr>
      </w:pPr>
    </w:p>
    <w:p w14:paraId="613708E4" w14:textId="77777777" w:rsidR="009B16E7" w:rsidRPr="00984CD2" w:rsidRDefault="009B16E7" w:rsidP="009B16E7">
      <w:pPr>
        <w:rPr>
          <w:rFonts w:cstheme="minorHAnsi"/>
        </w:rPr>
      </w:pPr>
      <w:r w:rsidRPr="00984CD2">
        <w:rPr>
          <w:rStyle w:val="Heading1Char"/>
          <w:rFonts w:asciiTheme="minorHAnsi" w:hAnsiTheme="minorHAnsi" w:cstheme="minorHAnsi"/>
        </w:rPr>
        <w:t>Funding</w:t>
      </w:r>
      <w:r w:rsidRPr="00984CD2">
        <w:rPr>
          <w:rFonts w:cstheme="minorHAnsi"/>
        </w:rPr>
        <w:br/>
        <w:t>The author(s) disclosed receipt of the following financial support for the research, authorship, and/or publication of this article: This study was supported by Fogarty International Center (FIC) Epidemiology and Development of Alzheimer’s Disease in Costa Rica (R21TW009665), National Institute on Aging (NIA) Alzheimer’s Disease Core Center (P30AG010129), NIA Center to advance cognitive health and health care in older Latinos (Resource Centers for Minority Aging Research [RCMAR]; P30AG043097).</w:t>
      </w:r>
    </w:p>
    <w:p w14:paraId="6377C1A3" w14:textId="044C7BA9" w:rsidR="00A07775" w:rsidRPr="00984CD2" w:rsidRDefault="00A07775" w:rsidP="00A07775">
      <w:pPr>
        <w:rPr>
          <w:rFonts w:cstheme="minorHAnsi"/>
        </w:rPr>
      </w:pPr>
    </w:p>
    <w:p w14:paraId="1C19DE6D" w14:textId="77777777" w:rsidR="00B34B3D" w:rsidRPr="00E31F35" w:rsidRDefault="00B34B3D" w:rsidP="00B34B3D">
      <w:pPr>
        <w:pStyle w:val="Heading1"/>
        <w:rPr>
          <w:rFonts w:asciiTheme="minorHAnsi" w:hAnsiTheme="minorHAnsi" w:cstheme="minorHAnsi"/>
          <w:color w:val="FF0000"/>
        </w:rPr>
      </w:pPr>
      <w:r w:rsidRPr="005D3671">
        <w:rPr>
          <w:rFonts w:asciiTheme="minorHAnsi" w:hAnsiTheme="minorHAnsi" w:cstheme="minorHAnsi"/>
          <w:color w:val="auto"/>
        </w:rPr>
        <w:t>References</w:t>
      </w:r>
    </w:p>
    <w:tbl>
      <w:tblPr>
        <w:tblStyle w:val="TableGridLight"/>
        <w:tblW w:w="5000" w:type="pct"/>
        <w:tblLook w:val="04A0" w:firstRow="1" w:lastRow="0" w:firstColumn="1" w:lastColumn="0" w:noHBand="0" w:noVBand="1"/>
      </w:tblPr>
      <w:tblGrid>
        <w:gridCol w:w="10070"/>
      </w:tblGrid>
      <w:tr w:rsidR="00615789" w:rsidRPr="00984CD2" w14:paraId="59B09512" w14:textId="77777777" w:rsidTr="00615789">
        <w:tc>
          <w:tcPr>
            <w:tcW w:w="5000" w:type="pct"/>
          </w:tcPr>
          <w:p w14:paraId="29A92FEA" w14:textId="2EA0914D" w:rsidR="00615789" w:rsidRPr="00984CD2" w:rsidRDefault="00615789" w:rsidP="006607EF">
            <w:pPr>
              <w:ind w:left="720" w:hanging="720"/>
              <w:rPr>
                <w:rFonts w:cstheme="minorHAnsi"/>
              </w:rPr>
            </w:pPr>
            <w:r w:rsidRPr="00984CD2">
              <w:rPr>
                <w:rFonts w:cstheme="minorHAnsi"/>
              </w:rPr>
              <w:t>Alonso, J., Prieto, L., Anto, J. M. (1995). La versión española del SF-36 health survey. Medicina Clinica, 104, 771-776.</w:t>
            </w:r>
          </w:p>
          <w:p w14:paraId="03511C1F" w14:textId="10A1C903" w:rsidR="006F7B68" w:rsidRPr="00984CD2" w:rsidRDefault="006F7B68" w:rsidP="006607EF">
            <w:pPr>
              <w:ind w:left="720" w:hanging="720"/>
              <w:rPr>
                <w:rFonts w:cstheme="minorHAnsi"/>
              </w:rPr>
            </w:pPr>
          </w:p>
        </w:tc>
      </w:tr>
      <w:tr w:rsidR="00615789" w:rsidRPr="00984CD2" w14:paraId="3455338D" w14:textId="77777777" w:rsidTr="00615789">
        <w:tc>
          <w:tcPr>
            <w:tcW w:w="5000" w:type="pct"/>
            <w:hideMark/>
          </w:tcPr>
          <w:p w14:paraId="515DAFEA" w14:textId="2F0C15FD" w:rsidR="00615789" w:rsidRPr="00984CD2" w:rsidRDefault="00615789" w:rsidP="006607EF">
            <w:pPr>
              <w:spacing w:after="160" w:line="259" w:lineRule="auto"/>
              <w:ind w:left="720" w:hanging="720"/>
              <w:rPr>
                <w:rFonts w:cstheme="minorHAnsi"/>
              </w:rPr>
            </w:pPr>
            <w:r w:rsidRPr="00984CD2">
              <w:rPr>
                <w:rFonts w:cstheme="minorHAnsi"/>
              </w:rPr>
              <w:t xml:space="preserve">Alonso, J., Prieto, L., Ferrer, M., Vilagut, G., Broquetas, J. M., Batlle, J. S., Antó, J. M. (1998). Testing the measurement properties of the Spanish version of the SF-36 health survey among male patients with </w:t>
            </w:r>
            <w:r w:rsidRPr="00984CD2">
              <w:rPr>
                <w:rFonts w:cstheme="minorHAnsi"/>
              </w:rPr>
              <w:lastRenderedPageBreak/>
              <w:t>chronic obstructive pulmonary disease. Journal of Clinical Epidemiology, 51, 1087-1094. doi:</w:t>
            </w:r>
            <w:hyperlink r:id="rId75" w:tgtFrame="_blank" w:history="1">
              <w:r w:rsidRPr="00984CD2">
                <w:rPr>
                  <w:rStyle w:val="Hyperlink"/>
                  <w:rFonts w:cstheme="minorHAnsi"/>
                </w:rPr>
                <w:t>10.1016/S0895-4356(98)00100-0</w:t>
              </w:r>
            </w:hyperlink>
          </w:p>
          <w:p w14:paraId="1232723C" w14:textId="7FB0EED0" w:rsidR="00615789" w:rsidRPr="00984CD2" w:rsidRDefault="00615789" w:rsidP="006607EF">
            <w:pPr>
              <w:spacing w:after="160" w:line="259" w:lineRule="auto"/>
              <w:ind w:left="720" w:hanging="720"/>
              <w:rPr>
                <w:rFonts w:cstheme="minorHAnsi"/>
              </w:rPr>
            </w:pPr>
          </w:p>
        </w:tc>
      </w:tr>
      <w:tr w:rsidR="00615789" w:rsidRPr="00984CD2" w14:paraId="17195067" w14:textId="77777777" w:rsidTr="00615789">
        <w:tc>
          <w:tcPr>
            <w:tcW w:w="5000" w:type="pct"/>
            <w:hideMark/>
          </w:tcPr>
          <w:p w14:paraId="0A21A96A" w14:textId="7A56D223" w:rsidR="00615789" w:rsidRPr="00984CD2" w:rsidRDefault="00615789" w:rsidP="006607EF">
            <w:pPr>
              <w:spacing w:after="160" w:line="259" w:lineRule="auto"/>
              <w:ind w:left="720" w:hanging="720"/>
              <w:rPr>
                <w:rFonts w:cstheme="minorHAnsi"/>
              </w:rPr>
            </w:pPr>
            <w:r w:rsidRPr="00984CD2">
              <w:rPr>
                <w:rFonts w:cstheme="minorHAnsi"/>
              </w:rPr>
              <w:lastRenderedPageBreak/>
              <w:t>Arango-Lasprilla, J. C., Krch, D., Drew, A., De Los Reyes Aragon, C. J., Stevens, L. F. (2012). Health-related quality of life of individuals with traumatic brain injury in Barranquilla, Colombia. Brain Injury, 26, 825-833. doi:</w:t>
            </w:r>
            <w:hyperlink r:id="rId76" w:tgtFrame="_blank" w:history="1">
              <w:r w:rsidRPr="00984CD2">
                <w:rPr>
                  <w:rStyle w:val="Hyperlink"/>
                  <w:rFonts w:cstheme="minorHAnsi"/>
                </w:rPr>
                <w:t>10.3109/02699052.2012.655364</w:t>
              </w:r>
            </w:hyperlink>
          </w:p>
          <w:p w14:paraId="486CF5AA" w14:textId="7C4FACE9" w:rsidR="00615789" w:rsidRPr="00984CD2" w:rsidRDefault="00615789" w:rsidP="006607EF">
            <w:pPr>
              <w:spacing w:after="160" w:line="259" w:lineRule="auto"/>
              <w:ind w:left="720" w:hanging="720"/>
              <w:rPr>
                <w:rFonts w:cstheme="minorHAnsi"/>
              </w:rPr>
            </w:pPr>
          </w:p>
        </w:tc>
      </w:tr>
      <w:tr w:rsidR="00615789" w:rsidRPr="00984CD2" w14:paraId="717CD1F1" w14:textId="77777777" w:rsidTr="00615789">
        <w:tc>
          <w:tcPr>
            <w:tcW w:w="5000" w:type="pct"/>
            <w:hideMark/>
          </w:tcPr>
          <w:p w14:paraId="27ECC421" w14:textId="6FC878E1" w:rsidR="00615789" w:rsidRPr="00984CD2" w:rsidRDefault="00615789" w:rsidP="006607EF">
            <w:pPr>
              <w:spacing w:after="160" w:line="259" w:lineRule="auto"/>
              <w:ind w:left="720" w:hanging="720"/>
              <w:rPr>
                <w:rFonts w:cstheme="minorHAnsi"/>
              </w:rPr>
            </w:pPr>
            <w:r w:rsidRPr="00984CD2">
              <w:rPr>
                <w:rFonts w:cstheme="minorHAnsi"/>
              </w:rPr>
              <w:t>Assumpcao, A., Pagano, T., Matsutani, L. A., Ferreira, E. A., Pereira, C. A., Marques, A. P. (2010). Quality of life and discriminating power of two questionnaires in fibromyalgia patients: Fibromyalgia Impact Questionnaire and Medical Outcomes Study 36-item short form health survey. Brazilian Journal of Physical Therapy, 14, 284-289. doi:</w:t>
            </w:r>
            <w:hyperlink r:id="rId77" w:tgtFrame="_blank" w:history="1">
              <w:r w:rsidRPr="00984CD2">
                <w:rPr>
                  <w:rStyle w:val="Hyperlink"/>
                  <w:rFonts w:cstheme="minorHAnsi"/>
                </w:rPr>
                <w:t>10.1590/S1413-35552010005000015</w:t>
              </w:r>
            </w:hyperlink>
          </w:p>
          <w:p w14:paraId="412CDF3C" w14:textId="17A972C3" w:rsidR="00615789" w:rsidRPr="00984CD2" w:rsidRDefault="00615789" w:rsidP="006607EF">
            <w:pPr>
              <w:spacing w:after="160" w:line="259" w:lineRule="auto"/>
              <w:ind w:left="720" w:hanging="720"/>
              <w:rPr>
                <w:rFonts w:cstheme="minorHAnsi"/>
              </w:rPr>
            </w:pPr>
          </w:p>
        </w:tc>
      </w:tr>
      <w:tr w:rsidR="00615789" w:rsidRPr="00984CD2" w14:paraId="4CC59FE6" w14:textId="77777777" w:rsidTr="00615789">
        <w:tc>
          <w:tcPr>
            <w:tcW w:w="5000" w:type="pct"/>
            <w:hideMark/>
          </w:tcPr>
          <w:p w14:paraId="7EA369DB" w14:textId="1424348E" w:rsidR="006F7B68" w:rsidRPr="00984CD2" w:rsidRDefault="00615789" w:rsidP="0043792A">
            <w:pPr>
              <w:spacing w:after="160" w:line="259" w:lineRule="auto"/>
              <w:ind w:left="720" w:hanging="720"/>
              <w:rPr>
                <w:rFonts w:cstheme="minorHAnsi"/>
              </w:rPr>
            </w:pPr>
            <w:r w:rsidRPr="00984CD2">
              <w:rPr>
                <w:rFonts w:cstheme="minorHAnsi"/>
              </w:rPr>
              <w:t>Augustovski, F. A., Lewin, G., Garcia-Elorrio, E., Rubinstein, A. (2008). The Argentine-Spanish SF-36 health survey was successfully validated for local outcome research. Journal of Clinical Epidemiology, 61, 1279-1284. doi:</w:t>
            </w:r>
            <w:hyperlink r:id="rId78" w:tgtFrame="_blank" w:history="1">
              <w:r w:rsidRPr="00984CD2">
                <w:rPr>
                  <w:rStyle w:val="Hyperlink"/>
                  <w:rFonts w:cstheme="minorHAnsi"/>
                </w:rPr>
                <w:t>10.1016/j.jclinepi.2008.05.004</w:t>
              </w:r>
            </w:hyperlink>
          </w:p>
          <w:p w14:paraId="72374100" w14:textId="4FB274A4" w:rsidR="00615789" w:rsidRPr="00984CD2" w:rsidRDefault="00615789" w:rsidP="006607EF">
            <w:pPr>
              <w:spacing w:after="160" w:line="259" w:lineRule="auto"/>
              <w:ind w:left="720" w:hanging="720"/>
              <w:rPr>
                <w:rFonts w:cstheme="minorHAnsi"/>
              </w:rPr>
            </w:pPr>
          </w:p>
        </w:tc>
      </w:tr>
      <w:tr w:rsidR="00615789" w:rsidRPr="00984CD2" w14:paraId="62542BA3" w14:textId="77777777" w:rsidTr="00615789">
        <w:tc>
          <w:tcPr>
            <w:tcW w:w="5000" w:type="pct"/>
            <w:hideMark/>
          </w:tcPr>
          <w:p w14:paraId="1FB79ECF" w14:textId="7BF0150D" w:rsidR="00615789" w:rsidRPr="00984CD2" w:rsidRDefault="00615789" w:rsidP="0043792A">
            <w:pPr>
              <w:spacing w:after="160" w:line="259" w:lineRule="auto"/>
              <w:ind w:left="720" w:hanging="720"/>
              <w:rPr>
                <w:rFonts w:cstheme="minorHAnsi"/>
              </w:rPr>
            </w:pPr>
            <w:r w:rsidRPr="00984CD2">
              <w:rPr>
                <w:rFonts w:cstheme="minorHAnsi"/>
              </w:rPr>
              <w:t>Ayuso-Mateos, J. L., Lasa, L., Vazquez-Barquero, J. L. (1999). Internal and external validity of the Spanish versión of the SF-36. Medicina Clinica, 113(1), 37.</w:t>
            </w:r>
          </w:p>
        </w:tc>
      </w:tr>
      <w:tr w:rsidR="00615789" w:rsidRPr="00984CD2" w14:paraId="1E2A7FDA" w14:textId="77777777" w:rsidTr="00615789">
        <w:tc>
          <w:tcPr>
            <w:tcW w:w="5000" w:type="pct"/>
            <w:hideMark/>
          </w:tcPr>
          <w:p w14:paraId="18F2300F" w14:textId="3F9E4A6E" w:rsidR="00615789" w:rsidRPr="00984CD2" w:rsidRDefault="00615789" w:rsidP="0043792A">
            <w:pPr>
              <w:spacing w:after="160" w:line="259" w:lineRule="auto"/>
              <w:ind w:left="720" w:hanging="720"/>
              <w:rPr>
                <w:rFonts w:cstheme="minorHAnsi"/>
              </w:rPr>
            </w:pPr>
            <w:r w:rsidRPr="00984CD2">
              <w:rPr>
                <w:rFonts w:cstheme="minorHAnsi"/>
              </w:rPr>
              <w:t>Bentler, P. M., Mooijaart, A. (1989). Choice of structural model via parsimony: A rationale based on precision. Psychological Bulletin, 106(2), 315-317. doi:</w:t>
            </w:r>
            <w:hyperlink r:id="rId79" w:tgtFrame="_blank" w:history="1">
              <w:r w:rsidRPr="00984CD2">
                <w:rPr>
                  <w:rStyle w:val="Hyperlink"/>
                  <w:rFonts w:cstheme="minorHAnsi"/>
                </w:rPr>
                <w:t>10.1037/0033-2909.106.2.315</w:t>
              </w:r>
            </w:hyperlink>
          </w:p>
        </w:tc>
      </w:tr>
      <w:tr w:rsidR="00615789" w:rsidRPr="00984CD2" w14:paraId="5961299E" w14:textId="77777777" w:rsidTr="00615789">
        <w:tc>
          <w:tcPr>
            <w:tcW w:w="5000" w:type="pct"/>
            <w:hideMark/>
          </w:tcPr>
          <w:p w14:paraId="28B24080" w14:textId="22056F81" w:rsidR="00615789" w:rsidRPr="00984CD2" w:rsidRDefault="00615789" w:rsidP="0043792A">
            <w:pPr>
              <w:spacing w:after="160" w:line="259" w:lineRule="auto"/>
              <w:ind w:left="720" w:hanging="720"/>
              <w:rPr>
                <w:rFonts w:cstheme="minorHAnsi"/>
              </w:rPr>
            </w:pPr>
            <w:r w:rsidRPr="00984CD2">
              <w:rPr>
                <w:rFonts w:cstheme="minorHAnsi"/>
              </w:rPr>
              <w:t>Biesanz, M. H., Biensanz, R., Biesanz, K. Z. (1999). The ticos: Culture and social change in Costa Rica. Boulder, CO: Lynne Rienner.</w:t>
            </w:r>
          </w:p>
        </w:tc>
      </w:tr>
      <w:tr w:rsidR="00615789" w:rsidRPr="00984CD2" w14:paraId="7DA5514E" w14:textId="77777777" w:rsidTr="00615789">
        <w:tc>
          <w:tcPr>
            <w:tcW w:w="5000" w:type="pct"/>
            <w:hideMark/>
          </w:tcPr>
          <w:p w14:paraId="64C1FD02" w14:textId="4593703E" w:rsidR="00615789" w:rsidRPr="00984CD2" w:rsidRDefault="00615789" w:rsidP="006607EF">
            <w:pPr>
              <w:spacing w:after="160" w:line="259" w:lineRule="auto"/>
              <w:ind w:left="720" w:hanging="720"/>
              <w:rPr>
                <w:rFonts w:cstheme="minorHAnsi"/>
              </w:rPr>
            </w:pPr>
            <w:r w:rsidRPr="00984CD2">
              <w:rPr>
                <w:rFonts w:cstheme="minorHAnsi"/>
              </w:rPr>
              <w:t>Blesa, R., Pujol, M., Aguilar, M., Santacruz, P., Bertran-Serra, I., Hernández, G. M., . . . Peña-Casanova, J. (2001). Clinical validity of the “mini-mental state” for Spanish speaking communities. Neuropsychologia, 39, 1150-1157. doi:</w:t>
            </w:r>
            <w:hyperlink r:id="rId80" w:tgtFrame="_blank" w:history="1">
              <w:r w:rsidRPr="00984CD2">
                <w:rPr>
                  <w:rStyle w:val="Hyperlink"/>
                  <w:rFonts w:cstheme="minorHAnsi"/>
                </w:rPr>
                <w:t>10.1016/S0028-3932(01)00055-0</w:t>
              </w:r>
            </w:hyperlink>
          </w:p>
          <w:p w14:paraId="01142A3F" w14:textId="22359C40" w:rsidR="00615789" w:rsidRPr="00984CD2" w:rsidRDefault="00615789" w:rsidP="006607EF">
            <w:pPr>
              <w:spacing w:after="160" w:line="259" w:lineRule="auto"/>
              <w:ind w:left="720" w:hanging="720"/>
              <w:rPr>
                <w:rFonts w:cstheme="minorHAnsi"/>
              </w:rPr>
            </w:pPr>
          </w:p>
        </w:tc>
      </w:tr>
      <w:tr w:rsidR="00615789" w:rsidRPr="00984CD2" w14:paraId="70C201FC" w14:textId="77777777" w:rsidTr="00615789">
        <w:tc>
          <w:tcPr>
            <w:tcW w:w="5000" w:type="pct"/>
            <w:hideMark/>
          </w:tcPr>
          <w:p w14:paraId="3E5D653B" w14:textId="4445E632" w:rsidR="00615789" w:rsidRPr="00984CD2" w:rsidRDefault="00615789" w:rsidP="006607EF">
            <w:pPr>
              <w:spacing w:after="160" w:line="259" w:lineRule="auto"/>
              <w:ind w:left="720" w:hanging="720"/>
              <w:rPr>
                <w:rFonts w:cstheme="minorHAnsi"/>
              </w:rPr>
            </w:pPr>
            <w:r w:rsidRPr="00984CD2">
              <w:rPr>
                <w:rFonts w:cstheme="minorHAnsi"/>
              </w:rPr>
              <w:t>Brown, J., Sheffield, D., Leary, M. R., Robinson, M. E. (2003). Social support and experimental pain. Psychosomatic Medicine, 65, 276-283. doi:</w:t>
            </w:r>
            <w:hyperlink r:id="rId81" w:tgtFrame="_blank" w:history="1">
              <w:r w:rsidRPr="00984CD2">
                <w:rPr>
                  <w:rStyle w:val="Hyperlink"/>
                  <w:rFonts w:cstheme="minorHAnsi"/>
                </w:rPr>
                <w:t>10.1097/01.PSY.0000030388.62434.46</w:t>
              </w:r>
            </w:hyperlink>
          </w:p>
          <w:p w14:paraId="20016665" w14:textId="7DB817FE" w:rsidR="00615789" w:rsidRPr="00984CD2" w:rsidRDefault="00615789" w:rsidP="006607EF">
            <w:pPr>
              <w:spacing w:after="160" w:line="259" w:lineRule="auto"/>
              <w:ind w:left="720" w:hanging="720"/>
              <w:rPr>
                <w:rFonts w:cstheme="minorHAnsi"/>
              </w:rPr>
            </w:pPr>
          </w:p>
        </w:tc>
      </w:tr>
      <w:tr w:rsidR="00615789" w:rsidRPr="00984CD2" w14:paraId="225BB7AA" w14:textId="77777777" w:rsidTr="00615789">
        <w:tc>
          <w:tcPr>
            <w:tcW w:w="5000" w:type="pct"/>
            <w:hideMark/>
          </w:tcPr>
          <w:p w14:paraId="08121220" w14:textId="489CE6AD" w:rsidR="00615789" w:rsidRPr="00984CD2" w:rsidRDefault="00615789" w:rsidP="006607EF">
            <w:pPr>
              <w:spacing w:after="160" w:line="259" w:lineRule="auto"/>
              <w:ind w:left="720" w:hanging="720"/>
              <w:rPr>
                <w:rFonts w:cstheme="minorHAnsi"/>
              </w:rPr>
            </w:pPr>
            <w:r w:rsidRPr="00984CD2">
              <w:rPr>
                <w:rFonts w:cstheme="minorHAnsi"/>
              </w:rPr>
              <w:t>Brown, T. A. (2014). Confirmatory factor analysis for applied research. New York, NY: Guilford Press.</w:t>
            </w:r>
          </w:p>
          <w:p w14:paraId="384DF924" w14:textId="4F353701" w:rsidR="00615789" w:rsidRPr="00984CD2" w:rsidRDefault="00615789" w:rsidP="006607EF">
            <w:pPr>
              <w:spacing w:after="160" w:line="259" w:lineRule="auto"/>
              <w:ind w:left="720" w:hanging="720"/>
              <w:rPr>
                <w:rFonts w:cstheme="minorHAnsi"/>
              </w:rPr>
            </w:pPr>
          </w:p>
        </w:tc>
      </w:tr>
      <w:tr w:rsidR="00615789" w:rsidRPr="00984CD2" w14:paraId="58DFCF00" w14:textId="77777777" w:rsidTr="00615789">
        <w:tc>
          <w:tcPr>
            <w:tcW w:w="5000" w:type="pct"/>
            <w:hideMark/>
          </w:tcPr>
          <w:p w14:paraId="60BEFDEB" w14:textId="464A64DF" w:rsidR="00615789" w:rsidRPr="00984CD2" w:rsidRDefault="00615789" w:rsidP="006607EF">
            <w:pPr>
              <w:spacing w:after="160" w:line="259" w:lineRule="auto"/>
              <w:ind w:left="720" w:hanging="720"/>
              <w:rPr>
                <w:rFonts w:cstheme="minorHAnsi"/>
              </w:rPr>
            </w:pPr>
            <w:r w:rsidRPr="00984CD2">
              <w:rPr>
                <w:rFonts w:cstheme="minorHAnsi"/>
              </w:rPr>
              <w:t>Castillo-Martinez, A. (2013). Determinantes sociales e inequidades en salud. Una Mirada a la salud en Costa Rica [</w:t>
            </w:r>
            <w:r w:rsidRPr="00984CD2">
              <w:rPr>
                <w:rFonts w:cstheme="minorHAnsi"/>
                <w:lang w:val="en"/>
              </w:rPr>
              <w:t>Social determinants and health inequalities. An insight to Costa Rica’s public health</w:t>
            </w:r>
            <w:r w:rsidRPr="00984CD2">
              <w:rPr>
                <w:rFonts w:cstheme="minorHAnsi"/>
              </w:rPr>
              <w:t>]. In Universidad de Costa Rica (Ed.), La Salud Pública en Costa Rica: Estado Actual, Retos y Perspectivas (pp. 57-80). San Jose, SJ: Universidad de Costa Rica, Escuela de Salud Publica.</w:t>
            </w:r>
          </w:p>
          <w:p w14:paraId="1A200155" w14:textId="5E3CA210" w:rsidR="00615789" w:rsidRPr="00984CD2" w:rsidRDefault="00615789" w:rsidP="006607EF">
            <w:pPr>
              <w:spacing w:after="160" w:line="259" w:lineRule="auto"/>
              <w:ind w:left="720" w:hanging="720"/>
              <w:rPr>
                <w:rFonts w:cstheme="minorHAnsi"/>
              </w:rPr>
            </w:pPr>
          </w:p>
        </w:tc>
      </w:tr>
      <w:tr w:rsidR="00615789" w:rsidRPr="00984CD2" w14:paraId="2D5D151C" w14:textId="77777777" w:rsidTr="00615789">
        <w:tc>
          <w:tcPr>
            <w:tcW w:w="5000" w:type="pct"/>
            <w:hideMark/>
          </w:tcPr>
          <w:p w14:paraId="501B11EB" w14:textId="2F0C99AD" w:rsidR="00615789" w:rsidRPr="00984CD2" w:rsidRDefault="00615789" w:rsidP="006607EF">
            <w:pPr>
              <w:spacing w:after="160" w:line="259" w:lineRule="auto"/>
              <w:ind w:left="720" w:hanging="720"/>
              <w:rPr>
                <w:rFonts w:cstheme="minorHAnsi"/>
              </w:rPr>
            </w:pPr>
            <w:r w:rsidRPr="00984CD2">
              <w:rPr>
                <w:rFonts w:cstheme="minorHAnsi"/>
              </w:rPr>
              <w:t>Curran, P. J., West, S. G., Finch, J. F. (1996). The robustness of test statistics to nonnormality and specification error in confirmatory factor analysis. Psychological Methods, 1, 16-29. doi:</w:t>
            </w:r>
            <w:hyperlink r:id="rId82" w:tgtFrame="_blank" w:history="1">
              <w:r w:rsidRPr="00984CD2">
                <w:rPr>
                  <w:rStyle w:val="Hyperlink"/>
                  <w:rFonts w:cstheme="minorHAnsi"/>
                </w:rPr>
                <w:t>10.1037//1082-989x.1.1.16</w:t>
              </w:r>
            </w:hyperlink>
          </w:p>
          <w:p w14:paraId="398B3AD7" w14:textId="56274055" w:rsidR="00615789" w:rsidRPr="00984CD2" w:rsidRDefault="00615789" w:rsidP="006607EF">
            <w:pPr>
              <w:spacing w:after="160" w:line="259" w:lineRule="auto"/>
              <w:ind w:left="720" w:hanging="720"/>
              <w:rPr>
                <w:rFonts w:cstheme="minorHAnsi"/>
              </w:rPr>
            </w:pPr>
          </w:p>
        </w:tc>
      </w:tr>
      <w:tr w:rsidR="00615789" w:rsidRPr="00984CD2" w14:paraId="29AE725C" w14:textId="77777777" w:rsidTr="00615789">
        <w:tc>
          <w:tcPr>
            <w:tcW w:w="5000" w:type="pct"/>
            <w:hideMark/>
          </w:tcPr>
          <w:p w14:paraId="78978987" w14:textId="11705373" w:rsidR="00615789" w:rsidRPr="00984CD2" w:rsidRDefault="00615789" w:rsidP="006607EF">
            <w:pPr>
              <w:spacing w:after="160" w:line="259" w:lineRule="auto"/>
              <w:ind w:left="720" w:hanging="720"/>
              <w:rPr>
                <w:rFonts w:cstheme="minorHAnsi"/>
              </w:rPr>
            </w:pPr>
            <w:r w:rsidRPr="00984CD2">
              <w:rPr>
                <w:rFonts w:cstheme="minorHAnsi"/>
              </w:rPr>
              <w:t>Der-Martirosian, C., Kritz-Silverstein, D., Barrett-Connor, E. (2010). Five-year stability in associations of health-related quality of life measures in community-dwelling older adults: The Rancho Bernardo Study. Quality of Life Research, 19, 1333-1341. doi:</w:t>
            </w:r>
            <w:hyperlink r:id="rId83" w:tgtFrame="_blank" w:history="1">
              <w:r w:rsidRPr="00984CD2">
                <w:rPr>
                  <w:rStyle w:val="Hyperlink"/>
                  <w:rFonts w:cstheme="minorHAnsi"/>
                </w:rPr>
                <w:t>10.1007/s11136-010-9700-y</w:t>
              </w:r>
            </w:hyperlink>
          </w:p>
          <w:p w14:paraId="6883F72D" w14:textId="22443A6D" w:rsidR="00615789" w:rsidRPr="00984CD2" w:rsidRDefault="00615789" w:rsidP="006607EF">
            <w:pPr>
              <w:spacing w:after="160" w:line="259" w:lineRule="auto"/>
              <w:ind w:left="720" w:hanging="720"/>
              <w:rPr>
                <w:rFonts w:cstheme="minorHAnsi"/>
              </w:rPr>
            </w:pPr>
          </w:p>
        </w:tc>
      </w:tr>
      <w:tr w:rsidR="00615789" w:rsidRPr="00984CD2" w14:paraId="0E7C8264" w14:textId="77777777" w:rsidTr="00615789">
        <w:tc>
          <w:tcPr>
            <w:tcW w:w="5000" w:type="pct"/>
            <w:hideMark/>
          </w:tcPr>
          <w:p w14:paraId="765A6013" w14:textId="1D3E0ED6" w:rsidR="00615789" w:rsidRPr="00984CD2" w:rsidRDefault="00615789" w:rsidP="006607EF">
            <w:pPr>
              <w:spacing w:after="160" w:line="259" w:lineRule="auto"/>
              <w:ind w:left="720" w:hanging="720"/>
              <w:rPr>
                <w:rFonts w:cstheme="minorHAnsi"/>
              </w:rPr>
            </w:pPr>
            <w:r w:rsidRPr="00984CD2">
              <w:rPr>
                <w:rFonts w:cstheme="minorHAnsi"/>
              </w:rPr>
              <w:t>Enders, C. K. (2010). Applied missing data analysis. New York, NY: Guilford Press.</w:t>
            </w:r>
          </w:p>
          <w:p w14:paraId="0424AFE4" w14:textId="54494C0D" w:rsidR="00615789" w:rsidRPr="00984CD2" w:rsidRDefault="00615789" w:rsidP="006607EF">
            <w:pPr>
              <w:spacing w:after="160" w:line="259" w:lineRule="auto"/>
              <w:ind w:left="720" w:hanging="720"/>
              <w:rPr>
                <w:rFonts w:cstheme="minorHAnsi"/>
              </w:rPr>
            </w:pPr>
          </w:p>
        </w:tc>
      </w:tr>
      <w:tr w:rsidR="00615789" w:rsidRPr="00984CD2" w14:paraId="0D830183" w14:textId="77777777" w:rsidTr="00615789">
        <w:tc>
          <w:tcPr>
            <w:tcW w:w="5000" w:type="pct"/>
            <w:hideMark/>
          </w:tcPr>
          <w:p w14:paraId="5B186830" w14:textId="70CBFA16" w:rsidR="00615789" w:rsidRPr="00984CD2" w:rsidRDefault="00615789" w:rsidP="006607EF">
            <w:pPr>
              <w:spacing w:after="160" w:line="259" w:lineRule="auto"/>
              <w:ind w:left="720" w:hanging="720"/>
              <w:rPr>
                <w:rFonts w:cstheme="minorHAnsi"/>
              </w:rPr>
            </w:pPr>
            <w:r w:rsidRPr="00984CD2">
              <w:rPr>
                <w:rFonts w:cstheme="minorHAnsi"/>
              </w:rPr>
              <w:t>Failde, I., Ramos, I. (2000). Validity and reliability of the SF-36 Health Survey Questionnaire in patients with coronary artery disease. Journal of Clinical Epidemiology, 53, 359-365. doi:</w:t>
            </w:r>
            <w:hyperlink r:id="rId84" w:tgtFrame="_blank" w:history="1">
              <w:r w:rsidRPr="00984CD2">
                <w:rPr>
                  <w:rStyle w:val="Hyperlink"/>
                  <w:rFonts w:cstheme="minorHAnsi"/>
                </w:rPr>
                <w:t>10.1016/S0895-4356(99)00175-4</w:t>
              </w:r>
            </w:hyperlink>
          </w:p>
          <w:p w14:paraId="5261D05B" w14:textId="2175E259" w:rsidR="00615789" w:rsidRPr="00984CD2" w:rsidRDefault="00615789" w:rsidP="006607EF">
            <w:pPr>
              <w:spacing w:after="160" w:line="259" w:lineRule="auto"/>
              <w:ind w:left="720" w:hanging="720"/>
              <w:rPr>
                <w:rFonts w:cstheme="minorHAnsi"/>
              </w:rPr>
            </w:pPr>
          </w:p>
        </w:tc>
      </w:tr>
      <w:tr w:rsidR="00615789" w:rsidRPr="00984CD2" w14:paraId="12C56042" w14:textId="77777777" w:rsidTr="00615789">
        <w:tc>
          <w:tcPr>
            <w:tcW w:w="5000" w:type="pct"/>
            <w:hideMark/>
          </w:tcPr>
          <w:p w14:paraId="560A9C14" w14:textId="5C460FBB" w:rsidR="00615789" w:rsidRPr="00984CD2" w:rsidRDefault="00615789" w:rsidP="006607EF">
            <w:pPr>
              <w:spacing w:after="160" w:line="259" w:lineRule="auto"/>
              <w:ind w:left="720" w:hanging="720"/>
              <w:rPr>
                <w:rFonts w:cstheme="minorHAnsi"/>
              </w:rPr>
            </w:pPr>
            <w:r w:rsidRPr="00984CD2">
              <w:rPr>
                <w:rFonts w:cstheme="minorHAnsi"/>
              </w:rPr>
              <w:lastRenderedPageBreak/>
              <w:t>Folstein, M. F., Folstein, S. E., McHugh, P. R. (1975). Mini-Mental State: A practical method for grading the cognitive state of patients for the clinician. Journal of Psychiatric Research, 12, 189-198.</w:t>
            </w:r>
          </w:p>
          <w:p w14:paraId="70128D58" w14:textId="3E36F8A9" w:rsidR="00615789" w:rsidRPr="00984CD2" w:rsidRDefault="00615789" w:rsidP="006607EF">
            <w:pPr>
              <w:spacing w:after="160" w:line="259" w:lineRule="auto"/>
              <w:ind w:left="720" w:hanging="720"/>
              <w:rPr>
                <w:rFonts w:cstheme="minorHAnsi"/>
              </w:rPr>
            </w:pPr>
          </w:p>
        </w:tc>
      </w:tr>
      <w:tr w:rsidR="00615789" w:rsidRPr="00984CD2" w14:paraId="278BC2B6" w14:textId="77777777" w:rsidTr="00615789">
        <w:tc>
          <w:tcPr>
            <w:tcW w:w="5000" w:type="pct"/>
            <w:hideMark/>
          </w:tcPr>
          <w:p w14:paraId="6292636E" w14:textId="06D66EF3" w:rsidR="00615789" w:rsidRPr="00984CD2" w:rsidRDefault="00615789" w:rsidP="006607EF">
            <w:pPr>
              <w:spacing w:after="160" w:line="259" w:lineRule="auto"/>
              <w:ind w:left="720" w:hanging="720"/>
              <w:rPr>
                <w:rFonts w:cstheme="minorHAnsi"/>
              </w:rPr>
            </w:pPr>
            <w:r w:rsidRPr="00984CD2">
              <w:rPr>
                <w:rFonts w:cstheme="minorHAnsi"/>
              </w:rPr>
              <w:t>Garcia, H. I. G. G., Vera, C. Y. V., Lugo, L. H. L. A. (2014). Calidad de vida relacionada con la salud en Medellin y su area metropolitan, con aplicacion del SF-36 [</w:t>
            </w:r>
            <w:r w:rsidRPr="00984CD2">
              <w:rPr>
                <w:rFonts w:cstheme="minorHAnsi"/>
                <w:lang w:val="en"/>
              </w:rPr>
              <w:t>Health-related quality of life in Medellin’s metropolitan area, measured with the SF-36</w:t>
            </w:r>
            <w:r w:rsidRPr="00984CD2">
              <w:rPr>
                <w:rFonts w:cstheme="minorHAnsi"/>
              </w:rPr>
              <w:t>]. Revista Facultad Nacional de Salud Publica, 32(1), 26-39.</w:t>
            </w:r>
          </w:p>
          <w:p w14:paraId="24FD6155" w14:textId="1B0507E6" w:rsidR="00615789" w:rsidRPr="00984CD2" w:rsidRDefault="00615789" w:rsidP="006607EF">
            <w:pPr>
              <w:spacing w:after="160" w:line="259" w:lineRule="auto"/>
              <w:ind w:left="720" w:hanging="720"/>
              <w:rPr>
                <w:rFonts w:cstheme="minorHAnsi"/>
              </w:rPr>
            </w:pPr>
          </w:p>
        </w:tc>
      </w:tr>
      <w:tr w:rsidR="00615789" w:rsidRPr="00984CD2" w14:paraId="5E0C3727" w14:textId="77777777" w:rsidTr="00615789">
        <w:tc>
          <w:tcPr>
            <w:tcW w:w="5000" w:type="pct"/>
            <w:hideMark/>
          </w:tcPr>
          <w:p w14:paraId="63C4BB29" w14:textId="639CAD05" w:rsidR="00615789" w:rsidRPr="00984CD2" w:rsidRDefault="00615789" w:rsidP="006607EF">
            <w:pPr>
              <w:spacing w:after="160" w:line="259" w:lineRule="auto"/>
              <w:ind w:left="720" w:hanging="720"/>
              <w:rPr>
                <w:rFonts w:cstheme="minorHAnsi"/>
              </w:rPr>
            </w:pPr>
            <w:r w:rsidRPr="00984CD2">
              <w:rPr>
                <w:rFonts w:cstheme="minorHAnsi"/>
              </w:rPr>
              <w:t>Gomes-Teixeira, T., Alsamir, R., Cunha Nascimiento, D., Sousa da Silva, R., Alves de Almeida, J., Balsamo, S., . . . Prestes, J. (2015). Quality of life and metabolic syndrome in Brazilian women: Analysis of the correlation with aerobic fitness and muscle strength. Motricidade, 11(2), 48-61. doi:</w:t>
            </w:r>
            <w:hyperlink r:id="rId85" w:tgtFrame="_blank" w:history="1">
              <w:r w:rsidRPr="00984CD2">
                <w:rPr>
                  <w:rStyle w:val="Hyperlink"/>
                  <w:rFonts w:cstheme="minorHAnsi"/>
                </w:rPr>
                <w:t>10.6063/motricidade.3543</w:t>
              </w:r>
            </w:hyperlink>
          </w:p>
          <w:p w14:paraId="0D4D002B" w14:textId="2502FC4D" w:rsidR="00615789" w:rsidRPr="00984CD2" w:rsidRDefault="00615789" w:rsidP="006607EF">
            <w:pPr>
              <w:spacing w:after="160" w:line="259" w:lineRule="auto"/>
              <w:ind w:left="720" w:hanging="720"/>
              <w:rPr>
                <w:rFonts w:cstheme="minorHAnsi"/>
              </w:rPr>
            </w:pPr>
          </w:p>
        </w:tc>
      </w:tr>
      <w:tr w:rsidR="00615789" w:rsidRPr="00984CD2" w14:paraId="1036670A" w14:textId="77777777" w:rsidTr="00615789">
        <w:tc>
          <w:tcPr>
            <w:tcW w:w="5000" w:type="pct"/>
            <w:hideMark/>
          </w:tcPr>
          <w:p w14:paraId="1FB1D228" w14:textId="0CA687F0" w:rsidR="00615789" w:rsidRPr="00984CD2" w:rsidRDefault="00615789" w:rsidP="006607EF">
            <w:pPr>
              <w:spacing w:after="160" w:line="259" w:lineRule="auto"/>
              <w:ind w:left="720" w:hanging="720"/>
              <w:rPr>
                <w:rFonts w:cstheme="minorHAnsi"/>
              </w:rPr>
            </w:pPr>
            <w:r w:rsidRPr="00984CD2">
              <w:rPr>
                <w:rFonts w:cstheme="minorHAnsi"/>
              </w:rPr>
              <w:t>Graham, J. W., Hofer, S. M., MacKinnon, D. P. (1996). Maximizing the usefulness of data obtained with planned missing value patterns: An application of maximum likelihood procedures. Multivariate Behavioral Research, 31, 197-218.</w:t>
            </w:r>
          </w:p>
          <w:p w14:paraId="03D7FDF6" w14:textId="5477C5C6" w:rsidR="00615789" w:rsidRPr="00984CD2" w:rsidRDefault="00615789" w:rsidP="006607EF">
            <w:pPr>
              <w:spacing w:after="160" w:line="259" w:lineRule="auto"/>
              <w:ind w:left="720" w:hanging="720"/>
              <w:rPr>
                <w:rFonts w:cstheme="minorHAnsi"/>
              </w:rPr>
            </w:pPr>
          </w:p>
        </w:tc>
      </w:tr>
      <w:tr w:rsidR="00615789" w:rsidRPr="00984CD2" w14:paraId="2F20866D" w14:textId="77777777" w:rsidTr="00615789">
        <w:tc>
          <w:tcPr>
            <w:tcW w:w="5000" w:type="pct"/>
            <w:hideMark/>
          </w:tcPr>
          <w:p w14:paraId="49ACDCE9" w14:textId="6BB9C3F9" w:rsidR="00615789" w:rsidRPr="00984CD2" w:rsidRDefault="00615789" w:rsidP="006607EF">
            <w:pPr>
              <w:spacing w:after="160" w:line="259" w:lineRule="auto"/>
              <w:ind w:left="720" w:hanging="720"/>
              <w:rPr>
                <w:rFonts w:cstheme="minorHAnsi"/>
              </w:rPr>
            </w:pPr>
            <w:r w:rsidRPr="00984CD2">
              <w:rPr>
                <w:rFonts w:cstheme="minorHAnsi"/>
              </w:rPr>
              <w:t>Graham, J. W., Taylor, B. J., Olchowski, A. E., Cumsille, P. E. (2006). Planned missing data designs in psychological research. Psychological Methods, 11, 323-343.</w:t>
            </w:r>
          </w:p>
          <w:p w14:paraId="07A3B9EE" w14:textId="057BB6B9" w:rsidR="00615789" w:rsidRPr="00984CD2" w:rsidRDefault="00615789" w:rsidP="006607EF">
            <w:pPr>
              <w:spacing w:after="160" w:line="259" w:lineRule="auto"/>
              <w:ind w:left="720" w:hanging="720"/>
              <w:rPr>
                <w:rFonts w:cstheme="minorHAnsi"/>
              </w:rPr>
            </w:pPr>
          </w:p>
        </w:tc>
      </w:tr>
      <w:tr w:rsidR="00615789" w:rsidRPr="00984CD2" w14:paraId="381E5604" w14:textId="77777777" w:rsidTr="00615789">
        <w:tc>
          <w:tcPr>
            <w:tcW w:w="5000" w:type="pct"/>
            <w:hideMark/>
          </w:tcPr>
          <w:p w14:paraId="44040792" w14:textId="50A013BA" w:rsidR="00615789" w:rsidRPr="00984CD2" w:rsidRDefault="00615789" w:rsidP="006607EF">
            <w:pPr>
              <w:spacing w:after="160" w:line="259" w:lineRule="auto"/>
              <w:ind w:left="720" w:hanging="720"/>
              <w:rPr>
                <w:rFonts w:cstheme="minorHAnsi"/>
              </w:rPr>
            </w:pPr>
            <w:r w:rsidRPr="00984CD2">
              <w:rPr>
                <w:rFonts w:cstheme="minorHAnsi"/>
              </w:rPr>
              <w:t>Hann, M., Reeves, D. (2008). The SF-36 scales are not accurately summarised by independent physical and mental component scores. Quality of Life Research, 17, 413-423. doi:</w:t>
            </w:r>
            <w:hyperlink r:id="rId86" w:tgtFrame="_blank" w:history="1">
              <w:r w:rsidRPr="00984CD2">
                <w:rPr>
                  <w:rStyle w:val="Hyperlink"/>
                  <w:rFonts w:cstheme="minorHAnsi"/>
                </w:rPr>
                <w:t>10.1007/s11136-008-9310-0</w:t>
              </w:r>
            </w:hyperlink>
          </w:p>
          <w:p w14:paraId="69A3486C" w14:textId="6447854C" w:rsidR="00615789" w:rsidRPr="00984CD2" w:rsidRDefault="00615789" w:rsidP="006607EF">
            <w:pPr>
              <w:spacing w:after="160" w:line="259" w:lineRule="auto"/>
              <w:ind w:left="720" w:hanging="720"/>
              <w:rPr>
                <w:rFonts w:cstheme="minorHAnsi"/>
              </w:rPr>
            </w:pPr>
          </w:p>
        </w:tc>
      </w:tr>
      <w:tr w:rsidR="00615789" w:rsidRPr="00984CD2" w14:paraId="4E5D84DD" w14:textId="77777777" w:rsidTr="00615789">
        <w:tc>
          <w:tcPr>
            <w:tcW w:w="5000" w:type="pct"/>
            <w:hideMark/>
          </w:tcPr>
          <w:p w14:paraId="098B07E4" w14:textId="2821B28B" w:rsidR="00615789" w:rsidRPr="00984CD2" w:rsidRDefault="00615789" w:rsidP="006607EF">
            <w:pPr>
              <w:spacing w:after="160" w:line="259" w:lineRule="auto"/>
              <w:ind w:left="720" w:hanging="720"/>
              <w:rPr>
                <w:rFonts w:cstheme="minorHAnsi"/>
              </w:rPr>
            </w:pPr>
            <w:r w:rsidRPr="00984CD2">
              <w:rPr>
                <w:rFonts w:cstheme="minorHAnsi"/>
              </w:rPr>
              <w:t>Hu, L. T., Bentler, P. M. (1999). Cutoff criteria for fit indexes in covariance structure analysis: Conventional criteria versus new alternatives. Structural Equation Modeling: A Multidisciplinary Journal, 6, 1-55. doi:</w:t>
            </w:r>
            <w:hyperlink r:id="rId87" w:tgtFrame="_blank" w:history="1">
              <w:r w:rsidRPr="00984CD2">
                <w:rPr>
                  <w:rStyle w:val="Hyperlink"/>
                  <w:rFonts w:cstheme="minorHAnsi"/>
                </w:rPr>
                <w:t>10.1080/10705519909540118</w:t>
              </w:r>
            </w:hyperlink>
          </w:p>
          <w:p w14:paraId="35BA7D16" w14:textId="55E4634D" w:rsidR="00615789" w:rsidRPr="00984CD2" w:rsidRDefault="00615789" w:rsidP="006607EF">
            <w:pPr>
              <w:spacing w:after="160" w:line="259" w:lineRule="auto"/>
              <w:ind w:left="720" w:hanging="720"/>
              <w:rPr>
                <w:rFonts w:cstheme="minorHAnsi"/>
              </w:rPr>
            </w:pPr>
          </w:p>
        </w:tc>
      </w:tr>
      <w:tr w:rsidR="00615789" w:rsidRPr="00984CD2" w14:paraId="0ABDB985" w14:textId="77777777" w:rsidTr="00615789">
        <w:tc>
          <w:tcPr>
            <w:tcW w:w="5000" w:type="pct"/>
            <w:hideMark/>
          </w:tcPr>
          <w:p w14:paraId="5F12EFA7" w14:textId="2FCB4E85" w:rsidR="00615789" w:rsidRPr="00984CD2" w:rsidRDefault="00615789" w:rsidP="006607EF">
            <w:pPr>
              <w:spacing w:after="160" w:line="259" w:lineRule="auto"/>
              <w:ind w:left="720" w:hanging="720"/>
              <w:rPr>
                <w:rFonts w:cstheme="minorHAnsi"/>
              </w:rPr>
            </w:pPr>
            <w:r w:rsidRPr="00984CD2">
              <w:rPr>
                <w:rFonts w:cstheme="minorHAnsi"/>
              </w:rPr>
              <w:t>Hu, L. T., Bentler, P. M., Kano, Y. (1992). Can test statistics in covariance structure analysis be trusted? Psychological Bulletin, 112, 351-362.</w:t>
            </w:r>
          </w:p>
          <w:p w14:paraId="7480C2CA" w14:textId="0033406C" w:rsidR="00615789" w:rsidRPr="00984CD2" w:rsidRDefault="00615789" w:rsidP="006607EF">
            <w:pPr>
              <w:spacing w:after="160" w:line="259" w:lineRule="auto"/>
              <w:ind w:left="720" w:hanging="720"/>
              <w:rPr>
                <w:rFonts w:cstheme="minorHAnsi"/>
              </w:rPr>
            </w:pPr>
          </w:p>
        </w:tc>
      </w:tr>
      <w:tr w:rsidR="00615789" w:rsidRPr="00984CD2" w14:paraId="78C78DAC" w14:textId="77777777" w:rsidTr="00615789">
        <w:tc>
          <w:tcPr>
            <w:tcW w:w="5000" w:type="pct"/>
            <w:hideMark/>
          </w:tcPr>
          <w:p w14:paraId="55E9F63E" w14:textId="25901DDC" w:rsidR="00615789" w:rsidRPr="00984CD2" w:rsidRDefault="00615789" w:rsidP="006607EF">
            <w:pPr>
              <w:spacing w:after="160" w:line="259" w:lineRule="auto"/>
              <w:ind w:left="720" w:hanging="720"/>
              <w:rPr>
                <w:rFonts w:cstheme="minorHAnsi"/>
              </w:rPr>
            </w:pPr>
            <w:r w:rsidRPr="00984CD2">
              <w:rPr>
                <w:rFonts w:cstheme="minorHAnsi"/>
              </w:rPr>
              <w:t>Jordan-Marsh, M., Cody, M., Silverstein, M., Garcia, R. (2008). Assessing a self-report health measure for non-English-speaking elders: Issues in using the SF36 Health survey. Research on Social Work Practice, 18, 55-65.</w:t>
            </w:r>
          </w:p>
          <w:p w14:paraId="0B989CE4" w14:textId="7D44EB10" w:rsidR="00615789" w:rsidRPr="00984CD2" w:rsidRDefault="00615789" w:rsidP="006607EF">
            <w:pPr>
              <w:spacing w:after="160" w:line="259" w:lineRule="auto"/>
              <w:ind w:left="720" w:hanging="720"/>
              <w:rPr>
                <w:rFonts w:cstheme="minorHAnsi"/>
              </w:rPr>
            </w:pPr>
          </w:p>
        </w:tc>
      </w:tr>
      <w:tr w:rsidR="00615789" w:rsidRPr="00984CD2" w14:paraId="5D2DDFDF" w14:textId="77777777" w:rsidTr="00615789">
        <w:tc>
          <w:tcPr>
            <w:tcW w:w="5000" w:type="pct"/>
            <w:hideMark/>
          </w:tcPr>
          <w:p w14:paraId="142E5746" w14:textId="24D636B9" w:rsidR="00615789" w:rsidRPr="00984CD2" w:rsidRDefault="00615789" w:rsidP="006607EF">
            <w:pPr>
              <w:spacing w:after="160" w:line="259" w:lineRule="auto"/>
              <w:ind w:left="720" w:hanging="720"/>
              <w:rPr>
                <w:rFonts w:cstheme="minorHAnsi"/>
              </w:rPr>
            </w:pPr>
            <w:r w:rsidRPr="00984CD2">
              <w:rPr>
                <w:rFonts w:cstheme="minorHAnsi"/>
              </w:rPr>
              <w:t>Jöreskog, K. G., Sörbom, D. (1996). LISREL 8: User’s reference guide. Chicago, IL: Scientific Software International.</w:t>
            </w:r>
          </w:p>
          <w:p w14:paraId="50D6D81E" w14:textId="03D0E95B" w:rsidR="00615789" w:rsidRPr="00984CD2" w:rsidRDefault="00615789" w:rsidP="006607EF">
            <w:pPr>
              <w:spacing w:after="160" w:line="259" w:lineRule="auto"/>
              <w:ind w:left="720" w:hanging="720"/>
              <w:rPr>
                <w:rFonts w:cstheme="minorHAnsi"/>
              </w:rPr>
            </w:pPr>
          </w:p>
        </w:tc>
      </w:tr>
      <w:tr w:rsidR="00615789" w:rsidRPr="00984CD2" w14:paraId="0AC1B48A" w14:textId="77777777" w:rsidTr="00615789">
        <w:tc>
          <w:tcPr>
            <w:tcW w:w="5000" w:type="pct"/>
            <w:hideMark/>
          </w:tcPr>
          <w:p w14:paraId="437B882F" w14:textId="48FE1AB8" w:rsidR="00615789" w:rsidRPr="00984CD2" w:rsidRDefault="00615789" w:rsidP="006607EF">
            <w:pPr>
              <w:spacing w:after="160" w:line="259" w:lineRule="auto"/>
              <w:ind w:left="720" w:hanging="720"/>
              <w:rPr>
                <w:rFonts w:cstheme="minorHAnsi"/>
              </w:rPr>
            </w:pPr>
            <w:r w:rsidRPr="00984CD2">
              <w:rPr>
                <w:rFonts w:cstheme="minorHAnsi"/>
              </w:rPr>
              <w:t>Keller, S. D., Ware, J. E., Bentler, P. M., Aaronson, N. K., Alonso, J., Apolone, G., . . . Gandek, B. (1998). Use of structural equation modeling to test the construct validity of the SF-36 health survey in ten countries: Results from the IQOLA project. Journal of Clinical Epidemiology, 51, 1179-1188.</w:t>
            </w:r>
          </w:p>
          <w:p w14:paraId="7524403F" w14:textId="6B802B19" w:rsidR="00615789" w:rsidRPr="00984CD2" w:rsidRDefault="00615789" w:rsidP="006607EF">
            <w:pPr>
              <w:spacing w:after="160" w:line="259" w:lineRule="auto"/>
              <w:ind w:left="720" w:hanging="720"/>
              <w:rPr>
                <w:rFonts w:cstheme="minorHAnsi"/>
              </w:rPr>
            </w:pPr>
          </w:p>
        </w:tc>
      </w:tr>
      <w:tr w:rsidR="00615789" w:rsidRPr="00984CD2" w14:paraId="614926A6" w14:textId="77777777" w:rsidTr="00615789">
        <w:tc>
          <w:tcPr>
            <w:tcW w:w="5000" w:type="pct"/>
            <w:hideMark/>
          </w:tcPr>
          <w:p w14:paraId="2B7979C6" w14:textId="47F40632" w:rsidR="00615789" w:rsidRPr="00984CD2" w:rsidRDefault="00615789" w:rsidP="006607EF">
            <w:pPr>
              <w:spacing w:after="160" w:line="259" w:lineRule="auto"/>
              <w:ind w:left="720" w:hanging="720"/>
              <w:rPr>
                <w:rFonts w:cstheme="minorHAnsi"/>
              </w:rPr>
            </w:pPr>
            <w:r w:rsidRPr="00984CD2">
              <w:rPr>
                <w:rFonts w:cstheme="minorHAnsi"/>
              </w:rPr>
              <w:t>Kelly, A., Rush, J., Shafonsky, E., Hayashi, A., Votova, K., Hall, C., . . . Hofer, S. M. (2015). Detecting short-term change and variation in health-related quality of life: Within- and between-person factor structure of the SF-36 health survey. Health and Quality of Life Outcomes, 13, Article 199. doi:</w:t>
            </w:r>
            <w:hyperlink r:id="rId88" w:tgtFrame="_blank" w:history="1">
              <w:r w:rsidRPr="00984CD2">
                <w:rPr>
                  <w:rStyle w:val="Hyperlink"/>
                  <w:rFonts w:cstheme="minorHAnsi"/>
                </w:rPr>
                <w:t>10.1186/s12955-015-0395-1</w:t>
              </w:r>
            </w:hyperlink>
          </w:p>
          <w:p w14:paraId="6E417C44" w14:textId="2F0255BF" w:rsidR="00615789" w:rsidRPr="00984CD2" w:rsidRDefault="00615789" w:rsidP="006607EF">
            <w:pPr>
              <w:spacing w:after="160" w:line="259" w:lineRule="auto"/>
              <w:ind w:left="720" w:hanging="720"/>
              <w:rPr>
                <w:rFonts w:cstheme="minorHAnsi"/>
              </w:rPr>
            </w:pPr>
          </w:p>
        </w:tc>
      </w:tr>
      <w:tr w:rsidR="00615789" w:rsidRPr="00984CD2" w14:paraId="2B9F23EB" w14:textId="77777777" w:rsidTr="00615789">
        <w:tc>
          <w:tcPr>
            <w:tcW w:w="5000" w:type="pct"/>
            <w:hideMark/>
          </w:tcPr>
          <w:p w14:paraId="53B98D3E" w14:textId="779E8D6B" w:rsidR="00615789" w:rsidRPr="00984CD2" w:rsidRDefault="00615789" w:rsidP="006607EF">
            <w:pPr>
              <w:spacing w:after="160" w:line="259" w:lineRule="auto"/>
              <w:ind w:left="720" w:hanging="720"/>
              <w:rPr>
                <w:rFonts w:cstheme="minorHAnsi"/>
              </w:rPr>
            </w:pPr>
            <w:r w:rsidRPr="00984CD2">
              <w:rPr>
                <w:rFonts w:cstheme="minorHAnsi"/>
              </w:rPr>
              <w:t>Laucis, N. C., Hays, R. D., Bhattacharyya, T. (2015). Scoring the SF-36 in orthopaedics: A brief guide. The Journal of Bone and Joint Surgery: American Volume, 97, 1628-1634. doi:</w:t>
            </w:r>
            <w:hyperlink r:id="rId89" w:tgtFrame="_blank" w:history="1">
              <w:r w:rsidRPr="00984CD2">
                <w:rPr>
                  <w:rStyle w:val="Hyperlink"/>
                  <w:rFonts w:cstheme="minorHAnsi"/>
                </w:rPr>
                <w:t>10.2106/jbjs.o.00030</w:t>
              </w:r>
            </w:hyperlink>
          </w:p>
          <w:p w14:paraId="106C73B2" w14:textId="09B380F8" w:rsidR="00615789" w:rsidRPr="00984CD2" w:rsidRDefault="00615789" w:rsidP="006607EF">
            <w:pPr>
              <w:spacing w:after="160" w:line="259" w:lineRule="auto"/>
              <w:ind w:left="720" w:hanging="720"/>
              <w:rPr>
                <w:rFonts w:cstheme="minorHAnsi"/>
              </w:rPr>
            </w:pPr>
          </w:p>
        </w:tc>
      </w:tr>
      <w:tr w:rsidR="00615789" w:rsidRPr="00984CD2" w14:paraId="7F7E924B" w14:textId="77777777" w:rsidTr="00615789">
        <w:tc>
          <w:tcPr>
            <w:tcW w:w="5000" w:type="pct"/>
            <w:hideMark/>
          </w:tcPr>
          <w:p w14:paraId="77B812D6" w14:textId="18A4393C" w:rsidR="00615789" w:rsidRPr="00984CD2" w:rsidRDefault="00615789" w:rsidP="006607EF">
            <w:pPr>
              <w:spacing w:after="160" w:line="259" w:lineRule="auto"/>
              <w:ind w:left="720" w:hanging="720"/>
              <w:rPr>
                <w:rFonts w:cstheme="minorHAnsi"/>
              </w:rPr>
            </w:pPr>
            <w:r w:rsidRPr="00984CD2">
              <w:rPr>
                <w:rFonts w:cstheme="minorHAnsi"/>
              </w:rPr>
              <w:lastRenderedPageBreak/>
              <w:t>Lera, L., Fuentes-Garcia, A., Sanchez, H., Albala, C. (2013). Validity and reliability of the SF-36 in Chilean older adults: The ALEXANDROS study. European Journal of Aging, 10, 127-134. doi:</w:t>
            </w:r>
            <w:hyperlink r:id="rId90" w:tgtFrame="_blank" w:history="1">
              <w:r w:rsidRPr="00984CD2">
                <w:rPr>
                  <w:rStyle w:val="Hyperlink"/>
                  <w:rFonts w:cstheme="minorHAnsi"/>
                </w:rPr>
                <w:t>10.1007/s10433-012-0256-2</w:t>
              </w:r>
            </w:hyperlink>
          </w:p>
          <w:p w14:paraId="6BB7A695" w14:textId="46674EA9" w:rsidR="00615789" w:rsidRPr="00984CD2" w:rsidRDefault="00615789" w:rsidP="006607EF">
            <w:pPr>
              <w:spacing w:after="160" w:line="259" w:lineRule="auto"/>
              <w:ind w:left="720" w:hanging="720"/>
              <w:rPr>
                <w:rFonts w:cstheme="minorHAnsi"/>
              </w:rPr>
            </w:pPr>
          </w:p>
        </w:tc>
      </w:tr>
      <w:tr w:rsidR="00615789" w:rsidRPr="00984CD2" w14:paraId="7E45BA38" w14:textId="77777777" w:rsidTr="00615789">
        <w:tc>
          <w:tcPr>
            <w:tcW w:w="5000" w:type="pct"/>
            <w:hideMark/>
          </w:tcPr>
          <w:p w14:paraId="05AC1DF6" w14:textId="6F3473E8" w:rsidR="00615789" w:rsidRPr="00984CD2" w:rsidRDefault="00615789" w:rsidP="006607EF">
            <w:pPr>
              <w:spacing w:after="160" w:line="259" w:lineRule="auto"/>
              <w:ind w:left="720" w:hanging="720"/>
              <w:rPr>
                <w:rFonts w:cstheme="minorHAnsi"/>
              </w:rPr>
            </w:pPr>
            <w:r w:rsidRPr="00984CD2">
              <w:rPr>
                <w:rFonts w:cstheme="minorHAnsi"/>
              </w:rPr>
              <w:t>López-Pérez, P., Miranda-Novales, G., Segura-Méndez, N. H., Del Rivero-Hernández, L., Cambray-Gutiérrez, C., Chávez-García, A. (2014). Study of quality of life in adults with common variable immunodeficiency by using the Questionnaire SF-36. Revista Alergia Mexico, 61(2), 52-58.</w:t>
            </w:r>
          </w:p>
          <w:p w14:paraId="37060DA1" w14:textId="5E4FC71A" w:rsidR="00615789" w:rsidRPr="00984CD2" w:rsidRDefault="00615789" w:rsidP="006607EF">
            <w:pPr>
              <w:spacing w:after="160" w:line="259" w:lineRule="auto"/>
              <w:ind w:left="720" w:hanging="720"/>
              <w:rPr>
                <w:rFonts w:cstheme="minorHAnsi"/>
              </w:rPr>
            </w:pPr>
          </w:p>
        </w:tc>
      </w:tr>
      <w:tr w:rsidR="00615789" w:rsidRPr="00984CD2" w14:paraId="753CBC01" w14:textId="77777777" w:rsidTr="00615789">
        <w:tc>
          <w:tcPr>
            <w:tcW w:w="5000" w:type="pct"/>
            <w:hideMark/>
          </w:tcPr>
          <w:p w14:paraId="2F51EEA3" w14:textId="581B7CAF" w:rsidR="00615789" w:rsidRPr="00984CD2" w:rsidRDefault="00615789" w:rsidP="006607EF">
            <w:pPr>
              <w:spacing w:after="160" w:line="259" w:lineRule="auto"/>
              <w:ind w:left="720" w:hanging="720"/>
              <w:rPr>
                <w:rFonts w:cstheme="minorHAnsi"/>
              </w:rPr>
            </w:pPr>
            <w:r w:rsidRPr="00984CD2">
              <w:rPr>
                <w:rFonts w:cstheme="minorHAnsi"/>
              </w:rPr>
              <w:t>MacCallum, R. C. (2003). Working with imperfect models. Multivariate Behavioral Research, 38, 113-139.</w:t>
            </w:r>
            <w:r w:rsidRPr="00984CD2">
              <w:rPr>
                <w:rFonts w:cstheme="minorHAnsi"/>
              </w:rPr>
              <w:br/>
            </w:r>
          </w:p>
        </w:tc>
      </w:tr>
      <w:tr w:rsidR="00615789" w:rsidRPr="00984CD2" w14:paraId="5454CE08" w14:textId="77777777" w:rsidTr="00615789">
        <w:tc>
          <w:tcPr>
            <w:tcW w:w="5000" w:type="pct"/>
            <w:hideMark/>
          </w:tcPr>
          <w:p w14:paraId="7FA7682F" w14:textId="49F40CA5" w:rsidR="00615789" w:rsidRPr="00984CD2" w:rsidRDefault="00615789" w:rsidP="006607EF">
            <w:pPr>
              <w:spacing w:after="160" w:line="259" w:lineRule="auto"/>
              <w:ind w:left="720" w:hanging="720"/>
              <w:rPr>
                <w:rFonts w:cstheme="minorHAnsi"/>
              </w:rPr>
            </w:pPr>
            <w:r w:rsidRPr="00984CD2">
              <w:rPr>
                <w:rFonts w:cstheme="minorHAnsi"/>
              </w:rPr>
              <w:t>MacCallum, R. C., Browne, M. W., Cai, L. (2006). Testing differences between nested covariance structure models: Power analysis and null hypotheses. Psychological Methods, 11, 19-35. doi:</w:t>
            </w:r>
            <w:hyperlink r:id="rId91" w:tgtFrame="_blank" w:history="1">
              <w:r w:rsidRPr="00984CD2">
                <w:rPr>
                  <w:rStyle w:val="Hyperlink"/>
                  <w:rFonts w:cstheme="minorHAnsi"/>
                </w:rPr>
                <w:t>10.1037/1082-989X.11.1.19</w:t>
              </w:r>
            </w:hyperlink>
            <w:r w:rsidRPr="00984CD2">
              <w:rPr>
                <w:rFonts w:cstheme="minorHAnsi"/>
              </w:rPr>
              <w:br/>
            </w:r>
          </w:p>
        </w:tc>
      </w:tr>
      <w:tr w:rsidR="00615789" w:rsidRPr="00984CD2" w14:paraId="0247C90A" w14:textId="77777777" w:rsidTr="00615789">
        <w:tc>
          <w:tcPr>
            <w:tcW w:w="5000" w:type="pct"/>
            <w:hideMark/>
          </w:tcPr>
          <w:p w14:paraId="0A24C626" w14:textId="4A4F8590" w:rsidR="00615789" w:rsidRPr="00984CD2" w:rsidRDefault="00615789" w:rsidP="006607EF">
            <w:pPr>
              <w:spacing w:after="160" w:line="259" w:lineRule="auto"/>
              <w:ind w:left="720" w:hanging="720"/>
              <w:rPr>
                <w:rFonts w:cstheme="minorHAnsi"/>
              </w:rPr>
            </w:pPr>
            <w:r w:rsidRPr="00984CD2">
              <w:rPr>
                <w:rFonts w:cstheme="minorHAnsi"/>
              </w:rPr>
              <w:t>Martínez-Hernández, L. E., Segura-Méndez, N. H., Antonio-Ocampo, A., Torres-Salazar, A., Murillo-Gómez, E. (2010). Validación del cuestionario SF-36 en pacientes adultos con asma y rinitis alérgica [</w:t>
            </w:r>
            <w:r w:rsidRPr="00984CD2">
              <w:rPr>
                <w:rFonts w:cstheme="minorHAnsi"/>
                <w:lang w:val="en"/>
              </w:rPr>
              <w:t>Validity of the SF-36 on adult inpatients with asthma and alergic rhinitis</w:t>
            </w:r>
            <w:r w:rsidRPr="00984CD2">
              <w:rPr>
                <w:rFonts w:cstheme="minorHAnsi"/>
              </w:rPr>
              <w:t>]. Revista Medica del IMSS, 48(5), 531-534.</w:t>
            </w:r>
          </w:p>
          <w:p w14:paraId="3FD24FAF" w14:textId="09FD33FA" w:rsidR="00615789" w:rsidRPr="00984CD2" w:rsidRDefault="00615789" w:rsidP="006607EF">
            <w:pPr>
              <w:spacing w:after="160" w:line="259" w:lineRule="auto"/>
              <w:ind w:left="720" w:hanging="720"/>
              <w:rPr>
                <w:rFonts w:cstheme="minorHAnsi"/>
              </w:rPr>
            </w:pPr>
          </w:p>
        </w:tc>
      </w:tr>
      <w:tr w:rsidR="00615789" w:rsidRPr="00984CD2" w14:paraId="3B71DB73" w14:textId="77777777" w:rsidTr="00615789">
        <w:tc>
          <w:tcPr>
            <w:tcW w:w="5000" w:type="pct"/>
            <w:hideMark/>
          </w:tcPr>
          <w:p w14:paraId="4C621247" w14:textId="67C3CFEF" w:rsidR="00615789" w:rsidRPr="00984CD2" w:rsidRDefault="00615789" w:rsidP="006607EF">
            <w:pPr>
              <w:spacing w:after="160" w:line="259" w:lineRule="auto"/>
              <w:ind w:left="720" w:hanging="720"/>
              <w:rPr>
                <w:rFonts w:cstheme="minorHAnsi"/>
              </w:rPr>
            </w:pPr>
            <w:r w:rsidRPr="00984CD2">
              <w:rPr>
                <w:rFonts w:cstheme="minorHAnsi"/>
              </w:rPr>
              <w:t>Muthén, L. K., Muthén, B. O. (1998-2012). Mplus user’s guide (7th ed.). Los Angeles, CA: Author.</w:t>
            </w:r>
          </w:p>
          <w:p w14:paraId="6963F9C5" w14:textId="4500FFC0" w:rsidR="00615789" w:rsidRPr="00984CD2" w:rsidRDefault="00615789" w:rsidP="006607EF">
            <w:pPr>
              <w:spacing w:after="160" w:line="259" w:lineRule="auto"/>
              <w:ind w:left="720" w:hanging="720"/>
              <w:rPr>
                <w:rFonts w:cstheme="minorHAnsi"/>
              </w:rPr>
            </w:pPr>
          </w:p>
        </w:tc>
      </w:tr>
      <w:tr w:rsidR="00615789" w:rsidRPr="00984CD2" w14:paraId="64C7A44A" w14:textId="77777777" w:rsidTr="00615789">
        <w:tc>
          <w:tcPr>
            <w:tcW w:w="5000" w:type="pct"/>
            <w:hideMark/>
          </w:tcPr>
          <w:p w14:paraId="0B77FC42" w14:textId="5E0CEFDF" w:rsidR="00615789" w:rsidRPr="00984CD2" w:rsidRDefault="00615789" w:rsidP="006607EF">
            <w:pPr>
              <w:spacing w:after="160" w:line="259" w:lineRule="auto"/>
              <w:ind w:left="720" w:hanging="720"/>
              <w:rPr>
                <w:rFonts w:cstheme="minorHAnsi"/>
              </w:rPr>
            </w:pPr>
            <w:r w:rsidRPr="00984CD2">
              <w:rPr>
                <w:rFonts w:cstheme="minorHAnsi"/>
              </w:rPr>
              <w:t>Ngo-Metzger, Q., Sorkin, D. H., Mangione, C. M., Gandek, B., Hays, R. D. (2008). Evaluating the SF-36 health survey (version 2) in older Vietnamese Americans. Journal of Aging and Health, 20, 420-436. doi:</w:t>
            </w:r>
            <w:hyperlink r:id="rId92" w:tgtFrame="_blank" w:history="1">
              <w:r w:rsidRPr="00984CD2">
                <w:rPr>
                  <w:rStyle w:val="Hyperlink"/>
                  <w:rFonts w:cstheme="minorHAnsi"/>
                </w:rPr>
                <w:t>10.1177/0898264308315855</w:t>
              </w:r>
            </w:hyperlink>
          </w:p>
          <w:p w14:paraId="151514B2" w14:textId="53AAB839" w:rsidR="00615789" w:rsidRPr="00984CD2" w:rsidRDefault="00615789" w:rsidP="006607EF">
            <w:pPr>
              <w:spacing w:after="160" w:line="259" w:lineRule="auto"/>
              <w:ind w:left="720" w:hanging="720"/>
              <w:rPr>
                <w:rFonts w:cstheme="minorHAnsi"/>
              </w:rPr>
            </w:pPr>
          </w:p>
        </w:tc>
      </w:tr>
      <w:tr w:rsidR="00615789" w:rsidRPr="00984CD2" w14:paraId="3E1D7AD4" w14:textId="77777777" w:rsidTr="00615789">
        <w:tc>
          <w:tcPr>
            <w:tcW w:w="5000" w:type="pct"/>
            <w:hideMark/>
          </w:tcPr>
          <w:p w14:paraId="622BD4EB" w14:textId="315B1501" w:rsidR="00615789" w:rsidRPr="00984CD2" w:rsidRDefault="00615789" w:rsidP="006607EF">
            <w:pPr>
              <w:spacing w:after="160" w:line="259" w:lineRule="auto"/>
              <w:ind w:left="720" w:hanging="720"/>
              <w:rPr>
                <w:rFonts w:cstheme="minorHAnsi"/>
              </w:rPr>
            </w:pPr>
            <w:r w:rsidRPr="00984CD2">
              <w:rPr>
                <w:rFonts w:cstheme="minorHAnsi"/>
              </w:rPr>
              <w:t>Ohrnberger, J., Fichera, E., Sutton, M. (2017). The dynamics of physical and mental health in the older population. Journal of the Economics of Aging, 9, 52-62. doi:</w:t>
            </w:r>
            <w:hyperlink r:id="rId93" w:tgtFrame="_blank" w:history="1">
              <w:r w:rsidRPr="00984CD2">
                <w:rPr>
                  <w:rStyle w:val="Hyperlink"/>
                  <w:rFonts w:cstheme="minorHAnsi"/>
                </w:rPr>
                <w:t>10.1016/j.jeoa.2016.07.002</w:t>
              </w:r>
            </w:hyperlink>
          </w:p>
          <w:p w14:paraId="469430B5" w14:textId="2256B063" w:rsidR="00615789" w:rsidRPr="00984CD2" w:rsidRDefault="00615789" w:rsidP="006607EF">
            <w:pPr>
              <w:spacing w:after="160" w:line="259" w:lineRule="auto"/>
              <w:ind w:left="720" w:hanging="720"/>
              <w:rPr>
                <w:rFonts w:cstheme="minorHAnsi"/>
              </w:rPr>
            </w:pPr>
          </w:p>
        </w:tc>
      </w:tr>
      <w:tr w:rsidR="00615789" w:rsidRPr="00984CD2" w14:paraId="5F552AA9" w14:textId="77777777" w:rsidTr="00615789">
        <w:tc>
          <w:tcPr>
            <w:tcW w:w="5000" w:type="pct"/>
            <w:hideMark/>
          </w:tcPr>
          <w:p w14:paraId="258CD012" w14:textId="0E419CC9" w:rsidR="00615789" w:rsidRPr="00984CD2" w:rsidRDefault="00615789" w:rsidP="006607EF">
            <w:pPr>
              <w:spacing w:after="160" w:line="259" w:lineRule="auto"/>
              <w:ind w:left="720" w:hanging="720"/>
              <w:rPr>
                <w:rFonts w:cstheme="minorHAnsi"/>
              </w:rPr>
            </w:pPr>
            <w:r w:rsidRPr="00984CD2">
              <w:rPr>
                <w:rFonts w:cstheme="minorHAnsi"/>
              </w:rPr>
              <w:t>Olafsdottir, S. (2013). Social construction and health. In W. Cockerham (Ed.), Medical sociology on the move (pp. 41-59). New York, NY: Springer Netherlands.</w:t>
            </w:r>
          </w:p>
          <w:p w14:paraId="26171A35" w14:textId="51B9871C" w:rsidR="00615789" w:rsidRPr="00984CD2" w:rsidRDefault="00615789" w:rsidP="006607EF">
            <w:pPr>
              <w:spacing w:after="160" w:line="259" w:lineRule="auto"/>
              <w:ind w:left="720" w:hanging="720"/>
              <w:rPr>
                <w:rFonts w:cstheme="minorHAnsi"/>
              </w:rPr>
            </w:pPr>
          </w:p>
        </w:tc>
      </w:tr>
      <w:tr w:rsidR="00615789" w:rsidRPr="00984CD2" w14:paraId="50F0E285" w14:textId="77777777" w:rsidTr="00615789">
        <w:tc>
          <w:tcPr>
            <w:tcW w:w="5000" w:type="pct"/>
            <w:hideMark/>
          </w:tcPr>
          <w:p w14:paraId="331A7B9E" w14:textId="06288132" w:rsidR="00615789" w:rsidRPr="00984CD2" w:rsidRDefault="00615789" w:rsidP="006607EF">
            <w:pPr>
              <w:spacing w:after="160" w:line="259" w:lineRule="auto"/>
              <w:ind w:left="720" w:hanging="720"/>
              <w:rPr>
                <w:rFonts w:cstheme="minorHAnsi"/>
              </w:rPr>
            </w:pPr>
            <w:r w:rsidRPr="00984CD2">
              <w:rPr>
                <w:rFonts w:cstheme="minorHAnsi"/>
              </w:rPr>
              <w:t>Oliveira, I., Costa, L., Manzoni, A., Cabral, C. (2014). Assessment of the measurement properties of quality of life questionnaires in Brazilian women with breast cancer. Brazilian Journal of Physical Therapy, 18(4). doi:</w:t>
            </w:r>
            <w:hyperlink r:id="rId94" w:tgtFrame="_blank" w:history="1">
              <w:r w:rsidRPr="00984CD2">
                <w:rPr>
                  <w:rStyle w:val="Hyperlink"/>
                  <w:rFonts w:cstheme="minorHAnsi"/>
                </w:rPr>
                <w:t>10.1590/bjpt-rbf.2014.0045</w:t>
              </w:r>
            </w:hyperlink>
          </w:p>
          <w:p w14:paraId="1A051B31" w14:textId="53822997" w:rsidR="00615789" w:rsidRPr="00984CD2" w:rsidRDefault="00615789" w:rsidP="006607EF">
            <w:pPr>
              <w:spacing w:after="160" w:line="259" w:lineRule="auto"/>
              <w:ind w:left="720" w:hanging="720"/>
              <w:rPr>
                <w:rFonts w:cstheme="minorHAnsi"/>
              </w:rPr>
            </w:pPr>
          </w:p>
        </w:tc>
      </w:tr>
      <w:tr w:rsidR="00615789" w:rsidRPr="00984CD2" w14:paraId="0A459E41" w14:textId="77777777" w:rsidTr="00615789">
        <w:tc>
          <w:tcPr>
            <w:tcW w:w="5000" w:type="pct"/>
            <w:hideMark/>
          </w:tcPr>
          <w:p w14:paraId="5450D998" w14:textId="5AF11B27" w:rsidR="00615789" w:rsidRPr="00984CD2" w:rsidRDefault="00615789" w:rsidP="006607EF">
            <w:pPr>
              <w:spacing w:after="160" w:line="259" w:lineRule="auto"/>
              <w:ind w:left="720" w:hanging="720"/>
              <w:rPr>
                <w:rFonts w:cstheme="minorHAnsi"/>
              </w:rPr>
            </w:pPr>
            <w:r w:rsidRPr="00984CD2">
              <w:rPr>
                <w:rFonts w:cstheme="minorHAnsi"/>
              </w:rPr>
              <w:t>Palloni, A., McEniry, M. (2007). Aging and health status of elderly in Latin America and the Caribbean: Preliminary findings. Journal of Cross-Cultural Gerontology, 22, 263-285. doi:</w:t>
            </w:r>
            <w:hyperlink r:id="rId95" w:tgtFrame="_blank" w:history="1">
              <w:r w:rsidRPr="00984CD2">
                <w:rPr>
                  <w:rStyle w:val="Hyperlink"/>
                  <w:rFonts w:cstheme="minorHAnsi"/>
                </w:rPr>
                <w:t>10.1007/s10823-006-9001-7</w:t>
              </w:r>
            </w:hyperlink>
          </w:p>
          <w:p w14:paraId="3CB86D4B" w14:textId="7C7E373F" w:rsidR="00615789" w:rsidRPr="00984CD2" w:rsidRDefault="00615789" w:rsidP="006607EF">
            <w:pPr>
              <w:spacing w:after="160" w:line="259" w:lineRule="auto"/>
              <w:ind w:left="720" w:hanging="720"/>
              <w:rPr>
                <w:rFonts w:cstheme="minorHAnsi"/>
              </w:rPr>
            </w:pPr>
          </w:p>
        </w:tc>
      </w:tr>
      <w:tr w:rsidR="00615789" w:rsidRPr="00984CD2" w14:paraId="0149B0D8" w14:textId="77777777" w:rsidTr="00615789">
        <w:tc>
          <w:tcPr>
            <w:tcW w:w="5000" w:type="pct"/>
            <w:hideMark/>
          </w:tcPr>
          <w:p w14:paraId="227F9A2C" w14:textId="6EAB85A6" w:rsidR="00615789" w:rsidRPr="00984CD2" w:rsidRDefault="00615789" w:rsidP="006607EF">
            <w:pPr>
              <w:spacing w:after="160" w:line="259" w:lineRule="auto"/>
              <w:ind w:left="720" w:hanging="720"/>
              <w:rPr>
                <w:rFonts w:cstheme="minorHAnsi"/>
              </w:rPr>
            </w:pPr>
            <w:r w:rsidRPr="00984CD2">
              <w:rPr>
                <w:rFonts w:cstheme="minorHAnsi"/>
              </w:rPr>
              <w:t>Peek, M. K., Ray, L., Patel, K., Stoebner-May, D., Ottenbacher, K. J. (2004). Reliability and validity of the SF-36 among older Mexican Americans. The Gerontologists, 44, 418-425.</w:t>
            </w:r>
          </w:p>
          <w:p w14:paraId="144A4BC6" w14:textId="3B7299F8" w:rsidR="00615789" w:rsidRPr="00984CD2" w:rsidRDefault="00615789" w:rsidP="006607EF">
            <w:pPr>
              <w:spacing w:after="160" w:line="259" w:lineRule="auto"/>
              <w:ind w:left="720" w:hanging="720"/>
              <w:rPr>
                <w:rFonts w:cstheme="minorHAnsi"/>
              </w:rPr>
            </w:pPr>
          </w:p>
        </w:tc>
      </w:tr>
      <w:tr w:rsidR="00615789" w:rsidRPr="00984CD2" w14:paraId="6D72938F" w14:textId="77777777" w:rsidTr="00615789">
        <w:tc>
          <w:tcPr>
            <w:tcW w:w="5000" w:type="pct"/>
            <w:hideMark/>
          </w:tcPr>
          <w:p w14:paraId="61D675A2" w14:textId="45333361" w:rsidR="00615789" w:rsidRPr="00984CD2" w:rsidRDefault="00615789" w:rsidP="006607EF">
            <w:pPr>
              <w:spacing w:after="160" w:line="259" w:lineRule="auto"/>
              <w:ind w:left="720" w:hanging="720"/>
              <w:rPr>
                <w:rFonts w:cstheme="minorHAnsi"/>
              </w:rPr>
            </w:pPr>
            <w:r w:rsidRPr="00984CD2">
              <w:rPr>
                <w:rFonts w:cstheme="minorHAnsi"/>
              </w:rPr>
              <w:t>Phelan, J. C., Link, B. G., Tehranifar, P. (2010). Social conditions as fundamental causes of health inequalities: Theory, evidence, and policy implications. Journal of Health and Social Behavior, 51, 28-40.</w:t>
            </w:r>
          </w:p>
          <w:p w14:paraId="7B6BB102" w14:textId="55C01163" w:rsidR="00615789" w:rsidRPr="00984CD2" w:rsidRDefault="00615789" w:rsidP="006607EF">
            <w:pPr>
              <w:spacing w:after="160" w:line="259" w:lineRule="auto"/>
              <w:ind w:left="720" w:hanging="720"/>
              <w:rPr>
                <w:rFonts w:cstheme="minorHAnsi"/>
              </w:rPr>
            </w:pPr>
          </w:p>
        </w:tc>
      </w:tr>
      <w:tr w:rsidR="00615789" w:rsidRPr="00984CD2" w14:paraId="5D0A43EF" w14:textId="77777777" w:rsidTr="00615789">
        <w:tc>
          <w:tcPr>
            <w:tcW w:w="5000" w:type="pct"/>
            <w:hideMark/>
          </w:tcPr>
          <w:p w14:paraId="41AAB5DA" w14:textId="5846F6AA" w:rsidR="00615789" w:rsidRPr="00984CD2" w:rsidRDefault="00615789" w:rsidP="006607EF">
            <w:pPr>
              <w:spacing w:after="160" w:line="259" w:lineRule="auto"/>
              <w:ind w:left="720" w:hanging="720"/>
              <w:rPr>
                <w:rFonts w:cstheme="minorHAnsi"/>
              </w:rPr>
            </w:pPr>
            <w:r w:rsidRPr="00984CD2">
              <w:rPr>
                <w:rFonts w:cstheme="minorHAnsi"/>
              </w:rPr>
              <w:t>Rosero-Bixby, L., Dow, W. (2009). Surprising SES gradients in mortality, health, and biomarkers in a Latin American population of adults. The Journals of Gerontology, Series B: Psychological Sciences &amp; Social Sciences, 64, 105-117.</w:t>
            </w:r>
          </w:p>
          <w:p w14:paraId="4D0F3FAA" w14:textId="5F917C60" w:rsidR="00615789" w:rsidRPr="00984CD2" w:rsidRDefault="00615789" w:rsidP="006607EF">
            <w:pPr>
              <w:spacing w:after="160" w:line="259" w:lineRule="auto"/>
              <w:ind w:left="720" w:hanging="720"/>
              <w:rPr>
                <w:rFonts w:cstheme="minorHAnsi"/>
              </w:rPr>
            </w:pPr>
          </w:p>
        </w:tc>
      </w:tr>
      <w:tr w:rsidR="00615789" w:rsidRPr="00984CD2" w14:paraId="451B1029" w14:textId="77777777" w:rsidTr="00615789">
        <w:tc>
          <w:tcPr>
            <w:tcW w:w="5000" w:type="pct"/>
            <w:hideMark/>
          </w:tcPr>
          <w:p w14:paraId="5345008A" w14:textId="3571BD36" w:rsidR="00615789" w:rsidRPr="00984CD2" w:rsidRDefault="00615789" w:rsidP="006607EF">
            <w:pPr>
              <w:spacing w:after="160" w:line="259" w:lineRule="auto"/>
              <w:ind w:left="720" w:hanging="720"/>
              <w:rPr>
                <w:rFonts w:cstheme="minorHAnsi"/>
              </w:rPr>
            </w:pPr>
            <w:r w:rsidRPr="00984CD2">
              <w:rPr>
                <w:rFonts w:cstheme="minorHAnsi"/>
              </w:rPr>
              <w:t>Salas-Chavez, A. (2013). Organizacion de la oferta de los servicios de salud en Costa Rica [</w:t>
            </w:r>
            <w:r w:rsidRPr="00984CD2">
              <w:rPr>
                <w:rFonts w:cstheme="minorHAnsi"/>
                <w:lang w:val="en"/>
              </w:rPr>
              <w:t>Organization of the public health services in Costa Rica</w:t>
            </w:r>
            <w:r w:rsidRPr="00984CD2">
              <w:rPr>
                <w:rFonts w:cstheme="minorHAnsi"/>
              </w:rPr>
              <w:t>]. In Universidad de Costa Rica (Ed.), La Salud Pública en Costa Rica: Estado Actual, Retos y Perspectivas (pp. 169-193). San Jose, SJ: Universidad de Costa Rica, Escuela de Salud Publica.</w:t>
            </w:r>
          </w:p>
          <w:p w14:paraId="193298C2" w14:textId="79CBCBD3" w:rsidR="00615789" w:rsidRPr="00984CD2" w:rsidRDefault="00615789" w:rsidP="006607EF">
            <w:pPr>
              <w:spacing w:after="160" w:line="259" w:lineRule="auto"/>
              <w:ind w:left="720" w:hanging="720"/>
              <w:rPr>
                <w:rFonts w:cstheme="minorHAnsi"/>
              </w:rPr>
            </w:pPr>
          </w:p>
        </w:tc>
      </w:tr>
      <w:tr w:rsidR="00615789" w:rsidRPr="00984CD2" w14:paraId="4AB73DA4" w14:textId="77777777" w:rsidTr="00615789">
        <w:tc>
          <w:tcPr>
            <w:tcW w:w="5000" w:type="pct"/>
            <w:hideMark/>
          </w:tcPr>
          <w:p w14:paraId="6F6598E1" w14:textId="67749835" w:rsidR="00615789" w:rsidRPr="00984CD2" w:rsidRDefault="00615789" w:rsidP="006607EF">
            <w:pPr>
              <w:spacing w:after="160" w:line="259" w:lineRule="auto"/>
              <w:ind w:left="720" w:hanging="720"/>
              <w:rPr>
                <w:rFonts w:cstheme="minorHAnsi"/>
              </w:rPr>
            </w:pPr>
            <w:r w:rsidRPr="00984CD2">
              <w:rPr>
                <w:rFonts w:cstheme="minorHAnsi"/>
              </w:rPr>
              <w:lastRenderedPageBreak/>
              <w:t>Salazar, R. F., Bernabe, E. (2015). The Spanish SF-36 in Peru: Factor structure, construct validity, and internal consistency. Asia-Pacific Journal of Public Health, 27(2), NP2372-NP2380. doi:</w:t>
            </w:r>
            <w:hyperlink r:id="rId96" w:tgtFrame="_blank" w:history="1">
              <w:r w:rsidRPr="00984CD2">
                <w:rPr>
                  <w:rStyle w:val="Hyperlink"/>
                  <w:rFonts w:cstheme="minorHAnsi"/>
                </w:rPr>
                <w:t>10.1177/1010539511432879</w:t>
              </w:r>
            </w:hyperlink>
          </w:p>
          <w:p w14:paraId="27A6F2A4" w14:textId="2217CA92" w:rsidR="00615789" w:rsidRPr="00984CD2" w:rsidRDefault="00615789" w:rsidP="006607EF">
            <w:pPr>
              <w:spacing w:after="160" w:line="259" w:lineRule="auto"/>
              <w:ind w:left="720" w:hanging="720"/>
              <w:rPr>
                <w:rFonts w:cstheme="minorHAnsi"/>
              </w:rPr>
            </w:pPr>
          </w:p>
        </w:tc>
      </w:tr>
      <w:tr w:rsidR="00615789" w:rsidRPr="00984CD2" w14:paraId="26F03311" w14:textId="77777777" w:rsidTr="00615789">
        <w:tc>
          <w:tcPr>
            <w:tcW w:w="5000" w:type="pct"/>
            <w:hideMark/>
          </w:tcPr>
          <w:p w14:paraId="7C88E47E" w14:textId="7F00100D" w:rsidR="00615789" w:rsidRPr="00984CD2" w:rsidRDefault="00615789" w:rsidP="006607EF">
            <w:pPr>
              <w:spacing w:after="160" w:line="259" w:lineRule="auto"/>
              <w:ind w:left="720" w:hanging="720"/>
              <w:rPr>
                <w:rFonts w:cstheme="minorHAnsi"/>
              </w:rPr>
            </w:pPr>
            <w:r w:rsidRPr="00984CD2">
              <w:rPr>
                <w:rFonts w:cstheme="minorHAnsi"/>
              </w:rPr>
              <w:t>Sánchez, P. H., Ruano, C., Irala, J. D., Ruiz-Canela, M., Martínez-González, M. A., Sánchez-Villegas, A. (2012). Adherence to the Mediterranean diet and quality of life in the SUN project. European Journal of Clinical Nutrition, 66, 360-368. doi:</w:t>
            </w:r>
            <w:hyperlink r:id="rId97" w:tgtFrame="_blank" w:history="1">
              <w:r w:rsidRPr="00984CD2">
                <w:rPr>
                  <w:rStyle w:val="Hyperlink"/>
                  <w:rFonts w:cstheme="minorHAnsi"/>
                </w:rPr>
                <w:t>10.1038/ejcn.2011.146</w:t>
              </w:r>
            </w:hyperlink>
          </w:p>
          <w:p w14:paraId="2AB2C304" w14:textId="58550563" w:rsidR="00615789" w:rsidRPr="00984CD2" w:rsidRDefault="00615789" w:rsidP="006607EF">
            <w:pPr>
              <w:spacing w:after="160" w:line="259" w:lineRule="auto"/>
              <w:ind w:left="720" w:hanging="720"/>
              <w:rPr>
                <w:rFonts w:cstheme="minorHAnsi"/>
              </w:rPr>
            </w:pPr>
          </w:p>
        </w:tc>
      </w:tr>
      <w:tr w:rsidR="00615789" w:rsidRPr="00984CD2" w14:paraId="0880568B" w14:textId="77777777" w:rsidTr="00615789">
        <w:tc>
          <w:tcPr>
            <w:tcW w:w="5000" w:type="pct"/>
            <w:hideMark/>
          </w:tcPr>
          <w:p w14:paraId="2B0906A8" w14:textId="4074CB04" w:rsidR="00615789" w:rsidRPr="00984CD2" w:rsidRDefault="00615789" w:rsidP="006607EF">
            <w:pPr>
              <w:spacing w:after="160" w:line="259" w:lineRule="auto"/>
              <w:ind w:left="720" w:hanging="720"/>
              <w:rPr>
                <w:rFonts w:cstheme="minorHAnsi"/>
              </w:rPr>
            </w:pPr>
            <w:r w:rsidRPr="00984CD2">
              <w:rPr>
                <w:rFonts w:cstheme="minorHAnsi"/>
              </w:rPr>
              <w:t>Simon, G. E., Revicki, D. A., Grothaus, L., Vonkorff, M. (1998). SF-36 summary scores. Medical Care, 36, 567-572. doi:</w:t>
            </w:r>
            <w:hyperlink r:id="rId98" w:tgtFrame="_blank" w:history="1">
              <w:r w:rsidRPr="00984CD2">
                <w:rPr>
                  <w:rStyle w:val="Hyperlink"/>
                  <w:rFonts w:cstheme="minorHAnsi"/>
                </w:rPr>
                <w:t>10.1097/00005650-199804000-00012</w:t>
              </w:r>
            </w:hyperlink>
          </w:p>
          <w:p w14:paraId="14512836" w14:textId="6EEA7F5D" w:rsidR="00615789" w:rsidRPr="00984CD2" w:rsidRDefault="00615789" w:rsidP="006607EF">
            <w:pPr>
              <w:spacing w:after="160" w:line="259" w:lineRule="auto"/>
              <w:ind w:left="720" w:hanging="720"/>
              <w:rPr>
                <w:rFonts w:cstheme="minorHAnsi"/>
              </w:rPr>
            </w:pPr>
          </w:p>
        </w:tc>
      </w:tr>
      <w:tr w:rsidR="00615789" w:rsidRPr="00984CD2" w14:paraId="126D8045" w14:textId="77777777" w:rsidTr="00615789">
        <w:tc>
          <w:tcPr>
            <w:tcW w:w="5000" w:type="pct"/>
            <w:hideMark/>
          </w:tcPr>
          <w:p w14:paraId="077D89B1" w14:textId="5B9D41E0" w:rsidR="00615789" w:rsidRPr="00984CD2" w:rsidRDefault="00615789" w:rsidP="006607EF">
            <w:pPr>
              <w:spacing w:after="160" w:line="259" w:lineRule="auto"/>
              <w:ind w:left="720" w:hanging="720"/>
              <w:rPr>
                <w:rFonts w:cstheme="minorHAnsi"/>
              </w:rPr>
            </w:pPr>
            <w:r w:rsidRPr="00984CD2">
              <w:rPr>
                <w:rFonts w:cstheme="minorHAnsi"/>
              </w:rPr>
              <w:t>Stewart, A. L., Ware, J. E. (Eds.). (1992). Measuring functioning and well-being: The medical outcomes study approach. Durham, NC: Duke University Press.</w:t>
            </w:r>
          </w:p>
          <w:p w14:paraId="76180465" w14:textId="658DBCBF" w:rsidR="00615789" w:rsidRPr="00984CD2" w:rsidRDefault="00615789" w:rsidP="006607EF">
            <w:pPr>
              <w:spacing w:after="160" w:line="259" w:lineRule="auto"/>
              <w:ind w:left="720" w:hanging="720"/>
              <w:rPr>
                <w:rFonts w:cstheme="minorHAnsi"/>
              </w:rPr>
            </w:pPr>
          </w:p>
        </w:tc>
      </w:tr>
      <w:tr w:rsidR="00615789" w:rsidRPr="00984CD2" w14:paraId="3C30E16C" w14:textId="77777777" w:rsidTr="00615789">
        <w:tc>
          <w:tcPr>
            <w:tcW w:w="5000" w:type="pct"/>
            <w:hideMark/>
          </w:tcPr>
          <w:p w14:paraId="2D140C91" w14:textId="3AF51E05" w:rsidR="00615789" w:rsidRPr="00984CD2" w:rsidRDefault="00615789" w:rsidP="006607EF">
            <w:pPr>
              <w:spacing w:after="160" w:line="259" w:lineRule="auto"/>
              <w:ind w:left="720" w:hanging="720"/>
              <w:rPr>
                <w:rFonts w:cstheme="minorHAnsi"/>
              </w:rPr>
            </w:pPr>
            <w:r w:rsidRPr="00984CD2">
              <w:rPr>
                <w:rFonts w:cstheme="minorHAnsi"/>
              </w:rPr>
              <w:t>Sullivan, M. D., Kempen, G. I., Van Sonderen, E., Ormel, J. (2000). Models of health-related quality of life in a population of community-dwelling Dutch elderly. Quality of Life Research, 9, 801-810. doi:</w:t>
            </w:r>
            <w:hyperlink r:id="rId99" w:tgtFrame="_blank" w:history="1">
              <w:r w:rsidRPr="00984CD2">
                <w:rPr>
                  <w:rStyle w:val="Hyperlink"/>
                  <w:rFonts w:cstheme="minorHAnsi"/>
                </w:rPr>
                <w:t>10.1023/A:1008987709788</w:t>
              </w:r>
            </w:hyperlink>
          </w:p>
          <w:p w14:paraId="7532E2BA" w14:textId="4A8C360E" w:rsidR="00615789" w:rsidRPr="00984CD2" w:rsidRDefault="00615789" w:rsidP="006607EF">
            <w:pPr>
              <w:spacing w:after="160" w:line="259" w:lineRule="auto"/>
              <w:ind w:left="720" w:hanging="720"/>
              <w:rPr>
                <w:rFonts w:cstheme="minorHAnsi"/>
              </w:rPr>
            </w:pPr>
          </w:p>
        </w:tc>
      </w:tr>
      <w:tr w:rsidR="00615789" w:rsidRPr="00984CD2" w14:paraId="40F618E7" w14:textId="77777777" w:rsidTr="00615789">
        <w:tc>
          <w:tcPr>
            <w:tcW w:w="5000" w:type="pct"/>
            <w:hideMark/>
          </w:tcPr>
          <w:p w14:paraId="7A0B289B" w14:textId="688D7204" w:rsidR="00615789" w:rsidRPr="00984CD2" w:rsidRDefault="00615789" w:rsidP="006607EF">
            <w:pPr>
              <w:spacing w:after="160" w:line="259" w:lineRule="auto"/>
              <w:ind w:left="720" w:hanging="720"/>
              <w:rPr>
                <w:rFonts w:cstheme="minorHAnsi"/>
              </w:rPr>
            </w:pPr>
            <w:r w:rsidRPr="00984CD2">
              <w:rPr>
                <w:rFonts w:cstheme="minorHAnsi"/>
              </w:rPr>
              <w:t>Taft, C., Karlson, J., Sullivan, M. (2001). Do SF-36 summary component scores accurately summarise subscale scores? Quality of Life Research, 10, 395-404.</w:t>
            </w:r>
          </w:p>
          <w:p w14:paraId="1921CE5A" w14:textId="7C0BD673" w:rsidR="00615789" w:rsidRPr="00984CD2" w:rsidRDefault="00615789" w:rsidP="006607EF">
            <w:pPr>
              <w:spacing w:after="160" w:line="259" w:lineRule="auto"/>
              <w:ind w:left="720" w:hanging="720"/>
              <w:rPr>
                <w:rFonts w:cstheme="minorHAnsi"/>
              </w:rPr>
            </w:pPr>
          </w:p>
        </w:tc>
      </w:tr>
      <w:tr w:rsidR="00615789" w:rsidRPr="00984CD2" w14:paraId="1A3D5EDF" w14:textId="77777777" w:rsidTr="00615789">
        <w:tc>
          <w:tcPr>
            <w:tcW w:w="5000" w:type="pct"/>
            <w:hideMark/>
          </w:tcPr>
          <w:p w14:paraId="21254A17" w14:textId="155BF93E" w:rsidR="00615789" w:rsidRPr="00984CD2" w:rsidRDefault="00615789" w:rsidP="006607EF">
            <w:pPr>
              <w:spacing w:after="160" w:line="259" w:lineRule="auto"/>
              <w:ind w:left="720" w:hanging="720"/>
              <w:rPr>
                <w:rFonts w:cstheme="minorHAnsi"/>
              </w:rPr>
            </w:pPr>
            <w:r w:rsidRPr="00984CD2">
              <w:rPr>
                <w:rFonts w:cstheme="minorHAnsi"/>
              </w:rPr>
              <w:t>Tucker, G., Adams, R., Wilson, D. (2013). Observed agreement problems between sub-scales and summary components of the SF-36 version 2: An alternative scoring method can correct the problem. PLoS ONE, 8(4), e61191. doi:</w:t>
            </w:r>
            <w:hyperlink r:id="rId100" w:tgtFrame="_blank" w:history="1">
              <w:r w:rsidRPr="00984CD2">
                <w:rPr>
                  <w:rStyle w:val="Hyperlink"/>
                  <w:rFonts w:cstheme="minorHAnsi"/>
                </w:rPr>
                <w:t>10.1371/journal.pone.0061191</w:t>
              </w:r>
            </w:hyperlink>
          </w:p>
          <w:p w14:paraId="2E980D27" w14:textId="3D55DC02" w:rsidR="00615789" w:rsidRPr="00984CD2" w:rsidRDefault="00615789" w:rsidP="006607EF">
            <w:pPr>
              <w:spacing w:after="160" w:line="259" w:lineRule="auto"/>
              <w:ind w:left="720" w:hanging="720"/>
              <w:rPr>
                <w:rFonts w:cstheme="minorHAnsi"/>
              </w:rPr>
            </w:pPr>
          </w:p>
        </w:tc>
      </w:tr>
      <w:tr w:rsidR="00615789" w:rsidRPr="00984CD2" w14:paraId="21FE2F8E" w14:textId="77777777" w:rsidTr="00615789">
        <w:tc>
          <w:tcPr>
            <w:tcW w:w="5000" w:type="pct"/>
            <w:hideMark/>
          </w:tcPr>
          <w:p w14:paraId="5FFD0928" w14:textId="047587AF" w:rsidR="00615789" w:rsidRPr="00984CD2" w:rsidRDefault="00615789" w:rsidP="006607EF">
            <w:pPr>
              <w:spacing w:after="160" w:line="259" w:lineRule="auto"/>
              <w:ind w:left="720" w:hanging="720"/>
              <w:rPr>
                <w:rFonts w:cstheme="minorHAnsi"/>
              </w:rPr>
            </w:pPr>
            <w:r w:rsidRPr="00984CD2">
              <w:rPr>
                <w:rFonts w:cstheme="minorHAnsi"/>
              </w:rPr>
              <w:t xml:space="preserve">United Nations Developmental </w:t>
            </w:r>
            <w:proofErr w:type="gramStart"/>
            <w:r w:rsidRPr="00984CD2">
              <w:rPr>
                <w:rFonts w:cstheme="minorHAnsi"/>
              </w:rPr>
              <w:t>Program .</w:t>
            </w:r>
            <w:proofErr w:type="gramEnd"/>
            <w:r w:rsidRPr="00984CD2">
              <w:rPr>
                <w:rFonts w:cstheme="minorHAnsi"/>
              </w:rPr>
              <w:t xml:space="preserve"> (2017). 2016 human development reports. Retrieved from </w:t>
            </w:r>
            <w:hyperlink r:id="rId101" w:tgtFrame="_blank" w:history="1">
              <w:r w:rsidRPr="00984CD2">
                <w:rPr>
                  <w:rStyle w:val="Hyperlink"/>
                  <w:rFonts w:cstheme="minorHAnsi"/>
                </w:rPr>
                <w:t>http://hdr.undp.org/en/2016-report</w:t>
              </w:r>
            </w:hyperlink>
          </w:p>
          <w:p w14:paraId="095521CB" w14:textId="13E44505" w:rsidR="00615789" w:rsidRPr="00984CD2" w:rsidRDefault="00615789" w:rsidP="006607EF">
            <w:pPr>
              <w:spacing w:after="160" w:line="259" w:lineRule="auto"/>
              <w:ind w:left="720" w:hanging="720"/>
              <w:rPr>
                <w:rFonts w:cstheme="minorHAnsi"/>
              </w:rPr>
            </w:pPr>
          </w:p>
        </w:tc>
      </w:tr>
      <w:tr w:rsidR="00615789" w:rsidRPr="00984CD2" w14:paraId="47DD5595" w14:textId="77777777" w:rsidTr="00615789">
        <w:tc>
          <w:tcPr>
            <w:tcW w:w="5000" w:type="pct"/>
            <w:hideMark/>
          </w:tcPr>
          <w:p w14:paraId="6FAC826B" w14:textId="2BE2F4FB" w:rsidR="00615789" w:rsidRPr="00984CD2" w:rsidRDefault="00615789" w:rsidP="006607EF">
            <w:pPr>
              <w:spacing w:after="160" w:line="259" w:lineRule="auto"/>
              <w:ind w:left="720" w:hanging="720"/>
              <w:rPr>
                <w:rFonts w:cstheme="minorHAnsi"/>
              </w:rPr>
            </w:pPr>
            <w:r w:rsidRPr="00984CD2">
              <w:rPr>
                <w:rFonts w:cstheme="minorHAnsi"/>
              </w:rPr>
              <w:t>Ware, J. E. (1999). SF-36 health survey. In Maruish, M. E. (Ed.), The use of psychological testing for treatment planning and outcomes assessment (pp. 1227-1246). Mahwah, NJ: Lawrence Erlbaum.</w:t>
            </w:r>
          </w:p>
          <w:p w14:paraId="48142507" w14:textId="11A1DB9B" w:rsidR="00615789" w:rsidRPr="00984CD2" w:rsidRDefault="00615789" w:rsidP="006607EF">
            <w:pPr>
              <w:spacing w:after="160" w:line="259" w:lineRule="auto"/>
              <w:ind w:left="720" w:hanging="720"/>
              <w:rPr>
                <w:rFonts w:cstheme="minorHAnsi"/>
              </w:rPr>
            </w:pPr>
          </w:p>
        </w:tc>
      </w:tr>
      <w:tr w:rsidR="00615789" w:rsidRPr="00984CD2" w14:paraId="085CE2DA" w14:textId="77777777" w:rsidTr="00615789">
        <w:tc>
          <w:tcPr>
            <w:tcW w:w="5000" w:type="pct"/>
            <w:hideMark/>
          </w:tcPr>
          <w:p w14:paraId="71A59571" w14:textId="3CDD01B3" w:rsidR="00615789" w:rsidRPr="00984CD2" w:rsidRDefault="00615789" w:rsidP="006607EF">
            <w:pPr>
              <w:spacing w:after="160" w:line="259" w:lineRule="auto"/>
              <w:ind w:left="720" w:hanging="720"/>
              <w:rPr>
                <w:rFonts w:cstheme="minorHAnsi"/>
              </w:rPr>
            </w:pPr>
            <w:r w:rsidRPr="00984CD2">
              <w:rPr>
                <w:rFonts w:cstheme="minorHAnsi"/>
              </w:rPr>
              <w:t>Ware, J. E., Gandek, B. (1998). Overview of the SF-36 health survey and the International Quality of Life Assessment (IQOLA) project. Journal of Clinical Epidemiology, 51, 903-912.</w:t>
            </w:r>
          </w:p>
          <w:p w14:paraId="7862FBA5" w14:textId="0A12A6B6" w:rsidR="00615789" w:rsidRPr="00984CD2" w:rsidRDefault="00615789" w:rsidP="006607EF">
            <w:pPr>
              <w:spacing w:after="160" w:line="259" w:lineRule="auto"/>
              <w:ind w:left="720" w:hanging="720"/>
              <w:rPr>
                <w:rFonts w:cstheme="minorHAnsi"/>
              </w:rPr>
            </w:pPr>
          </w:p>
        </w:tc>
      </w:tr>
      <w:tr w:rsidR="00615789" w:rsidRPr="00984CD2" w14:paraId="5BA7EDED" w14:textId="77777777" w:rsidTr="00615789">
        <w:tc>
          <w:tcPr>
            <w:tcW w:w="5000" w:type="pct"/>
            <w:hideMark/>
          </w:tcPr>
          <w:p w14:paraId="7B6B0CFA" w14:textId="0596F291" w:rsidR="00615789" w:rsidRPr="00984CD2" w:rsidRDefault="00615789" w:rsidP="006607EF">
            <w:pPr>
              <w:spacing w:after="160" w:line="259" w:lineRule="auto"/>
              <w:ind w:left="720" w:hanging="720"/>
              <w:rPr>
                <w:rFonts w:cstheme="minorHAnsi"/>
              </w:rPr>
            </w:pPr>
            <w:r w:rsidRPr="00984CD2">
              <w:rPr>
                <w:rFonts w:cstheme="minorHAnsi"/>
              </w:rPr>
              <w:t>Ware, J. E., Kosinski, M. (2001). Interpreting SF-36 summary health measures: A response. Quality of Life Research, 10, 405-413.</w:t>
            </w:r>
          </w:p>
          <w:p w14:paraId="54DDCA54" w14:textId="6D3EF5FE" w:rsidR="00615789" w:rsidRPr="00984CD2" w:rsidRDefault="00615789" w:rsidP="006607EF">
            <w:pPr>
              <w:spacing w:after="160" w:line="259" w:lineRule="auto"/>
              <w:ind w:left="720" w:hanging="720"/>
              <w:rPr>
                <w:rFonts w:cstheme="minorHAnsi"/>
              </w:rPr>
            </w:pPr>
          </w:p>
        </w:tc>
      </w:tr>
      <w:tr w:rsidR="00615789" w:rsidRPr="00984CD2" w14:paraId="020F3FC9" w14:textId="77777777" w:rsidTr="00615789">
        <w:tc>
          <w:tcPr>
            <w:tcW w:w="5000" w:type="pct"/>
            <w:hideMark/>
          </w:tcPr>
          <w:p w14:paraId="71031D16" w14:textId="0AE4638B" w:rsidR="00615789" w:rsidRPr="00984CD2" w:rsidRDefault="00615789" w:rsidP="006607EF">
            <w:pPr>
              <w:spacing w:after="160" w:line="259" w:lineRule="auto"/>
              <w:ind w:left="720" w:hanging="720"/>
              <w:rPr>
                <w:rFonts w:cstheme="minorHAnsi"/>
              </w:rPr>
            </w:pPr>
            <w:r w:rsidRPr="00984CD2">
              <w:rPr>
                <w:rFonts w:cstheme="minorHAnsi"/>
              </w:rPr>
              <w:t>Ware, J. E., Sherbourne, C. D. (1992). The MOS 36-item short-form health survey (SF-36): I. Conceptual framework and item selection. Medical Care, 30, 473-483.</w:t>
            </w:r>
          </w:p>
          <w:p w14:paraId="1F7FB9FF" w14:textId="1D838542" w:rsidR="00615789" w:rsidRPr="00984CD2" w:rsidRDefault="00615789" w:rsidP="006607EF">
            <w:pPr>
              <w:spacing w:after="160" w:line="259" w:lineRule="auto"/>
              <w:ind w:left="720" w:hanging="720"/>
              <w:rPr>
                <w:rFonts w:cstheme="minorHAnsi"/>
              </w:rPr>
            </w:pPr>
          </w:p>
        </w:tc>
      </w:tr>
      <w:tr w:rsidR="00615789" w:rsidRPr="00984CD2" w14:paraId="5BB2A58D" w14:textId="77777777" w:rsidTr="00615789">
        <w:tc>
          <w:tcPr>
            <w:tcW w:w="5000" w:type="pct"/>
            <w:hideMark/>
          </w:tcPr>
          <w:p w14:paraId="353BBBFA" w14:textId="76CB8E2E" w:rsidR="00615789" w:rsidRPr="00984CD2" w:rsidRDefault="00615789" w:rsidP="006607EF">
            <w:pPr>
              <w:spacing w:after="160" w:line="259" w:lineRule="auto"/>
              <w:ind w:left="720" w:hanging="720"/>
              <w:rPr>
                <w:rFonts w:cstheme="minorHAnsi"/>
              </w:rPr>
            </w:pPr>
            <w:r w:rsidRPr="00984CD2">
              <w:rPr>
                <w:rFonts w:cstheme="minorHAnsi"/>
              </w:rPr>
              <w:t>Wiech, K. (2016). Deconstructing the sensation of pain: The influence of cognitive processes on pain perception. Science, 354, 584-587. doi:</w:t>
            </w:r>
            <w:hyperlink r:id="rId102" w:tgtFrame="_blank" w:history="1">
              <w:r w:rsidRPr="00984CD2">
                <w:rPr>
                  <w:rStyle w:val="Hyperlink"/>
                  <w:rFonts w:cstheme="minorHAnsi"/>
                </w:rPr>
                <w:t>10.1126/science.aaf8934</w:t>
              </w:r>
            </w:hyperlink>
          </w:p>
          <w:p w14:paraId="4FA72E93" w14:textId="5105AFB6" w:rsidR="00615789" w:rsidRPr="00984CD2" w:rsidRDefault="00615789" w:rsidP="006607EF">
            <w:pPr>
              <w:spacing w:after="160" w:line="259" w:lineRule="auto"/>
              <w:ind w:left="720" w:hanging="720"/>
              <w:rPr>
                <w:rFonts w:cstheme="minorHAnsi"/>
              </w:rPr>
            </w:pPr>
          </w:p>
        </w:tc>
      </w:tr>
      <w:tr w:rsidR="00615789" w:rsidRPr="00984CD2" w14:paraId="20BC69CC" w14:textId="77777777" w:rsidTr="00615789">
        <w:tc>
          <w:tcPr>
            <w:tcW w:w="5000" w:type="pct"/>
            <w:hideMark/>
          </w:tcPr>
          <w:p w14:paraId="028113AD" w14:textId="7A1A6DDF" w:rsidR="00615789" w:rsidRPr="00984CD2" w:rsidRDefault="00615789" w:rsidP="006607EF">
            <w:pPr>
              <w:spacing w:after="160" w:line="259" w:lineRule="auto"/>
              <w:ind w:left="720" w:hanging="720"/>
              <w:rPr>
                <w:rFonts w:cstheme="minorHAnsi"/>
              </w:rPr>
            </w:pPr>
            <w:r w:rsidRPr="00984CD2">
              <w:rPr>
                <w:rFonts w:cstheme="minorHAnsi"/>
              </w:rPr>
              <w:t xml:space="preserve">World Health </w:t>
            </w:r>
            <w:proofErr w:type="gramStart"/>
            <w:r w:rsidRPr="00984CD2">
              <w:rPr>
                <w:rFonts w:cstheme="minorHAnsi"/>
              </w:rPr>
              <w:t>Organization .</w:t>
            </w:r>
            <w:proofErr w:type="gramEnd"/>
            <w:r w:rsidRPr="00984CD2">
              <w:rPr>
                <w:rFonts w:cstheme="minorHAnsi"/>
              </w:rPr>
              <w:t xml:space="preserve"> (n.d.). What are social determinants of health? Retrieved from </w:t>
            </w:r>
            <w:hyperlink r:id="rId103" w:tgtFrame="_blank" w:history="1">
              <w:r w:rsidRPr="00984CD2">
                <w:rPr>
                  <w:rStyle w:val="Hyperlink"/>
                  <w:rFonts w:cstheme="minorHAnsi"/>
                </w:rPr>
                <w:t>http://www.who.int/social_determinants/sdh_definition/en/</w:t>
              </w:r>
            </w:hyperlink>
          </w:p>
          <w:p w14:paraId="2CDC768A" w14:textId="50163B02" w:rsidR="00615789" w:rsidRPr="00984CD2" w:rsidRDefault="00615789" w:rsidP="006607EF">
            <w:pPr>
              <w:spacing w:after="160" w:line="259" w:lineRule="auto"/>
              <w:ind w:left="720" w:hanging="720"/>
              <w:rPr>
                <w:rFonts w:cstheme="minorHAnsi"/>
              </w:rPr>
            </w:pPr>
          </w:p>
        </w:tc>
      </w:tr>
      <w:tr w:rsidR="00615789" w:rsidRPr="00984CD2" w14:paraId="015CB3ED" w14:textId="77777777" w:rsidTr="00615789">
        <w:tc>
          <w:tcPr>
            <w:tcW w:w="5000" w:type="pct"/>
            <w:hideMark/>
          </w:tcPr>
          <w:p w14:paraId="0E4A031A" w14:textId="62F60B41" w:rsidR="00615789" w:rsidRPr="00984CD2" w:rsidRDefault="00615789" w:rsidP="006607EF">
            <w:pPr>
              <w:spacing w:after="160" w:line="259" w:lineRule="auto"/>
              <w:ind w:left="720" w:hanging="720"/>
              <w:rPr>
                <w:rFonts w:cstheme="minorHAnsi"/>
              </w:rPr>
            </w:pPr>
            <w:r w:rsidRPr="00984CD2">
              <w:rPr>
                <w:rFonts w:cstheme="minorHAnsi"/>
              </w:rPr>
              <w:t xml:space="preserve">World Health </w:t>
            </w:r>
            <w:proofErr w:type="gramStart"/>
            <w:r w:rsidRPr="00984CD2">
              <w:rPr>
                <w:rFonts w:cstheme="minorHAnsi"/>
              </w:rPr>
              <w:t>Organization .</w:t>
            </w:r>
            <w:proofErr w:type="gramEnd"/>
            <w:r w:rsidRPr="00984CD2">
              <w:rPr>
                <w:rFonts w:cstheme="minorHAnsi"/>
              </w:rPr>
              <w:t xml:space="preserve"> (2004). Promoting mental health: Concepts, emerging evidence, practice: Summary report. Geneva, Switzerland: Department of Mental Health and Substance Abuse in collaboration with the Victorian Health Promotion Foundation (VicHealth) and the University of Melbourne.</w:t>
            </w:r>
          </w:p>
          <w:p w14:paraId="4865B850" w14:textId="3476777E" w:rsidR="00615789" w:rsidRPr="00984CD2" w:rsidRDefault="00615789" w:rsidP="006607EF">
            <w:pPr>
              <w:spacing w:after="160" w:line="259" w:lineRule="auto"/>
              <w:ind w:left="720" w:hanging="720"/>
              <w:rPr>
                <w:rFonts w:cstheme="minorHAnsi"/>
              </w:rPr>
            </w:pPr>
          </w:p>
        </w:tc>
      </w:tr>
      <w:tr w:rsidR="00615789" w:rsidRPr="00984CD2" w14:paraId="3D8E3439" w14:textId="77777777" w:rsidTr="00615789">
        <w:tc>
          <w:tcPr>
            <w:tcW w:w="5000" w:type="pct"/>
            <w:hideMark/>
          </w:tcPr>
          <w:p w14:paraId="328121EC" w14:textId="141AB793" w:rsidR="00615789" w:rsidRPr="00984CD2" w:rsidRDefault="00615789" w:rsidP="006607EF">
            <w:pPr>
              <w:spacing w:after="160" w:line="259" w:lineRule="auto"/>
              <w:ind w:left="720" w:hanging="720"/>
              <w:rPr>
                <w:rFonts w:cstheme="minorHAnsi"/>
              </w:rPr>
            </w:pPr>
            <w:r w:rsidRPr="00984CD2">
              <w:rPr>
                <w:rFonts w:cstheme="minorHAnsi"/>
              </w:rPr>
              <w:lastRenderedPageBreak/>
              <w:t>Yiengprugsawan, V., Welsh, J., Kendig, H. (2018). Social capital dynamics and health in mid to later life: Findings from Australia. Quality of Life Research, 27, 1277-1282. doi:</w:t>
            </w:r>
            <w:hyperlink r:id="rId104" w:tgtFrame="_blank" w:history="1">
              <w:r w:rsidRPr="00984CD2">
                <w:rPr>
                  <w:rStyle w:val="Hyperlink"/>
                  <w:rFonts w:cstheme="minorHAnsi"/>
                </w:rPr>
                <w:t>10.1007/s11136-017-1655-9</w:t>
              </w:r>
            </w:hyperlink>
          </w:p>
          <w:p w14:paraId="1EFF272A" w14:textId="1A5A4193" w:rsidR="00615789" w:rsidRPr="00984CD2" w:rsidRDefault="00615789" w:rsidP="006607EF">
            <w:pPr>
              <w:spacing w:after="160" w:line="259" w:lineRule="auto"/>
              <w:ind w:left="720" w:hanging="720"/>
              <w:rPr>
                <w:rFonts w:cstheme="minorHAnsi"/>
              </w:rPr>
            </w:pPr>
          </w:p>
        </w:tc>
      </w:tr>
      <w:tr w:rsidR="00615789" w:rsidRPr="00984CD2" w14:paraId="69A4CCD7" w14:textId="77777777" w:rsidTr="00615789">
        <w:tc>
          <w:tcPr>
            <w:tcW w:w="5000" w:type="pct"/>
            <w:hideMark/>
          </w:tcPr>
          <w:p w14:paraId="3D09062D" w14:textId="600138A6" w:rsidR="00615789" w:rsidRPr="00984CD2" w:rsidRDefault="00615789" w:rsidP="006607EF">
            <w:pPr>
              <w:spacing w:after="160" w:line="259" w:lineRule="auto"/>
              <w:ind w:left="720" w:hanging="720"/>
              <w:rPr>
                <w:rFonts w:cstheme="minorHAnsi"/>
              </w:rPr>
            </w:pPr>
            <w:r w:rsidRPr="00984CD2">
              <w:rPr>
                <w:rFonts w:cstheme="minorHAnsi"/>
              </w:rPr>
              <w:t>Zhang, X., Xia, R., Wang, S., Xue, W., Yang, J., Sun, S., Zhuang, G. (2018). Relative contributions of different lifestyle factors to health-related quality of life in the elderly. International Journal of Environmental Research and Public Health, 15, 256. doi:</w:t>
            </w:r>
            <w:hyperlink r:id="rId105" w:tgtFrame="_blank" w:history="1">
              <w:r w:rsidRPr="00984CD2">
                <w:rPr>
                  <w:rStyle w:val="Hyperlink"/>
                  <w:rFonts w:cstheme="minorHAnsi"/>
                </w:rPr>
                <w:t>10.3390/ijerph15020256</w:t>
              </w:r>
            </w:hyperlink>
          </w:p>
          <w:p w14:paraId="1E3EC8A9" w14:textId="13925855" w:rsidR="00615789" w:rsidRPr="00984CD2" w:rsidRDefault="00615789" w:rsidP="006607EF">
            <w:pPr>
              <w:spacing w:after="160" w:line="259" w:lineRule="auto"/>
              <w:ind w:left="720" w:hanging="720"/>
              <w:rPr>
                <w:rFonts w:cstheme="minorHAnsi"/>
              </w:rPr>
            </w:pPr>
          </w:p>
        </w:tc>
      </w:tr>
      <w:tr w:rsidR="00615789" w:rsidRPr="00984CD2" w14:paraId="30D62F4D" w14:textId="77777777" w:rsidTr="00615789">
        <w:tc>
          <w:tcPr>
            <w:tcW w:w="5000" w:type="pct"/>
            <w:hideMark/>
          </w:tcPr>
          <w:p w14:paraId="7EA2F13A" w14:textId="29E725A0" w:rsidR="00615789" w:rsidRPr="00984CD2" w:rsidRDefault="00615789" w:rsidP="006607EF">
            <w:pPr>
              <w:spacing w:after="160" w:line="259" w:lineRule="auto"/>
              <w:ind w:left="720" w:hanging="720"/>
              <w:rPr>
                <w:rFonts w:cstheme="minorHAnsi"/>
              </w:rPr>
            </w:pPr>
            <w:r w:rsidRPr="00984CD2">
              <w:rPr>
                <w:rFonts w:cstheme="minorHAnsi"/>
              </w:rPr>
              <w:t>Zhang, Y., Qu, B., Lun, S., Guo, Y., Liu, J. (2012). The 36-item short for health survey: Reliability and validity in Chinese medical students. International Journal of Medical Sciences, 9, 521-526.</w:t>
            </w:r>
          </w:p>
          <w:p w14:paraId="4C0D2F23" w14:textId="1AED9C4A" w:rsidR="00615789" w:rsidRPr="00984CD2" w:rsidRDefault="00615789" w:rsidP="006607EF">
            <w:pPr>
              <w:spacing w:after="160" w:line="259" w:lineRule="auto"/>
              <w:ind w:left="720" w:hanging="720"/>
              <w:rPr>
                <w:rFonts w:cstheme="minorHAnsi"/>
              </w:rPr>
            </w:pPr>
          </w:p>
        </w:tc>
      </w:tr>
      <w:tr w:rsidR="00615789" w:rsidRPr="00984CD2" w14:paraId="7EDE1013" w14:textId="77777777" w:rsidTr="00615789">
        <w:tc>
          <w:tcPr>
            <w:tcW w:w="5000" w:type="pct"/>
            <w:hideMark/>
          </w:tcPr>
          <w:p w14:paraId="1AD743E7" w14:textId="239B457E" w:rsidR="00615789" w:rsidRPr="00984CD2" w:rsidRDefault="00615789" w:rsidP="006607EF">
            <w:pPr>
              <w:spacing w:after="160" w:line="259" w:lineRule="auto"/>
              <w:ind w:left="720" w:hanging="720"/>
              <w:rPr>
                <w:rFonts w:cstheme="minorHAnsi"/>
              </w:rPr>
            </w:pPr>
            <w:r w:rsidRPr="00984CD2">
              <w:rPr>
                <w:rFonts w:cstheme="minorHAnsi"/>
              </w:rPr>
              <w:t>Zuniga, M. A., Carrillo-Jimenez, G. T., Fos, P. J., Gandek, B., Medina-Moreno, M. C. (1999). Evaluacion del estado de salud de la encuesta SF-36: resultados preliminaries en Mexico [</w:t>
            </w:r>
            <w:r w:rsidRPr="00984CD2">
              <w:rPr>
                <w:rFonts w:cstheme="minorHAnsi"/>
                <w:lang w:val="en"/>
              </w:rPr>
              <w:t>Health assessment using the SF-36: preliminary results in Mexico</w:t>
            </w:r>
            <w:r w:rsidRPr="00984CD2">
              <w:rPr>
                <w:rFonts w:cstheme="minorHAnsi"/>
              </w:rPr>
              <w:t>]. Salud Publica de Mexico, 41, 110-118.</w:t>
            </w:r>
          </w:p>
          <w:p w14:paraId="4F54AF83" w14:textId="70FA87A2" w:rsidR="00615789" w:rsidRPr="00984CD2" w:rsidRDefault="00615789" w:rsidP="006607EF">
            <w:pPr>
              <w:spacing w:after="160" w:line="259" w:lineRule="auto"/>
              <w:ind w:left="720" w:hanging="720"/>
              <w:rPr>
                <w:rFonts w:cstheme="minorHAnsi"/>
              </w:rPr>
            </w:pPr>
          </w:p>
        </w:tc>
      </w:tr>
      <w:tr w:rsidR="00615789" w:rsidRPr="00984CD2" w14:paraId="21025836" w14:textId="77777777" w:rsidTr="00615789">
        <w:tc>
          <w:tcPr>
            <w:tcW w:w="5000" w:type="pct"/>
            <w:hideMark/>
          </w:tcPr>
          <w:p w14:paraId="46F430D6" w14:textId="56323E59" w:rsidR="00615789" w:rsidRPr="00984CD2" w:rsidRDefault="00615789" w:rsidP="006607EF">
            <w:pPr>
              <w:spacing w:after="160" w:line="259" w:lineRule="auto"/>
              <w:ind w:left="720" w:hanging="720"/>
              <w:rPr>
                <w:rFonts w:cstheme="minorHAnsi"/>
              </w:rPr>
            </w:pPr>
            <w:r w:rsidRPr="00984CD2">
              <w:rPr>
                <w:rFonts w:cstheme="minorHAnsi"/>
              </w:rPr>
              <w:t>Zunzunegui, M. V., Alvarado, B. E., Beland, F., Vissandjee, B. (2009). Explaining health differences between men and women in later life: A cross-city comparison in Latin America and the Caribbean. Social Science &amp; Medicine, 68, 235-242. doi:</w:t>
            </w:r>
            <w:hyperlink r:id="rId106" w:tgtFrame="_blank" w:history="1">
              <w:r w:rsidRPr="00984CD2">
                <w:rPr>
                  <w:rStyle w:val="Hyperlink"/>
                  <w:rFonts w:cstheme="minorHAnsi"/>
                </w:rPr>
                <w:t>10.1016/j.socscimed.2008.10.031</w:t>
              </w:r>
            </w:hyperlink>
            <w:r w:rsidRPr="00984CD2">
              <w:rPr>
                <w:rFonts w:cstheme="minorHAnsi"/>
              </w:rPr>
              <w:br/>
            </w:r>
          </w:p>
        </w:tc>
      </w:tr>
    </w:tbl>
    <w:p w14:paraId="0530B606" w14:textId="77777777" w:rsidR="00A07775" w:rsidRPr="00984CD2" w:rsidRDefault="00A07775" w:rsidP="00A07775">
      <w:pPr>
        <w:rPr>
          <w:rFonts w:cstheme="minorHAnsi"/>
        </w:rPr>
      </w:pPr>
    </w:p>
    <w:p w14:paraId="524357CC" w14:textId="77777777" w:rsidR="00265479" w:rsidRPr="00984CD2" w:rsidRDefault="00265479" w:rsidP="00265479">
      <w:pPr>
        <w:rPr>
          <w:rFonts w:cstheme="minorHAnsi"/>
        </w:rPr>
      </w:pPr>
    </w:p>
    <w:p w14:paraId="15360834" w14:textId="53436E8F" w:rsidR="00265479" w:rsidRPr="00984CD2" w:rsidRDefault="00265479" w:rsidP="00265479">
      <w:pPr>
        <w:rPr>
          <w:rFonts w:cstheme="minorHAnsi"/>
        </w:rPr>
      </w:pPr>
    </w:p>
    <w:p w14:paraId="5CF550BF" w14:textId="77777777" w:rsidR="00265479" w:rsidRPr="00984CD2" w:rsidRDefault="00265479" w:rsidP="00265479">
      <w:pPr>
        <w:rPr>
          <w:rFonts w:cstheme="minorHAnsi"/>
        </w:rPr>
      </w:pPr>
    </w:p>
    <w:p w14:paraId="01A5DE07" w14:textId="77777777" w:rsidR="00265479" w:rsidRPr="00984CD2" w:rsidRDefault="00265479" w:rsidP="00265479">
      <w:pPr>
        <w:rPr>
          <w:rFonts w:cstheme="minorHAnsi"/>
        </w:rPr>
      </w:pPr>
    </w:p>
    <w:p w14:paraId="162FA208" w14:textId="77777777" w:rsidR="00AA0081" w:rsidRPr="00984CD2" w:rsidRDefault="00AA0081" w:rsidP="00AA0081">
      <w:pPr>
        <w:rPr>
          <w:rFonts w:cstheme="minorHAnsi"/>
        </w:rPr>
      </w:pPr>
    </w:p>
    <w:p w14:paraId="56E3E3AC" w14:textId="77777777" w:rsidR="00EA0C4A" w:rsidRPr="00984CD2" w:rsidRDefault="00EA0C4A" w:rsidP="00F750AF">
      <w:pPr>
        <w:rPr>
          <w:rFonts w:cstheme="minorHAnsi"/>
        </w:rPr>
      </w:pPr>
    </w:p>
    <w:p w14:paraId="456AC68C" w14:textId="77777777" w:rsidR="00F750AF" w:rsidRPr="00984CD2" w:rsidRDefault="00F750AF" w:rsidP="00BD359E">
      <w:pPr>
        <w:rPr>
          <w:rFonts w:cstheme="minorHAnsi"/>
        </w:rPr>
      </w:pPr>
    </w:p>
    <w:sectPr w:rsidR="00F750AF" w:rsidRPr="00984CD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adcneZgetmD9gUZ6yPLNb8ezs9S8dXb2THr6Jvtx2WWT0Ziy6HkJBHAos2sxkM06pJy0BtTdAIUfiOQJnphhzA==" w:salt="a1SFsA5wrG4+U6IqGgqe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5257"/>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2E35"/>
    <w:rsid w:val="001233A5"/>
    <w:rsid w:val="00123BC0"/>
    <w:rsid w:val="00123E80"/>
    <w:rsid w:val="00131A15"/>
    <w:rsid w:val="00131C28"/>
    <w:rsid w:val="00134CF7"/>
    <w:rsid w:val="0013555B"/>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6586"/>
    <w:rsid w:val="00196C7C"/>
    <w:rsid w:val="001A1C71"/>
    <w:rsid w:val="001A1DF4"/>
    <w:rsid w:val="001A34C4"/>
    <w:rsid w:val="001B6E76"/>
    <w:rsid w:val="001C3A3F"/>
    <w:rsid w:val="001D1087"/>
    <w:rsid w:val="001D2448"/>
    <w:rsid w:val="001D2A47"/>
    <w:rsid w:val="001D3ADE"/>
    <w:rsid w:val="001D58D3"/>
    <w:rsid w:val="001D776C"/>
    <w:rsid w:val="001D7BCC"/>
    <w:rsid w:val="001E18FE"/>
    <w:rsid w:val="001E6FA8"/>
    <w:rsid w:val="001E7D68"/>
    <w:rsid w:val="001F70BC"/>
    <w:rsid w:val="001F7FBE"/>
    <w:rsid w:val="002016B1"/>
    <w:rsid w:val="00201875"/>
    <w:rsid w:val="00201AFD"/>
    <w:rsid w:val="00201FDC"/>
    <w:rsid w:val="002022D8"/>
    <w:rsid w:val="00206486"/>
    <w:rsid w:val="00206CC8"/>
    <w:rsid w:val="00211422"/>
    <w:rsid w:val="00212109"/>
    <w:rsid w:val="00224240"/>
    <w:rsid w:val="00226FA2"/>
    <w:rsid w:val="00231D45"/>
    <w:rsid w:val="0024134B"/>
    <w:rsid w:val="00251132"/>
    <w:rsid w:val="002535DF"/>
    <w:rsid w:val="002558EB"/>
    <w:rsid w:val="00255B43"/>
    <w:rsid w:val="00255BDC"/>
    <w:rsid w:val="00255BEA"/>
    <w:rsid w:val="00261403"/>
    <w:rsid w:val="00261F59"/>
    <w:rsid w:val="00265479"/>
    <w:rsid w:val="00272AF4"/>
    <w:rsid w:val="00276C06"/>
    <w:rsid w:val="00280198"/>
    <w:rsid w:val="00282094"/>
    <w:rsid w:val="002843BC"/>
    <w:rsid w:val="00284A84"/>
    <w:rsid w:val="00287817"/>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C35"/>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833"/>
    <w:rsid w:val="003B47FA"/>
    <w:rsid w:val="003B6208"/>
    <w:rsid w:val="003B7F8F"/>
    <w:rsid w:val="003C4172"/>
    <w:rsid w:val="003C437D"/>
    <w:rsid w:val="003C4456"/>
    <w:rsid w:val="003D3301"/>
    <w:rsid w:val="003D4641"/>
    <w:rsid w:val="003E05B7"/>
    <w:rsid w:val="003E0C0A"/>
    <w:rsid w:val="003E6CFF"/>
    <w:rsid w:val="003F113C"/>
    <w:rsid w:val="004004BD"/>
    <w:rsid w:val="004010E3"/>
    <w:rsid w:val="004033C7"/>
    <w:rsid w:val="004055B8"/>
    <w:rsid w:val="0040709D"/>
    <w:rsid w:val="004122F9"/>
    <w:rsid w:val="004124D3"/>
    <w:rsid w:val="004139BA"/>
    <w:rsid w:val="00421CBC"/>
    <w:rsid w:val="0043008C"/>
    <w:rsid w:val="00430B91"/>
    <w:rsid w:val="004374EF"/>
    <w:rsid w:val="0043792A"/>
    <w:rsid w:val="00440F61"/>
    <w:rsid w:val="004441CB"/>
    <w:rsid w:val="00450DB8"/>
    <w:rsid w:val="004518FC"/>
    <w:rsid w:val="00453D2C"/>
    <w:rsid w:val="00454851"/>
    <w:rsid w:val="00456070"/>
    <w:rsid w:val="00456B26"/>
    <w:rsid w:val="004570E7"/>
    <w:rsid w:val="00460A1D"/>
    <w:rsid w:val="00461332"/>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531E"/>
    <w:rsid w:val="00497E47"/>
    <w:rsid w:val="004A0368"/>
    <w:rsid w:val="004A2715"/>
    <w:rsid w:val="004A2894"/>
    <w:rsid w:val="004A2B41"/>
    <w:rsid w:val="004A2FC0"/>
    <w:rsid w:val="004A3B3E"/>
    <w:rsid w:val="004B2226"/>
    <w:rsid w:val="004B5ACD"/>
    <w:rsid w:val="004B6BED"/>
    <w:rsid w:val="004B77C2"/>
    <w:rsid w:val="004C0B3D"/>
    <w:rsid w:val="004C2D7B"/>
    <w:rsid w:val="004C45D2"/>
    <w:rsid w:val="004C5EEF"/>
    <w:rsid w:val="004D118A"/>
    <w:rsid w:val="004D1CB9"/>
    <w:rsid w:val="004D21C9"/>
    <w:rsid w:val="004D7CF9"/>
    <w:rsid w:val="004E34F8"/>
    <w:rsid w:val="004E3C84"/>
    <w:rsid w:val="004E528B"/>
    <w:rsid w:val="004E7899"/>
    <w:rsid w:val="004F146C"/>
    <w:rsid w:val="004F1F3C"/>
    <w:rsid w:val="0050408D"/>
    <w:rsid w:val="00504C6A"/>
    <w:rsid w:val="00510364"/>
    <w:rsid w:val="005116C9"/>
    <w:rsid w:val="00511BEE"/>
    <w:rsid w:val="005175E9"/>
    <w:rsid w:val="00520368"/>
    <w:rsid w:val="005246EE"/>
    <w:rsid w:val="0052658A"/>
    <w:rsid w:val="00533270"/>
    <w:rsid w:val="00540146"/>
    <w:rsid w:val="00540435"/>
    <w:rsid w:val="00543C22"/>
    <w:rsid w:val="0054405B"/>
    <w:rsid w:val="0054567F"/>
    <w:rsid w:val="00546B44"/>
    <w:rsid w:val="00553291"/>
    <w:rsid w:val="005546FF"/>
    <w:rsid w:val="00556B72"/>
    <w:rsid w:val="00560447"/>
    <w:rsid w:val="005605E4"/>
    <w:rsid w:val="00563D7B"/>
    <w:rsid w:val="00563E3B"/>
    <w:rsid w:val="005643C8"/>
    <w:rsid w:val="005673D1"/>
    <w:rsid w:val="00570F38"/>
    <w:rsid w:val="00573955"/>
    <w:rsid w:val="00580E33"/>
    <w:rsid w:val="00583225"/>
    <w:rsid w:val="00586728"/>
    <w:rsid w:val="0058724D"/>
    <w:rsid w:val="00596103"/>
    <w:rsid w:val="00596593"/>
    <w:rsid w:val="00596A35"/>
    <w:rsid w:val="005979CD"/>
    <w:rsid w:val="005A12F0"/>
    <w:rsid w:val="005A5291"/>
    <w:rsid w:val="005A53E1"/>
    <w:rsid w:val="005A6FD1"/>
    <w:rsid w:val="005B08F1"/>
    <w:rsid w:val="005B47BC"/>
    <w:rsid w:val="005C00EC"/>
    <w:rsid w:val="005C15C9"/>
    <w:rsid w:val="005C30E9"/>
    <w:rsid w:val="005C3A57"/>
    <w:rsid w:val="005C663B"/>
    <w:rsid w:val="005D1C38"/>
    <w:rsid w:val="005D1ED6"/>
    <w:rsid w:val="005D3671"/>
    <w:rsid w:val="005D767A"/>
    <w:rsid w:val="005E2628"/>
    <w:rsid w:val="005E5F66"/>
    <w:rsid w:val="005F46EC"/>
    <w:rsid w:val="005F48AF"/>
    <w:rsid w:val="005F49C9"/>
    <w:rsid w:val="005F71CE"/>
    <w:rsid w:val="005F7A68"/>
    <w:rsid w:val="00601980"/>
    <w:rsid w:val="0060332C"/>
    <w:rsid w:val="00604C5A"/>
    <w:rsid w:val="00606F7D"/>
    <w:rsid w:val="006073C7"/>
    <w:rsid w:val="00607F1D"/>
    <w:rsid w:val="00612DE8"/>
    <w:rsid w:val="00614BF8"/>
    <w:rsid w:val="00615789"/>
    <w:rsid w:val="00615A83"/>
    <w:rsid w:val="00620EA0"/>
    <w:rsid w:val="00623E47"/>
    <w:rsid w:val="00624CD2"/>
    <w:rsid w:val="0062795C"/>
    <w:rsid w:val="00631A06"/>
    <w:rsid w:val="00633D28"/>
    <w:rsid w:val="00633F1B"/>
    <w:rsid w:val="0063478A"/>
    <w:rsid w:val="00634D07"/>
    <w:rsid w:val="00635799"/>
    <w:rsid w:val="00636A77"/>
    <w:rsid w:val="0064051B"/>
    <w:rsid w:val="00645D2C"/>
    <w:rsid w:val="00650724"/>
    <w:rsid w:val="006514D5"/>
    <w:rsid w:val="006517B5"/>
    <w:rsid w:val="00652076"/>
    <w:rsid w:val="00653DA3"/>
    <w:rsid w:val="00654D37"/>
    <w:rsid w:val="006607EF"/>
    <w:rsid w:val="006621F0"/>
    <w:rsid w:val="006647E7"/>
    <w:rsid w:val="00666FD4"/>
    <w:rsid w:val="00667217"/>
    <w:rsid w:val="006702C6"/>
    <w:rsid w:val="006769E6"/>
    <w:rsid w:val="00676C63"/>
    <w:rsid w:val="00682333"/>
    <w:rsid w:val="006844CA"/>
    <w:rsid w:val="006847F8"/>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E7D99"/>
    <w:rsid w:val="006F24E3"/>
    <w:rsid w:val="006F7B68"/>
    <w:rsid w:val="007065D3"/>
    <w:rsid w:val="007071B1"/>
    <w:rsid w:val="00707EC1"/>
    <w:rsid w:val="00710582"/>
    <w:rsid w:val="00714EE9"/>
    <w:rsid w:val="007246B0"/>
    <w:rsid w:val="007258CB"/>
    <w:rsid w:val="00727115"/>
    <w:rsid w:val="00730E29"/>
    <w:rsid w:val="00732FF6"/>
    <w:rsid w:val="00735393"/>
    <w:rsid w:val="007428C7"/>
    <w:rsid w:val="00743AA0"/>
    <w:rsid w:val="00745E32"/>
    <w:rsid w:val="007466F7"/>
    <w:rsid w:val="00757D89"/>
    <w:rsid w:val="0076194B"/>
    <w:rsid w:val="00763676"/>
    <w:rsid w:val="0076772B"/>
    <w:rsid w:val="00772776"/>
    <w:rsid w:val="00776E56"/>
    <w:rsid w:val="00781619"/>
    <w:rsid w:val="0079146B"/>
    <w:rsid w:val="00791DD5"/>
    <w:rsid w:val="00796875"/>
    <w:rsid w:val="0079756E"/>
    <w:rsid w:val="00797E21"/>
    <w:rsid w:val="007A1233"/>
    <w:rsid w:val="007A258F"/>
    <w:rsid w:val="007A3B3A"/>
    <w:rsid w:val="007B0BBA"/>
    <w:rsid w:val="007C16F7"/>
    <w:rsid w:val="007D25DB"/>
    <w:rsid w:val="007D51E8"/>
    <w:rsid w:val="007D655B"/>
    <w:rsid w:val="007D762B"/>
    <w:rsid w:val="007D7C64"/>
    <w:rsid w:val="007E0A1E"/>
    <w:rsid w:val="007E2E07"/>
    <w:rsid w:val="007E2F9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4E84"/>
    <w:rsid w:val="00816489"/>
    <w:rsid w:val="00817C16"/>
    <w:rsid w:val="00820049"/>
    <w:rsid w:val="0082013E"/>
    <w:rsid w:val="00822617"/>
    <w:rsid w:val="00824B15"/>
    <w:rsid w:val="00830DDB"/>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AB7"/>
    <w:rsid w:val="0089642A"/>
    <w:rsid w:val="008A04A4"/>
    <w:rsid w:val="008A1743"/>
    <w:rsid w:val="008A23DD"/>
    <w:rsid w:val="008A6C51"/>
    <w:rsid w:val="008B15CF"/>
    <w:rsid w:val="008B2242"/>
    <w:rsid w:val="008B4AD1"/>
    <w:rsid w:val="008B6D93"/>
    <w:rsid w:val="008B7AF1"/>
    <w:rsid w:val="008C3543"/>
    <w:rsid w:val="008C78E1"/>
    <w:rsid w:val="008D032F"/>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282C"/>
    <w:rsid w:val="00915110"/>
    <w:rsid w:val="009151B5"/>
    <w:rsid w:val="00916ADA"/>
    <w:rsid w:val="00916C64"/>
    <w:rsid w:val="00925107"/>
    <w:rsid w:val="00925421"/>
    <w:rsid w:val="00925F07"/>
    <w:rsid w:val="009267EE"/>
    <w:rsid w:val="00927998"/>
    <w:rsid w:val="009302E4"/>
    <w:rsid w:val="00932185"/>
    <w:rsid w:val="009346E4"/>
    <w:rsid w:val="00935F23"/>
    <w:rsid w:val="009372D8"/>
    <w:rsid w:val="00937D12"/>
    <w:rsid w:val="00940ED2"/>
    <w:rsid w:val="00946997"/>
    <w:rsid w:val="0094737A"/>
    <w:rsid w:val="00950094"/>
    <w:rsid w:val="0095139E"/>
    <w:rsid w:val="00951536"/>
    <w:rsid w:val="0095261B"/>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4CD2"/>
    <w:rsid w:val="00986A83"/>
    <w:rsid w:val="00990645"/>
    <w:rsid w:val="009944DF"/>
    <w:rsid w:val="009A130B"/>
    <w:rsid w:val="009A177A"/>
    <w:rsid w:val="009A2639"/>
    <w:rsid w:val="009A397F"/>
    <w:rsid w:val="009B16E7"/>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74AA"/>
    <w:rsid w:val="00A07775"/>
    <w:rsid w:val="00A11F34"/>
    <w:rsid w:val="00A1350A"/>
    <w:rsid w:val="00A13900"/>
    <w:rsid w:val="00A1725A"/>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67D59"/>
    <w:rsid w:val="00A707E3"/>
    <w:rsid w:val="00A7290A"/>
    <w:rsid w:val="00A75006"/>
    <w:rsid w:val="00A81E28"/>
    <w:rsid w:val="00A82932"/>
    <w:rsid w:val="00A82D07"/>
    <w:rsid w:val="00A868FB"/>
    <w:rsid w:val="00A915ED"/>
    <w:rsid w:val="00A91CF2"/>
    <w:rsid w:val="00A93BA4"/>
    <w:rsid w:val="00A9416E"/>
    <w:rsid w:val="00AA0081"/>
    <w:rsid w:val="00AA493D"/>
    <w:rsid w:val="00AB4807"/>
    <w:rsid w:val="00AB4813"/>
    <w:rsid w:val="00AB64DF"/>
    <w:rsid w:val="00AC0052"/>
    <w:rsid w:val="00AC04D6"/>
    <w:rsid w:val="00AD0685"/>
    <w:rsid w:val="00AD38C1"/>
    <w:rsid w:val="00AD5A78"/>
    <w:rsid w:val="00AE1517"/>
    <w:rsid w:val="00AE4078"/>
    <w:rsid w:val="00AE4230"/>
    <w:rsid w:val="00AE69D7"/>
    <w:rsid w:val="00AE71AA"/>
    <w:rsid w:val="00AF1374"/>
    <w:rsid w:val="00AF1E8A"/>
    <w:rsid w:val="00AF2DE8"/>
    <w:rsid w:val="00AF36FE"/>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B3D"/>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1D4"/>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04DC"/>
    <w:rsid w:val="00BC168F"/>
    <w:rsid w:val="00BC1E95"/>
    <w:rsid w:val="00BC2262"/>
    <w:rsid w:val="00BC3D81"/>
    <w:rsid w:val="00BC420A"/>
    <w:rsid w:val="00BC540B"/>
    <w:rsid w:val="00BC7302"/>
    <w:rsid w:val="00BD01F3"/>
    <w:rsid w:val="00BD0D8D"/>
    <w:rsid w:val="00BD359E"/>
    <w:rsid w:val="00BD439F"/>
    <w:rsid w:val="00BD4F14"/>
    <w:rsid w:val="00BE2644"/>
    <w:rsid w:val="00BE42F3"/>
    <w:rsid w:val="00BE551C"/>
    <w:rsid w:val="00BF2B07"/>
    <w:rsid w:val="00BF6ECD"/>
    <w:rsid w:val="00BF790B"/>
    <w:rsid w:val="00C01E67"/>
    <w:rsid w:val="00C05302"/>
    <w:rsid w:val="00C06A01"/>
    <w:rsid w:val="00C06B6B"/>
    <w:rsid w:val="00C06F37"/>
    <w:rsid w:val="00C0799A"/>
    <w:rsid w:val="00C11B9C"/>
    <w:rsid w:val="00C13438"/>
    <w:rsid w:val="00C170FF"/>
    <w:rsid w:val="00C173E1"/>
    <w:rsid w:val="00C2019E"/>
    <w:rsid w:val="00C27AEF"/>
    <w:rsid w:val="00C3110E"/>
    <w:rsid w:val="00C3466C"/>
    <w:rsid w:val="00C355FF"/>
    <w:rsid w:val="00C41A64"/>
    <w:rsid w:val="00C46B0A"/>
    <w:rsid w:val="00C47122"/>
    <w:rsid w:val="00C47959"/>
    <w:rsid w:val="00C47CEA"/>
    <w:rsid w:val="00C515E0"/>
    <w:rsid w:val="00C531A3"/>
    <w:rsid w:val="00C53A59"/>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640C"/>
    <w:rsid w:val="00D101DD"/>
    <w:rsid w:val="00D14423"/>
    <w:rsid w:val="00D15F27"/>
    <w:rsid w:val="00D17394"/>
    <w:rsid w:val="00D17B7F"/>
    <w:rsid w:val="00D21541"/>
    <w:rsid w:val="00D239C7"/>
    <w:rsid w:val="00D23FFF"/>
    <w:rsid w:val="00D260B4"/>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2D59"/>
    <w:rsid w:val="00D73164"/>
    <w:rsid w:val="00D73DB3"/>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2AA1"/>
    <w:rsid w:val="00DC4F7C"/>
    <w:rsid w:val="00DC7134"/>
    <w:rsid w:val="00DC7C2C"/>
    <w:rsid w:val="00DD2256"/>
    <w:rsid w:val="00DD4B55"/>
    <w:rsid w:val="00DD5871"/>
    <w:rsid w:val="00DE2F66"/>
    <w:rsid w:val="00DE4173"/>
    <w:rsid w:val="00DE4592"/>
    <w:rsid w:val="00DE66D6"/>
    <w:rsid w:val="00DF505D"/>
    <w:rsid w:val="00DF6125"/>
    <w:rsid w:val="00E05D1F"/>
    <w:rsid w:val="00E12ED7"/>
    <w:rsid w:val="00E13E05"/>
    <w:rsid w:val="00E15784"/>
    <w:rsid w:val="00E16734"/>
    <w:rsid w:val="00E179BE"/>
    <w:rsid w:val="00E20060"/>
    <w:rsid w:val="00E20401"/>
    <w:rsid w:val="00E264D8"/>
    <w:rsid w:val="00E319F9"/>
    <w:rsid w:val="00E31F35"/>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74BB"/>
    <w:rsid w:val="00E7043E"/>
    <w:rsid w:val="00E747D9"/>
    <w:rsid w:val="00E75D5D"/>
    <w:rsid w:val="00E766CA"/>
    <w:rsid w:val="00E81F85"/>
    <w:rsid w:val="00E8413D"/>
    <w:rsid w:val="00E84C2A"/>
    <w:rsid w:val="00E90CA1"/>
    <w:rsid w:val="00E91D25"/>
    <w:rsid w:val="00E95F4D"/>
    <w:rsid w:val="00E96BB5"/>
    <w:rsid w:val="00E97067"/>
    <w:rsid w:val="00EA0C4A"/>
    <w:rsid w:val="00EA6E8E"/>
    <w:rsid w:val="00EA7978"/>
    <w:rsid w:val="00EA7D19"/>
    <w:rsid w:val="00EB420D"/>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F4F"/>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50AF"/>
    <w:rsid w:val="00F76222"/>
    <w:rsid w:val="00F83712"/>
    <w:rsid w:val="00F86BEC"/>
    <w:rsid w:val="00F927B9"/>
    <w:rsid w:val="00F930C5"/>
    <w:rsid w:val="00F9447B"/>
    <w:rsid w:val="00F944E0"/>
    <w:rsid w:val="00F94DE7"/>
    <w:rsid w:val="00F95C39"/>
    <w:rsid w:val="00FA124F"/>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15F8"/>
    <w:rsid w:val="00FE2208"/>
    <w:rsid w:val="00FE2769"/>
    <w:rsid w:val="00FE2DF0"/>
    <w:rsid w:val="00FE2ED0"/>
    <w:rsid w:val="00FE3C8C"/>
    <w:rsid w:val="00FE430B"/>
    <w:rsid w:val="00FE451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D68"/>
    <w:rPr>
      <w:color w:val="0563C1" w:themeColor="hyperlink"/>
      <w:u w:val="single"/>
    </w:rPr>
  </w:style>
  <w:style w:type="character" w:styleId="UnresolvedMention">
    <w:name w:val="Unresolved Mention"/>
    <w:basedOn w:val="DefaultParagraphFont"/>
    <w:uiPriority w:val="99"/>
    <w:semiHidden/>
    <w:unhideWhenUsed/>
    <w:rsid w:val="001E7D68"/>
    <w:rPr>
      <w:color w:val="605E5C"/>
      <w:shd w:val="clear" w:color="auto" w:fill="E1DFDD"/>
    </w:rPr>
  </w:style>
  <w:style w:type="paragraph" w:styleId="NormalWeb">
    <w:name w:val="Normal (Web)"/>
    <w:basedOn w:val="Normal"/>
    <w:uiPriority w:val="99"/>
    <w:semiHidden/>
    <w:unhideWhenUsed/>
    <w:rsid w:val="00EA0C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
    <w:name w:val="figure"/>
    <w:basedOn w:val="DefaultParagraphFont"/>
    <w:rsid w:val="00EA0C4A"/>
  </w:style>
  <w:style w:type="paragraph" w:customStyle="1" w:styleId="msonormal0">
    <w:name w:val="msonormal"/>
    <w:basedOn w:val="Normal"/>
    <w:rsid w:val="005246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year">
    <w:name w:val="nlm_year"/>
    <w:basedOn w:val="DefaultParagraphFont"/>
    <w:rsid w:val="005246EE"/>
  </w:style>
  <w:style w:type="character" w:customStyle="1" w:styleId="nlmarticle-title">
    <w:name w:val="nlm_article-title"/>
    <w:basedOn w:val="DefaultParagraphFont"/>
    <w:rsid w:val="005246EE"/>
  </w:style>
  <w:style w:type="character" w:customStyle="1" w:styleId="nlmfpage">
    <w:name w:val="nlm_fpage"/>
    <w:basedOn w:val="DefaultParagraphFont"/>
    <w:rsid w:val="005246EE"/>
  </w:style>
  <w:style w:type="character" w:customStyle="1" w:styleId="nlmlpage">
    <w:name w:val="nlm_lpage"/>
    <w:basedOn w:val="DefaultParagraphFont"/>
    <w:rsid w:val="005246EE"/>
  </w:style>
  <w:style w:type="character" w:customStyle="1" w:styleId="ref-google">
    <w:name w:val="ref-google"/>
    <w:basedOn w:val="DefaultParagraphFont"/>
    <w:rsid w:val="005246EE"/>
  </w:style>
  <w:style w:type="character" w:styleId="FollowedHyperlink">
    <w:name w:val="FollowedHyperlink"/>
    <w:basedOn w:val="DefaultParagraphFont"/>
    <w:uiPriority w:val="99"/>
    <w:semiHidden/>
    <w:unhideWhenUsed/>
    <w:rsid w:val="005246EE"/>
    <w:rPr>
      <w:color w:val="800080"/>
      <w:u w:val="single"/>
    </w:rPr>
  </w:style>
  <w:style w:type="character" w:customStyle="1" w:styleId="ref-xlink">
    <w:name w:val="ref-xlink"/>
    <w:basedOn w:val="DefaultParagraphFont"/>
    <w:rsid w:val="005246EE"/>
  </w:style>
  <w:style w:type="character" w:customStyle="1" w:styleId="ref-sfxlink">
    <w:name w:val="ref-sfxlink"/>
    <w:basedOn w:val="DefaultParagraphFont"/>
    <w:rsid w:val="005246EE"/>
  </w:style>
  <w:style w:type="character" w:customStyle="1" w:styleId="nlmpublisher-loc">
    <w:name w:val="nlm_publisher-loc"/>
    <w:basedOn w:val="DefaultParagraphFont"/>
    <w:rsid w:val="005246EE"/>
  </w:style>
  <w:style w:type="character" w:customStyle="1" w:styleId="nlmpublisher-name">
    <w:name w:val="nlm_publisher-name"/>
    <w:basedOn w:val="DefaultParagraphFont"/>
    <w:rsid w:val="005246EE"/>
  </w:style>
  <w:style w:type="character" w:customStyle="1" w:styleId="nlmtrans-title">
    <w:name w:val="nlm_trans-title"/>
    <w:basedOn w:val="DefaultParagraphFont"/>
    <w:rsid w:val="005246EE"/>
  </w:style>
  <w:style w:type="character" w:customStyle="1" w:styleId="nlmedition">
    <w:name w:val="nlm_edition"/>
    <w:basedOn w:val="DefaultParagraphFont"/>
    <w:rsid w:val="005246EE"/>
  </w:style>
  <w:style w:type="table" w:styleId="TableGridLight">
    <w:name w:val="Grid Table Light"/>
    <w:basedOn w:val="TableNormal"/>
    <w:uiPriority w:val="40"/>
    <w:rsid w:val="00A074A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3499">
      <w:bodyDiv w:val="1"/>
      <w:marLeft w:val="0"/>
      <w:marRight w:val="0"/>
      <w:marTop w:val="0"/>
      <w:marBottom w:val="0"/>
      <w:divBdr>
        <w:top w:val="none" w:sz="0" w:space="0" w:color="auto"/>
        <w:left w:val="none" w:sz="0" w:space="0" w:color="auto"/>
        <w:bottom w:val="none" w:sz="0" w:space="0" w:color="auto"/>
        <w:right w:val="none" w:sz="0" w:space="0" w:color="auto"/>
      </w:divBdr>
    </w:div>
    <w:div w:id="93282145">
      <w:bodyDiv w:val="1"/>
      <w:marLeft w:val="0"/>
      <w:marRight w:val="0"/>
      <w:marTop w:val="0"/>
      <w:marBottom w:val="0"/>
      <w:divBdr>
        <w:top w:val="none" w:sz="0" w:space="0" w:color="auto"/>
        <w:left w:val="none" w:sz="0" w:space="0" w:color="auto"/>
        <w:bottom w:val="none" w:sz="0" w:space="0" w:color="auto"/>
        <w:right w:val="none" w:sz="0" w:space="0" w:color="auto"/>
      </w:divBdr>
      <w:divsChild>
        <w:div w:id="400761815">
          <w:marLeft w:val="300"/>
          <w:marRight w:val="0"/>
          <w:marTop w:val="0"/>
          <w:marBottom w:val="0"/>
          <w:divBdr>
            <w:top w:val="none" w:sz="0" w:space="0" w:color="auto"/>
            <w:left w:val="none" w:sz="0" w:space="0" w:color="auto"/>
            <w:bottom w:val="none" w:sz="0" w:space="0" w:color="auto"/>
            <w:right w:val="none" w:sz="0" w:space="0" w:color="auto"/>
          </w:divBdr>
        </w:div>
      </w:divsChild>
    </w:div>
    <w:div w:id="129983313">
      <w:bodyDiv w:val="1"/>
      <w:marLeft w:val="0"/>
      <w:marRight w:val="0"/>
      <w:marTop w:val="0"/>
      <w:marBottom w:val="0"/>
      <w:divBdr>
        <w:top w:val="none" w:sz="0" w:space="0" w:color="auto"/>
        <w:left w:val="none" w:sz="0" w:space="0" w:color="auto"/>
        <w:bottom w:val="none" w:sz="0" w:space="0" w:color="auto"/>
        <w:right w:val="none" w:sz="0" w:space="0" w:color="auto"/>
      </w:divBdr>
    </w:div>
    <w:div w:id="150144458">
      <w:bodyDiv w:val="1"/>
      <w:marLeft w:val="0"/>
      <w:marRight w:val="0"/>
      <w:marTop w:val="0"/>
      <w:marBottom w:val="0"/>
      <w:divBdr>
        <w:top w:val="none" w:sz="0" w:space="0" w:color="auto"/>
        <w:left w:val="none" w:sz="0" w:space="0" w:color="auto"/>
        <w:bottom w:val="none" w:sz="0" w:space="0" w:color="auto"/>
        <w:right w:val="none" w:sz="0" w:space="0" w:color="auto"/>
      </w:divBdr>
      <w:divsChild>
        <w:div w:id="882909773">
          <w:marLeft w:val="300"/>
          <w:marRight w:val="0"/>
          <w:marTop w:val="0"/>
          <w:marBottom w:val="0"/>
          <w:divBdr>
            <w:top w:val="none" w:sz="0" w:space="0" w:color="auto"/>
            <w:left w:val="none" w:sz="0" w:space="0" w:color="auto"/>
            <w:bottom w:val="none" w:sz="0" w:space="0" w:color="auto"/>
            <w:right w:val="none" w:sz="0" w:space="0" w:color="auto"/>
          </w:divBdr>
        </w:div>
      </w:divsChild>
    </w:div>
    <w:div w:id="241107871">
      <w:bodyDiv w:val="1"/>
      <w:marLeft w:val="0"/>
      <w:marRight w:val="0"/>
      <w:marTop w:val="0"/>
      <w:marBottom w:val="0"/>
      <w:divBdr>
        <w:top w:val="none" w:sz="0" w:space="0" w:color="auto"/>
        <w:left w:val="none" w:sz="0" w:space="0" w:color="auto"/>
        <w:bottom w:val="none" w:sz="0" w:space="0" w:color="auto"/>
        <w:right w:val="none" w:sz="0" w:space="0" w:color="auto"/>
      </w:divBdr>
    </w:div>
    <w:div w:id="342980075">
      <w:bodyDiv w:val="1"/>
      <w:marLeft w:val="0"/>
      <w:marRight w:val="0"/>
      <w:marTop w:val="0"/>
      <w:marBottom w:val="0"/>
      <w:divBdr>
        <w:top w:val="none" w:sz="0" w:space="0" w:color="auto"/>
        <w:left w:val="none" w:sz="0" w:space="0" w:color="auto"/>
        <w:bottom w:val="none" w:sz="0" w:space="0" w:color="auto"/>
        <w:right w:val="none" w:sz="0" w:space="0" w:color="auto"/>
      </w:divBdr>
      <w:divsChild>
        <w:div w:id="138881900">
          <w:marLeft w:val="0"/>
          <w:marRight w:val="0"/>
          <w:marTop w:val="0"/>
          <w:marBottom w:val="0"/>
          <w:divBdr>
            <w:top w:val="none" w:sz="0" w:space="0" w:color="auto"/>
            <w:left w:val="none" w:sz="0" w:space="0" w:color="auto"/>
            <w:bottom w:val="none" w:sz="0" w:space="0" w:color="auto"/>
            <w:right w:val="none" w:sz="0" w:space="0" w:color="auto"/>
          </w:divBdr>
        </w:div>
        <w:div w:id="1958828235">
          <w:marLeft w:val="0"/>
          <w:marRight w:val="0"/>
          <w:marTop w:val="240"/>
          <w:marBottom w:val="0"/>
          <w:divBdr>
            <w:top w:val="none" w:sz="0" w:space="0" w:color="auto"/>
            <w:left w:val="none" w:sz="0" w:space="0" w:color="auto"/>
            <w:bottom w:val="none" w:sz="0" w:space="0" w:color="auto"/>
            <w:right w:val="none" w:sz="0" w:space="0" w:color="auto"/>
          </w:divBdr>
          <w:divsChild>
            <w:div w:id="1563978839">
              <w:marLeft w:val="0"/>
              <w:marRight w:val="0"/>
              <w:marTop w:val="0"/>
              <w:marBottom w:val="0"/>
              <w:divBdr>
                <w:top w:val="none" w:sz="0" w:space="0" w:color="auto"/>
                <w:left w:val="none" w:sz="0" w:space="0" w:color="auto"/>
                <w:bottom w:val="none" w:sz="0" w:space="0" w:color="auto"/>
                <w:right w:val="none" w:sz="0" w:space="0" w:color="auto"/>
              </w:divBdr>
              <w:divsChild>
                <w:div w:id="38171024">
                  <w:marLeft w:val="0"/>
                  <w:marRight w:val="0"/>
                  <w:marTop w:val="0"/>
                  <w:marBottom w:val="0"/>
                  <w:divBdr>
                    <w:top w:val="none" w:sz="0" w:space="0" w:color="auto"/>
                    <w:left w:val="none" w:sz="0" w:space="0" w:color="auto"/>
                    <w:bottom w:val="none" w:sz="0" w:space="0" w:color="auto"/>
                    <w:right w:val="none" w:sz="0" w:space="0" w:color="auto"/>
                  </w:divBdr>
                </w:div>
                <w:div w:id="136413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513527">
      <w:bodyDiv w:val="1"/>
      <w:marLeft w:val="0"/>
      <w:marRight w:val="0"/>
      <w:marTop w:val="0"/>
      <w:marBottom w:val="0"/>
      <w:divBdr>
        <w:top w:val="none" w:sz="0" w:space="0" w:color="auto"/>
        <w:left w:val="none" w:sz="0" w:space="0" w:color="auto"/>
        <w:bottom w:val="none" w:sz="0" w:space="0" w:color="auto"/>
        <w:right w:val="none" w:sz="0" w:space="0" w:color="auto"/>
      </w:divBdr>
    </w:div>
    <w:div w:id="545340171">
      <w:bodyDiv w:val="1"/>
      <w:marLeft w:val="0"/>
      <w:marRight w:val="0"/>
      <w:marTop w:val="0"/>
      <w:marBottom w:val="0"/>
      <w:divBdr>
        <w:top w:val="none" w:sz="0" w:space="0" w:color="auto"/>
        <w:left w:val="none" w:sz="0" w:space="0" w:color="auto"/>
        <w:bottom w:val="none" w:sz="0" w:space="0" w:color="auto"/>
        <w:right w:val="none" w:sz="0" w:space="0" w:color="auto"/>
      </w:divBdr>
      <w:divsChild>
        <w:div w:id="868646111">
          <w:marLeft w:val="0"/>
          <w:marRight w:val="0"/>
          <w:marTop w:val="0"/>
          <w:marBottom w:val="0"/>
          <w:divBdr>
            <w:top w:val="none" w:sz="0" w:space="0" w:color="auto"/>
            <w:left w:val="none" w:sz="0" w:space="0" w:color="auto"/>
            <w:bottom w:val="none" w:sz="0" w:space="0" w:color="auto"/>
            <w:right w:val="none" w:sz="0" w:space="0" w:color="auto"/>
          </w:divBdr>
          <w:divsChild>
            <w:div w:id="152185904">
              <w:marLeft w:val="0"/>
              <w:marRight w:val="0"/>
              <w:marTop w:val="0"/>
              <w:marBottom w:val="0"/>
              <w:divBdr>
                <w:top w:val="none" w:sz="0" w:space="0" w:color="auto"/>
                <w:left w:val="none" w:sz="0" w:space="0" w:color="auto"/>
                <w:bottom w:val="none" w:sz="0" w:space="0" w:color="auto"/>
                <w:right w:val="none" w:sz="0" w:space="0" w:color="auto"/>
              </w:divBdr>
              <w:divsChild>
                <w:div w:id="45502317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69047301">
          <w:marLeft w:val="0"/>
          <w:marRight w:val="0"/>
          <w:marTop w:val="0"/>
          <w:marBottom w:val="0"/>
          <w:divBdr>
            <w:top w:val="none" w:sz="0" w:space="0" w:color="auto"/>
            <w:left w:val="none" w:sz="0" w:space="0" w:color="auto"/>
            <w:bottom w:val="none" w:sz="0" w:space="0" w:color="auto"/>
            <w:right w:val="none" w:sz="0" w:space="0" w:color="auto"/>
          </w:divBdr>
          <w:divsChild>
            <w:div w:id="75759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8531">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34107239">
      <w:bodyDiv w:val="1"/>
      <w:marLeft w:val="0"/>
      <w:marRight w:val="0"/>
      <w:marTop w:val="0"/>
      <w:marBottom w:val="0"/>
      <w:divBdr>
        <w:top w:val="none" w:sz="0" w:space="0" w:color="auto"/>
        <w:left w:val="none" w:sz="0" w:space="0" w:color="auto"/>
        <w:bottom w:val="none" w:sz="0" w:space="0" w:color="auto"/>
        <w:right w:val="none" w:sz="0" w:space="0" w:color="auto"/>
      </w:divBdr>
      <w:divsChild>
        <w:div w:id="1282420176">
          <w:marLeft w:val="0"/>
          <w:marRight w:val="0"/>
          <w:marTop w:val="0"/>
          <w:marBottom w:val="0"/>
          <w:divBdr>
            <w:top w:val="none" w:sz="0" w:space="0" w:color="auto"/>
            <w:left w:val="none" w:sz="0" w:space="0" w:color="auto"/>
            <w:bottom w:val="none" w:sz="0" w:space="0" w:color="auto"/>
            <w:right w:val="none" w:sz="0" w:space="0" w:color="auto"/>
          </w:divBdr>
        </w:div>
        <w:div w:id="2025010791">
          <w:marLeft w:val="0"/>
          <w:marRight w:val="0"/>
          <w:marTop w:val="240"/>
          <w:marBottom w:val="0"/>
          <w:divBdr>
            <w:top w:val="none" w:sz="0" w:space="0" w:color="auto"/>
            <w:left w:val="none" w:sz="0" w:space="0" w:color="auto"/>
            <w:bottom w:val="none" w:sz="0" w:space="0" w:color="auto"/>
            <w:right w:val="none" w:sz="0" w:space="0" w:color="auto"/>
          </w:divBdr>
          <w:divsChild>
            <w:div w:id="1363704080">
              <w:marLeft w:val="0"/>
              <w:marRight w:val="0"/>
              <w:marTop w:val="0"/>
              <w:marBottom w:val="0"/>
              <w:divBdr>
                <w:top w:val="none" w:sz="0" w:space="0" w:color="auto"/>
                <w:left w:val="none" w:sz="0" w:space="0" w:color="auto"/>
                <w:bottom w:val="none" w:sz="0" w:space="0" w:color="auto"/>
                <w:right w:val="none" w:sz="0" w:space="0" w:color="auto"/>
              </w:divBdr>
              <w:divsChild>
                <w:div w:id="1686400783">
                  <w:marLeft w:val="0"/>
                  <w:marRight w:val="0"/>
                  <w:marTop w:val="0"/>
                  <w:marBottom w:val="0"/>
                  <w:divBdr>
                    <w:top w:val="none" w:sz="0" w:space="0" w:color="auto"/>
                    <w:left w:val="none" w:sz="0" w:space="0" w:color="auto"/>
                    <w:bottom w:val="none" w:sz="0" w:space="0" w:color="auto"/>
                    <w:right w:val="none" w:sz="0" w:space="0" w:color="auto"/>
                  </w:divBdr>
                </w:div>
                <w:div w:id="84856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50791">
      <w:bodyDiv w:val="1"/>
      <w:marLeft w:val="0"/>
      <w:marRight w:val="0"/>
      <w:marTop w:val="0"/>
      <w:marBottom w:val="0"/>
      <w:divBdr>
        <w:top w:val="none" w:sz="0" w:space="0" w:color="auto"/>
        <w:left w:val="none" w:sz="0" w:space="0" w:color="auto"/>
        <w:bottom w:val="none" w:sz="0" w:space="0" w:color="auto"/>
        <w:right w:val="none" w:sz="0" w:space="0" w:color="auto"/>
      </w:divBdr>
      <w:divsChild>
        <w:div w:id="1557857288">
          <w:marLeft w:val="0"/>
          <w:marRight w:val="0"/>
          <w:marTop w:val="0"/>
          <w:marBottom w:val="0"/>
          <w:divBdr>
            <w:top w:val="none" w:sz="0" w:space="0" w:color="auto"/>
            <w:left w:val="none" w:sz="0" w:space="0" w:color="auto"/>
            <w:bottom w:val="none" w:sz="0" w:space="0" w:color="auto"/>
            <w:right w:val="none" w:sz="0" w:space="0" w:color="auto"/>
          </w:divBdr>
        </w:div>
      </w:divsChild>
    </w:div>
    <w:div w:id="994988893">
      <w:bodyDiv w:val="1"/>
      <w:marLeft w:val="0"/>
      <w:marRight w:val="0"/>
      <w:marTop w:val="0"/>
      <w:marBottom w:val="0"/>
      <w:divBdr>
        <w:top w:val="none" w:sz="0" w:space="0" w:color="auto"/>
        <w:left w:val="none" w:sz="0" w:space="0" w:color="auto"/>
        <w:bottom w:val="none" w:sz="0" w:space="0" w:color="auto"/>
        <w:right w:val="none" w:sz="0" w:space="0" w:color="auto"/>
      </w:divBdr>
    </w:div>
    <w:div w:id="1025863833">
      <w:bodyDiv w:val="1"/>
      <w:marLeft w:val="0"/>
      <w:marRight w:val="0"/>
      <w:marTop w:val="0"/>
      <w:marBottom w:val="0"/>
      <w:divBdr>
        <w:top w:val="none" w:sz="0" w:space="0" w:color="auto"/>
        <w:left w:val="none" w:sz="0" w:space="0" w:color="auto"/>
        <w:bottom w:val="none" w:sz="0" w:space="0" w:color="auto"/>
        <w:right w:val="none" w:sz="0" w:space="0" w:color="auto"/>
      </w:divBdr>
    </w:div>
    <w:div w:id="1208492907">
      <w:bodyDiv w:val="1"/>
      <w:marLeft w:val="0"/>
      <w:marRight w:val="0"/>
      <w:marTop w:val="0"/>
      <w:marBottom w:val="0"/>
      <w:divBdr>
        <w:top w:val="none" w:sz="0" w:space="0" w:color="auto"/>
        <w:left w:val="none" w:sz="0" w:space="0" w:color="auto"/>
        <w:bottom w:val="none" w:sz="0" w:space="0" w:color="auto"/>
        <w:right w:val="none" w:sz="0" w:space="0" w:color="auto"/>
      </w:divBdr>
    </w:div>
    <w:div w:id="1226338762">
      <w:bodyDiv w:val="1"/>
      <w:marLeft w:val="0"/>
      <w:marRight w:val="0"/>
      <w:marTop w:val="0"/>
      <w:marBottom w:val="0"/>
      <w:divBdr>
        <w:top w:val="none" w:sz="0" w:space="0" w:color="auto"/>
        <w:left w:val="none" w:sz="0" w:space="0" w:color="auto"/>
        <w:bottom w:val="none" w:sz="0" w:space="0" w:color="auto"/>
        <w:right w:val="none" w:sz="0" w:space="0" w:color="auto"/>
      </w:divBdr>
      <w:divsChild>
        <w:div w:id="1208222051">
          <w:marLeft w:val="300"/>
          <w:marRight w:val="0"/>
          <w:marTop w:val="0"/>
          <w:marBottom w:val="0"/>
          <w:divBdr>
            <w:top w:val="none" w:sz="0" w:space="0" w:color="auto"/>
            <w:left w:val="none" w:sz="0" w:space="0" w:color="auto"/>
            <w:bottom w:val="none" w:sz="0" w:space="0" w:color="auto"/>
            <w:right w:val="none" w:sz="0" w:space="0" w:color="auto"/>
          </w:divBdr>
        </w:div>
      </w:divsChild>
    </w:div>
    <w:div w:id="1254783778">
      <w:bodyDiv w:val="1"/>
      <w:marLeft w:val="0"/>
      <w:marRight w:val="0"/>
      <w:marTop w:val="0"/>
      <w:marBottom w:val="0"/>
      <w:divBdr>
        <w:top w:val="none" w:sz="0" w:space="0" w:color="auto"/>
        <w:left w:val="none" w:sz="0" w:space="0" w:color="auto"/>
        <w:bottom w:val="none" w:sz="0" w:space="0" w:color="auto"/>
        <w:right w:val="none" w:sz="0" w:space="0" w:color="auto"/>
      </w:divBdr>
    </w:div>
    <w:div w:id="1305503642">
      <w:bodyDiv w:val="1"/>
      <w:marLeft w:val="0"/>
      <w:marRight w:val="0"/>
      <w:marTop w:val="0"/>
      <w:marBottom w:val="0"/>
      <w:divBdr>
        <w:top w:val="none" w:sz="0" w:space="0" w:color="auto"/>
        <w:left w:val="none" w:sz="0" w:space="0" w:color="auto"/>
        <w:bottom w:val="none" w:sz="0" w:space="0" w:color="auto"/>
        <w:right w:val="none" w:sz="0" w:space="0" w:color="auto"/>
      </w:divBdr>
    </w:div>
    <w:div w:id="1376539777">
      <w:bodyDiv w:val="1"/>
      <w:marLeft w:val="0"/>
      <w:marRight w:val="0"/>
      <w:marTop w:val="0"/>
      <w:marBottom w:val="0"/>
      <w:divBdr>
        <w:top w:val="none" w:sz="0" w:space="0" w:color="auto"/>
        <w:left w:val="none" w:sz="0" w:space="0" w:color="auto"/>
        <w:bottom w:val="none" w:sz="0" w:space="0" w:color="auto"/>
        <w:right w:val="none" w:sz="0" w:space="0" w:color="auto"/>
      </w:divBdr>
      <w:divsChild>
        <w:div w:id="946080432">
          <w:marLeft w:val="0"/>
          <w:marRight w:val="0"/>
          <w:marTop w:val="0"/>
          <w:marBottom w:val="0"/>
          <w:divBdr>
            <w:top w:val="none" w:sz="0" w:space="0" w:color="auto"/>
            <w:left w:val="none" w:sz="0" w:space="0" w:color="auto"/>
            <w:bottom w:val="none" w:sz="0" w:space="0" w:color="auto"/>
            <w:right w:val="none" w:sz="0" w:space="0" w:color="auto"/>
          </w:divBdr>
          <w:divsChild>
            <w:div w:id="1603219491">
              <w:marLeft w:val="0"/>
              <w:marRight w:val="0"/>
              <w:marTop w:val="0"/>
              <w:marBottom w:val="0"/>
              <w:divBdr>
                <w:top w:val="none" w:sz="0" w:space="0" w:color="auto"/>
                <w:left w:val="none" w:sz="0" w:space="0" w:color="auto"/>
                <w:bottom w:val="none" w:sz="0" w:space="0" w:color="auto"/>
                <w:right w:val="none" w:sz="0" w:space="0" w:color="auto"/>
              </w:divBdr>
              <w:divsChild>
                <w:div w:id="170239497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70233327">
          <w:marLeft w:val="0"/>
          <w:marRight w:val="0"/>
          <w:marTop w:val="0"/>
          <w:marBottom w:val="0"/>
          <w:divBdr>
            <w:top w:val="none" w:sz="0" w:space="0" w:color="auto"/>
            <w:left w:val="none" w:sz="0" w:space="0" w:color="auto"/>
            <w:bottom w:val="none" w:sz="0" w:space="0" w:color="auto"/>
            <w:right w:val="none" w:sz="0" w:space="0" w:color="auto"/>
          </w:divBdr>
          <w:divsChild>
            <w:div w:id="3166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295050">
      <w:bodyDiv w:val="1"/>
      <w:marLeft w:val="0"/>
      <w:marRight w:val="0"/>
      <w:marTop w:val="0"/>
      <w:marBottom w:val="0"/>
      <w:divBdr>
        <w:top w:val="none" w:sz="0" w:space="0" w:color="auto"/>
        <w:left w:val="none" w:sz="0" w:space="0" w:color="auto"/>
        <w:bottom w:val="none" w:sz="0" w:space="0" w:color="auto"/>
        <w:right w:val="none" w:sz="0" w:space="0" w:color="auto"/>
      </w:divBdr>
      <w:divsChild>
        <w:div w:id="965811815">
          <w:marLeft w:val="300"/>
          <w:marRight w:val="0"/>
          <w:marTop w:val="0"/>
          <w:marBottom w:val="0"/>
          <w:divBdr>
            <w:top w:val="none" w:sz="0" w:space="0" w:color="auto"/>
            <w:left w:val="none" w:sz="0" w:space="0" w:color="auto"/>
            <w:bottom w:val="none" w:sz="0" w:space="0" w:color="auto"/>
            <w:right w:val="none" w:sz="0" w:space="0" w:color="auto"/>
          </w:divBdr>
        </w:div>
      </w:divsChild>
    </w:div>
    <w:div w:id="1721903682">
      <w:bodyDiv w:val="1"/>
      <w:marLeft w:val="0"/>
      <w:marRight w:val="0"/>
      <w:marTop w:val="0"/>
      <w:marBottom w:val="0"/>
      <w:divBdr>
        <w:top w:val="none" w:sz="0" w:space="0" w:color="auto"/>
        <w:left w:val="none" w:sz="0" w:space="0" w:color="auto"/>
        <w:bottom w:val="none" w:sz="0" w:space="0" w:color="auto"/>
        <w:right w:val="none" w:sz="0" w:space="0" w:color="auto"/>
      </w:divBdr>
    </w:div>
    <w:div w:id="1818107102">
      <w:bodyDiv w:val="1"/>
      <w:marLeft w:val="0"/>
      <w:marRight w:val="0"/>
      <w:marTop w:val="0"/>
      <w:marBottom w:val="0"/>
      <w:divBdr>
        <w:top w:val="none" w:sz="0" w:space="0" w:color="auto"/>
        <w:left w:val="none" w:sz="0" w:space="0" w:color="auto"/>
        <w:bottom w:val="none" w:sz="0" w:space="0" w:color="auto"/>
        <w:right w:val="none" w:sz="0" w:space="0" w:color="auto"/>
      </w:divBdr>
      <w:divsChild>
        <w:div w:id="1885025073">
          <w:marLeft w:val="300"/>
          <w:marRight w:val="0"/>
          <w:marTop w:val="0"/>
          <w:marBottom w:val="0"/>
          <w:divBdr>
            <w:top w:val="none" w:sz="0" w:space="0" w:color="auto"/>
            <w:left w:val="none" w:sz="0" w:space="0" w:color="auto"/>
            <w:bottom w:val="none" w:sz="0" w:space="0" w:color="auto"/>
            <w:right w:val="none" w:sz="0" w:space="0" w:color="auto"/>
          </w:divBdr>
        </w:div>
      </w:divsChild>
    </w:div>
    <w:div w:id="2001038840">
      <w:bodyDiv w:val="1"/>
      <w:marLeft w:val="0"/>
      <w:marRight w:val="0"/>
      <w:marTop w:val="0"/>
      <w:marBottom w:val="0"/>
      <w:divBdr>
        <w:top w:val="none" w:sz="0" w:space="0" w:color="auto"/>
        <w:left w:val="none" w:sz="0" w:space="0" w:color="auto"/>
        <w:bottom w:val="none" w:sz="0" w:space="0" w:color="auto"/>
        <w:right w:val="none" w:sz="0" w:space="0" w:color="auto"/>
      </w:divBdr>
      <w:divsChild>
        <w:div w:id="1918439851">
          <w:marLeft w:val="0"/>
          <w:marRight w:val="0"/>
          <w:marTop w:val="0"/>
          <w:marBottom w:val="0"/>
          <w:divBdr>
            <w:top w:val="none" w:sz="0" w:space="0" w:color="auto"/>
            <w:left w:val="none" w:sz="0" w:space="0" w:color="auto"/>
            <w:bottom w:val="none" w:sz="0" w:space="0" w:color="auto"/>
            <w:right w:val="none" w:sz="0" w:space="0" w:color="auto"/>
          </w:divBdr>
          <w:divsChild>
            <w:div w:id="1232039439">
              <w:marLeft w:val="0"/>
              <w:marRight w:val="0"/>
              <w:marTop w:val="0"/>
              <w:marBottom w:val="0"/>
              <w:divBdr>
                <w:top w:val="none" w:sz="0" w:space="0" w:color="auto"/>
                <w:left w:val="none" w:sz="0" w:space="0" w:color="auto"/>
                <w:bottom w:val="none" w:sz="0" w:space="0" w:color="auto"/>
                <w:right w:val="none" w:sz="0" w:space="0" w:color="auto"/>
              </w:divBdr>
              <w:divsChild>
                <w:div w:id="195966818">
                  <w:marLeft w:val="300"/>
                  <w:marRight w:val="0"/>
                  <w:marTop w:val="0"/>
                  <w:marBottom w:val="0"/>
                  <w:divBdr>
                    <w:top w:val="none" w:sz="0" w:space="0" w:color="auto"/>
                    <w:left w:val="none" w:sz="0" w:space="0" w:color="auto"/>
                    <w:bottom w:val="none" w:sz="0" w:space="0" w:color="auto"/>
                    <w:right w:val="none" w:sz="0" w:space="0" w:color="auto"/>
                  </w:divBdr>
                </w:div>
              </w:divsChild>
            </w:div>
            <w:div w:id="1338001030">
              <w:marLeft w:val="0"/>
              <w:marRight w:val="0"/>
              <w:marTop w:val="0"/>
              <w:marBottom w:val="0"/>
              <w:divBdr>
                <w:top w:val="none" w:sz="0" w:space="0" w:color="auto"/>
                <w:left w:val="none" w:sz="0" w:space="0" w:color="auto"/>
                <w:bottom w:val="none" w:sz="0" w:space="0" w:color="auto"/>
                <w:right w:val="none" w:sz="0" w:space="0" w:color="auto"/>
              </w:divBdr>
              <w:divsChild>
                <w:div w:id="1517228128">
                  <w:marLeft w:val="300"/>
                  <w:marRight w:val="0"/>
                  <w:marTop w:val="0"/>
                  <w:marBottom w:val="0"/>
                  <w:divBdr>
                    <w:top w:val="none" w:sz="0" w:space="0" w:color="auto"/>
                    <w:left w:val="none" w:sz="0" w:space="0" w:color="auto"/>
                    <w:bottom w:val="none" w:sz="0" w:space="0" w:color="auto"/>
                    <w:right w:val="none" w:sz="0" w:space="0" w:color="auto"/>
                  </w:divBdr>
                </w:div>
              </w:divsChild>
            </w:div>
            <w:div w:id="545682812">
              <w:marLeft w:val="0"/>
              <w:marRight w:val="0"/>
              <w:marTop w:val="0"/>
              <w:marBottom w:val="0"/>
              <w:divBdr>
                <w:top w:val="none" w:sz="0" w:space="0" w:color="auto"/>
                <w:left w:val="none" w:sz="0" w:space="0" w:color="auto"/>
                <w:bottom w:val="none" w:sz="0" w:space="0" w:color="auto"/>
                <w:right w:val="none" w:sz="0" w:space="0" w:color="auto"/>
              </w:divBdr>
              <w:divsChild>
                <w:div w:id="444733919">
                  <w:marLeft w:val="300"/>
                  <w:marRight w:val="0"/>
                  <w:marTop w:val="0"/>
                  <w:marBottom w:val="0"/>
                  <w:divBdr>
                    <w:top w:val="none" w:sz="0" w:space="0" w:color="auto"/>
                    <w:left w:val="none" w:sz="0" w:space="0" w:color="auto"/>
                    <w:bottom w:val="none" w:sz="0" w:space="0" w:color="auto"/>
                    <w:right w:val="none" w:sz="0" w:space="0" w:color="auto"/>
                  </w:divBdr>
                </w:div>
              </w:divsChild>
            </w:div>
            <w:div w:id="687096012">
              <w:marLeft w:val="0"/>
              <w:marRight w:val="0"/>
              <w:marTop w:val="0"/>
              <w:marBottom w:val="0"/>
              <w:divBdr>
                <w:top w:val="none" w:sz="0" w:space="0" w:color="auto"/>
                <w:left w:val="none" w:sz="0" w:space="0" w:color="auto"/>
                <w:bottom w:val="none" w:sz="0" w:space="0" w:color="auto"/>
                <w:right w:val="none" w:sz="0" w:space="0" w:color="auto"/>
              </w:divBdr>
              <w:divsChild>
                <w:div w:id="8866468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76851379">
          <w:marLeft w:val="0"/>
          <w:marRight w:val="0"/>
          <w:marTop w:val="0"/>
          <w:marBottom w:val="0"/>
          <w:divBdr>
            <w:top w:val="none" w:sz="0" w:space="0" w:color="auto"/>
            <w:left w:val="none" w:sz="0" w:space="0" w:color="auto"/>
            <w:bottom w:val="none" w:sz="0" w:space="0" w:color="auto"/>
            <w:right w:val="none" w:sz="0" w:space="0" w:color="auto"/>
          </w:divBdr>
        </w:div>
      </w:divsChild>
    </w:div>
    <w:div w:id="2066678756">
      <w:bodyDiv w:val="1"/>
      <w:marLeft w:val="0"/>
      <w:marRight w:val="0"/>
      <w:marTop w:val="0"/>
      <w:marBottom w:val="0"/>
      <w:divBdr>
        <w:top w:val="none" w:sz="0" w:space="0" w:color="auto"/>
        <w:left w:val="none" w:sz="0" w:space="0" w:color="auto"/>
        <w:bottom w:val="none" w:sz="0" w:space="0" w:color="auto"/>
        <w:right w:val="none" w:sz="0" w:space="0" w:color="auto"/>
      </w:divBdr>
    </w:div>
    <w:div w:id="2086217109">
      <w:bodyDiv w:val="1"/>
      <w:marLeft w:val="0"/>
      <w:marRight w:val="0"/>
      <w:marTop w:val="0"/>
      <w:marBottom w:val="0"/>
      <w:divBdr>
        <w:top w:val="none" w:sz="0" w:space="0" w:color="auto"/>
        <w:left w:val="none" w:sz="0" w:space="0" w:color="auto"/>
        <w:bottom w:val="none" w:sz="0" w:space="0" w:color="auto"/>
        <w:right w:val="none" w:sz="0" w:space="0" w:color="auto"/>
      </w:divBdr>
      <w:divsChild>
        <w:div w:id="1111896705">
          <w:marLeft w:val="0"/>
          <w:marRight w:val="0"/>
          <w:marTop w:val="0"/>
          <w:marBottom w:val="0"/>
          <w:divBdr>
            <w:top w:val="none" w:sz="0" w:space="0" w:color="auto"/>
            <w:left w:val="none" w:sz="0" w:space="0" w:color="auto"/>
            <w:bottom w:val="none" w:sz="0" w:space="0" w:color="auto"/>
            <w:right w:val="none" w:sz="0" w:space="0" w:color="auto"/>
          </w:divBdr>
          <w:divsChild>
            <w:div w:id="169487140">
              <w:marLeft w:val="0"/>
              <w:marRight w:val="0"/>
              <w:marTop w:val="0"/>
              <w:marBottom w:val="0"/>
              <w:divBdr>
                <w:top w:val="none" w:sz="0" w:space="0" w:color="auto"/>
                <w:left w:val="none" w:sz="0" w:space="0" w:color="auto"/>
                <w:bottom w:val="none" w:sz="0" w:space="0" w:color="auto"/>
                <w:right w:val="none" w:sz="0" w:space="0" w:color="auto"/>
              </w:divBdr>
              <w:divsChild>
                <w:div w:id="178395578">
                  <w:marLeft w:val="300"/>
                  <w:marRight w:val="0"/>
                  <w:marTop w:val="0"/>
                  <w:marBottom w:val="0"/>
                  <w:divBdr>
                    <w:top w:val="none" w:sz="0" w:space="0" w:color="auto"/>
                    <w:left w:val="none" w:sz="0" w:space="0" w:color="auto"/>
                    <w:bottom w:val="none" w:sz="0" w:space="0" w:color="auto"/>
                    <w:right w:val="none" w:sz="0" w:space="0" w:color="auto"/>
                  </w:divBdr>
                </w:div>
              </w:divsChild>
            </w:div>
            <w:div w:id="1218517412">
              <w:marLeft w:val="0"/>
              <w:marRight w:val="0"/>
              <w:marTop w:val="0"/>
              <w:marBottom w:val="0"/>
              <w:divBdr>
                <w:top w:val="none" w:sz="0" w:space="0" w:color="auto"/>
                <w:left w:val="none" w:sz="0" w:space="0" w:color="auto"/>
                <w:bottom w:val="none" w:sz="0" w:space="0" w:color="auto"/>
                <w:right w:val="none" w:sz="0" w:space="0" w:color="auto"/>
              </w:divBdr>
              <w:divsChild>
                <w:div w:id="638268031">
                  <w:marLeft w:val="300"/>
                  <w:marRight w:val="0"/>
                  <w:marTop w:val="0"/>
                  <w:marBottom w:val="0"/>
                  <w:divBdr>
                    <w:top w:val="none" w:sz="0" w:space="0" w:color="auto"/>
                    <w:left w:val="none" w:sz="0" w:space="0" w:color="auto"/>
                    <w:bottom w:val="none" w:sz="0" w:space="0" w:color="auto"/>
                    <w:right w:val="none" w:sz="0" w:space="0" w:color="auto"/>
                  </w:divBdr>
                </w:div>
              </w:divsChild>
            </w:div>
            <w:div w:id="1256128587">
              <w:marLeft w:val="0"/>
              <w:marRight w:val="0"/>
              <w:marTop w:val="0"/>
              <w:marBottom w:val="0"/>
              <w:divBdr>
                <w:top w:val="none" w:sz="0" w:space="0" w:color="auto"/>
                <w:left w:val="none" w:sz="0" w:space="0" w:color="auto"/>
                <w:bottom w:val="none" w:sz="0" w:space="0" w:color="auto"/>
                <w:right w:val="none" w:sz="0" w:space="0" w:color="auto"/>
              </w:divBdr>
              <w:divsChild>
                <w:div w:id="1160541261">
                  <w:marLeft w:val="300"/>
                  <w:marRight w:val="0"/>
                  <w:marTop w:val="0"/>
                  <w:marBottom w:val="0"/>
                  <w:divBdr>
                    <w:top w:val="none" w:sz="0" w:space="0" w:color="auto"/>
                    <w:left w:val="none" w:sz="0" w:space="0" w:color="auto"/>
                    <w:bottom w:val="none" w:sz="0" w:space="0" w:color="auto"/>
                    <w:right w:val="none" w:sz="0" w:space="0" w:color="auto"/>
                  </w:divBdr>
                </w:div>
              </w:divsChild>
            </w:div>
            <w:div w:id="1654916408">
              <w:marLeft w:val="0"/>
              <w:marRight w:val="0"/>
              <w:marTop w:val="0"/>
              <w:marBottom w:val="0"/>
              <w:divBdr>
                <w:top w:val="none" w:sz="0" w:space="0" w:color="auto"/>
                <w:left w:val="none" w:sz="0" w:space="0" w:color="auto"/>
                <w:bottom w:val="none" w:sz="0" w:space="0" w:color="auto"/>
                <w:right w:val="none" w:sz="0" w:space="0" w:color="auto"/>
              </w:divBdr>
              <w:divsChild>
                <w:div w:id="100034801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86858298">
          <w:marLeft w:val="0"/>
          <w:marRight w:val="0"/>
          <w:marTop w:val="0"/>
          <w:marBottom w:val="0"/>
          <w:divBdr>
            <w:top w:val="none" w:sz="0" w:space="0" w:color="auto"/>
            <w:left w:val="none" w:sz="0" w:space="0" w:color="auto"/>
            <w:bottom w:val="none" w:sz="0" w:space="0" w:color="auto"/>
            <w:right w:val="none" w:sz="0" w:space="0" w:color="auto"/>
          </w:divBdr>
        </w:div>
      </w:divsChild>
    </w:div>
    <w:div w:id="208798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reader/content/10.1177/2333721418782812/format/epub/EPUB/xhtml/table4-2333721418782812.xhtml" TargetMode="External"/><Relationship Id="rId21" Type="http://schemas.openxmlformats.org/officeDocument/2006/relationships/hyperlink" Target="https://0-journals-sagepub-com.libus.csd.mu.edu/doi/full/10.1177/2333721418782812" TargetMode="External"/><Relationship Id="rId42" Type="http://schemas.openxmlformats.org/officeDocument/2006/relationships/hyperlink" Target="https://0-journals-sagepub-com.libus.csd.mu.edu/doi/full/10.1177/2333721418782812" TargetMode="External"/><Relationship Id="rId47" Type="http://schemas.openxmlformats.org/officeDocument/2006/relationships/hyperlink" Target="https://0-journals-sagepub-com.libus.csd.mu.edu/doi/full/10.1177/2333721418782812" TargetMode="External"/><Relationship Id="rId63" Type="http://schemas.openxmlformats.org/officeDocument/2006/relationships/hyperlink" Target="https://0-journals-sagepub-com.libus.csd.mu.edu/doi/full/10.1177/2333721418782812" TargetMode="External"/><Relationship Id="rId68" Type="http://schemas.openxmlformats.org/officeDocument/2006/relationships/hyperlink" Target="https://0-journals-sagepub-com.libus.csd.mu.edu/doi/full/10.1177/2333721418782812" TargetMode="External"/><Relationship Id="rId84" Type="http://schemas.openxmlformats.org/officeDocument/2006/relationships/hyperlink" Target="https://0-doi-org.libus.csd.mu.edu/10.1016/S0895-4356(99)00175-4" TargetMode="External"/><Relationship Id="rId89" Type="http://schemas.openxmlformats.org/officeDocument/2006/relationships/hyperlink" Target="https://0-doi-org.libus.csd.mu.edu/10.2106/jbjs.o.00030" TargetMode="External"/><Relationship Id="rId16" Type="http://schemas.openxmlformats.org/officeDocument/2006/relationships/image" Target="media/image1.emf"/><Relationship Id="rId107" Type="http://schemas.openxmlformats.org/officeDocument/2006/relationships/fontTable" Target="fontTable.xml"/><Relationship Id="rId11" Type="http://schemas.openxmlformats.org/officeDocument/2006/relationships/hyperlink" Target="https://0-journals-sagepub-com.libus.csd.mu.edu/doi/full/10.1177/2333721418782812" TargetMode="External"/><Relationship Id="rId32" Type="http://schemas.openxmlformats.org/officeDocument/2006/relationships/hyperlink" Target="https://journals.sagepub.com/reader/content/10.1177/2333721418782812/format/epub/EPUB/xhtml/table4-2333721418782812.xhtml" TargetMode="External"/><Relationship Id="rId37" Type="http://schemas.openxmlformats.org/officeDocument/2006/relationships/hyperlink" Target="https://journals.sagepub.com/reader/content/10.1177/2333721418782812/format/epub/EPUB/xhtml/table4-2333721418782812.xhtml" TargetMode="External"/><Relationship Id="rId53" Type="http://schemas.openxmlformats.org/officeDocument/2006/relationships/hyperlink" Target="https://0-journals-sagepub-com.libus.csd.mu.edu/doi/full/10.1177/2333721418782812" TargetMode="External"/><Relationship Id="rId58" Type="http://schemas.openxmlformats.org/officeDocument/2006/relationships/hyperlink" Target="https://0-journals-sagepub-com.libus.csd.mu.edu/doi/full/10.1177/2333721418782812" TargetMode="External"/><Relationship Id="rId74" Type="http://schemas.openxmlformats.org/officeDocument/2006/relationships/hyperlink" Target="https://0-journals-sagepub-com.libus.csd.mu.edu/doi/full/10.1177/2333721418782812" TargetMode="External"/><Relationship Id="rId79" Type="http://schemas.openxmlformats.org/officeDocument/2006/relationships/hyperlink" Target="https://0-doi-org.libus.csd.mu.edu/10.1037/0033-2909.106.2.315" TargetMode="External"/><Relationship Id="rId102" Type="http://schemas.openxmlformats.org/officeDocument/2006/relationships/hyperlink" Target="https://0-doi-org.libus.csd.mu.edu/10.1126/science.aaf8934" TargetMode="External"/><Relationship Id="rId5" Type="http://schemas.openxmlformats.org/officeDocument/2006/relationships/styles" Target="styles.xml"/><Relationship Id="rId90" Type="http://schemas.openxmlformats.org/officeDocument/2006/relationships/hyperlink" Target="https://0-doi-org.libus.csd.mu.edu/10.1007/s10433-012-0256-2" TargetMode="External"/><Relationship Id="rId95" Type="http://schemas.openxmlformats.org/officeDocument/2006/relationships/hyperlink" Target="https://0-doi-org.libus.csd.mu.edu/10.1007/s10823-006-9001-7" TargetMode="External"/><Relationship Id="rId22" Type="http://schemas.openxmlformats.org/officeDocument/2006/relationships/hyperlink" Target="https://0-journals-sagepub-com.libus.csd.mu.edu/doi/full/10.1177/2333721418782812" TargetMode="External"/><Relationship Id="rId27" Type="http://schemas.openxmlformats.org/officeDocument/2006/relationships/hyperlink" Target="https://journals.sagepub.com/reader/content/10.1177/2333721418782812/format/epub/EPUB/xhtml/table4-2333721418782812.xhtml" TargetMode="External"/><Relationship Id="rId43" Type="http://schemas.openxmlformats.org/officeDocument/2006/relationships/hyperlink" Target="https://0-journals-sagepub-com.libus.csd.mu.edu/doi/full/10.1177/2333721418782812" TargetMode="External"/><Relationship Id="rId48" Type="http://schemas.openxmlformats.org/officeDocument/2006/relationships/hyperlink" Target="https://0-journals-sagepub-com.libus.csd.mu.edu/doi/full/10.1177/2333721418782812" TargetMode="External"/><Relationship Id="rId64" Type="http://schemas.openxmlformats.org/officeDocument/2006/relationships/hyperlink" Target="https://0-journals-sagepub-com.libus.csd.mu.edu/doi/full/10.1177/2333721418782812" TargetMode="External"/><Relationship Id="rId69" Type="http://schemas.openxmlformats.org/officeDocument/2006/relationships/hyperlink" Target="https://0-journals-sagepub-com.libus.csd.mu.edu/doi/full/10.1177/2333721418782812" TargetMode="External"/><Relationship Id="rId80" Type="http://schemas.openxmlformats.org/officeDocument/2006/relationships/hyperlink" Target="https://0-doi-org.libus.csd.mu.edu/10.1016/S0028-3932(01)00055-0" TargetMode="External"/><Relationship Id="rId85" Type="http://schemas.openxmlformats.org/officeDocument/2006/relationships/hyperlink" Target="https://0-doi-org.libus.csd.mu.edu/10.6063/motricidade.3543" TargetMode="External"/><Relationship Id="rId12" Type="http://schemas.openxmlformats.org/officeDocument/2006/relationships/hyperlink" Target="https://0-journals-sagepub-com.libus.csd.mu.edu/doi/full/10.1177/2333721418782812" TargetMode="External"/><Relationship Id="rId17" Type="http://schemas.openxmlformats.org/officeDocument/2006/relationships/image" Target="media/image2.gif"/><Relationship Id="rId33" Type="http://schemas.openxmlformats.org/officeDocument/2006/relationships/hyperlink" Target="https://journals.sagepub.com/reader/content/10.1177/2333721418782812/format/epub/EPUB/xhtml/table4-2333721418782812.xhtml" TargetMode="External"/><Relationship Id="rId38" Type="http://schemas.openxmlformats.org/officeDocument/2006/relationships/hyperlink" Target="https://journals.sagepub.com/reader/content/10.1177/2333721418782812/format/epub/EPUB/xhtml/table4-2333721418782812.xhtml" TargetMode="External"/><Relationship Id="rId59" Type="http://schemas.openxmlformats.org/officeDocument/2006/relationships/hyperlink" Target="https://0-journals-sagepub-com.libus.csd.mu.edu/doi/full/10.1177/2333721418782812" TargetMode="External"/><Relationship Id="rId103" Type="http://schemas.openxmlformats.org/officeDocument/2006/relationships/hyperlink" Target="http://www.who.int/social_determinants/sdh_definition/en/" TargetMode="External"/><Relationship Id="rId108" Type="http://schemas.openxmlformats.org/officeDocument/2006/relationships/theme" Target="theme/theme1.xml"/><Relationship Id="rId20" Type="http://schemas.openxmlformats.org/officeDocument/2006/relationships/hyperlink" Target="https://0-journals-sagepub-com.libus.csd.mu.edu/doi/full/10.1177/2333721418782812" TargetMode="External"/><Relationship Id="rId41" Type="http://schemas.openxmlformats.org/officeDocument/2006/relationships/hyperlink" Target="https://0-journals-sagepub-com.libus.csd.mu.edu/doi/full/10.1177/2333721418782812" TargetMode="External"/><Relationship Id="rId54" Type="http://schemas.openxmlformats.org/officeDocument/2006/relationships/hyperlink" Target="https://0-journals-sagepub-com.libus.csd.mu.edu/doi/full/10.1177/2333721418782812" TargetMode="External"/><Relationship Id="rId62" Type="http://schemas.openxmlformats.org/officeDocument/2006/relationships/hyperlink" Target="https://0-journals-sagepub-com.libus.csd.mu.edu/doi/full/10.1177/2333721418782812" TargetMode="External"/><Relationship Id="rId70" Type="http://schemas.openxmlformats.org/officeDocument/2006/relationships/hyperlink" Target="https://0-journals-sagepub-com.libus.csd.mu.edu/doi/full/10.1177/2333721418782812" TargetMode="External"/><Relationship Id="rId75" Type="http://schemas.openxmlformats.org/officeDocument/2006/relationships/hyperlink" Target="https://0-doi-org.libus.csd.mu.edu/10.1016/S0895-4356(98)00100-0" TargetMode="External"/><Relationship Id="rId83" Type="http://schemas.openxmlformats.org/officeDocument/2006/relationships/hyperlink" Target="https://0-doi-org.libus.csd.mu.edu/10.1007/s11136-010-9700-y" TargetMode="External"/><Relationship Id="rId88" Type="http://schemas.openxmlformats.org/officeDocument/2006/relationships/hyperlink" Target="https://0-doi-org.libus.csd.mu.edu/10.1186/s12955-015-0395-1" TargetMode="External"/><Relationship Id="rId91" Type="http://schemas.openxmlformats.org/officeDocument/2006/relationships/hyperlink" Target="https://0-doi-org.libus.csd.mu.edu/10.1037/1082-989X.11.1.19" TargetMode="External"/><Relationship Id="rId96" Type="http://schemas.openxmlformats.org/officeDocument/2006/relationships/hyperlink" Target="https://0-doi-org.libus.csd.mu.edu/10.1177/1010539511432879"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journals-sagepub-com.libus.csd.mu.edu/doi/full/10.1177/2333721418782812" TargetMode="External"/><Relationship Id="rId23" Type="http://schemas.openxmlformats.org/officeDocument/2006/relationships/hyperlink" Target="https://0-journals-sagepub-com.libus.csd.mu.edu/doi/full/10.1177/2333721418782812" TargetMode="External"/><Relationship Id="rId28" Type="http://schemas.openxmlformats.org/officeDocument/2006/relationships/hyperlink" Target="https://journals.sagepub.com/reader/content/10.1177/2333721418782812/format/epub/EPUB/xhtml/table4-2333721418782812.xhtml" TargetMode="External"/><Relationship Id="rId36" Type="http://schemas.openxmlformats.org/officeDocument/2006/relationships/hyperlink" Target="https://journals.sagepub.com/reader/content/10.1177/2333721418782812/format/epub/EPUB/xhtml/table4-2333721418782812.xhtml" TargetMode="External"/><Relationship Id="rId49" Type="http://schemas.openxmlformats.org/officeDocument/2006/relationships/hyperlink" Target="https://0-journals-sagepub-com.libus.csd.mu.edu/doi/full/10.1177/2333721418782812" TargetMode="External"/><Relationship Id="rId57" Type="http://schemas.openxmlformats.org/officeDocument/2006/relationships/hyperlink" Target="https://0-journals-sagepub-com.libus.csd.mu.edu/doi/full/10.1177/2333721418782812" TargetMode="External"/><Relationship Id="rId106" Type="http://schemas.openxmlformats.org/officeDocument/2006/relationships/hyperlink" Target="https://0-doi-org.libus.csd.mu.edu/10.1016/j.socscimed.2008.10.031" TargetMode="External"/><Relationship Id="rId10" Type="http://schemas.openxmlformats.org/officeDocument/2006/relationships/hyperlink" Target="https://0-journals-sagepub-com.libus.csd.mu.edu/doi/full/10.1177/2333721418782812" TargetMode="External"/><Relationship Id="rId31" Type="http://schemas.openxmlformats.org/officeDocument/2006/relationships/hyperlink" Target="https://journals.sagepub.com/reader/content/10.1177/2333721418782812/format/epub/EPUB/xhtml/table4-2333721418782812.xhtml" TargetMode="External"/><Relationship Id="rId44" Type="http://schemas.openxmlformats.org/officeDocument/2006/relationships/hyperlink" Target="https://0-journals-sagepub-com.libus.csd.mu.edu/doi/full/10.1177/2333721418782812" TargetMode="External"/><Relationship Id="rId52" Type="http://schemas.openxmlformats.org/officeDocument/2006/relationships/hyperlink" Target="https://0-journals-sagepub-com.libus.csd.mu.edu/doi/full/10.1177/2333721418782812" TargetMode="External"/><Relationship Id="rId60" Type="http://schemas.openxmlformats.org/officeDocument/2006/relationships/hyperlink" Target="https://0-journals-sagepub-com.libus.csd.mu.edu/doi/full/10.1177/2333721418782812" TargetMode="External"/><Relationship Id="rId65" Type="http://schemas.openxmlformats.org/officeDocument/2006/relationships/hyperlink" Target="https://0-journals-sagepub-com.libus.csd.mu.edu/doi/full/10.1177/2333721418782812" TargetMode="External"/><Relationship Id="rId73" Type="http://schemas.openxmlformats.org/officeDocument/2006/relationships/hyperlink" Target="https://0-journals-sagepub-com.libus.csd.mu.edu/doi/full/10.1177/2333721418782812" TargetMode="External"/><Relationship Id="rId78" Type="http://schemas.openxmlformats.org/officeDocument/2006/relationships/hyperlink" Target="https://0-doi-org.libus.csd.mu.edu/10.1016/j.jclinepi.2008.05.004" TargetMode="External"/><Relationship Id="rId81" Type="http://schemas.openxmlformats.org/officeDocument/2006/relationships/hyperlink" Target="https://0-doi-org.libus.csd.mu.edu/10.1097/01.PSY.0000030388.62434.46" TargetMode="External"/><Relationship Id="rId86" Type="http://schemas.openxmlformats.org/officeDocument/2006/relationships/hyperlink" Target="https://0-doi-org.libus.csd.mu.edu/10.1007/s11136-008-9310-0" TargetMode="External"/><Relationship Id="rId94" Type="http://schemas.openxmlformats.org/officeDocument/2006/relationships/hyperlink" Target="https://0-doi-org.libus.csd.mu.edu/10.1590/bjpt-rbf.2014.0045" TargetMode="External"/><Relationship Id="rId99" Type="http://schemas.openxmlformats.org/officeDocument/2006/relationships/hyperlink" Target="https://0-doi-org.libus.csd.mu.edu/10.1023/A:1008987709788" TargetMode="External"/><Relationship Id="rId101" Type="http://schemas.openxmlformats.org/officeDocument/2006/relationships/hyperlink" Target="http://hdr.undp.org/en/2016-report" TargetMode="Externa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3" Type="http://schemas.openxmlformats.org/officeDocument/2006/relationships/hyperlink" Target="https://0-journals-sagepub-com.libus.csd.mu.edu/doi/full/10.1177/2333721418782812" TargetMode="External"/><Relationship Id="rId18" Type="http://schemas.openxmlformats.org/officeDocument/2006/relationships/image" Target="media/image3.gif"/><Relationship Id="rId39" Type="http://schemas.openxmlformats.org/officeDocument/2006/relationships/hyperlink" Target="https://0-journals-sagepub-com.libus.csd.mu.edu/doi/full/10.1177/2333721418782812" TargetMode="External"/><Relationship Id="rId34" Type="http://schemas.openxmlformats.org/officeDocument/2006/relationships/hyperlink" Target="https://journals.sagepub.com/reader/content/10.1177/2333721418782812/format/epub/EPUB/xhtml/table4-2333721418782812.xhtml" TargetMode="External"/><Relationship Id="rId50" Type="http://schemas.openxmlformats.org/officeDocument/2006/relationships/hyperlink" Target="https://0-journals-sagepub-com.libus.csd.mu.edu/doi/full/10.1177/2333721418782812" TargetMode="External"/><Relationship Id="rId55" Type="http://schemas.openxmlformats.org/officeDocument/2006/relationships/hyperlink" Target="https://0-journals-sagepub-com.libus.csd.mu.edu/doi/full/10.1177/2333721418782812" TargetMode="External"/><Relationship Id="rId76" Type="http://schemas.openxmlformats.org/officeDocument/2006/relationships/hyperlink" Target="https://0-doi-org.libus.csd.mu.edu/10.3109/02699052.2012.655364" TargetMode="External"/><Relationship Id="rId97" Type="http://schemas.openxmlformats.org/officeDocument/2006/relationships/hyperlink" Target="https://0-doi-org.libus.csd.mu.edu/10.1038/ejcn.2011.146" TargetMode="External"/><Relationship Id="rId104" Type="http://schemas.openxmlformats.org/officeDocument/2006/relationships/hyperlink" Target="https://0-doi-org.libus.csd.mu.edu/10.1007/s11136-017-1655-9" TargetMode="External"/><Relationship Id="rId7" Type="http://schemas.openxmlformats.org/officeDocument/2006/relationships/webSettings" Target="webSettings.xml"/><Relationship Id="rId71" Type="http://schemas.openxmlformats.org/officeDocument/2006/relationships/hyperlink" Target="https://0-journals-sagepub-com.libus.csd.mu.edu/doi/full/10.1177/2333721418782812" TargetMode="External"/><Relationship Id="rId92" Type="http://schemas.openxmlformats.org/officeDocument/2006/relationships/hyperlink" Target="https://0-doi-org.libus.csd.mu.edu/10.1177/0898264308315855" TargetMode="External"/><Relationship Id="rId2" Type="http://schemas.openxmlformats.org/officeDocument/2006/relationships/customXml" Target="../customXml/item2.xml"/><Relationship Id="rId29" Type="http://schemas.openxmlformats.org/officeDocument/2006/relationships/hyperlink" Target="https://journals.sagepub.com/reader/content/10.1177/2333721418782812/format/epub/EPUB/xhtml/table4-2333721418782812.xhtml" TargetMode="External"/><Relationship Id="rId24" Type="http://schemas.openxmlformats.org/officeDocument/2006/relationships/hyperlink" Target="https://0-journals-sagepub-com.libus.csd.mu.edu/doi/full/10.1177/2333721418782812" TargetMode="External"/><Relationship Id="rId40" Type="http://schemas.openxmlformats.org/officeDocument/2006/relationships/hyperlink" Target="https://0-journals-sagepub-com.libus.csd.mu.edu/doi/full/10.1177/2333721418782812" TargetMode="External"/><Relationship Id="rId45" Type="http://schemas.openxmlformats.org/officeDocument/2006/relationships/hyperlink" Target="https://0-journals-sagepub-com.libus.csd.mu.edu/doi/full/10.1177/2333721418782812" TargetMode="External"/><Relationship Id="rId66" Type="http://schemas.openxmlformats.org/officeDocument/2006/relationships/hyperlink" Target="https://0-journals-sagepub-com.libus.csd.mu.edu/doi/full/10.1177/2333721418782812" TargetMode="External"/><Relationship Id="rId87" Type="http://schemas.openxmlformats.org/officeDocument/2006/relationships/hyperlink" Target="https://0-doi-org.libus.csd.mu.edu/10.1080/10705519909540118" TargetMode="External"/><Relationship Id="rId61" Type="http://schemas.openxmlformats.org/officeDocument/2006/relationships/hyperlink" Target="https://0-journals-sagepub-com.libus.csd.mu.edu/doi/full/10.1177/2333721418782812" TargetMode="External"/><Relationship Id="rId82" Type="http://schemas.openxmlformats.org/officeDocument/2006/relationships/hyperlink" Target="https://0-doi-org.libus.csd.mu.edu/10.1037/1082-989x.1.1.16" TargetMode="External"/><Relationship Id="rId19" Type="http://schemas.openxmlformats.org/officeDocument/2006/relationships/hyperlink" Target="https://0-journals-sagepub-com.libus.csd.mu.edu/doi/full/10.1177/2333721418782812" TargetMode="External"/><Relationship Id="rId14" Type="http://schemas.openxmlformats.org/officeDocument/2006/relationships/hyperlink" Target="https://0-journals-sagepub-com.libus.csd.mu.edu/doi/full/10.1177/2333721418782812" TargetMode="External"/><Relationship Id="rId30" Type="http://schemas.openxmlformats.org/officeDocument/2006/relationships/hyperlink" Target="https://journals.sagepub.com/reader/content/10.1177/2333721418782812/format/epub/EPUB/xhtml/table4-2333721418782812.xhtml" TargetMode="External"/><Relationship Id="rId35" Type="http://schemas.openxmlformats.org/officeDocument/2006/relationships/hyperlink" Target="https://journals.sagepub.com/reader/content/10.1177/2333721418782812/format/epub/EPUB/xhtml/table4-2333721418782812.xhtml" TargetMode="External"/><Relationship Id="rId56" Type="http://schemas.openxmlformats.org/officeDocument/2006/relationships/hyperlink" Target="https://0-journals-sagepub-com.libus.csd.mu.edu/doi/full/10.1177/2333721418782812" TargetMode="External"/><Relationship Id="rId77" Type="http://schemas.openxmlformats.org/officeDocument/2006/relationships/hyperlink" Target="https://0-doi-org.libus.csd.mu.edu/10.1590/S1413-35552010005000015" TargetMode="External"/><Relationship Id="rId100" Type="http://schemas.openxmlformats.org/officeDocument/2006/relationships/hyperlink" Target="https://0-doi-org.libus.csd.mu.edu/10.1371/journal.pone.0061191" TargetMode="External"/><Relationship Id="rId105" Type="http://schemas.openxmlformats.org/officeDocument/2006/relationships/hyperlink" Target="https://0-doi-org.libus.csd.mu.edu/10.3390/ijerph15020256" TargetMode="External"/><Relationship Id="rId8" Type="http://schemas.openxmlformats.org/officeDocument/2006/relationships/hyperlink" Target="https://dx.doi.org/10.1177/2333721418782812" TargetMode="External"/><Relationship Id="rId51" Type="http://schemas.openxmlformats.org/officeDocument/2006/relationships/hyperlink" Target="https://0-journals-sagepub-com.libus.csd.mu.edu/doi/full/10.1177/2333721418782812" TargetMode="External"/><Relationship Id="rId72" Type="http://schemas.openxmlformats.org/officeDocument/2006/relationships/hyperlink" Target="https://0-journals-sagepub-com.libus.csd.mu.edu/doi/full/10.1177/2333721418782812" TargetMode="External"/><Relationship Id="rId93" Type="http://schemas.openxmlformats.org/officeDocument/2006/relationships/hyperlink" Target="https://0-doi-org.libus.csd.mu.edu/10.1016/j.jeoa.2016.07.002" TargetMode="External"/><Relationship Id="rId98" Type="http://schemas.openxmlformats.org/officeDocument/2006/relationships/hyperlink" Target="https://0-doi-org.libus.csd.mu.edu/10.1097/00005650-199804000-00012" TargetMode="External"/><Relationship Id="rId3" Type="http://schemas.openxmlformats.org/officeDocument/2006/relationships/customXml" Target="../customXml/item3.xml"/><Relationship Id="rId25" Type="http://schemas.openxmlformats.org/officeDocument/2006/relationships/image" Target="media/image4.gif"/><Relationship Id="rId46" Type="http://schemas.openxmlformats.org/officeDocument/2006/relationships/hyperlink" Target="https://0-journals-sagepub-com.libus.csd.mu.edu/doi/full/10.1177/2333721418782812" TargetMode="External"/><Relationship Id="rId67" Type="http://schemas.openxmlformats.org/officeDocument/2006/relationships/hyperlink" Target="https://0-journals-sagepub-com.libus.csd.mu.edu/doi/full/10.1177/2333721418782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522858-9790-46F5-80EC-A857B5B66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21</Pages>
  <Words>10624</Words>
  <Characters>58543</Characters>
  <Application>Microsoft Office Word</Application>
  <DocSecurity>8</DocSecurity>
  <Lines>1626</Lines>
  <Paragraphs>813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Charity, Otto</dc:creator>
  <cp:keywords/>
  <dc:description/>
  <cp:lastModifiedBy>Olson, Sharon</cp:lastModifiedBy>
  <cp:revision>105</cp:revision>
  <dcterms:created xsi:type="dcterms:W3CDTF">2019-09-13T20:09:00Z</dcterms:created>
  <dcterms:modified xsi:type="dcterms:W3CDTF">2019-09-23T18:13:00Z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